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41FDC5">
      <w:pPr>
        <w:spacing w:line="360" w:lineRule="auto"/>
        <w:jc w:val="center"/>
        <w:rPr>
          <w:rFonts w:ascii="仿宋" w:hAnsi="仿宋" w:eastAsia="仿宋"/>
          <w:b/>
          <w:bCs/>
          <w:color w:val="000000"/>
          <w:sz w:val="52"/>
          <w:szCs w:val="52"/>
          <w:highlight w:val="none"/>
        </w:rPr>
      </w:pPr>
      <w:bookmarkStart w:id="0" w:name="_Toc204749313"/>
      <w:bookmarkEnd w:id="0"/>
      <w:bookmarkStart w:id="1" w:name="_Toc277776504"/>
      <w:bookmarkEnd w:id="1"/>
      <w:bookmarkStart w:id="2" w:name="_Toc277776482"/>
      <w:bookmarkEnd w:id="2"/>
    </w:p>
    <w:p w14:paraId="3BD23969">
      <w:pPr>
        <w:spacing w:line="360" w:lineRule="auto"/>
        <w:jc w:val="center"/>
        <w:rPr>
          <w:rFonts w:ascii="仿宋" w:hAnsi="仿宋" w:eastAsia="仿宋"/>
          <w:b/>
          <w:bCs/>
          <w:color w:val="000000"/>
          <w:sz w:val="48"/>
          <w:szCs w:val="48"/>
          <w:highlight w:val="none"/>
        </w:rPr>
      </w:pPr>
      <w:r>
        <w:rPr>
          <w:rFonts w:hint="eastAsia" w:ascii="仿宋" w:hAnsi="仿宋" w:eastAsia="仿宋"/>
          <w:b/>
          <w:bCs/>
          <w:color w:val="000000"/>
          <w:sz w:val="48"/>
          <w:szCs w:val="48"/>
          <w:highlight w:val="none"/>
        </w:rPr>
        <w:t>陇川县人民医院采购医疗设备</w:t>
      </w:r>
    </w:p>
    <w:p w14:paraId="412D4618">
      <w:pPr>
        <w:spacing w:line="360" w:lineRule="auto"/>
        <w:jc w:val="center"/>
        <w:rPr>
          <w:rFonts w:ascii="仿宋" w:hAnsi="仿宋" w:eastAsia="仿宋"/>
          <w:b/>
          <w:bCs/>
          <w:color w:val="000000"/>
          <w:sz w:val="48"/>
          <w:szCs w:val="48"/>
          <w:highlight w:val="none"/>
        </w:rPr>
      </w:pPr>
      <w:r>
        <w:rPr>
          <w:rFonts w:hint="eastAsia" w:ascii="仿宋" w:hAnsi="仿宋" w:eastAsia="仿宋"/>
          <w:b/>
          <w:bCs/>
          <w:color w:val="000000"/>
          <w:sz w:val="48"/>
          <w:szCs w:val="48"/>
          <w:highlight w:val="none"/>
        </w:rPr>
        <w:t>维护保修服务项目</w:t>
      </w:r>
    </w:p>
    <w:p w14:paraId="4783C72E">
      <w:pPr>
        <w:jc w:val="center"/>
        <w:rPr>
          <w:rFonts w:ascii="仿宋" w:hAnsi="仿宋" w:eastAsia="仿宋"/>
          <w:b/>
          <w:bCs/>
          <w:color w:val="000000"/>
          <w:sz w:val="52"/>
          <w:szCs w:val="52"/>
          <w:highlight w:val="none"/>
        </w:rPr>
      </w:pPr>
      <w:r>
        <w:rPr>
          <w:rFonts w:hint="eastAsia" w:ascii="仿宋" w:hAnsi="仿宋" w:eastAsia="仿宋"/>
          <w:b/>
          <w:bCs/>
          <w:color w:val="000000"/>
          <w:sz w:val="52"/>
          <w:szCs w:val="52"/>
          <w:highlight w:val="none"/>
        </w:rPr>
        <w:t xml:space="preserve"> </w:t>
      </w:r>
    </w:p>
    <w:p w14:paraId="5F696A3A">
      <w:pPr>
        <w:jc w:val="center"/>
        <w:rPr>
          <w:rFonts w:ascii="仿宋" w:hAnsi="仿宋" w:eastAsia="仿宋"/>
          <w:b/>
          <w:bCs/>
          <w:color w:val="000000"/>
          <w:sz w:val="52"/>
          <w:szCs w:val="52"/>
          <w:highlight w:val="none"/>
        </w:rPr>
      </w:pPr>
      <w:r>
        <w:rPr>
          <w:rFonts w:hint="eastAsia" w:ascii="仿宋" w:hAnsi="仿宋" w:eastAsia="仿宋"/>
          <w:b/>
          <w:bCs/>
          <w:color w:val="000000"/>
          <w:sz w:val="52"/>
          <w:szCs w:val="52"/>
          <w:highlight w:val="none"/>
        </w:rPr>
        <w:t xml:space="preserve">  </w:t>
      </w:r>
    </w:p>
    <w:p w14:paraId="2056DB1F">
      <w:pPr>
        <w:jc w:val="center"/>
        <w:rPr>
          <w:rFonts w:ascii="仿宋" w:hAnsi="仿宋" w:eastAsia="仿宋"/>
          <w:b/>
          <w:bCs/>
          <w:color w:val="000000"/>
          <w:sz w:val="72"/>
          <w:szCs w:val="72"/>
          <w:highlight w:val="none"/>
        </w:rPr>
      </w:pPr>
    </w:p>
    <w:p w14:paraId="4285FD29">
      <w:pPr>
        <w:jc w:val="center"/>
        <w:rPr>
          <w:rFonts w:ascii="仿宋" w:hAnsi="仿宋" w:eastAsia="仿宋"/>
          <w:b/>
          <w:bCs/>
          <w:color w:val="000000"/>
          <w:sz w:val="72"/>
          <w:szCs w:val="72"/>
          <w:highlight w:val="none"/>
        </w:rPr>
      </w:pPr>
    </w:p>
    <w:p w14:paraId="0D02B78E">
      <w:pPr>
        <w:jc w:val="center"/>
        <w:rPr>
          <w:rFonts w:ascii="仿宋" w:hAnsi="仿宋" w:eastAsia="仿宋"/>
          <w:b/>
          <w:bCs/>
          <w:color w:val="000000"/>
          <w:sz w:val="52"/>
          <w:szCs w:val="52"/>
          <w:highlight w:val="none"/>
        </w:rPr>
      </w:pPr>
      <w:r>
        <w:rPr>
          <w:rFonts w:hint="eastAsia" w:ascii="仿宋" w:hAnsi="仿宋" w:eastAsia="仿宋"/>
          <w:b/>
          <w:bCs/>
          <w:color w:val="000000"/>
          <w:sz w:val="72"/>
          <w:szCs w:val="72"/>
          <w:highlight w:val="none"/>
        </w:rPr>
        <w:t>招标文件</w:t>
      </w:r>
    </w:p>
    <w:p w14:paraId="33E7E14C">
      <w:pPr>
        <w:ind w:firstLine="1303" w:firstLineChars="543"/>
        <w:rPr>
          <w:rFonts w:ascii="仿宋" w:hAnsi="仿宋" w:eastAsia="仿宋"/>
          <w:bCs/>
          <w:color w:val="000000"/>
          <w:sz w:val="24"/>
          <w:szCs w:val="24"/>
          <w:highlight w:val="none"/>
        </w:rPr>
      </w:pPr>
      <w:r>
        <w:rPr>
          <w:rFonts w:hint="eastAsia" w:ascii="仿宋" w:hAnsi="仿宋" w:eastAsia="仿宋"/>
          <w:bCs/>
          <w:color w:val="000000"/>
          <w:sz w:val="24"/>
          <w:szCs w:val="24"/>
          <w:highlight w:val="none"/>
        </w:rPr>
        <w:tab/>
      </w:r>
    </w:p>
    <w:p w14:paraId="2C3B7463">
      <w:pPr>
        <w:ind w:firstLine="1303" w:firstLineChars="543"/>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37EF7832">
      <w:pPr>
        <w:spacing w:line="46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 </w:t>
      </w:r>
    </w:p>
    <w:p w14:paraId="1AB0CFBE">
      <w:pPr>
        <w:spacing w:line="46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 </w:t>
      </w:r>
    </w:p>
    <w:p w14:paraId="6983E85D">
      <w:pPr>
        <w:spacing w:line="46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 </w:t>
      </w:r>
    </w:p>
    <w:p w14:paraId="2A718746">
      <w:pPr>
        <w:spacing w:line="460" w:lineRule="exac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 </w:t>
      </w:r>
    </w:p>
    <w:p w14:paraId="00F858F4">
      <w:pPr>
        <w:autoSpaceDE w:val="0"/>
        <w:spacing w:line="720" w:lineRule="auto"/>
        <w:rPr>
          <w:rFonts w:ascii="仿宋" w:hAnsi="仿宋" w:eastAsia="仿宋"/>
          <w:b/>
          <w:color w:val="000000"/>
          <w:sz w:val="30"/>
          <w:szCs w:val="30"/>
          <w:highlight w:val="none"/>
        </w:rPr>
      </w:pPr>
    </w:p>
    <w:p w14:paraId="439DB217">
      <w:pPr>
        <w:autoSpaceDE w:val="0"/>
        <w:spacing w:line="600" w:lineRule="auto"/>
        <w:ind w:firstLine="602" w:firstLineChars="200"/>
        <w:outlineLvl w:val="0"/>
        <w:rPr>
          <w:rFonts w:ascii="仿宋" w:hAnsi="仿宋" w:eastAsia="仿宋"/>
          <w:b/>
          <w:color w:val="000000"/>
          <w:sz w:val="30"/>
          <w:szCs w:val="30"/>
          <w:highlight w:val="none"/>
        </w:rPr>
      </w:pPr>
      <w:r>
        <w:rPr>
          <w:rFonts w:hint="eastAsia" w:ascii="仿宋" w:hAnsi="仿宋" w:eastAsia="仿宋"/>
          <w:b/>
          <w:color w:val="000000"/>
          <w:sz w:val="30"/>
          <w:szCs w:val="30"/>
          <w:highlight w:val="none"/>
        </w:rPr>
        <w:t>招标编号：德润招（2024）-160</w:t>
      </w:r>
    </w:p>
    <w:p w14:paraId="4CEDF8EA">
      <w:pPr>
        <w:autoSpaceDE w:val="0"/>
        <w:spacing w:line="600" w:lineRule="auto"/>
        <w:ind w:firstLine="602" w:firstLineChars="200"/>
        <w:outlineLvl w:val="0"/>
        <w:rPr>
          <w:rFonts w:ascii="仿宋" w:hAnsi="仿宋" w:eastAsia="仿宋"/>
          <w:b/>
          <w:color w:val="000000"/>
          <w:sz w:val="30"/>
          <w:szCs w:val="30"/>
          <w:highlight w:val="none"/>
        </w:rPr>
      </w:pPr>
      <w:r>
        <w:rPr>
          <w:rFonts w:hint="eastAsia" w:ascii="仿宋" w:hAnsi="仿宋" w:eastAsia="仿宋"/>
          <w:b/>
          <w:color w:val="000000"/>
          <w:sz w:val="30"/>
          <w:szCs w:val="30"/>
          <w:highlight w:val="none"/>
        </w:rPr>
        <w:t>采购单位(公章）:陇川县人民医院</w:t>
      </w:r>
    </w:p>
    <w:p w14:paraId="17FAE08D">
      <w:pPr>
        <w:spacing w:line="600" w:lineRule="auto"/>
        <w:ind w:firstLine="602" w:firstLineChars="200"/>
        <w:rPr>
          <w:rFonts w:ascii="宋体" w:hAnsi="宋体"/>
          <w:b/>
          <w:bCs/>
          <w:sz w:val="44"/>
          <w:szCs w:val="44"/>
          <w:highlight w:val="none"/>
        </w:rPr>
      </w:pPr>
      <w:r>
        <w:rPr>
          <w:rFonts w:hint="eastAsia" w:ascii="仿宋" w:hAnsi="仿宋" w:eastAsia="仿宋"/>
          <w:b/>
          <w:color w:val="000000"/>
          <w:sz w:val="30"/>
          <w:szCs w:val="30"/>
          <w:highlight w:val="none"/>
        </w:rPr>
        <w:t>采购代理机构（公章）：德宏州润宇招标代理有限公司</w:t>
      </w:r>
    </w:p>
    <w:p w14:paraId="4E21201A">
      <w:pPr>
        <w:spacing w:line="600" w:lineRule="auto"/>
        <w:jc w:val="center"/>
        <w:rPr>
          <w:rFonts w:ascii="宋体" w:hAnsi="宋体"/>
          <w:b/>
          <w:bCs/>
          <w:sz w:val="44"/>
          <w:szCs w:val="44"/>
          <w:highlight w:val="none"/>
        </w:rPr>
        <w:sectPr>
          <w:footerReference r:id="rId3" w:type="default"/>
          <w:pgSz w:w="11922" w:h="16838"/>
          <w:pgMar w:top="1355" w:right="1321" w:bottom="1355" w:left="1321" w:header="850" w:footer="964" w:gutter="0"/>
          <w:pgNumType w:start="1"/>
          <w:cols w:space="720" w:num="1"/>
          <w:docGrid w:linePitch="312" w:charSpace="0"/>
        </w:sectPr>
      </w:pPr>
    </w:p>
    <w:sdt>
      <w:sdtPr>
        <w:rPr>
          <w:rFonts w:ascii="宋体" w:hAnsi="宋体"/>
          <w:b/>
          <w:bCs/>
          <w:sz w:val="44"/>
          <w:szCs w:val="44"/>
          <w:highlight w:val="none"/>
        </w:rPr>
        <w:id w:val="147469939"/>
        <w:docPartObj>
          <w:docPartGallery w:val="Table of Contents"/>
          <w:docPartUnique/>
        </w:docPartObj>
      </w:sdtPr>
      <w:sdtEndPr>
        <w:rPr>
          <w:rFonts w:ascii="仿宋" w:hAnsi="仿宋" w:eastAsia="仿宋" w:cs="宋体"/>
          <w:b/>
          <w:bCs/>
          <w:color w:val="000000"/>
          <w:sz w:val="21"/>
          <w:szCs w:val="21"/>
          <w:highlight w:val="none"/>
        </w:rPr>
      </w:sdtEndPr>
      <w:sdtContent>
        <w:p w14:paraId="6F7B0A50">
          <w:pPr>
            <w:jc w:val="center"/>
            <w:rPr>
              <w:rFonts w:ascii="仿宋" w:hAnsi="仿宋" w:eastAsia="仿宋" w:cs="仿宋"/>
              <w:b/>
              <w:bCs/>
              <w:sz w:val="44"/>
              <w:szCs w:val="44"/>
              <w:highlight w:val="none"/>
            </w:rPr>
          </w:pPr>
          <w:r>
            <w:rPr>
              <w:rFonts w:hint="eastAsia" w:ascii="仿宋" w:hAnsi="仿宋" w:eastAsia="仿宋" w:cs="仿宋"/>
              <w:b/>
              <w:bCs/>
              <w:sz w:val="32"/>
              <w:szCs w:val="32"/>
              <w:highlight w:val="none"/>
            </w:rPr>
            <w:t>目录</w:t>
          </w:r>
        </w:p>
        <w:p w14:paraId="16C614BF">
          <w:pPr>
            <w:pStyle w:val="44"/>
            <w:tabs>
              <w:tab w:val="right" w:leader="dot" w:pos="9280"/>
            </w:tabs>
            <w:rPr>
              <w:rFonts w:ascii="仿宋" w:hAnsi="仿宋" w:eastAsia="仿宋" w:cs="仿宋"/>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TOC \o "1-1" \h \u </w:instrText>
          </w:r>
          <w:r>
            <w:rPr>
              <w:rFonts w:hint="eastAsia" w:ascii="仿宋" w:hAnsi="仿宋" w:eastAsia="仿宋" w:cs="仿宋"/>
              <w:color w:val="000000"/>
              <w:sz w:val="28"/>
              <w:szCs w:val="28"/>
              <w:highlight w:val="none"/>
            </w:rPr>
            <w:fldChar w:fldCharType="separate"/>
          </w:r>
        </w:p>
        <w:p w14:paraId="47BBFC1B">
          <w:pPr>
            <w:pStyle w:val="44"/>
            <w:tabs>
              <w:tab w:val="right" w:leader="dot" w:pos="9280"/>
            </w:tabs>
            <w:spacing w:line="360" w:lineRule="auto"/>
            <w:rPr>
              <w:rFonts w:ascii="仿宋" w:hAnsi="仿宋" w:eastAsia="仿宋" w:cs="仿宋"/>
              <w:sz w:val="28"/>
              <w:szCs w:val="28"/>
              <w:highlight w:val="none"/>
            </w:rPr>
          </w:pPr>
          <w:r>
            <w:rPr>
              <w:highlight w:val="none"/>
            </w:rPr>
            <w:fldChar w:fldCharType="begin"/>
          </w:r>
          <w:r>
            <w:rPr>
              <w:highlight w:val="none"/>
            </w:rPr>
            <w:instrText xml:space="preserve"> HYPERLINK \l "_Toc6280" </w:instrText>
          </w:r>
          <w:r>
            <w:rPr>
              <w:highlight w:val="none"/>
            </w:rPr>
            <w:fldChar w:fldCharType="separate"/>
          </w:r>
          <w:r>
            <w:rPr>
              <w:rFonts w:hint="eastAsia" w:ascii="仿宋" w:hAnsi="仿宋" w:eastAsia="仿宋" w:cs="仿宋"/>
              <w:bCs/>
              <w:caps/>
              <w:sz w:val="28"/>
              <w:szCs w:val="28"/>
              <w:highlight w:val="none"/>
            </w:rPr>
            <w:t>第一章  招标公告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_Toc6280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t xml:space="preserve"> -</w:t>
          </w:r>
        </w:p>
        <w:p w14:paraId="70C2F998">
          <w:pPr>
            <w:pStyle w:val="44"/>
            <w:tabs>
              <w:tab w:val="right" w:leader="dot" w:pos="9280"/>
            </w:tabs>
            <w:spacing w:line="360" w:lineRule="auto"/>
            <w:rPr>
              <w:rFonts w:ascii="仿宋" w:hAnsi="仿宋" w:eastAsia="仿宋" w:cs="仿宋"/>
              <w:sz w:val="28"/>
              <w:szCs w:val="28"/>
              <w:highlight w:val="none"/>
            </w:rPr>
          </w:pPr>
          <w:r>
            <w:rPr>
              <w:highlight w:val="none"/>
            </w:rPr>
            <w:fldChar w:fldCharType="begin"/>
          </w:r>
          <w:r>
            <w:rPr>
              <w:highlight w:val="none"/>
            </w:rPr>
            <w:instrText xml:space="preserve"> HYPERLINK \l "_Toc14399" </w:instrText>
          </w:r>
          <w:r>
            <w:rPr>
              <w:highlight w:val="none"/>
            </w:rPr>
            <w:fldChar w:fldCharType="separate"/>
          </w:r>
          <w:r>
            <w:rPr>
              <w:rFonts w:hint="eastAsia" w:ascii="仿宋" w:hAnsi="仿宋" w:eastAsia="仿宋" w:cs="仿宋"/>
              <w:bCs/>
              <w:caps/>
              <w:sz w:val="28"/>
              <w:szCs w:val="28"/>
              <w:highlight w:val="none"/>
            </w:rPr>
            <w:t>第二章  投标人须知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t>- 6</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t xml:space="preserve"> -</w:t>
          </w:r>
        </w:p>
        <w:p w14:paraId="12F3DB2C">
          <w:pPr>
            <w:pStyle w:val="44"/>
            <w:tabs>
              <w:tab w:val="right" w:leader="dot" w:pos="9280"/>
            </w:tabs>
            <w:spacing w:line="360" w:lineRule="auto"/>
            <w:rPr>
              <w:rFonts w:ascii="仿宋" w:hAnsi="仿宋" w:eastAsia="仿宋" w:cs="仿宋"/>
              <w:sz w:val="28"/>
              <w:szCs w:val="28"/>
              <w:highlight w:val="none"/>
            </w:rPr>
          </w:pPr>
          <w:r>
            <w:rPr>
              <w:highlight w:val="none"/>
            </w:rPr>
            <w:fldChar w:fldCharType="begin"/>
          </w:r>
          <w:r>
            <w:rPr>
              <w:highlight w:val="none"/>
            </w:rPr>
            <w:instrText xml:space="preserve"> HYPERLINK \l "_Toc6120" </w:instrText>
          </w:r>
          <w:r>
            <w:rPr>
              <w:highlight w:val="none"/>
            </w:rPr>
            <w:fldChar w:fldCharType="separate"/>
          </w:r>
          <w:r>
            <w:rPr>
              <w:rFonts w:hint="eastAsia" w:ascii="仿宋" w:hAnsi="仿宋" w:eastAsia="仿宋" w:cs="仿宋"/>
              <w:caps/>
              <w:sz w:val="28"/>
              <w:szCs w:val="28"/>
              <w:highlight w:val="none"/>
            </w:rPr>
            <w:t>第三章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_Toc6120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23</w: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t xml:space="preserve"> -</w:t>
          </w:r>
        </w:p>
        <w:p w14:paraId="1C3C7EF9">
          <w:pPr>
            <w:pStyle w:val="44"/>
            <w:tabs>
              <w:tab w:val="right" w:leader="dot" w:pos="9280"/>
            </w:tabs>
            <w:spacing w:line="360" w:lineRule="auto"/>
            <w:rPr>
              <w:rFonts w:ascii="仿宋" w:hAnsi="仿宋" w:eastAsia="仿宋" w:cs="仿宋"/>
              <w:sz w:val="28"/>
              <w:szCs w:val="28"/>
              <w:highlight w:val="none"/>
            </w:rPr>
          </w:pPr>
          <w:r>
            <w:rPr>
              <w:highlight w:val="none"/>
            </w:rPr>
            <w:fldChar w:fldCharType="begin"/>
          </w:r>
          <w:r>
            <w:rPr>
              <w:highlight w:val="none"/>
            </w:rPr>
            <w:instrText xml:space="preserve"> HYPERLINK \l "_Toc15006" </w:instrText>
          </w:r>
          <w:r>
            <w:rPr>
              <w:highlight w:val="none"/>
            </w:rPr>
            <w:fldChar w:fldCharType="separate"/>
          </w:r>
          <w:r>
            <w:rPr>
              <w:rFonts w:hint="eastAsia" w:ascii="仿宋" w:hAnsi="仿宋" w:eastAsia="仿宋" w:cs="仿宋"/>
              <w:bCs/>
              <w:caps/>
              <w:sz w:val="28"/>
              <w:szCs w:val="28"/>
              <w:highlight w:val="none"/>
            </w:rPr>
            <w:t>第四章  评标办法（综合评分法）</w:t>
          </w:r>
          <w:r>
            <w:rPr>
              <w:rFonts w:hint="eastAsia" w:ascii="仿宋" w:hAnsi="仿宋" w:eastAsia="仿宋" w:cs="仿宋"/>
              <w:sz w:val="28"/>
              <w:szCs w:val="28"/>
              <w:highlight w:val="none"/>
            </w:rPr>
            <w:tab/>
          </w:r>
          <w:r>
            <w:rPr>
              <w:rFonts w:hint="eastAsia" w:ascii="仿宋" w:hAnsi="仿宋" w:eastAsia="仿宋" w:cs="仿宋"/>
              <w:sz w:val="28"/>
              <w:szCs w:val="28"/>
              <w:highlight w:val="none"/>
            </w:rPr>
            <w:t>- 3</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t>5 -</w:t>
          </w:r>
        </w:p>
        <w:p w14:paraId="4C694103">
          <w:pPr>
            <w:pStyle w:val="44"/>
            <w:tabs>
              <w:tab w:val="right" w:leader="dot" w:pos="9280"/>
            </w:tabs>
            <w:spacing w:line="360" w:lineRule="auto"/>
            <w:rPr>
              <w:rFonts w:ascii="仿宋" w:hAnsi="仿宋" w:eastAsia="仿宋" w:cs="仿宋"/>
              <w:sz w:val="28"/>
              <w:szCs w:val="28"/>
              <w:highlight w:val="none"/>
            </w:rPr>
          </w:pPr>
          <w:r>
            <w:rPr>
              <w:highlight w:val="none"/>
            </w:rPr>
            <w:fldChar w:fldCharType="begin"/>
          </w:r>
          <w:r>
            <w:rPr>
              <w:highlight w:val="none"/>
            </w:rPr>
            <w:instrText xml:space="preserve"> HYPERLINK \l "_Toc25434" </w:instrText>
          </w:r>
          <w:r>
            <w:rPr>
              <w:highlight w:val="none"/>
            </w:rPr>
            <w:fldChar w:fldCharType="separate"/>
          </w:r>
          <w:r>
            <w:rPr>
              <w:rFonts w:hint="eastAsia" w:ascii="仿宋" w:hAnsi="仿宋" w:eastAsia="仿宋" w:cs="仿宋"/>
              <w:caps/>
              <w:sz w:val="28"/>
              <w:szCs w:val="28"/>
              <w:highlight w:val="none"/>
            </w:rPr>
            <w:t xml:space="preserve">第五章  </w:t>
          </w:r>
          <w:r>
            <w:rPr>
              <w:rFonts w:hint="eastAsia" w:ascii="仿宋" w:hAnsi="仿宋" w:eastAsia="仿宋" w:cs="仿宋"/>
              <w:bCs/>
              <w:sz w:val="28"/>
              <w:szCs w:val="28"/>
              <w:highlight w:val="none"/>
            </w:rPr>
            <w:t>合同条款及合同书样式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t>- 4</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t>1 -</w:t>
          </w:r>
        </w:p>
        <w:p w14:paraId="44634196">
          <w:pPr>
            <w:pStyle w:val="44"/>
            <w:tabs>
              <w:tab w:val="right" w:leader="dot" w:pos="9280"/>
            </w:tabs>
            <w:spacing w:line="360" w:lineRule="auto"/>
            <w:rPr>
              <w:rFonts w:ascii="仿宋" w:hAnsi="仿宋" w:eastAsia="仿宋" w:cs="仿宋"/>
              <w:sz w:val="28"/>
              <w:szCs w:val="28"/>
              <w:highlight w:val="none"/>
            </w:rPr>
          </w:pPr>
          <w:r>
            <w:rPr>
              <w:highlight w:val="none"/>
            </w:rPr>
            <w:fldChar w:fldCharType="begin"/>
          </w:r>
          <w:r>
            <w:rPr>
              <w:highlight w:val="none"/>
            </w:rPr>
            <w:instrText xml:space="preserve"> HYPERLINK \l "_Toc30922" </w:instrText>
          </w:r>
          <w:r>
            <w:rPr>
              <w:highlight w:val="none"/>
            </w:rPr>
            <w:fldChar w:fldCharType="separate"/>
          </w:r>
          <w:r>
            <w:rPr>
              <w:rFonts w:hint="eastAsia" w:ascii="仿宋" w:hAnsi="仿宋" w:eastAsia="仿宋" w:cs="仿宋"/>
              <w:bCs/>
              <w:caps/>
              <w:sz w:val="28"/>
              <w:szCs w:val="28"/>
              <w:highlight w:val="none"/>
            </w:rPr>
            <w:t>第六章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fldChar w:fldCharType="end"/>
          </w:r>
          <w:r>
            <w:rPr>
              <w:rFonts w:hint="eastAsia" w:ascii="仿宋" w:hAnsi="仿宋" w:eastAsia="仿宋" w:cs="仿宋"/>
              <w:color w:val="000000"/>
              <w:sz w:val="28"/>
              <w:szCs w:val="28"/>
              <w:highlight w:val="none"/>
            </w:rPr>
            <w:t xml:space="preserve">47 - </w:t>
          </w:r>
        </w:p>
        <w:p w14:paraId="0A8A0740">
          <w:pPr>
            <w:widowControl/>
            <w:jc w:val="left"/>
            <w:rPr>
              <w:rFonts w:ascii="仿宋" w:hAnsi="仿宋" w:eastAsia="仿宋" w:cs="宋体"/>
              <w:color w:val="000000"/>
              <w:highlight w:val="none"/>
            </w:rPr>
            <w:sectPr>
              <w:footerReference r:id="rId4" w:type="default"/>
              <w:pgSz w:w="11922" w:h="16838"/>
              <w:pgMar w:top="1355" w:right="1321" w:bottom="1355" w:left="1321" w:header="850" w:footer="964" w:gutter="0"/>
              <w:pgNumType w:start="1"/>
              <w:cols w:space="720" w:num="1"/>
              <w:docGrid w:linePitch="312" w:charSpace="0"/>
            </w:sectPr>
          </w:pPr>
          <w:r>
            <w:rPr>
              <w:rFonts w:hint="eastAsia" w:ascii="仿宋" w:hAnsi="仿宋" w:eastAsia="仿宋" w:cs="仿宋"/>
              <w:color w:val="000000"/>
              <w:sz w:val="28"/>
              <w:szCs w:val="28"/>
              <w:highlight w:val="none"/>
            </w:rPr>
            <w:fldChar w:fldCharType="end"/>
          </w:r>
        </w:p>
      </w:sdtContent>
    </w:sdt>
    <w:p w14:paraId="0F21EA1A">
      <w:pPr>
        <w:autoSpaceDE w:val="0"/>
        <w:spacing w:line="360" w:lineRule="auto"/>
        <w:jc w:val="center"/>
        <w:outlineLvl w:val="0"/>
        <w:rPr>
          <w:rFonts w:ascii="仿宋" w:hAnsi="仿宋" w:eastAsia="仿宋" w:cs="仿宋"/>
          <w:b/>
          <w:bCs/>
          <w:caps/>
          <w:color w:val="000000"/>
          <w:sz w:val="32"/>
          <w:szCs w:val="32"/>
          <w:highlight w:val="none"/>
        </w:rPr>
      </w:pPr>
      <w:bookmarkStart w:id="3" w:name="_Toc1957"/>
      <w:bookmarkEnd w:id="3"/>
      <w:bookmarkStart w:id="4" w:name="_Toc427678297"/>
      <w:bookmarkStart w:id="5" w:name="_Toc6280"/>
      <w:r>
        <w:rPr>
          <w:rFonts w:hint="eastAsia" w:ascii="仿宋" w:hAnsi="仿宋" w:eastAsia="仿宋" w:cs="仿宋"/>
          <w:b/>
          <w:bCs/>
          <w:caps/>
          <w:color w:val="000000"/>
          <w:sz w:val="32"/>
          <w:szCs w:val="32"/>
          <w:highlight w:val="none"/>
        </w:rPr>
        <w:t xml:space="preserve">第一章  </w:t>
      </w:r>
      <w:bookmarkEnd w:id="4"/>
      <w:r>
        <w:rPr>
          <w:rFonts w:hint="eastAsia" w:ascii="仿宋" w:hAnsi="仿宋" w:eastAsia="仿宋" w:cs="仿宋"/>
          <w:b/>
          <w:bCs/>
          <w:caps/>
          <w:color w:val="000000"/>
          <w:sz w:val="32"/>
          <w:szCs w:val="32"/>
          <w:highlight w:val="none"/>
        </w:rPr>
        <w:t>招标公告</w:t>
      </w:r>
      <w:bookmarkEnd w:id="5"/>
    </w:p>
    <w:p w14:paraId="4F9E598A">
      <w:pPr>
        <w:pBdr>
          <w:top w:val="single" w:color="auto" w:sz="4" w:space="1"/>
          <w:left w:val="single" w:color="auto" w:sz="4" w:space="4"/>
          <w:bottom w:val="single" w:color="auto" w:sz="4" w:space="1"/>
          <w:right w:val="single" w:color="auto" w:sz="4" w:space="4"/>
        </w:pBdr>
        <w:autoSpaceDE w:val="0"/>
        <w:spacing w:line="360" w:lineRule="auto"/>
        <w:ind w:firstLine="480" w:firstLineChars="200"/>
        <w:rPr>
          <w:rFonts w:ascii="仿宋" w:hAnsi="仿宋" w:eastAsia="仿宋" w:cs="仿宋"/>
          <w:color w:val="000000"/>
          <w:sz w:val="24"/>
          <w:szCs w:val="24"/>
          <w:highlight w:val="none"/>
        </w:rPr>
      </w:pPr>
      <w:bookmarkStart w:id="6" w:name="_Toc277776488"/>
      <w:bookmarkEnd w:id="6"/>
      <w:bookmarkStart w:id="7" w:name="_Toc9497710"/>
      <w:bookmarkEnd w:id="7"/>
      <w:bookmarkStart w:id="8" w:name="_Toc427678298"/>
      <w:bookmarkEnd w:id="8"/>
      <w:r>
        <w:rPr>
          <w:rFonts w:hint="eastAsia" w:ascii="仿宋" w:hAnsi="仿宋" w:eastAsia="仿宋" w:cs="仿宋"/>
          <w:color w:val="000000"/>
          <w:sz w:val="24"/>
          <w:szCs w:val="24"/>
          <w:highlight w:val="none"/>
        </w:rPr>
        <w:t>陇川县人民医院采购医疗设备维护保修服务项目的潜在投标人应进入政采云平台（https://www.zcygov.cn/）获取（下载）招标文件，并于</w:t>
      </w:r>
      <w:r>
        <w:rPr>
          <w:rFonts w:hint="eastAsia" w:ascii="仿宋" w:hAnsi="仿宋" w:eastAsia="仿宋" w:cs="仿宋"/>
          <w:sz w:val="24"/>
          <w:szCs w:val="24"/>
          <w:highlight w:val="none"/>
        </w:rPr>
        <w:t>2024年12月</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日15：00</w:t>
      </w:r>
      <w:r>
        <w:rPr>
          <w:rFonts w:hint="eastAsia" w:ascii="仿宋" w:hAnsi="仿宋" w:eastAsia="仿宋" w:cs="仿宋"/>
          <w:sz w:val="24"/>
          <w:szCs w:val="24"/>
          <w:highlight w:val="none"/>
        </w:rPr>
        <w:t>分</w:t>
      </w:r>
      <w:r>
        <w:rPr>
          <w:rFonts w:hint="eastAsia" w:ascii="仿宋" w:hAnsi="仿宋" w:eastAsia="仿宋" w:cs="仿宋"/>
          <w:color w:val="000000"/>
          <w:sz w:val="24"/>
          <w:szCs w:val="24"/>
          <w:highlight w:val="none"/>
        </w:rPr>
        <w:t>（北京时间）前提交投标文件。</w:t>
      </w:r>
    </w:p>
    <w:p w14:paraId="106034A1">
      <w:pPr>
        <w:pStyle w:val="3"/>
        <w:keepLines w:val="0"/>
        <w:autoSpaceDE w:val="0"/>
        <w:spacing w:before="0" w:after="0" w:line="360" w:lineRule="auto"/>
        <w:rPr>
          <w:rFonts w:ascii="仿宋" w:hAnsi="仿宋" w:eastAsia="仿宋" w:cs="仿宋"/>
          <w:bCs/>
          <w:color w:val="000000"/>
          <w:sz w:val="24"/>
          <w:szCs w:val="24"/>
          <w:highlight w:val="none"/>
        </w:rPr>
      </w:pPr>
      <w:bookmarkStart w:id="9" w:name="_Toc28359089"/>
      <w:bookmarkEnd w:id="9"/>
      <w:bookmarkStart w:id="10" w:name="_Toc35393629"/>
      <w:bookmarkEnd w:id="10"/>
      <w:bookmarkStart w:id="11" w:name="_Toc28359012"/>
      <w:bookmarkEnd w:id="11"/>
      <w:bookmarkStart w:id="12" w:name="_Toc35393798"/>
      <w:r>
        <w:rPr>
          <w:rFonts w:hint="eastAsia" w:ascii="仿宋" w:hAnsi="仿宋" w:eastAsia="仿宋" w:cs="仿宋"/>
          <w:bCs/>
          <w:color w:val="000000"/>
          <w:sz w:val="24"/>
          <w:szCs w:val="24"/>
          <w:highlight w:val="none"/>
        </w:rPr>
        <w:t>一、项目基本情况</w:t>
      </w:r>
      <w:bookmarkEnd w:id="12"/>
    </w:p>
    <w:p w14:paraId="0EAE26C0">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1.项目名称：陇川县人民医院采购医疗设备维护保修服务项目；</w:t>
      </w:r>
    </w:p>
    <w:p w14:paraId="719AF4BB">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2.招标编号：德润招（2024）-160；</w:t>
      </w:r>
    </w:p>
    <w:p w14:paraId="73F89135">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3.采购方式：公开招标； </w:t>
      </w:r>
    </w:p>
    <w:p w14:paraId="4326DAF2">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4.预算金额：240万元/年；</w:t>
      </w:r>
    </w:p>
    <w:p w14:paraId="4ACFAD50">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5.最高限价：210万元/年；</w:t>
      </w:r>
    </w:p>
    <w:p w14:paraId="470340CF">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6.采购需求</w:t>
      </w:r>
      <w:r>
        <w:rPr>
          <w:rFonts w:hint="eastAsia" w:ascii="仿宋" w:hAnsi="仿宋" w:eastAsia="仿宋" w:cs="仿宋"/>
          <w:color w:val="000000"/>
          <w:sz w:val="24"/>
          <w:szCs w:val="24"/>
          <w:highlight w:val="none"/>
        </w:rPr>
        <w:t>：</w:t>
      </w:r>
      <w:r>
        <w:rPr>
          <w:rFonts w:hint="eastAsia" w:ascii="仿宋" w:hAnsi="仿宋" w:eastAsia="仿宋" w:cs="仿宋"/>
          <w:bCs/>
          <w:sz w:val="24"/>
          <w:szCs w:val="24"/>
          <w:highlight w:val="none"/>
        </w:rPr>
        <w:t>陇川县人民医院及11家医共体分院医疗设备维护保修服务</w:t>
      </w:r>
      <w:r>
        <w:rPr>
          <w:rFonts w:hint="eastAsia" w:ascii="仿宋" w:hAnsi="仿宋" w:eastAsia="仿宋" w:cs="仿宋"/>
          <w:color w:val="000000"/>
          <w:sz w:val="24"/>
          <w:szCs w:val="24"/>
          <w:highlight w:val="none"/>
        </w:rPr>
        <w:t>，具体</w:t>
      </w:r>
      <w:r>
        <w:rPr>
          <w:rFonts w:hint="eastAsia" w:ascii="仿宋" w:hAnsi="仿宋" w:eastAsia="仿宋" w:cs="仿宋"/>
          <w:color w:val="000000"/>
          <w:sz w:val="24"/>
          <w:szCs w:val="24"/>
          <w:highlight w:val="none"/>
        </w:rPr>
        <w:t>内容详见第三章采购需求；</w:t>
      </w:r>
    </w:p>
    <w:p w14:paraId="33C3B4B3">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7.合同履行期限：3年，合同一年一签</w:t>
      </w:r>
      <w:r>
        <w:rPr>
          <w:rFonts w:hint="eastAsia" w:ascii="仿宋" w:hAnsi="仿宋" w:eastAsia="仿宋" w:cs="仿宋"/>
          <w:color w:val="000000" w:themeColor="text1"/>
          <w:sz w:val="24"/>
          <w:szCs w:val="24"/>
          <w:highlight w:val="none"/>
        </w:rPr>
        <w:t>；</w:t>
      </w:r>
    </w:p>
    <w:p w14:paraId="698494F6">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8.本项目不接受联合体投标。</w:t>
      </w:r>
    </w:p>
    <w:p w14:paraId="247691BB">
      <w:pPr>
        <w:pStyle w:val="3"/>
        <w:autoSpaceDE w:val="0"/>
        <w:spacing w:before="0" w:after="0" w:line="360" w:lineRule="auto"/>
        <w:rPr>
          <w:rFonts w:ascii="仿宋" w:hAnsi="仿宋" w:eastAsia="仿宋" w:cs="仿宋"/>
          <w:bCs/>
          <w:color w:val="000000"/>
          <w:sz w:val="24"/>
          <w:szCs w:val="24"/>
          <w:highlight w:val="none"/>
        </w:rPr>
      </w:pPr>
      <w:bookmarkStart w:id="13" w:name="_Toc28359090"/>
      <w:bookmarkEnd w:id="13"/>
      <w:bookmarkStart w:id="14" w:name="_Toc35393630"/>
      <w:bookmarkEnd w:id="14"/>
      <w:bookmarkStart w:id="15" w:name="_Toc35393799"/>
      <w:bookmarkEnd w:id="15"/>
      <w:bookmarkStart w:id="16" w:name="_Toc28359013"/>
      <w:r>
        <w:rPr>
          <w:rFonts w:hint="eastAsia" w:ascii="仿宋" w:hAnsi="仿宋" w:eastAsia="仿宋" w:cs="仿宋"/>
          <w:bCs/>
          <w:color w:val="000000"/>
          <w:sz w:val="24"/>
          <w:szCs w:val="24"/>
          <w:highlight w:val="none"/>
        </w:rPr>
        <w:t>二、</w:t>
      </w:r>
      <w:bookmarkEnd w:id="16"/>
      <w:r>
        <w:rPr>
          <w:rFonts w:hint="eastAsia" w:ascii="仿宋" w:hAnsi="仿宋" w:eastAsia="仿宋" w:cs="仿宋"/>
          <w:bCs/>
          <w:color w:val="000000"/>
          <w:sz w:val="24"/>
          <w:szCs w:val="24"/>
          <w:highlight w:val="none"/>
        </w:rPr>
        <w:t>投标人资格要求：</w:t>
      </w:r>
    </w:p>
    <w:p w14:paraId="23C943AE">
      <w:pPr>
        <w:autoSpaceDE w:val="0"/>
        <w:spacing w:line="360" w:lineRule="auto"/>
        <w:ind w:firstLine="241" w:firstLineChars="100"/>
        <w:rPr>
          <w:rFonts w:ascii="仿宋" w:hAnsi="仿宋" w:eastAsia="仿宋" w:cs="仿宋"/>
          <w:b/>
          <w:bCs/>
          <w:color w:val="000000"/>
          <w:sz w:val="24"/>
          <w:szCs w:val="24"/>
          <w:highlight w:val="none"/>
        </w:rPr>
      </w:pPr>
      <w:bookmarkStart w:id="17" w:name="_Toc35393623"/>
      <w:bookmarkEnd w:id="17"/>
      <w:bookmarkStart w:id="18" w:name="_Toc35393792"/>
      <w:r>
        <w:rPr>
          <w:rFonts w:hint="eastAsia" w:ascii="仿宋" w:hAnsi="仿宋" w:eastAsia="仿宋" w:cs="仿宋"/>
          <w:b/>
          <w:bCs/>
          <w:color w:val="000000"/>
          <w:sz w:val="24"/>
          <w:szCs w:val="24"/>
          <w:highlight w:val="none"/>
        </w:rPr>
        <w:t>1.满足《中华人民共和国政府采购法》第二十二条规定：</w:t>
      </w:r>
      <w:bookmarkEnd w:id="18"/>
    </w:p>
    <w:p w14:paraId="51D1A894">
      <w:pPr>
        <w:autoSpaceDE w:val="0"/>
        <w:spacing w:line="360" w:lineRule="auto"/>
        <w:ind w:firstLine="243" w:firstLineChars="100"/>
        <w:rPr>
          <w:rFonts w:ascii="仿宋" w:hAnsi="仿宋" w:eastAsia="仿宋" w:cs="仿宋"/>
          <w:color w:val="000000"/>
          <w:kern w:val="0"/>
          <w:sz w:val="24"/>
          <w:szCs w:val="24"/>
          <w:highlight w:val="none"/>
        </w:rPr>
      </w:pPr>
      <w:r>
        <w:rPr>
          <w:rFonts w:hint="eastAsia" w:ascii="仿宋" w:hAnsi="仿宋" w:eastAsia="仿宋" w:cs="仿宋"/>
          <w:b/>
          <w:bCs/>
          <w:color w:val="000000"/>
          <w:spacing w:val="1"/>
          <w:sz w:val="24"/>
          <w:szCs w:val="24"/>
          <w:highlight w:val="none"/>
        </w:rPr>
        <w:t>（1）营业执照：</w:t>
      </w:r>
      <w:r>
        <w:rPr>
          <w:rFonts w:hint="eastAsia" w:ascii="仿宋" w:hAnsi="仿宋" w:eastAsia="仿宋" w:cs="仿宋"/>
          <w:color w:val="000000"/>
          <w:spacing w:val="1"/>
          <w:sz w:val="24"/>
          <w:szCs w:val="24"/>
          <w:highlight w:val="none"/>
        </w:rPr>
        <w:t>具有独立承担民事责任的能力，具备营业执照或事业单位法人证书或民办非企业单位登记证书或社会团体法人登记证书或基金会法人登记证书或自然人的身份证明。</w:t>
      </w:r>
    </w:p>
    <w:p w14:paraId="2F67FF2A">
      <w:pPr>
        <w:autoSpaceDE w:val="0"/>
        <w:spacing w:line="360" w:lineRule="auto"/>
        <w:ind w:firstLine="243" w:firstLineChars="100"/>
        <w:rPr>
          <w:rFonts w:ascii="仿宋" w:hAnsi="仿宋" w:eastAsia="仿宋" w:cs="仿宋"/>
          <w:caps/>
          <w:color w:val="000000"/>
          <w:sz w:val="24"/>
          <w:szCs w:val="24"/>
          <w:highlight w:val="none"/>
        </w:rPr>
      </w:pPr>
      <w:r>
        <w:rPr>
          <w:rFonts w:hint="eastAsia" w:ascii="仿宋" w:hAnsi="仿宋" w:eastAsia="仿宋" w:cs="仿宋"/>
          <w:b/>
          <w:bCs/>
          <w:color w:val="000000"/>
          <w:spacing w:val="1"/>
          <w:sz w:val="24"/>
          <w:szCs w:val="24"/>
          <w:highlight w:val="none"/>
        </w:rPr>
        <w:t>（2）财务要求：</w:t>
      </w:r>
      <w:r>
        <w:rPr>
          <w:rFonts w:hint="eastAsia" w:ascii="仿宋" w:hAnsi="仿宋" w:eastAsia="仿宋" w:cs="仿宋"/>
          <w:color w:val="000000"/>
          <w:sz w:val="24"/>
          <w:szCs w:val="24"/>
          <w:highlight w:val="none"/>
        </w:rPr>
        <w:t>提供投标人2023年度财务报表包括资产负债表、利润表、现金流量表，投标人成立不足一年的，无需提供。</w:t>
      </w:r>
    </w:p>
    <w:p w14:paraId="47F2DEAB">
      <w:pPr>
        <w:autoSpaceDE w:val="0"/>
        <w:spacing w:line="360" w:lineRule="auto"/>
        <w:ind w:firstLine="243" w:firstLineChars="100"/>
        <w:rPr>
          <w:rFonts w:ascii="仿宋" w:hAnsi="仿宋" w:eastAsia="仿宋" w:cs="仿宋"/>
          <w:color w:val="000000"/>
          <w:sz w:val="24"/>
          <w:szCs w:val="24"/>
          <w:highlight w:val="none"/>
        </w:rPr>
      </w:pPr>
      <w:r>
        <w:rPr>
          <w:rFonts w:hint="eastAsia" w:ascii="仿宋" w:hAnsi="仿宋" w:eastAsia="仿宋" w:cs="仿宋"/>
          <w:b/>
          <w:bCs/>
          <w:color w:val="000000"/>
          <w:spacing w:val="1"/>
          <w:sz w:val="24"/>
          <w:szCs w:val="24"/>
          <w:highlight w:val="none"/>
        </w:rPr>
        <w:t>（3）税收要求：</w:t>
      </w:r>
      <w:r>
        <w:rPr>
          <w:rFonts w:hint="eastAsia" w:ascii="仿宋" w:hAnsi="仿宋" w:eastAsia="仿宋" w:cs="仿宋"/>
          <w:color w:val="000000"/>
          <w:sz w:val="24"/>
          <w:szCs w:val="24"/>
          <w:highlight w:val="none"/>
        </w:rPr>
        <w:t>提供投标人缴税所属时间在2024年1月至本项目投标文件提交截止时间前任意1个月的税务局税收通用缴款书或银行电子缴税（费）凭证或税务局出具纳税情况的相关证明，依法免税的，应提供依法免税的相关证明文件；投标人成立不足一年的，无需提供。</w:t>
      </w:r>
    </w:p>
    <w:p w14:paraId="0425CDCC">
      <w:pPr>
        <w:autoSpaceDE w:val="0"/>
        <w:spacing w:line="360" w:lineRule="auto"/>
        <w:ind w:firstLine="243" w:firstLineChars="100"/>
        <w:rPr>
          <w:rFonts w:ascii="仿宋" w:hAnsi="仿宋" w:eastAsia="仿宋" w:cs="仿宋"/>
          <w:color w:val="000000"/>
          <w:sz w:val="24"/>
          <w:szCs w:val="24"/>
          <w:highlight w:val="none"/>
        </w:rPr>
      </w:pPr>
      <w:r>
        <w:rPr>
          <w:rFonts w:hint="eastAsia" w:ascii="仿宋" w:hAnsi="仿宋" w:eastAsia="仿宋" w:cs="仿宋"/>
          <w:b/>
          <w:bCs/>
          <w:color w:val="000000"/>
          <w:spacing w:val="1"/>
          <w:sz w:val="24"/>
          <w:szCs w:val="24"/>
          <w:highlight w:val="none"/>
        </w:rPr>
        <w:t>（4）社保要求：</w:t>
      </w:r>
      <w:r>
        <w:rPr>
          <w:rFonts w:hint="eastAsia" w:ascii="仿宋" w:hAnsi="仿宋" w:eastAsia="仿宋" w:cs="仿宋"/>
          <w:color w:val="000000"/>
          <w:sz w:val="24"/>
          <w:szCs w:val="24"/>
          <w:highlight w:val="none"/>
        </w:rPr>
        <w:t>提供投标人缴费所属时间在2024年1月至本项目投标文件提交截止时间前任意1个月的社会保险费缴款书或银行电子缴税（费）凭证或社保管理部门出具的有效的缴款证明，依法免缴的，应提供依法免缴的相关证明文件；投标人成立不足一年的，无需提供。</w:t>
      </w:r>
    </w:p>
    <w:p w14:paraId="26742481">
      <w:pPr>
        <w:autoSpaceDE w:val="0"/>
        <w:spacing w:line="360" w:lineRule="auto"/>
        <w:ind w:firstLine="241" w:firstLineChars="100"/>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（5）专业技术能力：</w:t>
      </w:r>
      <w:r>
        <w:rPr>
          <w:rFonts w:hint="eastAsia" w:ascii="仿宋" w:hAnsi="仿宋" w:eastAsia="仿宋" w:cs="仿宋"/>
          <w:color w:val="000000"/>
          <w:sz w:val="24"/>
          <w:szCs w:val="24"/>
          <w:highlight w:val="none"/>
        </w:rPr>
        <w:t>提供投标人具有履行合同所必需的设备和专业技术能力证明材料或书面声明。</w:t>
      </w:r>
    </w:p>
    <w:p w14:paraId="3FFCC5A6">
      <w:pPr>
        <w:pStyle w:val="6"/>
        <w:autoSpaceDE w:val="0"/>
        <w:spacing w:before="0" w:beforeAutospacing="0" w:after="0" w:line="360" w:lineRule="auto"/>
        <w:ind w:firstLine="243" w:firstLineChars="100"/>
        <w:rPr>
          <w:rFonts w:ascii="仿宋" w:hAnsi="仿宋" w:eastAsia="仿宋" w:cs="仿宋"/>
          <w:color w:val="000000"/>
          <w:sz w:val="24"/>
          <w:szCs w:val="24"/>
          <w:highlight w:val="none"/>
        </w:rPr>
      </w:pPr>
      <w:r>
        <w:rPr>
          <w:rFonts w:hint="eastAsia" w:ascii="仿宋" w:hAnsi="仿宋" w:eastAsia="仿宋" w:cs="仿宋"/>
          <w:b/>
          <w:bCs/>
          <w:color w:val="000000"/>
          <w:spacing w:val="1"/>
          <w:sz w:val="24"/>
          <w:szCs w:val="24"/>
          <w:highlight w:val="none"/>
        </w:rPr>
        <w:t>（6）书面声明：</w:t>
      </w:r>
      <w:r>
        <w:rPr>
          <w:rFonts w:hint="eastAsia" w:ascii="仿宋" w:hAnsi="仿宋" w:eastAsia="仿宋" w:cs="仿宋"/>
          <w:color w:val="000000"/>
          <w:spacing w:val="1"/>
          <w:sz w:val="24"/>
          <w:szCs w:val="24"/>
          <w:highlight w:val="none"/>
        </w:rPr>
        <w:t>提供参加政府采购活动前3年内在经营活动中没有重大违法记录的书面声明（重大违法记录，是指投标人因违法经营受到刑事处罚或者责令停产停业、吊销许可证或者执照、较大数额罚款等行政处罚）。</w:t>
      </w:r>
    </w:p>
    <w:p w14:paraId="76D06518">
      <w:pPr>
        <w:autoSpaceDE w:val="0"/>
        <w:spacing w:line="360" w:lineRule="auto"/>
        <w:ind w:firstLine="241" w:firstLineChars="100"/>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（7）法律、行政法规规定的其他条件：</w:t>
      </w:r>
    </w:p>
    <w:p w14:paraId="1BA30A60">
      <w:pPr>
        <w:autoSpaceDE w:val="0"/>
        <w:spacing w:line="360" w:lineRule="auto"/>
        <w:ind w:firstLine="480" w:firstLineChars="2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①投标人应在“信用中国”网站(www.creditchina.gov.cn)未被列入失信被执行人、重大税收违法失信主体，中国政府采购网(www.ccgp.gov.cn)没有政府采购严重违法失信行为记录。（注：采购人或采购代理机构通过“信用中国”网、“中国政府采购网”等渠道查询相关主体信用记录，若投标人存在被列入失信被执行人、重大税收违法失信主体、政府采购严重违法失信行为记录名单，则投标无效。）</w:t>
      </w:r>
    </w:p>
    <w:p w14:paraId="30AC8BD6">
      <w:pPr>
        <w:autoSpaceDE w:val="0"/>
        <w:spacing w:line="360" w:lineRule="auto"/>
        <w:ind w:firstLine="480" w:firstLineChars="2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②单位负责人为同一人或者存在直接控股、管理关系的不同投标人，不得参加同一合同项下的政府采购活动。</w:t>
      </w:r>
    </w:p>
    <w:p w14:paraId="72EAA44A">
      <w:pPr>
        <w:autoSpaceDE w:val="0"/>
        <w:spacing w:line="360" w:lineRule="auto"/>
        <w:ind w:firstLine="241" w:firstLineChars="100"/>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2.落实政府采购政策需满足的资格要求：</w:t>
      </w:r>
    </w:p>
    <w:p w14:paraId="0CFD179D">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本项目非专门面向中小型企业采购；根据《关于进一步加大政府采购支持中小企业力度的通知》（财库〔2022〕19号），对符合采购文件要求的小型和微型企业给予价格扣除10%，用扣除后的价格参与评审；监狱企业及残疾人福利性单位视同小微企业。</w:t>
      </w:r>
    </w:p>
    <w:p w14:paraId="415CF83F">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（2）根据《关于印发中小企业划型标准规定的通知》（工信部联企业〔2011〕300号）文件规定的划分标准，本项目对应的中小企业划分标准所属行业为：其他未列明行业。</w:t>
      </w:r>
    </w:p>
    <w:p w14:paraId="62274DA0">
      <w:pPr>
        <w:autoSpaceDE w:val="0"/>
        <w:spacing w:line="360" w:lineRule="auto"/>
        <w:ind w:firstLine="241" w:firstLineChars="100"/>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3.本项目的特定资格要求：</w:t>
      </w:r>
      <w:r>
        <w:rPr>
          <w:rFonts w:hint="eastAsia" w:ascii="仿宋" w:hAnsi="仿宋" w:eastAsia="仿宋" w:cs="仿宋"/>
          <w:color w:val="000000"/>
          <w:sz w:val="24"/>
          <w:szCs w:val="24"/>
          <w:highlight w:val="none"/>
        </w:rPr>
        <w:t>无。</w:t>
      </w:r>
    </w:p>
    <w:p w14:paraId="001B55A9">
      <w:pPr>
        <w:autoSpaceDE w:val="0"/>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三、获取采购文件</w:t>
      </w:r>
    </w:p>
    <w:p w14:paraId="79354E7D">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1.时间：</w:t>
      </w:r>
      <w:r>
        <w:rPr>
          <w:rFonts w:hint="eastAsia" w:ascii="仿宋" w:hAnsi="仿宋" w:eastAsia="仿宋" w:cs="仿宋"/>
          <w:color w:val="000000"/>
          <w:sz w:val="24"/>
          <w:szCs w:val="24"/>
          <w:highlight w:val="none"/>
        </w:rPr>
        <w:t>2024年12月</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日</w:t>
      </w:r>
      <w:r>
        <w:rPr>
          <w:rFonts w:hint="eastAsia" w:ascii="仿宋" w:hAnsi="仿宋" w:eastAsia="仿宋" w:cs="仿宋"/>
          <w:color w:val="000000"/>
          <w:sz w:val="24"/>
          <w:szCs w:val="24"/>
          <w:highlight w:val="none"/>
          <w:lang w:val="en-US" w:eastAsia="zh-CN"/>
        </w:rPr>
        <w:t>21</w:t>
      </w:r>
      <w:r>
        <w:rPr>
          <w:rFonts w:hint="eastAsia" w:ascii="仿宋" w:hAnsi="仿宋" w:eastAsia="仿宋" w:cs="仿宋"/>
          <w:color w:val="000000"/>
          <w:sz w:val="24"/>
          <w:szCs w:val="24"/>
          <w:highlight w:val="none"/>
        </w:rPr>
        <w:t>：00分至2024年12月</w:t>
      </w:r>
      <w:r>
        <w:rPr>
          <w:rFonts w:hint="eastAsia" w:ascii="仿宋" w:hAnsi="仿宋" w:eastAsia="仿宋" w:cs="仿宋"/>
          <w:color w:val="000000"/>
          <w:sz w:val="24"/>
          <w:szCs w:val="24"/>
          <w:highlight w:val="none"/>
          <w:lang w:val="en-US" w:eastAsia="zh-CN"/>
        </w:rPr>
        <w:t>13</w:t>
      </w:r>
      <w:r>
        <w:rPr>
          <w:rFonts w:hint="eastAsia" w:ascii="仿宋" w:hAnsi="仿宋" w:eastAsia="仿宋" w:cs="仿宋"/>
          <w:color w:val="000000"/>
          <w:sz w:val="24"/>
          <w:szCs w:val="24"/>
          <w:highlight w:val="none"/>
        </w:rPr>
        <w:t>日23：59分；</w:t>
      </w:r>
    </w:p>
    <w:p w14:paraId="7079A9C5">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2.地点：政采云平台线上获取；</w:t>
      </w:r>
    </w:p>
    <w:p w14:paraId="07E08685">
      <w:pPr>
        <w:wordWrap w:val="0"/>
        <w:autoSpaceDE w:val="0"/>
        <w:spacing w:line="360" w:lineRule="auto"/>
        <w:ind w:firstLine="240" w:firstLineChars="100"/>
        <w:rPr>
          <w:rFonts w:ascii="仿宋" w:hAnsi="仿宋" w:eastAsia="仿宋" w:cs="仿宋"/>
          <w:spacing w:val="1"/>
          <w:sz w:val="24"/>
          <w:szCs w:val="24"/>
          <w:highlight w:val="none"/>
        </w:rPr>
      </w:pPr>
      <w:r>
        <w:rPr>
          <w:rFonts w:hint="eastAsia" w:ascii="仿宋" w:hAnsi="仿宋" w:eastAsia="仿宋" w:cs="仿宋"/>
          <w:color w:val="000000"/>
          <w:sz w:val="24"/>
          <w:szCs w:val="24"/>
          <w:highlight w:val="none"/>
        </w:rPr>
        <w:t>3.方式：（1）有意参加投标的投标人</w:t>
      </w:r>
      <w:r>
        <w:rPr>
          <w:rFonts w:hint="eastAsia" w:ascii="仿宋" w:hAnsi="仿宋" w:eastAsia="仿宋" w:cs="仿宋"/>
          <w:spacing w:val="1"/>
          <w:sz w:val="24"/>
          <w:szCs w:val="24"/>
          <w:highlight w:val="none"/>
        </w:rPr>
        <w:t>须注册政采云平台账号并登录办理数字证书（CA），支持云南CA、云南壹证通CA，云南CA申领链接：https://cap.yunnanca.net/login，请投标人自行注册办理，云南CA客服热线400-6727-666，紧急联系方式：15288315056；云南壹证通CA申领链接：http://yzt.ynsmartcert.cn/登录名bszb（凭此登录名可直接登录）,云南壹证通CA客服热线：0871-67276028，壹证通CA紧急联系方式：19988166369。</w:t>
      </w:r>
    </w:p>
    <w:p w14:paraId="217E2CD6">
      <w:pPr>
        <w:wordWrap w:val="0"/>
        <w:autoSpaceDE w:val="0"/>
        <w:spacing w:line="360" w:lineRule="auto"/>
        <w:ind w:firstLine="242" w:firstLineChars="100"/>
        <w:rPr>
          <w:rFonts w:ascii="仿宋" w:hAnsi="仿宋" w:eastAsia="仿宋" w:cs="仿宋"/>
          <w:spacing w:val="1"/>
          <w:sz w:val="24"/>
          <w:szCs w:val="24"/>
          <w:highlight w:val="none"/>
        </w:rPr>
      </w:pPr>
      <w:r>
        <w:rPr>
          <w:rFonts w:hint="eastAsia" w:ascii="仿宋" w:hAnsi="仿宋" w:eastAsia="仿宋" w:cs="仿宋"/>
          <w:spacing w:val="1"/>
          <w:sz w:val="24"/>
          <w:szCs w:val="24"/>
          <w:highlight w:val="none"/>
        </w:rPr>
        <w:t>（2）数字证书（CA）申领完成后进入政采云平台，企业账号与数字证书（CA）进行绑定，凭企业数字证书（CA）进行项目报名及免费下载招标文件。</w:t>
      </w:r>
    </w:p>
    <w:p w14:paraId="12B095F4">
      <w:pPr>
        <w:wordWrap w:val="0"/>
        <w:autoSpaceDE w:val="0"/>
        <w:spacing w:line="360" w:lineRule="auto"/>
        <w:ind w:firstLine="242" w:firstLineChars="100"/>
        <w:rPr>
          <w:rFonts w:ascii="仿宋" w:hAnsi="仿宋" w:eastAsia="仿宋" w:cs="仿宋"/>
          <w:spacing w:val="1"/>
          <w:sz w:val="24"/>
          <w:szCs w:val="24"/>
          <w:highlight w:val="none"/>
        </w:rPr>
      </w:pPr>
      <w:r>
        <w:rPr>
          <w:rFonts w:hint="eastAsia" w:ascii="仿宋" w:hAnsi="仿宋" w:eastAsia="仿宋" w:cs="仿宋"/>
          <w:spacing w:val="1"/>
          <w:sz w:val="24"/>
          <w:szCs w:val="24"/>
          <w:highlight w:val="none"/>
        </w:rPr>
        <w:t>（3）按上述要求获取文件的投标人视为已合法获取本项目招标文件，具备本项目的投标资格。</w:t>
      </w:r>
    </w:p>
    <w:p w14:paraId="6D92D237">
      <w:pPr>
        <w:wordWrap w:val="0"/>
        <w:autoSpaceDE w:val="0"/>
        <w:spacing w:line="360" w:lineRule="auto"/>
        <w:ind w:firstLine="484" w:firstLineChars="200"/>
        <w:rPr>
          <w:rFonts w:ascii="仿宋" w:hAnsi="仿宋" w:eastAsia="仿宋" w:cs="仿宋"/>
          <w:color w:val="000000"/>
          <w:sz w:val="24"/>
          <w:szCs w:val="24"/>
          <w:highlight w:val="none"/>
        </w:rPr>
      </w:pPr>
      <w:r>
        <w:rPr>
          <w:rFonts w:hint="eastAsia" w:ascii="仿宋" w:hAnsi="仿宋" w:eastAsia="仿宋" w:cs="仿宋"/>
          <w:spacing w:val="1"/>
          <w:sz w:val="24"/>
          <w:szCs w:val="24"/>
          <w:highlight w:val="none"/>
        </w:rPr>
        <w:t>（4）如有问题可拨打政采云客户服务热线95763进行咨询。</w:t>
      </w:r>
    </w:p>
    <w:p w14:paraId="5656569C">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4.售价：0元/份。</w:t>
      </w:r>
    </w:p>
    <w:p w14:paraId="2E59C1FE">
      <w:pPr>
        <w:autoSpaceDE w:val="0"/>
        <w:spacing w:line="360" w:lineRule="auto"/>
        <w:jc w:val="left"/>
        <w:rPr>
          <w:rFonts w:ascii="仿宋" w:hAnsi="仿宋" w:eastAsia="仿宋" w:cs="仿宋"/>
          <w:b/>
          <w:color w:val="000000"/>
          <w:sz w:val="24"/>
          <w:szCs w:val="24"/>
          <w:highlight w:val="none"/>
        </w:rPr>
      </w:pPr>
      <w:bookmarkStart w:id="19" w:name="_Toc35393624"/>
      <w:bookmarkEnd w:id="19"/>
      <w:bookmarkStart w:id="20" w:name="_Toc35393793"/>
      <w:bookmarkEnd w:id="20"/>
      <w:bookmarkStart w:id="21" w:name="_Toc28359082"/>
      <w:bookmarkEnd w:id="21"/>
      <w:bookmarkStart w:id="22" w:name="_Toc28359005"/>
      <w:r>
        <w:rPr>
          <w:rFonts w:hint="eastAsia" w:ascii="仿宋" w:hAnsi="仿宋" w:eastAsia="仿宋" w:cs="仿宋"/>
          <w:b/>
          <w:color w:val="000000"/>
          <w:sz w:val="24"/>
          <w:szCs w:val="24"/>
          <w:highlight w:val="none"/>
        </w:rPr>
        <w:t>四、</w:t>
      </w:r>
      <w:bookmarkEnd w:id="22"/>
      <w:r>
        <w:rPr>
          <w:rFonts w:hint="eastAsia" w:ascii="仿宋" w:hAnsi="仿宋" w:eastAsia="仿宋" w:cs="仿宋"/>
          <w:b/>
          <w:bCs/>
          <w:color w:val="000000"/>
          <w:sz w:val="24"/>
          <w:szCs w:val="24"/>
          <w:highlight w:val="none"/>
        </w:rPr>
        <w:t>提交投标文件截止时间、开标时间和地点</w:t>
      </w:r>
    </w:p>
    <w:p w14:paraId="27C2D3D4">
      <w:pPr>
        <w:widowControl/>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1.</w:t>
      </w:r>
      <w:r>
        <w:rPr>
          <w:rFonts w:hint="eastAsia" w:ascii="仿宋" w:hAnsi="仿宋" w:eastAsia="仿宋" w:cs="仿宋"/>
          <w:color w:val="000000"/>
          <w:sz w:val="24"/>
          <w:szCs w:val="24"/>
          <w:highlight w:val="none"/>
        </w:rPr>
        <w:t>递交投标文件</w:t>
      </w:r>
      <w:r>
        <w:rPr>
          <w:rFonts w:hint="eastAsia" w:ascii="仿宋" w:hAnsi="仿宋" w:eastAsia="仿宋" w:cs="仿宋"/>
          <w:color w:val="000000"/>
          <w:kern w:val="0"/>
          <w:sz w:val="24"/>
          <w:szCs w:val="24"/>
          <w:highlight w:val="none"/>
        </w:rPr>
        <w:t>截止</w:t>
      </w:r>
      <w:r>
        <w:rPr>
          <w:rFonts w:hint="eastAsia" w:ascii="仿宋" w:hAnsi="仿宋" w:eastAsia="仿宋" w:cs="仿宋"/>
          <w:color w:val="000000"/>
          <w:sz w:val="24"/>
          <w:szCs w:val="24"/>
          <w:highlight w:val="none"/>
        </w:rPr>
        <w:t>时间：</w:t>
      </w:r>
      <w:r>
        <w:rPr>
          <w:rFonts w:hint="eastAsia" w:ascii="仿宋" w:hAnsi="仿宋" w:eastAsia="仿宋" w:cs="仿宋"/>
          <w:color w:val="000000"/>
          <w:sz w:val="24"/>
          <w:szCs w:val="24"/>
          <w:highlight w:val="none"/>
        </w:rPr>
        <w:t>2024年12月</w:t>
      </w:r>
      <w:r>
        <w:rPr>
          <w:rFonts w:hint="eastAsia" w:ascii="仿宋" w:hAnsi="仿宋" w:eastAsia="仿宋" w:cs="仿宋"/>
          <w:color w:val="000000"/>
          <w:sz w:val="24"/>
          <w:szCs w:val="24"/>
          <w:highlight w:val="none"/>
          <w:lang w:val="en-US" w:eastAsia="zh-CN"/>
        </w:rPr>
        <w:t>30</w:t>
      </w:r>
      <w:r>
        <w:rPr>
          <w:rFonts w:hint="eastAsia" w:ascii="仿宋" w:hAnsi="仿宋" w:eastAsia="仿宋" w:cs="仿宋"/>
          <w:color w:val="000000"/>
          <w:sz w:val="24"/>
          <w:szCs w:val="24"/>
          <w:highlight w:val="none"/>
        </w:rPr>
        <w:t>日15：00分</w:t>
      </w:r>
      <w:r>
        <w:rPr>
          <w:rFonts w:hint="eastAsia" w:ascii="仿宋" w:hAnsi="仿宋" w:eastAsia="仿宋" w:cs="仿宋"/>
          <w:color w:val="000000"/>
          <w:sz w:val="24"/>
          <w:szCs w:val="24"/>
          <w:highlight w:val="none"/>
        </w:rPr>
        <w:t>；</w:t>
      </w:r>
    </w:p>
    <w:p w14:paraId="6ED97914">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2.开标时间：</w:t>
      </w:r>
      <w:r>
        <w:rPr>
          <w:rFonts w:hint="eastAsia" w:ascii="仿宋" w:hAnsi="仿宋" w:eastAsia="仿宋" w:cs="仿宋"/>
          <w:color w:val="000000"/>
          <w:sz w:val="24"/>
          <w:szCs w:val="24"/>
          <w:highlight w:val="none"/>
        </w:rPr>
        <w:t>2024年12月</w:t>
      </w:r>
      <w:r>
        <w:rPr>
          <w:rFonts w:hint="eastAsia" w:ascii="仿宋" w:hAnsi="仿宋" w:eastAsia="仿宋" w:cs="仿宋"/>
          <w:color w:val="000000"/>
          <w:sz w:val="24"/>
          <w:szCs w:val="24"/>
          <w:highlight w:val="none"/>
          <w:lang w:val="en-US" w:eastAsia="zh-CN"/>
        </w:rPr>
        <w:t>30</w:t>
      </w:r>
      <w:r>
        <w:rPr>
          <w:rFonts w:hint="eastAsia" w:ascii="仿宋" w:hAnsi="仿宋" w:eastAsia="仿宋" w:cs="仿宋"/>
          <w:color w:val="000000"/>
          <w:sz w:val="24"/>
          <w:szCs w:val="24"/>
          <w:highlight w:val="none"/>
        </w:rPr>
        <w:t>日15：00分；</w:t>
      </w:r>
    </w:p>
    <w:p w14:paraId="388DA1C0">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3.开标地点：德宏州润宇招标代理有限公司二楼开标室。           </w:t>
      </w:r>
    </w:p>
    <w:p w14:paraId="1D1E00A9">
      <w:pPr>
        <w:autoSpaceDE w:val="0"/>
        <w:spacing w:line="360" w:lineRule="auto"/>
        <w:ind w:firstLine="482" w:firstLineChars="200"/>
        <w:jc w:val="left"/>
        <w:rPr>
          <w:rFonts w:ascii="仿宋" w:hAnsi="仿宋" w:eastAsia="仿宋" w:cs="仿宋"/>
          <w:color w:val="000000"/>
          <w:sz w:val="24"/>
          <w:szCs w:val="24"/>
          <w:highlight w:val="none"/>
        </w:rPr>
      </w:pPr>
      <w:bookmarkStart w:id="23" w:name="_Toc28359094"/>
      <w:bookmarkEnd w:id="23"/>
      <w:bookmarkStart w:id="24" w:name="_Toc35393803"/>
      <w:bookmarkEnd w:id="24"/>
      <w:bookmarkStart w:id="25" w:name="_Toc35393634"/>
      <w:bookmarkEnd w:id="25"/>
      <w:bookmarkStart w:id="26" w:name="_Toc28359017"/>
      <w:r>
        <w:rPr>
          <w:rFonts w:hint="eastAsia" w:ascii="仿宋" w:hAnsi="仿宋" w:eastAsia="仿宋" w:cs="仿宋"/>
          <w:b/>
          <w:bCs/>
          <w:color w:val="000000"/>
          <w:sz w:val="24"/>
          <w:szCs w:val="24"/>
          <w:highlight w:val="none"/>
        </w:rPr>
        <w:t>注：</w:t>
      </w:r>
      <w:bookmarkEnd w:id="26"/>
      <w:r>
        <w:rPr>
          <w:rFonts w:hint="eastAsia" w:ascii="仿宋" w:hAnsi="仿宋" w:eastAsia="仿宋" w:cs="仿宋"/>
          <w:color w:val="000000"/>
          <w:sz w:val="24"/>
          <w:szCs w:val="24"/>
          <w:highlight w:val="none"/>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5571A10A">
      <w:pPr>
        <w:autoSpaceDE w:val="0"/>
        <w:spacing w:line="360" w:lineRule="auto"/>
        <w:jc w:val="left"/>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五、公告期限</w:t>
      </w:r>
    </w:p>
    <w:p w14:paraId="76C8E1F3">
      <w:pPr>
        <w:autoSpaceDE w:val="0"/>
        <w:spacing w:line="360" w:lineRule="auto"/>
        <w:ind w:firstLine="480" w:firstLineChars="200"/>
        <w:rPr>
          <w:rFonts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自本公告发布之日起5个工作日。</w:t>
      </w:r>
    </w:p>
    <w:p w14:paraId="42ACA37F">
      <w:pPr>
        <w:autoSpaceDE w:val="0"/>
        <w:spacing w:line="360" w:lineRule="auto"/>
        <w:jc w:val="left"/>
        <w:rPr>
          <w:rFonts w:ascii="仿宋" w:hAnsi="仿宋" w:eastAsia="仿宋" w:cs="仿宋"/>
          <w:b/>
          <w:color w:val="000000"/>
          <w:kern w:val="0"/>
          <w:sz w:val="24"/>
          <w:szCs w:val="24"/>
          <w:highlight w:val="none"/>
        </w:rPr>
      </w:pPr>
      <w:bookmarkStart w:id="27" w:name="_Toc35393626"/>
      <w:bookmarkEnd w:id="27"/>
      <w:bookmarkStart w:id="28" w:name="_Toc35393795"/>
      <w:r>
        <w:rPr>
          <w:rFonts w:hint="eastAsia" w:ascii="仿宋" w:hAnsi="仿宋" w:eastAsia="仿宋" w:cs="仿宋"/>
          <w:b/>
          <w:color w:val="000000"/>
          <w:kern w:val="0"/>
          <w:sz w:val="24"/>
          <w:szCs w:val="24"/>
          <w:highlight w:val="none"/>
        </w:rPr>
        <w:t>六、其他补充事宜</w:t>
      </w:r>
      <w:bookmarkEnd w:id="28"/>
    </w:p>
    <w:p w14:paraId="30AB0EEB">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1.开标方式：网上开标；</w:t>
      </w:r>
    </w:p>
    <w:p w14:paraId="188D676F">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2.是否需要缴纳投标保证金：是；</w:t>
      </w:r>
    </w:p>
    <w:p w14:paraId="12C11A0E">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3.保证金金额：20000元；</w:t>
      </w:r>
    </w:p>
    <w:p w14:paraId="43B5FC43">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4.保证金缴纳方式：银行转账或银行保函或保证保险及法律法规规定的其他情形；</w:t>
      </w:r>
    </w:p>
    <w:p w14:paraId="7E19FD13">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5.保证金缴纳截止时间：</w:t>
      </w:r>
      <w:r>
        <w:rPr>
          <w:rFonts w:hint="eastAsia" w:ascii="仿宋" w:hAnsi="仿宋" w:eastAsia="仿宋" w:cs="仿宋"/>
          <w:color w:val="000000"/>
          <w:sz w:val="24"/>
          <w:szCs w:val="24"/>
          <w:highlight w:val="none"/>
        </w:rPr>
        <w:t>2024年12月</w:t>
      </w:r>
      <w:r>
        <w:rPr>
          <w:rFonts w:hint="eastAsia" w:ascii="仿宋" w:hAnsi="仿宋" w:eastAsia="仿宋" w:cs="仿宋"/>
          <w:color w:val="000000"/>
          <w:sz w:val="24"/>
          <w:szCs w:val="24"/>
          <w:highlight w:val="none"/>
          <w:lang w:val="en-US" w:eastAsia="zh-CN"/>
        </w:rPr>
        <w:t>30</w:t>
      </w:r>
      <w:r>
        <w:rPr>
          <w:rFonts w:hint="eastAsia" w:ascii="仿宋" w:hAnsi="仿宋" w:eastAsia="仿宋" w:cs="仿宋"/>
          <w:color w:val="000000"/>
          <w:sz w:val="24"/>
          <w:szCs w:val="24"/>
          <w:highlight w:val="none"/>
        </w:rPr>
        <w:t>日15：00分前（北京时间）</w:t>
      </w:r>
      <w:r>
        <w:rPr>
          <w:rFonts w:hint="eastAsia" w:ascii="仿宋" w:hAnsi="仿宋" w:eastAsia="仿宋" w:cs="仿宋"/>
          <w:color w:val="000000"/>
          <w:sz w:val="24"/>
          <w:szCs w:val="24"/>
          <w:highlight w:val="none"/>
        </w:rPr>
        <w:t>；</w:t>
      </w:r>
    </w:p>
    <w:p w14:paraId="13FFD3A2">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6.其他：</w:t>
      </w:r>
    </w:p>
    <w:p w14:paraId="35F70D1B">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（1）本次招标公告在云南省政府采购网（http://www.ccgp.gov.cn/）上发布，公告内容和时间以云南省政府采购网发布的信息为准。</w:t>
      </w:r>
    </w:p>
    <w:p w14:paraId="3E19F77A">
      <w:pPr>
        <w:autoSpaceDE w:val="0"/>
        <w:spacing w:line="360" w:lineRule="auto"/>
        <w:ind w:firstLine="240" w:firstLineChars="100"/>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（2）本项目执行政府采购促进中小企业发展、支持监狱企业、促进残疾人就业等政府采购政策。</w:t>
      </w:r>
    </w:p>
    <w:p w14:paraId="62A8FF3C">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（3）本项目实行网上投标，采用电子投标文件；</w:t>
      </w:r>
    </w:p>
    <w:p w14:paraId="5E931281">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（4）各投标人应在开标前应确保成为政采云平台投标人，并完成CA数字证书申领。因未注册入库、未办理CA数字证书等原因造成无法投标或投标失败等后果由投标人自行承担。</w:t>
      </w:r>
    </w:p>
    <w:p w14:paraId="3B7BC95D">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5）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如因投标人自身原因导致在规定时间内无法正常解密的（如：浏览器故障、未安装相关驱动、网络故障、加密CA与解密CA不一致等），代理机构不予异常处理，视为投标人自动弃标。</w:t>
      </w:r>
    </w:p>
    <w:p w14:paraId="0D1C3991">
      <w:pPr>
        <w:autoSpaceDE w:val="0"/>
        <w:spacing w:line="360" w:lineRule="auto"/>
        <w:ind w:firstLine="240" w:firstLineChars="1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7.监督部门及电话</w:t>
      </w:r>
    </w:p>
    <w:p w14:paraId="0BAE12EC">
      <w:pPr>
        <w:autoSpaceDE w:val="0"/>
        <w:spacing w:line="360" w:lineRule="auto"/>
        <w:ind w:firstLine="480" w:firstLineChars="200"/>
        <w:jc w:val="left"/>
        <w:rPr>
          <w:rFonts w:ascii="仿宋" w:hAnsi="仿宋" w:eastAsia="仿宋" w:cs="仿宋"/>
          <w:color w:val="000000"/>
          <w:sz w:val="24"/>
          <w:szCs w:val="24"/>
          <w:highlight w:val="none"/>
        </w:rPr>
      </w:pPr>
      <w:bookmarkStart w:id="29" w:name="_Toc28359085"/>
      <w:bookmarkEnd w:id="29"/>
      <w:bookmarkStart w:id="30" w:name="_Toc35393796"/>
      <w:bookmarkEnd w:id="30"/>
      <w:bookmarkStart w:id="31" w:name="_Toc28359008"/>
      <w:bookmarkEnd w:id="31"/>
      <w:r>
        <w:rPr>
          <w:rFonts w:hint="eastAsia" w:ascii="仿宋" w:hAnsi="仿宋" w:eastAsia="仿宋" w:cs="仿宋"/>
          <w:color w:val="000000"/>
          <w:sz w:val="24"/>
          <w:szCs w:val="24"/>
          <w:highlight w:val="none"/>
        </w:rPr>
        <w:t>行业监督部门及联系电话：陇川县财政局0692-7172965；</w:t>
      </w:r>
    </w:p>
    <w:p w14:paraId="39317CDF">
      <w:pPr>
        <w:autoSpaceDE w:val="0"/>
        <w:spacing w:line="360" w:lineRule="auto"/>
        <w:ind w:firstLine="480" w:firstLineChars="2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纪检监督联系电话：0692-12388。</w:t>
      </w:r>
    </w:p>
    <w:p w14:paraId="2870D0B3">
      <w:pPr>
        <w:autoSpaceDE w:val="0"/>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七、对本次采购提出询问，请按以下方式联系</w:t>
      </w:r>
    </w:p>
    <w:p w14:paraId="22D466C7">
      <w:pPr>
        <w:spacing w:line="360" w:lineRule="auto"/>
        <w:ind w:firstLine="240" w:firstLineChars="100"/>
        <w:rPr>
          <w:rFonts w:ascii="仿宋" w:hAnsi="仿宋" w:eastAsia="仿宋" w:cs="仿宋"/>
          <w:color w:val="000000" w:themeColor="text1"/>
          <w:sz w:val="24"/>
          <w:szCs w:val="24"/>
          <w:highlight w:val="none"/>
        </w:rPr>
      </w:pPr>
      <w:bookmarkStart w:id="32" w:name="_Toc35393808"/>
      <w:bookmarkEnd w:id="32"/>
      <w:r>
        <w:rPr>
          <w:rFonts w:hint="eastAsia" w:ascii="仿宋" w:hAnsi="仿宋" w:eastAsia="仿宋" w:cs="仿宋"/>
          <w:color w:val="000000" w:themeColor="text1"/>
          <w:sz w:val="24"/>
          <w:szCs w:val="24"/>
          <w:highlight w:val="none"/>
        </w:rPr>
        <w:t>1.采购人信息</w:t>
      </w:r>
    </w:p>
    <w:p w14:paraId="7F1F76A6">
      <w:pPr>
        <w:spacing w:line="360" w:lineRule="auto"/>
        <w:ind w:firstLine="480" w:firstLineChars="20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名称：陇川县人民医院</w:t>
      </w:r>
    </w:p>
    <w:p w14:paraId="4F66E22E">
      <w:pPr>
        <w:spacing w:line="360" w:lineRule="auto"/>
        <w:ind w:firstLine="480" w:firstLineChars="20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地址：陇川县章凤镇龙凤路上段32号                </w:t>
      </w:r>
    </w:p>
    <w:p w14:paraId="20FBC5DE">
      <w:pPr>
        <w:spacing w:line="360" w:lineRule="auto"/>
        <w:ind w:firstLine="480" w:firstLineChars="20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电 话：0692-7172718</w:t>
      </w:r>
    </w:p>
    <w:p w14:paraId="69553E02">
      <w:pPr>
        <w:spacing w:line="360" w:lineRule="auto"/>
        <w:ind w:firstLine="240" w:firstLineChars="10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2.采购代理机构信息</w:t>
      </w:r>
    </w:p>
    <w:p w14:paraId="7C846269">
      <w:pPr>
        <w:spacing w:line="360" w:lineRule="auto"/>
        <w:ind w:firstLine="480" w:firstLineChars="20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名称：德宏州润宇招标代理有限公司 </w:t>
      </w:r>
    </w:p>
    <w:p w14:paraId="5187A14D">
      <w:pPr>
        <w:spacing w:line="360" w:lineRule="auto"/>
        <w:ind w:firstLine="480" w:firstLineChars="20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地址：云南省德宏州芒市华江水岸星城S1-35号</w:t>
      </w:r>
    </w:p>
    <w:p w14:paraId="5D8500BE">
      <w:pPr>
        <w:spacing w:line="360" w:lineRule="auto"/>
        <w:ind w:firstLine="480" w:firstLineChars="20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联系方式：0692-2982116</w:t>
      </w:r>
    </w:p>
    <w:p w14:paraId="32943A4B">
      <w:pPr>
        <w:spacing w:line="360" w:lineRule="auto"/>
        <w:ind w:firstLine="210" w:firstLineChars="100"/>
        <w:rPr>
          <w:rFonts w:ascii="仿宋" w:hAnsi="仿宋" w:eastAsia="仿宋" w:cs="仿宋"/>
          <w:color w:val="000000" w:themeColor="text1"/>
          <w:sz w:val="24"/>
          <w:szCs w:val="24"/>
          <w:highlight w:val="none"/>
        </w:rPr>
      </w:pPr>
      <w:r>
        <w:rPr>
          <w:highlight w:val="none"/>
        </w:rPr>
        <w:fldChar w:fldCharType="begin"/>
      </w:r>
      <w:r>
        <w:rPr>
          <w:highlight w:val="none"/>
        </w:rPr>
        <w:instrText xml:space="preserve"> HYPERLINK </w:instrText>
      </w:r>
      <w:r>
        <w:rPr>
          <w:highlight w:val="none"/>
        </w:rPr>
        <w:fldChar w:fldCharType="separate"/>
      </w:r>
      <w:r>
        <w:rPr>
          <w:highlight w:val="none"/>
        </w:rPr>
        <w:fldChar w:fldCharType="end"/>
      </w:r>
      <w:bookmarkStart w:id="33" w:name="_Toc28359098"/>
      <w:r>
        <w:rPr>
          <w:rFonts w:hint="eastAsia" w:ascii="仿宋" w:hAnsi="仿宋" w:eastAsia="仿宋" w:cs="仿宋"/>
          <w:color w:val="000000" w:themeColor="text1"/>
          <w:sz w:val="24"/>
          <w:szCs w:val="24"/>
          <w:highlight w:val="none"/>
        </w:rPr>
        <w:fldChar w:fldCharType="begin"/>
      </w:r>
      <w:r>
        <w:rPr>
          <w:rFonts w:hint="eastAsia" w:ascii="仿宋" w:hAnsi="仿宋" w:eastAsia="仿宋" w:cs="仿宋"/>
          <w:color w:val="000000" w:themeColor="text1"/>
          <w:sz w:val="24"/>
          <w:szCs w:val="24"/>
          <w:highlight w:val="none"/>
        </w:rPr>
        <w:instrText xml:space="preserve"> HYPERLINK "http:///" </w:instrText>
      </w:r>
      <w:r>
        <w:rPr>
          <w:rFonts w:hint="eastAsia" w:ascii="仿宋" w:hAnsi="仿宋" w:eastAsia="仿宋" w:cs="仿宋"/>
          <w:color w:val="000000" w:themeColor="text1"/>
          <w:sz w:val="24"/>
          <w:szCs w:val="24"/>
          <w:highlight w:val="none"/>
        </w:rPr>
        <w:fldChar w:fldCharType="end"/>
      </w:r>
      <w:bookmarkEnd w:id="33"/>
      <w:bookmarkStart w:id="34" w:name="_Toc28359021"/>
      <w:r>
        <w:rPr>
          <w:rFonts w:hint="eastAsia" w:ascii="仿宋" w:hAnsi="仿宋" w:eastAsia="仿宋" w:cs="仿宋"/>
          <w:color w:val="000000" w:themeColor="text1"/>
          <w:sz w:val="24"/>
          <w:szCs w:val="24"/>
          <w:highlight w:val="none"/>
        </w:rPr>
        <w:fldChar w:fldCharType="begin"/>
      </w:r>
      <w:r>
        <w:rPr>
          <w:rFonts w:hint="eastAsia" w:ascii="仿宋" w:hAnsi="仿宋" w:eastAsia="仿宋" w:cs="仿宋"/>
          <w:color w:val="000000" w:themeColor="text1"/>
          <w:sz w:val="24"/>
          <w:szCs w:val="24"/>
          <w:highlight w:val="none"/>
        </w:rPr>
        <w:instrText xml:space="preserve"> HYPERLINK "http:///" </w:instrText>
      </w:r>
      <w:r>
        <w:rPr>
          <w:rFonts w:hint="eastAsia" w:ascii="仿宋" w:hAnsi="仿宋" w:eastAsia="仿宋" w:cs="仿宋"/>
          <w:color w:val="000000" w:themeColor="text1"/>
          <w:sz w:val="24"/>
          <w:szCs w:val="24"/>
          <w:highlight w:val="none"/>
        </w:rPr>
        <w:fldChar w:fldCharType="end"/>
      </w:r>
      <w:bookmarkEnd w:id="34"/>
      <w:r>
        <w:rPr>
          <w:rFonts w:hint="eastAsia" w:ascii="仿宋" w:hAnsi="仿宋" w:eastAsia="仿宋" w:cs="仿宋"/>
          <w:color w:val="000000" w:themeColor="text1"/>
          <w:sz w:val="24"/>
          <w:szCs w:val="24"/>
          <w:highlight w:val="none"/>
        </w:rPr>
        <w:t>3.项目联系方式</w:t>
      </w:r>
    </w:p>
    <w:p w14:paraId="5929DF3C">
      <w:pPr>
        <w:spacing w:line="360" w:lineRule="auto"/>
        <w:ind w:firstLine="480" w:firstLineChars="20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项目联系人：汤文丽</w:t>
      </w:r>
    </w:p>
    <w:p w14:paraId="20B90651">
      <w:pPr>
        <w:spacing w:line="360" w:lineRule="auto"/>
        <w:ind w:firstLine="480" w:firstLineChars="20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电话：13035940753</w:t>
      </w:r>
    </w:p>
    <w:p w14:paraId="3D6F00FD">
      <w:pPr>
        <w:spacing w:line="360" w:lineRule="auto"/>
        <w:ind w:firstLine="480" w:firstLineChars="200"/>
        <w:rPr>
          <w:rFonts w:ascii="仿宋" w:hAnsi="仿宋" w:eastAsia="仿宋" w:cs="仿宋"/>
          <w:color w:val="000000" w:themeColor="text1"/>
          <w:sz w:val="24"/>
          <w:szCs w:val="24"/>
          <w:highlight w:val="none"/>
        </w:rPr>
      </w:pPr>
    </w:p>
    <w:p w14:paraId="0F571841">
      <w:pPr>
        <w:spacing w:line="360" w:lineRule="auto"/>
        <w:ind w:firstLine="480" w:firstLineChars="200"/>
        <w:rPr>
          <w:rFonts w:ascii="仿宋" w:hAnsi="仿宋" w:eastAsia="仿宋" w:cs="仿宋"/>
          <w:color w:val="000000" w:themeColor="text1"/>
          <w:sz w:val="24"/>
          <w:szCs w:val="24"/>
          <w:highlight w:val="none"/>
        </w:rPr>
      </w:pPr>
    </w:p>
    <w:p w14:paraId="1400D9E1">
      <w:pPr>
        <w:spacing w:line="360" w:lineRule="auto"/>
        <w:ind w:firstLine="480" w:firstLineChars="200"/>
        <w:rPr>
          <w:rFonts w:ascii="仿宋" w:hAnsi="仿宋" w:eastAsia="仿宋" w:cs="仿宋"/>
          <w:color w:val="000000" w:themeColor="text1"/>
          <w:sz w:val="24"/>
          <w:szCs w:val="24"/>
          <w:highlight w:val="none"/>
        </w:rPr>
      </w:pPr>
    </w:p>
    <w:p w14:paraId="58270654">
      <w:pPr>
        <w:spacing w:line="360" w:lineRule="auto"/>
        <w:ind w:firstLine="480" w:firstLineChars="200"/>
        <w:rPr>
          <w:rFonts w:ascii="仿宋" w:hAnsi="仿宋" w:eastAsia="仿宋" w:cs="仿宋"/>
          <w:color w:val="000000" w:themeColor="text1"/>
          <w:sz w:val="24"/>
          <w:szCs w:val="24"/>
          <w:highlight w:val="none"/>
        </w:rPr>
      </w:pPr>
    </w:p>
    <w:p w14:paraId="2F3EE827">
      <w:pPr>
        <w:spacing w:line="360" w:lineRule="auto"/>
        <w:ind w:firstLine="480" w:firstLineChars="200"/>
        <w:rPr>
          <w:rFonts w:ascii="仿宋" w:hAnsi="仿宋" w:eastAsia="仿宋" w:cs="仿宋"/>
          <w:color w:val="000000" w:themeColor="text1"/>
          <w:sz w:val="24"/>
          <w:szCs w:val="24"/>
          <w:highlight w:val="none"/>
        </w:rPr>
      </w:pPr>
    </w:p>
    <w:p w14:paraId="462BA69D">
      <w:pPr>
        <w:rPr>
          <w:rFonts w:ascii="仿宋" w:hAnsi="仿宋" w:eastAsia="仿宋"/>
          <w:b/>
          <w:bCs/>
          <w:caps/>
          <w:color w:val="000000"/>
          <w:sz w:val="32"/>
          <w:szCs w:val="32"/>
          <w:highlight w:val="none"/>
        </w:rPr>
      </w:pPr>
    </w:p>
    <w:p w14:paraId="57030817">
      <w:pPr>
        <w:rPr>
          <w:rFonts w:ascii="仿宋" w:hAnsi="仿宋" w:eastAsia="仿宋" w:cs="仿宋"/>
          <w:b/>
          <w:bCs/>
          <w:caps/>
          <w:color w:val="000000"/>
          <w:sz w:val="32"/>
          <w:szCs w:val="32"/>
          <w:highlight w:val="none"/>
        </w:rPr>
      </w:pPr>
      <w:bookmarkStart w:id="35" w:name="_Toc14399"/>
      <w:r>
        <w:rPr>
          <w:rFonts w:hint="eastAsia" w:ascii="仿宋" w:hAnsi="仿宋" w:eastAsia="仿宋" w:cs="仿宋"/>
          <w:b/>
          <w:bCs/>
          <w:caps/>
          <w:color w:val="000000"/>
          <w:sz w:val="32"/>
          <w:szCs w:val="32"/>
          <w:highlight w:val="none"/>
        </w:rPr>
        <w:br w:type="page"/>
      </w:r>
    </w:p>
    <w:p w14:paraId="61D39794">
      <w:pPr>
        <w:autoSpaceDE w:val="0"/>
        <w:spacing w:line="360" w:lineRule="auto"/>
        <w:jc w:val="center"/>
        <w:outlineLvl w:val="0"/>
        <w:rPr>
          <w:rFonts w:ascii="仿宋" w:hAnsi="仿宋" w:eastAsia="仿宋" w:cs="仿宋"/>
          <w:b/>
          <w:bCs/>
          <w:caps/>
          <w:color w:val="000000"/>
          <w:sz w:val="32"/>
          <w:szCs w:val="32"/>
          <w:highlight w:val="none"/>
        </w:rPr>
      </w:pPr>
      <w:r>
        <w:rPr>
          <w:rFonts w:hint="eastAsia" w:ascii="仿宋" w:hAnsi="仿宋" w:eastAsia="仿宋" w:cs="仿宋"/>
          <w:b/>
          <w:bCs/>
          <w:caps/>
          <w:color w:val="000000"/>
          <w:sz w:val="32"/>
          <w:szCs w:val="32"/>
          <w:highlight w:val="none"/>
        </w:rPr>
        <w:t>第二章  投标人须知</w:t>
      </w:r>
      <w:bookmarkEnd w:id="35"/>
    </w:p>
    <w:p w14:paraId="01C4AFB6">
      <w:pPr>
        <w:pStyle w:val="3"/>
        <w:keepLines w:val="0"/>
        <w:autoSpaceDE w:val="0"/>
        <w:spacing w:before="0" w:after="0" w:line="360" w:lineRule="auto"/>
        <w:jc w:val="center"/>
        <w:rPr>
          <w:rFonts w:ascii="仿宋" w:hAnsi="仿宋" w:eastAsia="仿宋"/>
          <w:color w:val="000000"/>
          <w:sz w:val="30"/>
          <w:szCs w:val="30"/>
          <w:highlight w:val="none"/>
        </w:rPr>
      </w:pPr>
      <w:bookmarkStart w:id="36" w:name="_Toc393354829"/>
      <w:bookmarkEnd w:id="36"/>
      <w:bookmarkStart w:id="37" w:name="_Toc27959"/>
      <w:bookmarkEnd w:id="37"/>
      <w:bookmarkStart w:id="38" w:name="_Toc486885395"/>
      <w:r>
        <w:rPr>
          <w:rFonts w:hint="eastAsia" w:ascii="仿宋" w:hAnsi="仿宋" w:eastAsia="仿宋"/>
          <w:color w:val="000000"/>
          <w:sz w:val="30"/>
          <w:szCs w:val="30"/>
          <w:highlight w:val="none"/>
        </w:rPr>
        <w:t>投标人</w:t>
      </w:r>
      <w:bookmarkEnd w:id="38"/>
      <w:r>
        <w:rPr>
          <w:rFonts w:hint="eastAsia" w:ascii="仿宋" w:hAnsi="仿宋" w:eastAsia="仿宋"/>
          <w:color w:val="000000"/>
          <w:sz w:val="30"/>
          <w:szCs w:val="30"/>
          <w:highlight w:val="none"/>
        </w:rPr>
        <w:t>须知前附表</w:t>
      </w:r>
    </w:p>
    <w:tbl>
      <w:tblPr>
        <w:tblStyle w:val="19"/>
        <w:tblW w:w="9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727"/>
        <w:gridCol w:w="6647"/>
      </w:tblGrid>
      <w:tr w14:paraId="0B4AE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84039A3">
            <w:pPr>
              <w:pStyle w:val="9"/>
              <w:spacing w:line="360" w:lineRule="auto"/>
              <w:jc w:val="center"/>
              <w:rPr>
                <w:rFonts w:ascii="仿宋" w:hAnsi="仿宋" w:eastAsia="仿宋"/>
                <w:b/>
                <w:color w:val="000000"/>
                <w:sz w:val="24"/>
                <w:szCs w:val="24"/>
                <w:highlight w:val="none"/>
              </w:rPr>
            </w:pPr>
            <w:bookmarkStart w:id="39" w:name="_Toc19039"/>
            <w:r>
              <w:rPr>
                <w:rFonts w:hint="eastAsia" w:ascii="仿宋" w:hAnsi="仿宋" w:eastAsia="仿宋"/>
                <w:b/>
                <w:color w:val="000000"/>
                <w:sz w:val="24"/>
                <w:szCs w:val="24"/>
                <w:highlight w:val="none"/>
              </w:rPr>
              <w:t>条款号</w:t>
            </w:r>
            <w:bookmarkEnd w:id="39"/>
          </w:p>
        </w:tc>
        <w:tc>
          <w:tcPr>
            <w:tcW w:w="1727" w:type="dxa"/>
            <w:tcBorders>
              <w:top w:val="single" w:color="auto" w:sz="4" w:space="0"/>
              <w:left w:val="single" w:color="auto" w:sz="4" w:space="0"/>
              <w:bottom w:val="single" w:color="auto" w:sz="4" w:space="0"/>
              <w:right w:val="single" w:color="auto" w:sz="4" w:space="0"/>
            </w:tcBorders>
            <w:vAlign w:val="center"/>
          </w:tcPr>
          <w:p w14:paraId="04FD0D6B">
            <w:pPr>
              <w:pStyle w:val="9"/>
              <w:spacing w:line="360" w:lineRule="auto"/>
              <w:jc w:val="center"/>
              <w:rPr>
                <w:rFonts w:ascii="仿宋" w:hAnsi="仿宋" w:eastAsia="仿宋"/>
                <w:b/>
                <w:color w:val="000000"/>
                <w:sz w:val="24"/>
                <w:szCs w:val="24"/>
                <w:highlight w:val="none"/>
              </w:rPr>
            </w:pPr>
            <w:r>
              <w:rPr>
                <w:rFonts w:hint="eastAsia" w:ascii="仿宋" w:hAnsi="仿宋" w:eastAsia="仿宋"/>
                <w:b/>
                <w:color w:val="000000"/>
                <w:sz w:val="24"/>
                <w:szCs w:val="24"/>
                <w:highlight w:val="none"/>
              </w:rPr>
              <w:t>条 款 名 称</w:t>
            </w:r>
          </w:p>
        </w:tc>
        <w:tc>
          <w:tcPr>
            <w:tcW w:w="6647" w:type="dxa"/>
            <w:tcBorders>
              <w:top w:val="single" w:color="auto" w:sz="4" w:space="0"/>
              <w:left w:val="single" w:color="auto" w:sz="4" w:space="0"/>
              <w:bottom w:val="single" w:color="auto" w:sz="4" w:space="0"/>
              <w:right w:val="single" w:color="auto" w:sz="4" w:space="0"/>
            </w:tcBorders>
            <w:vAlign w:val="center"/>
          </w:tcPr>
          <w:p w14:paraId="609BEF36">
            <w:pPr>
              <w:pStyle w:val="9"/>
              <w:spacing w:line="360" w:lineRule="auto"/>
              <w:jc w:val="center"/>
              <w:rPr>
                <w:rFonts w:ascii="仿宋" w:hAnsi="仿宋" w:eastAsia="仿宋"/>
                <w:b/>
                <w:color w:val="000000"/>
                <w:sz w:val="24"/>
                <w:szCs w:val="24"/>
                <w:highlight w:val="none"/>
              </w:rPr>
            </w:pPr>
            <w:r>
              <w:rPr>
                <w:rFonts w:hint="eastAsia" w:ascii="仿宋" w:hAnsi="仿宋" w:eastAsia="仿宋"/>
                <w:b/>
                <w:color w:val="000000"/>
                <w:sz w:val="24"/>
                <w:szCs w:val="24"/>
                <w:highlight w:val="none"/>
              </w:rPr>
              <w:t>编 列 内 容</w:t>
            </w:r>
          </w:p>
        </w:tc>
      </w:tr>
      <w:tr w14:paraId="17D3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AB080BA">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1.1.2</w:t>
            </w:r>
          </w:p>
        </w:tc>
        <w:tc>
          <w:tcPr>
            <w:tcW w:w="1727" w:type="dxa"/>
            <w:tcBorders>
              <w:top w:val="single" w:color="auto" w:sz="4" w:space="0"/>
              <w:left w:val="single" w:color="auto" w:sz="4" w:space="0"/>
              <w:bottom w:val="single" w:color="auto" w:sz="4" w:space="0"/>
              <w:right w:val="single" w:color="auto" w:sz="4" w:space="0"/>
            </w:tcBorders>
            <w:vAlign w:val="center"/>
          </w:tcPr>
          <w:p w14:paraId="14832877">
            <w:pPr>
              <w:pStyle w:val="9"/>
              <w:spacing w:line="360" w:lineRule="auto"/>
              <w:jc w:val="center"/>
              <w:rPr>
                <w:rFonts w:ascii="仿宋" w:hAnsi="仿宋" w:eastAsia="仿宋"/>
                <w:color w:val="000000"/>
                <w:sz w:val="24"/>
                <w:szCs w:val="24"/>
                <w:highlight w:val="none"/>
              </w:rPr>
            </w:pPr>
            <w:r>
              <w:rPr>
                <w:rFonts w:hint="eastAsia" w:ascii="仿宋" w:hAnsi="仿宋" w:eastAsia="仿宋"/>
                <w:bCs/>
                <w:color w:val="000000"/>
                <w:sz w:val="24"/>
                <w:szCs w:val="24"/>
                <w:highlight w:val="none"/>
              </w:rPr>
              <w:t>采购人</w:t>
            </w:r>
          </w:p>
        </w:tc>
        <w:tc>
          <w:tcPr>
            <w:tcW w:w="6647" w:type="dxa"/>
            <w:tcBorders>
              <w:top w:val="single" w:color="auto" w:sz="4" w:space="0"/>
              <w:left w:val="single" w:color="auto" w:sz="4" w:space="0"/>
              <w:bottom w:val="single" w:color="auto" w:sz="4" w:space="0"/>
              <w:right w:val="single" w:color="auto" w:sz="4" w:space="0"/>
            </w:tcBorders>
            <w:vAlign w:val="center"/>
          </w:tcPr>
          <w:p w14:paraId="5D8C6823">
            <w:pPr>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名称：陇川县人民医院  </w:t>
            </w:r>
          </w:p>
          <w:p w14:paraId="540483C8">
            <w:pPr>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统一社会信用代码:12533124432856558T</w:t>
            </w:r>
          </w:p>
          <w:p w14:paraId="6CB92AF5">
            <w:pPr>
              <w:spacing w:line="360" w:lineRule="auto"/>
              <w:rPr>
                <w:rFonts w:ascii="仿宋" w:hAnsi="仿宋" w:eastAsia="仿宋" w:cs="仿宋"/>
                <w:sz w:val="24"/>
                <w:szCs w:val="24"/>
                <w:highlight w:val="none"/>
              </w:rPr>
            </w:pPr>
            <w:r>
              <w:rPr>
                <w:rFonts w:hint="eastAsia" w:ascii="仿宋" w:hAnsi="仿宋" w:eastAsia="仿宋" w:cs="仿宋"/>
                <w:bCs/>
                <w:sz w:val="24"/>
                <w:szCs w:val="24"/>
                <w:highlight w:val="none"/>
              </w:rPr>
              <w:t>单位地址：</w:t>
            </w:r>
            <w:r>
              <w:rPr>
                <w:rFonts w:hint="eastAsia" w:ascii="仿宋" w:hAnsi="仿宋" w:eastAsia="仿宋" w:cs="仿宋"/>
                <w:sz w:val="24"/>
                <w:szCs w:val="24"/>
                <w:highlight w:val="none"/>
              </w:rPr>
              <w:t>陇川县章凤镇龙凤路上段32号</w:t>
            </w:r>
          </w:p>
          <w:p w14:paraId="01177C92">
            <w:pPr>
              <w:autoSpaceDE w:val="0"/>
              <w:spacing w:line="360" w:lineRule="auto"/>
              <w:rPr>
                <w:rFonts w:eastAsia="仿宋"/>
                <w:color w:val="000000"/>
                <w:sz w:val="24"/>
                <w:szCs w:val="24"/>
                <w:highlight w:val="none"/>
              </w:rPr>
            </w:pPr>
            <w:r>
              <w:rPr>
                <w:rFonts w:hint="eastAsia" w:ascii="仿宋" w:hAnsi="仿宋" w:eastAsia="仿宋" w:cs="仿宋"/>
                <w:sz w:val="24"/>
                <w:szCs w:val="24"/>
                <w:highlight w:val="none"/>
              </w:rPr>
              <w:t>联系人及联系方式：叶女士  0692-7172718</w:t>
            </w:r>
          </w:p>
        </w:tc>
      </w:tr>
      <w:tr w14:paraId="062B6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161D0D41">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1.1.3</w:t>
            </w:r>
          </w:p>
        </w:tc>
        <w:tc>
          <w:tcPr>
            <w:tcW w:w="1727" w:type="dxa"/>
            <w:tcBorders>
              <w:top w:val="single" w:color="auto" w:sz="4" w:space="0"/>
              <w:left w:val="single" w:color="auto" w:sz="4" w:space="0"/>
              <w:bottom w:val="single" w:color="auto" w:sz="4" w:space="0"/>
              <w:right w:val="single" w:color="auto" w:sz="4" w:space="0"/>
            </w:tcBorders>
            <w:vAlign w:val="center"/>
          </w:tcPr>
          <w:p w14:paraId="39182D64">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采购代理机构</w:t>
            </w:r>
          </w:p>
        </w:tc>
        <w:tc>
          <w:tcPr>
            <w:tcW w:w="6647" w:type="dxa"/>
            <w:tcBorders>
              <w:top w:val="single" w:color="auto" w:sz="4" w:space="0"/>
              <w:left w:val="single" w:color="auto" w:sz="4" w:space="0"/>
              <w:bottom w:val="single" w:color="auto" w:sz="4" w:space="0"/>
              <w:right w:val="single" w:color="auto" w:sz="4" w:space="0"/>
            </w:tcBorders>
            <w:vAlign w:val="center"/>
          </w:tcPr>
          <w:p w14:paraId="09736B0F">
            <w:pPr>
              <w:autoSpaceDE w:val="0"/>
              <w:spacing w:line="36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代理机构：德宏州润宇招标代理有限公司 </w:t>
            </w:r>
          </w:p>
          <w:p w14:paraId="456E4ABF">
            <w:pPr>
              <w:autoSpaceDE w:val="0"/>
              <w:spacing w:line="36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统一信用代码：91533103MA6MYWY66B</w:t>
            </w:r>
          </w:p>
          <w:p w14:paraId="20742A93">
            <w:pPr>
              <w:autoSpaceDE w:val="0"/>
              <w:spacing w:line="36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公司地址：德宏州芒市华江水岸星城S1-35号</w:t>
            </w:r>
          </w:p>
          <w:p w14:paraId="1FE8CC0E">
            <w:pPr>
              <w:pStyle w:val="9"/>
              <w:spacing w:line="360" w:lineRule="auto"/>
              <w:rPr>
                <w:rFonts w:ascii="仿宋" w:hAnsi="仿宋" w:eastAsia="仿宋"/>
                <w:color w:val="000000"/>
                <w:sz w:val="24"/>
                <w:szCs w:val="24"/>
                <w:highlight w:val="none"/>
              </w:rPr>
            </w:pPr>
            <w:r>
              <w:rPr>
                <w:rFonts w:hint="eastAsia" w:ascii="仿宋" w:hAnsi="仿宋" w:eastAsia="仿宋"/>
                <w:bCs/>
                <w:color w:val="000000"/>
                <w:sz w:val="24"/>
                <w:szCs w:val="24"/>
                <w:highlight w:val="none"/>
              </w:rPr>
              <w:t>联系人及联系方式：汤文丽 13035940753</w:t>
            </w:r>
          </w:p>
        </w:tc>
      </w:tr>
      <w:tr w14:paraId="0D27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62097D87">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1.1.4</w:t>
            </w:r>
          </w:p>
        </w:tc>
        <w:tc>
          <w:tcPr>
            <w:tcW w:w="1727" w:type="dxa"/>
            <w:tcBorders>
              <w:top w:val="single" w:color="auto" w:sz="4" w:space="0"/>
              <w:left w:val="single" w:color="auto" w:sz="4" w:space="0"/>
              <w:bottom w:val="single" w:color="auto" w:sz="4" w:space="0"/>
              <w:right w:val="single" w:color="auto" w:sz="4" w:space="0"/>
            </w:tcBorders>
            <w:vAlign w:val="center"/>
          </w:tcPr>
          <w:p w14:paraId="58AAC2A6">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项目名称</w:t>
            </w:r>
          </w:p>
        </w:tc>
        <w:tc>
          <w:tcPr>
            <w:tcW w:w="6647" w:type="dxa"/>
            <w:tcBorders>
              <w:top w:val="single" w:color="auto" w:sz="4" w:space="0"/>
              <w:left w:val="single" w:color="auto" w:sz="4" w:space="0"/>
              <w:bottom w:val="single" w:color="auto" w:sz="4" w:space="0"/>
              <w:right w:val="single" w:color="auto" w:sz="4" w:space="0"/>
            </w:tcBorders>
            <w:vAlign w:val="center"/>
          </w:tcPr>
          <w:p w14:paraId="1487D9FE">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陇川县人民医院采购医疗设备维护保修服务项目</w:t>
            </w:r>
          </w:p>
        </w:tc>
      </w:tr>
      <w:tr w14:paraId="69760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AD5C5B5">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1.2.1</w:t>
            </w:r>
          </w:p>
        </w:tc>
        <w:tc>
          <w:tcPr>
            <w:tcW w:w="1727" w:type="dxa"/>
            <w:tcBorders>
              <w:top w:val="single" w:color="auto" w:sz="4" w:space="0"/>
              <w:left w:val="single" w:color="auto" w:sz="4" w:space="0"/>
              <w:bottom w:val="single" w:color="auto" w:sz="4" w:space="0"/>
              <w:right w:val="single" w:color="auto" w:sz="4" w:space="0"/>
            </w:tcBorders>
            <w:vAlign w:val="center"/>
          </w:tcPr>
          <w:p w14:paraId="42308D4E">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资金落实情况</w:t>
            </w:r>
          </w:p>
        </w:tc>
        <w:tc>
          <w:tcPr>
            <w:tcW w:w="6647" w:type="dxa"/>
            <w:tcBorders>
              <w:top w:val="single" w:color="auto" w:sz="4" w:space="0"/>
              <w:left w:val="single" w:color="auto" w:sz="4" w:space="0"/>
              <w:bottom w:val="single" w:color="auto" w:sz="4" w:space="0"/>
              <w:right w:val="single" w:color="auto" w:sz="4" w:space="0"/>
            </w:tcBorders>
            <w:vAlign w:val="center"/>
          </w:tcPr>
          <w:p w14:paraId="1BF6799D">
            <w:pPr>
              <w:pStyle w:val="9"/>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已落实</w:t>
            </w:r>
          </w:p>
        </w:tc>
      </w:tr>
      <w:tr w14:paraId="44A0E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B7ED1B3">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1.3.1</w:t>
            </w:r>
          </w:p>
        </w:tc>
        <w:tc>
          <w:tcPr>
            <w:tcW w:w="1727" w:type="dxa"/>
            <w:tcBorders>
              <w:top w:val="single" w:color="auto" w:sz="4" w:space="0"/>
              <w:left w:val="single" w:color="auto" w:sz="4" w:space="0"/>
              <w:bottom w:val="single" w:color="auto" w:sz="4" w:space="0"/>
              <w:right w:val="single" w:color="auto" w:sz="4" w:space="0"/>
            </w:tcBorders>
            <w:vAlign w:val="center"/>
          </w:tcPr>
          <w:p w14:paraId="0ADFB5A3">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采购内容</w:t>
            </w:r>
          </w:p>
        </w:tc>
        <w:tc>
          <w:tcPr>
            <w:tcW w:w="6647" w:type="dxa"/>
            <w:tcBorders>
              <w:top w:val="single" w:color="auto" w:sz="4" w:space="0"/>
              <w:left w:val="single" w:color="auto" w:sz="4" w:space="0"/>
              <w:bottom w:val="single" w:color="auto" w:sz="4" w:space="0"/>
              <w:right w:val="single" w:color="auto" w:sz="4" w:space="0"/>
            </w:tcBorders>
            <w:vAlign w:val="center"/>
          </w:tcPr>
          <w:p w14:paraId="743B0A93">
            <w:pPr>
              <w:autoSpaceDE w:val="0"/>
              <w:spacing w:line="360" w:lineRule="auto"/>
              <w:rPr>
                <w:rFonts w:ascii="仿宋" w:hAnsi="仿宋" w:eastAsia="仿宋"/>
                <w:color w:val="000000"/>
                <w:sz w:val="24"/>
                <w:szCs w:val="24"/>
                <w:highlight w:val="none"/>
              </w:rPr>
            </w:pPr>
            <w:r>
              <w:rPr>
                <w:rFonts w:hint="eastAsia" w:ascii="仿宋" w:hAnsi="仿宋" w:eastAsia="仿宋" w:cs="仿宋"/>
                <w:bCs/>
                <w:sz w:val="24"/>
                <w:szCs w:val="24"/>
                <w:highlight w:val="none"/>
              </w:rPr>
              <w:t>陇川县人民医院及11家医共体分院医疗设备维护保修服务</w:t>
            </w:r>
            <w:r>
              <w:rPr>
                <w:rFonts w:hint="eastAsia" w:ascii="仿宋" w:hAnsi="仿宋" w:eastAsia="仿宋" w:cs="仿宋"/>
                <w:color w:val="000000"/>
                <w:sz w:val="24"/>
                <w:szCs w:val="24"/>
                <w:highlight w:val="none"/>
              </w:rPr>
              <w:t>，具体内容详见第三章采购需求；</w:t>
            </w:r>
          </w:p>
        </w:tc>
      </w:tr>
      <w:tr w14:paraId="48A7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E14949F">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1.3.2</w:t>
            </w:r>
          </w:p>
        </w:tc>
        <w:tc>
          <w:tcPr>
            <w:tcW w:w="1727" w:type="dxa"/>
            <w:tcBorders>
              <w:top w:val="single" w:color="auto" w:sz="4" w:space="0"/>
              <w:left w:val="single" w:color="auto" w:sz="4" w:space="0"/>
              <w:bottom w:val="single" w:color="auto" w:sz="4" w:space="0"/>
              <w:right w:val="single" w:color="auto" w:sz="4" w:space="0"/>
            </w:tcBorders>
            <w:vAlign w:val="center"/>
          </w:tcPr>
          <w:p w14:paraId="4ABF92FE">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合同履行期限</w:t>
            </w:r>
          </w:p>
        </w:tc>
        <w:tc>
          <w:tcPr>
            <w:tcW w:w="6647" w:type="dxa"/>
            <w:tcBorders>
              <w:top w:val="single" w:color="auto" w:sz="4" w:space="0"/>
              <w:left w:val="single" w:color="auto" w:sz="4" w:space="0"/>
              <w:bottom w:val="single" w:color="auto" w:sz="4" w:space="0"/>
              <w:right w:val="single" w:color="auto" w:sz="4" w:space="0"/>
            </w:tcBorders>
            <w:vAlign w:val="center"/>
          </w:tcPr>
          <w:p w14:paraId="75345290">
            <w:pPr>
              <w:autoSpaceDE w:val="0"/>
              <w:spacing w:line="360" w:lineRule="auto"/>
              <w:rPr>
                <w:rFonts w:ascii="仿宋" w:hAnsi="仿宋" w:eastAsia="仿宋"/>
                <w:color w:val="000000"/>
                <w:sz w:val="24"/>
                <w:szCs w:val="24"/>
                <w:highlight w:val="none"/>
              </w:rPr>
            </w:pPr>
            <w:r>
              <w:rPr>
                <w:rFonts w:hint="eastAsia" w:ascii="仿宋" w:hAnsi="仿宋" w:eastAsia="仿宋" w:cs="仿宋"/>
                <w:color w:val="000000" w:themeColor="text1"/>
                <w:sz w:val="24"/>
                <w:szCs w:val="24"/>
                <w:highlight w:val="none"/>
              </w:rPr>
              <w:t>3年，合同一年一签；</w:t>
            </w:r>
          </w:p>
        </w:tc>
      </w:tr>
      <w:tr w14:paraId="44FD4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AA9F7F2">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1.3.3</w:t>
            </w:r>
          </w:p>
        </w:tc>
        <w:tc>
          <w:tcPr>
            <w:tcW w:w="1727" w:type="dxa"/>
            <w:tcBorders>
              <w:top w:val="single" w:color="auto" w:sz="4" w:space="0"/>
              <w:left w:val="single" w:color="auto" w:sz="4" w:space="0"/>
              <w:bottom w:val="single" w:color="auto" w:sz="4" w:space="0"/>
              <w:right w:val="single" w:color="auto" w:sz="4" w:space="0"/>
            </w:tcBorders>
            <w:vAlign w:val="center"/>
          </w:tcPr>
          <w:p w14:paraId="5EDC959B">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服务地点</w:t>
            </w:r>
          </w:p>
        </w:tc>
        <w:tc>
          <w:tcPr>
            <w:tcW w:w="6647" w:type="dxa"/>
            <w:tcBorders>
              <w:top w:val="single" w:color="auto" w:sz="4" w:space="0"/>
              <w:left w:val="single" w:color="auto" w:sz="4" w:space="0"/>
              <w:bottom w:val="single" w:color="auto" w:sz="4" w:space="0"/>
              <w:right w:val="single" w:color="auto" w:sz="4" w:space="0"/>
            </w:tcBorders>
            <w:vAlign w:val="center"/>
          </w:tcPr>
          <w:p w14:paraId="03302A36">
            <w:pPr>
              <w:pStyle w:val="9"/>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采购人指定地点</w:t>
            </w:r>
          </w:p>
        </w:tc>
      </w:tr>
      <w:tr w14:paraId="29461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D03DE48">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1.4</w:t>
            </w:r>
          </w:p>
        </w:tc>
        <w:tc>
          <w:tcPr>
            <w:tcW w:w="1727" w:type="dxa"/>
            <w:tcBorders>
              <w:top w:val="single" w:color="auto" w:sz="4" w:space="0"/>
              <w:left w:val="single" w:color="auto" w:sz="4" w:space="0"/>
              <w:bottom w:val="single" w:color="auto" w:sz="4" w:space="0"/>
              <w:right w:val="single" w:color="auto" w:sz="4" w:space="0"/>
            </w:tcBorders>
            <w:vAlign w:val="center"/>
          </w:tcPr>
          <w:p w14:paraId="32F57F8C">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投标人资格</w:t>
            </w:r>
          </w:p>
          <w:p w14:paraId="15D6517E">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要求</w:t>
            </w:r>
          </w:p>
        </w:tc>
        <w:tc>
          <w:tcPr>
            <w:tcW w:w="6647" w:type="dxa"/>
            <w:tcBorders>
              <w:top w:val="single" w:color="auto" w:sz="4" w:space="0"/>
              <w:left w:val="single" w:color="auto" w:sz="4" w:space="0"/>
              <w:bottom w:val="single" w:color="auto" w:sz="4" w:space="0"/>
              <w:right w:val="single" w:color="auto" w:sz="4" w:space="0"/>
            </w:tcBorders>
            <w:vAlign w:val="center"/>
          </w:tcPr>
          <w:p w14:paraId="764BA7A9">
            <w:pPr>
              <w:pStyle w:val="9"/>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详见招标文件第一章《招标公告》“二、投标人资格要求”。</w:t>
            </w:r>
          </w:p>
        </w:tc>
      </w:tr>
      <w:tr w14:paraId="09E16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868C7FD">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1.9.2</w:t>
            </w:r>
          </w:p>
        </w:tc>
        <w:tc>
          <w:tcPr>
            <w:tcW w:w="1727" w:type="dxa"/>
            <w:tcBorders>
              <w:top w:val="single" w:color="auto" w:sz="4" w:space="0"/>
              <w:left w:val="single" w:color="auto" w:sz="4" w:space="0"/>
              <w:bottom w:val="single" w:color="auto" w:sz="4" w:space="0"/>
              <w:right w:val="single" w:color="auto" w:sz="4" w:space="0"/>
            </w:tcBorders>
            <w:vAlign w:val="center"/>
          </w:tcPr>
          <w:p w14:paraId="4339DF14">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投标人提出问题的截止时间</w:t>
            </w:r>
          </w:p>
        </w:tc>
        <w:tc>
          <w:tcPr>
            <w:tcW w:w="6647" w:type="dxa"/>
            <w:tcBorders>
              <w:top w:val="single" w:color="auto" w:sz="4" w:space="0"/>
              <w:left w:val="single" w:color="auto" w:sz="4" w:space="0"/>
              <w:bottom w:val="single" w:color="auto" w:sz="4" w:space="0"/>
              <w:right w:val="single" w:color="auto" w:sz="4" w:space="0"/>
            </w:tcBorders>
            <w:vAlign w:val="center"/>
          </w:tcPr>
          <w:p w14:paraId="38F87B64">
            <w:pPr>
              <w:autoSpaceDE w:val="0"/>
              <w:autoSpaceDN w:val="0"/>
              <w:adjustRightIn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u w:val="single"/>
              </w:rPr>
              <w:t>2024</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12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1</w:t>
            </w:r>
            <w:r>
              <w:rPr>
                <w:rFonts w:hint="eastAsia" w:ascii="仿宋" w:hAnsi="仿宋" w:eastAsia="仿宋"/>
                <w:color w:val="000000"/>
                <w:sz w:val="24"/>
                <w:szCs w:val="24"/>
                <w:highlight w:val="none"/>
                <w:u w:val="single"/>
                <w:lang w:val="en-US" w:eastAsia="zh-CN"/>
              </w:rPr>
              <w:t>6</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r>
              <w:rPr>
                <w:rFonts w:hint="eastAsia" w:ascii="仿宋" w:hAnsi="仿宋" w:eastAsia="仿宋"/>
                <w:color w:val="000000"/>
                <w:sz w:val="24"/>
                <w:szCs w:val="24"/>
                <w:highlight w:val="none"/>
                <w:u w:val="single"/>
              </w:rPr>
              <w:t xml:space="preserve"> 18 </w:t>
            </w:r>
            <w:r>
              <w:rPr>
                <w:rFonts w:hint="eastAsia" w:ascii="仿宋" w:hAnsi="仿宋" w:eastAsia="仿宋"/>
                <w:color w:val="000000"/>
                <w:sz w:val="24"/>
                <w:szCs w:val="24"/>
                <w:highlight w:val="none"/>
              </w:rPr>
              <w:t>时</w:t>
            </w:r>
            <w:r>
              <w:rPr>
                <w:rFonts w:hint="eastAsia" w:ascii="仿宋" w:hAnsi="仿宋" w:eastAsia="仿宋"/>
                <w:color w:val="000000"/>
                <w:sz w:val="24"/>
                <w:szCs w:val="24"/>
                <w:highlight w:val="none"/>
                <w:u w:val="single"/>
              </w:rPr>
              <w:t xml:space="preserve"> 00 </w:t>
            </w:r>
            <w:r>
              <w:rPr>
                <w:rFonts w:hint="eastAsia" w:ascii="仿宋" w:hAnsi="仿宋" w:eastAsia="仿宋"/>
                <w:color w:val="000000"/>
                <w:sz w:val="24"/>
                <w:szCs w:val="24"/>
                <w:highlight w:val="none"/>
              </w:rPr>
              <w:t>分前</w:t>
            </w:r>
            <w:r>
              <w:rPr>
                <w:rFonts w:hint="eastAsia" w:ascii="仿宋" w:hAnsi="仿宋" w:eastAsia="仿宋"/>
                <w:color w:val="000000"/>
                <w:sz w:val="24"/>
                <w:szCs w:val="24"/>
                <w:highlight w:val="none"/>
              </w:rPr>
              <w:t>，即在投标截止时间10日前，所有获取了招标文件的潜在投标人凭企业数字证书（CA）登录“政采云”平台 （http：//www.zcygov.cn/），通过网络在线方式进行提问或以书面形式向采购代理机构提出。</w:t>
            </w:r>
          </w:p>
        </w:tc>
      </w:tr>
      <w:tr w14:paraId="20A3D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146B1D4F">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1.9.3</w:t>
            </w:r>
          </w:p>
        </w:tc>
        <w:tc>
          <w:tcPr>
            <w:tcW w:w="1727" w:type="dxa"/>
            <w:tcBorders>
              <w:top w:val="single" w:color="auto" w:sz="4" w:space="0"/>
              <w:left w:val="single" w:color="auto" w:sz="4" w:space="0"/>
              <w:bottom w:val="single" w:color="auto" w:sz="4" w:space="0"/>
              <w:right w:val="single" w:color="auto" w:sz="4" w:space="0"/>
            </w:tcBorders>
            <w:vAlign w:val="center"/>
          </w:tcPr>
          <w:p w14:paraId="18861885">
            <w:pPr>
              <w:autoSpaceDE w:val="0"/>
              <w:autoSpaceDN w:val="0"/>
              <w:snapToGrid w:val="0"/>
              <w:spacing w:line="360" w:lineRule="auto"/>
              <w:jc w:val="center"/>
              <w:textAlignment w:val="bottom"/>
              <w:rPr>
                <w:rFonts w:ascii="仿宋" w:hAnsi="仿宋" w:eastAsia="仿宋"/>
                <w:color w:val="000000"/>
                <w:sz w:val="24"/>
                <w:szCs w:val="24"/>
                <w:highlight w:val="none"/>
              </w:rPr>
            </w:pPr>
            <w:r>
              <w:rPr>
                <w:rFonts w:hint="eastAsia" w:ascii="仿宋" w:hAnsi="仿宋" w:eastAsia="仿宋"/>
                <w:color w:val="000000"/>
                <w:sz w:val="24"/>
                <w:szCs w:val="24"/>
                <w:highlight w:val="none"/>
              </w:rPr>
              <w:t>招标文件澄清截止时间</w:t>
            </w:r>
          </w:p>
        </w:tc>
        <w:tc>
          <w:tcPr>
            <w:tcW w:w="6647" w:type="dxa"/>
            <w:tcBorders>
              <w:top w:val="single" w:color="auto" w:sz="4" w:space="0"/>
              <w:left w:val="single" w:color="auto" w:sz="4" w:space="0"/>
              <w:bottom w:val="single" w:color="auto" w:sz="4" w:space="0"/>
              <w:right w:val="single" w:color="auto" w:sz="4" w:space="0"/>
            </w:tcBorders>
            <w:vAlign w:val="center"/>
          </w:tcPr>
          <w:p w14:paraId="7C4013A1">
            <w:pPr>
              <w:autoSpaceDE w:val="0"/>
              <w:autoSpaceDN w:val="0"/>
              <w:adjustRightIn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u w:val="single"/>
              </w:rPr>
              <w:t xml:space="preserve">2024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12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lang w:val="en-US" w:eastAsia="zh-CN"/>
              </w:rPr>
              <w:t>13</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r>
              <w:rPr>
                <w:rFonts w:hint="eastAsia" w:ascii="仿宋" w:hAnsi="仿宋" w:eastAsia="仿宋"/>
                <w:color w:val="000000"/>
                <w:sz w:val="24"/>
                <w:szCs w:val="24"/>
                <w:highlight w:val="none"/>
                <w:u w:val="single"/>
              </w:rPr>
              <w:t xml:space="preserve"> 18 </w:t>
            </w:r>
            <w:r>
              <w:rPr>
                <w:rFonts w:hint="eastAsia" w:ascii="仿宋" w:hAnsi="仿宋" w:eastAsia="仿宋"/>
                <w:color w:val="000000"/>
                <w:sz w:val="24"/>
                <w:szCs w:val="24"/>
                <w:highlight w:val="none"/>
              </w:rPr>
              <w:t>时</w:t>
            </w:r>
            <w:r>
              <w:rPr>
                <w:rFonts w:hint="eastAsia" w:ascii="仿宋" w:hAnsi="仿宋" w:eastAsia="仿宋"/>
                <w:color w:val="000000"/>
                <w:sz w:val="24"/>
                <w:szCs w:val="24"/>
                <w:highlight w:val="none"/>
                <w:u w:val="single"/>
              </w:rPr>
              <w:t xml:space="preserve"> 00 </w:t>
            </w:r>
            <w:r>
              <w:rPr>
                <w:rFonts w:hint="eastAsia" w:ascii="仿宋" w:hAnsi="仿宋" w:eastAsia="仿宋"/>
                <w:color w:val="000000"/>
                <w:sz w:val="24"/>
                <w:szCs w:val="24"/>
                <w:highlight w:val="none"/>
              </w:rPr>
              <w:t>分前</w:t>
            </w:r>
            <w:r>
              <w:rPr>
                <w:rFonts w:hint="eastAsia" w:ascii="仿宋" w:hAnsi="仿宋" w:eastAsia="仿宋"/>
                <w:color w:val="000000"/>
                <w:sz w:val="24"/>
                <w:szCs w:val="24"/>
                <w:highlight w:val="none"/>
              </w:rPr>
              <w:t>，即投标截止时间至少15日前，由采购人以补遗书方式按程序报有关主管部门备案后，提交“政采云”平台统一通过网络向潜在投标人发布，且投标人不须回函确认，所有获取了招标文件的潜在投标人凭企业数字证书（CA）登录“政采云”平台 （http：//www.zcygov.cn/）查看澄清内容。</w:t>
            </w:r>
          </w:p>
        </w:tc>
      </w:tr>
      <w:tr w14:paraId="01CFD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63C16519">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2.2.2</w:t>
            </w:r>
          </w:p>
        </w:tc>
        <w:tc>
          <w:tcPr>
            <w:tcW w:w="1727" w:type="dxa"/>
            <w:tcBorders>
              <w:top w:val="single" w:color="auto" w:sz="4" w:space="0"/>
              <w:left w:val="single" w:color="auto" w:sz="4" w:space="0"/>
              <w:bottom w:val="single" w:color="auto" w:sz="4" w:space="0"/>
              <w:right w:val="single" w:color="auto" w:sz="4" w:space="0"/>
            </w:tcBorders>
            <w:vAlign w:val="center"/>
          </w:tcPr>
          <w:p w14:paraId="41183876">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投标截止时间</w:t>
            </w:r>
          </w:p>
        </w:tc>
        <w:tc>
          <w:tcPr>
            <w:tcW w:w="6647" w:type="dxa"/>
            <w:tcBorders>
              <w:top w:val="single" w:color="auto" w:sz="4" w:space="0"/>
              <w:left w:val="single" w:color="auto" w:sz="4" w:space="0"/>
              <w:bottom w:val="single" w:color="auto" w:sz="4" w:space="0"/>
              <w:right w:val="single" w:color="auto" w:sz="4" w:space="0"/>
            </w:tcBorders>
            <w:vAlign w:val="center"/>
          </w:tcPr>
          <w:p w14:paraId="21CFD5CE">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u w:val="single"/>
              </w:rPr>
              <w:t>2024</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12</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lang w:val="en-US" w:eastAsia="zh-CN"/>
              </w:rPr>
              <w:t>30</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r>
              <w:rPr>
                <w:rFonts w:hint="eastAsia" w:ascii="仿宋" w:hAnsi="仿宋" w:eastAsia="仿宋"/>
                <w:color w:val="000000"/>
                <w:sz w:val="24"/>
                <w:szCs w:val="24"/>
                <w:highlight w:val="none"/>
                <w:u w:val="single"/>
              </w:rPr>
              <w:t xml:space="preserve">15 </w:t>
            </w:r>
            <w:r>
              <w:rPr>
                <w:rFonts w:hint="eastAsia" w:ascii="仿宋" w:hAnsi="仿宋" w:eastAsia="仿宋"/>
                <w:color w:val="000000"/>
                <w:sz w:val="24"/>
                <w:szCs w:val="24"/>
                <w:highlight w:val="none"/>
              </w:rPr>
              <w:t>时</w:t>
            </w:r>
            <w:r>
              <w:rPr>
                <w:rFonts w:hint="eastAsia" w:ascii="仿宋" w:hAnsi="仿宋" w:eastAsia="仿宋"/>
                <w:color w:val="000000"/>
                <w:sz w:val="24"/>
                <w:szCs w:val="24"/>
                <w:highlight w:val="none"/>
                <w:u w:val="single"/>
              </w:rPr>
              <w:t xml:space="preserve"> 00 </w:t>
            </w:r>
            <w:r>
              <w:rPr>
                <w:rFonts w:hint="eastAsia" w:ascii="仿宋" w:hAnsi="仿宋" w:eastAsia="仿宋"/>
                <w:color w:val="000000"/>
                <w:sz w:val="24"/>
                <w:szCs w:val="24"/>
                <w:highlight w:val="none"/>
              </w:rPr>
              <w:t>分</w:t>
            </w:r>
          </w:p>
        </w:tc>
      </w:tr>
      <w:tr w14:paraId="2F74A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A3E7FC7">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2.2.3</w:t>
            </w:r>
          </w:p>
        </w:tc>
        <w:tc>
          <w:tcPr>
            <w:tcW w:w="1727" w:type="dxa"/>
            <w:tcBorders>
              <w:top w:val="single" w:color="auto" w:sz="4" w:space="0"/>
              <w:left w:val="single" w:color="auto" w:sz="4" w:space="0"/>
              <w:bottom w:val="single" w:color="auto" w:sz="4" w:space="0"/>
              <w:right w:val="single" w:color="auto" w:sz="4" w:space="0"/>
            </w:tcBorders>
            <w:vAlign w:val="center"/>
          </w:tcPr>
          <w:p w14:paraId="3CDECFB4">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投标人确认收到招标文件澄清的时间</w:t>
            </w:r>
          </w:p>
        </w:tc>
        <w:tc>
          <w:tcPr>
            <w:tcW w:w="6647" w:type="dxa"/>
            <w:tcBorders>
              <w:top w:val="single" w:color="auto" w:sz="4" w:space="0"/>
              <w:left w:val="single" w:color="auto" w:sz="4" w:space="0"/>
              <w:bottom w:val="single" w:color="auto" w:sz="4" w:space="0"/>
              <w:right w:val="single" w:color="auto" w:sz="4" w:space="0"/>
            </w:tcBorders>
            <w:vAlign w:val="center"/>
          </w:tcPr>
          <w:p w14:paraId="3B3D3EDB">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投标人自行登录“政采云”平台 （http：//www.zcygov.cn/）获取澄清，无须回复确认已收到该澄清。</w:t>
            </w:r>
          </w:p>
        </w:tc>
      </w:tr>
      <w:tr w14:paraId="3542C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504C87F">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2.3.2</w:t>
            </w:r>
          </w:p>
        </w:tc>
        <w:tc>
          <w:tcPr>
            <w:tcW w:w="1727" w:type="dxa"/>
            <w:tcBorders>
              <w:top w:val="single" w:color="auto" w:sz="4" w:space="0"/>
              <w:left w:val="single" w:color="auto" w:sz="4" w:space="0"/>
              <w:bottom w:val="single" w:color="auto" w:sz="4" w:space="0"/>
              <w:right w:val="single" w:color="auto" w:sz="4" w:space="0"/>
            </w:tcBorders>
            <w:vAlign w:val="center"/>
          </w:tcPr>
          <w:p w14:paraId="2E18AF57">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投标人确认收到招标文件修改的时间</w:t>
            </w:r>
          </w:p>
        </w:tc>
        <w:tc>
          <w:tcPr>
            <w:tcW w:w="6647" w:type="dxa"/>
            <w:tcBorders>
              <w:top w:val="single" w:color="auto" w:sz="4" w:space="0"/>
              <w:left w:val="single" w:color="auto" w:sz="4" w:space="0"/>
              <w:bottom w:val="single" w:color="auto" w:sz="4" w:space="0"/>
              <w:right w:val="single" w:color="auto" w:sz="4" w:space="0"/>
            </w:tcBorders>
            <w:vAlign w:val="center"/>
          </w:tcPr>
          <w:p w14:paraId="232846E2">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投标人自行登录“政采云”平台 （http：//www.zcygov.cn/）收取修改内容，无须回复确认已收到该修改。</w:t>
            </w:r>
          </w:p>
        </w:tc>
      </w:tr>
      <w:tr w14:paraId="260D0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691C7760">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3.3.1</w:t>
            </w:r>
          </w:p>
        </w:tc>
        <w:tc>
          <w:tcPr>
            <w:tcW w:w="1727" w:type="dxa"/>
            <w:tcBorders>
              <w:top w:val="single" w:color="auto" w:sz="4" w:space="0"/>
              <w:left w:val="single" w:color="auto" w:sz="4" w:space="0"/>
              <w:bottom w:val="single" w:color="auto" w:sz="4" w:space="0"/>
              <w:right w:val="single" w:color="auto" w:sz="4" w:space="0"/>
            </w:tcBorders>
            <w:vAlign w:val="center"/>
          </w:tcPr>
          <w:p w14:paraId="01BEA38F">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投标有效期</w:t>
            </w:r>
          </w:p>
        </w:tc>
        <w:tc>
          <w:tcPr>
            <w:tcW w:w="6647" w:type="dxa"/>
            <w:tcBorders>
              <w:top w:val="single" w:color="auto" w:sz="4" w:space="0"/>
              <w:left w:val="single" w:color="auto" w:sz="4" w:space="0"/>
              <w:bottom w:val="single" w:color="auto" w:sz="4" w:space="0"/>
              <w:right w:val="single" w:color="auto" w:sz="4" w:space="0"/>
            </w:tcBorders>
            <w:vAlign w:val="center"/>
          </w:tcPr>
          <w:p w14:paraId="169F9A80">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投标截止之日起90日历天</w:t>
            </w:r>
          </w:p>
        </w:tc>
      </w:tr>
      <w:tr w14:paraId="1B7A6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92DDC32">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3.4</w:t>
            </w:r>
          </w:p>
        </w:tc>
        <w:tc>
          <w:tcPr>
            <w:tcW w:w="1727" w:type="dxa"/>
            <w:tcBorders>
              <w:top w:val="single" w:color="auto" w:sz="4" w:space="0"/>
              <w:left w:val="single" w:color="auto" w:sz="4" w:space="0"/>
              <w:bottom w:val="single" w:color="auto" w:sz="4" w:space="0"/>
              <w:right w:val="single" w:color="auto" w:sz="4" w:space="0"/>
            </w:tcBorders>
            <w:vAlign w:val="center"/>
          </w:tcPr>
          <w:p w14:paraId="3CBA6A64">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投标保证金</w:t>
            </w:r>
          </w:p>
        </w:tc>
        <w:tc>
          <w:tcPr>
            <w:tcW w:w="6647" w:type="dxa"/>
            <w:tcBorders>
              <w:top w:val="single" w:color="auto" w:sz="4" w:space="0"/>
              <w:left w:val="single" w:color="auto" w:sz="4" w:space="0"/>
              <w:bottom w:val="single" w:color="auto" w:sz="4" w:space="0"/>
              <w:right w:val="single" w:color="auto" w:sz="4" w:space="0"/>
            </w:tcBorders>
            <w:vAlign w:val="center"/>
          </w:tcPr>
          <w:p w14:paraId="6CAB2D85">
            <w:pPr>
              <w:autoSpaceDE w:val="0"/>
              <w:autoSpaceDN w:val="0"/>
              <w:adjustRightInd w:val="0"/>
              <w:spacing w:line="360" w:lineRule="auto"/>
              <w:rPr>
                <w:rFonts w:ascii="仿宋" w:hAnsi="仿宋" w:eastAsia="仿宋"/>
                <w:color w:val="000000"/>
                <w:sz w:val="24"/>
                <w:szCs w:val="24"/>
                <w:highlight w:val="none"/>
              </w:rPr>
            </w:pPr>
            <w:r>
              <w:rPr>
                <w:rFonts w:hint="eastAsia" w:ascii="仿宋" w:hAnsi="仿宋" w:eastAsia="仿宋"/>
                <w:color w:val="000000"/>
                <w:spacing w:val="1"/>
                <w:sz w:val="24"/>
                <w:szCs w:val="24"/>
                <w:highlight w:val="none"/>
              </w:rPr>
              <w:t>根据《云南省发展和改革委员会等部门关于鼓励减免政府投资项目投标保证金的通知》（云发改交易管理〔2023〕397号）规定，本项目收取投标保证金：</w:t>
            </w:r>
            <w:r>
              <w:rPr>
                <w:rFonts w:hint="eastAsia" w:ascii="仿宋" w:hAnsi="仿宋" w:eastAsia="仿宋"/>
                <w:color w:val="000000"/>
                <w:sz w:val="24"/>
                <w:szCs w:val="24"/>
                <w:highlight w:val="none"/>
              </w:rPr>
              <w:t>20000元；</w:t>
            </w:r>
          </w:p>
          <w:p w14:paraId="2F8E7820">
            <w:pPr>
              <w:autoSpaceDE w:val="0"/>
              <w:autoSpaceDN w:val="0"/>
              <w:adjustRightIn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截止时间：递交投标文件截止时间；</w:t>
            </w:r>
          </w:p>
          <w:p w14:paraId="3AF9AC82">
            <w:pPr>
              <w:autoSpaceDE w:val="0"/>
              <w:autoSpaceDN w:val="0"/>
              <w:adjustRightIn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交纳形式：可以采用“银行转账”、“银行保函”、“投标保证保险”任一方式，其中采用“银行转账”方式的，投标人以支票、汇票、本票、网上银行支付等非现金形式汇入指定账户：</w:t>
            </w:r>
          </w:p>
          <w:p w14:paraId="7CAA93C6">
            <w:pPr>
              <w:autoSpaceDE w:val="0"/>
              <w:adjustRightInd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账户户名：德宏州润宇招标代理有限公司</w:t>
            </w:r>
          </w:p>
          <w:p w14:paraId="34311574">
            <w:pPr>
              <w:autoSpaceDE w:val="0"/>
              <w:adjustRightInd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开户银行：云南芒市农村商业银行股份有限公司营业部</w:t>
            </w:r>
          </w:p>
          <w:p w14:paraId="08CA123F">
            <w:pPr>
              <w:autoSpaceDE w:val="0"/>
              <w:adjustRightInd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账号：5400019549733012</w:t>
            </w:r>
          </w:p>
          <w:p w14:paraId="4485CE63">
            <w:pPr>
              <w:autoSpaceDE w:val="0"/>
              <w:adjustRightInd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行号：402754000012</w:t>
            </w:r>
          </w:p>
          <w:p w14:paraId="71A8CE82">
            <w:pPr>
              <w:autoSpaceDE w:val="0"/>
              <w:adjustRightInd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电话：0692-2982116</w:t>
            </w:r>
          </w:p>
          <w:p w14:paraId="2C6DCE77">
            <w:pPr>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1.保证金必须从投标方的法人基本账户划出；</w:t>
            </w:r>
          </w:p>
          <w:p w14:paraId="1E985B12">
            <w:pPr>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2.保证金截止时间为投标截止时间，到账时间以保证金专用账户实际到账时间为准，未按时到账的保证金无效；</w:t>
            </w:r>
          </w:p>
          <w:p w14:paraId="4E8A0FED">
            <w:pPr>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请潜在投标人在跨行转账时考虑以下因素：按照人民银行相关规定，跨行转账在工作日下午4点半前办理手续，可以保证实时跨行到账。</w:t>
            </w:r>
          </w:p>
        </w:tc>
      </w:tr>
      <w:tr w14:paraId="51155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BB46EE0">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3.4.3</w:t>
            </w:r>
          </w:p>
        </w:tc>
        <w:tc>
          <w:tcPr>
            <w:tcW w:w="1727" w:type="dxa"/>
            <w:tcBorders>
              <w:top w:val="single" w:color="auto" w:sz="4" w:space="0"/>
              <w:left w:val="single" w:color="auto" w:sz="4" w:space="0"/>
              <w:bottom w:val="single" w:color="auto" w:sz="4" w:space="0"/>
              <w:right w:val="single" w:color="auto" w:sz="4" w:space="0"/>
            </w:tcBorders>
            <w:vAlign w:val="center"/>
          </w:tcPr>
          <w:p w14:paraId="427E5931">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投标保证金的退还</w:t>
            </w:r>
          </w:p>
        </w:tc>
        <w:tc>
          <w:tcPr>
            <w:tcW w:w="6647" w:type="dxa"/>
            <w:tcBorders>
              <w:top w:val="single" w:color="auto" w:sz="4" w:space="0"/>
              <w:left w:val="single" w:color="auto" w:sz="4" w:space="0"/>
              <w:bottom w:val="single" w:color="auto" w:sz="4" w:space="0"/>
              <w:right w:val="single" w:color="auto" w:sz="4" w:space="0"/>
            </w:tcBorders>
            <w:vAlign w:val="center"/>
          </w:tcPr>
          <w:p w14:paraId="0FDA8E69">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投标保证金退还到投标人的基本账户</w:t>
            </w:r>
          </w:p>
        </w:tc>
      </w:tr>
      <w:tr w14:paraId="1DDF3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1DC2289">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3.5</w:t>
            </w:r>
          </w:p>
        </w:tc>
        <w:tc>
          <w:tcPr>
            <w:tcW w:w="1727" w:type="dxa"/>
            <w:tcBorders>
              <w:top w:val="single" w:color="auto" w:sz="4" w:space="0"/>
              <w:left w:val="single" w:color="auto" w:sz="4" w:space="0"/>
              <w:bottom w:val="single" w:color="auto" w:sz="4" w:space="0"/>
              <w:right w:val="single" w:color="auto" w:sz="4" w:space="0"/>
            </w:tcBorders>
            <w:vAlign w:val="center"/>
          </w:tcPr>
          <w:p w14:paraId="77E6DF18">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资格审查资料</w:t>
            </w:r>
          </w:p>
        </w:tc>
        <w:tc>
          <w:tcPr>
            <w:tcW w:w="6647" w:type="dxa"/>
            <w:tcBorders>
              <w:top w:val="single" w:color="auto" w:sz="4" w:space="0"/>
              <w:left w:val="single" w:color="auto" w:sz="4" w:space="0"/>
              <w:bottom w:val="single" w:color="auto" w:sz="4" w:space="0"/>
              <w:right w:val="single" w:color="auto" w:sz="4" w:space="0"/>
            </w:tcBorders>
            <w:vAlign w:val="center"/>
          </w:tcPr>
          <w:p w14:paraId="0EDDC751">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按招标文件第一章《招标公告》“投标人资格要求”提供。</w:t>
            </w:r>
          </w:p>
        </w:tc>
      </w:tr>
      <w:tr w14:paraId="4C5AF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18F0699D">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3.6</w:t>
            </w:r>
          </w:p>
        </w:tc>
        <w:tc>
          <w:tcPr>
            <w:tcW w:w="1727" w:type="dxa"/>
            <w:tcBorders>
              <w:top w:val="single" w:color="auto" w:sz="4" w:space="0"/>
              <w:left w:val="single" w:color="auto" w:sz="4" w:space="0"/>
              <w:bottom w:val="single" w:color="auto" w:sz="4" w:space="0"/>
              <w:right w:val="single" w:color="auto" w:sz="4" w:space="0"/>
            </w:tcBorders>
            <w:vAlign w:val="center"/>
          </w:tcPr>
          <w:p w14:paraId="2F51F451">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投标文件格式</w:t>
            </w:r>
          </w:p>
        </w:tc>
        <w:tc>
          <w:tcPr>
            <w:tcW w:w="6647" w:type="dxa"/>
            <w:tcBorders>
              <w:top w:val="single" w:color="auto" w:sz="4" w:space="0"/>
              <w:left w:val="single" w:color="auto" w:sz="4" w:space="0"/>
              <w:bottom w:val="single" w:color="auto" w:sz="4" w:space="0"/>
              <w:right w:val="single" w:color="auto" w:sz="4" w:space="0"/>
            </w:tcBorders>
            <w:vAlign w:val="center"/>
          </w:tcPr>
          <w:p w14:paraId="64D65CBE">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（1）投标文件全部采用电子文档，投标人应安装客户端软件—“政采云电子交易客户端”，并按照招标文件和政采云电子交易平台的要求编制，编制后应进行电子签章、签名及加密；</w:t>
            </w:r>
          </w:p>
          <w:p w14:paraId="7B438B23">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（2）如投标人提交的电子标书未按招标文件要求或开标时无法读取导入或解密，其投标文件将不予受理； </w:t>
            </w:r>
          </w:p>
          <w:p w14:paraId="42F96E7A">
            <w:pPr>
              <w:pStyle w:val="35"/>
              <w:widowControl w:val="0"/>
              <w:spacing w:line="360" w:lineRule="auto"/>
              <w:ind w:firstLine="0"/>
              <w:rPr>
                <w:rFonts w:ascii="仿宋" w:hAnsi="仿宋" w:eastAsia="仿宋" w:cs="Times New Roman"/>
                <w:color w:val="000000"/>
                <w:sz w:val="24"/>
                <w:szCs w:val="24"/>
                <w:highlight w:val="none"/>
              </w:rPr>
            </w:pPr>
            <w:r>
              <w:rPr>
                <w:rFonts w:hint="eastAsia" w:ascii="仿宋" w:hAnsi="仿宋" w:eastAsia="仿宋" w:cs="Times New Roman"/>
                <w:color w:val="000000"/>
                <w:kern w:val="2"/>
                <w:sz w:val="24"/>
                <w:szCs w:val="24"/>
                <w:highlight w:val="none"/>
              </w:rPr>
              <w:t>（3）投标文件中提供的资料（扫描件），内容必须清晰可辨，若内容模糊，无法辨识，均视为未提供。</w:t>
            </w:r>
          </w:p>
        </w:tc>
      </w:tr>
      <w:tr w14:paraId="4AF53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2EA9ECF">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3.6.4</w:t>
            </w:r>
          </w:p>
        </w:tc>
        <w:tc>
          <w:tcPr>
            <w:tcW w:w="1727" w:type="dxa"/>
            <w:tcBorders>
              <w:top w:val="single" w:color="auto" w:sz="4" w:space="0"/>
              <w:left w:val="single" w:color="auto" w:sz="4" w:space="0"/>
              <w:bottom w:val="single" w:color="auto" w:sz="4" w:space="0"/>
              <w:right w:val="single" w:color="auto" w:sz="4" w:space="0"/>
            </w:tcBorders>
            <w:vAlign w:val="center"/>
          </w:tcPr>
          <w:p w14:paraId="35897EE0">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投标文件的</w:t>
            </w:r>
          </w:p>
          <w:p w14:paraId="09172A47">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签署</w:t>
            </w:r>
          </w:p>
        </w:tc>
        <w:tc>
          <w:tcPr>
            <w:tcW w:w="6647" w:type="dxa"/>
            <w:tcBorders>
              <w:top w:val="single" w:color="auto" w:sz="4" w:space="0"/>
              <w:left w:val="single" w:color="auto" w:sz="4" w:space="0"/>
              <w:bottom w:val="single" w:color="auto" w:sz="4" w:space="0"/>
              <w:right w:val="single" w:color="auto" w:sz="4" w:space="0"/>
            </w:tcBorders>
            <w:vAlign w:val="center"/>
          </w:tcPr>
          <w:p w14:paraId="63B5AB33">
            <w:pPr>
              <w:spacing w:line="360" w:lineRule="auto"/>
              <w:rPr>
                <w:rFonts w:ascii="仿宋" w:hAnsi="仿宋" w:eastAsia="仿宋"/>
                <w:color w:val="000000"/>
                <w:sz w:val="24"/>
                <w:szCs w:val="24"/>
                <w:highlight w:val="none"/>
              </w:rPr>
            </w:pPr>
            <w:r>
              <w:rPr>
                <w:rFonts w:hint="eastAsia" w:ascii="仿宋" w:hAnsi="仿宋" w:eastAsia="仿宋"/>
                <w:color w:val="000000"/>
                <w:kern w:val="0"/>
                <w:sz w:val="24"/>
                <w:szCs w:val="24"/>
                <w:highlight w:val="none"/>
              </w:rPr>
              <w:t>按照投标文件格式，采用单位电子公章及电子签名：技术文件（包括资格审查文件）在格式需要加盖电子公章及电子签名的地方进行电子签章，其余部分须逐页加盖电子公章。</w:t>
            </w:r>
          </w:p>
        </w:tc>
      </w:tr>
      <w:tr w14:paraId="689CD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7094493">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3.6.5</w:t>
            </w:r>
          </w:p>
        </w:tc>
        <w:tc>
          <w:tcPr>
            <w:tcW w:w="1727" w:type="dxa"/>
            <w:tcBorders>
              <w:top w:val="single" w:color="auto" w:sz="4" w:space="0"/>
              <w:left w:val="single" w:color="auto" w:sz="4" w:space="0"/>
              <w:bottom w:val="single" w:color="auto" w:sz="4" w:space="0"/>
              <w:right w:val="single" w:color="auto" w:sz="4" w:space="0"/>
            </w:tcBorders>
            <w:vAlign w:val="center"/>
          </w:tcPr>
          <w:p w14:paraId="3D0D48B9">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投标文件的</w:t>
            </w:r>
          </w:p>
          <w:p w14:paraId="73F0FE7F">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提交</w:t>
            </w:r>
          </w:p>
        </w:tc>
        <w:tc>
          <w:tcPr>
            <w:tcW w:w="6647" w:type="dxa"/>
            <w:tcBorders>
              <w:top w:val="single" w:color="auto" w:sz="4" w:space="0"/>
              <w:left w:val="single" w:color="auto" w:sz="4" w:space="0"/>
              <w:bottom w:val="single" w:color="auto" w:sz="4" w:space="0"/>
              <w:right w:val="single" w:color="auto" w:sz="4" w:space="0"/>
            </w:tcBorders>
            <w:vAlign w:val="center"/>
          </w:tcPr>
          <w:p w14:paraId="01FE6D98">
            <w:pPr>
              <w:adjustRightInd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电子投标文件应使用“政釆云”平台（</w:t>
            </w:r>
            <w:r>
              <w:rPr>
                <w:highlight w:val="none"/>
              </w:rPr>
              <w:fldChar w:fldCharType="begin"/>
            </w:r>
            <w:r>
              <w:rPr>
                <w:highlight w:val="none"/>
              </w:rPr>
              <w:instrText xml:space="preserve"> HYPERLINK "https://www" </w:instrText>
            </w:r>
            <w:r>
              <w:rPr>
                <w:highlight w:val="none"/>
              </w:rPr>
              <w:fldChar w:fldCharType="separate"/>
            </w:r>
            <w:r>
              <w:rPr>
                <w:rStyle w:val="24"/>
                <w:rFonts w:hint="eastAsia" w:ascii="仿宋" w:hAnsi="仿宋" w:eastAsia="仿宋"/>
                <w:color w:val="auto"/>
                <w:sz w:val="24"/>
                <w:szCs w:val="24"/>
                <w:highlight w:val="none"/>
                <w:u w:val="none"/>
              </w:rPr>
              <w:t>https://www</w:t>
            </w:r>
            <w:r>
              <w:rPr>
                <w:rStyle w:val="24"/>
                <w:rFonts w:hint="eastAsia" w:ascii="仿宋" w:hAnsi="仿宋" w:eastAsia="仿宋"/>
                <w:color w:val="auto"/>
                <w:sz w:val="24"/>
                <w:szCs w:val="24"/>
                <w:highlight w:val="none"/>
                <w:u w:val="none"/>
              </w:rPr>
              <w:fldChar w:fldCharType="end"/>
            </w:r>
            <w:r>
              <w:rPr>
                <w:rFonts w:hint="eastAsia" w:ascii="仿宋" w:hAnsi="仿宋" w:eastAsia="仿宋"/>
                <w:sz w:val="24"/>
                <w:szCs w:val="24"/>
                <w:highlight w:val="none"/>
              </w:rPr>
              <w:t>. zcygo</w:t>
            </w:r>
            <w:r>
              <w:rPr>
                <w:rFonts w:hint="eastAsia" w:ascii="仿宋" w:hAnsi="仿宋" w:eastAsia="仿宋"/>
                <w:color w:val="000000"/>
                <w:sz w:val="24"/>
                <w:szCs w:val="24"/>
                <w:highlight w:val="none"/>
              </w:rPr>
              <w:t>v. cn）中下载的政釆云电子投标客户端制作，并进行电子签章及加密后上传至政釆云平台，编制要求见《电子投标文件编制要求》。</w:t>
            </w:r>
          </w:p>
        </w:tc>
      </w:tr>
      <w:tr w14:paraId="03EFC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326F19E">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4.1.1</w:t>
            </w:r>
          </w:p>
        </w:tc>
        <w:tc>
          <w:tcPr>
            <w:tcW w:w="1727" w:type="dxa"/>
            <w:tcBorders>
              <w:top w:val="single" w:color="auto" w:sz="4" w:space="0"/>
              <w:left w:val="single" w:color="auto" w:sz="4" w:space="0"/>
              <w:bottom w:val="single" w:color="auto" w:sz="4" w:space="0"/>
              <w:right w:val="single" w:color="auto" w:sz="4" w:space="0"/>
            </w:tcBorders>
            <w:vAlign w:val="center"/>
          </w:tcPr>
          <w:p w14:paraId="796E35F7">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投标文件的</w:t>
            </w:r>
          </w:p>
          <w:p w14:paraId="02DEB28B">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密封</w:t>
            </w:r>
          </w:p>
        </w:tc>
        <w:tc>
          <w:tcPr>
            <w:tcW w:w="6647" w:type="dxa"/>
            <w:tcBorders>
              <w:top w:val="single" w:color="auto" w:sz="4" w:space="0"/>
              <w:left w:val="single" w:color="auto" w:sz="4" w:space="0"/>
              <w:bottom w:val="single" w:color="auto" w:sz="4" w:space="0"/>
              <w:right w:val="single" w:color="auto" w:sz="4" w:space="0"/>
            </w:tcBorders>
            <w:vAlign w:val="center"/>
          </w:tcPr>
          <w:p w14:paraId="3DDDD033">
            <w:pPr>
              <w:spacing w:line="360" w:lineRule="auto"/>
              <w:jc w:val="left"/>
              <w:rPr>
                <w:rFonts w:ascii="仿宋" w:hAnsi="仿宋" w:eastAsia="仿宋"/>
                <w:bCs/>
                <w:color w:val="000000"/>
                <w:sz w:val="24"/>
                <w:szCs w:val="24"/>
                <w:highlight w:val="none"/>
              </w:rPr>
            </w:pPr>
            <w:r>
              <w:rPr>
                <w:rFonts w:hint="eastAsia" w:ascii="仿宋" w:hAnsi="仿宋" w:eastAsia="仿宋"/>
                <w:bCs/>
                <w:color w:val="000000"/>
                <w:sz w:val="24"/>
                <w:szCs w:val="24"/>
                <w:highlight w:val="none"/>
              </w:rPr>
              <w:t>网上递交的投标文件需要对投标文件进行加密</w:t>
            </w:r>
          </w:p>
        </w:tc>
      </w:tr>
      <w:tr w14:paraId="69A5C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1677364E">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5.1</w:t>
            </w:r>
          </w:p>
        </w:tc>
        <w:tc>
          <w:tcPr>
            <w:tcW w:w="1727" w:type="dxa"/>
            <w:tcBorders>
              <w:top w:val="single" w:color="auto" w:sz="4" w:space="0"/>
              <w:left w:val="single" w:color="auto" w:sz="4" w:space="0"/>
              <w:bottom w:val="single" w:color="auto" w:sz="4" w:space="0"/>
              <w:right w:val="single" w:color="auto" w:sz="4" w:space="0"/>
            </w:tcBorders>
            <w:vAlign w:val="center"/>
          </w:tcPr>
          <w:p w14:paraId="636E55BE">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开标时间</w:t>
            </w:r>
          </w:p>
          <w:p w14:paraId="6F29CC47">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和地点</w:t>
            </w:r>
          </w:p>
        </w:tc>
        <w:tc>
          <w:tcPr>
            <w:tcW w:w="6647" w:type="dxa"/>
            <w:tcBorders>
              <w:top w:val="single" w:color="auto" w:sz="4" w:space="0"/>
              <w:left w:val="single" w:color="auto" w:sz="4" w:space="0"/>
              <w:bottom w:val="single" w:color="auto" w:sz="4" w:space="0"/>
              <w:right w:val="single" w:color="auto" w:sz="4" w:space="0"/>
            </w:tcBorders>
            <w:vAlign w:val="center"/>
          </w:tcPr>
          <w:p w14:paraId="7613FA38">
            <w:pPr>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开标时间：同投标截止时间</w:t>
            </w:r>
          </w:p>
          <w:p w14:paraId="64297D41">
            <w:pPr>
              <w:spacing w:line="360" w:lineRule="auto"/>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开标地点：德宏州润宇招标代理有限公司二楼开标室</w:t>
            </w:r>
          </w:p>
        </w:tc>
      </w:tr>
      <w:tr w14:paraId="50E51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4AE4A5F2">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5.2</w:t>
            </w:r>
          </w:p>
        </w:tc>
        <w:tc>
          <w:tcPr>
            <w:tcW w:w="1727" w:type="dxa"/>
            <w:tcBorders>
              <w:top w:val="single" w:color="auto" w:sz="4" w:space="0"/>
              <w:left w:val="single" w:color="auto" w:sz="4" w:space="0"/>
              <w:bottom w:val="single" w:color="auto" w:sz="4" w:space="0"/>
              <w:right w:val="single" w:color="auto" w:sz="4" w:space="0"/>
            </w:tcBorders>
            <w:vAlign w:val="center"/>
          </w:tcPr>
          <w:p w14:paraId="39BA6BB2">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开标程序</w:t>
            </w:r>
          </w:p>
        </w:tc>
        <w:tc>
          <w:tcPr>
            <w:tcW w:w="6647" w:type="dxa"/>
            <w:tcBorders>
              <w:top w:val="single" w:color="auto" w:sz="4" w:space="0"/>
              <w:left w:val="single" w:color="auto" w:sz="4" w:space="0"/>
              <w:bottom w:val="single" w:color="auto" w:sz="4" w:space="0"/>
              <w:right w:val="single" w:color="auto" w:sz="4" w:space="0"/>
            </w:tcBorders>
            <w:vAlign w:val="center"/>
          </w:tcPr>
          <w:p w14:paraId="74BF3486">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(1)宣布开标纪律；</w:t>
            </w:r>
          </w:p>
          <w:p w14:paraId="36599CBC">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(2)公布在投标截止时间前递交投标文件的投标人名称；</w:t>
            </w:r>
          </w:p>
          <w:p w14:paraId="76FA6F9F">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按照政釆云平台自动提取所有投标人的顺序当众开标，依次导入有效投标人的电子投标文件同时，由投标人对网上递交已加密的投标文件，解密完成后，公布投标人名称、投标保证金的递交情况、投标报价及其他内容，并记录在案。因投标人原因造成投标文件未解密的，视为撤销其投标文件；</w:t>
            </w:r>
          </w:p>
          <w:p w14:paraId="1E469CA3">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(4)开标结束。</w:t>
            </w:r>
          </w:p>
        </w:tc>
      </w:tr>
      <w:tr w14:paraId="79FE5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D02B912">
            <w:pPr>
              <w:pStyle w:val="9"/>
              <w:autoSpaceDE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6.1.1</w:t>
            </w:r>
          </w:p>
        </w:tc>
        <w:tc>
          <w:tcPr>
            <w:tcW w:w="1727" w:type="dxa"/>
            <w:tcBorders>
              <w:top w:val="single" w:color="auto" w:sz="4" w:space="0"/>
              <w:left w:val="single" w:color="auto" w:sz="4" w:space="0"/>
              <w:bottom w:val="single" w:color="auto" w:sz="4" w:space="0"/>
              <w:right w:val="single" w:color="auto" w:sz="4" w:space="0"/>
            </w:tcBorders>
            <w:vAlign w:val="center"/>
          </w:tcPr>
          <w:p w14:paraId="0E64A572">
            <w:pPr>
              <w:autoSpaceDE w:val="0"/>
              <w:spacing w:line="360" w:lineRule="auto"/>
              <w:jc w:val="center"/>
              <w:rPr>
                <w:rFonts w:ascii="仿宋" w:hAnsi="仿宋" w:eastAsia="仿宋"/>
                <w:color w:val="000000"/>
                <w:kern w:val="0"/>
                <w:sz w:val="24"/>
                <w:szCs w:val="24"/>
                <w:highlight w:val="none"/>
              </w:rPr>
            </w:pPr>
            <w:r>
              <w:rPr>
                <w:rFonts w:hint="eastAsia" w:ascii="仿宋" w:hAnsi="仿宋" w:eastAsia="仿宋"/>
                <w:color w:val="000000"/>
                <w:kern w:val="0"/>
                <w:sz w:val="24"/>
                <w:szCs w:val="24"/>
                <w:highlight w:val="none"/>
              </w:rPr>
              <w:t>评标委员会的组建</w:t>
            </w:r>
          </w:p>
        </w:tc>
        <w:tc>
          <w:tcPr>
            <w:tcW w:w="6647" w:type="dxa"/>
            <w:tcBorders>
              <w:top w:val="single" w:color="auto" w:sz="4" w:space="0"/>
              <w:left w:val="single" w:color="auto" w:sz="4" w:space="0"/>
              <w:bottom w:val="single" w:color="auto" w:sz="4" w:space="0"/>
              <w:right w:val="single" w:color="auto" w:sz="4" w:space="0"/>
            </w:tcBorders>
            <w:vAlign w:val="center"/>
          </w:tcPr>
          <w:p w14:paraId="3C86093B">
            <w:pPr>
              <w:spacing w:line="360" w:lineRule="auto"/>
              <w:rPr>
                <w:rFonts w:ascii="仿宋" w:hAnsi="仿宋" w:eastAsia="仿宋"/>
                <w:color w:val="000000"/>
                <w:kern w:val="0"/>
                <w:sz w:val="24"/>
                <w:szCs w:val="24"/>
                <w:highlight w:val="none"/>
              </w:rPr>
            </w:pPr>
            <w:r>
              <w:rPr>
                <w:rFonts w:hint="eastAsia" w:ascii="仿宋" w:hAnsi="仿宋" w:eastAsia="仿宋"/>
                <w:color w:val="000000"/>
                <w:kern w:val="0"/>
                <w:sz w:val="24"/>
                <w:szCs w:val="24"/>
                <w:highlight w:val="none"/>
              </w:rPr>
              <w:t>评标委员会人数：5人。</w:t>
            </w:r>
          </w:p>
          <w:p w14:paraId="5336D77E">
            <w:pPr>
              <w:spacing w:line="360" w:lineRule="auto"/>
              <w:rPr>
                <w:rFonts w:ascii="仿宋" w:hAnsi="仿宋" w:eastAsia="仿宋"/>
                <w:color w:val="000000"/>
                <w:kern w:val="0"/>
                <w:sz w:val="24"/>
                <w:szCs w:val="24"/>
                <w:highlight w:val="none"/>
              </w:rPr>
            </w:pPr>
            <w:r>
              <w:rPr>
                <w:rFonts w:hint="eastAsia" w:ascii="仿宋" w:hAnsi="仿宋" w:eastAsia="仿宋"/>
                <w:color w:val="000000"/>
                <w:kern w:val="0"/>
                <w:sz w:val="24"/>
                <w:szCs w:val="24"/>
                <w:highlight w:val="none"/>
              </w:rPr>
              <w:t>评标专家确定方式：在云南省政府采购专家管理子系统中随机抽取4人，采购人代表1人。</w:t>
            </w:r>
          </w:p>
          <w:p w14:paraId="1BCC2D3B">
            <w:pPr>
              <w:autoSpaceDE w:val="0"/>
              <w:spacing w:line="360" w:lineRule="auto"/>
              <w:rPr>
                <w:rFonts w:ascii="仿宋" w:hAnsi="仿宋" w:eastAsia="仿宋"/>
                <w:color w:val="000000"/>
                <w:kern w:val="0"/>
                <w:sz w:val="24"/>
                <w:szCs w:val="24"/>
                <w:highlight w:val="none"/>
              </w:rPr>
            </w:pPr>
            <w:r>
              <w:rPr>
                <w:rFonts w:hint="eastAsia" w:ascii="仿宋" w:hAnsi="仿宋" w:eastAsia="仿宋"/>
                <w:color w:val="000000"/>
                <w:kern w:val="0"/>
                <w:sz w:val="24"/>
                <w:szCs w:val="24"/>
                <w:highlight w:val="none"/>
              </w:rPr>
              <w:t>注：特殊情况经审批后确定。</w:t>
            </w:r>
          </w:p>
        </w:tc>
      </w:tr>
      <w:tr w14:paraId="025F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3B507AB2">
            <w:pPr>
              <w:pStyle w:val="9"/>
              <w:autoSpaceDE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6.3</w:t>
            </w:r>
          </w:p>
        </w:tc>
        <w:tc>
          <w:tcPr>
            <w:tcW w:w="1727" w:type="dxa"/>
            <w:tcBorders>
              <w:top w:val="single" w:color="auto" w:sz="4" w:space="0"/>
              <w:left w:val="single" w:color="auto" w:sz="4" w:space="0"/>
              <w:bottom w:val="single" w:color="auto" w:sz="4" w:space="0"/>
              <w:right w:val="single" w:color="auto" w:sz="4" w:space="0"/>
            </w:tcBorders>
            <w:vAlign w:val="center"/>
          </w:tcPr>
          <w:p w14:paraId="4B1F4F7B">
            <w:pPr>
              <w:autoSpaceDE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评标办法</w:t>
            </w:r>
          </w:p>
        </w:tc>
        <w:tc>
          <w:tcPr>
            <w:tcW w:w="6647" w:type="dxa"/>
            <w:tcBorders>
              <w:top w:val="single" w:color="auto" w:sz="4" w:space="0"/>
              <w:left w:val="single" w:color="auto" w:sz="4" w:space="0"/>
              <w:bottom w:val="single" w:color="auto" w:sz="4" w:space="0"/>
              <w:right w:val="single" w:color="auto" w:sz="4" w:space="0"/>
            </w:tcBorders>
            <w:vAlign w:val="center"/>
          </w:tcPr>
          <w:p w14:paraId="0A440CD1">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综合评分法</w:t>
            </w:r>
          </w:p>
        </w:tc>
      </w:tr>
      <w:tr w14:paraId="5AD75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88AD58E">
            <w:pPr>
              <w:pStyle w:val="9"/>
              <w:autoSpaceDE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7.1</w:t>
            </w:r>
          </w:p>
        </w:tc>
        <w:tc>
          <w:tcPr>
            <w:tcW w:w="1727" w:type="dxa"/>
            <w:tcBorders>
              <w:top w:val="single" w:color="auto" w:sz="4" w:space="0"/>
              <w:left w:val="single" w:color="auto" w:sz="4" w:space="0"/>
              <w:bottom w:val="single" w:color="auto" w:sz="4" w:space="0"/>
              <w:right w:val="single" w:color="auto" w:sz="4" w:space="0"/>
            </w:tcBorders>
            <w:vAlign w:val="center"/>
          </w:tcPr>
          <w:p w14:paraId="49C39733">
            <w:pPr>
              <w:autoSpaceDE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是否授权评标委员会确定中标人</w:t>
            </w:r>
          </w:p>
        </w:tc>
        <w:tc>
          <w:tcPr>
            <w:tcW w:w="6647" w:type="dxa"/>
            <w:tcBorders>
              <w:top w:val="single" w:color="auto" w:sz="4" w:space="0"/>
              <w:left w:val="single" w:color="auto" w:sz="4" w:space="0"/>
              <w:bottom w:val="single" w:color="auto" w:sz="4" w:space="0"/>
              <w:right w:val="single" w:color="auto" w:sz="4" w:space="0"/>
            </w:tcBorders>
            <w:vAlign w:val="center"/>
          </w:tcPr>
          <w:p w14:paraId="6FFEA37B">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否，评标委员会推荐中标候选人的人数为：3（前三名）。 </w:t>
            </w:r>
          </w:p>
        </w:tc>
      </w:tr>
      <w:tr w14:paraId="00F9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6565C97">
            <w:pPr>
              <w:pStyle w:val="9"/>
              <w:autoSpaceDE w:val="0"/>
              <w:spacing w:line="360" w:lineRule="auto"/>
              <w:jc w:val="center"/>
              <w:rPr>
                <w:rFonts w:ascii="仿宋" w:hAnsi="仿宋" w:eastAsia="仿宋"/>
                <w:color w:val="000000"/>
                <w:sz w:val="24"/>
                <w:szCs w:val="24"/>
                <w:highlight w:val="none"/>
              </w:rPr>
            </w:pPr>
            <w:r>
              <w:rPr>
                <w:rFonts w:hint="eastAsia" w:ascii="仿宋" w:hAnsi="仿宋" w:eastAsia="仿宋"/>
                <w:bCs/>
                <w:color w:val="000000"/>
                <w:sz w:val="24"/>
                <w:szCs w:val="24"/>
                <w:highlight w:val="none"/>
              </w:rPr>
              <w:t>7.3</w:t>
            </w:r>
          </w:p>
        </w:tc>
        <w:tc>
          <w:tcPr>
            <w:tcW w:w="1727" w:type="dxa"/>
            <w:tcBorders>
              <w:top w:val="single" w:color="auto" w:sz="4" w:space="0"/>
              <w:left w:val="single" w:color="auto" w:sz="4" w:space="0"/>
              <w:bottom w:val="single" w:color="auto" w:sz="4" w:space="0"/>
              <w:right w:val="single" w:color="auto" w:sz="4" w:space="0"/>
            </w:tcBorders>
            <w:vAlign w:val="center"/>
          </w:tcPr>
          <w:p w14:paraId="3CD9310D">
            <w:pPr>
              <w:autoSpaceDE w:val="0"/>
              <w:spacing w:line="360" w:lineRule="auto"/>
              <w:jc w:val="center"/>
              <w:rPr>
                <w:rFonts w:ascii="仿宋" w:hAnsi="仿宋" w:eastAsia="仿宋"/>
                <w:color w:val="000000"/>
                <w:sz w:val="24"/>
                <w:szCs w:val="24"/>
                <w:highlight w:val="none"/>
              </w:rPr>
            </w:pPr>
            <w:r>
              <w:rPr>
                <w:rFonts w:hint="eastAsia" w:ascii="仿宋" w:hAnsi="仿宋" w:eastAsia="仿宋"/>
                <w:bCs/>
                <w:color w:val="000000"/>
                <w:sz w:val="24"/>
                <w:szCs w:val="24"/>
                <w:highlight w:val="none"/>
              </w:rPr>
              <w:t>履约保证金</w:t>
            </w:r>
          </w:p>
        </w:tc>
        <w:tc>
          <w:tcPr>
            <w:tcW w:w="6647" w:type="dxa"/>
            <w:tcBorders>
              <w:top w:val="single" w:color="auto" w:sz="4" w:space="0"/>
              <w:left w:val="single" w:color="auto" w:sz="4" w:space="0"/>
              <w:bottom w:val="single" w:color="auto" w:sz="4" w:space="0"/>
              <w:right w:val="single" w:color="auto" w:sz="4" w:space="0"/>
            </w:tcBorders>
            <w:vAlign w:val="center"/>
          </w:tcPr>
          <w:p w14:paraId="57AA931C">
            <w:pPr>
              <w:autoSpaceDE w:val="0"/>
              <w:spacing w:line="360" w:lineRule="auto"/>
              <w:rPr>
                <w:rFonts w:ascii="仿宋" w:hAnsi="仿宋" w:eastAsia="仿宋"/>
                <w:b/>
                <w:color w:val="000000"/>
                <w:sz w:val="24"/>
                <w:szCs w:val="24"/>
                <w:highlight w:val="none"/>
              </w:rPr>
            </w:pPr>
            <w:r>
              <w:rPr>
                <w:rFonts w:hint="eastAsia" w:ascii="仿宋" w:hAnsi="仿宋" w:eastAsia="仿宋"/>
                <w:color w:val="000000"/>
                <w:sz w:val="24"/>
                <w:szCs w:val="24"/>
                <w:highlight w:val="none"/>
              </w:rPr>
              <w:t>合同签订时约定</w:t>
            </w:r>
          </w:p>
        </w:tc>
      </w:tr>
      <w:tr w14:paraId="1F6C6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5BA7CFB">
            <w:pPr>
              <w:pStyle w:val="9"/>
              <w:autoSpaceDE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10</w:t>
            </w:r>
          </w:p>
        </w:tc>
        <w:tc>
          <w:tcPr>
            <w:tcW w:w="8374" w:type="dxa"/>
            <w:gridSpan w:val="2"/>
            <w:tcBorders>
              <w:top w:val="single" w:color="auto" w:sz="4" w:space="0"/>
              <w:left w:val="single" w:color="auto" w:sz="4" w:space="0"/>
              <w:bottom w:val="single" w:color="auto" w:sz="4" w:space="0"/>
              <w:right w:val="single" w:color="auto" w:sz="4" w:space="0"/>
            </w:tcBorders>
            <w:vAlign w:val="center"/>
          </w:tcPr>
          <w:p w14:paraId="165A0553">
            <w:pPr>
              <w:autoSpaceDE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需要补充的其他内容</w:t>
            </w:r>
          </w:p>
        </w:tc>
      </w:tr>
      <w:tr w14:paraId="5BDA8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910B65A">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10.1</w:t>
            </w:r>
          </w:p>
        </w:tc>
        <w:tc>
          <w:tcPr>
            <w:tcW w:w="1727" w:type="dxa"/>
            <w:tcBorders>
              <w:top w:val="single" w:color="auto" w:sz="4" w:space="0"/>
              <w:left w:val="single" w:color="auto" w:sz="4" w:space="0"/>
              <w:bottom w:val="single" w:color="auto" w:sz="4" w:space="0"/>
              <w:right w:val="single" w:color="auto" w:sz="4" w:space="0"/>
            </w:tcBorders>
            <w:vAlign w:val="center"/>
          </w:tcPr>
          <w:p w14:paraId="67F38A1D">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环境标志产品及节能产品有关政策</w:t>
            </w:r>
          </w:p>
        </w:tc>
        <w:tc>
          <w:tcPr>
            <w:tcW w:w="6647" w:type="dxa"/>
            <w:tcBorders>
              <w:top w:val="single" w:color="auto" w:sz="4" w:space="0"/>
              <w:left w:val="single" w:color="auto" w:sz="4" w:space="0"/>
              <w:bottom w:val="single" w:color="auto" w:sz="4" w:space="0"/>
              <w:right w:val="single" w:color="auto" w:sz="4" w:space="0"/>
            </w:tcBorders>
            <w:vAlign w:val="center"/>
          </w:tcPr>
          <w:p w14:paraId="1F0ACE3B">
            <w:pPr>
              <w:pStyle w:val="9"/>
              <w:keepNext/>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本项目对环境标志产品及节能产品的评审：</w:t>
            </w:r>
            <w:r>
              <w:rPr>
                <w:rFonts w:hint="eastAsia" w:ascii="仿宋" w:hAnsi="仿宋" w:eastAsia="仿宋"/>
                <w:b/>
                <w:bCs/>
                <w:color w:val="000000"/>
                <w:sz w:val="24"/>
                <w:szCs w:val="24"/>
                <w:highlight w:val="none"/>
              </w:rPr>
              <w:t>不适用。</w:t>
            </w:r>
          </w:p>
          <w:p w14:paraId="392C8855">
            <w:pPr>
              <w:pStyle w:val="9"/>
              <w:keepNext/>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w:t>
            </w:r>
          </w:p>
          <w:p w14:paraId="29118C03">
            <w:pPr>
              <w:pStyle w:val="9"/>
              <w:keepNext/>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（2）鼓励环保政策：在技术、服务等指标同等条件下，优先采购国家公布的属于环境标志产品政府采购清单中产品。执行政策文件：《关于环境标志产品政府采购实施的意见》（财库[2006]90号）。</w:t>
            </w:r>
          </w:p>
          <w:p w14:paraId="448C3CF9">
            <w:pPr>
              <w:pStyle w:val="9"/>
              <w:keepNext/>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（3）根据《节能产品政府采购实施意见》（财库[2004]185 号）、《财政部 发展改革委 生态环境部 市场监管总局 关于调整优化节能产品、环境标志产品政府采购执行机制的通知》（财库〔2019〕9号），如果投标人拟供的产品属于“节能产品政府采购清单”中的，按照评分办法中要求给予加分。投标人须提供证明材料（请提供在中国政府采购网“节能产品清单”中产品查询结果截图)，否则评标时不予认可。</w:t>
            </w:r>
          </w:p>
          <w:p w14:paraId="6AD24959">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（4）根据《关于环境标志产品政府采购实施的意见》（财库[2006]90 号）、《财政部 发展改革委 生态环境部 市场监管总局 关于调整优化节能产品、环境标志产品政府采购执行机制的通知》（财库〔2019〕9号），如果投标人拟供的产品属于“环境标志产品政府采购清单”中的，按照评分办法中要求给予加分。投标人须提供证明材料（必须提供在中国政府采购网“环保标志产品清单” 中产品查询结果截图)，否则评标时不予认可。</w:t>
            </w:r>
          </w:p>
        </w:tc>
      </w:tr>
      <w:tr w14:paraId="2FA9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73A8FC61">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10.2</w:t>
            </w:r>
          </w:p>
        </w:tc>
        <w:tc>
          <w:tcPr>
            <w:tcW w:w="1727" w:type="dxa"/>
            <w:tcBorders>
              <w:top w:val="single" w:color="auto" w:sz="4" w:space="0"/>
              <w:left w:val="single" w:color="auto" w:sz="4" w:space="0"/>
              <w:bottom w:val="single" w:color="auto" w:sz="4" w:space="0"/>
              <w:right w:val="single" w:color="auto" w:sz="4" w:space="0"/>
            </w:tcBorders>
            <w:vAlign w:val="center"/>
          </w:tcPr>
          <w:p w14:paraId="4C1AE0FB">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评标结果公示</w:t>
            </w:r>
          </w:p>
        </w:tc>
        <w:tc>
          <w:tcPr>
            <w:tcW w:w="6647" w:type="dxa"/>
            <w:tcBorders>
              <w:top w:val="single" w:color="auto" w:sz="4" w:space="0"/>
              <w:left w:val="single" w:color="auto" w:sz="4" w:space="0"/>
              <w:bottom w:val="single" w:color="auto" w:sz="4" w:space="0"/>
              <w:right w:val="single" w:color="auto" w:sz="4" w:space="0"/>
            </w:tcBorders>
            <w:vAlign w:val="center"/>
          </w:tcPr>
          <w:p w14:paraId="00B6AC1C">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在中标通知书发出前，采购人将中标人的情况在本招标项目招标公告发布的同一媒介上予以公示，中标公告期限为1个工作日。</w:t>
            </w:r>
          </w:p>
        </w:tc>
      </w:tr>
      <w:tr w14:paraId="6C5F0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2BCF9723">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10.3</w:t>
            </w:r>
          </w:p>
        </w:tc>
        <w:tc>
          <w:tcPr>
            <w:tcW w:w="1727" w:type="dxa"/>
            <w:tcBorders>
              <w:top w:val="single" w:color="auto" w:sz="4" w:space="0"/>
              <w:left w:val="single" w:color="auto" w:sz="4" w:space="0"/>
              <w:bottom w:val="single" w:color="auto" w:sz="4" w:space="0"/>
              <w:right w:val="single" w:color="auto" w:sz="4" w:space="0"/>
            </w:tcBorders>
            <w:vAlign w:val="center"/>
          </w:tcPr>
          <w:p w14:paraId="468E61C9">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知识产权</w:t>
            </w:r>
          </w:p>
        </w:tc>
        <w:tc>
          <w:tcPr>
            <w:tcW w:w="6647" w:type="dxa"/>
            <w:tcBorders>
              <w:top w:val="single" w:color="auto" w:sz="4" w:space="0"/>
              <w:left w:val="single" w:color="auto" w:sz="4" w:space="0"/>
              <w:bottom w:val="single" w:color="auto" w:sz="4" w:space="0"/>
              <w:right w:val="single" w:color="auto" w:sz="4" w:space="0"/>
            </w:tcBorders>
            <w:vAlign w:val="center"/>
          </w:tcPr>
          <w:p w14:paraId="310466BA">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构成本招标文件各个组成部分的文件，未经采购人书面同意，投标人不得擅自复印和用于非本招标项目所需的其他目的。采购人全部或者部分使用未中标人投标文件中的技术成果或技术方案时，需征得其书面同意，并不得擅自复印或提供给第三人。</w:t>
            </w:r>
          </w:p>
        </w:tc>
      </w:tr>
      <w:tr w14:paraId="4356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0031430E">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10.4</w:t>
            </w:r>
          </w:p>
        </w:tc>
        <w:tc>
          <w:tcPr>
            <w:tcW w:w="1727" w:type="dxa"/>
            <w:tcBorders>
              <w:top w:val="single" w:color="auto" w:sz="4" w:space="0"/>
              <w:left w:val="single" w:color="auto" w:sz="4" w:space="0"/>
              <w:bottom w:val="single" w:color="auto" w:sz="4" w:space="0"/>
              <w:right w:val="single" w:color="auto" w:sz="4" w:space="0"/>
            </w:tcBorders>
            <w:vAlign w:val="center"/>
          </w:tcPr>
          <w:p w14:paraId="148745EC">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重新招标的其他情形</w:t>
            </w:r>
          </w:p>
        </w:tc>
        <w:tc>
          <w:tcPr>
            <w:tcW w:w="6647" w:type="dxa"/>
            <w:tcBorders>
              <w:top w:val="single" w:color="auto" w:sz="4" w:space="0"/>
              <w:left w:val="single" w:color="auto" w:sz="4" w:space="0"/>
              <w:bottom w:val="single" w:color="auto" w:sz="4" w:space="0"/>
              <w:right w:val="single" w:color="auto" w:sz="4" w:space="0"/>
            </w:tcBorders>
            <w:vAlign w:val="center"/>
          </w:tcPr>
          <w:p w14:paraId="27E4EE5B">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除投标人须知正文第8条规定的情形外，除非已经产生中标候选人，在投标有效期内同意延长投标有效期的投标人少于三个的，采购人应当依法重新招标。</w:t>
            </w:r>
          </w:p>
        </w:tc>
      </w:tr>
      <w:tr w14:paraId="3AA38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188" w:type="dxa"/>
            <w:tcBorders>
              <w:top w:val="single" w:color="auto" w:sz="4" w:space="0"/>
              <w:left w:val="single" w:color="auto" w:sz="4" w:space="0"/>
              <w:bottom w:val="single" w:color="auto" w:sz="4" w:space="0"/>
              <w:right w:val="single" w:color="auto" w:sz="4" w:space="0"/>
            </w:tcBorders>
            <w:vAlign w:val="center"/>
          </w:tcPr>
          <w:p w14:paraId="5A828103">
            <w:pPr>
              <w:pStyle w:val="9"/>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10.5</w:t>
            </w:r>
          </w:p>
        </w:tc>
        <w:tc>
          <w:tcPr>
            <w:tcW w:w="1727" w:type="dxa"/>
            <w:tcBorders>
              <w:top w:val="single" w:color="auto" w:sz="4" w:space="0"/>
              <w:left w:val="single" w:color="auto" w:sz="4" w:space="0"/>
              <w:bottom w:val="single" w:color="auto" w:sz="4" w:space="0"/>
              <w:right w:val="single" w:color="auto" w:sz="4" w:space="0"/>
            </w:tcBorders>
            <w:vAlign w:val="center"/>
          </w:tcPr>
          <w:p w14:paraId="483D3400">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转包或分包</w:t>
            </w:r>
          </w:p>
        </w:tc>
        <w:tc>
          <w:tcPr>
            <w:tcW w:w="6647" w:type="dxa"/>
            <w:tcBorders>
              <w:top w:val="single" w:color="auto" w:sz="4" w:space="0"/>
              <w:left w:val="single" w:color="auto" w:sz="4" w:space="0"/>
              <w:bottom w:val="single" w:color="auto" w:sz="4" w:space="0"/>
              <w:right w:val="single" w:color="auto" w:sz="4" w:space="0"/>
            </w:tcBorders>
            <w:vAlign w:val="center"/>
          </w:tcPr>
          <w:p w14:paraId="1F63A449">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不允许转包、分包</w:t>
            </w:r>
          </w:p>
        </w:tc>
      </w:tr>
    </w:tbl>
    <w:p w14:paraId="627EFDE0">
      <w:pPr>
        <w:rPr>
          <w:rFonts w:ascii="仿宋" w:hAnsi="仿宋" w:eastAsia="仿宋"/>
          <w:b/>
          <w:caps/>
          <w:color w:val="000000"/>
          <w:sz w:val="28"/>
          <w:szCs w:val="28"/>
          <w:highlight w:val="none"/>
        </w:rPr>
      </w:pPr>
      <w:r>
        <w:rPr>
          <w:rFonts w:hint="eastAsia" w:ascii="仿宋" w:hAnsi="仿宋" w:eastAsia="仿宋"/>
          <w:b/>
          <w:caps/>
          <w:color w:val="000000"/>
          <w:sz w:val="28"/>
          <w:szCs w:val="28"/>
          <w:highlight w:val="none"/>
        </w:rPr>
        <w:br w:type="page"/>
      </w:r>
    </w:p>
    <w:p w14:paraId="26D12193">
      <w:pPr>
        <w:autoSpaceDE w:val="0"/>
        <w:spacing w:line="360" w:lineRule="auto"/>
        <w:jc w:val="center"/>
        <w:rPr>
          <w:rFonts w:ascii="仿宋" w:hAnsi="仿宋" w:eastAsia="仿宋"/>
          <w:b/>
          <w:bCs/>
          <w:color w:val="000000"/>
          <w:sz w:val="30"/>
          <w:szCs w:val="30"/>
          <w:highlight w:val="none"/>
        </w:rPr>
      </w:pPr>
      <w:bookmarkStart w:id="40" w:name="_Toc16194"/>
      <w:bookmarkEnd w:id="40"/>
      <w:r>
        <w:rPr>
          <w:rFonts w:hint="eastAsia" w:ascii="仿宋" w:hAnsi="仿宋" w:eastAsia="仿宋"/>
          <w:b/>
          <w:color w:val="000000"/>
          <w:sz w:val="28"/>
          <w:szCs w:val="28"/>
          <w:highlight w:val="none"/>
        </w:rPr>
        <w:t>投标人须知正文部分</w:t>
      </w:r>
    </w:p>
    <w:p w14:paraId="7C129B84">
      <w:pPr>
        <w:autoSpaceDE w:val="0"/>
        <w:spacing w:line="360" w:lineRule="auto"/>
        <w:rPr>
          <w:rFonts w:ascii="仿宋" w:hAnsi="仿宋" w:eastAsia="仿宋"/>
          <w:b/>
          <w:bCs/>
          <w:color w:val="000000"/>
          <w:sz w:val="24"/>
          <w:szCs w:val="24"/>
          <w:highlight w:val="none"/>
        </w:rPr>
      </w:pPr>
      <w:bookmarkStart w:id="41" w:name="_Toc486885397"/>
      <w:bookmarkEnd w:id="41"/>
      <w:r>
        <w:rPr>
          <w:rFonts w:hint="eastAsia" w:ascii="仿宋" w:hAnsi="仿宋" w:eastAsia="仿宋"/>
          <w:b/>
          <w:bCs/>
          <w:color w:val="000000"/>
          <w:sz w:val="24"/>
          <w:szCs w:val="24"/>
          <w:highlight w:val="none"/>
        </w:rPr>
        <w:t>1、总则</w:t>
      </w:r>
    </w:p>
    <w:p w14:paraId="4E8DFEE2">
      <w:pPr>
        <w:pStyle w:val="9"/>
        <w:autoSpaceDE w:val="0"/>
        <w:spacing w:line="360" w:lineRule="auto"/>
        <w:ind w:left="242" w:hanging="242" w:hangingChars="101"/>
        <w:jc w:val="left"/>
        <w:rPr>
          <w:rFonts w:ascii="仿宋" w:hAnsi="仿宋" w:eastAsia="仿宋"/>
          <w:bCs/>
          <w:color w:val="000000"/>
          <w:sz w:val="24"/>
          <w:szCs w:val="24"/>
          <w:highlight w:val="none"/>
        </w:rPr>
      </w:pPr>
      <w:r>
        <w:rPr>
          <w:rFonts w:hint="eastAsia" w:ascii="仿宋" w:hAnsi="仿宋" w:eastAsia="仿宋"/>
          <w:bCs/>
          <w:color w:val="000000"/>
          <w:sz w:val="24"/>
          <w:szCs w:val="24"/>
          <w:highlight w:val="none"/>
        </w:rPr>
        <w:t>1.1项目概括</w:t>
      </w:r>
    </w:p>
    <w:p w14:paraId="348922EE">
      <w:pPr>
        <w:autoSpaceDE w:val="0"/>
        <w:spacing w:line="360" w:lineRule="auto"/>
        <w:rPr>
          <w:rFonts w:ascii="仿宋" w:hAnsi="仿宋" w:eastAsia="仿宋"/>
          <w:color w:val="000000"/>
          <w:sz w:val="24"/>
          <w:szCs w:val="24"/>
          <w:highlight w:val="none"/>
        </w:rPr>
      </w:pPr>
      <w:r>
        <w:rPr>
          <w:rFonts w:hint="eastAsia" w:ascii="仿宋" w:hAnsi="仿宋" w:eastAsia="仿宋"/>
          <w:bCs/>
          <w:color w:val="000000"/>
          <w:sz w:val="24"/>
          <w:szCs w:val="24"/>
          <w:highlight w:val="none"/>
        </w:rPr>
        <w:t>1.1.1</w:t>
      </w:r>
      <w:r>
        <w:rPr>
          <w:rFonts w:hint="eastAsia" w:ascii="仿宋" w:hAnsi="仿宋" w:eastAsia="仿宋"/>
          <w:color w:val="000000"/>
          <w:sz w:val="24"/>
          <w:szCs w:val="24"/>
          <w:highlight w:val="none"/>
        </w:rPr>
        <w:t>根据《中华人民共和国政府采购法》、《政府采购货物和服务招标投标管理办法》（财政部87号令）等有关法律、法规，本招标项目已具备招标条件，现对其进行招标。</w:t>
      </w:r>
    </w:p>
    <w:p w14:paraId="1ECAA433">
      <w:pPr>
        <w:pStyle w:val="9"/>
        <w:autoSpaceDE w:val="0"/>
        <w:spacing w:line="360" w:lineRule="auto"/>
        <w:ind w:left="242" w:hanging="242" w:hangingChars="101"/>
        <w:jc w:val="left"/>
        <w:rPr>
          <w:rFonts w:ascii="仿宋" w:hAnsi="仿宋" w:eastAsia="仿宋"/>
          <w:color w:val="000000"/>
          <w:sz w:val="24"/>
          <w:szCs w:val="24"/>
          <w:highlight w:val="none"/>
        </w:rPr>
      </w:pPr>
      <w:r>
        <w:rPr>
          <w:rFonts w:hint="eastAsia" w:ascii="仿宋" w:hAnsi="仿宋" w:eastAsia="仿宋"/>
          <w:bCs/>
          <w:color w:val="000000"/>
          <w:sz w:val="24"/>
          <w:szCs w:val="24"/>
          <w:highlight w:val="none"/>
        </w:rPr>
        <w:t>1.1.2 采购人：</w:t>
      </w:r>
      <w:r>
        <w:rPr>
          <w:rFonts w:hint="eastAsia" w:ascii="仿宋" w:hAnsi="仿宋" w:eastAsia="仿宋"/>
          <w:color w:val="000000"/>
          <w:sz w:val="24"/>
          <w:szCs w:val="24"/>
          <w:highlight w:val="none"/>
        </w:rPr>
        <w:t>见投标人须知前附表。</w:t>
      </w:r>
    </w:p>
    <w:p w14:paraId="7B33667C">
      <w:pPr>
        <w:pStyle w:val="9"/>
        <w:autoSpaceDE w:val="0"/>
        <w:spacing w:line="360" w:lineRule="auto"/>
        <w:ind w:left="242" w:hanging="242" w:hangingChars="101"/>
        <w:jc w:val="left"/>
        <w:rPr>
          <w:rFonts w:ascii="仿宋" w:hAnsi="仿宋" w:eastAsia="仿宋"/>
          <w:color w:val="000000"/>
          <w:sz w:val="24"/>
          <w:szCs w:val="24"/>
          <w:highlight w:val="none"/>
        </w:rPr>
      </w:pPr>
      <w:r>
        <w:rPr>
          <w:rFonts w:hint="eastAsia" w:ascii="仿宋" w:hAnsi="仿宋" w:eastAsia="仿宋"/>
          <w:bCs/>
          <w:color w:val="000000"/>
          <w:sz w:val="24"/>
          <w:szCs w:val="24"/>
          <w:highlight w:val="none"/>
        </w:rPr>
        <w:t>1.1.3采购代理机构：</w:t>
      </w:r>
      <w:r>
        <w:rPr>
          <w:rFonts w:hint="eastAsia" w:ascii="仿宋" w:hAnsi="仿宋" w:eastAsia="仿宋"/>
          <w:color w:val="000000"/>
          <w:sz w:val="24"/>
          <w:szCs w:val="24"/>
          <w:highlight w:val="none"/>
        </w:rPr>
        <w:t>见投标人须知前附表。</w:t>
      </w:r>
    </w:p>
    <w:p w14:paraId="4F3EDB16">
      <w:pPr>
        <w:pStyle w:val="9"/>
        <w:autoSpaceDE w:val="0"/>
        <w:spacing w:line="360" w:lineRule="auto"/>
        <w:ind w:left="242" w:hanging="242" w:hangingChars="101"/>
        <w:jc w:val="left"/>
        <w:rPr>
          <w:rFonts w:ascii="仿宋" w:hAnsi="仿宋" w:eastAsia="仿宋"/>
          <w:color w:val="000000"/>
          <w:sz w:val="24"/>
          <w:szCs w:val="24"/>
          <w:highlight w:val="none"/>
        </w:rPr>
      </w:pPr>
      <w:r>
        <w:rPr>
          <w:rFonts w:hint="eastAsia" w:ascii="仿宋" w:hAnsi="仿宋" w:eastAsia="仿宋"/>
          <w:bCs/>
          <w:color w:val="000000"/>
          <w:sz w:val="24"/>
          <w:szCs w:val="24"/>
          <w:highlight w:val="none"/>
        </w:rPr>
        <w:t>1.1.4</w:t>
      </w:r>
      <w:r>
        <w:rPr>
          <w:rFonts w:hint="eastAsia" w:ascii="仿宋" w:hAnsi="仿宋" w:eastAsia="仿宋"/>
          <w:color w:val="000000"/>
          <w:sz w:val="24"/>
          <w:szCs w:val="24"/>
          <w:highlight w:val="none"/>
        </w:rPr>
        <w:t>项目名称及招标编号见投标人须知前附表。</w:t>
      </w:r>
    </w:p>
    <w:p w14:paraId="5F3A72CB">
      <w:pPr>
        <w:pStyle w:val="9"/>
        <w:autoSpaceDE w:val="0"/>
        <w:spacing w:line="360" w:lineRule="auto"/>
        <w:ind w:left="243" w:hanging="243" w:hangingChars="101"/>
        <w:jc w:val="left"/>
        <w:rPr>
          <w:rFonts w:ascii="仿宋" w:hAnsi="仿宋" w:eastAsia="仿宋"/>
          <w:b/>
          <w:color w:val="000000"/>
          <w:sz w:val="24"/>
          <w:szCs w:val="24"/>
          <w:highlight w:val="none"/>
        </w:rPr>
      </w:pPr>
      <w:r>
        <w:rPr>
          <w:rFonts w:hint="eastAsia" w:ascii="仿宋" w:hAnsi="仿宋" w:eastAsia="仿宋"/>
          <w:b/>
          <w:color w:val="000000"/>
          <w:sz w:val="24"/>
          <w:szCs w:val="24"/>
          <w:highlight w:val="none"/>
        </w:rPr>
        <w:t>1.2资金来源</w:t>
      </w:r>
    </w:p>
    <w:p w14:paraId="79C233D1">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1.2.1本招标项目的资金来源：见投标人须知前附表。</w:t>
      </w:r>
    </w:p>
    <w:p w14:paraId="6600CE1A">
      <w:pPr>
        <w:pStyle w:val="9"/>
        <w:autoSpaceDE w:val="0"/>
        <w:spacing w:line="360" w:lineRule="auto"/>
        <w:ind w:left="242" w:hanging="242" w:hangingChars="101"/>
        <w:jc w:val="left"/>
        <w:rPr>
          <w:rFonts w:ascii="仿宋" w:hAnsi="仿宋" w:eastAsia="仿宋"/>
          <w:b/>
          <w:color w:val="000000"/>
          <w:sz w:val="24"/>
          <w:szCs w:val="24"/>
          <w:highlight w:val="none"/>
        </w:rPr>
      </w:pPr>
      <w:r>
        <w:rPr>
          <w:rFonts w:hint="eastAsia" w:ascii="仿宋" w:hAnsi="仿宋" w:eastAsia="仿宋"/>
          <w:color w:val="000000"/>
          <w:sz w:val="24"/>
          <w:szCs w:val="24"/>
          <w:highlight w:val="none"/>
        </w:rPr>
        <w:t>1.2.2本招标项目的资金落实情况：见投标人须知前附表。</w:t>
      </w:r>
    </w:p>
    <w:p w14:paraId="763E5118">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1.3招标范围</w:t>
      </w:r>
    </w:p>
    <w:p w14:paraId="7A4CF58F">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1.3.1本项目招标范围：见投标人须知前附表。</w:t>
      </w:r>
    </w:p>
    <w:p w14:paraId="06AF66AA">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1.3.2合同履行期限：见投标人须知前附表。</w:t>
      </w:r>
    </w:p>
    <w:p w14:paraId="6B56763B">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1.3.3服务地点：见投标人须知前附表。</w:t>
      </w:r>
    </w:p>
    <w:p w14:paraId="44B11ADD">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1.4 投标人资格要求</w:t>
      </w:r>
    </w:p>
    <w:p w14:paraId="37FBFFD7">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详见招标文件第一章《招标公告》“二、投标人资格要求”。</w:t>
      </w:r>
    </w:p>
    <w:p w14:paraId="6FF0B158">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1.5费用承担</w:t>
      </w:r>
    </w:p>
    <w:p w14:paraId="572230B4">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1.5.1投标人准备和参加投标活动发生的费用自理。</w:t>
      </w:r>
    </w:p>
    <w:p w14:paraId="4DE0AB78">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1.5.2</w:t>
      </w:r>
      <w:r>
        <w:rPr>
          <w:rFonts w:hint="eastAsia" w:ascii="仿宋" w:hAnsi="仿宋" w:eastAsia="仿宋" w:cs="仿宋"/>
          <w:color w:val="000000" w:themeColor="text1"/>
          <w:spacing w:val="1"/>
          <w:sz w:val="24"/>
          <w:szCs w:val="24"/>
          <w:highlight w:val="none"/>
        </w:rPr>
        <w:t>招标代理服务费根据《政府采购代理机构管理暂行办法》的通知，财库【2018】2号文规定，由中标人向采购代理机构支付，招标代理服务费依据《云南省建设工程招标代理服务收费指导意见（试行）》云建招协〔2023〕51号规定服务类标准收取。</w:t>
      </w:r>
      <w:r>
        <w:rPr>
          <w:rFonts w:hint="eastAsia" w:ascii="仿宋" w:hAnsi="仿宋" w:eastAsia="仿宋" w:cs="仿宋"/>
          <w:color w:val="000000" w:themeColor="text1"/>
          <w:sz w:val="24"/>
          <w:szCs w:val="24"/>
          <w:highlight w:val="none"/>
        </w:rPr>
        <w:t xml:space="preserve"> </w:t>
      </w:r>
    </w:p>
    <w:p w14:paraId="6BD8AB9F">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1.5.3其他费用按国家、省、市相关规定收取。</w:t>
      </w:r>
    </w:p>
    <w:p w14:paraId="4F5B3D99">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1.6保密</w:t>
      </w:r>
    </w:p>
    <w:p w14:paraId="50921FAE">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参与招标投标活动的各方应对招标文件和投标文件中的商业和技术等秘密保密，违者应对由此造成的后果承担法律责任。</w:t>
      </w:r>
    </w:p>
    <w:p w14:paraId="786FF954">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1.7语言文字</w:t>
      </w:r>
    </w:p>
    <w:p w14:paraId="1C44E80C">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除专用术语外，与招标投标有关的语言均使用中文。必要时专用术语应附有中文注释。</w:t>
      </w:r>
    </w:p>
    <w:p w14:paraId="45FE41BD">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1.8计量单位</w:t>
      </w:r>
    </w:p>
    <w:p w14:paraId="5B0319B0">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所有计量均采用中华人民共和国法定计量单位。</w:t>
      </w:r>
    </w:p>
    <w:p w14:paraId="056E1CB9">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1.9投标预备会</w:t>
      </w:r>
    </w:p>
    <w:p w14:paraId="41FDC069">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1.9.1采购人不集中召开投标预备会，实行网上答疑。投标人若有疑问，需要采购人予以答疑，应以不署名的形式在“政采云”平台 （http：//www.zcygov.cn/）提出。</w:t>
      </w:r>
    </w:p>
    <w:p w14:paraId="669DD387">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1.9.2投标人提出问题的截止时间和方法：见投标人须知前附表。</w:t>
      </w:r>
    </w:p>
    <w:p w14:paraId="4C9B8345">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1.9.3采购人澄清的时间和方法：见投标人须知前附表。</w:t>
      </w:r>
    </w:p>
    <w:p w14:paraId="657E82D7">
      <w:pPr>
        <w:pStyle w:val="3"/>
        <w:autoSpaceDE w:val="0"/>
        <w:spacing w:before="0" w:after="0" w:line="360" w:lineRule="auto"/>
        <w:jc w:val="left"/>
        <w:rPr>
          <w:rFonts w:ascii="仿宋" w:hAnsi="仿宋" w:eastAsia="仿宋"/>
          <w:color w:val="000000"/>
          <w:sz w:val="24"/>
          <w:szCs w:val="24"/>
          <w:highlight w:val="none"/>
        </w:rPr>
      </w:pPr>
      <w:bookmarkStart w:id="42" w:name="_Toc393354831"/>
      <w:bookmarkEnd w:id="42"/>
      <w:bookmarkStart w:id="43" w:name="_Toc486885398"/>
      <w:r>
        <w:rPr>
          <w:rFonts w:hint="eastAsia" w:ascii="仿宋" w:hAnsi="仿宋" w:eastAsia="仿宋"/>
          <w:color w:val="000000"/>
          <w:sz w:val="24"/>
          <w:szCs w:val="24"/>
          <w:highlight w:val="none"/>
        </w:rPr>
        <w:t>2、招标文件</w:t>
      </w:r>
      <w:bookmarkEnd w:id="43"/>
    </w:p>
    <w:p w14:paraId="3D1C14DD">
      <w:pPr>
        <w:pStyle w:val="9"/>
        <w:autoSpaceDE w:val="0"/>
        <w:spacing w:line="360" w:lineRule="auto"/>
        <w:rPr>
          <w:rFonts w:ascii="仿宋" w:hAnsi="仿宋" w:eastAsia="仿宋"/>
          <w:b/>
          <w:bCs/>
          <w:color w:val="000000"/>
          <w:sz w:val="24"/>
          <w:szCs w:val="24"/>
          <w:highlight w:val="none"/>
        </w:rPr>
      </w:pPr>
      <w:r>
        <w:rPr>
          <w:rFonts w:hint="eastAsia" w:ascii="仿宋" w:hAnsi="仿宋" w:eastAsia="仿宋"/>
          <w:b/>
          <w:bCs/>
          <w:color w:val="000000"/>
          <w:sz w:val="24"/>
          <w:szCs w:val="24"/>
          <w:highlight w:val="none"/>
        </w:rPr>
        <w:t>2.1招标文件编制依据</w:t>
      </w:r>
    </w:p>
    <w:p w14:paraId="39E48F68">
      <w:pPr>
        <w:autoSpaceDE w:val="0"/>
        <w:spacing w:line="360" w:lineRule="auto"/>
        <w:ind w:firstLine="480" w:firstLineChars="200"/>
        <w:rPr>
          <w:rFonts w:ascii="仿宋" w:hAnsi="仿宋" w:eastAsia="仿宋"/>
          <w:b/>
          <w:bCs/>
          <w:color w:val="000000"/>
          <w:sz w:val="24"/>
          <w:szCs w:val="24"/>
          <w:highlight w:val="none"/>
        </w:rPr>
      </w:pPr>
      <w:bookmarkStart w:id="44" w:name="_Toc393354832"/>
      <w:bookmarkEnd w:id="44"/>
      <w:r>
        <w:rPr>
          <w:rFonts w:hint="eastAsia" w:ascii="仿宋" w:hAnsi="仿宋" w:eastAsia="仿宋"/>
          <w:color w:val="000000"/>
          <w:sz w:val="24"/>
          <w:szCs w:val="24"/>
          <w:highlight w:val="none"/>
        </w:rPr>
        <w:t>本项目招标文件根据《中华人民共和国政府采购法》、《中华人民共和国政府采购法实施条例》、《政府采购货物和服务招标投标管理办法》（财政部令第87号）等有关法律、法规编制，解释权属于采购人、采购代理机构。</w:t>
      </w:r>
    </w:p>
    <w:p w14:paraId="72E8911A">
      <w:pPr>
        <w:pStyle w:val="9"/>
        <w:autoSpaceDE w:val="0"/>
        <w:spacing w:line="360" w:lineRule="auto"/>
        <w:rPr>
          <w:rFonts w:ascii="仿宋" w:hAnsi="仿宋" w:eastAsia="仿宋"/>
          <w:b/>
          <w:bCs/>
          <w:color w:val="000000"/>
          <w:sz w:val="24"/>
          <w:szCs w:val="24"/>
          <w:highlight w:val="none"/>
        </w:rPr>
      </w:pPr>
      <w:r>
        <w:rPr>
          <w:rFonts w:hint="eastAsia" w:ascii="仿宋" w:hAnsi="仿宋" w:eastAsia="仿宋"/>
          <w:b/>
          <w:color w:val="000000"/>
          <w:sz w:val="24"/>
          <w:szCs w:val="24"/>
          <w:highlight w:val="none"/>
        </w:rPr>
        <w:t>2.2</w:t>
      </w:r>
      <w:r>
        <w:rPr>
          <w:rFonts w:hint="eastAsia" w:ascii="仿宋" w:hAnsi="仿宋" w:eastAsia="仿宋"/>
          <w:b/>
          <w:bCs/>
          <w:color w:val="000000"/>
          <w:sz w:val="24"/>
          <w:szCs w:val="24"/>
          <w:highlight w:val="none"/>
        </w:rPr>
        <w:t>招标文件构成</w:t>
      </w:r>
    </w:p>
    <w:p w14:paraId="750ABBFF">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2.2.1招标文件包括：招标公告、投标人须知、合同书样式及主要条款、投标文件格式、采购项目要求及评标办法。</w:t>
      </w:r>
    </w:p>
    <w:p w14:paraId="1E6FCEC6">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2.2.2根据本章第2.3和第2.4款对招标文件所作的澄清、修改，构成招标文件的组成部分。</w:t>
      </w:r>
    </w:p>
    <w:p w14:paraId="323F9F61">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2.3招标文件的澄清</w:t>
      </w:r>
    </w:p>
    <w:p w14:paraId="745B5319">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2.3.1同1.9.2的时间要求。投标人应仔细阅读和检查招标文件的全部内容。如发现缺页或附件不全，应及时向采购人提出，以便补齐。如有疑问，应在投标人须知前附表规定的时间前以在线不署名提交方式登录“政采云”平台 （http：//www.zcygov.cn/），要求采购人对招标文件予以澄清。</w:t>
      </w:r>
    </w:p>
    <w:p w14:paraId="0306F669">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2.3.2投标截止时间：见投标人须知前附表。</w:t>
      </w:r>
    </w:p>
    <w:p w14:paraId="3F5EE9D4">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2.3.3招标澄清和补遗全部通过网络送达，请投标人在开标截止日前，务必查询网站信息，投标人自行登录“政采云”平台 （http：//www.zcygov.cn/）获取澄清，无须回复确认已收到该澄清。</w:t>
      </w:r>
    </w:p>
    <w:p w14:paraId="1FB375C4">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2.4招标文件的修改</w:t>
      </w:r>
    </w:p>
    <w:p w14:paraId="2448864D">
      <w:pPr>
        <w:autoSpaceDE w:val="0"/>
        <w:spacing w:line="360" w:lineRule="auto"/>
        <w:rPr>
          <w:rFonts w:ascii="仿宋" w:hAnsi="仿宋" w:eastAsia="仿宋"/>
          <w:color w:val="000000"/>
          <w:sz w:val="24"/>
          <w:szCs w:val="24"/>
          <w:highlight w:val="none"/>
        </w:rPr>
      </w:pPr>
      <w:bookmarkStart w:id="45" w:name="_Toc486885399"/>
      <w:bookmarkEnd w:id="45"/>
      <w:r>
        <w:rPr>
          <w:rFonts w:hint="eastAsia" w:ascii="仿宋" w:hAnsi="仿宋" w:eastAsia="仿宋"/>
          <w:color w:val="000000"/>
          <w:sz w:val="24"/>
          <w:szCs w:val="24"/>
          <w:highlight w:val="none"/>
        </w:rPr>
        <w:t>2.4.1在投标截止时间15天前，确需要变更招标文件内容的，采购人可主动或在解答投标人提出的澄清问题时对招标文件进行修改，并同时报主管部门备案。招标文件的修改将在“政采云”平台 （http：//www.zcygov.cn/）发布，招标文件的修改作为招标文件的组成部分，并具有约束力。</w:t>
      </w:r>
    </w:p>
    <w:p w14:paraId="0E97CDF7">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2.4.2投标人自行登录“政采云”平台 （http：//www.zcygov.cn/）收取修改内容，无须回复确认已收到该修改。投标人应在截标时间前随时查看“政采云”平台 （http：//www.zcygov.cn/）中有关该招标文件的答疑、补遗内容。否则，由此引起的投标损失自负。</w:t>
      </w:r>
    </w:p>
    <w:p w14:paraId="2A0CC02F">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2.4.3招标文件、招标文件澄清、招标文件修改文件内容均以网上发布的为准，当招标文件、招标文件澄清、招标文件修改文件内容相互矛盾时，以最后发出的为准。</w:t>
      </w:r>
    </w:p>
    <w:p w14:paraId="59A4ABFC">
      <w:pPr>
        <w:autoSpaceDE w:val="0"/>
        <w:spacing w:line="360" w:lineRule="auto"/>
        <w:rPr>
          <w:rFonts w:ascii="仿宋" w:hAnsi="仿宋" w:eastAsia="仿宋"/>
          <w:b/>
          <w:bCs/>
          <w:color w:val="000000"/>
          <w:sz w:val="24"/>
          <w:szCs w:val="24"/>
          <w:highlight w:val="none"/>
        </w:rPr>
      </w:pPr>
      <w:r>
        <w:rPr>
          <w:rFonts w:hint="eastAsia" w:ascii="仿宋" w:hAnsi="仿宋" w:eastAsia="仿宋"/>
          <w:b/>
          <w:bCs/>
          <w:color w:val="000000"/>
          <w:sz w:val="24"/>
          <w:szCs w:val="24"/>
          <w:highlight w:val="none"/>
        </w:rPr>
        <w:t>3、投标文件</w:t>
      </w:r>
    </w:p>
    <w:p w14:paraId="6ACA5CB8">
      <w:pPr>
        <w:autoSpaceDE w:val="0"/>
        <w:spacing w:line="360" w:lineRule="auto"/>
        <w:rPr>
          <w:rFonts w:ascii="仿宋" w:hAnsi="仿宋" w:eastAsia="仿宋"/>
          <w:b/>
          <w:bCs/>
          <w:color w:val="000000"/>
          <w:sz w:val="24"/>
          <w:szCs w:val="24"/>
          <w:highlight w:val="none"/>
        </w:rPr>
      </w:pPr>
      <w:r>
        <w:rPr>
          <w:rFonts w:hint="eastAsia" w:ascii="仿宋" w:hAnsi="仿宋" w:eastAsia="仿宋"/>
          <w:b/>
          <w:bCs/>
          <w:color w:val="000000"/>
          <w:sz w:val="24"/>
          <w:szCs w:val="24"/>
          <w:highlight w:val="none"/>
        </w:rPr>
        <w:t>3.1 投标文件的组成</w:t>
      </w:r>
    </w:p>
    <w:p w14:paraId="594C8641">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3.1.1投标人编写的投标文件应由资格审查部分、商务部分、技术部分构成，并按第六章《投标文件格式》要求填写。</w:t>
      </w:r>
    </w:p>
    <w:p w14:paraId="2911DD38">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3.1.2投标文件全部采用电子文档。</w:t>
      </w:r>
    </w:p>
    <w:p w14:paraId="15B91349">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3.2报价部分</w:t>
      </w:r>
    </w:p>
    <w:p w14:paraId="35358D08">
      <w:pPr>
        <w:pStyle w:val="9"/>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3.2.1投标人应按投标文件的要求填写相应表格。</w:t>
      </w:r>
    </w:p>
    <w:p w14:paraId="2BB29358">
      <w:pPr>
        <w:pStyle w:val="9"/>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3.2.2投标人在投标截止时间前修改投标函中的投标总报价，应同时修改"报价表"中的相应报价。</w:t>
      </w:r>
    </w:p>
    <w:p w14:paraId="2F7F5FBB">
      <w:pPr>
        <w:pStyle w:val="9"/>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3.2.3投标报价应为人民币含税价，包含：为本项目提供的所有货物、服务、税费等一切费用。该报价应考虑市场风险、政策性风险、汇率风险等因素，并能保证投标人完成履行合同所需的全部工作，此价格在合同签订后将不作调整。</w:t>
      </w:r>
    </w:p>
    <w:p w14:paraId="637593D7">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3.3投标有效期</w:t>
      </w:r>
    </w:p>
    <w:p w14:paraId="2F7BFE59">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3.3.1在投标人须知前附表规定的投标有效期内，投标人不得要求撤销或修改其投标文件。</w:t>
      </w:r>
    </w:p>
    <w:p w14:paraId="105B74BA">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435494A">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3.3.3投标有效期为投标截止之日起90日历天，投标人必须在投标函中注明有效期为投标截止之日起90日历天，否则视为无效投标文件。</w:t>
      </w:r>
    </w:p>
    <w:p w14:paraId="62A7115B">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3.4投标保证金</w:t>
      </w:r>
    </w:p>
    <w:p w14:paraId="61944426">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3.4.1投标人在递交投标文件的同时，应按投标人须知前附表的规定递交投标保证金。联合体投标的，其投标保证金由牵头人递交，并应符合投标人须知前附表的规定。</w:t>
      </w:r>
    </w:p>
    <w:p w14:paraId="112A5BDD">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3.4.2投标人不按本章第3.4.1项要求提交投标保证金，其投标文件作废标处理。</w:t>
      </w:r>
    </w:p>
    <w:p w14:paraId="2247258D">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3.4.3投标保证金退还到投标人的基本账户。</w:t>
      </w:r>
    </w:p>
    <w:p w14:paraId="440383ED">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3.4.4投标人在投标截止时间前撤回已提交的投标文件的，采购人或者采购代理机构应当自收到投标人书面撤回通知之日起5个工作日内，退还已收取的投标保证金，但因投标人自身原因导致无法及时退还的除外。</w:t>
      </w:r>
    </w:p>
    <w:p w14:paraId="71FE2282">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采购人或者采购代理机构应当自中标通知书发出之日起5个工作日内退还未中标人的投标保证金，自采购合同签订之日起5个工作日内退还中标人的投标保证金或者转为中标人的履约保证金。</w:t>
      </w:r>
    </w:p>
    <w:p w14:paraId="32D4F193">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采购人或者采购代理机构逾期退还投标保证金的，除应当退还投标保证金本金外，还应当按中国人民银行同期贷款基准利率上浮20%后的利率支付超期资金占用费，但因投标人自身原因导致无法及时退还的除外。</w:t>
      </w:r>
    </w:p>
    <w:p w14:paraId="134ACE69">
      <w:pPr>
        <w:pStyle w:val="16"/>
        <w:widowControl w:val="0"/>
        <w:autoSpaceDE w:val="0"/>
        <w:spacing w:before="0" w:beforeAutospacing="0" w:after="0" w:afterAutospacing="0" w:line="360" w:lineRule="auto"/>
        <w:rPr>
          <w:rFonts w:ascii="仿宋" w:hAnsi="仿宋" w:eastAsia="仿宋"/>
          <w:b/>
          <w:bCs/>
          <w:kern w:val="2"/>
          <w:sz w:val="24"/>
          <w:szCs w:val="24"/>
          <w:highlight w:val="none"/>
        </w:rPr>
      </w:pPr>
      <w:r>
        <w:rPr>
          <w:rFonts w:hint="eastAsia" w:ascii="仿宋" w:hAnsi="仿宋" w:eastAsia="仿宋"/>
          <w:b/>
          <w:bCs/>
          <w:kern w:val="2"/>
          <w:sz w:val="24"/>
          <w:szCs w:val="24"/>
          <w:highlight w:val="none"/>
        </w:rPr>
        <w:t>3.4.5 有下列情形之一的，投标保证金将不予退还：</w:t>
      </w:r>
    </w:p>
    <w:p w14:paraId="310AE234">
      <w:pPr>
        <w:pStyle w:val="16"/>
        <w:widowControl w:val="0"/>
        <w:autoSpaceDE w:val="0"/>
        <w:spacing w:before="0" w:beforeAutospacing="0" w:after="0" w:afterAutospacing="0" w:line="360" w:lineRule="auto"/>
        <w:ind w:firstLine="480"/>
        <w:rPr>
          <w:rFonts w:ascii="仿宋" w:hAnsi="仿宋" w:eastAsia="仿宋"/>
          <w:b/>
          <w:bCs/>
          <w:kern w:val="2"/>
          <w:sz w:val="24"/>
          <w:szCs w:val="24"/>
          <w:highlight w:val="none"/>
        </w:rPr>
      </w:pPr>
      <w:r>
        <w:rPr>
          <w:rFonts w:hint="eastAsia" w:ascii="仿宋" w:hAnsi="仿宋" w:eastAsia="仿宋"/>
          <w:b/>
          <w:bCs/>
          <w:kern w:val="2"/>
          <w:sz w:val="24"/>
          <w:szCs w:val="24"/>
          <w:highlight w:val="none"/>
        </w:rPr>
        <w:t>①开标后,投标方撤回其投标书的；</w:t>
      </w:r>
    </w:p>
    <w:p w14:paraId="26E62F3A">
      <w:pPr>
        <w:pStyle w:val="16"/>
        <w:widowControl w:val="0"/>
        <w:autoSpaceDE w:val="0"/>
        <w:spacing w:before="0" w:beforeAutospacing="0" w:after="0" w:afterAutospacing="0" w:line="360" w:lineRule="auto"/>
        <w:ind w:firstLine="480"/>
        <w:rPr>
          <w:rFonts w:ascii="仿宋" w:hAnsi="仿宋" w:eastAsia="仿宋"/>
          <w:b/>
          <w:bCs/>
          <w:kern w:val="2"/>
          <w:sz w:val="24"/>
          <w:szCs w:val="24"/>
          <w:highlight w:val="none"/>
        </w:rPr>
      </w:pPr>
      <w:r>
        <w:rPr>
          <w:rFonts w:hint="eastAsia" w:ascii="仿宋" w:hAnsi="仿宋" w:eastAsia="仿宋"/>
          <w:b/>
          <w:bCs/>
          <w:kern w:val="2"/>
          <w:sz w:val="24"/>
          <w:szCs w:val="24"/>
          <w:highlight w:val="none"/>
        </w:rPr>
        <w:t>②中标通知书发出后，中标方不签定合同或放弃中标权的；</w:t>
      </w:r>
    </w:p>
    <w:p w14:paraId="031CCB8F">
      <w:pPr>
        <w:pStyle w:val="16"/>
        <w:widowControl w:val="0"/>
        <w:autoSpaceDE w:val="0"/>
        <w:spacing w:before="0" w:beforeAutospacing="0" w:after="0" w:afterAutospacing="0" w:line="360" w:lineRule="auto"/>
        <w:ind w:firstLine="480"/>
        <w:rPr>
          <w:rFonts w:ascii="仿宋" w:hAnsi="仿宋" w:eastAsia="仿宋"/>
          <w:b/>
          <w:bCs/>
          <w:kern w:val="2"/>
          <w:sz w:val="24"/>
          <w:szCs w:val="24"/>
          <w:highlight w:val="none"/>
        </w:rPr>
      </w:pPr>
      <w:r>
        <w:rPr>
          <w:rFonts w:hint="eastAsia" w:ascii="仿宋" w:hAnsi="仿宋" w:eastAsia="仿宋"/>
          <w:b/>
          <w:bCs/>
          <w:kern w:val="2"/>
          <w:sz w:val="24"/>
          <w:szCs w:val="24"/>
          <w:highlight w:val="none"/>
        </w:rPr>
        <w:t>③由于中标方的原因致使合同无法履行的；</w:t>
      </w:r>
    </w:p>
    <w:p w14:paraId="5426E2CF">
      <w:pPr>
        <w:pStyle w:val="16"/>
        <w:widowControl w:val="0"/>
        <w:autoSpaceDE w:val="0"/>
        <w:spacing w:before="0" w:beforeAutospacing="0" w:after="0" w:afterAutospacing="0" w:line="360" w:lineRule="auto"/>
        <w:ind w:firstLine="480"/>
        <w:rPr>
          <w:rFonts w:ascii="仿宋" w:hAnsi="仿宋" w:eastAsia="仿宋"/>
          <w:b/>
          <w:bCs/>
          <w:kern w:val="2"/>
          <w:sz w:val="24"/>
          <w:szCs w:val="24"/>
          <w:highlight w:val="none"/>
        </w:rPr>
      </w:pPr>
      <w:r>
        <w:rPr>
          <w:rFonts w:hint="eastAsia" w:ascii="仿宋" w:hAnsi="仿宋" w:eastAsia="仿宋"/>
          <w:b/>
          <w:bCs/>
          <w:kern w:val="2"/>
          <w:sz w:val="24"/>
          <w:szCs w:val="24"/>
          <w:highlight w:val="none"/>
        </w:rPr>
        <w:t>④投标方提供虚假资料的；</w:t>
      </w:r>
    </w:p>
    <w:p w14:paraId="7C09C077">
      <w:pPr>
        <w:pStyle w:val="16"/>
        <w:widowControl w:val="0"/>
        <w:autoSpaceDE w:val="0"/>
        <w:spacing w:before="0" w:beforeAutospacing="0" w:after="0" w:afterAutospacing="0" w:line="360" w:lineRule="auto"/>
        <w:ind w:firstLine="480"/>
        <w:rPr>
          <w:rFonts w:ascii="仿宋" w:hAnsi="仿宋" w:eastAsia="仿宋"/>
          <w:b/>
          <w:bCs/>
          <w:kern w:val="2"/>
          <w:sz w:val="24"/>
          <w:szCs w:val="24"/>
          <w:highlight w:val="none"/>
        </w:rPr>
      </w:pPr>
      <w:r>
        <w:rPr>
          <w:rFonts w:hint="eastAsia" w:ascii="仿宋" w:hAnsi="仿宋" w:eastAsia="仿宋"/>
          <w:b/>
          <w:bCs/>
          <w:kern w:val="2"/>
          <w:sz w:val="24"/>
          <w:szCs w:val="24"/>
          <w:highlight w:val="none"/>
        </w:rPr>
        <w:t>⑤投标方有围标、串标行为的；</w:t>
      </w:r>
    </w:p>
    <w:p w14:paraId="4B8BC238">
      <w:pPr>
        <w:pStyle w:val="16"/>
        <w:widowControl w:val="0"/>
        <w:autoSpaceDE w:val="0"/>
        <w:spacing w:before="0" w:beforeAutospacing="0" w:after="0" w:afterAutospacing="0" w:line="360" w:lineRule="auto"/>
        <w:ind w:firstLine="480"/>
        <w:rPr>
          <w:rFonts w:ascii="仿宋" w:hAnsi="仿宋" w:eastAsia="仿宋"/>
          <w:b/>
          <w:bCs/>
          <w:kern w:val="2"/>
          <w:sz w:val="24"/>
          <w:szCs w:val="24"/>
          <w:highlight w:val="none"/>
        </w:rPr>
      </w:pPr>
      <w:r>
        <w:rPr>
          <w:rFonts w:hint="eastAsia" w:ascii="仿宋" w:hAnsi="仿宋" w:eastAsia="仿宋"/>
          <w:b/>
          <w:bCs/>
          <w:kern w:val="2"/>
          <w:sz w:val="24"/>
          <w:szCs w:val="24"/>
          <w:highlight w:val="none"/>
        </w:rPr>
        <w:t>⑥招标文件规定的其它情形。</w:t>
      </w:r>
    </w:p>
    <w:p w14:paraId="51407305">
      <w:pPr>
        <w:pStyle w:val="16"/>
        <w:widowControl w:val="0"/>
        <w:autoSpaceDE w:val="0"/>
        <w:spacing w:before="0" w:beforeAutospacing="0" w:after="0" w:afterAutospacing="0" w:line="360" w:lineRule="auto"/>
        <w:rPr>
          <w:rFonts w:ascii="仿宋" w:hAnsi="仿宋" w:eastAsia="仿宋"/>
          <w:b/>
          <w:sz w:val="24"/>
          <w:szCs w:val="24"/>
          <w:highlight w:val="none"/>
        </w:rPr>
      </w:pPr>
      <w:r>
        <w:rPr>
          <w:rFonts w:hint="eastAsia" w:ascii="仿宋" w:hAnsi="仿宋" w:eastAsia="仿宋"/>
          <w:kern w:val="2"/>
          <w:sz w:val="24"/>
          <w:szCs w:val="24"/>
          <w:highlight w:val="none"/>
        </w:rPr>
        <w:t>3.4.6投标人在招投标活动中被认定为围标、串通投标行为的将没收其投标保证金。</w:t>
      </w:r>
    </w:p>
    <w:p w14:paraId="3BE77EE4">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3.5资格审查资料</w:t>
      </w:r>
    </w:p>
    <w:p w14:paraId="65B236FA">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详见招标文件第一章《招标公告》“二、投标人资格要求”。</w:t>
      </w:r>
    </w:p>
    <w:p w14:paraId="5226EC55">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3.6投标文件的编制</w:t>
      </w:r>
    </w:p>
    <w:p w14:paraId="5C31D80F">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3.6.1投标文件由资格审查部分、商务标部分、技术标文件组成。</w:t>
      </w:r>
    </w:p>
    <w:p w14:paraId="573D6490">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3.6.2投标文件应当对招标文件有关合同履行期限、投标有效期、质保期、招标范围等实质性内容作出响应。</w:t>
      </w:r>
    </w:p>
    <w:p w14:paraId="5A63E487">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3.6.3投标文件的签署：见投标人须知前附表3.6.4。</w:t>
      </w:r>
    </w:p>
    <w:p w14:paraId="25A283CC">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3.6.4投标文件的提交：见投标人须知前附表3.6.5。</w:t>
      </w:r>
    </w:p>
    <w:p w14:paraId="3823BFB5">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4.投标</w:t>
      </w:r>
    </w:p>
    <w:p w14:paraId="659F08C2">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4.1投标文件的密封</w:t>
      </w:r>
    </w:p>
    <w:p w14:paraId="4877BF02">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4.1.1网上递交的投标文件需要对投标文件进行加密。</w:t>
      </w:r>
    </w:p>
    <w:p w14:paraId="17D63876">
      <w:pPr>
        <w:autoSpaceDE w:val="0"/>
        <w:spacing w:line="360" w:lineRule="auto"/>
        <w:rPr>
          <w:rFonts w:ascii="仿宋" w:hAnsi="仿宋" w:eastAsia="仿宋"/>
          <w:b/>
          <w:color w:val="000000"/>
          <w:sz w:val="24"/>
          <w:szCs w:val="24"/>
          <w:highlight w:val="none"/>
        </w:rPr>
      </w:pPr>
      <w:r>
        <w:rPr>
          <w:rFonts w:hint="eastAsia" w:ascii="仿宋" w:hAnsi="仿宋" w:eastAsia="仿宋"/>
          <w:color w:val="000000"/>
          <w:sz w:val="24"/>
          <w:szCs w:val="24"/>
          <w:highlight w:val="none"/>
        </w:rPr>
        <w:t>4.1.2未按本章第4.1.1项，采购人不予受理。</w:t>
      </w:r>
    </w:p>
    <w:p w14:paraId="2420419B">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4.2投标文件的递交</w:t>
      </w:r>
    </w:p>
    <w:p w14:paraId="711210BC">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4.2.1投标人应在本章第2.2.2项规定的投标截止时间前递交投标文件。</w:t>
      </w:r>
    </w:p>
    <w:p w14:paraId="363DD0F8">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4.2.2除投标人须知前附表另有规定外，投标人所递交的投标文件不予退还。</w:t>
      </w:r>
    </w:p>
    <w:p w14:paraId="6BC8C815">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4.2.3逾期送达的或者未送达指定地点的投标文件，采购人不予受理。</w:t>
      </w:r>
    </w:p>
    <w:p w14:paraId="4A0401EA">
      <w:pPr>
        <w:autoSpaceDE w:val="0"/>
        <w:spacing w:line="360" w:lineRule="auto"/>
        <w:rPr>
          <w:rFonts w:ascii="仿宋" w:hAnsi="仿宋" w:eastAsia="仿宋"/>
          <w:b/>
          <w:color w:val="000000"/>
          <w:sz w:val="24"/>
          <w:szCs w:val="24"/>
          <w:highlight w:val="none"/>
        </w:rPr>
      </w:pPr>
      <w:r>
        <w:rPr>
          <w:rFonts w:hint="eastAsia" w:ascii="仿宋" w:hAnsi="仿宋" w:eastAsia="仿宋"/>
          <w:color w:val="000000"/>
          <w:sz w:val="24"/>
          <w:szCs w:val="24"/>
          <w:highlight w:val="none"/>
        </w:rPr>
        <w:t>4.2.4投标人在提交投标文件截止时间前，首先应将电子投标文件上传到“政采云”平台 （http：//www.zcygov.cn/），如果投标人没有按规定网上递交电子投标文件，视为投标无效。</w:t>
      </w:r>
    </w:p>
    <w:p w14:paraId="01CA4B99">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4.3投标文件的修改与撤回</w:t>
      </w:r>
    </w:p>
    <w:p w14:paraId="21B09A75">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4.3.1在本章第2.2.2项规定的投标截止时间前，投标人可以修改或撤回已在网上递交的投标文件，无须书面形式通知采购人。</w:t>
      </w:r>
    </w:p>
    <w:p w14:paraId="146E52C1">
      <w:pPr>
        <w:autoSpaceDE w:val="0"/>
        <w:spacing w:line="360" w:lineRule="auto"/>
        <w:rPr>
          <w:rFonts w:ascii="仿宋" w:hAnsi="仿宋" w:eastAsia="仿宋"/>
          <w:b/>
          <w:color w:val="000000"/>
          <w:sz w:val="24"/>
          <w:szCs w:val="24"/>
          <w:highlight w:val="none"/>
        </w:rPr>
      </w:pPr>
      <w:r>
        <w:rPr>
          <w:rFonts w:hint="eastAsia" w:ascii="仿宋" w:hAnsi="仿宋" w:eastAsia="仿宋"/>
          <w:color w:val="000000"/>
          <w:sz w:val="24"/>
          <w:szCs w:val="24"/>
          <w:highlight w:val="none"/>
        </w:rPr>
        <w:t>4.3.2修改的投标文件应按照本章第3条、第4条规定进行编制和递交。</w:t>
      </w:r>
    </w:p>
    <w:p w14:paraId="6793267D">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5.开标</w:t>
      </w:r>
    </w:p>
    <w:p w14:paraId="4EC34805">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5.1开标时间和地点</w:t>
      </w:r>
    </w:p>
    <w:p w14:paraId="208679A8">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采购人在本章第2.2.2项规定的投标截止时间（开标时间）和投标人须知前附表规定的地点公开开标，并邀请所有投标人的法定代表人或其委托代理人准时参加。</w:t>
      </w:r>
    </w:p>
    <w:p w14:paraId="707CC0E0">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5.2开标程序</w:t>
      </w:r>
    </w:p>
    <w:p w14:paraId="5D821004">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主持人按下列程序进行开标：</w:t>
      </w:r>
    </w:p>
    <w:p w14:paraId="6548ECBF">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(1)宣布开标纪律；</w:t>
      </w:r>
    </w:p>
    <w:p w14:paraId="2B7FF036">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(2)公布在投标截止时间前递交投标文件的投标人名称；</w:t>
      </w:r>
    </w:p>
    <w:p w14:paraId="55C4FA46">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(3)按照政釆云平台自动提取所有投标人的顺序当众开标，依次导入有效投标人的电子投标文件同时，由投标人对网上递交已加密的投标文件，解密完成后，公布投标人名称、投标保证金的递交情况、投标报价及其他内容，并记录在案，因投标人原因造成投标文件未解密的，视为撤销其投标文件；</w:t>
      </w:r>
    </w:p>
    <w:p w14:paraId="196C51C9">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(4)投标人代表、采购人代表、监标人、记录人等有关人员在开标记录上签字确认；</w:t>
      </w:r>
    </w:p>
    <w:p w14:paraId="6F094743">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(5)开标结束。</w:t>
      </w:r>
    </w:p>
    <w:p w14:paraId="18E22D93">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5.3投标文件不予受理情形</w:t>
      </w:r>
    </w:p>
    <w:p w14:paraId="78279461">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投标文件有下列情形之一的，采购人不予受理：</w:t>
      </w:r>
    </w:p>
    <w:p w14:paraId="0A05DF95">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(1)没有对投标文件进行加密的；</w:t>
      </w:r>
    </w:p>
    <w:p w14:paraId="28A95D03">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(2)投标人提交的电子标书格式不符合3.6.1项要求的。</w:t>
      </w:r>
    </w:p>
    <w:p w14:paraId="69B04C57">
      <w:pPr>
        <w:pStyle w:val="16"/>
        <w:widowControl w:val="0"/>
        <w:autoSpaceDE w:val="0"/>
        <w:spacing w:before="0" w:beforeAutospacing="0" w:after="0" w:afterAutospacing="0" w:line="360" w:lineRule="auto"/>
        <w:rPr>
          <w:rFonts w:ascii="仿宋" w:hAnsi="仿宋" w:eastAsia="仿宋"/>
          <w:b/>
          <w:bCs/>
          <w:kern w:val="2"/>
          <w:sz w:val="24"/>
          <w:szCs w:val="24"/>
          <w:highlight w:val="none"/>
        </w:rPr>
      </w:pPr>
      <w:r>
        <w:rPr>
          <w:rFonts w:hint="eastAsia" w:ascii="仿宋" w:hAnsi="仿宋" w:eastAsia="仿宋"/>
          <w:b/>
          <w:bCs/>
          <w:kern w:val="2"/>
          <w:sz w:val="24"/>
          <w:szCs w:val="24"/>
          <w:highlight w:val="none"/>
        </w:rPr>
        <w:t>5.4投标人存在下列情况之一的，投标无效:</w:t>
      </w:r>
    </w:p>
    <w:p w14:paraId="325AC448">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(1)未按照招标文件的规定提交投标保证金的；</w:t>
      </w:r>
    </w:p>
    <w:p w14:paraId="09E85CFA">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(2)投标文件未按招标文件要求签署、盖章的；</w:t>
      </w:r>
    </w:p>
    <w:p w14:paraId="6BCC8E50">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(3)不具备招标文件中规定的资格要求的；</w:t>
      </w:r>
    </w:p>
    <w:p w14:paraId="34C0AD2C">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(4)报价超过招标文件中规定的预算金额或者最高限价的；</w:t>
      </w:r>
    </w:p>
    <w:p w14:paraId="2A1B8BF6">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(5)投标文件含有采购人不能接受的附加条件的；</w:t>
      </w:r>
    </w:p>
    <w:p w14:paraId="6330B1C7">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(6)法律、法规和招标文件规定的其他无效情形。</w:t>
      </w:r>
    </w:p>
    <w:p w14:paraId="028D30A7">
      <w:pPr>
        <w:pStyle w:val="16"/>
        <w:widowControl w:val="0"/>
        <w:autoSpaceDE w:val="0"/>
        <w:spacing w:before="0" w:beforeAutospacing="0" w:after="0" w:afterAutospacing="0" w:line="360" w:lineRule="auto"/>
        <w:rPr>
          <w:rFonts w:ascii="仿宋" w:hAnsi="仿宋" w:eastAsia="仿宋"/>
          <w:b/>
          <w:bCs/>
          <w:kern w:val="2"/>
          <w:sz w:val="24"/>
          <w:szCs w:val="24"/>
          <w:highlight w:val="none"/>
        </w:rPr>
      </w:pPr>
      <w:r>
        <w:rPr>
          <w:rFonts w:hint="eastAsia" w:ascii="仿宋" w:hAnsi="仿宋" w:eastAsia="仿宋"/>
          <w:b/>
          <w:bCs/>
          <w:kern w:val="2"/>
          <w:sz w:val="24"/>
          <w:szCs w:val="24"/>
          <w:highlight w:val="none"/>
        </w:rPr>
        <w:t>5.5有下列情形之一的，视为投标人串通投标，其投标无效：</w:t>
      </w:r>
    </w:p>
    <w:p w14:paraId="41F78603">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(1)不同投标人的投标文件由同一单位或者个人编制;</w:t>
      </w:r>
    </w:p>
    <w:p w14:paraId="1EB5504C">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(2)不同投标人委托同一单位或者个人办理投标事宜;</w:t>
      </w:r>
    </w:p>
    <w:p w14:paraId="74FE02FD">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(3)不同投标人的投标文件载明的项目管理成员或者联系人员为同一人;</w:t>
      </w:r>
    </w:p>
    <w:p w14:paraId="45B8CCF2">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(4)不同投标人的投标文件异常一致或者投标报价呈规律性差异;</w:t>
      </w:r>
    </w:p>
    <w:p w14:paraId="09873C82">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(5)不同投标人的投标文件相互混装;</w:t>
      </w:r>
    </w:p>
    <w:p w14:paraId="5B7CBEF5">
      <w:pPr>
        <w:pStyle w:val="16"/>
        <w:widowControl w:val="0"/>
        <w:autoSpaceDE w:val="0"/>
        <w:spacing w:before="0" w:beforeAutospacing="0" w:after="0" w:afterAutospacing="0" w:line="360" w:lineRule="auto"/>
        <w:ind w:firstLine="240" w:firstLineChars="100"/>
        <w:rPr>
          <w:rFonts w:ascii="仿宋" w:hAnsi="仿宋" w:eastAsia="仿宋"/>
          <w:kern w:val="2"/>
          <w:sz w:val="24"/>
          <w:szCs w:val="24"/>
          <w:highlight w:val="none"/>
        </w:rPr>
      </w:pPr>
      <w:r>
        <w:rPr>
          <w:rFonts w:hint="eastAsia" w:ascii="仿宋" w:hAnsi="仿宋" w:eastAsia="仿宋"/>
          <w:kern w:val="2"/>
          <w:sz w:val="24"/>
          <w:szCs w:val="24"/>
          <w:highlight w:val="none"/>
        </w:rPr>
        <w:t>(6)不同投标人的投标保证金从同一单位或者个人的账户转出。</w:t>
      </w:r>
    </w:p>
    <w:p w14:paraId="120D0E46">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6.评标</w:t>
      </w:r>
    </w:p>
    <w:p w14:paraId="5C353A15">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6.1评标委员会</w:t>
      </w:r>
    </w:p>
    <w:p w14:paraId="1219FE98">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6.1.1评标由采购人依法组建的评标委员会负责。评标委员会成员人数的确定方式见投标人须知前附表。</w:t>
      </w:r>
    </w:p>
    <w:p w14:paraId="14B37483">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6.1.2评标委员会成员有下列情形之一的，应当回避：</w:t>
      </w:r>
    </w:p>
    <w:p w14:paraId="0A3C9B75">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(1)采购人或投标人的主要负责人的近亲属；</w:t>
      </w:r>
    </w:p>
    <w:p w14:paraId="6A3952DF">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(2)项目主管部门或者行政监督部门的人员；</w:t>
      </w:r>
    </w:p>
    <w:p w14:paraId="5E9B6B6B">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(3)与投标人有经济利益关系，可能影响对投标公正评审的；</w:t>
      </w:r>
    </w:p>
    <w:p w14:paraId="1B6EE607">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(4)曾因在招标、评标以及其他与招标投标有关活动中从事违法行为而受过行政处罚或刑事处罚的。</w:t>
      </w:r>
    </w:p>
    <w:p w14:paraId="42283673">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6.2评标原则</w:t>
      </w:r>
    </w:p>
    <w:p w14:paraId="1675F6F3">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评标活动遵循公平、公正、科学和择优的原则。</w:t>
      </w:r>
    </w:p>
    <w:p w14:paraId="6E7F9FDA">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6.3评标</w:t>
      </w:r>
    </w:p>
    <w:p w14:paraId="7DD151D5">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（1）评标委员会按照第四章“评标办法”规定的方法、评审因素、标准和程序对投标文件进行评审。第四章“评标办法”没有规定的方法、评审因素和标准，不作为评标依据。</w:t>
      </w:r>
    </w:p>
    <w:p w14:paraId="5276E940">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B1A8BF5">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7.合同授予</w:t>
      </w:r>
    </w:p>
    <w:p w14:paraId="229B6DD0">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7.1定标方式</w:t>
      </w:r>
    </w:p>
    <w:p w14:paraId="643B6F7E">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除投标人须知前附表规定评标委员会直接确定中标人外，采购人依据评标委员会推荐的中标候选人确定中标人，评标委员会推荐中标候选人的人数见投标人须知前附表。</w:t>
      </w:r>
    </w:p>
    <w:p w14:paraId="1CD8429C">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7.2中标通知</w:t>
      </w:r>
    </w:p>
    <w:p w14:paraId="7C42664A">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在本章第3.3款规定的投标有效期内，采购人以书面形式向中标人发出中标通知书，同时将中标结果通知未中标的投标人。</w:t>
      </w:r>
    </w:p>
    <w:p w14:paraId="0AA0C5DA">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7.3履约担保</w:t>
      </w:r>
    </w:p>
    <w:p w14:paraId="055108A8">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7.3.1在签订合同前，中标人应按投标人须知前附表规定的金额、担保形式和招标文件第五章“合同条款及格式”规定的履约担保格式向采购人提交履约担保。联合体中标的，其履约担保由牵头人递交，并应符合投标人须知前附表规定的金额、担保形式和招标文件第五章“合同条款及格式”规定的履约担保格式要求。</w:t>
      </w:r>
    </w:p>
    <w:p w14:paraId="6140C232">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7.3.2中标人不能按本章第7.3.1项要求提交履约担保的，视为放弃中标，其投标保证金不予退还，给采购人造成的损失超过投标保证金数额的，中标人还应当对超过部分予以赔偿。</w:t>
      </w:r>
    </w:p>
    <w:p w14:paraId="3249E344">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7.4签订合同</w:t>
      </w:r>
    </w:p>
    <w:p w14:paraId="672BE086">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7.4.1采购人和中标人应当自中标通知书发出之日起30天内，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1EADA61F">
      <w:pPr>
        <w:autoSpaceDE w:val="0"/>
        <w:spacing w:line="360" w:lineRule="auto"/>
        <w:rPr>
          <w:rFonts w:ascii="仿宋" w:hAnsi="仿宋" w:eastAsia="仿宋"/>
          <w:b/>
          <w:color w:val="000000"/>
          <w:sz w:val="24"/>
          <w:szCs w:val="24"/>
          <w:highlight w:val="none"/>
        </w:rPr>
      </w:pPr>
      <w:r>
        <w:rPr>
          <w:rFonts w:hint="eastAsia" w:ascii="仿宋" w:hAnsi="仿宋" w:eastAsia="仿宋"/>
          <w:color w:val="000000"/>
          <w:sz w:val="24"/>
          <w:szCs w:val="24"/>
          <w:highlight w:val="none"/>
        </w:rPr>
        <w:t>7.4.2发出中标通知书后，采购人无正当理由拒签合同的，采购人向中标人退还投标保证金；给中标人造成损失的，还应当赔偿损失。</w:t>
      </w:r>
    </w:p>
    <w:p w14:paraId="441E15DD">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8.重新招标</w:t>
      </w:r>
    </w:p>
    <w:p w14:paraId="64768D2C">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有下列情形之一的，采购人将重新招标：</w:t>
      </w:r>
    </w:p>
    <w:p w14:paraId="1E376C6A">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(1)投标截止时间止，投标人少于3个的；</w:t>
      </w:r>
    </w:p>
    <w:p w14:paraId="6D5F52F2">
      <w:pPr>
        <w:autoSpaceDE w:val="0"/>
        <w:spacing w:line="360" w:lineRule="auto"/>
        <w:ind w:firstLine="240" w:firstLineChars="100"/>
        <w:rPr>
          <w:rFonts w:ascii="仿宋" w:hAnsi="仿宋" w:eastAsia="仿宋"/>
          <w:b/>
          <w:color w:val="000000"/>
          <w:sz w:val="24"/>
          <w:szCs w:val="24"/>
          <w:highlight w:val="none"/>
        </w:rPr>
      </w:pPr>
      <w:r>
        <w:rPr>
          <w:rFonts w:hint="eastAsia" w:ascii="仿宋" w:hAnsi="仿宋" w:eastAsia="仿宋"/>
          <w:color w:val="000000"/>
          <w:sz w:val="24"/>
          <w:szCs w:val="24"/>
          <w:highlight w:val="none"/>
        </w:rPr>
        <w:t>(2)经评标委员会评审后否决所有投标的。</w:t>
      </w:r>
    </w:p>
    <w:p w14:paraId="337CA44F">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9.纪律和监督</w:t>
      </w:r>
    </w:p>
    <w:p w14:paraId="376B31D9">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9.1对采购人的纪律要求</w:t>
      </w:r>
    </w:p>
    <w:p w14:paraId="13F5B8C0">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采购人不得泄漏招标投标活动中应当保密的情况和资料，不得与投标人串通损害国家利益、社会公共利益或者他人合法权益。</w:t>
      </w:r>
    </w:p>
    <w:p w14:paraId="361B86F0">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9.2对投标人的纪律要求</w:t>
      </w:r>
    </w:p>
    <w:p w14:paraId="41FD458B">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4D20264">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9.3对评标委员会成员的纪律要求</w:t>
      </w:r>
    </w:p>
    <w:p w14:paraId="4E99D4E4">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四章“评标办法”没有规定的评审因素和标准进行评标。</w:t>
      </w:r>
    </w:p>
    <w:p w14:paraId="655C2E68">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9.4对与评标活动有关的工作人员的纪律要求</w:t>
      </w:r>
    </w:p>
    <w:p w14:paraId="722F9160">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32AC2D6">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9.5投诉</w:t>
      </w:r>
    </w:p>
    <w:p w14:paraId="52B52EFB">
      <w:pPr>
        <w:autoSpaceDE w:val="0"/>
        <w:spacing w:line="360" w:lineRule="auto"/>
        <w:ind w:firstLine="480" w:firstLineChars="200"/>
        <w:rPr>
          <w:rFonts w:ascii="仿宋" w:hAnsi="仿宋" w:eastAsia="仿宋"/>
          <w:b/>
          <w:color w:val="000000"/>
          <w:sz w:val="24"/>
          <w:szCs w:val="24"/>
          <w:highlight w:val="none"/>
        </w:rPr>
      </w:pPr>
      <w:r>
        <w:rPr>
          <w:rFonts w:hint="eastAsia" w:ascii="仿宋" w:hAnsi="仿宋" w:eastAsia="仿宋"/>
          <w:color w:val="000000"/>
          <w:sz w:val="24"/>
          <w:szCs w:val="24"/>
          <w:highlight w:val="none"/>
        </w:rPr>
        <w:t>投标人和其他利害关系人认为本次招标活动违反法律、法规和规章规定的，按相关法律法规执行。</w:t>
      </w:r>
    </w:p>
    <w:p w14:paraId="22125BB7">
      <w:pPr>
        <w:autoSpaceDE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10.需要补充的其他内容</w:t>
      </w:r>
    </w:p>
    <w:p w14:paraId="5DDF0BCF">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需要补充的其他内容：见投标人须知前附表。</w:t>
      </w:r>
    </w:p>
    <w:p w14:paraId="0F853E3E">
      <w:pPr>
        <w:pStyle w:val="7"/>
        <w:autoSpaceDE w:val="0"/>
        <w:spacing w:before="0" w:beforeAutospacing="0" w:after="0" w:line="360" w:lineRule="auto"/>
        <w:ind w:left="0" w:leftChars="0"/>
        <w:rPr>
          <w:rFonts w:ascii="仿宋" w:hAnsi="仿宋" w:eastAsia="仿宋"/>
          <w:b/>
          <w:color w:val="000000"/>
          <w:sz w:val="24"/>
          <w:szCs w:val="24"/>
          <w:highlight w:val="none"/>
        </w:rPr>
      </w:pPr>
      <w:r>
        <w:rPr>
          <w:rFonts w:hint="eastAsia" w:ascii="仿宋" w:hAnsi="仿宋" w:eastAsia="仿宋"/>
          <w:b/>
          <w:color w:val="000000"/>
          <w:sz w:val="24"/>
          <w:szCs w:val="24"/>
          <w:highlight w:val="none"/>
        </w:rPr>
        <w:t>11.小微企业及优先采购政策</w:t>
      </w:r>
    </w:p>
    <w:p w14:paraId="7B519BCD">
      <w:pPr>
        <w:autoSpaceDE w:val="0"/>
        <w:snapToGrid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11.1中小企业</w:t>
      </w:r>
    </w:p>
    <w:p w14:paraId="0371A6E0">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933EB83">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在政府采购活动中，投标人提供的货物、工程或者服务符合下列情形的，享受中小企业扶持政策：</w:t>
      </w:r>
    </w:p>
    <w:p w14:paraId="7B9BCA8A">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（1）在货物采购项目中，货物由中小企业制造，即货物由中小企业生产且使用该中小企业商号或者注册商标；</w:t>
      </w:r>
    </w:p>
    <w:p w14:paraId="09F5142C">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（2）在工程采购项目中，工程由中小企业承建，即工程施工单位为中小企业；</w:t>
      </w:r>
    </w:p>
    <w:p w14:paraId="4E6D8F0F">
      <w:pPr>
        <w:autoSpaceDE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（3）在服务采购项目中，服务由中小企业承接，即提供服务的人员为中小企业依照《中华人民共和国劳动合同法》订立劳动合同的从业人员。</w:t>
      </w:r>
    </w:p>
    <w:p w14:paraId="0436D20A">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在货物采购项目中，投标人提供的货物既有中小企业制造货物，也有大型企业制造货物的，不享受中小企业扶持政策。</w:t>
      </w:r>
    </w:p>
    <w:p w14:paraId="603B9C56">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以联合体形式参加政府采购活动，联合体各方均为中小企业的，联合体视同中小企业。其中，联合体各方均为小微企业的，联合体视同小微企业。</w:t>
      </w:r>
    </w:p>
    <w:p w14:paraId="1D142FBB">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组成联合体或者接受分包合同的中小企业与联合体内其他企业、分包企业之间不得存在直接控股、管理关系。</w:t>
      </w:r>
    </w:p>
    <w:p w14:paraId="4C7414AA">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11.1.2中小企业参加政府采购活动，应当出具文件中规定的《中小企业声明函》，否则不得享受相关中小企业扶持政策。</w:t>
      </w:r>
    </w:p>
    <w:p w14:paraId="42A7F803">
      <w:pPr>
        <w:autoSpaceDE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11.1.3依据规定享受扶持政策获得政府采购合同的，小微企业不得将合同分包给大中型企业，中型企业不得将合同分包给大型企业。</w:t>
      </w:r>
    </w:p>
    <w:p w14:paraId="28CB8F3A">
      <w:pPr>
        <w:pStyle w:val="9"/>
        <w:autoSpaceDE w:val="0"/>
        <w:snapToGrid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11.2监狱企业</w:t>
      </w:r>
    </w:p>
    <w:p w14:paraId="487EA39A">
      <w:pPr>
        <w:pStyle w:val="9"/>
        <w:autoSpaceDE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A28D05E">
      <w:pPr>
        <w:pStyle w:val="9"/>
        <w:autoSpaceDE w:val="0"/>
        <w:snapToGrid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11.3残疾人福利性单位</w:t>
      </w:r>
    </w:p>
    <w:p w14:paraId="0DC831EE">
      <w:pPr>
        <w:pStyle w:val="9"/>
        <w:autoSpaceDE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11.3.1根据《财政部 民政部 中国残疾人联合会关于促进残疾人就业政府采购政策的通知》（财库〔2017〕141号），享受政府采购支持政策的残疾人福利性单位应当同时满足以下条件：</w:t>
      </w:r>
    </w:p>
    <w:p w14:paraId="5B0B2859">
      <w:pPr>
        <w:pStyle w:val="9"/>
        <w:autoSpaceDE w:val="0"/>
        <w:snapToGrid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（1）安置的残疾人占本单位在职职工人数的比例不低于25%（含25%），并且安置的残疾人人数不少于10人（含10人）；</w:t>
      </w:r>
    </w:p>
    <w:p w14:paraId="721FB069">
      <w:pPr>
        <w:pStyle w:val="9"/>
        <w:autoSpaceDE w:val="0"/>
        <w:snapToGrid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（2）依法与安置的每位残疾人签订了一年以上（含一年）的劳动合同或服务协议；</w:t>
      </w:r>
    </w:p>
    <w:p w14:paraId="3F08105C">
      <w:pPr>
        <w:pStyle w:val="9"/>
        <w:autoSpaceDE w:val="0"/>
        <w:snapToGrid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（3）为安置的每位残疾人按月足额缴纳了基本养老保险、基本医疗保险、失业保险、工伤保险和生育保险等社会保险费；</w:t>
      </w:r>
    </w:p>
    <w:p w14:paraId="7DE44990">
      <w:pPr>
        <w:pStyle w:val="9"/>
        <w:autoSpaceDE w:val="0"/>
        <w:snapToGrid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（4）通过银行等金融机构向安置的每位残疾人，按月支付了不低于单位所在区县适用的经省级人民政府批准的月最低工资标准的工资；</w:t>
      </w:r>
    </w:p>
    <w:p w14:paraId="04591E80">
      <w:pPr>
        <w:pStyle w:val="9"/>
        <w:autoSpaceDE w:val="0"/>
        <w:snapToGrid w:val="0"/>
        <w:spacing w:line="360" w:lineRule="auto"/>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（5）提供本单位制造的货物、承担的工程或者服务（以下简称产品），或者提供其他残疾人福利性单位制造的货物（不包括使用非残疾人福利性单位注册商标的货物）。</w:t>
      </w:r>
    </w:p>
    <w:p w14:paraId="66391013">
      <w:pPr>
        <w:pStyle w:val="9"/>
        <w:autoSpaceDE w:val="0"/>
        <w:snapToGrid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5C8F622">
      <w:pPr>
        <w:pStyle w:val="9"/>
        <w:autoSpaceDE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11.3.2符合条件的残疾人福利性单位在参加政府采购活动时，应当提供《残疾人福利性单位声明函》，并对声明的真实性负责。</w:t>
      </w:r>
    </w:p>
    <w:p w14:paraId="4E5A6425">
      <w:pPr>
        <w:pStyle w:val="9"/>
        <w:autoSpaceDE w:val="0"/>
        <w:snapToGrid w:val="0"/>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11.4节能、环境标志产品</w:t>
      </w:r>
    </w:p>
    <w:p w14:paraId="125FD555">
      <w:pPr>
        <w:pStyle w:val="9"/>
        <w:autoSpaceDE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11.4.1节能产品是指列入财政部和国家发改委公布的《节能产品政府采购品目清单》中的货物。政府强制采购节能产品是指《节能产品政府采购品目清单》中以“★”标注类别的产品。</w:t>
      </w:r>
    </w:p>
    <w:p w14:paraId="6D58353C">
      <w:pPr>
        <w:pStyle w:val="9"/>
        <w:autoSpaceDE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11.4.2环境标志产品是指列入财政部、生态环境部公布的《环境标志产品政府采购品目清单》中的货物。</w:t>
      </w:r>
    </w:p>
    <w:p w14:paraId="49CA8876">
      <w:pPr>
        <w:pStyle w:val="9"/>
        <w:autoSpaceDE w:val="0"/>
        <w:snapToGrid w:val="0"/>
        <w:spacing w:line="360" w:lineRule="auto"/>
        <w:rPr>
          <w:rFonts w:ascii="仿宋" w:hAnsi="仿宋" w:eastAsia="仿宋"/>
          <w:color w:val="000000"/>
          <w:sz w:val="24"/>
          <w:szCs w:val="24"/>
          <w:highlight w:val="none"/>
        </w:rPr>
      </w:pPr>
      <w:r>
        <w:rPr>
          <w:rFonts w:hint="eastAsia" w:ascii="仿宋" w:hAnsi="仿宋" w:eastAsia="仿宋"/>
          <w:b/>
          <w:color w:val="000000"/>
          <w:sz w:val="24"/>
          <w:szCs w:val="24"/>
          <w:highlight w:val="none"/>
        </w:rPr>
        <w:t>★</w:t>
      </w:r>
      <w:r>
        <w:rPr>
          <w:rFonts w:hint="eastAsia" w:ascii="仿宋" w:hAnsi="仿宋" w:eastAsia="仿宋"/>
          <w:color w:val="000000"/>
          <w:sz w:val="24"/>
          <w:szCs w:val="24"/>
          <w:highlight w:val="none"/>
        </w:rPr>
        <w:t>11.4.3本项目采购清单中若有政府强制采购节能产品，只接受强制节能产品投标，投标人必须选报强制节能产品，否则按不实质性响应招标文件要求处理。投标人必须在投标文件中提供国家确定的认证机构出具的、处于有效期之内的节能产品认证证书。</w:t>
      </w:r>
    </w:p>
    <w:p w14:paraId="0E6C8087">
      <w:pPr>
        <w:pStyle w:val="9"/>
        <w:autoSpaceDE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11.4.4投标人应在投标文件中提供所投标产品国家确定的认证机构出具的、处于有效期之内的节能产品、环境标志产品认证证书，否则不予认可。</w:t>
      </w:r>
    </w:p>
    <w:p w14:paraId="5460F4C4">
      <w:pPr>
        <w:pStyle w:val="9"/>
        <w:autoSpaceDE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11.4.5投标人应在投标文件中提供所投标产品在“节能产品政府采购品目清单”或“环境标志产品政府采购品目清单”中的单页复印件一份，并在复印件上标注出所投产品及型号。</w:t>
      </w:r>
    </w:p>
    <w:p w14:paraId="137506EA">
      <w:pPr>
        <w:pStyle w:val="9"/>
        <w:autoSpaceDE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11.4.6《节能产品政府采购品目清单》及《环境标志产品政府采购品目清单》可通过中国政府采购网（http://www.ccgp.gov.cn/）查阅、下载。</w:t>
      </w:r>
    </w:p>
    <w:p w14:paraId="730B957F">
      <w:pPr>
        <w:rPr>
          <w:rFonts w:ascii="仿宋" w:hAnsi="仿宋" w:eastAsia="仿宋"/>
          <w:caps/>
          <w:color w:val="000000"/>
          <w:sz w:val="32"/>
          <w:szCs w:val="32"/>
          <w:highlight w:val="none"/>
        </w:rPr>
      </w:pPr>
      <w:r>
        <w:rPr>
          <w:rFonts w:hint="eastAsia" w:ascii="仿宋" w:hAnsi="仿宋" w:eastAsia="仿宋"/>
          <w:caps/>
          <w:color w:val="000000"/>
          <w:sz w:val="32"/>
          <w:szCs w:val="32"/>
          <w:highlight w:val="none"/>
        </w:rPr>
        <w:br w:type="page"/>
      </w:r>
    </w:p>
    <w:p w14:paraId="05EA37B4">
      <w:pPr>
        <w:spacing w:line="360" w:lineRule="auto"/>
        <w:outlineLvl w:val="0"/>
        <w:rPr>
          <w:rFonts w:ascii="仿宋" w:hAnsi="仿宋" w:eastAsia="仿宋"/>
          <w:b/>
          <w:color w:val="000000"/>
          <w:sz w:val="28"/>
          <w:szCs w:val="28"/>
          <w:highlight w:val="none"/>
        </w:rPr>
      </w:pPr>
      <w:bookmarkStart w:id="46" w:name="_Toc23766"/>
      <w:bookmarkEnd w:id="46"/>
      <w:bookmarkStart w:id="47" w:name="_Toc11191"/>
      <w:r>
        <w:rPr>
          <w:rFonts w:hint="eastAsia" w:ascii="仿宋" w:hAnsi="仿宋" w:eastAsia="仿宋"/>
          <w:b/>
          <w:color w:val="000000"/>
          <w:sz w:val="28"/>
          <w:szCs w:val="28"/>
          <w:highlight w:val="none"/>
        </w:rPr>
        <w:t>附件一：问题澄清通知</w:t>
      </w:r>
      <w:bookmarkEnd w:id="47"/>
    </w:p>
    <w:p w14:paraId="770F8CE5">
      <w:pPr>
        <w:spacing w:beforeLines="100" w:afterLines="100" w:line="360" w:lineRule="auto"/>
        <w:jc w:val="center"/>
        <w:rPr>
          <w:rFonts w:ascii="仿宋" w:hAnsi="仿宋" w:eastAsia="仿宋"/>
          <w:color w:val="000000"/>
          <w:sz w:val="28"/>
          <w:szCs w:val="28"/>
          <w:highlight w:val="none"/>
        </w:rPr>
      </w:pPr>
      <w:r>
        <w:rPr>
          <w:rFonts w:hint="eastAsia" w:ascii="仿宋" w:hAnsi="仿宋" w:eastAsia="仿宋"/>
          <w:color w:val="000000"/>
          <w:sz w:val="28"/>
          <w:szCs w:val="28"/>
          <w:highlight w:val="none"/>
        </w:rPr>
        <w:t>问题澄清通知</w:t>
      </w:r>
    </w:p>
    <w:p w14:paraId="55E4013E">
      <w:pPr>
        <w:spacing w:line="360" w:lineRule="auto"/>
        <w:ind w:firstLine="6240" w:firstLineChars="2600"/>
        <w:rPr>
          <w:rFonts w:ascii="仿宋" w:hAnsi="仿宋" w:eastAsia="仿宋"/>
          <w:color w:val="000000"/>
          <w:sz w:val="24"/>
          <w:szCs w:val="24"/>
          <w:highlight w:val="none"/>
        </w:rPr>
      </w:pPr>
      <w:r>
        <w:rPr>
          <w:rFonts w:hint="eastAsia" w:ascii="仿宋" w:hAnsi="仿宋" w:eastAsia="仿宋"/>
          <w:color w:val="000000"/>
          <w:sz w:val="24"/>
          <w:szCs w:val="24"/>
          <w:highlight w:val="none"/>
        </w:rPr>
        <w:t>编号：</w:t>
      </w:r>
      <w:r>
        <w:rPr>
          <w:rFonts w:hint="eastAsia" w:ascii="仿宋" w:hAnsi="仿宋" w:eastAsia="仿宋"/>
          <w:color w:val="000000"/>
          <w:sz w:val="24"/>
          <w:szCs w:val="24"/>
          <w:highlight w:val="none"/>
          <w:u w:val="single"/>
        </w:rPr>
        <w:t xml:space="preserve">              </w:t>
      </w:r>
    </w:p>
    <w:p w14:paraId="41FD5DEF">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_________________________（投标人）：</w:t>
      </w:r>
    </w:p>
    <w:p w14:paraId="303D016B">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u w:val="single"/>
        </w:rPr>
        <w:t>（项目名称）</w:t>
      </w:r>
      <w:r>
        <w:rPr>
          <w:rFonts w:hint="eastAsia" w:ascii="仿宋" w:hAnsi="仿宋" w:eastAsia="仿宋"/>
          <w:color w:val="000000"/>
          <w:sz w:val="24"/>
          <w:szCs w:val="24"/>
          <w:highlight w:val="none"/>
        </w:rPr>
        <w:t>招标的评标委员会，对你方的投标文件进行了仔细的审查，现需你方对本通知所附的问题以书面形式予以澄清、说明或者补正：</w:t>
      </w:r>
    </w:p>
    <w:p w14:paraId="3668340F">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1.</w:t>
      </w:r>
    </w:p>
    <w:p w14:paraId="20CEB3E9">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2.</w:t>
      </w:r>
    </w:p>
    <w:p w14:paraId="103F7681">
      <w:pPr>
        <w:spacing w:line="360" w:lineRule="auto"/>
        <w:ind w:right="357" w:firstLine="480" w:firstLineChars="200"/>
        <w:rPr>
          <w:rFonts w:ascii="宋体" w:hAnsi="宋体"/>
          <w:color w:val="000000"/>
          <w:sz w:val="24"/>
          <w:szCs w:val="24"/>
          <w:highlight w:val="none"/>
        </w:rPr>
      </w:pPr>
      <w:r>
        <w:rPr>
          <w:rFonts w:hint="eastAsia" w:ascii="仿宋" w:hAnsi="仿宋" w:eastAsia="仿宋"/>
          <w:color w:val="000000"/>
          <w:sz w:val="24"/>
          <w:szCs w:val="24"/>
          <w:highlight w:val="none"/>
        </w:rPr>
        <w:t>请将上述问题的澄清、说明或者补正于______年___月___日___时前密封递交至</w:t>
      </w:r>
      <w:r>
        <w:rPr>
          <w:rFonts w:hint="eastAsia" w:ascii="仿宋" w:hAnsi="仿宋" w:eastAsia="仿宋"/>
          <w:color w:val="000000"/>
          <w:sz w:val="24"/>
          <w:szCs w:val="24"/>
          <w:highlight w:val="none"/>
          <w:u w:val="single"/>
        </w:rPr>
        <w:t xml:space="preserve"> （详细地址）</w:t>
      </w:r>
      <w:r>
        <w:rPr>
          <w:rFonts w:hint="eastAsia" w:ascii="仿宋" w:hAnsi="仿宋" w:eastAsia="仿宋"/>
          <w:color w:val="000000"/>
          <w:sz w:val="24"/>
          <w:szCs w:val="24"/>
          <w:highlight w:val="none"/>
        </w:rPr>
        <w:t>或以扫描件发送至____________（邮箱号码）。采用扫描件发送方式的，应在</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时前将原件递交至</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（详细地址）。</w:t>
      </w:r>
    </w:p>
    <w:p w14:paraId="09E07694">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3F1A179E">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1CE1DB95">
      <w:pPr>
        <w:spacing w:line="360" w:lineRule="auto"/>
        <w:ind w:right="357"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评标委员会：</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（签字）</w:t>
      </w:r>
    </w:p>
    <w:p w14:paraId="5527AA46">
      <w:pPr>
        <w:spacing w:line="360" w:lineRule="auto"/>
        <w:ind w:right="357"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7639F19B">
      <w:pPr>
        <w:spacing w:line="480" w:lineRule="exact"/>
        <w:ind w:firstLine="4080" w:firstLineChars="1700"/>
        <w:rPr>
          <w:rFonts w:ascii="仿宋" w:hAnsi="仿宋" w:eastAsia="仿宋"/>
          <w:color w:val="000000"/>
          <w:sz w:val="24"/>
          <w:szCs w:val="24"/>
          <w:highlight w:val="none"/>
        </w:rPr>
      </w:pPr>
      <w:r>
        <w:rPr>
          <w:rFonts w:hint="eastAsia" w:ascii="仿宋" w:hAnsi="仿宋" w:eastAsia="仿宋"/>
          <w:color w:val="000000"/>
          <w:sz w:val="24"/>
          <w:szCs w:val="24"/>
          <w:highlight w:val="none"/>
        </w:rPr>
        <w:t>日期：</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p>
    <w:p w14:paraId="20841CBA">
      <w:pPr>
        <w:spacing w:line="360" w:lineRule="auto"/>
        <w:rPr>
          <w:rFonts w:ascii="仿宋" w:hAnsi="仿宋" w:eastAsia="仿宋"/>
          <w:b/>
          <w:color w:val="000000"/>
          <w:sz w:val="28"/>
          <w:szCs w:val="28"/>
          <w:highlight w:val="none"/>
        </w:rPr>
      </w:pPr>
      <w:r>
        <w:rPr>
          <w:rFonts w:hint="eastAsia" w:ascii="仿宋" w:hAnsi="仿宋" w:eastAsia="仿宋"/>
          <w:color w:val="000000"/>
          <w:highlight w:val="none"/>
        </w:rPr>
        <w:br w:type="page"/>
      </w:r>
      <w:r>
        <w:rPr>
          <w:rFonts w:hint="eastAsia" w:ascii="仿宋" w:hAnsi="仿宋" w:eastAsia="仿宋"/>
          <w:b/>
          <w:color w:val="000000"/>
          <w:sz w:val="28"/>
          <w:szCs w:val="28"/>
          <w:highlight w:val="none"/>
        </w:rPr>
        <w:t>附件二：问题的澄清</w:t>
      </w:r>
    </w:p>
    <w:p w14:paraId="402BFECA">
      <w:pPr>
        <w:spacing w:beforeLines="100" w:afterLines="100" w:line="360" w:lineRule="auto"/>
        <w:jc w:val="center"/>
        <w:rPr>
          <w:rFonts w:ascii="仿宋" w:hAnsi="仿宋" w:eastAsia="仿宋"/>
          <w:color w:val="000000"/>
          <w:sz w:val="28"/>
          <w:szCs w:val="28"/>
          <w:highlight w:val="none"/>
        </w:rPr>
      </w:pPr>
      <w:r>
        <w:rPr>
          <w:rFonts w:hint="eastAsia" w:ascii="仿宋" w:hAnsi="仿宋" w:eastAsia="仿宋"/>
          <w:color w:val="000000"/>
          <w:sz w:val="28"/>
          <w:szCs w:val="28"/>
          <w:highlight w:val="none"/>
        </w:rPr>
        <w:t>问题的澄清、说明或补正</w:t>
      </w:r>
    </w:p>
    <w:p w14:paraId="532C13B5">
      <w:pPr>
        <w:spacing w:line="360" w:lineRule="auto"/>
        <w:ind w:firstLine="6120" w:firstLineChars="2550"/>
        <w:rPr>
          <w:rFonts w:ascii="仿宋" w:hAnsi="仿宋" w:eastAsia="仿宋"/>
          <w:color w:val="000000"/>
          <w:sz w:val="24"/>
          <w:szCs w:val="24"/>
          <w:highlight w:val="none"/>
        </w:rPr>
      </w:pPr>
      <w:r>
        <w:rPr>
          <w:rFonts w:hint="eastAsia" w:ascii="仿宋" w:hAnsi="仿宋" w:eastAsia="仿宋"/>
          <w:color w:val="000000"/>
          <w:sz w:val="24"/>
          <w:szCs w:val="24"/>
          <w:highlight w:val="none"/>
        </w:rPr>
        <w:t>编号：</w:t>
      </w:r>
      <w:r>
        <w:rPr>
          <w:rFonts w:hint="eastAsia" w:ascii="仿宋" w:hAnsi="仿宋" w:eastAsia="仿宋"/>
          <w:color w:val="000000"/>
          <w:sz w:val="24"/>
          <w:szCs w:val="24"/>
          <w:highlight w:val="none"/>
          <w:u w:val="single"/>
        </w:rPr>
        <w:t xml:space="preserve">         </w:t>
      </w:r>
    </w:p>
    <w:p w14:paraId="78E10E43">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_____________________（项目名称）______招标评标委员会：</w:t>
      </w:r>
    </w:p>
    <w:p w14:paraId="79E48B7E">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问题澄清通知（编号：____________）已收悉，现澄清、说明或者补正如下：</w:t>
      </w:r>
    </w:p>
    <w:p w14:paraId="096A8E5D">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1.____________________________________________________</w:t>
      </w:r>
    </w:p>
    <w:p w14:paraId="3C321496">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2.____________________________________________________</w:t>
      </w:r>
    </w:p>
    <w:p w14:paraId="06267E1A">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w:t>
      </w:r>
    </w:p>
    <w:p w14:paraId="0686E053">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上述问题澄清、说明或补正，不改变我方投标文件的实质性内容，构成我方投标文件的组成部分。</w:t>
      </w:r>
    </w:p>
    <w:p w14:paraId="766B8DE9">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7D7EB5C7">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57EB2750">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064259C6">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0501D6B7">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68700396">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504A3F55">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1AB2BF3A">
      <w:pPr>
        <w:wordWrap w:val="0"/>
        <w:spacing w:line="360" w:lineRule="auto"/>
        <w:ind w:firstLine="480" w:firstLineChars="200"/>
        <w:jc w:val="righ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投标人：__________________________（盖单位章）</w:t>
      </w:r>
    </w:p>
    <w:p w14:paraId="326E3614">
      <w:pPr>
        <w:spacing w:line="360" w:lineRule="auto"/>
        <w:ind w:right="420" w:firstLine="3840" w:firstLineChars="1600"/>
        <w:rPr>
          <w:rFonts w:ascii="仿宋" w:hAnsi="仿宋" w:eastAsia="仿宋"/>
          <w:color w:val="000000"/>
          <w:sz w:val="24"/>
          <w:szCs w:val="24"/>
          <w:highlight w:val="none"/>
        </w:rPr>
      </w:pPr>
      <w:r>
        <w:rPr>
          <w:rFonts w:hint="eastAsia" w:ascii="仿宋" w:hAnsi="仿宋" w:eastAsia="仿宋"/>
          <w:color w:val="000000"/>
          <w:sz w:val="24"/>
          <w:szCs w:val="24"/>
          <w:highlight w:val="none"/>
        </w:rPr>
        <w:t>法定代表人：</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（签字）</w:t>
      </w:r>
    </w:p>
    <w:p w14:paraId="3FE9EC47">
      <w:pPr>
        <w:spacing w:line="360" w:lineRule="auto"/>
        <w:ind w:firstLine="5040" w:firstLineChars="2100"/>
        <w:rPr>
          <w:rFonts w:ascii="仿宋" w:hAnsi="仿宋" w:eastAsia="仿宋"/>
          <w:color w:val="000000"/>
          <w:sz w:val="24"/>
          <w:szCs w:val="24"/>
          <w:highlight w:val="none"/>
        </w:rPr>
      </w:pPr>
      <w:r>
        <w:rPr>
          <w:rFonts w:hint="eastAsia" w:ascii="仿宋" w:hAnsi="仿宋" w:eastAsia="仿宋"/>
          <w:color w:val="000000"/>
          <w:sz w:val="24"/>
          <w:szCs w:val="24"/>
          <w:highlight w:val="none"/>
        </w:rPr>
        <w:t>_________年______月______日</w:t>
      </w:r>
    </w:p>
    <w:p w14:paraId="36C55AD7">
      <w:pPr>
        <w:spacing w:line="360" w:lineRule="auto"/>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 </w:t>
      </w:r>
    </w:p>
    <w:p w14:paraId="4421D94C">
      <w:pPr>
        <w:autoSpaceDE w:val="0"/>
        <w:spacing w:line="360" w:lineRule="auto"/>
        <w:jc w:val="left"/>
        <w:rPr>
          <w:rFonts w:ascii="仿宋" w:hAnsi="仿宋" w:eastAsia="仿宋"/>
          <w:caps/>
          <w:color w:val="000000"/>
          <w:sz w:val="32"/>
          <w:szCs w:val="32"/>
          <w:highlight w:val="none"/>
        </w:rPr>
      </w:pPr>
      <w:r>
        <w:rPr>
          <w:rFonts w:hint="eastAsia" w:ascii="仿宋" w:hAnsi="仿宋" w:eastAsia="仿宋"/>
          <w:b/>
          <w:color w:val="000000"/>
          <w:sz w:val="28"/>
          <w:szCs w:val="28"/>
          <w:highlight w:val="none"/>
        </w:rPr>
        <w:br w:type="page"/>
      </w:r>
      <w:bookmarkStart w:id="48" w:name="_Toc31826"/>
      <w:bookmarkEnd w:id="48"/>
    </w:p>
    <w:p w14:paraId="175B23F4">
      <w:pPr>
        <w:autoSpaceDE w:val="0"/>
        <w:spacing w:line="360" w:lineRule="auto"/>
        <w:jc w:val="center"/>
        <w:outlineLvl w:val="0"/>
        <w:rPr>
          <w:rFonts w:ascii="仿宋" w:hAnsi="仿宋" w:eastAsia="仿宋" w:cs="仿宋"/>
          <w:b/>
          <w:bCs/>
          <w:caps/>
          <w:color w:val="000000"/>
          <w:sz w:val="32"/>
          <w:szCs w:val="32"/>
          <w:highlight w:val="none"/>
        </w:rPr>
      </w:pPr>
      <w:bookmarkStart w:id="49" w:name="_Toc6120"/>
      <w:r>
        <w:rPr>
          <w:rFonts w:hint="eastAsia" w:ascii="仿宋" w:hAnsi="仿宋" w:eastAsia="仿宋" w:cs="仿宋"/>
          <w:b/>
          <w:bCs/>
          <w:caps/>
          <w:color w:val="000000"/>
          <w:sz w:val="32"/>
          <w:szCs w:val="32"/>
          <w:highlight w:val="none"/>
        </w:rPr>
        <w:t>第三章  采购需求</w:t>
      </w:r>
      <w:bookmarkEnd w:id="49"/>
    </w:p>
    <w:p w14:paraId="771A0AC1">
      <w:pPr>
        <w:pStyle w:val="2"/>
        <w:keepNext w:val="0"/>
        <w:keepLines w:val="0"/>
        <w:spacing w:after="120" w:line="240" w:lineRule="auto"/>
        <w:jc w:val="center"/>
        <w:rPr>
          <w:rFonts w:ascii="仿宋" w:hAnsi="仿宋" w:eastAsia="仿宋" w:cs="仿宋"/>
          <w:b w:val="0"/>
          <w:highlight w:val="none"/>
        </w:rPr>
      </w:pPr>
      <w:r>
        <w:rPr>
          <w:rFonts w:hint="eastAsia" w:ascii="仿宋" w:hAnsi="仿宋" w:eastAsia="仿宋" w:cs="仿宋"/>
          <w:kern w:val="2"/>
          <w:highlight w:val="none"/>
        </w:rPr>
        <w:t>第一部分  商务需求</w:t>
      </w:r>
    </w:p>
    <w:tbl>
      <w:tblPr>
        <w:tblStyle w:val="20"/>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2097"/>
        <w:gridCol w:w="6428"/>
      </w:tblGrid>
      <w:tr w14:paraId="5969E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vAlign w:val="center"/>
          </w:tcPr>
          <w:p w14:paraId="68EA1DC9">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序号</w:t>
            </w:r>
          </w:p>
        </w:tc>
        <w:tc>
          <w:tcPr>
            <w:tcW w:w="2097" w:type="dxa"/>
            <w:vAlign w:val="center"/>
          </w:tcPr>
          <w:p w14:paraId="537D3904">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内容</w:t>
            </w:r>
          </w:p>
        </w:tc>
        <w:tc>
          <w:tcPr>
            <w:tcW w:w="6428" w:type="dxa"/>
            <w:vAlign w:val="center"/>
          </w:tcPr>
          <w:p w14:paraId="2DA175F8">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说明</w:t>
            </w:r>
          </w:p>
        </w:tc>
      </w:tr>
      <w:tr w14:paraId="61383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750" w:type="dxa"/>
            <w:vAlign w:val="center"/>
          </w:tcPr>
          <w:p w14:paraId="46C7C2BB">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1</w:t>
            </w:r>
          </w:p>
        </w:tc>
        <w:tc>
          <w:tcPr>
            <w:tcW w:w="2097" w:type="dxa"/>
            <w:vAlign w:val="center"/>
          </w:tcPr>
          <w:p w14:paraId="0431A0CB">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预算金额</w:t>
            </w:r>
          </w:p>
        </w:tc>
        <w:tc>
          <w:tcPr>
            <w:tcW w:w="6428" w:type="dxa"/>
            <w:vAlign w:val="center"/>
          </w:tcPr>
          <w:p w14:paraId="4A545C48">
            <w:pPr>
              <w:spacing w:line="360" w:lineRule="auto"/>
              <w:jc w:val="left"/>
              <w:rPr>
                <w:rFonts w:ascii="仿宋" w:hAnsi="仿宋" w:eastAsia="仿宋" w:cs="仿宋"/>
                <w:bCs/>
                <w:sz w:val="24"/>
                <w:szCs w:val="24"/>
                <w:highlight w:val="none"/>
              </w:rPr>
            </w:pPr>
            <w:r>
              <w:rPr>
                <w:rFonts w:hint="eastAsia" w:ascii="仿宋" w:hAnsi="仿宋" w:eastAsia="仿宋" w:cs="仿宋"/>
                <w:bCs/>
                <w:sz w:val="24"/>
                <w:szCs w:val="24"/>
                <w:highlight w:val="none"/>
              </w:rPr>
              <w:t>240.00万元/年</w:t>
            </w:r>
          </w:p>
        </w:tc>
      </w:tr>
      <w:tr w14:paraId="74AA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vAlign w:val="center"/>
          </w:tcPr>
          <w:p w14:paraId="38314425">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2</w:t>
            </w:r>
          </w:p>
        </w:tc>
        <w:tc>
          <w:tcPr>
            <w:tcW w:w="2097" w:type="dxa"/>
            <w:vAlign w:val="center"/>
          </w:tcPr>
          <w:p w14:paraId="5CF0C7DB">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最高投标限价</w:t>
            </w:r>
          </w:p>
        </w:tc>
        <w:tc>
          <w:tcPr>
            <w:tcW w:w="6428" w:type="dxa"/>
            <w:vAlign w:val="center"/>
          </w:tcPr>
          <w:p w14:paraId="4ED09C8C">
            <w:pPr>
              <w:spacing w:line="360" w:lineRule="auto"/>
              <w:jc w:val="left"/>
              <w:rPr>
                <w:rFonts w:ascii="仿宋" w:hAnsi="仿宋" w:eastAsia="仿宋" w:cs="仿宋"/>
                <w:bCs/>
                <w:sz w:val="24"/>
                <w:szCs w:val="24"/>
                <w:highlight w:val="none"/>
              </w:rPr>
            </w:pPr>
            <w:r>
              <w:rPr>
                <w:rFonts w:hint="eastAsia" w:ascii="仿宋" w:hAnsi="仿宋" w:eastAsia="仿宋" w:cs="仿宋"/>
                <w:bCs/>
                <w:sz w:val="24"/>
                <w:szCs w:val="24"/>
                <w:highlight w:val="none"/>
              </w:rPr>
              <w:t>210.00万元/年</w:t>
            </w:r>
          </w:p>
        </w:tc>
      </w:tr>
      <w:tr w14:paraId="729E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vAlign w:val="center"/>
          </w:tcPr>
          <w:p w14:paraId="45B51CFA">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3</w:t>
            </w:r>
          </w:p>
        </w:tc>
        <w:tc>
          <w:tcPr>
            <w:tcW w:w="2097" w:type="dxa"/>
            <w:vAlign w:val="center"/>
          </w:tcPr>
          <w:p w14:paraId="2DCA0334">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合同履行期限</w:t>
            </w:r>
          </w:p>
        </w:tc>
        <w:tc>
          <w:tcPr>
            <w:tcW w:w="6428" w:type="dxa"/>
            <w:vAlign w:val="center"/>
          </w:tcPr>
          <w:p w14:paraId="04C5C55F">
            <w:pPr>
              <w:spacing w:line="360" w:lineRule="auto"/>
              <w:jc w:val="left"/>
              <w:rPr>
                <w:rFonts w:ascii="仿宋" w:hAnsi="仿宋" w:eastAsia="仿宋" w:cs="仿宋"/>
                <w:bCs/>
                <w:sz w:val="24"/>
                <w:szCs w:val="24"/>
                <w:highlight w:val="none"/>
              </w:rPr>
            </w:pPr>
            <w:r>
              <w:rPr>
                <w:rFonts w:hint="eastAsia" w:ascii="仿宋" w:hAnsi="仿宋" w:eastAsia="仿宋" w:cs="仿宋"/>
                <w:bCs/>
                <w:sz w:val="24"/>
                <w:szCs w:val="24"/>
                <w:highlight w:val="none"/>
              </w:rPr>
              <w:t>3年，合同一年一签。</w:t>
            </w:r>
          </w:p>
        </w:tc>
      </w:tr>
      <w:tr w14:paraId="3798A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vAlign w:val="center"/>
          </w:tcPr>
          <w:p w14:paraId="732B362C">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4</w:t>
            </w:r>
          </w:p>
        </w:tc>
        <w:tc>
          <w:tcPr>
            <w:tcW w:w="2097" w:type="dxa"/>
            <w:vAlign w:val="center"/>
          </w:tcPr>
          <w:p w14:paraId="61169B93">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采购内容</w:t>
            </w:r>
          </w:p>
        </w:tc>
        <w:tc>
          <w:tcPr>
            <w:tcW w:w="6428" w:type="dxa"/>
            <w:vAlign w:val="center"/>
          </w:tcPr>
          <w:p w14:paraId="7852553A">
            <w:pPr>
              <w:spacing w:line="360" w:lineRule="auto"/>
              <w:jc w:val="left"/>
              <w:rPr>
                <w:rFonts w:ascii="仿宋" w:hAnsi="仿宋" w:eastAsia="仿宋" w:cs="仿宋"/>
                <w:bCs/>
                <w:sz w:val="24"/>
                <w:szCs w:val="24"/>
                <w:highlight w:val="none"/>
              </w:rPr>
            </w:pPr>
            <w:r>
              <w:rPr>
                <w:rFonts w:hint="eastAsia" w:ascii="仿宋" w:hAnsi="仿宋" w:eastAsia="仿宋" w:cs="仿宋"/>
                <w:bCs/>
                <w:sz w:val="24"/>
                <w:szCs w:val="24"/>
                <w:highlight w:val="none"/>
              </w:rPr>
              <w:t>陇川县人民医院及11家医共体分院医疗设备维护保修服务</w:t>
            </w:r>
          </w:p>
        </w:tc>
      </w:tr>
      <w:tr w14:paraId="65DB3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vAlign w:val="center"/>
          </w:tcPr>
          <w:p w14:paraId="34949A2E">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5</w:t>
            </w:r>
          </w:p>
        </w:tc>
        <w:tc>
          <w:tcPr>
            <w:tcW w:w="2097" w:type="dxa"/>
            <w:vAlign w:val="center"/>
          </w:tcPr>
          <w:p w14:paraId="2D4CF996">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服务地点</w:t>
            </w:r>
          </w:p>
        </w:tc>
        <w:tc>
          <w:tcPr>
            <w:tcW w:w="6428" w:type="dxa"/>
          </w:tcPr>
          <w:p w14:paraId="313D01B4">
            <w:pPr>
              <w:spacing w:line="360" w:lineRule="auto"/>
              <w:jc w:val="left"/>
              <w:rPr>
                <w:rFonts w:ascii="仿宋" w:hAnsi="仿宋" w:eastAsia="仿宋" w:cs="仿宋"/>
                <w:bCs/>
                <w:sz w:val="24"/>
                <w:szCs w:val="24"/>
                <w:highlight w:val="none"/>
              </w:rPr>
            </w:pPr>
            <w:r>
              <w:rPr>
                <w:rFonts w:hint="eastAsia" w:ascii="仿宋" w:hAnsi="仿宋" w:eastAsia="仿宋" w:cs="仿宋"/>
                <w:bCs/>
                <w:sz w:val="24"/>
                <w:szCs w:val="24"/>
                <w:highlight w:val="none"/>
              </w:rPr>
              <w:t>采购人指定地点</w:t>
            </w:r>
          </w:p>
        </w:tc>
      </w:tr>
      <w:tr w14:paraId="75458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jc w:val="center"/>
        </w:trPr>
        <w:tc>
          <w:tcPr>
            <w:tcW w:w="750" w:type="dxa"/>
            <w:vAlign w:val="center"/>
          </w:tcPr>
          <w:p w14:paraId="6E37DBBA">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6</w:t>
            </w:r>
          </w:p>
        </w:tc>
        <w:tc>
          <w:tcPr>
            <w:tcW w:w="2097" w:type="dxa"/>
            <w:vAlign w:val="center"/>
          </w:tcPr>
          <w:p w14:paraId="2FE8F173">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驻场技术服务</w:t>
            </w:r>
          </w:p>
        </w:tc>
        <w:tc>
          <w:tcPr>
            <w:tcW w:w="6428" w:type="dxa"/>
          </w:tcPr>
          <w:p w14:paraId="096AAA11">
            <w:pPr>
              <w:spacing w:line="360" w:lineRule="auto"/>
              <w:jc w:val="left"/>
              <w:rPr>
                <w:rFonts w:ascii="仿宋" w:hAnsi="仿宋" w:eastAsia="仿宋" w:cs="仿宋"/>
                <w:bCs/>
                <w:sz w:val="24"/>
                <w:szCs w:val="24"/>
                <w:highlight w:val="none"/>
              </w:rPr>
            </w:pPr>
            <w:r>
              <w:rPr>
                <w:rFonts w:hint="eastAsia" w:ascii="仿宋" w:hAnsi="仿宋" w:eastAsia="仿宋" w:cs="仿宋"/>
                <w:bCs/>
                <w:sz w:val="24"/>
                <w:szCs w:val="24"/>
                <w:highlight w:val="none"/>
              </w:rPr>
              <w:t>派驻不少于4名专业工程师。成立医院设备科下属院内维修中心，设立院内常备配件库，7*24小时驻场服务，开展预防性维护保养和每季度质控服务和检修，及时响应临床科室叫修，保障维修叫修响应率100%、及时率98%以上，为医院提供优质、高效、及时的本地化服务。</w:t>
            </w:r>
          </w:p>
        </w:tc>
      </w:tr>
      <w:tr w14:paraId="60BFF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vAlign w:val="center"/>
          </w:tcPr>
          <w:p w14:paraId="53BCB009">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7</w:t>
            </w:r>
          </w:p>
        </w:tc>
        <w:tc>
          <w:tcPr>
            <w:tcW w:w="2097" w:type="dxa"/>
            <w:vAlign w:val="center"/>
          </w:tcPr>
          <w:p w14:paraId="21C04BAF">
            <w:pPr>
              <w:spacing w:line="360" w:lineRule="auto"/>
              <w:jc w:val="center"/>
              <w:rPr>
                <w:rFonts w:ascii="仿宋" w:hAnsi="仿宋" w:eastAsia="仿宋" w:cs="仿宋"/>
                <w:bCs/>
                <w:sz w:val="24"/>
                <w:szCs w:val="24"/>
                <w:highlight w:val="none"/>
              </w:rPr>
            </w:pPr>
            <w:r>
              <w:rPr>
                <w:rFonts w:hint="eastAsia" w:ascii="仿宋" w:hAnsi="仿宋" w:eastAsia="仿宋" w:cs="仿宋"/>
                <w:bCs/>
                <w:sz w:val="24"/>
                <w:szCs w:val="24"/>
                <w:highlight w:val="none"/>
              </w:rPr>
              <w:t>付款条件</w:t>
            </w:r>
          </w:p>
        </w:tc>
        <w:tc>
          <w:tcPr>
            <w:tcW w:w="6428" w:type="dxa"/>
            <w:vAlign w:val="center"/>
          </w:tcPr>
          <w:p w14:paraId="2E043038">
            <w:pPr>
              <w:spacing w:line="360" w:lineRule="auto"/>
              <w:jc w:val="left"/>
              <w:rPr>
                <w:rFonts w:ascii="仿宋" w:hAnsi="仿宋" w:eastAsia="仿宋" w:cs="仿宋"/>
                <w:bCs/>
                <w:sz w:val="24"/>
                <w:szCs w:val="24"/>
                <w:highlight w:val="none"/>
              </w:rPr>
            </w:pPr>
            <w:r>
              <w:rPr>
                <w:rFonts w:hint="eastAsia" w:ascii="仿宋" w:hAnsi="仿宋" w:eastAsia="仿宋" w:cs="仿宋"/>
                <w:bCs/>
                <w:sz w:val="24"/>
                <w:szCs w:val="24"/>
                <w:highlight w:val="none"/>
              </w:rPr>
              <w:t>根据采购人资金情况及时支付</w:t>
            </w:r>
          </w:p>
        </w:tc>
      </w:tr>
    </w:tbl>
    <w:p w14:paraId="127C7B41">
      <w:pPr>
        <w:rPr>
          <w:rFonts w:ascii="仿宋" w:hAnsi="仿宋" w:eastAsia="仿宋" w:cs="仿宋"/>
          <w:b/>
          <w:bCs/>
          <w:sz w:val="24"/>
          <w:szCs w:val="24"/>
          <w:highlight w:val="none"/>
        </w:rPr>
      </w:pPr>
    </w:p>
    <w:p w14:paraId="7686FD58">
      <w:pPr>
        <w:pStyle w:val="2"/>
        <w:keepNext w:val="0"/>
        <w:keepLines w:val="0"/>
        <w:spacing w:line="240" w:lineRule="auto"/>
        <w:jc w:val="center"/>
        <w:rPr>
          <w:rFonts w:ascii="仿宋" w:hAnsi="仿宋" w:eastAsia="仿宋" w:cs="仿宋"/>
          <w:kern w:val="2"/>
          <w:highlight w:val="none"/>
        </w:rPr>
      </w:pPr>
      <w:r>
        <w:rPr>
          <w:rFonts w:hint="eastAsia" w:ascii="仿宋" w:hAnsi="仿宋" w:eastAsia="仿宋" w:cs="仿宋"/>
          <w:kern w:val="2"/>
          <w:highlight w:val="none"/>
        </w:rPr>
        <w:t>第二部分  技术需求</w:t>
      </w:r>
    </w:p>
    <w:p w14:paraId="3B1B75E6">
      <w:pPr>
        <w:spacing w:line="360" w:lineRule="auto"/>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一、服务范围</w:t>
      </w:r>
    </w:p>
    <w:p w14:paraId="16A3CCF8">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1.维保设备服务范围详见附件1</w:t>
      </w:r>
      <w:r>
        <w:rPr>
          <w:rFonts w:hint="eastAsia" w:ascii="仿宋" w:hAnsi="仿宋" w:eastAsia="仿宋" w:cs="仿宋"/>
          <w:sz w:val="24"/>
          <w:szCs w:val="24"/>
          <w:highlight w:val="none"/>
        </w:rPr>
        <w:t>《陇川县人民医院医疗设备资产明细表》、附件2《陇川县县域医共体各分院医疗设备资产明细表》，资产明细表另附。</w:t>
      </w:r>
    </w:p>
    <w:p w14:paraId="32FF655C">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2.对陇川县人民医院所有在固定资产内（资产金额约12721.2178万元）医疗设备进行整机全保服务（1台1.5T MRI除磁体、1台16排CT除探测器、1台DR除探测器、2台移动DR除探测器、1台移动式C臂、1台口腔全景牙片机等设备实行全包制，</w:t>
      </w:r>
      <w:r>
        <w:rPr>
          <w:rFonts w:hint="eastAsia" w:ascii="仿宋" w:hAnsi="仿宋" w:eastAsia="仿宋" w:cs="仿宋"/>
          <w:color w:val="000000" w:themeColor="text1"/>
          <w:sz w:val="24"/>
          <w:szCs w:val="24"/>
          <w:highlight w:val="none"/>
        </w:rPr>
        <w:t>1台车载移动CT不纳入此次招标服务全保范围，原技术保至2026年7月9日，保修期到后纳入技术保服务，三年服务期内无需额外增加技术保费用），含所有</w:t>
      </w:r>
      <w:r>
        <w:rPr>
          <w:rFonts w:hint="eastAsia" w:ascii="仿宋" w:hAnsi="仿宋" w:eastAsia="仿宋" w:cs="仿宋"/>
          <w:sz w:val="24"/>
          <w:szCs w:val="24"/>
          <w:highlight w:val="none"/>
        </w:rPr>
        <w:t>配件、各类电池、灯泡、设备专用耗材（机身外部使用一次性耗材除外）。陇川县人民医院已签订采购合同录入资产管理的设备按原采购合同价值执行，双方亲自盘点实物后资产总值纳入本项目维保范围；当年签订维保合同后新增设备或在质保期内设备，过保（质保期）后自动纳入本项目范围，医院不再增加当年维保金额，第二年续签合同前盘点再纳入新设备资产总值*(比值</w:t>
      </w:r>
      <w:r>
        <w:rPr>
          <w:rFonts w:hint="eastAsia" w:ascii="仿宋" w:hAnsi="仿宋" w:eastAsia="仿宋" w:cs="仿宋"/>
          <w:color w:val="000000" w:themeColor="text1"/>
          <w:sz w:val="24"/>
          <w:szCs w:val="24"/>
          <w:highlight w:val="none"/>
        </w:rPr>
        <w:t>系数）1.14%计算，依</w:t>
      </w:r>
      <w:r>
        <w:rPr>
          <w:rFonts w:hint="eastAsia" w:ascii="仿宋" w:hAnsi="仿宋" w:eastAsia="仿宋" w:cs="仿宋"/>
          <w:sz w:val="24"/>
          <w:szCs w:val="24"/>
          <w:highlight w:val="none"/>
        </w:rPr>
        <w:t>此类推。</w:t>
      </w:r>
    </w:p>
    <w:p w14:paraId="01629E2B">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3.对10家医共体分院（陇川县中医医院（资产金额约1091.4450万元）、陇川县妇幼保健院（资产金额约1317.8110万元）、户撒乡中心卫生院、城子镇中心卫生院、景罕镇卫生院、王子树乡卫生院、清平乡卫生院、护国乡卫生院、 勐约乡卫生院、章凤镇社区卫生服务中心及1家医共体成员陇川县疾病预防控制中心（资产金额约1118.9616万元）所有在固定资产医疗设备进行技术保（技术保指提供维修技术服务）。维修配件费用、计量检测费用由设备使用单位自行承担，每季度对设备进行巡检维护。</w:t>
      </w:r>
    </w:p>
    <w:p w14:paraId="7C997103">
      <w:pPr>
        <w:widowControl/>
        <w:adjustRightInd w:val="0"/>
        <w:spacing w:line="360" w:lineRule="auto"/>
        <w:ind w:firstLine="240" w:firstLineChars="100"/>
        <w:jc w:val="left"/>
        <w:rPr>
          <w:rFonts w:ascii="仿宋" w:hAnsi="仿宋" w:eastAsia="仿宋" w:cs="仿宋"/>
          <w:color w:val="FF0000"/>
          <w:sz w:val="24"/>
          <w:szCs w:val="24"/>
          <w:highlight w:val="none"/>
        </w:rPr>
      </w:pPr>
      <w:r>
        <w:rPr>
          <w:rFonts w:hint="eastAsia" w:ascii="仿宋" w:hAnsi="仿宋" w:eastAsia="仿宋" w:cs="仿宋"/>
          <w:sz w:val="24"/>
          <w:szCs w:val="24"/>
          <w:highlight w:val="none"/>
        </w:rPr>
        <w:t>4.所有维保医疗设备，其中主要包含：放射类大型设备、CT、核磁、DR、C臂、口腔全景牙片机、彩超、内窥镜设备、血液净化及水处理设备、检验设备、消毒供应中心设备、急救类生命支持类以及常规基础设备等。</w:t>
      </w:r>
    </w:p>
    <w:p w14:paraId="62817427">
      <w:pPr>
        <w:pStyle w:val="9"/>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5.提供陇川县国门医院医疗设备技术保修及巡检（说明：属新建医院，暂时由陇川县人民医院托管，设备均为2024年10月后新装）。</w:t>
      </w:r>
    </w:p>
    <w:p w14:paraId="75700C2C">
      <w:pPr>
        <w:spacing w:line="360" w:lineRule="auto"/>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二、服务内容</w:t>
      </w:r>
    </w:p>
    <w:p w14:paraId="798E0BF2">
      <w:pPr>
        <w:spacing w:line="360" w:lineRule="auto"/>
        <w:ind w:firstLine="480"/>
        <w:jc w:val="left"/>
        <w:rPr>
          <w:rFonts w:ascii="仿宋" w:hAnsi="仿宋" w:eastAsia="仿宋" w:cs="仿宋"/>
          <w:sz w:val="24"/>
          <w:szCs w:val="24"/>
          <w:highlight w:val="none"/>
        </w:rPr>
      </w:pPr>
      <w:r>
        <w:rPr>
          <w:rFonts w:hint="eastAsia" w:ascii="仿宋" w:hAnsi="仿宋" w:eastAsia="仿宋" w:cs="仿宋"/>
          <w:sz w:val="24"/>
          <w:szCs w:val="24"/>
          <w:highlight w:val="none"/>
        </w:rPr>
        <w:t>本次招标服务范围是陇川县人民医院医疗设备全生命周期管理与技术服务，具体服务内容说明如下：</w:t>
      </w:r>
    </w:p>
    <w:p w14:paraId="238C8EC7">
      <w:pPr>
        <w:spacing w:line="360" w:lineRule="auto"/>
        <w:ind w:firstLine="241" w:firstLineChars="1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1.诊断类设备</w:t>
      </w:r>
    </w:p>
    <w:p w14:paraId="787F99DA">
      <w:pPr>
        <w:spacing w:line="360" w:lineRule="auto"/>
        <w:jc w:val="left"/>
        <w:rPr>
          <w:rFonts w:ascii="仿宋" w:hAnsi="仿宋" w:eastAsia="仿宋" w:cs="仿宋"/>
          <w:b/>
          <w:color w:val="000000" w:themeColor="text1"/>
          <w:sz w:val="24"/>
          <w:szCs w:val="24"/>
          <w:highlight w:val="none"/>
        </w:rPr>
      </w:pPr>
      <w:r>
        <w:rPr>
          <w:rFonts w:hint="eastAsia" w:ascii="仿宋" w:hAnsi="仿宋" w:eastAsia="仿宋" w:cs="仿宋"/>
          <w:color w:val="000000" w:themeColor="text1"/>
          <w:sz w:val="24"/>
          <w:szCs w:val="24"/>
          <w:highlight w:val="none"/>
        </w:rPr>
        <w:t>★</w:t>
      </w:r>
      <w:r>
        <w:rPr>
          <w:rFonts w:hint="eastAsia" w:ascii="仿宋" w:hAnsi="仿宋" w:eastAsia="仿宋" w:cs="仿宋"/>
          <w:sz w:val="24"/>
          <w:szCs w:val="24"/>
          <w:highlight w:val="none"/>
        </w:rPr>
        <w:t>(1)放射影像诊断设备:MRI除磁体外全包（含液氦、冷头、线圈、水冷机、200KVA不间断电源、设备间及机房空调等）；CT 除探测器外全包； DR除探测器外全包；移动DR除探测器外全包；口腔全景牙片机全包、移动式C型臂全包。</w:t>
      </w:r>
      <w:r>
        <w:rPr>
          <w:rFonts w:hint="eastAsia" w:ascii="仿宋" w:hAnsi="仿宋" w:eastAsia="仿宋" w:cs="仿宋"/>
          <w:color w:val="000000" w:themeColor="text1"/>
          <w:sz w:val="24"/>
          <w:szCs w:val="24"/>
          <w:highlight w:val="none"/>
        </w:rPr>
        <w:t xml:space="preserve">（要求及说明：采购方1台车载移动CT技术保至2026年7月9日，不纳入此次招标服务全保范围，保修期到后纳入技术保服务）                                         </w:t>
      </w:r>
    </w:p>
    <w:p w14:paraId="18D652F1">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w:t>
      </w:r>
      <w:bookmarkStart w:id="97" w:name="_GoBack"/>
      <w:bookmarkEnd w:id="97"/>
      <w:r>
        <w:rPr>
          <w:rFonts w:hint="eastAsia" w:ascii="仿宋" w:hAnsi="仿宋" w:eastAsia="仿宋" w:cs="仿宋"/>
          <w:color w:val="000000" w:themeColor="text1"/>
          <w:sz w:val="24"/>
          <w:szCs w:val="24"/>
          <w:highlight w:val="none"/>
        </w:rPr>
        <w:t>(2)超声诊断设备:全包（含新增探头）。（要求及说明：采购方其中1台GE vivid E9彩超原购全保至2026年7月4日；1台新购LOGIQ E11彩超全保至2026年3月17日，2台彩超保修期到后纳入全保服务，三年服务期内无需额外增加全保费用）</w:t>
      </w:r>
    </w:p>
    <w:p w14:paraId="176223DD">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(3)内窥镜设备:电子胃肠镜、腹腔镜、鼻内窥镜及纤维喉镜系统、等离子电切镜、膀胱镜、输尿管镜、宫腔镜、眼科手术显微镜、椎间孔镜手术系统、关节镜等全包。</w:t>
      </w:r>
    </w:p>
    <w:p w14:paraId="74B41EBA">
      <w:pPr>
        <w:spacing w:line="360" w:lineRule="auto"/>
        <w:ind w:firstLine="240" w:firstLineChars="100"/>
        <w:jc w:val="left"/>
        <w:rPr>
          <w:rFonts w:ascii="仿宋" w:hAnsi="仿宋" w:eastAsia="仿宋" w:cs="仿宋"/>
          <w:b/>
          <w:sz w:val="24"/>
          <w:szCs w:val="24"/>
          <w:highlight w:val="none"/>
        </w:rPr>
      </w:pPr>
      <w:r>
        <w:rPr>
          <w:rFonts w:hint="eastAsia" w:ascii="仿宋" w:hAnsi="仿宋" w:eastAsia="仿宋" w:cs="仿宋"/>
          <w:sz w:val="24"/>
          <w:szCs w:val="24"/>
          <w:highlight w:val="none"/>
        </w:rPr>
        <w:t xml:space="preserve">(4)功能检查设备:心电、脑电、血压、听力、视力、呼吸等检查类设备全包。                                                                                                                                                                                                      </w:t>
      </w:r>
    </w:p>
    <w:p w14:paraId="61C94348">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 xml:space="preserve">(5)检验、病理、体检中心设备全包（含各种仪器灯泡）。                                                     </w:t>
      </w:r>
      <w:r>
        <w:rPr>
          <w:rFonts w:hint="eastAsia" w:ascii="仿宋" w:hAnsi="仿宋" w:eastAsia="仿宋" w:cs="仿宋"/>
          <w:b/>
          <w:bCs/>
          <w:sz w:val="24"/>
          <w:szCs w:val="24"/>
          <w:highlight w:val="none"/>
        </w:rPr>
        <w:t xml:space="preserve">2.治疗类设备    </w:t>
      </w:r>
      <w:r>
        <w:rPr>
          <w:rFonts w:hint="eastAsia" w:ascii="仿宋" w:hAnsi="仿宋" w:eastAsia="仿宋" w:cs="仿宋"/>
          <w:sz w:val="24"/>
          <w:szCs w:val="24"/>
          <w:highlight w:val="none"/>
        </w:rPr>
        <w:t xml:space="preserve">                   </w:t>
      </w:r>
    </w:p>
    <w:p w14:paraId="315666F0">
      <w:pPr>
        <w:spacing w:line="360" w:lineRule="auto"/>
        <w:ind w:firstLine="240" w:firstLineChars="100"/>
        <w:jc w:val="left"/>
        <w:rPr>
          <w:rFonts w:ascii="仿宋" w:hAnsi="仿宋" w:eastAsia="仿宋" w:cs="仿宋"/>
          <w:b/>
          <w:sz w:val="24"/>
          <w:szCs w:val="24"/>
          <w:highlight w:val="none"/>
        </w:rPr>
      </w:pPr>
      <w:r>
        <w:rPr>
          <w:rFonts w:hint="eastAsia" w:ascii="仿宋" w:hAnsi="仿宋" w:eastAsia="仿宋" w:cs="仿宋"/>
          <w:sz w:val="24"/>
          <w:szCs w:val="24"/>
          <w:highlight w:val="none"/>
        </w:rPr>
        <w:t>(1)急救生命支持类设备: 呼吸机、除颤仪、心电图机、监护仪、电动吸引器、洗胃机、麻醉机、注射泵、输液泵、床旁灌流机等全包。</w:t>
      </w:r>
    </w:p>
    <w:p w14:paraId="03E94BFC">
      <w:pPr>
        <w:spacing w:line="360" w:lineRule="auto"/>
        <w:ind w:firstLine="240" w:firstLineChars="100"/>
        <w:jc w:val="left"/>
        <w:rPr>
          <w:rFonts w:ascii="仿宋" w:hAnsi="仿宋" w:eastAsia="仿宋" w:cs="仿宋"/>
          <w:b/>
          <w:sz w:val="24"/>
          <w:szCs w:val="24"/>
          <w:highlight w:val="none"/>
        </w:rPr>
      </w:pPr>
      <w:r>
        <w:rPr>
          <w:rFonts w:hint="eastAsia" w:ascii="仿宋" w:hAnsi="仿宋" w:eastAsia="仿宋" w:cs="仿宋"/>
          <w:sz w:val="24"/>
          <w:szCs w:val="24"/>
          <w:highlight w:val="none"/>
        </w:rPr>
        <w:t>(2)透析设备:移动透析机、血透机、血液透析用制水设备、血液透析集中供液设备全包。</w:t>
      </w:r>
    </w:p>
    <w:p w14:paraId="02D1490B">
      <w:pPr>
        <w:spacing w:line="360" w:lineRule="auto"/>
        <w:ind w:firstLine="240" w:firstLineChars="100"/>
        <w:jc w:val="left"/>
        <w:rPr>
          <w:rFonts w:ascii="仿宋" w:hAnsi="仿宋" w:eastAsia="仿宋" w:cs="仿宋"/>
          <w:b/>
          <w:sz w:val="24"/>
          <w:szCs w:val="24"/>
          <w:highlight w:val="none"/>
        </w:rPr>
      </w:pPr>
      <w:r>
        <w:rPr>
          <w:rFonts w:hint="eastAsia" w:ascii="仿宋" w:hAnsi="仿宋" w:eastAsia="仿宋" w:cs="仿宋"/>
          <w:sz w:val="24"/>
          <w:szCs w:val="24"/>
          <w:highlight w:val="none"/>
        </w:rPr>
        <w:t>(3)手术设备:麻醉机、手术灯床、电刀、超声乳化仪、钬激光等电外科设备全包。</w:t>
      </w:r>
    </w:p>
    <w:p w14:paraId="03CB8C47">
      <w:pPr>
        <w:spacing w:line="360" w:lineRule="auto"/>
        <w:ind w:firstLine="240" w:firstLineChars="100"/>
        <w:jc w:val="left"/>
        <w:rPr>
          <w:rFonts w:ascii="仿宋" w:hAnsi="仿宋" w:eastAsia="仿宋" w:cs="仿宋"/>
          <w:b/>
          <w:sz w:val="24"/>
          <w:szCs w:val="24"/>
          <w:highlight w:val="none"/>
        </w:rPr>
      </w:pPr>
      <w:r>
        <w:rPr>
          <w:rFonts w:hint="eastAsia" w:ascii="仿宋" w:hAnsi="仿宋" w:eastAsia="仿宋" w:cs="仿宋"/>
          <w:sz w:val="24"/>
          <w:szCs w:val="24"/>
          <w:highlight w:val="none"/>
        </w:rPr>
        <w:t>(4)康复理疗设备:声、光、电、热、磁五类设备及物理治疗器具全包。</w:t>
      </w:r>
    </w:p>
    <w:p w14:paraId="76A3EE60">
      <w:pPr>
        <w:spacing w:line="360" w:lineRule="auto"/>
        <w:ind w:firstLine="240" w:firstLineChars="100"/>
        <w:jc w:val="left"/>
        <w:rPr>
          <w:rFonts w:ascii="仿宋" w:hAnsi="仿宋" w:eastAsia="仿宋" w:cs="仿宋"/>
          <w:b/>
          <w:sz w:val="24"/>
          <w:szCs w:val="24"/>
          <w:highlight w:val="none"/>
        </w:rPr>
      </w:pPr>
      <w:r>
        <w:rPr>
          <w:rFonts w:hint="eastAsia" w:ascii="仿宋" w:hAnsi="仿宋" w:eastAsia="仿宋" w:cs="仿宋"/>
          <w:sz w:val="24"/>
          <w:szCs w:val="24"/>
          <w:highlight w:val="none"/>
        </w:rPr>
        <w:t>(5)辐射、保暖设备:辐射台、婴儿培养箱、黄疸仪等全包。</w:t>
      </w:r>
    </w:p>
    <w:p w14:paraId="79A53F65">
      <w:pPr>
        <w:spacing w:line="360" w:lineRule="auto"/>
        <w:ind w:firstLine="240" w:firstLineChars="100"/>
        <w:jc w:val="left"/>
        <w:rPr>
          <w:rFonts w:ascii="仿宋" w:hAnsi="仿宋" w:eastAsia="仿宋" w:cs="仿宋"/>
          <w:b/>
          <w:bCs/>
          <w:sz w:val="24"/>
          <w:szCs w:val="24"/>
          <w:highlight w:val="none"/>
        </w:rPr>
      </w:pPr>
      <w:r>
        <w:rPr>
          <w:rFonts w:hint="eastAsia" w:ascii="仿宋" w:hAnsi="仿宋" w:eastAsia="仿宋" w:cs="仿宋"/>
          <w:sz w:val="24"/>
          <w:szCs w:val="24"/>
          <w:highlight w:val="none"/>
        </w:rPr>
        <w:t xml:space="preserve">(6)其他专科治疗设备:口腔专用设备、中医专用设备、煎药包装机等全包。                             </w:t>
      </w:r>
      <w:r>
        <w:rPr>
          <w:rFonts w:hint="eastAsia" w:ascii="仿宋" w:hAnsi="仿宋" w:eastAsia="仿宋" w:cs="仿宋"/>
          <w:b/>
          <w:bCs/>
          <w:sz w:val="24"/>
          <w:szCs w:val="24"/>
          <w:highlight w:val="none"/>
        </w:rPr>
        <w:t>3.辅助设备</w:t>
      </w:r>
    </w:p>
    <w:p w14:paraId="1EEA3932">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(1)消毒灭菌设备:消毒供应中心消毒类、清洗类设备全包。</w:t>
      </w:r>
    </w:p>
    <w:p w14:paraId="793919BE">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(2)胃肠镜室及口腔科用水处理设备全包。</w:t>
      </w:r>
    </w:p>
    <w:p w14:paraId="780AFA0E">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(3)设备配套用的电脑、打印机、UPS不间断电源等全包。</w:t>
      </w:r>
    </w:p>
    <w:p w14:paraId="6EE4E8BD">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(4)新设备装机时跟配一些附带设备全包。</w:t>
      </w:r>
    </w:p>
    <w:p w14:paraId="77847867">
      <w:pPr>
        <w:spacing w:line="360" w:lineRule="auto"/>
        <w:ind w:firstLine="241" w:firstLineChars="1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4.特种设备</w:t>
      </w:r>
    </w:p>
    <w:p w14:paraId="622202B8">
      <w:pPr>
        <w:spacing w:line="360" w:lineRule="auto"/>
        <w:ind w:firstLine="240" w:firstLineChars="100"/>
        <w:jc w:val="left"/>
        <w:rPr>
          <w:rFonts w:ascii="仿宋" w:hAnsi="仿宋" w:eastAsia="仿宋" w:cs="仿宋"/>
          <w:b/>
          <w:sz w:val="24"/>
          <w:szCs w:val="24"/>
          <w:highlight w:val="none"/>
        </w:rPr>
      </w:pPr>
      <w:r>
        <w:rPr>
          <w:rFonts w:hint="eastAsia" w:ascii="仿宋" w:hAnsi="仿宋" w:eastAsia="仿宋" w:cs="仿宋"/>
          <w:sz w:val="24"/>
          <w:szCs w:val="24"/>
          <w:highlight w:val="none"/>
        </w:rPr>
        <w:t xml:space="preserve">(1)消毒灭菌设备等压力容器设备全包。                                                                                                                                 </w:t>
      </w:r>
    </w:p>
    <w:p w14:paraId="1062D81F">
      <w:pPr>
        <w:pStyle w:val="9"/>
        <w:spacing w:line="360" w:lineRule="auto"/>
        <w:ind w:firstLine="241" w:firstLineChars="1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5.其他要求</w:t>
      </w:r>
    </w:p>
    <w:p w14:paraId="35013046">
      <w:pPr>
        <w:spacing w:line="360" w:lineRule="auto"/>
        <w:jc w:val="lef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rPr>
        <w:t>★</w:t>
      </w:r>
      <w:r>
        <w:rPr>
          <w:rFonts w:hint="eastAsia" w:ascii="仿宋" w:hAnsi="仿宋" w:eastAsia="仿宋" w:cs="仿宋"/>
          <w:sz w:val="24"/>
          <w:szCs w:val="24"/>
          <w:highlight w:val="none"/>
        </w:rPr>
        <w:t>(1)在3年服务期满前60日内须将磁共振仪液氦添加至液氦位在70%以上。</w:t>
      </w:r>
    </w:p>
    <w:p w14:paraId="14E8A88E">
      <w:pPr>
        <w:spacing w:line="360" w:lineRule="auto"/>
        <w:jc w:val="left"/>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rPr>
        <w:t>★</w:t>
      </w:r>
      <w:r>
        <w:rPr>
          <w:rFonts w:hint="eastAsia" w:ascii="仿宋" w:hAnsi="仿宋" w:eastAsia="仿宋" w:cs="仿宋"/>
          <w:b/>
          <w:bCs/>
          <w:sz w:val="24"/>
          <w:szCs w:val="24"/>
          <w:highlight w:val="none"/>
        </w:rPr>
        <w:t>(2)承诺在服务期内维修</w:t>
      </w:r>
      <w:r>
        <w:rPr>
          <w:rFonts w:hint="eastAsia" w:ascii="仿宋" w:hAnsi="仿宋" w:eastAsia="仿宋" w:cs="仿宋"/>
          <w:b/>
          <w:bCs/>
          <w:color w:val="000000" w:themeColor="text1"/>
          <w:sz w:val="24"/>
          <w:szCs w:val="24"/>
          <w:highlight w:val="none"/>
        </w:rPr>
        <w:t>采购方</w:t>
      </w:r>
      <w:r>
        <w:rPr>
          <w:rFonts w:hint="eastAsia" w:ascii="仿宋" w:hAnsi="仿宋" w:eastAsia="仿宋" w:cs="仿宋"/>
          <w:b/>
          <w:bCs/>
          <w:sz w:val="24"/>
          <w:szCs w:val="24"/>
          <w:highlight w:val="none"/>
        </w:rPr>
        <w:t>现有故障5台呼吸机（1台迈柯唯呼吸机，维修费用预估3万元；1台德尔格呼吸机，维修费用预估3万元；3台840呼吸机，维修费用预估4万元）、1支超声乳化仪手柄（维修费用预估1万元）</w:t>
      </w:r>
      <w:r>
        <w:rPr>
          <w:rFonts w:hint="eastAsia" w:ascii="仿宋" w:hAnsi="仿宋" w:eastAsia="仿宋" w:cs="仿宋"/>
          <w:sz w:val="24"/>
          <w:szCs w:val="24"/>
          <w:highlight w:val="none"/>
        </w:rPr>
        <w:t>。</w:t>
      </w:r>
    </w:p>
    <w:p w14:paraId="6793608E">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6.包含每年射线设备性能检测费、防护检测费、辐射环境检测费等全包（含新增设备及车载移动CT）。</w:t>
      </w:r>
    </w:p>
    <w:p w14:paraId="2F5E808C">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 xml:space="preserve">7.提供自主知识产权的设备全生命周期管理软件。 </w:t>
      </w:r>
    </w:p>
    <w:p w14:paraId="4B1003B8">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8.不含第三方投放合作类设备及设备软件、升级费用。</w:t>
      </w:r>
    </w:p>
    <w:p w14:paraId="1DBB0500">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9.当年签订维保合同后新增设备或在质保期内设备，过保质期后自动纳入本项目范围，医院不再增加当年维保金额，第二年续签合同前盘点再纳入新设备资产总值*(比值系数1.14%）计算，依此类推。</w:t>
      </w:r>
    </w:p>
    <w:p w14:paraId="3DC8F3C6">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10.巡检、保养及维修产生的车旅费用由中标方承担。</w:t>
      </w:r>
    </w:p>
    <w:p w14:paraId="6163A76F">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11.服务期内工程师人身安全由中标方负责。</w:t>
      </w:r>
    </w:p>
    <w:p w14:paraId="46BF73EA">
      <w:pPr>
        <w:spacing w:line="360" w:lineRule="auto"/>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三、服务要求</w:t>
      </w:r>
    </w:p>
    <w:p w14:paraId="4EA3230E">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驻场技术服务：派驻不少于4名专业工程师，成立医院设备科下属院内维修中心，设立院内常备配件库，7*24小时驻场服务，开展预防性维护保养和每季度质控服务和检修，及时响应临床科室叫修，保障维修叫修响应率100%、及时率98%以上，为医院提供优质、高效、及时的本地化服务。</w:t>
      </w:r>
    </w:p>
    <w:p w14:paraId="5082D072">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2.成立院内工程技术服务中心（场地由医院免费提供）和常用备件（机）库及清单，保内设备所有配件免费更换（除MRI磁体、CT探测器、各类DR探测器外实行全包制）。</w:t>
      </w:r>
    </w:p>
    <w:p w14:paraId="78A14CF2">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3.预防性维护保养：指导培训各科室设备操作管理人员掌握日常保养技能，并对日常保养记录定期检查。根据医疗设备风险等级进行全院医疗设备C、B、A三级质控，每月一次例行巡检保养，每季度一次二级质控预防性维护保养，每年一次三级质控保养维护，急救类生命支持类设备每周督查巡检，建立健全有关档案资料，通过预防性维护保养，延长设备使用生命，降低故障率，保障常规设备年开机率95%及以上，确保急救类、生命支持类设备始终保持在良好状态，完好率达100%。</w:t>
      </w:r>
    </w:p>
    <w:p w14:paraId="3F6434A3">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4.临床应用和质控培训：提供厂家、维保工程师、医工专家现场教学指导，提高临床应用与管理水平，提供医共体成员单位放射人员每年一次防辐射知识培训及考试。</w:t>
      </w:r>
    </w:p>
    <w:p w14:paraId="6CBD6632">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5.医院设备资产绩效管理、设备资产运行效益分析：每年提交一次专题分析报告，为领导决策提供数据依据。</w:t>
      </w:r>
    </w:p>
    <w:p w14:paraId="35560722">
      <w:pPr>
        <w:spacing w:line="360" w:lineRule="auto"/>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四、设备巡检和保养内容</w:t>
      </w:r>
    </w:p>
    <w:p w14:paraId="270FF94C">
      <w:pPr>
        <w:spacing w:line="360" w:lineRule="auto"/>
        <w:ind w:firstLine="480"/>
        <w:jc w:val="left"/>
        <w:rPr>
          <w:rFonts w:ascii="仿宋" w:hAnsi="仿宋" w:eastAsia="仿宋" w:cs="仿宋"/>
          <w:sz w:val="24"/>
          <w:szCs w:val="24"/>
          <w:highlight w:val="none"/>
        </w:rPr>
      </w:pPr>
      <w:r>
        <w:rPr>
          <w:rFonts w:hint="eastAsia" w:ascii="仿宋" w:hAnsi="仿宋" w:eastAsia="仿宋" w:cs="仿宋"/>
          <w:sz w:val="24"/>
          <w:szCs w:val="24"/>
          <w:highlight w:val="none"/>
        </w:rPr>
        <w:t>陇川县人民医院（医共体总院）所有医疗设备全保服务，对维保范围内设备提供维修、保养、巡检、更换仪器耗材（不包含患者使用的一次性医用耗材）及易损件；医共体分院技术保服务。</w:t>
      </w:r>
    </w:p>
    <w:p w14:paraId="5D9222FA">
      <w:pPr>
        <w:spacing w:line="360" w:lineRule="auto"/>
        <w:ind w:firstLine="480"/>
        <w:jc w:val="left"/>
        <w:rPr>
          <w:rFonts w:ascii="仿宋" w:hAnsi="仿宋" w:eastAsia="仿宋" w:cs="仿宋"/>
          <w:sz w:val="24"/>
          <w:szCs w:val="24"/>
          <w:highlight w:val="none"/>
        </w:rPr>
      </w:pPr>
      <w:r>
        <w:rPr>
          <w:rFonts w:hint="eastAsia" w:ascii="仿宋" w:hAnsi="仿宋" w:eastAsia="仿宋" w:cs="仿宋"/>
          <w:sz w:val="24"/>
          <w:szCs w:val="24"/>
          <w:highlight w:val="none"/>
        </w:rPr>
        <w:t>按照国家法律、法规、医疗装备质量管理规范及等级医院评审要求及院方的要求，对相关设备进行定期巡检，对全院各类医疗设施设备（含诊断类设备、治疗类设备、辅助类设备、特种设备）进行保养维护维修，巡检保养内容如下：</w:t>
      </w:r>
    </w:p>
    <w:p w14:paraId="667F42DA">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1.整机检测：及时发现设备存在的隐患，及时进行调整，避免设备病态运转，预防对设备自身造成更大损伤，防止给用户造成损失，提高设备使用寿命。</w:t>
      </w:r>
    </w:p>
    <w:p w14:paraId="5E482DE1">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2.安全性检查：如线路和强电元器件老化、移位、损伤、管道的松动、老化开裂、脱皮、漏电、漏气等及时更换处理。</w:t>
      </w:r>
    </w:p>
    <w:p w14:paraId="70F9ECEF">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3.电子参数调整：设备使用一段时间后，部分配件如射线源、线路板等电子参数额定值会发生偏移，应及时将偏移的电子参数调整至最佳值，使设备处于最佳运行状态，并有效保护设备硬件系统。</w:t>
      </w:r>
    </w:p>
    <w:p w14:paraId="6DFD9DCE">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4.电路板除尘：设备长期运行后电路板会吸附灰尘，灰尘在设备运行时会感应静电并导致电路板散热不良，不仅会使设备传输信号受到干扰影响，并且容易导致电路板烧毁，定期除尘使设备保持最佳运行状态，避免电路板烧毁。</w:t>
      </w:r>
    </w:p>
    <w:p w14:paraId="1E58FC22">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5.配套设施及附件检测：压力表、安全阀、稳压电源、地线和避雷设施等安全检查，实施巡检保养确保设备处于正常工作状态。</w:t>
      </w:r>
    </w:p>
    <w:p w14:paraId="55A614A4">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6.设备使用和管理指导：设备保养工程师现场对操作人员正确使用和设备管理进行指导和咨询。</w:t>
      </w:r>
    </w:p>
    <w:p w14:paraId="1199B980">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7.服务商须承诺所提供的服务应当没有侵犯任何第三方的知识产权、技术秘密等合法权利。</w:t>
      </w:r>
    </w:p>
    <w:p w14:paraId="17A81676">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8.服务商须承诺维保采用全保方案，维保期内所有技术服务、配件、往返差旅等费用由服务商承担且不限次数，在设备故障排除后，性能指标与该机器生产厂家提供的性能指标相符。</w:t>
      </w:r>
    </w:p>
    <w:p w14:paraId="48FECEB2">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9.服务商须承诺认可并接受将要维保服务的此批医疗设备器械的目前工作状态，不存在任何异议。</w:t>
      </w:r>
    </w:p>
    <w:p w14:paraId="60229E32">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10.服务商须承诺维修更换的配件必须保证为原厂全新配件。</w:t>
      </w:r>
    </w:p>
    <w:p w14:paraId="508585E7">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11.服务商需提供相应的维修服务管理系统。</w:t>
      </w:r>
    </w:p>
    <w:p w14:paraId="7A67C1AE">
      <w:pPr>
        <w:spacing w:line="360" w:lineRule="auto"/>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五、服务标准及要求</w:t>
      </w:r>
    </w:p>
    <w:tbl>
      <w:tblPr>
        <w:tblStyle w:val="19"/>
        <w:tblW w:w="9265"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699"/>
        <w:gridCol w:w="6849"/>
      </w:tblGrid>
      <w:tr w14:paraId="66C8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7" w:type="dxa"/>
            <w:vAlign w:val="center"/>
          </w:tcPr>
          <w:p w14:paraId="527C8824">
            <w:pPr>
              <w:pStyle w:val="17"/>
              <w:spacing w:before="0" w:beforeAutospacing="0" w:after="0"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1699" w:type="dxa"/>
            <w:vAlign w:val="center"/>
          </w:tcPr>
          <w:p w14:paraId="70D3A4C7">
            <w:pPr>
              <w:pStyle w:val="17"/>
              <w:spacing w:before="0" w:beforeAutospacing="0" w:after="0"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品目名称</w:t>
            </w:r>
          </w:p>
        </w:tc>
        <w:tc>
          <w:tcPr>
            <w:tcW w:w="6849" w:type="dxa"/>
            <w:vAlign w:val="center"/>
          </w:tcPr>
          <w:p w14:paraId="7EC2ED6D">
            <w:pPr>
              <w:pStyle w:val="17"/>
              <w:spacing w:before="0" w:beforeAutospacing="0" w:after="0"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技术/服务标准</w:t>
            </w:r>
          </w:p>
        </w:tc>
      </w:tr>
      <w:tr w14:paraId="5112F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6FCA98AA">
            <w:pPr>
              <w:pStyle w:val="17"/>
              <w:spacing w:line="360" w:lineRule="auto"/>
              <w:ind w:firstLine="240"/>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1699" w:type="dxa"/>
            <w:vAlign w:val="center"/>
          </w:tcPr>
          <w:p w14:paraId="16F1D148">
            <w:pPr>
              <w:pStyle w:val="17"/>
              <w:spacing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公司和人员能力要求</w:t>
            </w:r>
          </w:p>
        </w:tc>
        <w:tc>
          <w:tcPr>
            <w:tcW w:w="6849" w:type="dxa"/>
            <w:vAlign w:val="center"/>
          </w:tcPr>
          <w:p w14:paraId="193D25D1">
            <w:pPr>
              <w:spacing w:line="360" w:lineRule="auto"/>
              <w:jc w:val="left"/>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★1.企业能力要求：公司主营业务满足医院整体医疗设备维修和保养以及医疗设备管理服务能力，有丰富的医院全部医疗设备维修及维保经验</w:t>
            </w:r>
            <w:r>
              <w:rPr>
                <w:rFonts w:hint="eastAsia" w:ascii="仿宋" w:hAnsi="仿宋" w:eastAsia="仿宋" w:cs="仿宋"/>
                <w:color w:val="000000" w:themeColor="text1"/>
                <w:sz w:val="24"/>
                <w:szCs w:val="24"/>
                <w:highlight w:val="none"/>
                <w:lang w:val="en-US" w:eastAsia="zh-CN"/>
              </w:rPr>
              <w:t>。</w:t>
            </w:r>
          </w:p>
          <w:p w14:paraId="4E579888">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★2.项目负责人要求：本项目负责人要求本科及以上学历，提供学历证明，有医院医疗设备维修保养工作及管理工作经验5年及以上（提供相关证明材料）。</w:t>
            </w:r>
          </w:p>
          <w:p w14:paraId="64F37189">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★3.驻场工程师要求：驻本项目现场工程师要求有2年及以上医疗设备维修工作经验，专科及以上学历，持有医疗设备维修、保养培训合格证，提供相关证书（提供相关证明材料）。</w:t>
            </w:r>
          </w:p>
          <w:p w14:paraId="264443C1">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4.拟派本项目机构要求：派驻不少于4名工程师驻本地服务，遵守医院和中标单位管理制度，服从工作安排，认真履行医疗设备维修保养工作人员职责，有良好的职道德和工作责任心，上班着装整洁，佩戴工作牌，穿工作服。其中特种设备要求持有效证件上岗。1名消毒供应室压力容器R1、特种设备管理A证、医疗设备管理资格证、血液透析设备培训合格证、大型设备持有专业的维修、维保培训合格证、医疗器械工程师等级（中级及以上）证书（提供相关证明材料）。</w:t>
            </w:r>
          </w:p>
          <w:p w14:paraId="5C3304B2">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★5.招标人可以要求更换工程师，投标人承诺未经招标人同意不得随意更换派驻工程师。</w:t>
            </w:r>
          </w:p>
          <w:p w14:paraId="0A1E7664">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★6.驻场工程师按照医院正常时间上下班，除正常上班时间外，每天（包括节假日）必须安排一名及以上值班人员，确保每日有工程师24小时在医院，所有驻场工程师每月接受院方考评。</w:t>
            </w:r>
          </w:p>
        </w:tc>
      </w:tr>
      <w:tr w14:paraId="570CC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5D84A700">
            <w:pPr>
              <w:pStyle w:val="17"/>
              <w:spacing w:line="360" w:lineRule="auto"/>
              <w:ind w:firstLine="240"/>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1699" w:type="dxa"/>
            <w:vAlign w:val="center"/>
          </w:tcPr>
          <w:p w14:paraId="7BC4C16B">
            <w:pPr>
              <w:pStyle w:val="17"/>
              <w:spacing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工作场地要求</w:t>
            </w:r>
          </w:p>
        </w:tc>
        <w:tc>
          <w:tcPr>
            <w:tcW w:w="6849" w:type="dxa"/>
            <w:vAlign w:val="center"/>
          </w:tcPr>
          <w:p w14:paraId="79BB8238">
            <w:pPr>
              <w:spacing w:line="360" w:lineRule="auto"/>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驻场工程师工作维修办公室、夜间值班室由医院提供，维保公司负责办公设施的配置，设置待修区、维修区、报废配件区、合格配件区、文件档案区等基本区域划分。必须保证工作区干净整洁，维修工具和各类设备设施必须摆放有序，标识清晰，并自行负责本室安全、消防工作接受医院相关考核。</w:t>
            </w:r>
          </w:p>
          <w:p w14:paraId="5BF1405A">
            <w:pPr>
              <w:spacing w:line="360" w:lineRule="auto"/>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2.工作场所有明显的驻场工程师等级分类公示牌，现场工程师必须与公示牌一致，并且要求区分当下是否是工作、待岗、外出、请假等明确标识。</w:t>
            </w:r>
          </w:p>
        </w:tc>
      </w:tr>
      <w:tr w14:paraId="59877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21CC5499">
            <w:pPr>
              <w:pStyle w:val="17"/>
              <w:spacing w:line="360" w:lineRule="auto"/>
              <w:ind w:firstLine="240"/>
              <w:rPr>
                <w:rFonts w:ascii="仿宋" w:hAnsi="仿宋" w:eastAsia="仿宋" w:cs="仿宋"/>
                <w:sz w:val="24"/>
                <w:szCs w:val="24"/>
                <w:highlight w:val="none"/>
              </w:rPr>
            </w:pPr>
            <w:r>
              <w:rPr>
                <w:rFonts w:hint="eastAsia" w:ascii="仿宋" w:hAnsi="仿宋" w:eastAsia="仿宋" w:cs="仿宋"/>
                <w:sz w:val="24"/>
                <w:szCs w:val="24"/>
                <w:highlight w:val="none"/>
              </w:rPr>
              <w:t>3</w:t>
            </w:r>
          </w:p>
        </w:tc>
        <w:tc>
          <w:tcPr>
            <w:tcW w:w="1699" w:type="dxa"/>
            <w:vAlign w:val="center"/>
          </w:tcPr>
          <w:p w14:paraId="6FE39C11">
            <w:pPr>
              <w:pStyle w:val="17"/>
              <w:spacing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服务时间响应要求</w:t>
            </w:r>
          </w:p>
        </w:tc>
        <w:tc>
          <w:tcPr>
            <w:tcW w:w="6849" w:type="dxa"/>
            <w:vAlign w:val="center"/>
          </w:tcPr>
          <w:p w14:paraId="49062653">
            <w:pPr>
              <w:pStyle w:val="17"/>
              <w:spacing w:before="0" w:beforeAutospacing="0" w:after="0" w:line="360" w:lineRule="auto"/>
              <w:ind w:firstLine="0" w:firstLineChars="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驻院服务工程师7*24小时响应，县医院正常上班时间10分钟到达现场完成评估，中医医院及妇幼保健院、疾控中心1小时到达现场，乡镇卫生院4小时到达现场。一般故障8小时内排除，特殊故障24小时内排除，如24小时内不能排除故障的常规设备应免费提供备用机，保障医院业务工作正常开展。</w:t>
            </w:r>
          </w:p>
          <w:p w14:paraId="29FFA293">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响应及时性：驻场工程师提供24小时维修维保服务，应在收到医院服务诉求通知后，正常上班时间10分钟到达现场完成评估；正常上班时间外：30分钟内到达现场完成评估。国家规定节假日必须留有工程师在现场值守；维保公司工程师在接到报修通知后没有在规定的时间内及时响应，每次将扣除1000.00元的维保费，如因响应不及时造成医院重大损失的，所产生费用由维保公司负责</w:t>
            </w:r>
            <w:r>
              <w:rPr>
                <w:rFonts w:hint="eastAsia" w:ascii="仿宋" w:hAnsi="仿宋" w:eastAsia="仿宋" w:cs="仿宋"/>
                <w:bCs/>
                <w:color w:val="000000" w:themeColor="text1"/>
                <w:sz w:val="24"/>
                <w:szCs w:val="24"/>
                <w:highlight w:val="none"/>
              </w:rPr>
              <w:t>（</w:t>
            </w:r>
            <w:r>
              <w:rPr>
                <w:rFonts w:hint="eastAsia" w:ascii="仿宋" w:hAnsi="仿宋" w:eastAsia="仿宋" w:cs="仿宋"/>
                <w:b/>
                <w:bCs/>
                <w:color w:val="000000" w:themeColor="text1"/>
                <w:sz w:val="24"/>
                <w:szCs w:val="24"/>
                <w:highlight w:val="none"/>
              </w:rPr>
              <w:t>提供承诺书</w:t>
            </w:r>
            <w:r>
              <w:rPr>
                <w:rFonts w:hint="eastAsia" w:ascii="仿宋" w:hAnsi="仿宋" w:eastAsia="仿宋" w:cs="仿宋"/>
                <w:bCs/>
                <w:color w:val="000000" w:themeColor="text1"/>
                <w:sz w:val="24"/>
                <w:szCs w:val="24"/>
                <w:highlight w:val="none"/>
              </w:rPr>
              <w:t>）</w:t>
            </w:r>
            <w:r>
              <w:rPr>
                <w:rFonts w:hint="eastAsia" w:ascii="仿宋" w:hAnsi="仿宋" w:eastAsia="仿宋" w:cs="仿宋"/>
                <w:color w:val="000000" w:themeColor="text1"/>
                <w:sz w:val="24"/>
                <w:szCs w:val="24"/>
                <w:highlight w:val="none"/>
              </w:rPr>
              <w:t>。</w:t>
            </w:r>
          </w:p>
        </w:tc>
      </w:tr>
      <w:tr w14:paraId="3CDF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749EFCD1">
            <w:pPr>
              <w:pStyle w:val="17"/>
              <w:spacing w:line="360" w:lineRule="auto"/>
              <w:ind w:firstLine="240"/>
              <w:jc w:val="center"/>
              <w:rPr>
                <w:rFonts w:ascii="仿宋" w:hAnsi="仿宋" w:eastAsia="仿宋" w:cs="仿宋"/>
                <w:sz w:val="24"/>
                <w:szCs w:val="24"/>
                <w:highlight w:val="none"/>
              </w:rPr>
            </w:pPr>
            <w:r>
              <w:rPr>
                <w:rFonts w:hint="eastAsia" w:ascii="仿宋" w:hAnsi="仿宋" w:eastAsia="仿宋" w:cs="仿宋"/>
                <w:sz w:val="24"/>
                <w:szCs w:val="24"/>
                <w:highlight w:val="none"/>
              </w:rPr>
              <w:t>4</w:t>
            </w:r>
          </w:p>
        </w:tc>
        <w:tc>
          <w:tcPr>
            <w:tcW w:w="1699" w:type="dxa"/>
            <w:vAlign w:val="center"/>
          </w:tcPr>
          <w:p w14:paraId="4D0A7539">
            <w:pPr>
              <w:pStyle w:val="17"/>
              <w:spacing w:line="360" w:lineRule="auto"/>
              <w:ind w:firstLine="240"/>
              <w:jc w:val="center"/>
              <w:rPr>
                <w:rFonts w:ascii="仿宋" w:hAnsi="仿宋" w:eastAsia="仿宋" w:cs="仿宋"/>
                <w:sz w:val="24"/>
                <w:szCs w:val="24"/>
                <w:highlight w:val="none"/>
              </w:rPr>
            </w:pPr>
          </w:p>
          <w:p w14:paraId="5D610058">
            <w:pPr>
              <w:pStyle w:val="17"/>
              <w:spacing w:line="360" w:lineRule="auto"/>
              <w:ind w:firstLine="240"/>
              <w:jc w:val="center"/>
              <w:rPr>
                <w:rFonts w:ascii="仿宋" w:hAnsi="仿宋" w:eastAsia="仿宋" w:cs="仿宋"/>
                <w:sz w:val="24"/>
                <w:szCs w:val="24"/>
                <w:highlight w:val="none"/>
              </w:rPr>
            </w:pPr>
          </w:p>
          <w:p w14:paraId="35950A88">
            <w:pPr>
              <w:pStyle w:val="17"/>
              <w:spacing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服务内容要求</w:t>
            </w:r>
          </w:p>
          <w:p w14:paraId="3719B846">
            <w:pPr>
              <w:pStyle w:val="17"/>
              <w:spacing w:line="360" w:lineRule="auto"/>
              <w:ind w:firstLine="240"/>
              <w:jc w:val="center"/>
              <w:rPr>
                <w:rFonts w:ascii="仿宋" w:hAnsi="仿宋" w:eastAsia="仿宋" w:cs="仿宋"/>
                <w:sz w:val="24"/>
                <w:szCs w:val="24"/>
                <w:highlight w:val="none"/>
              </w:rPr>
            </w:pPr>
          </w:p>
          <w:p w14:paraId="12C92DFA">
            <w:pPr>
              <w:pStyle w:val="17"/>
              <w:spacing w:line="360" w:lineRule="auto"/>
              <w:ind w:firstLine="240"/>
              <w:jc w:val="center"/>
              <w:rPr>
                <w:rFonts w:ascii="仿宋" w:hAnsi="仿宋" w:eastAsia="仿宋" w:cs="仿宋"/>
                <w:sz w:val="24"/>
                <w:szCs w:val="24"/>
                <w:highlight w:val="none"/>
              </w:rPr>
            </w:pPr>
          </w:p>
        </w:tc>
        <w:tc>
          <w:tcPr>
            <w:tcW w:w="6849" w:type="dxa"/>
            <w:vAlign w:val="center"/>
          </w:tcPr>
          <w:p w14:paraId="2BCD025C">
            <w:pPr>
              <w:pStyle w:val="17"/>
              <w:spacing w:before="0" w:beforeAutospacing="0" w:after="0" w:line="360" w:lineRule="auto"/>
              <w:ind w:firstLine="0" w:firstLineChars="0"/>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1.建立完善医院医疗设备维修保养管理制度，有计划开展维修保养工作，使用信息化管理工具对医疗设备维修保养进行规范化管理</w:t>
            </w:r>
            <w:r>
              <w:rPr>
                <w:rFonts w:hint="eastAsia" w:ascii="仿宋" w:hAnsi="仿宋" w:eastAsia="仿宋" w:cs="仿宋"/>
                <w:color w:val="000000" w:themeColor="text1"/>
                <w:sz w:val="24"/>
                <w:szCs w:val="24"/>
                <w:highlight w:val="none"/>
                <w:lang w:eastAsia="zh-CN"/>
              </w:rPr>
              <w:t>。</w:t>
            </w:r>
          </w:p>
          <w:p w14:paraId="2B66E829">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县人民医院参照三级医院评审细则和《医疗器械监督管理条例》制定医疗设备维保巡查方案，定期维保和巡查。县中医医院、县妇幼保健院参照二级医院评审细则和《医疗器械监督管理条例》制定医疗设备维保巡查方案，定期维保和巡查。乡镇卫生院每季度定期到现场维保和巡查。</w:t>
            </w:r>
          </w:p>
          <w:p w14:paraId="324C6232">
            <w:pPr>
              <w:pStyle w:val="17"/>
              <w:spacing w:before="0" w:beforeAutospacing="0" w:after="0" w:line="360" w:lineRule="auto"/>
              <w:ind w:firstLine="0" w:firstLineChars="0"/>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3.协调医院做好应急设备的管理，必要时提供备用设备</w:t>
            </w:r>
            <w:r>
              <w:rPr>
                <w:rFonts w:hint="eastAsia" w:ascii="仿宋" w:hAnsi="仿宋" w:eastAsia="仿宋" w:cs="仿宋"/>
                <w:color w:val="000000" w:themeColor="text1"/>
                <w:sz w:val="24"/>
                <w:szCs w:val="24"/>
                <w:highlight w:val="none"/>
                <w:lang w:eastAsia="zh-CN"/>
              </w:rPr>
              <w:t>。</w:t>
            </w:r>
          </w:p>
          <w:p w14:paraId="6EC1FBA8">
            <w:pPr>
              <w:spacing w:line="360" w:lineRule="auto"/>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4.提供医院等级医院评审、提质达标、大型医院巡查的相关医疗设备管理方面资料制作。</w:t>
            </w:r>
          </w:p>
          <w:p w14:paraId="1F6DE42C">
            <w:pPr>
              <w:spacing w:line="360" w:lineRule="auto"/>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5.根据各成员单位需求，定期组织医疗设备使用和规范操作培训以及急救生命支持类设备应急预案演练。</w:t>
            </w:r>
          </w:p>
          <w:p w14:paraId="0EA11540">
            <w:pPr>
              <w:spacing w:line="360" w:lineRule="auto"/>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6.积极参与新增设备验收，完成新增设备的安装、调试、培训、并指导使用和规范操作流程以及验收工作；负责设备档案收集归档。</w:t>
            </w:r>
          </w:p>
          <w:p w14:paraId="15FDD041">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7.日常维护、保养和应急故障排除能及时有效完成；如中、小型设备故障，影响诊断和治疗，在3天内维修完成，期间协调提供备用机；大型设备维修在7天内完成，保证设备单台开机率95%及以上（以每年365天计算，每年大设备故障停机时间不得超过18天，每超过1天扣除维保费3000.00元，无上限）。急救类生命支持类设备单台开机率100%（必须提供相应的备用设备，未提供备用设备的，如出现急救责任事故，承担相应责任并予以赔偿）。</w:t>
            </w:r>
          </w:p>
          <w:p w14:paraId="198EDBAC">
            <w:pPr>
              <w:pStyle w:val="18"/>
              <w:spacing w:before="0" w:beforeAutospacing="0" w:after="0" w:line="360" w:lineRule="auto"/>
              <w:ind w:left="0" w:leftChars="0" w:firstLine="0" w:firstLineChars="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8.服务期内，对维保范围内设备提供无限次维修服务。</w:t>
            </w:r>
          </w:p>
          <w:p w14:paraId="2B6A1060">
            <w:pPr>
              <w:pStyle w:val="18"/>
              <w:spacing w:before="0" w:beforeAutospacing="0" w:after="0" w:line="360" w:lineRule="auto"/>
              <w:ind w:left="0" w:leftChars="0" w:firstLine="0" w:firstLineChars="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9.维修保养时尽量不影响科室诊断、检查，并征得科室及医疗设备科同意才可以进行，维修保养结束，填写维修保养工作单（工作单详细列明本次维护、保养、维修的内容、更换的耗材及零备件），经使用部门负责人或使用人签字认可后方可离场。</w:t>
            </w:r>
          </w:p>
          <w:p w14:paraId="0FEF3EA5">
            <w:pPr>
              <w:pStyle w:val="17"/>
              <w:spacing w:before="0" w:beforeAutospacing="0" w:after="0" w:line="360" w:lineRule="auto"/>
              <w:ind w:firstLine="0" w:firstLineChars="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10.维修保养时，使用配件和材料，是原厂配件和符合要求的配件材料，原厂停产配件，在保养及维修中需更换的备件必须符合原厂参数要求；保证设备达到、符合原厂合格标准及相应的国家质量标准的要求；急救类生命支持类设备及内镜设备的附件、备品配件必须属于原厂产品。</w:t>
            </w:r>
          </w:p>
          <w:p w14:paraId="3A89CC51">
            <w:pPr>
              <w:pStyle w:val="17"/>
              <w:spacing w:before="0" w:beforeAutospacing="0" w:after="0" w:line="360" w:lineRule="auto"/>
              <w:ind w:firstLine="0" w:firstLineChars="0"/>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11.维保工程师需爱护财物，做好维修保护工作，如失职造成财物损坏，需等价赔偿</w:t>
            </w:r>
            <w:r>
              <w:rPr>
                <w:rFonts w:hint="eastAsia" w:ascii="仿宋" w:hAnsi="仿宋" w:eastAsia="仿宋" w:cs="仿宋"/>
                <w:color w:val="000000" w:themeColor="text1"/>
                <w:sz w:val="24"/>
                <w:szCs w:val="24"/>
                <w:highlight w:val="none"/>
                <w:lang w:eastAsia="zh-CN"/>
              </w:rPr>
              <w:t>。</w:t>
            </w:r>
          </w:p>
          <w:p w14:paraId="7171A726">
            <w:pPr>
              <w:pStyle w:val="17"/>
              <w:spacing w:before="0" w:beforeAutospacing="0" w:after="0" w:line="360" w:lineRule="auto"/>
              <w:ind w:firstLine="0" w:firstLineChars="0"/>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12.在实施本项目过程中，应执行国家、地方政府、行业协会最新颁布的标准和条例；项目与国家相关的政策法规相冲突的，以国家相关的政策法规为准</w:t>
            </w:r>
            <w:r>
              <w:rPr>
                <w:rFonts w:hint="eastAsia" w:ascii="仿宋" w:hAnsi="仿宋" w:eastAsia="仿宋" w:cs="仿宋"/>
                <w:color w:val="000000" w:themeColor="text1"/>
                <w:sz w:val="24"/>
                <w:szCs w:val="24"/>
                <w:highlight w:val="none"/>
                <w:lang w:eastAsia="zh-CN"/>
              </w:rPr>
              <w:t>。</w:t>
            </w:r>
          </w:p>
          <w:p w14:paraId="09915CBA">
            <w:pPr>
              <w:pStyle w:val="17"/>
              <w:spacing w:before="0" w:beforeAutospacing="0" w:after="0" w:line="360" w:lineRule="auto"/>
              <w:ind w:firstLine="0" w:firstLineChars="0"/>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★13.此采购维保服务（除辐射及性能检测外）由中标人独立完成，特殊设备委托原厂维修保养，需报备院方后方可实施，相关费用及风险由中标人承担，不允许转包给其他第三方维保公司。</w:t>
            </w:r>
          </w:p>
          <w:p w14:paraId="6D515AE0">
            <w:pPr>
              <w:pStyle w:val="17"/>
              <w:spacing w:before="0" w:beforeAutospacing="0" w:after="0" w:line="360" w:lineRule="auto"/>
              <w:ind w:firstLine="0" w:firstLineChars="0"/>
              <w:jc w:val="left"/>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★14.维修保养期间，因设备维修不善，给患者造成伤害，中标人承担相应的损失和责任</w:t>
            </w:r>
            <w:r>
              <w:rPr>
                <w:rFonts w:hint="eastAsia" w:ascii="仿宋" w:hAnsi="仿宋" w:eastAsia="仿宋" w:cs="仿宋"/>
                <w:color w:val="000000" w:themeColor="text1"/>
                <w:sz w:val="24"/>
                <w:szCs w:val="24"/>
                <w:highlight w:val="none"/>
                <w:lang w:eastAsia="zh-CN"/>
              </w:rPr>
              <w:t>。</w:t>
            </w:r>
          </w:p>
          <w:p w14:paraId="62E22580">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15.工程师严格按照维修服务流程进行维修工单填写，每月依据维修工单、系统报修、微信报修、电话报修进行数据汇总后报医疗设备科。</w:t>
            </w:r>
          </w:p>
          <w:p w14:paraId="31C3ACBF">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16.每月提供项目维保服务报告，报告内容包含但不仅限于急救类、生命支持类设备、普通类设备、大型及特殊类设备维修分析，设备预防性维护保养，计量检测、备件库存情况、工程师服务单量等。</w:t>
            </w:r>
          </w:p>
          <w:p w14:paraId="4DA5AD65">
            <w:pPr>
              <w:pStyle w:val="17"/>
              <w:spacing w:before="0" w:beforeAutospacing="0" w:after="0" w:line="360" w:lineRule="auto"/>
              <w:ind w:firstLine="0" w:firstLineChars="0"/>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17.每月向招标人递交设备维护维修状况分析报表以及维修保养记录（按月装订成册）。</w:t>
            </w:r>
          </w:p>
          <w:p w14:paraId="04196ECF">
            <w:pPr>
              <w:pStyle w:val="17"/>
              <w:spacing w:before="0" w:beforeAutospacing="0" w:after="0" w:line="360" w:lineRule="auto"/>
              <w:ind w:firstLine="0" w:firstLineChars="0"/>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18.提供每年一次《设备资产运行状态与效益分析报告》书面报告给院方。</w:t>
            </w:r>
          </w:p>
          <w:p w14:paraId="20E0E43B">
            <w:pPr>
              <w:pStyle w:val="17"/>
              <w:spacing w:before="0" w:beforeAutospacing="0" w:after="0" w:line="360" w:lineRule="auto"/>
              <w:ind w:firstLine="0" w:firstLineChars="0"/>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19.提供每年一次维修总结白皮书报告给院方。</w:t>
            </w:r>
          </w:p>
          <w:p w14:paraId="2E9662BE">
            <w:pPr>
              <w:pStyle w:val="17"/>
              <w:spacing w:before="0" w:beforeAutospacing="0" w:after="0" w:line="360" w:lineRule="auto"/>
              <w:ind w:firstLine="0" w:firstLineChars="0"/>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20.保证维修质量，同一设备、同一故障短期内连续进行两次维修，则该设备按招标人要求送至招标人指定厂家或第三方维修，所需维修费由中标人承担。</w:t>
            </w:r>
          </w:p>
        </w:tc>
      </w:tr>
      <w:tr w14:paraId="0B95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67C9286B">
            <w:pPr>
              <w:pStyle w:val="17"/>
              <w:spacing w:line="360" w:lineRule="auto"/>
              <w:ind w:firstLine="240"/>
              <w:jc w:val="center"/>
              <w:rPr>
                <w:rFonts w:ascii="仿宋" w:hAnsi="仿宋" w:eastAsia="仿宋" w:cs="仿宋"/>
                <w:sz w:val="24"/>
                <w:szCs w:val="24"/>
                <w:highlight w:val="none"/>
              </w:rPr>
            </w:pPr>
            <w:r>
              <w:rPr>
                <w:rFonts w:hint="eastAsia" w:ascii="仿宋" w:hAnsi="仿宋" w:eastAsia="仿宋" w:cs="仿宋"/>
                <w:sz w:val="24"/>
                <w:szCs w:val="24"/>
                <w:highlight w:val="none"/>
              </w:rPr>
              <w:t>5</w:t>
            </w:r>
          </w:p>
        </w:tc>
        <w:tc>
          <w:tcPr>
            <w:tcW w:w="1699" w:type="dxa"/>
            <w:vAlign w:val="center"/>
          </w:tcPr>
          <w:p w14:paraId="3A723417">
            <w:pPr>
              <w:pStyle w:val="17"/>
              <w:spacing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设备使用评估</w:t>
            </w:r>
          </w:p>
        </w:tc>
        <w:tc>
          <w:tcPr>
            <w:tcW w:w="6849" w:type="dxa"/>
          </w:tcPr>
          <w:p w14:paraId="4A3918C1">
            <w:pPr>
              <w:pStyle w:val="29"/>
              <w:spacing w:line="360" w:lineRule="auto"/>
              <w:ind w:firstLine="0" w:firstLineChars="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1.达到国家规定使用年限和国家规定强制报废的医疗设备由使用科室、设备科、维保公司工程师共同填写报废申请单提交资产办报废。</w:t>
            </w:r>
          </w:p>
          <w:p w14:paraId="666C9F4F">
            <w:pPr>
              <w:pStyle w:val="29"/>
              <w:spacing w:line="360" w:lineRule="auto"/>
              <w:ind w:firstLine="0" w:firstLineChars="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2.达到报废年限国家要求做计量检测后，性能达到国家要求的继续使用，性能达不到国家要求的申请报废（填写报废申请单）。</w:t>
            </w:r>
          </w:p>
          <w:p w14:paraId="2ADF7DC4">
            <w:pPr>
              <w:pStyle w:val="29"/>
              <w:spacing w:line="360" w:lineRule="auto"/>
              <w:ind w:firstLine="0" w:firstLineChars="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3.超过常规使用年限，国家未强制报废的能修尽修，确实无法维修的医疗设备经使用科室、设备科、维保工程师共同判断确认后提交报废申请（填写报废申请单）。</w:t>
            </w:r>
          </w:p>
        </w:tc>
      </w:tr>
      <w:tr w14:paraId="081EC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1583293A">
            <w:pPr>
              <w:pStyle w:val="17"/>
              <w:spacing w:line="360" w:lineRule="auto"/>
              <w:ind w:firstLine="240"/>
              <w:jc w:val="center"/>
              <w:rPr>
                <w:rFonts w:ascii="仿宋" w:hAnsi="仿宋" w:eastAsia="仿宋" w:cs="仿宋"/>
                <w:sz w:val="24"/>
                <w:szCs w:val="24"/>
                <w:highlight w:val="none"/>
              </w:rPr>
            </w:pPr>
            <w:r>
              <w:rPr>
                <w:rFonts w:hint="eastAsia" w:ascii="仿宋" w:hAnsi="仿宋" w:eastAsia="仿宋" w:cs="仿宋"/>
                <w:sz w:val="24"/>
                <w:szCs w:val="24"/>
                <w:highlight w:val="none"/>
              </w:rPr>
              <w:t>6</w:t>
            </w:r>
          </w:p>
        </w:tc>
        <w:tc>
          <w:tcPr>
            <w:tcW w:w="1699" w:type="dxa"/>
            <w:vAlign w:val="center"/>
          </w:tcPr>
          <w:p w14:paraId="641EAFB6">
            <w:pPr>
              <w:pStyle w:val="17"/>
              <w:spacing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零配件要求</w:t>
            </w:r>
          </w:p>
        </w:tc>
        <w:tc>
          <w:tcPr>
            <w:tcW w:w="6849" w:type="dxa"/>
          </w:tcPr>
          <w:p w14:paraId="1E55A67D">
            <w:pPr>
              <w:pStyle w:val="17"/>
              <w:spacing w:before="0" w:beforeAutospacing="0" w:after="0" w:line="360" w:lineRule="auto"/>
              <w:ind w:firstLine="0" w:firstLineChars="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提供的零配件应具备合法取得渠道，且符合国家相关规范要求的合格全新产品。备件到场时间24小时，特殊情况不超过72小时，配件到达后应加班及时有效维修；易损易耗配件及常用配件在医院设配件库（因为维保公司未储备常规配件造成停机影响工作按照损失减扣维保费）。</w:t>
            </w:r>
          </w:p>
        </w:tc>
      </w:tr>
      <w:tr w14:paraId="3DAC7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40355758">
            <w:pPr>
              <w:pStyle w:val="17"/>
              <w:spacing w:line="360" w:lineRule="auto"/>
              <w:ind w:firstLine="240"/>
              <w:jc w:val="center"/>
              <w:rPr>
                <w:rFonts w:ascii="仿宋" w:hAnsi="仿宋" w:eastAsia="仿宋" w:cs="仿宋"/>
                <w:sz w:val="24"/>
                <w:szCs w:val="24"/>
                <w:highlight w:val="none"/>
              </w:rPr>
            </w:pPr>
            <w:r>
              <w:rPr>
                <w:rFonts w:hint="eastAsia" w:ascii="仿宋" w:hAnsi="仿宋" w:eastAsia="仿宋" w:cs="仿宋"/>
                <w:sz w:val="24"/>
                <w:szCs w:val="24"/>
                <w:highlight w:val="none"/>
              </w:rPr>
              <w:t>7</w:t>
            </w:r>
          </w:p>
        </w:tc>
        <w:tc>
          <w:tcPr>
            <w:tcW w:w="1699" w:type="dxa"/>
            <w:vAlign w:val="center"/>
          </w:tcPr>
          <w:p w14:paraId="65650313">
            <w:pPr>
              <w:pStyle w:val="17"/>
              <w:spacing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医疗设备质控</w:t>
            </w:r>
          </w:p>
        </w:tc>
        <w:tc>
          <w:tcPr>
            <w:tcW w:w="6849" w:type="dxa"/>
          </w:tcPr>
          <w:p w14:paraId="14438D4A">
            <w:pPr>
              <w:pStyle w:val="17"/>
              <w:spacing w:before="0" w:beforeAutospacing="0" w:after="0" w:line="360" w:lineRule="auto"/>
              <w:ind w:firstLine="0" w:firstLineChars="0"/>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★1.每年提供协助医院医疗计量设备计量检测和特种设备（如高压灭菌器等）检测等需检测项目工作。 </w:t>
            </w:r>
          </w:p>
          <w:p w14:paraId="763034D6">
            <w:pPr>
              <w:pStyle w:val="17"/>
              <w:spacing w:before="0" w:beforeAutospacing="0" w:after="0" w:line="360" w:lineRule="auto"/>
              <w:ind w:firstLine="0" w:firstLineChars="0"/>
              <w:jc w:val="left"/>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2.积极协助招标人使用维护培训，完善操作流程、维修保养流程，建立设备标识卡、标准操作流程卡和使用状态卡等</w:t>
            </w:r>
            <w:r>
              <w:rPr>
                <w:rFonts w:hint="eastAsia" w:ascii="仿宋" w:hAnsi="仿宋" w:eastAsia="仿宋" w:cs="仿宋"/>
                <w:color w:val="000000" w:themeColor="text1"/>
                <w:sz w:val="24"/>
                <w:szCs w:val="24"/>
                <w:highlight w:val="none"/>
                <w:lang w:eastAsia="zh-CN"/>
              </w:rPr>
              <w:t>。</w:t>
            </w:r>
          </w:p>
          <w:p w14:paraId="673D533B">
            <w:pPr>
              <w:pStyle w:val="17"/>
              <w:spacing w:before="0" w:beforeAutospacing="0" w:after="0" w:line="360" w:lineRule="auto"/>
              <w:ind w:firstLine="0" w:firstLineChars="0"/>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3.修复后，对维修中必须拆机的急救类、生命支持类设备进行电气安全、性能等全面检测，并记录数据，符合技术指标要求才能投入使用；必要时需重新做计量检测（相关费用由中标公司承担）。</w:t>
            </w:r>
          </w:p>
          <w:p w14:paraId="1DEB00B3">
            <w:pPr>
              <w:pStyle w:val="17"/>
              <w:spacing w:before="0" w:beforeAutospacing="0" w:after="0" w:line="360" w:lineRule="auto"/>
              <w:ind w:firstLine="0" w:firstLineChars="0"/>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4.每次检测完成后，需在设备上标上质量合格标签，并写上日期与检测人员姓名；投标人应制定全院设备预防性维护保养计划，报院方审核通过后，定期对处于使用状态的医疗设备进行计划性的按规程的外观检查、清洁保养，使其处于正常且良好的工作状态，由被动维修转向主动预防，通过定期维保降低设备故障率，延长使用生命。</w:t>
            </w:r>
          </w:p>
          <w:p w14:paraId="59F8BFD6">
            <w:pPr>
              <w:pStyle w:val="17"/>
              <w:spacing w:before="0" w:beforeAutospacing="0" w:after="0" w:line="360" w:lineRule="auto"/>
              <w:ind w:firstLine="0" w:firstLineChars="0"/>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5.每次保养结束后出具：保养内容、设备运行状况、潜在风险、使用注意事项、工作建议及需要预备配件等信息。整理所有保养数据并以服务报告形式《设备保养报告》提交给医院医疗设备科，为医院更好的管理设备提供有效数据，并进行分析、总结服务方案，不断优化服务方案和服务内容。</w:t>
            </w:r>
          </w:p>
          <w:p w14:paraId="2A1F9373">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6.投标人应完成医共体总院特种设备（如高压灭菌器等）、大影像设备（CT、MRI等）、特殊科室（ICU、手术室、产房、新生儿室）、急救、生命支持类设备（如：除颤仪、呼吸机、临时起搏器、洗胃机、吸引器等）每周一次督查巡检，其余设备每月一次的巡检，检查设备的运行状况并填写《设备巡检记录单》，由使用科室签字确认，做好相关记录、汇总分析，形成巡检报告后交医院医疗设备科备案并作为考核依据。做好仪器设备的外观和外接线路安全排查，把一些故障排除在萌芽状态，保证仪器设备的安全、稳定运行，延长使用寿命。</w:t>
            </w:r>
          </w:p>
          <w:p w14:paraId="553D0720">
            <w:pPr>
              <w:pStyle w:val="6"/>
              <w:spacing w:before="0" w:beforeAutospacing="0" w:after="0"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7.射线设备辐射检测、性能检测、防护检测、特种设备检测需达到国家相关标准及要求并出具相关报告(可由医院或中标企业委托具有资质的企业完成)。如因未按规定进行检测或维修后设备性能检测不合格造成的所有损失均由中标企业承担。</w:t>
            </w:r>
          </w:p>
        </w:tc>
      </w:tr>
      <w:tr w14:paraId="62F5F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1522C766">
            <w:pPr>
              <w:pStyle w:val="17"/>
              <w:spacing w:line="360" w:lineRule="auto"/>
              <w:ind w:firstLine="240"/>
              <w:jc w:val="center"/>
              <w:rPr>
                <w:rFonts w:ascii="仿宋" w:hAnsi="仿宋" w:eastAsia="仿宋" w:cs="仿宋"/>
                <w:sz w:val="24"/>
                <w:szCs w:val="24"/>
                <w:highlight w:val="none"/>
              </w:rPr>
            </w:pPr>
            <w:r>
              <w:rPr>
                <w:rFonts w:hint="eastAsia" w:ascii="仿宋" w:hAnsi="仿宋" w:eastAsia="仿宋" w:cs="仿宋"/>
                <w:sz w:val="24"/>
                <w:szCs w:val="24"/>
                <w:highlight w:val="none"/>
              </w:rPr>
              <w:t>8</w:t>
            </w:r>
          </w:p>
        </w:tc>
        <w:tc>
          <w:tcPr>
            <w:tcW w:w="1699" w:type="dxa"/>
            <w:vAlign w:val="center"/>
          </w:tcPr>
          <w:p w14:paraId="113895A2">
            <w:pPr>
              <w:pStyle w:val="17"/>
              <w:spacing w:line="360" w:lineRule="auto"/>
              <w:ind w:firstLine="0" w:firstLineChars="0"/>
              <w:jc w:val="center"/>
              <w:rPr>
                <w:rFonts w:ascii="仿宋" w:hAnsi="仿宋" w:eastAsia="仿宋" w:cs="仿宋"/>
                <w:sz w:val="24"/>
                <w:szCs w:val="24"/>
                <w:highlight w:val="none"/>
              </w:rPr>
            </w:pPr>
          </w:p>
          <w:p w14:paraId="76BDDA93">
            <w:pPr>
              <w:pStyle w:val="17"/>
              <w:spacing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设备软件管理功能及要求</w:t>
            </w:r>
          </w:p>
          <w:p w14:paraId="15176EBC">
            <w:pPr>
              <w:pStyle w:val="17"/>
              <w:spacing w:line="360" w:lineRule="auto"/>
              <w:ind w:firstLine="240"/>
              <w:jc w:val="center"/>
              <w:rPr>
                <w:rFonts w:ascii="仿宋" w:hAnsi="仿宋" w:eastAsia="仿宋" w:cs="仿宋"/>
                <w:sz w:val="24"/>
                <w:szCs w:val="24"/>
                <w:highlight w:val="none"/>
              </w:rPr>
            </w:pPr>
          </w:p>
        </w:tc>
        <w:tc>
          <w:tcPr>
            <w:tcW w:w="6849" w:type="dxa"/>
          </w:tcPr>
          <w:p w14:paraId="71933541">
            <w:pPr>
              <w:pStyle w:val="17"/>
              <w:spacing w:before="0" w:beforeAutospacing="0" w:after="0" w:line="360" w:lineRule="auto"/>
              <w:ind w:firstLine="0" w:firstLineChars="0"/>
              <w:jc w:val="left"/>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1.中标价包含提供一套标准的医疗设备管理软件，为医共体医疗设备的管理实现智能化，主要功能有：机构管理、用户管理、资产管理、采购管理、设备勘察、设备档案管理、备件管理、扫码报修、维修管理、点检管理、巡检管理、保养管理、质控管理、计量管理、报废管理、不良事件管理、维保服务绩效分析、维修案例知识库、数据监控大屏、统计报表、服务报告下载、医疗行业文献管理。服务期间需免费对软件系统进行升级维护并针对医院管理需求进行个性化开发</w:t>
            </w:r>
            <w:r>
              <w:rPr>
                <w:rFonts w:hint="eastAsia" w:ascii="仿宋" w:hAnsi="仿宋" w:eastAsia="仿宋" w:cs="仿宋"/>
                <w:color w:val="000000" w:themeColor="text1"/>
                <w:sz w:val="24"/>
                <w:szCs w:val="24"/>
                <w:highlight w:val="none"/>
                <w:lang w:eastAsia="zh-CN"/>
              </w:rPr>
              <w:t>。</w:t>
            </w:r>
          </w:p>
          <w:p w14:paraId="6606A8A8">
            <w:pPr>
              <w:pStyle w:val="17"/>
              <w:spacing w:before="0" w:beforeAutospacing="0" w:after="0" w:line="360" w:lineRule="auto"/>
              <w:ind w:firstLine="0" w:firstLineChars="0"/>
              <w:jc w:val="left"/>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2.中标价包含一套医疗设备管理软件配套使用的主机和显示屏、服务器、高拍仪、条码打印机</w:t>
            </w:r>
            <w:r>
              <w:rPr>
                <w:rFonts w:hint="eastAsia" w:ascii="仿宋" w:hAnsi="仿宋" w:eastAsia="仿宋" w:cs="仿宋"/>
                <w:color w:val="000000" w:themeColor="text1"/>
                <w:sz w:val="24"/>
                <w:szCs w:val="24"/>
                <w:highlight w:val="none"/>
                <w:lang w:val="en-US" w:eastAsia="zh-CN"/>
              </w:rPr>
              <w:t>。</w:t>
            </w:r>
          </w:p>
          <w:p w14:paraId="4875A7E5">
            <w:pPr>
              <w:spacing w:line="360" w:lineRule="auto"/>
              <w:jc w:val="left"/>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3.中标方负责配合完成医共体内所有医疗设备的固定资产信息管理、标签制作、打印、粘贴工作</w:t>
            </w:r>
            <w:r>
              <w:rPr>
                <w:rFonts w:hint="eastAsia" w:ascii="仿宋" w:hAnsi="仿宋" w:eastAsia="仿宋" w:cs="仿宋"/>
                <w:color w:val="000000" w:themeColor="text1"/>
                <w:sz w:val="24"/>
                <w:szCs w:val="24"/>
                <w:highlight w:val="none"/>
                <w:lang w:eastAsia="zh-CN"/>
              </w:rPr>
              <w:t>。</w:t>
            </w:r>
          </w:p>
          <w:p w14:paraId="0A41019B">
            <w:pPr>
              <w:spacing w:line="360" w:lineRule="auto"/>
              <w:jc w:val="left"/>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4.所提医疗设备管理软件支持对设备管理、报修、保养、巡检，所有记录可实时查询</w:t>
            </w:r>
            <w:r>
              <w:rPr>
                <w:rFonts w:hint="eastAsia" w:ascii="仿宋" w:hAnsi="仿宋" w:eastAsia="仿宋" w:cs="仿宋"/>
                <w:color w:val="000000" w:themeColor="text1"/>
                <w:sz w:val="24"/>
                <w:szCs w:val="24"/>
                <w:highlight w:val="none"/>
                <w:lang w:val="en-US" w:eastAsia="zh-CN"/>
              </w:rPr>
              <w:t>。</w:t>
            </w:r>
          </w:p>
          <w:p w14:paraId="0553EDD4">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5.管理系统具有PC、手机端、微信公众号、大屏显示功能（提供系统截图），支持PC、APP发起报修。</w:t>
            </w:r>
          </w:p>
        </w:tc>
      </w:tr>
      <w:tr w14:paraId="52F0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7" w:type="dxa"/>
            <w:vAlign w:val="center"/>
          </w:tcPr>
          <w:p w14:paraId="69BE1DDF">
            <w:pPr>
              <w:pStyle w:val="17"/>
              <w:spacing w:line="360" w:lineRule="auto"/>
              <w:ind w:firstLine="240"/>
              <w:jc w:val="center"/>
              <w:rPr>
                <w:rFonts w:ascii="仿宋" w:hAnsi="仿宋" w:eastAsia="仿宋" w:cs="仿宋"/>
                <w:sz w:val="24"/>
                <w:szCs w:val="24"/>
                <w:highlight w:val="none"/>
              </w:rPr>
            </w:pPr>
            <w:r>
              <w:rPr>
                <w:rFonts w:hint="eastAsia" w:ascii="仿宋" w:hAnsi="仿宋" w:eastAsia="仿宋" w:cs="仿宋"/>
                <w:sz w:val="24"/>
                <w:szCs w:val="24"/>
                <w:highlight w:val="none"/>
              </w:rPr>
              <w:t>9</w:t>
            </w:r>
          </w:p>
        </w:tc>
        <w:tc>
          <w:tcPr>
            <w:tcW w:w="1699" w:type="dxa"/>
            <w:vAlign w:val="center"/>
          </w:tcPr>
          <w:p w14:paraId="5745D6BB">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项目实施</w:t>
            </w:r>
          </w:p>
          <w:p w14:paraId="671C3971">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效率要求</w:t>
            </w:r>
          </w:p>
        </w:tc>
        <w:tc>
          <w:tcPr>
            <w:tcW w:w="6849" w:type="dxa"/>
          </w:tcPr>
          <w:p w14:paraId="6DEC42E3">
            <w:pPr>
              <w:pStyle w:val="17"/>
              <w:spacing w:before="0" w:beforeAutospacing="0" w:after="0" w:line="360" w:lineRule="auto"/>
              <w:ind w:firstLine="0" w:firstLineChars="0"/>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★1.投标人须承诺，一旦中标，签订合同即日起(3个工作日内)到达项目实施现场，确认资产价值或重新盘点确认，并接手医共体医疗设备的全生命周期管理维护工作。</w:t>
            </w:r>
          </w:p>
          <w:p w14:paraId="0E7E488D">
            <w:pPr>
              <w:pStyle w:val="17"/>
              <w:spacing w:before="0" w:beforeAutospacing="0" w:after="0" w:line="360" w:lineRule="auto"/>
              <w:ind w:firstLine="0" w:firstLineChars="0"/>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投标人须承诺，一旦中标，快速组建维修团队，签订合同后3天内派驻维修工程师进场（医院）维保工作，并尽快（2个月内）完成医共体内医疗设备盘点建卡、设备管理软件的安装、并投入使用，实现医共体医疗设备信息管理。</w:t>
            </w:r>
          </w:p>
          <w:p w14:paraId="782E803D">
            <w:pPr>
              <w:pStyle w:val="17"/>
              <w:spacing w:before="0" w:beforeAutospacing="0" w:after="0" w:line="360" w:lineRule="auto"/>
              <w:ind w:firstLine="0" w:firstLineChars="0"/>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★3.为确保陇川县医共体医疗设备、信息化建设稳步推进，投标人必须按照招标文件需求，投标人承诺要求，签订合同后2个月内完成信息化建设，若未能完成，则立刻解除合同，同时按照中标金额2-3倍违约赔偿。</w:t>
            </w:r>
          </w:p>
          <w:p w14:paraId="700E782B">
            <w:pPr>
              <w:pStyle w:val="17"/>
              <w:spacing w:before="0" w:beforeAutospacing="0" w:after="0" w:line="360" w:lineRule="auto"/>
              <w:ind w:firstLine="0" w:firstLineChars="0"/>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4.新增设备进场安装调试完毕达到验收条件，积极参加招标人组织的验收和后期维保管理，对不按供货承诺维保的，中标人有义务书面提醒医院，否则承担相应的维保责任</w:t>
            </w:r>
            <w:r>
              <w:rPr>
                <w:rFonts w:hint="eastAsia" w:ascii="仿宋" w:hAnsi="仿宋" w:eastAsia="仿宋" w:cs="仿宋"/>
                <w:color w:val="000000" w:themeColor="text1"/>
                <w:sz w:val="24"/>
                <w:szCs w:val="24"/>
                <w:highlight w:val="none"/>
                <w:lang w:eastAsia="zh-CN"/>
              </w:rPr>
              <w:t>。</w:t>
            </w:r>
          </w:p>
        </w:tc>
      </w:tr>
      <w:tr w14:paraId="4263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7" w:type="dxa"/>
            <w:vAlign w:val="center"/>
          </w:tcPr>
          <w:p w14:paraId="0E3F11B6">
            <w:pPr>
              <w:pStyle w:val="17"/>
              <w:spacing w:line="360" w:lineRule="auto"/>
              <w:ind w:firstLine="0" w:firstLineChars="0"/>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699" w:type="dxa"/>
            <w:vAlign w:val="center"/>
          </w:tcPr>
          <w:p w14:paraId="1ED11724">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特别说明</w:t>
            </w:r>
          </w:p>
        </w:tc>
        <w:tc>
          <w:tcPr>
            <w:tcW w:w="6849" w:type="dxa"/>
          </w:tcPr>
          <w:p w14:paraId="1195079A">
            <w:pPr>
              <w:pStyle w:val="17"/>
              <w:spacing w:before="0" w:beforeAutospacing="0" w:after="0" w:line="360" w:lineRule="auto"/>
              <w:ind w:firstLine="0" w:firstLineChars="0"/>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本项目为医共体医疗设备管理维护，涉及医共体内多家单位。各家单位具体情况需投标人自行踏勘。医共体成员单位现有设备运行情况，设备使用年限、管理情况由投标人自行踏勘判断，投标人根据医共体情况提供最优医疗设备信息化管理软件，中标单位应及时盘点并建立信息化管理，整理详细设备档案。</w:t>
            </w:r>
          </w:p>
        </w:tc>
      </w:tr>
    </w:tbl>
    <w:p w14:paraId="12C4429E">
      <w:pPr>
        <w:spacing w:line="360" w:lineRule="auto"/>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六、项目质量保证</w:t>
      </w:r>
    </w:p>
    <w:p w14:paraId="7C27CA23">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按照国家医疗装备质量管理规范及等级医院评审要求进行，保证维护维修运行质量符合国家管理规范；所用备品配件均是全新的符合国家质量标准的优质产品，若因备品配件或未能保障安全运行及运行管理质量不符合国家相关部门管理规范而导致的损失、纠纷均由维保公司承担。</w:t>
      </w:r>
    </w:p>
    <w:p w14:paraId="03AB7363">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2.严格按照等级医院评审要求开展工作，建立健全医疗设备管理制度、流程，保证能顺利通过等级医院复审验收。</w:t>
      </w:r>
    </w:p>
    <w:p w14:paraId="031BADB9">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3.严格落实月、季度、年度检查并有相关记录，保障设备年开机率达95%以上，急救、生命支持类设备始终保持在良好待用状态，保障设备完好率达100%（必须提供相应的备用设备，未提供备用设备的，如出现急救责任事故，承担相应责任并予以赔偿）。</w:t>
      </w:r>
    </w:p>
    <w:p w14:paraId="395F66C6">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4.建立相关应急预案并组织演练，提供应急管理支持。</w:t>
      </w:r>
    </w:p>
    <w:p w14:paraId="0A784E70">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5.及时、动态、全生命周期建立设备资产和巡检、保养、维护、维修、报废记录档案资料，实行电子档案与纸质档案同步管理，对原始技术资料、维保、修理记录、零件更换记录进行登记管理，并将资料提供给院方。</w:t>
      </w:r>
    </w:p>
    <w:p w14:paraId="0881D6D7">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6.投标人必须提供专业的信息管理软件，保证医学装备的信息化管理，提高医共体的医疗设备管理水平及质量。</w:t>
      </w:r>
    </w:p>
    <w:p w14:paraId="2E400F04">
      <w:pPr>
        <w:spacing w:line="360" w:lineRule="auto"/>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七、临床技术支持</w:t>
      </w:r>
    </w:p>
    <w:p w14:paraId="58AE408B">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1.对操作人员有培训和监督执行操作规程的责任，根据需要适时免费对维修技术人员、使用部门人员进行培训。</w:t>
      </w:r>
    </w:p>
    <w:p w14:paraId="42D83D63">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2.常规设备出现临床多科室使用操作不当、日常维护不当的，由医院统一组织，维保方派专业技术人员进行现场专题培训指导并考核。</w:t>
      </w:r>
    </w:p>
    <w:p w14:paraId="608F6A26">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3.指导大型医疗设备及专业诊断设备的操作使用及功能开发。</w:t>
      </w:r>
    </w:p>
    <w:p w14:paraId="22447C2F">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4.及时进行设备运行风险预警评估，对存在的风险和问题及时提交专题书面报告，由专家审定后，呈报院方决策，并做好风险防控。</w:t>
      </w:r>
    </w:p>
    <w:p w14:paraId="0E72ABE3">
      <w:pPr>
        <w:spacing w:line="360" w:lineRule="auto"/>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九、协助工作:</w:t>
      </w:r>
    </w:p>
    <w:p w14:paraId="4083BBBF">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1.协助医院对新设备安装验收工作。</w:t>
      </w:r>
    </w:p>
    <w:p w14:paraId="378E2BC8">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2.协助医院完成应急设备调配、搬运等工作。</w:t>
      </w:r>
    </w:p>
    <w:p w14:paraId="474C82F8">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3.协助医院对设备使用科室设备使用情况的检查、分析与反馈。</w:t>
      </w:r>
    </w:p>
    <w:p w14:paraId="49D1D219">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4.协助医院完成服务范围内医疗设备的计量检测工作。</w:t>
      </w:r>
    </w:p>
    <w:p w14:paraId="43074CF6">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5.协助每年配合医院完成全院设备盘点。</w:t>
      </w:r>
    </w:p>
    <w:p w14:paraId="13A558AD">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6.协助医院完成各级验收及等级评审工作。</w:t>
      </w:r>
    </w:p>
    <w:p w14:paraId="12E2CF81">
      <w:pPr>
        <w:spacing w:line="360" w:lineRule="auto"/>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十、技术能力保障：</w:t>
      </w:r>
    </w:p>
    <w:p w14:paraId="2386FBB7">
      <w:pPr>
        <w:pStyle w:val="39"/>
        <w:spacing w:before="0" w:beforeAutospacing="0" w:after="0" w:afterAutospacing="0" w:line="360" w:lineRule="auto"/>
        <w:ind w:left="0"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1.维保方应拥有完善的维保服务体系。</w:t>
      </w:r>
    </w:p>
    <w:p w14:paraId="056FD98F">
      <w:pPr>
        <w:pStyle w:val="9"/>
        <w:spacing w:line="360" w:lineRule="auto"/>
        <w:jc w:val="left"/>
        <w:rPr>
          <w:rFonts w:ascii="仿宋" w:hAnsi="仿宋" w:eastAsia="仿宋" w:cs="仿宋"/>
          <w:sz w:val="24"/>
          <w:szCs w:val="24"/>
          <w:highlight w:val="none"/>
        </w:rPr>
      </w:pPr>
      <w:r>
        <w:rPr>
          <w:rFonts w:hint="eastAsia" w:ascii="仿宋" w:hAnsi="仿宋" w:eastAsia="仿宋" w:cs="仿宋"/>
          <w:sz w:val="24"/>
          <w:szCs w:val="24"/>
          <w:highlight w:val="none"/>
        </w:rPr>
        <w:t>★2.维保方工程师总人数≥10人，提供公司证明材料。</w:t>
      </w:r>
    </w:p>
    <w:p w14:paraId="04843CF5">
      <w:pPr>
        <w:spacing w:line="360" w:lineRule="auto"/>
        <w:jc w:val="left"/>
        <w:rPr>
          <w:rFonts w:ascii="仿宋" w:hAnsi="仿宋" w:eastAsia="仿宋" w:cs="仿宋"/>
          <w:sz w:val="24"/>
          <w:szCs w:val="24"/>
          <w:highlight w:val="none"/>
        </w:rPr>
      </w:pPr>
      <w:r>
        <w:rPr>
          <w:rFonts w:hint="eastAsia" w:ascii="仿宋" w:hAnsi="仿宋" w:eastAsia="仿宋" w:cs="仿宋"/>
          <w:sz w:val="24"/>
          <w:szCs w:val="24"/>
          <w:highlight w:val="none"/>
        </w:rPr>
        <w:t>★3.维保方应拥有医疗设备维保服务企业标准，且在企业标准信息公共服务平台进行备案。(提供证明资料)</w:t>
      </w:r>
    </w:p>
    <w:p w14:paraId="2A5A5CF8">
      <w:pPr>
        <w:spacing w:line="360" w:lineRule="auto"/>
        <w:ind w:firstLine="240" w:firstLineChars="100"/>
        <w:jc w:val="left"/>
        <w:rPr>
          <w:rFonts w:ascii="仿宋" w:hAnsi="仿宋" w:eastAsia="仿宋" w:cs="仿宋"/>
          <w:sz w:val="24"/>
          <w:szCs w:val="24"/>
          <w:highlight w:val="none"/>
        </w:rPr>
      </w:pPr>
      <w:r>
        <w:rPr>
          <w:rFonts w:hint="eastAsia" w:ascii="仿宋" w:hAnsi="仿宋" w:eastAsia="仿宋" w:cs="仿宋"/>
          <w:sz w:val="24"/>
          <w:szCs w:val="24"/>
          <w:highlight w:val="none"/>
        </w:rPr>
        <w:t>4.与院校或培训机构合作，成立培训基地(培训学院)，能提供医工培训，可为医院工程师提供培训学习。(需提供有效证明材料及详细说明)</w:t>
      </w:r>
    </w:p>
    <w:p w14:paraId="5DEADBA9">
      <w:pPr>
        <w:pStyle w:val="9"/>
        <w:spacing w:line="360" w:lineRule="auto"/>
        <w:rPr>
          <w:rFonts w:ascii="仿宋" w:hAnsi="仿宋" w:eastAsia="仿宋" w:cs="仿宋"/>
          <w:sz w:val="24"/>
          <w:szCs w:val="24"/>
          <w:highlight w:val="none"/>
          <w:u w:val="single"/>
        </w:rPr>
      </w:pPr>
    </w:p>
    <w:p w14:paraId="4120F898">
      <w:pPr>
        <w:spacing w:line="360" w:lineRule="auto"/>
        <w:ind w:firstLine="240" w:firstLineChars="100"/>
        <w:jc w:val="left"/>
        <w:rPr>
          <w:rFonts w:ascii="仿宋" w:hAnsi="仿宋" w:eastAsia="仿宋" w:cs="仿宋"/>
          <w:bCs/>
          <w:color w:val="333333"/>
          <w:sz w:val="24"/>
          <w:szCs w:val="24"/>
          <w:highlight w:val="none"/>
        </w:rPr>
      </w:pPr>
    </w:p>
    <w:p w14:paraId="354B6562">
      <w:pPr>
        <w:autoSpaceDE w:val="0"/>
        <w:autoSpaceDN w:val="0"/>
        <w:adjustRightInd w:val="0"/>
        <w:spacing w:line="360" w:lineRule="auto"/>
        <w:ind w:firstLine="241" w:firstLineChars="100"/>
        <w:jc w:val="left"/>
        <w:rPr>
          <w:rFonts w:ascii="仿宋" w:hAnsi="仿宋" w:eastAsia="仿宋" w:cs="仿宋"/>
          <w:b/>
          <w:bCs/>
          <w:sz w:val="24"/>
          <w:highlight w:val="none"/>
        </w:rPr>
      </w:pPr>
    </w:p>
    <w:p w14:paraId="30719539">
      <w:pPr>
        <w:autoSpaceDE w:val="0"/>
        <w:autoSpaceDN w:val="0"/>
        <w:adjustRightInd w:val="0"/>
        <w:spacing w:line="360" w:lineRule="auto"/>
        <w:ind w:firstLine="241" w:firstLineChars="100"/>
        <w:jc w:val="left"/>
        <w:rPr>
          <w:rFonts w:ascii="仿宋" w:hAnsi="仿宋" w:eastAsia="仿宋" w:cs="仿宋"/>
          <w:b/>
          <w:bCs/>
          <w:sz w:val="24"/>
          <w:highlight w:val="none"/>
        </w:rPr>
      </w:pPr>
    </w:p>
    <w:p w14:paraId="79BC5426">
      <w:pPr>
        <w:autoSpaceDE w:val="0"/>
        <w:autoSpaceDN w:val="0"/>
        <w:adjustRightInd w:val="0"/>
        <w:spacing w:line="360" w:lineRule="auto"/>
        <w:ind w:firstLine="241" w:firstLineChars="100"/>
        <w:jc w:val="left"/>
        <w:rPr>
          <w:rFonts w:ascii="仿宋" w:hAnsi="仿宋" w:eastAsia="仿宋" w:cs="仿宋"/>
          <w:b/>
          <w:bCs/>
          <w:sz w:val="24"/>
          <w:highlight w:val="none"/>
        </w:rPr>
      </w:pPr>
    </w:p>
    <w:p w14:paraId="4694D69C">
      <w:pPr>
        <w:autoSpaceDE w:val="0"/>
        <w:autoSpaceDN w:val="0"/>
        <w:adjustRightInd w:val="0"/>
        <w:spacing w:line="360" w:lineRule="auto"/>
        <w:ind w:firstLine="241" w:firstLineChars="100"/>
        <w:jc w:val="left"/>
        <w:rPr>
          <w:rFonts w:ascii="仿宋" w:hAnsi="仿宋" w:eastAsia="仿宋" w:cs="仿宋"/>
          <w:b/>
          <w:bCs/>
          <w:sz w:val="24"/>
          <w:highlight w:val="none"/>
        </w:rPr>
      </w:pPr>
    </w:p>
    <w:p w14:paraId="75E9BE92">
      <w:pPr>
        <w:spacing w:line="360" w:lineRule="auto"/>
        <w:jc w:val="center"/>
        <w:outlineLvl w:val="0"/>
        <w:rPr>
          <w:rFonts w:ascii="仿宋" w:hAnsi="仿宋" w:eastAsia="仿宋"/>
          <w:bCs/>
          <w:caps/>
          <w:color w:val="000000"/>
          <w:sz w:val="32"/>
          <w:szCs w:val="32"/>
          <w:highlight w:val="none"/>
        </w:rPr>
      </w:pPr>
      <w:bookmarkStart w:id="50" w:name="_Toc15006"/>
      <w:r>
        <w:rPr>
          <w:rFonts w:hint="eastAsia" w:ascii="仿宋" w:hAnsi="仿宋" w:eastAsia="仿宋"/>
          <w:b/>
          <w:caps/>
          <w:color w:val="000000"/>
          <w:sz w:val="32"/>
          <w:szCs w:val="32"/>
          <w:highlight w:val="none"/>
        </w:rPr>
        <w:t>第四章  评标办法（综合评分法）</w:t>
      </w:r>
      <w:bookmarkEnd w:id="50"/>
    </w:p>
    <w:p w14:paraId="1D9E1A56">
      <w:pPr>
        <w:pStyle w:val="3"/>
        <w:keepLines w:val="0"/>
        <w:autoSpaceDE w:val="0"/>
        <w:spacing w:before="0" w:after="0" w:line="360" w:lineRule="auto"/>
        <w:jc w:val="center"/>
        <w:rPr>
          <w:rFonts w:ascii="仿宋" w:hAnsi="仿宋" w:eastAsia="仿宋"/>
          <w:color w:val="000000"/>
          <w:sz w:val="28"/>
          <w:szCs w:val="28"/>
          <w:highlight w:val="none"/>
        </w:rPr>
      </w:pPr>
      <w:r>
        <w:rPr>
          <w:rFonts w:hint="eastAsia" w:ascii="仿宋" w:hAnsi="仿宋" w:eastAsia="仿宋"/>
          <w:bCs/>
          <w:color w:val="000000"/>
          <w:sz w:val="28"/>
          <w:szCs w:val="28"/>
          <w:highlight w:val="none"/>
        </w:rPr>
        <w:t>评标方法前附表</w:t>
      </w:r>
    </w:p>
    <w:tbl>
      <w:tblPr>
        <w:tblStyle w:val="20"/>
        <w:tblW w:w="9245"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269"/>
        <w:gridCol w:w="2031"/>
        <w:gridCol w:w="5090"/>
      </w:tblGrid>
      <w:tr w14:paraId="0B9AB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4D0D45C8">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b/>
                <w:color w:val="000000" w:themeColor="text1"/>
                <w:sz w:val="24"/>
                <w:szCs w:val="24"/>
                <w:highlight w:val="none"/>
              </w:rPr>
              <w:t>条款号</w:t>
            </w:r>
          </w:p>
        </w:tc>
        <w:tc>
          <w:tcPr>
            <w:tcW w:w="2031" w:type="dxa"/>
            <w:vAlign w:val="center"/>
          </w:tcPr>
          <w:p w14:paraId="4A28E672">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b/>
                <w:color w:val="000000" w:themeColor="text1"/>
                <w:sz w:val="24"/>
                <w:szCs w:val="24"/>
                <w:highlight w:val="none"/>
              </w:rPr>
              <w:t>评审内容</w:t>
            </w:r>
          </w:p>
        </w:tc>
        <w:tc>
          <w:tcPr>
            <w:tcW w:w="5090" w:type="dxa"/>
            <w:vAlign w:val="center"/>
          </w:tcPr>
          <w:p w14:paraId="27A8F6C1">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b/>
                <w:color w:val="000000" w:themeColor="text1"/>
                <w:sz w:val="24"/>
                <w:szCs w:val="24"/>
                <w:highlight w:val="none"/>
              </w:rPr>
              <w:t>评审标准</w:t>
            </w:r>
          </w:p>
        </w:tc>
      </w:tr>
      <w:tr w14:paraId="796FF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Align w:val="center"/>
          </w:tcPr>
          <w:p w14:paraId="100C7801">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2.1.1</w:t>
            </w:r>
          </w:p>
        </w:tc>
        <w:tc>
          <w:tcPr>
            <w:tcW w:w="1269" w:type="dxa"/>
            <w:vAlign w:val="center"/>
          </w:tcPr>
          <w:p w14:paraId="122AC608">
            <w:pPr>
              <w:spacing w:line="360" w:lineRule="auto"/>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资格审</w:t>
            </w:r>
          </w:p>
          <w:p w14:paraId="2FFBC2E3">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查标准</w:t>
            </w:r>
          </w:p>
        </w:tc>
        <w:tc>
          <w:tcPr>
            <w:tcW w:w="2031" w:type="dxa"/>
            <w:vAlign w:val="center"/>
          </w:tcPr>
          <w:p w14:paraId="654F82B6">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资格条件</w:t>
            </w:r>
          </w:p>
        </w:tc>
        <w:tc>
          <w:tcPr>
            <w:tcW w:w="5090" w:type="dxa"/>
            <w:vAlign w:val="center"/>
          </w:tcPr>
          <w:p w14:paraId="2B5EA618">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符合第二章《投标人须知》第1.4项规定</w:t>
            </w:r>
          </w:p>
        </w:tc>
      </w:tr>
      <w:tr w14:paraId="1E81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vAlign w:val="center"/>
          </w:tcPr>
          <w:p w14:paraId="00D824F3">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2.1.2</w:t>
            </w:r>
          </w:p>
        </w:tc>
        <w:tc>
          <w:tcPr>
            <w:tcW w:w="1269" w:type="dxa"/>
            <w:vMerge w:val="restart"/>
            <w:vAlign w:val="center"/>
          </w:tcPr>
          <w:p w14:paraId="42906FAA">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符合性</w:t>
            </w:r>
          </w:p>
          <w:p w14:paraId="0E493207">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审查</w:t>
            </w:r>
          </w:p>
        </w:tc>
        <w:tc>
          <w:tcPr>
            <w:tcW w:w="2031" w:type="dxa"/>
            <w:vAlign w:val="center"/>
          </w:tcPr>
          <w:p w14:paraId="4675E166">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投标报价表</w:t>
            </w:r>
          </w:p>
        </w:tc>
        <w:tc>
          <w:tcPr>
            <w:tcW w:w="5090" w:type="dxa"/>
            <w:vAlign w:val="center"/>
          </w:tcPr>
          <w:p w14:paraId="1262F322">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符合第六章《投标文件格式》中规定的格式及内容，提供投标报价一览表。</w:t>
            </w:r>
          </w:p>
        </w:tc>
      </w:tr>
      <w:tr w14:paraId="3C57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3DE73BEA">
            <w:pPr>
              <w:spacing w:line="360" w:lineRule="auto"/>
              <w:jc w:val="center"/>
              <w:rPr>
                <w:rFonts w:ascii="仿宋" w:hAnsi="仿宋" w:eastAsia="仿宋" w:cs="仿宋"/>
                <w:color w:val="000000" w:themeColor="text1"/>
                <w:sz w:val="24"/>
                <w:szCs w:val="24"/>
                <w:highlight w:val="none"/>
              </w:rPr>
            </w:pPr>
          </w:p>
        </w:tc>
        <w:tc>
          <w:tcPr>
            <w:tcW w:w="1269" w:type="dxa"/>
            <w:vMerge w:val="continue"/>
            <w:vAlign w:val="center"/>
          </w:tcPr>
          <w:p w14:paraId="238C2FFA">
            <w:pPr>
              <w:spacing w:line="360" w:lineRule="auto"/>
              <w:jc w:val="center"/>
              <w:rPr>
                <w:rFonts w:ascii="仿宋" w:hAnsi="仿宋" w:eastAsia="仿宋" w:cs="仿宋"/>
                <w:color w:val="000000" w:themeColor="text1"/>
                <w:sz w:val="24"/>
                <w:szCs w:val="24"/>
                <w:highlight w:val="none"/>
              </w:rPr>
            </w:pPr>
          </w:p>
        </w:tc>
        <w:tc>
          <w:tcPr>
            <w:tcW w:w="2031" w:type="dxa"/>
            <w:vAlign w:val="center"/>
          </w:tcPr>
          <w:p w14:paraId="4109327D">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投标报价</w:t>
            </w:r>
          </w:p>
        </w:tc>
        <w:tc>
          <w:tcPr>
            <w:tcW w:w="5090" w:type="dxa"/>
            <w:vAlign w:val="center"/>
          </w:tcPr>
          <w:p w14:paraId="0D273F89">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未超过采购预算控制价及单价限价，未出现缺项、漏项，对所投内所有内容作出完整唯一的投标报价。</w:t>
            </w:r>
          </w:p>
        </w:tc>
      </w:tr>
      <w:tr w14:paraId="1CC2B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01492EC4">
            <w:pPr>
              <w:spacing w:line="360" w:lineRule="auto"/>
              <w:jc w:val="center"/>
              <w:rPr>
                <w:rFonts w:ascii="仿宋" w:hAnsi="仿宋" w:eastAsia="仿宋" w:cs="仿宋"/>
                <w:color w:val="000000" w:themeColor="text1"/>
                <w:sz w:val="24"/>
                <w:szCs w:val="24"/>
                <w:highlight w:val="none"/>
              </w:rPr>
            </w:pPr>
          </w:p>
        </w:tc>
        <w:tc>
          <w:tcPr>
            <w:tcW w:w="1269" w:type="dxa"/>
            <w:vMerge w:val="continue"/>
            <w:vAlign w:val="center"/>
          </w:tcPr>
          <w:p w14:paraId="6A5E1643">
            <w:pPr>
              <w:spacing w:line="360" w:lineRule="auto"/>
              <w:jc w:val="center"/>
              <w:rPr>
                <w:rFonts w:ascii="仿宋" w:hAnsi="仿宋" w:eastAsia="仿宋" w:cs="仿宋"/>
                <w:color w:val="000000" w:themeColor="text1"/>
                <w:sz w:val="24"/>
                <w:szCs w:val="24"/>
                <w:highlight w:val="none"/>
              </w:rPr>
            </w:pPr>
          </w:p>
        </w:tc>
        <w:tc>
          <w:tcPr>
            <w:tcW w:w="2031" w:type="dxa"/>
            <w:vAlign w:val="center"/>
          </w:tcPr>
          <w:p w14:paraId="3643F273">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投标函</w:t>
            </w:r>
          </w:p>
        </w:tc>
        <w:tc>
          <w:tcPr>
            <w:tcW w:w="5090" w:type="dxa"/>
            <w:vAlign w:val="center"/>
          </w:tcPr>
          <w:p w14:paraId="73A5FC9E">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符合第六章《投标文件格式》中规定的格式及内容，有法定代表人或委托代理人签字或盖章和加盖公章。</w:t>
            </w:r>
          </w:p>
        </w:tc>
      </w:tr>
      <w:tr w14:paraId="6A368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42F4F946">
            <w:pPr>
              <w:spacing w:line="360" w:lineRule="auto"/>
              <w:jc w:val="center"/>
              <w:rPr>
                <w:rFonts w:ascii="仿宋" w:hAnsi="仿宋" w:eastAsia="仿宋" w:cs="仿宋"/>
                <w:color w:val="000000" w:themeColor="text1"/>
                <w:sz w:val="24"/>
                <w:szCs w:val="24"/>
                <w:highlight w:val="none"/>
              </w:rPr>
            </w:pPr>
          </w:p>
        </w:tc>
        <w:tc>
          <w:tcPr>
            <w:tcW w:w="1269" w:type="dxa"/>
            <w:vMerge w:val="continue"/>
            <w:vAlign w:val="center"/>
          </w:tcPr>
          <w:p w14:paraId="321DB085">
            <w:pPr>
              <w:spacing w:line="360" w:lineRule="auto"/>
              <w:jc w:val="center"/>
              <w:rPr>
                <w:rFonts w:ascii="仿宋" w:hAnsi="仿宋" w:eastAsia="仿宋" w:cs="仿宋"/>
                <w:color w:val="000000" w:themeColor="text1"/>
                <w:sz w:val="24"/>
                <w:szCs w:val="24"/>
                <w:highlight w:val="none"/>
              </w:rPr>
            </w:pPr>
          </w:p>
        </w:tc>
        <w:tc>
          <w:tcPr>
            <w:tcW w:w="2031" w:type="dxa"/>
            <w:vAlign w:val="center"/>
          </w:tcPr>
          <w:p w14:paraId="51A098D7">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投标有效期</w:t>
            </w:r>
          </w:p>
        </w:tc>
        <w:tc>
          <w:tcPr>
            <w:tcW w:w="5090" w:type="dxa"/>
            <w:vAlign w:val="center"/>
          </w:tcPr>
          <w:p w14:paraId="78DDBB87">
            <w:pPr>
              <w:spacing w:line="360" w:lineRule="auto"/>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投标文件有效期须满足招标文件要求</w:t>
            </w:r>
          </w:p>
        </w:tc>
      </w:tr>
      <w:tr w14:paraId="12C63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6884CE40">
            <w:pPr>
              <w:spacing w:line="360" w:lineRule="auto"/>
              <w:jc w:val="center"/>
              <w:rPr>
                <w:rFonts w:ascii="仿宋" w:hAnsi="仿宋" w:eastAsia="仿宋" w:cs="仿宋"/>
                <w:color w:val="000000" w:themeColor="text1"/>
                <w:sz w:val="24"/>
                <w:szCs w:val="24"/>
                <w:highlight w:val="none"/>
              </w:rPr>
            </w:pPr>
          </w:p>
        </w:tc>
        <w:tc>
          <w:tcPr>
            <w:tcW w:w="1269" w:type="dxa"/>
            <w:vMerge w:val="continue"/>
            <w:vAlign w:val="center"/>
          </w:tcPr>
          <w:p w14:paraId="5EF63A99">
            <w:pPr>
              <w:spacing w:line="360" w:lineRule="auto"/>
              <w:jc w:val="center"/>
              <w:rPr>
                <w:rFonts w:ascii="仿宋" w:hAnsi="仿宋" w:eastAsia="仿宋" w:cs="仿宋"/>
                <w:color w:val="000000" w:themeColor="text1"/>
                <w:sz w:val="24"/>
                <w:szCs w:val="24"/>
                <w:highlight w:val="none"/>
              </w:rPr>
            </w:pPr>
          </w:p>
        </w:tc>
        <w:tc>
          <w:tcPr>
            <w:tcW w:w="2031" w:type="dxa"/>
            <w:vAlign w:val="center"/>
          </w:tcPr>
          <w:p w14:paraId="7A669F14">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投标保证金</w:t>
            </w:r>
          </w:p>
        </w:tc>
        <w:tc>
          <w:tcPr>
            <w:tcW w:w="5090" w:type="dxa"/>
            <w:vAlign w:val="center"/>
          </w:tcPr>
          <w:p w14:paraId="246812BA">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符合第二章《投标人须知》第3.4项规定</w:t>
            </w:r>
          </w:p>
        </w:tc>
      </w:tr>
      <w:tr w14:paraId="5ACFA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718BD6F6">
            <w:pPr>
              <w:spacing w:line="360" w:lineRule="auto"/>
              <w:jc w:val="center"/>
              <w:rPr>
                <w:rFonts w:ascii="仿宋" w:hAnsi="仿宋" w:eastAsia="仿宋" w:cs="仿宋"/>
                <w:color w:val="000000" w:themeColor="text1"/>
                <w:sz w:val="24"/>
                <w:szCs w:val="24"/>
                <w:highlight w:val="none"/>
              </w:rPr>
            </w:pPr>
          </w:p>
        </w:tc>
        <w:tc>
          <w:tcPr>
            <w:tcW w:w="1269" w:type="dxa"/>
            <w:vMerge w:val="continue"/>
            <w:vAlign w:val="center"/>
          </w:tcPr>
          <w:p w14:paraId="5EDE5641">
            <w:pPr>
              <w:spacing w:line="360" w:lineRule="auto"/>
              <w:rPr>
                <w:rFonts w:ascii="仿宋" w:hAnsi="仿宋" w:eastAsia="仿宋" w:cs="仿宋"/>
                <w:color w:val="000000" w:themeColor="text1"/>
                <w:sz w:val="24"/>
                <w:szCs w:val="24"/>
                <w:highlight w:val="none"/>
              </w:rPr>
            </w:pPr>
          </w:p>
        </w:tc>
        <w:tc>
          <w:tcPr>
            <w:tcW w:w="2031" w:type="dxa"/>
            <w:vAlign w:val="center"/>
          </w:tcPr>
          <w:p w14:paraId="375407C3">
            <w:pPr>
              <w:pStyle w:val="7"/>
              <w:spacing w:before="0" w:beforeAutospacing="0" w:after="0" w:line="500" w:lineRule="exact"/>
              <w:ind w:left="0" w:leftChars="0"/>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投标文件签署、</w:t>
            </w:r>
          </w:p>
          <w:p w14:paraId="450B8A7A">
            <w:pPr>
              <w:pStyle w:val="7"/>
              <w:spacing w:before="0" w:beforeAutospacing="0" w:after="0" w:line="500" w:lineRule="exact"/>
              <w:ind w:left="0" w:leftChars="0"/>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盖章</w:t>
            </w:r>
          </w:p>
        </w:tc>
        <w:tc>
          <w:tcPr>
            <w:tcW w:w="5090" w:type="dxa"/>
          </w:tcPr>
          <w:p w14:paraId="3BEA4842">
            <w:pPr>
              <w:pStyle w:val="7"/>
              <w:spacing w:before="0" w:beforeAutospacing="0" w:after="0" w:line="500" w:lineRule="exact"/>
              <w:ind w:left="0" w:leftChars="0"/>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按第六章“投标文件格式”要求在规定位置盖电子签章、签字。</w:t>
            </w:r>
          </w:p>
        </w:tc>
      </w:tr>
      <w:tr w14:paraId="6C377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05183408">
            <w:pPr>
              <w:spacing w:line="360" w:lineRule="auto"/>
              <w:jc w:val="center"/>
              <w:rPr>
                <w:rFonts w:ascii="仿宋" w:hAnsi="仿宋" w:eastAsia="仿宋" w:cs="仿宋"/>
                <w:color w:val="000000" w:themeColor="text1"/>
                <w:sz w:val="24"/>
                <w:szCs w:val="24"/>
                <w:highlight w:val="none"/>
              </w:rPr>
            </w:pPr>
          </w:p>
        </w:tc>
        <w:tc>
          <w:tcPr>
            <w:tcW w:w="1269" w:type="dxa"/>
            <w:vMerge w:val="continue"/>
            <w:vAlign w:val="center"/>
          </w:tcPr>
          <w:p w14:paraId="0870C8D4">
            <w:pPr>
              <w:spacing w:line="360" w:lineRule="auto"/>
              <w:rPr>
                <w:rFonts w:ascii="仿宋" w:hAnsi="仿宋" w:eastAsia="仿宋" w:cs="仿宋"/>
                <w:color w:val="000000" w:themeColor="text1"/>
                <w:sz w:val="24"/>
                <w:szCs w:val="24"/>
                <w:highlight w:val="none"/>
              </w:rPr>
            </w:pPr>
          </w:p>
        </w:tc>
        <w:tc>
          <w:tcPr>
            <w:tcW w:w="2031" w:type="dxa"/>
            <w:vAlign w:val="center"/>
          </w:tcPr>
          <w:p w14:paraId="36D66A2A">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其它实质性要求</w:t>
            </w:r>
          </w:p>
        </w:tc>
        <w:tc>
          <w:tcPr>
            <w:tcW w:w="5090" w:type="dxa"/>
            <w:vAlign w:val="center"/>
          </w:tcPr>
          <w:p w14:paraId="11671F54">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投标文件未出现其他不满足招标文件条款内容且未出现招标文件规定的其他投标无效情形。</w:t>
            </w:r>
          </w:p>
        </w:tc>
      </w:tr>
      <w:tr w14:paraId="5355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45AE19E0">
            <w:pPr>
              <w:spacing w:line="360" w:lineRule="auto"/>
              <w:jc w:val="center"/>
              <w:rPr>
                <w:rFonts w:ascii="仿宋" w:hAnsi="仿宋" w:eastAsia="仿宋" w:cs="仿宋"/>
                <w:color w:val="000000" w:themeColor="text1"/>
                <w:sz w:val="24"/>
                <w:szCs w:val="24"/>
                <w:highlight w:val="none"/>
              </w:rPr>
            </w:pPr>
          </w:p>
        </w:tc>
        <w:tc>
          <w:tcPr>
            <w:tcW w:w="1269" w:type="dxa"/>
            <w:vMerge w:val="continue"/>
            <w:vAlign w:val="center"/>
          </w:tcPr>
          <w:p w14:paraId="5E3B7C7C">
            <w:pPr>
              <w:spacing w:line="360" w:lineRule="auto"/>
              <w:rPr>
                <w:rFonts w:ascii="仿宋" w:hAnsi="仿宋" w:eastAsia="仿宋" w:cs="仿宋"/>
                <w:color w:val="000000" w:themeColor="text1"/>
                <w:sz w:val="24"/>
                <w:szCs w:val="24"/>
                <w:highlight w:val="none"/>
              </w:rPr>
            </w:pPr>
          </w:p>
        </w:tc>
        <w:tc>
          <w:tcPr>
            <w:tcW w:w="2031" w:type="dxa"/>
            <w:vAlign w:val="center"/>
          </w:tcPr>
          <w:p w14:paraId="45C3500B">
            <w:pPr>
              <w:spacing w:line="360" w:lineRule="auto"/>
              <w:jc w:val="center"/>
              <w:rPr>
                <w:rFonts w:ascii="仿宋" w:hAnsi="仿宋" w:eastAsia="仿宋" w:cs="仿宋"/>
                <w:color w:val="000000" w:themeColor="text1"/>
                <w:sz w:val="24"/>
                <w:szCs w:val="24"/>
                <w:highlight w:val="none"/>
                <w:lang w:val="zh-CN"/>
              </w:rPr>
            </w:pPr>
            <w:r>
              <w:rPr>
                <w:rFonts w:hint="eastAsia" w:ascii="仿宋" w:hAnsi="仿宋" w:eastAsia="仿宋" w:cs="仿宋"/>
                <w:color w:val="000000" w:themeColor="text1"/>
                <w:sz w:val="24"/>
                <w:szCs w:val="24"/>
                <w:highlight w:val="none"/>
                <w:lang w:val="zh-CN"/>
              </w:rPr>
              <w:t>低于成本价</w:t>
            </w:r>
            <w:r>
              <w:rPr>
                <w:rFonts w:ascii="仿宋" w:hAnsi="仿宋" w:eastAsia="仿宋" w:cs="仿宋"/>
                <w:color w:val="000000" w:themeColor="text1"/>
                <w:sz w:val="24"/>
                <w:highlight w:val="none"/>
              </w:rPr>
              <w:pict>
                <v:rect id="KGD_Gobal1" o:spid="_x0000_s1026" o:spt="1" alt="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" style="position:absolute;left:0pt;margin-left:-225.35pt;margin-top:-62.5pt;height:5pt;width:5pt;visibility:hidden;z-index:251659264;v-text-anchor:middle;mso-width-relative:page;mso-height-relative:page;" fillcolor="#4F81BD" filled="t" stroked="t" coordsize="21600,21600" o:gfxdata="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">
                  <v:path/>
                  <v:fill on="t" focussize="0,0"/>
                  <v:stroke weight="2pt" color="#385D8A" joinstyle="round"/>
                  <v:imagedata o:title=""/>
                  <o:lock v:ext="edit"/>
                </v:rect>
              </w:pict>
            </w:r>
            <w:r>
              <w:rPr>
                <w:rFonts w:hint="eastAsia" w:ascii="仿宋" w:hAnsi="仿宋" w:eastAsia="仿宋" w:cs="仿宋"/>
                <w:color w:val="000000" w:themeColor="text1"/>
                <w:sz w:val="24"/>
                <w:szCs w:val="24"/>
                <w:highlight w:val="none"/>
                <w:lang w:val="zh-CN"/>
              </w:rPr>
              <w:t>的</w:t>
            </w:r>
          </w:p>
          <w:p w14:paraId="4AD40BE9">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情形</w:t>
            </w:r>
          </w:p>
        </w:tc>
        <w:tc>
          <w:tcPr>
            <w:tcW w:w="5090" w:type="dxa"/>
            <w:vAlign w:val="center"/>
          </w:tcPr>
          <w:p w14:paraId="5898EFE2">
            <w:pPr>
              <w:spacing w:line="360" w:lineRule="auto"/>
              <w:jc w:val="left"/>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zh-CN"/>
              </w:rPr>
              <w:t>评标委员会认为存在低于成本价投标的情况</w:t>
            </w:r>
          </w:p>
        </w:tc>
      </w:tr>
      <w:tr w14:paraId="65CB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trPr>
        <w:tc>
          <w:tcPr>
            <w:tcW w:w="855" w:type="dxa"/>
            <w:vMerge w:val="restart"/>
            <w:vAlign w:val="center"/>
          </w:tcPr>
          <w:p w14:paraId="05831676">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2.2</w:t>
            </w:r>
          </w:p>
        </w:tc>
        <w:tc>
          <w:tcPr>
            <w:tcW w:w="1269" w:type="dxa"/>
            <w:vMerge w:val="restart"/>
            <w:vAlign w:val="center"/>
          </w:tcPr>
          <w:p w14:paraId="25851EF1">
            <w:pPr>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分值构成与评分标准</w:t>
            </w:r>
          </w:p>
        </w:tc>
        <w:tc>
          <w:tcPr>
            <w:tcW w:w="2031" w:type="dxa"/>
            <w:vAlign w:val="center"/>
          </w:tcPr>
          <w:p w14:paraId="1A0F3FF6">
            <w:pPr>
              <w:spacing w:line="360" w:lineRule="auto"/>
              <w:jc w:val="center"/>
              <w:rPr>
                <w:rFonts w:ascii="仿宋" w:hAnsi="仿宋" w:eastAsia="仿宋" w:cs="仿宋"/>
                <w:color w:val="000000" w:themeColor="text1"/>
                <w:sz w:val="24"/>
                <w:szCs w:val="24"/>
                <w:highlight w:val="none"/>
                <w:lang w:val="zh-CN"/>
              </w:rPr>
            </w:pPr>
            <w:r>
              <w:rPr>
                <w:rFonts w:hint="eastAsia" w:ascii="仿宋" w:hAnsi="仿宋" w:eastAsia="仿宋" w:cs="仿宋"/>
                <w:color w:val="000000" w:themeColor="text1"/>
                <w:sz w:val="24"/>
                <w:szCs w:val="24"/>
                <w:highlight w:val="none"/>
              </w:rPr>
              <w:t>评标总得分计算公式</w:t>
            </w:r>
          </w:p>
        </w:tc>
        <w:tc>
          <w:tcPr>
            <w:tcW w:w="5090" w:type="dxa"/>
            <w:vAlign w:val="center"/>
          </w:tcPr>
          <w:p w14:paraId="59AAADFB">
            <w:pPr>
              <w:spacing w:line="360" w:lineRule="auto"/>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投标人的评标总得分＝F1＋F2</w:t>
            </w:r>
          </w:p>
          <w:p w14:paraId="73858B08">
            <w:pPr>
              <w:spacing w:line="360" w:lineRule="auto"/>
              <w:rPr>
                <w:rFonts w:hint="eastAsia" w:ascii="仿宋" w:hAnsi="仿宋" w:eastAsia="仿宋" w:cs="仿宋"/>
                <w:color w:val="000000" w:themeColor="text1"/>
                <w:sz w:val="24"/>
                <w:szCs w:val="24"/>
                <w:highlight w:val="none"/>
                <w:lang w:val="zh-CN" w:eastAsia="zh-CN"/>
              </w:rPr>
            </w:pPr>
            <w:r>
              <w:rPr>
                <w:rFonts w:hint="eastAsia" w:ascii="仿宋" w:hAnsi="仿宋" w:eastAsia="仿宋" w:cs="仿宋"/>
                <w:color w:val="000000" w:themeColor="text1"/>
                <w:sz w:val="24"/>
                <w:szCs w:val="24"/>
                <w:highlight w:val="none"/>
              </w:rPr>
              <w:t>其中：F1、F2分别为投标报价、商务技术部分2项评分因素的汇总得分</w:t>
            </w:r>
            <w:r>
              <w:rPr>
                <w:rFonts w:hint="eastAsia" w:ascii="仿宋" w:hAnsi="仿宋" w:eastAsia="仿宋" w:cs="仿宋"/>
                <w:color w:val="000000" w:themeColor="text1"/>
                <w:sz w:val="24"/>
                <w:szCs w:val="24"/>
                <w:highlight w:val="none"/>
                <w:lang w:eastAsia="zh-CN"/>
              </w:rPr>
              <w:t>。</w:t>
            </w:r>
          </w:p>
        </w:tc>
      </w:tr>
      <w:tr w14:paraId="3929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vAlign w:val="center"/>
          </w:tcPr>
          <w:p w14:paraId="7EBD968E">
            <w:pPr>
              <w:spacing w:line="360" w:lineRule="auto"/>
              <w:rPr>
                <w:rFonts w:hint="eastAsia" w:ascii="仿宋" w:hAnsi="仿宋" w:eastAsia="仿宋" w:cs="仿宋"/>
                <w:color w:val="000000" w:themeColor="text1"/>
                <w:sz w:val="24"/>
                <w:szCs w:val="24"/>
                <w:highlight w:val="none"/>
              </w:rPr>
            </w:pPr>
          </w:p>
        </w:tc>
        <w:tc>
          <w:tcPr>
            <w:tcW w:w="1269" w:type="dxa"/>
            <w:vMerge w:val="continue"/>
            <w:vAlign w:val="center"/>
          </w:tcPr>
          <w:p w14:paraId="13D045CE">
            <w:pPr>
              <w:spacing w:line="360" w:lineRule="auto"/>
              <w:rPr>
                <w:rFonts w:hint="eastAsia" w:ascii="仿宋" w:hAnsi="仿宋" w:eastAsia="仿宋" w:cs="仿宋"/>
                <w:color w:val="000000" w:themeColor="text1"/>
                <w:sz w:val="24"/>
                <w:szCs w:val="24"/>
                <w:highlight w:val="none"/>
              </w:rPr>
            </w:pPr>
          </w:p>
        </w:tc>
        <w:tc>
          <w:tcPr>
            <w:tcW w:w="2031" w:type="dxa"/>
            <w:vAlign w:val="center"/>
          </w:tcPr>
          <w:p w14:paraId="75DC5A3E">
            <w:pP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评分因素</w:t>
            </w:r>
          </w:p>
          <w:p w14:paraId="2498C3BD">
            <w:pPr>
              <w:spacing w:line="360" w:lineRule="auto"/>
              <w:rPr>
                <w:rFonts w:hint="eastAsia" w:ascii="仿宋" w:hAnsi="仿宋" w:eastAsia="仿宋" w:cs="仿宋"/>
                <w:color w:val="000000" w:themeColor="text1"/>
                <w:sz w:val="24"/>
                <w:szCs w:val="24"/>
                <w:highlight w:val="none"/>
                <w:lang w:val="zh-CN"/>
              </w:rPr>
            </w:pPr>
            <w:r>
              <w:rPr>
                <w:rFonts w:hint="eastAsia" w:ascii="仿宋" w:hAnsi="仿宋" w:eastAsia="仿宋" w:cs="仿宋"/>
                <w:color w:val="000000" w:themeColor="text1"/>
                <w:sz w:val="24"/>
                <w:szCs w:val="24"/>
                <w:highlight w:val="none"/>
              </w:rPr>
              <w:t>权重</w:t>
            </w:r>
          </w:p>
        </w:tc>
        <w:tc>
          <w:tcPr>
            <w:tcW w:w="5090" w:type="dxa"/>
            <w:vAlign w:val="center"/>
          </w:tcPr>
          <w:p w14:paraId="0D27F0BF">
            <w:pPr>
              <w:spacing w:line="360" w:lineRule="auto"/>
              <w:rPr>
                <w:rFonts w:hint="eastAsia" w:ascii="仿宋" w:hAnsi="仿宋" w:eastAsia="仿宋" w:cs="仿宋"/>
                <w:color w:val="000000" w:themeColor="text1"/>
                <w:sz w:val="24"/>
                <w:szCs w:val="24"/>
                <w:highlight w:val="none"/>
                <w:lang w:val="zh-CN"/>
              </w:rPr>
            </w:pPr>
            <w:r>
              <w:rPr>
                <w:rFonts w:hint="eastAsia" w:ascii="仿宋" w:hAnsi="仿宋" w:eastAsia="仿宋" w:cs="仿宋"/>
                <w:color w:val="000000" w:themeColor="text1"/>
                <w:sz w:val="24"/>
                <w:szCs w:val="24"/>
                <w:highlight w:val="none"/>
                <w:lang w:val="zh-CN"/>
              </w:rPr>
              <w:t>投标报价F1：</w:t>
            </w:r>
            <w:r>
              <w:rPr>
                <w:rFonts w:hint="eastAsia" w:ascii="仿宋" w:hAnsi="仿宋" w:eastAsia="仿宋" w:cs="仿宋"/>
                <w:color w:val="000000" w:themeColor="text1"/>
                <w:sz w:val="24"/>
                <w:szCs w:val="24"/>
                <w:highlight w:val="none"/>
              </w:rPr>
              <w:t>15</w:t>
            </w:r>
            <w:r>
              <w:rPr>
                <w:rFonts w:hint="eastAsia" w:ascii="仿宋" w:hAnsi="仿宋" w:eastAsia="仿宋" w:cs="仿宋"/>
                <w:color w:val="000000" w:themeColor="text1"/>
                <w:sz w:val="24"/>
                <w:szCs w:val="24"/>
                <w:highlight w:val="none"/>
                <w:lang w:val="zh-CN"/>
              </w:rPr>
              <w:t>分</w:t>
            </w:r>
          </w:p>
          <w:p w14:paraId="4026051F">
            <w:pPr>
              <w:spacing w:line="360" w:lineRule="auto"/>
              <w:rPr>
                <w:rFonts w:hint="eastAsia" w:ascii="仿宋" w:hAnsi="仿宋" w:eastAsia="仿宋" w:cs="仿宋"/>
                <w:color w:val="000000" w:themeColor="text1"/>
                <w:sz w:val="24"/>
                <w:szCs w:val="24"/>
                <w:highlight w:val="none"/>
                <w:lang w:val="zh-CN"/>
              </w:rPr>
            </w:pPr>
            <w:r>
              <w:rPr>
                <w:rFonts w:hint="eastAsia" w:ascii="仿宋" w:hAnsi="仿宋" w:eastAsia="仿宋" w:cs="仿宋"/>
                <w:color w:val="000000" w:themeColor="text1"/>
                <w:sz w:val="24"/>
                <w:szCs w:val="24"/>
                <w:highlight w:val="none"/>
                <w:lang w:val="zh-CN"/>
              </w:rPr>
              <w:t>技术</w:t>
            </w:r>
            <w:r>
              <w:rPr>
                <w:rFonts w:hint="eastAsia" w:ascii="仿宋" w:hAnsi="仿宋" w:eastAsia="仿宋" w:cs="仿宋"/>
                <w:color w:val="000000" w:themeColor="text1"/>
                <w:sz w:val="24"/>
                <w:szCs w:val="24"/>
                <w:highlight w:val="none"/>
              </w:rPr>
              <w:t>部分</w:t>
            </w:r>
            <w:r>
              <w:rPr>
                <w:rFonts w:hint="eastAsia" w:ascii="仿宋" w:hAnsi="仿宋" w:eastAsia="仿宋" w:cs="仿宋"/>
                <w:color w:val="000000" w:themeColor="text1"/>
                <w:sz w:val="24"/>
                <w:szCs w:val="24"/>
                <w:highlight w:val="none"/>
                <w:lang w:val="zh-CN"/>
              </w:rPr>
              <w:t>F</w:t>
            </w:r>
            <w:r>
              <w:rPr>
                <w:rFonts w:hint="eastAsia" w:ascii="仿宋" w:hAnsi="仿宋" w:eastAsia="仿宋" w:cs="仿宋"/>
                <w:color w:val="000000" w:themeColor="text1"/>
                <w:sz w:val="24"/>
                <w:szCs w:val="24"/>
                <w:highlight w:val="none"/>
              </w:rPr>
              <w:t>2</w:t>
            </w:r>
            <w:r>
              <w:rPr>
                <w:rFonts w:hint="eastAsia" w:ascii="仿宋" w:hAnsi="仿宋" w:eastAsia="仿宋" w:cs="仿宋"/>
                <w:color w:val="000000" w:themeColor="text1"/>
                <w:sz w:val="24"/>
                <w:szCs w:val="24"/>
                <w:highlight w:val="none"/>
                <w:lang w:val="zh-CN"/>
              </w:rPr>
              <w:t>：</w:t>
            </w:r>
            <w:r>
              <w:rPr>
                <w:rFonts w:hint="eastAsia" w:ascii="仿宋" w:hAnsi="仿宋" w:eastAsia="仿宋" w:cs="仿宋"/>
                <w:color w:val="000000" w:themeColor="text1"/>
                <w:sz w:val="24"/>
                <w:szCs w:val="24"/>
                <w:highlight w:val="none"/>
              </w:rPr>
              <w:t>85</w:t>
            </w:r>
            <w:r>
              <w:rPr>
                <w:rFonts w:hint="eastAsia" w:ascii="仿宋" w:hAnsi="仿宋" w:eastAsia="仿宋" w:cs="仿宋"/>
                <w:color w:val="000000" w:themeColor="text1"/>
                <w:sz w:val="24"/>
                <w:szCs w:val="24"/>
                <w:highlight w:val="none"/>
                <w:lang w:val="zh-CN"/>
              </w:rPr>
              <w:t>分</w:t>
            </w:r>
          </w:p>
        </w:tc>
      </w:tr>
      <w:tr w14:paraId="1DFD5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5" w:type="dxa"/>
            <w:gridSpan w:val="4"/>
            <w:vAlign w:val="center"/>
          </w:tcPr>
          <w:p w14:paraId="1D4F90EF">
            <w:pPr>
              <w:spacing w:line="360" w:lineRule="auto"/>
              <w:rPr>
                <w:rFonts w:hint="eastAsia" w:ascii="仿宋" w:hAnsi="仿宋" w:eastAsia="仿宋" w:cs="仿宋"/>
                <w:color w:val="000000" w:themeColor="text1"/>
                <w:sz w:val="24"/>
                <w:szCs w:val="24"/>
                <w:highlight w:val="none"/>
                <w:lang w:val="zh-CN"/>
              </w:rPr>
            </w:pPr>
            <w:r>
              <w:rPr>
                <w:rFonts w:hint="eastAsia" w:ascii="仿宋" w:hAnsi="仿宋" w:eastAsia="仿宋" w:cs="仿宋"/>
                <w:b/>
                <w:bCs/>
                <w:color w:val="000000" w:themeColor="text1"/>
                <w:sz w:val="24"/>
                <w:szCs w:val="24"/>
                <w:highlight w:val="none"/>
              </w:rPr>
              <w:t>投标报价得分F1（满分15分）</w:t>
            </w:r>
          </w:p>
        </w:tc>
      </w:tr>
      <w:tr w14:paraId="5CF04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5" w:type="dxa"/>
            <w:gridSpan w:val="4"/>
            <w:vAlign w:val="center"/>
          </w:tcPr>
          <w:p w14:paraId="18352F75">
            <w:pP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投标报价计算公式=评标基准价/投标报价×15</w:t>
            </w:r>
          </w:p>
          <w:p w14:paraId="0E173CED">
            <w:pP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即：F1=[C/（B1，B2，…，Bn）]×15</w:t>
            </w:r>
          </w:p>
          <w:p w14:paraId="7BA5A53B">
            <w:pP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注：C为评标基准价，即有效投标人是指通过符合性评审的投标人，评标基准价是指各有效投标人中的最低投标报价。</w:t>
            </w:r>
          </w:p>
          <w:p w14:paraId="71C633EF">
            <w:pP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B1，B2，…，Bn为第n个经初步审查合格的有效投标报价。</w:t>
            </w:r>
          </w:p>
          <w:p w14:paraId="028A01C9">
            <w:pP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注：1.计算结果保留小数点后两位，第三位四舍五入。</w:t>
            </w:r>
          </w:p>
          <w:p w14:paraId="7EFF577E">
            <w:pPr>
              <w:spacing w:line="36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2.本项目针对小型和微型企业产品或残疾人福利性单位产品的价格给予10%的扣除，用扣除后的价格参与评审，残疾人福利性单位属于小型、微型企业的，不重复享受政策。</w:t>
            </w:r>
          </w:p>
          <w:p w14:paraId="3DC42552">
            <w:pPr>
              <w:spacing w:line="360" w:lineRule="auto"/>
              <w:rPr>
                <w:rFonts w:hint="eastAsia" w:ascii="仿宋" w:hAnsi="仿宋" w:eastAsia="仿宋" w:cs="仿宋"/>
                <w:color w:val="000000" w:themeColor="text1"/>
                <w:sz w:val="24"/>
                <w:szCs w:val="24"/>
                <w:highlight w:val="none"/>
                <w:lang w:val="zh-CN"/>
              </w:rPr>
            </w:pPr>
            <w:r>
              <w:rPr>
                <w:rFonts w:hint="eastAsia" w:ascii="仿宋" w:hAnsi="仿宋" w:eastAsia="仿宋" w:cs="仿宋"/>
                <w:color w:val="000000" w:themeColor="text1"/>
                <w:sz w:val="24"/>
                <w:szCs w:val="24"/>
                <w:highlight w:val="none"/>
              </w:rPr>
              <w:t>3.请投标人根据自身情况提供小微企业声明函，无小微企业声明函的在价格评分时不对投标报价进行扣除。</w:t>
            </w:r>
          </w:p>
        </w:tc>
      </w:tr>
      <w:tr w14:paraId="4E622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5" w:type="dxa"/>
            <w:gridSpan w:val="4"/>
            <w:vAlign w:val="center"/>
          </w:tcPr>
          <w:p w14:paraId="305EB576">
            <w:pPr>
              <w:spacing w:line="360" w:lineRule="auto"/>
              <w:rPr>
                <w:rFonts w:ascii="仿宋" w:hAnsi="仿宋" w:eastAsia="仿宋" w:cs="仿宋"/>
                <w:color w:val="000000" w:themeColor="text1"/>
                <w:sz w:val="24"/>
                <w:szCs w:val="24"/>
                <w:highlight w:val="none"/>
                <w:lang w:val="zh-CN"/>
              </w:rPr>
            </w:pPr>
            <w:r>
              <w:rPr>
                <w:rFonts w:hint="eastAsia" w:ascii="仿宋" w:hAnsi="仿宋" w:eastAsia="仿宋" w:cs="仿宋"/>
                <w:b/>
                <w:bCs/>
                <w:color w:val="000000" w:themeColor="text1"/>
                <w:sz w:val="24"/>
                <w:szCs w:val="24"/>
                <w:highlight w:val="none"/>
              </w:rPr>
              <w:t>商务技术部分得分F2（满分85分）</w:t>
            </w:r>
          </w:p>
        </w:tc>
      </w:tr>
      <w:tr w14:paraId="61494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2124" w:type="dxa"/>
            <w:gridSpan w:val="2"/>
            <w:vAlign w:val="center"/>
          </w:tcPr>
          <w:p w14:paraId="16F983B8">
            <w:pPr>
              <w:adjustRightInd w:val="0"/>
              <w:spacing w:line="360" w:lineRule="auto"/>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服务标准</w:t>
            </w:r>
          </w:p>
          <w:p w14:paraId="502F50C8">
            <w:pPr>
              <w:adjustRightInd w:val="0"/>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指标响应</w:t>
            </w:r>
          </w:p>
          <w:p w14:paraId="4CE8C529">
            <w:pPr>
              <w:adjustRightInd w:val="0"/>
              <w:spacing w:line="360" w:lineRule="auto"/>
              <w:jc w:val="center"/>
              <w:rPr>
                <w:rFonts w:ascii="仿宋" w:hAnsi="仿宋" w:eastAsia="仿宋" w:cs="仿宋"/>
                <w:b/>
                <w:bCs/>
                <w:color w:val="000000" w:themeColor="text1"/>
                <w:sz w:val="24"/>
                <w:szCs w:val="24"/>
                <w:highlight w:val="none"/>
              </w:rPr>
            </w:pPr>
            <w:r>
              <w:rPr>
                <w:rFonts w:hint="eastAsia" w:ascii="仿宋" w:hAnsi="仿宋" w:eastAsia="仿宋" w:cs="仿宋"/>
                <w:color w:val="000000" w:themeColor="text1"/>
                <w:sz w:val="24"/>
                <w:szCs w:val="24"/>
                <w:highlight w:val="none"/>
              </w:rPr>
              <w:t>（</w:t>
            </w:r>
            <w:r>
              <w:rPr>
                <w:rFonts w:hint="eastAsia" w:ascii="仿宋" w:hAnsi="仿宋" w:eastAsia="仿宋" w:cs="仿宋"/>
                <w:color w:val="000000" w:themeColor="text1"/>
                <w:sz w:val="24"/>
                <w:szCs w:val="24"/>
                <w:highlight w:val="none"/>
                <w:lang w:val="en-US" w:eastAsia="zh-CN"/>
              </w:rPr>
              <w:t>48</w:t>
            </w:r>
            <w:r>
              <w:rPr>
                <w:rFonts w:hint="eastAsia" w:ascii="仿宋" w:hAnsi="仿宋" w:eastAsia="仿宋" w:cs="仿宋"/>
                <w:color w:val="000000" w:themeColor="text1"/>
                <w:sz w:val="24"/>
                <w:szCs w:val="24"/>
                <w:highlight w:val="none"/>
              </w:rPr>
              <w:t>分）</w:t>
            </w:r>
          </w:p>
        </w:tc>
        <w:tc>
          <w:tcPr>
            <w:tcW w:w="7121" w:type="dxa"/>
            <w:gridSpan w:val="2"/>
            <w:vAlign w:val="center"/>
          </w:tcPr>
          <w:p w14:paraId="1A1B521A">
            <w:pPr>
              <w:spacing w:line="360" w:lineRule="auto"/>
              <w:rPr>
                <w:rFonts w:eastAsia="Times New Roman"/>
                <w:highlight w:val="none"/>
              </w:rPr>
            </w:pPr>
            <w:r>
              <w:rPr>
                <w:rFonts w:hint="eastAsia" w:ascii="仿宋" w:hAnsi="仿宋" w:eastAsia="仿宋" w:cs="仿宋"/>
                <w:color w:val="000000" w:themeColor="text1"/>
                <w:sz w:val="24"/>
                <w:szCs w:val="24"/>
                <w:highlight w:val="none"/>
              </w:rPr>
              <w:t>根据《采购需求》中技术需求，标有“★”部分参数为重要技术服务项，需提供满足招标文件要求的证明材料，不满足一项扣2分，本项分值扣完为止。</w:t>
            </w:r>
          </w:p>
        </w:tc>
      </w:tr>
      <w:tr w14:paraId="4D1A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2124" w:type="dxa"/>
            <w:gridSpan w:val="2"/>
            <w:vAlign w:val="center"/>
          </w:tcPr>
          <w:p w14:paraId="038B972B">
            <w:pPr>
              <w:adjustRightInd w:val="0"/>
              <w:spacing w:line="360" w:lineRule="auto"/>
              <w:jc w:val="cente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总体服务方案</w:t>
            </w:r>
          </w:p>
          <w:p w14:paraId="686AF67B">
            <w:pPr>
              <w:adjustRightInd w:val="0"/>
              <w:spacing w:line="360" w:lineRule="auto"/>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评审评分</w:t>
            </w:r>
          </w:p>
          <w:p w14:paraId="509CF0D4">
            <w:pPr>
              <w:adjustRightInd w:val="0"/>
              <w:spacing w:line="360" w:lineRule="auto"/>
              <w:jc w:val="center"/>
              <w:rPr>
                <w:rFonts w:ascii="仿宋" w:hAnsi="仿宋" w:eastAsia="Times New Roman" w:cs="仿宋"/>
                <w:b/>
                <w:bCs/>
                <w:color w:val="000000" w:themeColor="text1"/>
                <w:sz w:val="24"/>
                <w:szCs w:val="24"/>
                <w:highlight w:val="none"/>
              </w:rPr>
            </w:pPr>
            <w:r>
              <w:rPr>
                <w:rFonts w:hint="eastAsia" w:ascii="仿宋" w:hAnsi="仿宋" w:eastAsia="仿宋" w:cs="仿宋"/>
                <w:color w:val="000000" w:themeColor="text1"/>
                <w:sz w:val="24"/>
                <w:szCs w:val="24"/>
                <w:highlight w:val="none"/>
              </w:rPr>
              <w:t>（10分）</w:t>
            </w:r>
          </w:p>
        </w:tc>
        <w:tc>
          <w:tcPr>
            <w:tcW w:w="7121" w:type="dxa"/>
            <w:gridSpan w:val="2"/>
            <w:vAlign w:val="center"/>
          </w:tcPr>
          <w:p w14:paraId="050DAA26">
            <w:pPr>
              <w:spacing w:line="360" w:lineRule="auto"/>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A.根据本项目采购需求，提出的总体方案内容完整、需求分析精准、思路清晰、针对性强，优于采购需求的，得10分</w:t>
            </w:r>
            <w:r>
              <w:rPr>
                <w:rFonts w:hint="eastAsia" w:ascii="仿宋" w:hAnsi="仿宋" w:eastAsia="仿宋" w:cs="仿宋"/>
                <w:color w:val="000000" w:themeColor="text1"/>
                <w:sz w:val="24"/>
                <w:szCs w:val="24"/>
                <w:highlight w:val="none"/>
                <w:lang w:val="en-US" w:eastAsia="zh-CN"/>
              </w:rPr>
              <w:t>；</w:t>
            </w:r>
          </w:p>
          <w:p w14:paraId="5BB900E9">
            <w:pPr>
              <w:spacing w:line="360" w:lineRule="auto"/>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B.根据本项目采购需求，提出的总体方案完整程度一般，有需求分析但内容一般，思路基本清晰，针对性一般，基本满足采购需求的，得7分</w:t>
            </w:r>
            <w:r>
              <w:rPr>
                <w:rFonts w:hint="eastAsia" w:ascii="仿宋" w:hAnsi="仿宋" w:eastAsia="仿宋" w:cs="仿宋"/>
                <w:color w:val="000000" w:themeColor="text1"/>
                <w:sz w:val="24"/>
                <w:szCs w:val="24"/>
                <w:highlight w:val="none"/>
                <w:lang w:val="en-US" w:eastAsia="zh-CN"/>
              </w:rPr>
              <w:t>；</w:t>
            </w:r>
          </w:p>
          <w:p w14:paraId="3C735CC0">
            <w:pPr>
              <w:spacing w:line="360" w:lineRule="auto"/>
              <w:rPr>
                <w:rFonts w:hint="eastAsia" w:ascii="仿宋" w:hAnsi="仿宋" w:eastAsia="仿宋" w:cs="仿宋"/>
                <w:color w:val="000000" w:themeColor="text1"/>
                <w:sz w:val="24"/>
                <w:szCs w:val="24"/>
                <w:highlight w:val="none"/>
                <w:lang w:eastAsia="zh-CN"/>
              </w:rPr>
            </w:pPr>
            <w:r>
              <w:rPr>
                <w:rFonts w:hint="eastAsia" w:ascii="仿宋" w:hAnsi="仿宋" w:eastAsia="仿宋" w:cs="仿宋"/>
                <w:color w:val="000000" w:themeColor="text1"/>
                <w:sz w:val="24"/>
                <w:szCs w:val="24"/>
                <w:highlight w:val="none"/>
              </w:rPr>
              <w:t>C.根据本项目采购需求，提出的总体方案内容简单或空洞，需求分析不到位，针对性差，难以满足采购需求的，得4分</w:t>
            </w:r>
            <w:r>
              <w:rPr>
                <w:rFonts w:hint="eastAsia" w:ascii="仿宋" w:hAnsi="仿宋" w:eastAsia="仿宋" w:cs="仿宋"/>
                <w:color w:val="000000" w:themeColor="text1"/>
                <w:sz w:val="24"/>
                <w:szCs w:val="24"/>
                <w:highlight w:val="none"/>
                <w:lang w:val="en-US" w:eastAsia="zh-CN"/>
              </w:rPr>
              <w:t>；</w:t>
            </w:r>
          </w:p>
          <w:p w14:paraId="1C72E473">
            <w:pPr>
              <w:spacing w:line="360" w:lineRule="auto"/>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sz w:val="24"/>
                <w:szCs w:val="24"/>
                <w:highlight w:val="none"/>
              </w:rPr>
              <w:t>D.根据本项目采购需求，提出的总体方案内容简单或空洞或有漏洞或有瑕疵，需求分析简单，无针对性，不满足采购需求的，得1分。</w:t>
            </w:r>
          </w:p>
        </w:tc>
      </w:tr>
      <w:tr w14:paraId="20A1A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2124" w:type="dxa"/>
            <w:gridSpan w:val="2"/>
            <w:vAlign w:val="center"/>
          </w:tcPr>
          <w:p w14:paraId="4BF2CB68">
            <w:pPr>
              <w:adjustRightInd w:val="0"/>
              <w:spacing w:line="400" w:lineRule="exact"/>
              <w:jc w:val="center"/>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服务团队评审</w:t>
            </w:r>
          </w:p>
          <w:p w14:paraId="0A8A4838">
            <w:pPr>
              <w:adjustRightInd w:val="0"/>
              <w:spacing w:line="400" w:lineRule="exact"/>
              <w:jc w:val="center"/>
              <w:rPr>
                <w:rFonts w:ascii="仿宋" w:hAnsi="仿宋" w:eastAsia="仿宋" w:cs="仿宋"/>
                <w:b/>
                <w:bCs/>
                <w:color w:val="000000" w:themeColor="text1"/>
                <w:kern w:val="0"/>
                <w:sz w:val="24"/>
                <w:szCs w:val="24"/>
                <w:highlight w:val="none"/>
                <w:lang w:val="zh-TW"/>
              </w:rPr>
            </w:pPr>
            <w:r>
              <w:rPr>
                <w:rFonts w:hint="eastAsia" w:ascii="仿宋" w:hAnsi="仿宋" w:eastAsia="仿宋" w:cs="仿宋"/>
                <w:color w:val="000000" w:themeColor="text1"/>
                <w:sz w:val="24"/>
                <w:szCs w:val="24"/>
                <w:highlight w:val="none"/>
              </w:rPr>
              <w:t>（</w:t>
            </w:r>
            <w:r>
              <w:rPr>
                <w:rFonts w:hint="eastAsia" w:ascii="仿宋" w:hAnsi="仿宋" w:eastAsia="仿宋" w:cs="仿宋"/>
                <w:color w:val="000000" w:themeColor="text1"/>
                <w:sz w:val="24"/>
                <w:szCs w:val="24"/>
                <w:highlight w:val="none"/>
                <w:lang w:val="en-US" w:eastAsia="zh-CN"/>
              </w:rPr>
              <w:t>7</w:t>
            </w:r>
            <w:r>
              <w:rPr>
                <w:rFonts w:hint="eastAsia" w:ascii="仿宋" w:hAnsi="仿宋" w:eastAsia="仿宋" w:cs="仿宋"/>
                <w:color w:val="000000" w:themeColor="text1"/>
                <w:sz w:val="24"/>
                <w:szCs w:val="24"/>
                <w:highlight w:val="none"/>
              </w:rPr>
              <w:t>分）</w:t>
            </w:r>
          </w:p>
        </w:tc>
        <w:tc>
          <w:tcPr>
            <w:tcW w:w="7121" w:type="dxa"/>
            <w:gridSpan w:val="2"/>
            <w:vAlign w:val="center"/>
          </w:tcPr>
          <w:p w14:paraId="0E93CE1C">
            <w:pPr>
              <w:spacing w:line="360" w:lineRule="auto"/>
              <w:rPr>
                <w:rFonts w:hint="eastAsia" w:ascii="仿宋" w:hAnsi="仿宋" w:eastAsia="仿宋" w:cs="仿宋"/>
                <w:color w:val="000000" w:themeColor="text1"/>
                <w:kern w:val="0"/>
                <w:sz w:val="24"/>
                <w:szCs w:val="24"/>
                <w:highlight w:val="none"/>
                <w:lang w:eastAsia="zh-CN"/>
              </w:rPr>
            </w:pPr>
            <w:r>
              <w:rPr>
                <w:rFonts w:hint="eastAsia" w:ascii="仿宋" w:hAnsi="仿宋" w:eastAsia="仿宋" w:cs="仿宋"/>
                <w:color w:val="000000" w:themeColor="text1"/>
                <w:kern w:val="0"/>
                <w:sz w:val="24"/>
                <w:szCs w:val="24"/>
                <w:highlight w:val="none"/>
              </w:rPr>
              <w:t>A.拟派本项目的服务人员齐全，职责分工明确，经验丰富，综合素质及专业技术水平较优，从业年限长，经过专门培训，相应职称及相关资格证书齐全，其中专职维修工程师不少于10人，项目负责人及维保技术人员均参与过类似维保项目，能完全满足项目要求，得</w:t>
            </w:r>
            <w:r>
              <w:rPr>
                <w:rFonts w:hint="eastAsia" w:ascii="仿宋" w:hAnsi="仿宋" w:eastAsia="仿宋" w:cs="仿宋"/>
                <w:color w:val="000000" w:themeColor="text1"/>
                <w:kern w:val="0"/>
                <w:sz w:val="24"/>
                <w:szCs w:val="24"/>
                <w:highlight w:val="none"/>
                <w:lang w:val="en-US" w:eastAsia="zh-CN"/>
              </w:rPr>
              <w:t>7</w:t>
            </w:r>
            <w:r>
              <w:rPr>
                <w:rFonts w:hint="eastAsia" w:ascii="仿宋" w:hAnsi="仿宋" w:eastAsia="仿宋" w:cs="仿宋"/>
                <w:color w:val="000000" w:themeColor="text1"/>
                <w:kern w:val="0"/>
                <w:sz w:val="24"/>
                <w:szCs w:val="24"/>
                <w:highlight w:val="none"/>
              </w:rPr>
              <w:t>分</w:t>
            </w:r>
            <w:r>
              <w:rPr>
                <w:rFonts w:hint="eastAsia" w:ascii="仿宋" w:hAnsi="仿宋" w:eastAsia="仿宋" w:cs="仿宋"/>
                <w:color w:val="000000" w:themeColor="text1"/>
                <w:kern w:val="0"/>
                <w:sz w:val="24"/>
                <w:szCs w:val="24"/>
                <w:highlight w:val="none"/>
                <w:lang w:val="en-US" w:eastAsia="zh-CN"/>
              </w:rPr>
              <w:t>；</w:t>
            </w:r>
          </w:p>
          <w:p w14:paraId="60D86B51">
            <w:pPr>
              <w:spacing w:line="360" w:lineRule="auto"/>
              <w:rPr>
                <w:rFonts w:hint="eastAsia" w:ascii="仿宋" w:hAnsi="仿宋" w:eastAsia="仿宋" w:cs="仿宋"/>
                <w:color w:val="000000" w:themeColor="text1"/>
                <w:kern w:val="0"/>
                <w:sz w:val="24"/>
                <w:szCs w:val="24"/>
                <w:highlight w:val="none"/>
                <w:lang w:eastAsia="zh-CN"/>
              </w:rPr>
            </w:pPr>
            <w:r>
              <w:rPr>
                <w:rFonts w:hint="eastAsia" w:ascii="仿宋" w:hAnsi="仿宋" w:eastAsia="仿宋" w:cs="仿宋"/>
                <w:color w:val="000000" w:themeColor="text1"/>
                <w:sz w:val="24"/>
                <w:szCs w:val="24"/>
                <w:highlight w:val="none"/>
              </w:rPr>
              <w:t>B.</w:t>
            </w:r>
            <w:r>
              <w:rPr>
                <w:rFonts w:hint="eastAsia" w:ascii="仿宋" w:hAnsi="仿宋" w:eastAsia="仿宋" w:cs="仿宋"/>
                <w:color w:val="000000" w:themeColor="text1"/>
                <w:kern w:val="0"/>
                <w:sz w:val="24"/>
                <w:szCs w:val="24"/>
                <w:highlight w:val="none"/>
              </w:rPr>
              <w:t>拟派本项目的服务人员相对齐全，职责分工较明确，经验较好，综合素质及管理能力较好，从业年限较长，相应的职称及相关资格证书较为齐全，其中专职维修工程师不少于</w:t>
            </w:r>
            <w:r>
              <w:rPr>
                <w:rFonts w:hint="eastAsia" w:ascii="仿宋" w:hAnsi="仿宋" w:eastAsia="仿宋" w:cs="仿宋"/>
                <w:color w:val="000000" w:themeColor="text1"/>
                <w:kern w:val="0"/>
                <w:sz w:val="24"/>
                <w:szCs w:val="24"/>
                <w:highlight w:val="none"/>
                <w:lang w:val="en-US" w:eastAsia="zh-CN"/>
              </w:rPr>
              <w:t>7</w:t>
            </w:r>
            <w:r>
              <w:rPr>
                <w:rFonts w:hint="eastAsia" w:ascii="仿宋" w:hAnsi="仿宋" w:eastAsia="仿宋" w:cs="仿宋"/>
                <w:color w:val="000000" w:themeColor="text1"/>
                <w:kern w:val="0"/>
                <w:sz w:val="24"/>
                <w:szCs w:val="24"/>
                <w:highlight w:val="none"/>
              </w:rPr>
              <w:t>人；投入项目负责人或维保技术人员参与过类似维保项目，基本能满足项目要求，</w:t>
            </w:r>
            <w:r>
              <w:rPr>
                <w:rFonts w:hint="eastAsia" w:ascii="仿宋" w:hAnsi="仿宋" w:eastAsia="仿宋" w:cs="仿宋"/>
                <w:color w:val="000000" w:themeColor="text1"/>
                <w:sz w:val="24"/>
                <w:szCs w:val="24"/>
                <w:highlight w:val="none"/>
              </w:rPr>
              <w:t>得</w:t>
            </w:r>
            <w:r>
              <w:rPr>
                <w:rFonts w:hint="eastAsia" w:ascii="仿宋" w:hAnsi="仿宋" w:eastAsia="仿宋" w:cs="仿宋"/>
                <w:color w:val="000000" w:themeColor="text1"/>
                <w:sz w:val="24"/>
                <w:szCs w:val="24"/>
                <w:highlight w:val="none"/>
                <w:lang w:val="en-US" w:eastAsia="zh-CN"/>
              </w:rPr>
              <w:t>5</w:t>
            </w:r>
            <w:r>
              <w:rPr>
                <w:rFonts w:hint="eastAsia" w:ascii="仿宋" w:hAnsi="仿宋" w:eastAsia="仿宋" w:cs="仿宋"/>
                <w:color w:val="000000" w:themeColor="text1"/>
                <w:sz w:val="24"/>
                <w:szCs w:val="24"/>
                <w:highlight w:val="none"/>
              </w:rPr>
              <w:t>分</w:t>
            </w:r>
            <w:r>
              <w:rPr>
                <w:rFonts w:hint="eastAsia" w:ascii="仿宋" w:hAnsi="仿宋" w:eastAsia="仿宋" w:cs="仿宋"/>
                <w:color w:val="000000" w:themeColor="text1"/>
                <w:sz w:val="24"/>
                <w:szCs w:val="24"/>
                <w:highlight w:val="none"/>
                <w:lang w:val="en-US" w:eastAsia="zh-CN"/>
              </w:rPr>
              <w:t>；</w:t>
            </w:r>
          </w:p>
          <w:p w14:paraId="4830BACD">
            <w:pPr>
              <w:spacing w:line="360" w:lineRule="auto"/>
              <w:rPr>
                <w:rFonts w:hint="eastAsia" w:ascii="仿宋" w:hAnsi="仿宋" w:eastAsia="仿宋" w:cs="仿宋"/>
                <w:color w:val="000000" w:themeColor="text1"/>
                <w:kern w:val="0"/>
                <w:sz w:val="24"/>
                <w:szCs w:val="24"/>
                <w:highlight w:val="none"/>
                <w:lang w:eastAsia="zh-CN"/>
              </w:rPr>
            </w:pPr>
            <w:r>
              <w:rPr>
                <w:rFonts w:hint="eastAsia" w:ascii="仿宋" w:hAnsi="仿宋" w:eastAsia="仿宋" w:cs="仿宋"/>
                <w:color w:val="000000" w:themeColor="text1"/>
                <w:sz w:val="24"/>
                <w:szCs w:val="24"/>
                <w:highlight w:val="none"/>
              </w:rPr>
              <w:t>C</w:t>
            </w:r>
            <w:r>
              <w:rPr>
                <w:rFonts w:hint="eastAsia" w:ascii="仿宋" w:hAnsi="仿宋" w:eastAsia="仿宋" w:cs="仿宋"/>
                <w:color w:val="000000" w:themeColor="text1"/>
                <w:sz w:val="24"/>
                <w:szCs w:val="24"/>
                <w:highlight w:val="none"/>
              </w:rPr>
              <w:t>.</w:t>
            </w:r>
            <w:r>
              <w:rPr>
                <w:rFonts w:hint="eastAsia" w:ascii="仿宋" w:hAnsi="仿宋" w:eastAsia="仿宋" w:cs="仿宋"/>
                <w:color w:val="000000" w:themeColor="text1"/>
                <w:kern w:val="0"/>
                <w:sz w:val="24"/>
                <w:szCs w:val="24"/>
                <w:highlight w:val="none"/>
              </w:rPr>
              <w:t>拟派本项目的服务人员基本齐全，职责分工不够明确，经验一般，综合素质及管理能力一般，从业年限一般，职称及相关资格证书不全，相关工作经验不足，其中专职维修工程师不少于</w:t>
            </w:r>
            <w:r>
              <w:rPr>
                <w:rFonts w:hint="eastAsia" w:ascii="仿宋" w:hAnsi="仿宋" w:eastAsia="仿宋" w:cs="仿宋"/>
                <w:color w:val="000000" w:themeColor="text1"/>
                <w:kern w:val="0"/>
                <w:sz w:val="24"/>
                <w:szCs w:val="24"/>
                <w:highlight w:val="none"/>
                <w:lang w:val="en-US" w:eastAsia="zh-CN"/>
              </w:rPr>
              <w:t>4</w:t>
            </w:r>
            <w:r>
              <w:rPr>
                <w:rFonts w:hint="eastAsia" w:ascii="仿宋" w:hAnsi="仿宋" w:eastAsia="仿宋" w:cs="仿宋"/>
                <w:color w:val="000000" w:themeColor="text1"/>
                <w:kern w:val="0"/>
                <w:sz w:val="24"/>
                <w:szCs w:val="24"/>
                <w:highlight w:val="none"/>
              </w:rPr>
              <w:t>人；投入项目负责人及维保技术人员未参与过类似维保项目，</w:t>
            </w:r>
            <w:r>
              <w:rPr>
                <w:rFonts w:hint="eastAsia" w:ascii="仿宋" w:hAnsi="仿宋" w:eastAsia="仿宋" w:cs="仿宋"/>
                <w:color w:val="000000" w:themeColor="text1"/>
                <w:sz w:val="24"/>
                <w:szCs w:val="24"/>
                <w:highlight w:val="none"/>
              </w:rPr>
              <w:t>得</w:t>
            </w:r>
            <w:r>
              <w:rPr>
                <w:rFonts w:hint="eastAsia" w:ascii="仿宋" w:hAnsi="仿宋" w:eastAsia="仿宋" w:cs="仿宋"/>
                <w:color w:val="000000" w:themeColor="text1"/>
                <w:sz w:val="24"/>
                <w:szCs w:val="24"/>
                <w:highlight w:val="none"/>
                <w:lang w:val="en-US" w:eastAsia="zh-CN"/>
              </w:rPr>
              <w:t>3</w:t>
            </w:r>
            <w:r>
              <w:rPr>
                <w:rFonts w:hint="eastAsia" w:ascii="仿宋" w:hAnsi="仿宋" w:eastAsia="仿宋" w:cs="仿宋"/>
                <w:color w:val="000000" w:themeColor="text1"/>
                <w:sz w:val="24"/>
                <w:szCs w:val="24"/>
                <w:highlight w:val="none"/>
              </w:rPr>
              <w:t>分</w:t>
            </w:r>
            <w:r>
              <w:rPr>
                <w:rFonts w:hint="eastAsia" w:ascii="仿宋" w:hAnsi="仿宋" w:eastAsia="仿宋" w:cs="仿宋"/>
                <w:color w:val="000000" w:themeColor="text1"/>
                <w:sz w:val="24"/>
                <w:szCs w:val="24"/>
                <w:highlight w:val="none"/>
                <w:lang w:val="en-US" w:eastAsia="zh-CN"/>
              </w:rPr>
              <w:t>；</w:t>
            </w:r>
          </w:p>
          <w:p w14:paraId="2A5178AA">
            <w:pPr>
              <w:spacing w:line="360" w:lineRule="auto"/>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注：投标人须提供项目服务团队成员的身份证、学历证、《劳动合同》或社保证明（2024年1月1日至今任意1个月）、职称证（如有）、相关资格证书（如有）。</w:t>
            </w:r>
          </w:p>
        </w:tc>
      </w:tr>
      <w:tr w14:paraId="5F0B0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2E6E52EE">
            <w:pPr>
              <w:spacing w:line="360" w:lineRule="auto"/>
              <w:jc w:val="center"/>
              <w:rPr>
                <w:rFonts w:hint="eastAsia" w:ascii="仿宋" w:hAnsi="仿宋" w:eastAsia="仿宋" w:cs="仿宋"/>
                <w:color w:val="000000" w:themeColor="text1"/>
                <w:kern w:val="0"/>
                <w:sz w:val="24"/>
                <w:szCs w:val="24"/>
                <w:highlight w:val="none"/>
                <w:lang w:val="zh-TW"/>
              </w:rPr>
            </w:pPr>
            <w:r>
              <w:rPr>
                <w:rFonts w:hint="eastAsia" w:ascii="仿宋" w:hAnsi="仿宋" w:eastAsia="仿宋" w:cs="仿宋"/>
                <w:color w:val="000000" w:themeColor="text1"/>
                <w:kern w:val="0"/>
                <w:sz w:val="24"/>
                <w:szCs w:val="24"/>
                <w:highlight w:val="none"/>
                <w:lang w:val="zh-TW"/>
              </w:rPr>
              <w:t>质量保障及</w:t>
            </w:r>
          </w:p>
          <w:p w14:paraId="0719818D">
            <w:pPr>
              <w:spacing w:line="360" w:lineRule="auto"/>
              <w:jc w:val="center"/>
              <w:rPr>
                <w:rFonts w:ascii="仿宋" w:hAnsi="仿宋" w:eastAsia="仿宋" w:cs="仿宋"/>
                <w:color w:val="000000" w:themeColor="text1"/>
                <w:kern w:val="0"/>
                <w:sz w:val="24"/>
                <w:szCs w:val="24"/>
                <w:highlight w:val="none"/>
                <w:lang w:val="zh-TW"/>
              </w:rPr>
            </w:pPr>
            <w:r>
              <w:rPr>
                <w:rFonts w:hint="eastAsia" w:ascii="仿宋" w:hAnsi="仿宋" w:eastAsia="仿宋" w:cs="仿宋"/>
                <w:color w:val="000000" w:themeColor="text1"/>
                <w:kern w:val="0"/>
                <w:sz w:val="24"/>
                <w:szCs w:val="24"/>
                <w:highlight w:val="none"/>
                <w:lang w:val="zh-TW"/>
              </w:rPr>
              <w:t>违约承诺</w:t>
            </w:r>
          </w:p>
          <w:p w14:paraId="02BC685E">
            <w:pPr>
              <w:spacing w:line="360" w:lineRule="auto"/>
              <w:jc w:val="center"/>
              <w:rPr>
                <w:rFonts w:ascii="仿宋" w:hAnsi="仿宋" w:eastAsia="仿宋" w:cs="仿宋"/>
                <w:b/>
                <w:bCs/>
                <w:color w:val="000000" w:themeColor="text1"/>
                <w:kern w:val="0"/>
                <w:sz w:val="24"/>
                <w:szCs w:val="24"/>
                <w:highlight w:val="none"/>
              </w:rPr>
            </w:pPr>
            <w:r>
              <w:rPr>
                <w:rFonts w:hint="eastAsia" w:ascii="仿宋" w:hAnsi="仿宋" w:eastAsia="仿宋" w:cs="仿宋"/>
                <w:color w:val="000000" w:themeColor="text1"/>
                <w:kern w:val="0"/>
                <w:sz w:val="24"/>
                <w:szCs w:val="24"/>
                <w:highlight w:val="none"/>
                <w:lang w:val="zh-TW"/>
              </w:rPr>
              <w:t>（</w:t>
            </w:r>
            <w:r>
              <w:rPr>
                <w:rFonts w:hint="eastAsia" w:ascii="仿宋" w:hAnsi="仿宋" w:eastAsia="仿宋" w:cs="仿宋"/>
                <w:color w:val="000000" w:themeColor="text1"/>
                <w:kern w:val="0"/>
                <w:sz w:val="24"/>
                <w:szCs w:val="24"/>
                <w:highlight w:val="none"/>
              </w:rPr>
              <w:t>5</w:t>
            </w:r>
            <w:r>
              <w:rPr>
                <w:rFonts w:hint="eastAsia" w:ascii="仿宋" w:hAnsi="仿宋" w:eastAsia="仿宋" w:cs="仿宋"/>
                <w:color w:val="000000" w:themeColor="text1"/>
                <w:kern w:val="0"/>
                <w:sz w:val="24"/>
                <w:szCs w:val="24"/>
                <w:highlight w:val="none"/>
                <w:lang w:val="zh-TW"/>
              </w:rPr>
              <w:t>分）</w:t>
            </w:r>
          </w:p>
        </w:tc>
        <w:tc>
          <w:tcPr>
            <w:tcW w:w="7121" w:type="dxa"/>
            <w:gridSpan w:val="2"/>
            <w:vAlign w:val="center"/>
          </w:tcPr>
          <w:p w14:paraId="14C03DEC">
            <w:pPr>
              <w:spacing w:line="360" w:lineRule="auto"/>
              <w:rPr>
                <w:rFonts w:hint="eastAsia" w:ascii="仿宋" w:hAnsi="仿宋" w:eastAsia="仿宋" w:cs="仿宋"/>
                <w:color w:val="000000" w:themeColor="text1"/>
                <w:kern w:val="0"/>
                <w:sz w:val="24"/>
                <w:szCs w:val="24"/>
                <w:highlight w:val="none"/>
                <w:lang w:eastAsia="zh-CN"/>
              </w:rPr>
            </w:pPr>
            <w:r>
              <w:rPr>
                <w:rFonts w:hint="eastAsia" w:ascii="仿宋" w:hAnsi="仿宋" w:eastAsia="仿宋" w:cs="仿宋"/>
                <w:color w:val="000000" w:themeColor="text1"/>
                <w:kern w:val="0"/>
                <w:sz w:val="24"/>
                <w:szCs w:val="24"/>
                <w:highlight w:val="none"/>
              </w:rPr>
              <w:t>A.能够及时按量供应原厂零配件和提供相应的备品备件，有具体、详细的质量管理措施、进度保障措施、服务响应性措施、违约责任措施且合理、可行，能较好的满足本项目要求,</w:t>
            </w:r>
            <w:r>
              <w:rPr>
                <w:rFonts w:hint="eastAsia" w:ascii="仿宋" w:hAnsi="仿宋" w:eastAsia="仿宋" w:cs="仿宋"/>
                <w:color w:val="000000" w:themeColor="text1"/>
                <w:sz w:val="24"/>
                <w:szCs w:val="24"/>
                <w:highlight w:val="none"/>
              </w:rPr>
              <w:t>得5分</w:t>
            </w:r>
            <w:r>
              <w:rPr>
                <w:rFonts w:hint="eastAsia" w:ascii="仿宋" w:hAnsi="仿宋" w:eastAsia="仿宋" w:cs="仿宋"/>
                <w:color w:val="000000" w:themeColor="text1"/>
                <w:kern w:val="0"/>
                <w:sz w:val="24"/>
                <w:szCs w:val="24"/>
                <w:highlight w:val="none"/>
                <w:lang w:val="en-US" w:eastAsia="zh-CN"/>
              </w:rPr>
              <w:t>；</w:t>
            </w:r>
          </w:p>
          <w:p w14:paraId="4FE8BD62">
            <w:pPr>
              <w:spacing w:line="360" w:lineRule="auto"/>
              <w:rPr>
                <w:rFonts w:hint="eastAsia" w:ascii="仿宋" w:hAnsi="仿宋" w:eastAsia="仿宋" w:cs="仿宋"/>
                <w:color w:val="000000" w:themeColor="text1"/>
                <w:kern w:val="0"/>
                <w:sz w:val="24"/>
                <w:szCs w:val="24"/>
                <w:highlight w:val="none"/>
                <w:lang w:eastAsia="zh-CN"/>
              </w:rPr>
            </w:pPr>
            <w:r>
              <w:rPr>
                <w:rFonts w:hint="eastAsia" w:ascii="仿宋" w:hAnsi="仿宋" w:eastAsia="仿宋" w:cs="仿宋"/>
                <w:color w:val="000000" w:themeColor="text1"/>
                <w:kern w:val="0"/>
                <w:sz w:val="24"/>
                <w:szCs w:val="24"/>
                <w:highlight w:val="none"/>
              </w:rPr>
              <w:t>B.能够按时按量供应原厂零配件，但不能及时提供备品备件，有质量管理措施、进度保障措施、服务响应性措施、违约责任措施但不具体、全面，能基本满足本项目要求，</w:t>
            </w:r>
            <w:r>
              <w:rPr>
                <w:rFonts w:hint="eastAsia" w:ascii="仿宋" w:hAnsi="仿宋" w:eastAsia="仿宋" w:cs="仿宋"/>
                <w:color w:val="000000" w:themeColor="text1"/>
                <w:sz w:val="24"/>
                <w:szCs w:val="24"/>
                <w:highlight w:val="none"/>
              </w:rPr>
              <w:t>得3分</w:t>
            </w:r>
            <w:r>
              <w:rPr>
                <w:rFonts w:hint="eastAsia" w:ascii="仿宋" w:hAnsi="仿宋" w:eastAsia="仿宋" w:cs="仿宋"/>
                <w:color w:val="000000" w:themeColor="text1"/>
                <w:kern w:val="0"/>
                <w:sz w:val="24"/>
                <w:szCs w:val="24"/>
                <w:highlight w:val="none"/>
                <w:lang w:val="en-US" w:eastAsia="zh-CN"/>
              </w:rPr>
              <w:t>；</w:t>
            </w:r>
          </w:p>
          <w:p w14:paraId="706112D2">
            <w:pPr>
              <w:spacing w:line="360" w:lineRule="auto"/>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C.不能按时按量供应零配件和备品备件，质量保证措施及违约承诺较粗略、不合理，</w:t>
            </w:r>
            <w:r>
              <w:rPr>
                <w:rFonts w:hint="eastAsia" w:ascii="仿宋" w:hAnsi="仿宋" w:eastAsia="仿宋" w:cs="仿宋"/>
                <w:color w:val="000000" w:themeColor="text1"/>
                <w:sz w:val="24"/>
                <w:szCs w:val="24"/>
                <w:highlight w:val="none"/>
              </w:rPr>
              <w:t>得1分</w:t>
            </w:r>
            <w:r>
              <w:rPr>
                <w:rFonts w:hint="eastAsia" w:ascii="仿宋" w:hAnsi="仿宋" w:eastAsia="仿宋" w:cs="仿宋"/>
                <w:color w:val="000000" w:themeColor="text1"/>
                <w:kern w:val="0"/>
                <w:sz w:val="24"/>
                <w:szCs w:val="24"/>
                <w:highlight w:val="none"/>
              </w:rPr>
              <w:t>。</w:t>
            </w:r>
          </w:p>
          <w:p w14:paraId="043CD9EB">
            <w:pPr>
              <w:spacing w:line="360" w:lineRule="auto"/>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注：未提供的不得分。</w:t>
            </w:r>
          </w:p>
        </w:tc>
      </w:tr>
      <w:tr w14:paraId="704A0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652175B9">
            <w:pPr>
              <w:spacing w:line="360" w:lineRule="auto"/>
              <w:jc w:val="center"/>
              <w:rPr>
                <w:rFonts w:hint="eastAsia"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服务能力及</w:t>
            </w:r>
          </w:p>
          <w:p w14:paraId="72DCFA30">
            <w:pPr>
              <w:spacing w:line="360" w:lineRule="auto"/>
              <w:jc w:val="center"/>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培训方案</w:t>
            </w:r>
          </w:p>
          <w:p w14:paraId="6248AE65">
            <w:pPr>
              <w:spacing w:line="360" w:lineRule="auto"/>
              <w:jc w:val="center"/>
              <w:rPr>
                <w:rFonts w:ascii="仿宋" w:hAnsi="仿宋" w:eastAsia="仿宋" w:cs="仿宋"/>
                <w:color w:val="000000" w:themeColor="text1"/>
                <w:kern w:val="0"/>
                <w:sz w:val="24"/>
                <w:szCs w:val="24"/>
                <w:highlight w:val="none"/>
                <w:lang w:val="zh-TW"/>
              </w:rPr>
            </w:pPr>
            <w:r>
              <w:rPr>
                <w:rFonts w:hint="eastAsia" w:ascii="仿宋" w:hAnsi="仿宋" w:eastAsia="仿宋" w:cs="仿宋"/>
                <w:color w:val="000000" w:themeColor="text1"/>
                <w:kern w:val="0"/>
                <w:sz w:val="24"/>
                <w:szCs w:val="24"/>
                <w:highlight w:val="none"/>
              </w:rPr>
              <w:t>（5分）</w:t>
            </w:r>
          </w:p>
        </w:tc>
        <w:tc>
          <w:tcPr>
            <w:tcW w:w="7121" w:type="dxa"/>
            <w:gridSpan w:val="2"/>
            <w:vAlign w:val="center"/>
          </w:tcPr>
          <w:p w14:paraId="1EE9D07F">
            <w:pPr>
              <w:spacing w:line="360" w:lineRule="auto"/>
              <w:rPr>
                <w:rFonts w:hint="eastAsia" w:ascii="仿宋" w:hAnsi="仿宋" w:eastAsia="仿宋" w:cs="仿宋"/>
                <w:color w:val="000000" w:themeColor="text1"/>
                <w:kern w:val="0"/>
                <w:sz w:val="24"/>
                <w:szCs w:val="24"/>
                <w:highlight w:val="none"/>
                <w:lang w:eastAsia="zh-CN"/>
              </w:rPr>
            </w:pPr>
            <w:r>
              <w:rPr>
                <w:rFonts w:hint="eastAsia" w:ascii="仿宋" w:hAnsi="仿宋" w:eastAsia="仿宋" w:cs="仿宋"/>
                <w:color w:val="000000" w:themeColor="text1"/>
                <w:kern w:val="0"/>
                <w:sz w:val="24"/>
                <w:szCs w:val="24"/>
                <w:highlight w:val="none"/>
              </w:rPr>
              <w:t>A.定期预防性检查方案非常细致、全面，可操作性强,具有完善的管理流程和先进管理理念,故障管理处理方案和响应时间非常细致、全面，各种故障处理预案准备充分,维护工具配备齐全,设备使用及维护保修培训方案详细具体，得5分</w:t>
            </w:r>
            <w:r>
              <w:rPr>
                <w:rFonts w:hint="eastAsia" w:ascii="仿宋" w:hAnsi="仿宋" w:eastAsia="仿宋" w:cs="仿宋"/>
                <w:color w:val="000000" w:themeColor="text1"/>
                <w:kern w:val="0"/>
                <w:sz w:val="24"/>
                <w:szCs w:val="24"/>
                <w:highlight w:val="none"/>
                <w:lang w:val="en-US" w:eastAsia="zh-CN"/>
              </w:rPr>
              <w:t>；</w:t>
            </w:r>
          </w:p>
          <w:p w14:paraId="1FFC5E76">
            <w:pPr>
              <w:spacing w:line="360" w:lineRule="auto"/>
              <w:rPr>
                <w:rFonts w:hint="eastAsia" w:ascii="仿宋" w:hAnsi="仿宋" w:eastAsia="仿宋" w:cs="仿宋"/>
                <w:color w:val="000000" w:themeColor="text1"/>
                <w:kern w:val="0"/>
                <w:sz w:val="24"/>
                <w:szCs w:val="24"/>
                <w:highlight w:val="none"/>
                <w:lang w:eastAsia="zh-CN"/>
              </w:rPr>
            </w:pPr>
            <w:r>
              <w:rPr>
                <w:rFonts w:hint="eastAsia" w:ascii="仿宋" w:hAnsi="仿宋" w:eastAsia="仿宋" w:cs="仿宋"/>
                <w:color w:val="000000" w:themeColor="text1"/>
                <w:kern w:val="0"/>
                <w:sz w:val="24"/>
                <w:szCs w:val="24"/>
                <w:highlight w:val="none"/>
              </w:rPr>
              <w:t>B.定期预防性检查方案比较细致，可操作性较好,管理流程和管理理念一般,故障管理处理方案和响应时间比较细致，各种故障处理预案准备比较充分,维护工具配备较为齐全,设备使用及维护保修培训方案主要内容具体，针对性一般，得3分</w:t>
            </w:r>
            <w:r>
              <w:rPr>
                <w:rFonts w:hint="eastAsia" w:ascii="仿宋" w:hAnsi="仿宋" w:eastAsia="仿宋" w:cs="仿宋"/>
                <w:color w:val="000000" w:themeColor="text1"/>
                <w:kern w:val="0"/>
                <w:sz w:val="24"/>
                <w:szCs w:val="24"/>
                <w:highlight w:val="none"/>
                <w:lang w:val="en-US" w:eastAsia="zh-CN"/>
              </w:rPr>
              <w:t>；</w:t>
            </w:r>
          </w:p>
          <w:p w14:paraId="7DBE758B">
            <w:pPr>
              <w:spacing w:line="360" w:lineRule="auto"/>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C.定期预防性检查方案不够细致，可操作性不强,管理流程和管理理念较差；故障管理处理方案和响应时间不够细致，各种故障处理预案准备不够充分,缺乏针对性；维护工具配备不够齐全；设备使用及维护保修培训方案不全面，得1分。</w:t>
            </w:r>
          </w:p>
          <w:p w14:paraId="345035B3">
            <w:pPr>
              <w:spacing w:line="360" w:lineRule="auto"/>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注：未提供的不得分。</w:t>
            </w:r>
          </w:p>
        </w:tc>
      </w:tr>
      <w:tr w14:paraId="103A2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4" w:type="dxa"/>
            <w:gridSpan w:val="2"/>
            <w:vAlign w:val="center"/>
          </w:tcPr>
          <w:p w14:paraId="158B26E9">
            <w:pPr>
              <w:spacing w:line="360" w:lineRule="auto"/>
              <w:jc w:val="center"/>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应急措施方案</w:t>
            </w:r>
          </w:p>
          <w:p w14:paraId="2C5ADA64">
            <w:pPr>
              <w:spacing w:line="360" w:lineRule="auto"/>
              <w:jc w:val="center"/>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（5分）</w:t>
            </w:r>
          </w:p>
        </w:tc>
        <w:tc>
          <w:tcPr>
            <w:tcW w:w="7121" w:type="dxa"/>
            <w:gridSpan w:val="2"/>
            <w:vAlign w:val="center"/>
          </w:tcPr>
          <w:p w14:paraId="49F95432">
            <w:pPr>
              <w:spacing w:line="360" w:lineRule="auto"/>
              <w:rPr>
                <w:rFonts w:hint="eastAsia" w:ascii="仿宋" w:hAnsi="仿宋" w:eastAsia="仿宋" w:cs="仿宋"/>
                <w:color w:val="000000" w:themeColor="text1"/>
                <w:kern w:val="0"/>
                <w:sz w:val="24"/>
                <w:szCs w:val="24"/>
                <w:highlight w:val="none"/>
                <w:lang w:eastAsia="zh-CN"/>
              </w:rPr>
            </w:pPr>
            <w:r>
              <w:rPr>
                <w:rFonts w:hint="eastAsia" w:ascii="仿宋" w:hAnsi="仿宋" w:eastAsia="仿宋" w:cs="仿宋"/>
                <w:color w:val="000000" w:themeColor="text1"/>
                <w:kern w:val="0"/>
                <w:sz w:val="24"/>
                <w:szCs w:val="24"/>
                <w:highlight w:val="none"/>
              </w:rPr>
              <w:t>A.维保过程中出现应急突发情况，应急措施全面、细致、合理，能提供有效应对方案，得5分</w:t>
            </w:r>
            <w:r>
              <w:rPr>
                <w:rFonts w:hint="eastAsia" w:ascii="仿宋" w:hAnsi="仿宋" w:eastAsia="仿宋" w:cs="仿宋"/>
                <w:color w:val="000000" w:themeColor="text1"/>
                <w:kern w:val="0"/>
                <w:sz w:val="24"/>
                <w:szCs w:val="24"/>
                <w:highlight w:val="none"/>
                <w:lang w:val="en-US" w:eastAsia="zh-CN"/>
              </w:rPr>
              <w:t>；</w:t>
            </w:r>
          </w:p>
          <w:p w14:paraId="1A43BB47">
            <w:pPr>
              <w:spacing w:line="360" w:lineRule="auto"/>
              <w:rPr>
                <w:rFonts w:hint="eastAsia" w:ascii="仿宋" w:hAnsi="仿宋" w:eastAsia="仿宋" w:cs="仿宋"/>
                <w:color w:val="000000" w:themeColor="text1"/>
                <w:kern w:val="0"/>
                <w:sz w:val="24"/>
                <w:szCs w:val="24"/>
                <w:highlight w:val="none"/>
                <w:lang w:eastAsia="zh-CN"/>
              </w:rPr>
            </w:pPr>
            <w:r>
              <w:rPr>
                <w:rFonts w:hint="eastAsia" w:ascii="仿宋" w:hAnsi="仿宋" w:eastAsia="仿宋" w:cs="仿宋"/>
                <w:color w:val="000000" w:themeColor="text1"/>
                <w:kern w:val="0"/>
                <w:sz w:val="24"/>
                <w:szCs w:val="24"/>
                <w:highlight w:val="none"/>
              </w:rPr>
              <w:t>B.维保过程中出现应急突发情况，应急措施一般、提供的应对方案较为可行，得3分</w:t>
            </w:r>
            <w:r>
              <w:rPr>
                <w:rFonts w:hint="eastAsia" w:ascii="仿宋" w:hAnsi="仿宋" w:eastAsia="仿宋" w:cs="仿宋"/>
                <w:color w:val="000000" w:themeColor="text1"/>
                <w:kern w:val="0"/>
                <w:sz w:val="24"/>
                <w:szCs w:val="24"/>
                <w:highlight w:val="none"/>
                <w:lang w:val="en-US" w:eastAsia="zh-CN"/>
              </w:rPr>
              <w:t>；</w:t>
            </w:r>
          </w:p>
          <w:p w14:paraId="25E1DA1E">
            <w:pPr>
              <w:spacing w:line="360" w:lineRule="auto"/>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C.维保过程中出现应急突发情况，应急措施不全面、不合理，无应对方案，得1分。</w:t>
            </w:r>
          </w:p>
          <w:p w14:paraId="708B444C">
            <w:pPr>
              <w:spacing w:line="360" w:lineRule="auto"/>
              <w:rPr>
                <w:rFonts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注：未提供的不得分。</w:t>
            </w:r>
          </w:p>
        </w:tc>
      </w:tr>
      <w:tr w14:paraId="36FD7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7" w:hRule="atLeast"/>
        </w:trPr>
        <w:tc>
          <w:tcPr>
            <w:tcW w:w="2124" w:type="dxa"/>
            <w:gridSpan w:val="2"/>
            <w:vAlign w:val="center"/>
          </w:tcPr>
          <w:p w14:paraId="69A6C282">
            <w:pPr>
              <w:spacing w:line="360" w:lineRule="auto"/>
              <w:jc w:val="center"/>
              <w:rPr>
                <w:rFonts w:hint="default" w:ascii="仿宋" w:hAnsi="仿宋" w:eastAsia="仿宋" w:cs="仿宋"/>
                <w:color w:val="000000" w:themeColor="text1"/>
                <w:kern w:val="0"/>
                <w:sz w:val="24"/>
                <w:szCs w:val="24"/>
                <w:highlight w:val="none"/>
                <w:lang w:val="en-US"/>
              </w:rPr>
            </w:pPr>
            <w:r>
              <w:rPr>
                <w:rFonts w:hint="eastAsia" w:ascii="仿宋" w:hAnsi="仿宋" w:eastAsia="仿宋" w:cs="仿宋"/>
                <w:color w:val="000000" w:themeColor="text1"/>
                <w:kern w:val="0"/>
                <w:sz w:val="24"/>
                <w:szCs w:val="24"/>
                <w:highlight w:val="none"/>
              </w:rPr>
              <w:t>企业</w:t>
            </w:r>
            <w:r>
              <w:rPr>
                <w:rFonts w:hint="eastAsia" w:ascii="仿宋" w:hAnsi="仿宋" w:eastAsia="仿宋" w:cs="仿宋"/>
                <w:color w:val="000000" w:themeColor="text1"/>
                <w:kern w:val="0"/>
                <w:sz w:val="24"/>
                <w:szCs w:val="24"/>
                <w:highlight w:val="none"/>
                <w:lang w:val="en-US" w:eastAsia="zh-CN"/>
              </w:rPr>
              <w:t>履约能力</w:t>
            </w:r>
          </w:p>
          <w:p w14:paraId="413AD36D">
            <w:pPr>
              <w:spacing w:line="360" w:lineRule="auto"/>
              <w:jc w:val="center"/>
              <w:rPr>
                <w:rFonts w:hint="eastAsia" w:ascii="仿宋" w:hAnsi="仿宋" w:eastAsia="仿宋" w:cs="仿宋"/>
                <w:color w:val="FF0000"/>
                <w:kern w:val="0"/>
                <w:sz w:val="24"/>
                <w:szCs w:val="24"/>
                <w:highlight w:val="none"/>
              </w:rPr>
            </w:pPr>
            <w:r>
              <w:rPr>
                <w:rFonts w:hint="eastAsia" w:ascii="仿宋" w:hAnsi="仿宋" w:eastAsia="仿宋" w:cs="仿宋"/>
                <w:color w:val="000000" w:themeColor="text1"/>
                <w:kern w:val="0"/>
                <w:sz w:val="24"/>
                <w:szCs w:val="24"/>
                <w:highlight w:val="none"/>
              </w:rPr>
              <w:t>(</w:t>
            </w:r>
            <w:r>
              <w:rPr>
                <w:rFonts w:hint="eastAsia" w:ascii="仿宋" w:hAnsi="仿宋" w:eastAsia="仿宋" w:cs="仿宋"/>
                <w:color w:val="000000" w:themeColor="text1"/>
                <w:kern w:val="0"/>
                <w:sz w:val="24"/>
                <w:szCs w:val="24"/>
                <w:highlight w:val="none"/>
                <w:lang w:val="en-US" w:eastAsia="zh-CN"/>
              </w:rPr>
              <w:t>5</w:t>
            </w:r>
            <w:r>
              <w:rPr>
                <w:rFonts w:hint="eastAsia" w:ascii="仿宋" w:hAnsi="仿宋" w:eastAsia="仿宋" w:cs="仿宋"/>
                <w:color w:val="000000" w:themeColor="text1"/>
                <w:kern w:val="0"/>
                <w:sz w:val="24"/>
                <w:szCs w:val="24"/>
                <w:highlight w:val="none"/>
              </w:rPr>
              <w:t>分)</w:t>
            </w:r>
          </w:p>
        </w:tc>
        <w:tc>
          <w:tcPr>
            <w:tcW w:w="7121" w:type="dxa"/>
            <w:gridSpan w:val="2"/>
            <w:vAlign w:val="center"/>
          </w:tcPr>
          <w:p w14:paraId="34425821">
            <w:pPr>
              <w:spacing w:line="360" w:lineRule="auto"/>
              <w:rPr>
                <w:rFonts w:hint="eastAsia"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lang w:val="en-US" w:eastAsia="zh-CN"/>
              </w:rPr>
              <w:t>1.</w:t>
            </w:r>
            <w:r>
              <w:rPr>
                <w:rFonts w:hint="eastAsia" w:ascii="仿宋" w:hAnsi="仿宋" w:eastAsia="仿宋" w:cs="仿宋"/>
                <w:color w:val="000000" w:themeColor="text1"/>
                <w:kern w:val="0"/>
                <w:sz w:val="24"/>
                <w:szCs w:val="24"/>
                <w:highlight w:val="none"/>
              </w:rPr>
              <w:t>根据投标人提供的相关证书进行评审</w:t>
            </w:r>
            <w:r>
              <w:rPr>
                <w:rFonts w:hint="eastAsia" w:ascii="仿宋" w:hAnsi="仿宋" w:eastAsia="仿宋" w:cs="仿宋"/>
                <w:color w:val="000000" w:themeColor="text1"/>
                <w:kern w:val="0"/>
                <w:sz w:val="24"/>
                <w:szCs w:val="24"/>
                <w:highlight w:val="none"/>
                <w:lang w:eastAsia="zh-CN"/>
              </w:rPr>
              <w:t>（</w:t>
            </w:r>
            <w:r>
              <w:rPr>
                <w:rFonts w:hint="eastAsia" w:ascii="仿宋" w:hAnsi="仿宋" w:eastAsia="仿宋" w:cs="仿宋"/>
                <w:color w:val="000000" w:themeColor="text1"/>
                <w:kern w:val="0"/>
                <w:sz w:val="24"/>
                <w:szCs w:val="24"/>
                <w:highlight w:val="none"/>
                <w:lang w:val="en-US" w:eastAsia="zh-CN"/>
              </w:rPr>
              <w:t>3分</w:t>
            </w:r>
            <w:r>
              <w:rPr>
                <w:rFonts w:hint="eastAsia" w:ascii="仿宋" w:hAnsi="仿宋" w:eastAsia="仿宋" w:cs="仿宋"/>
                <w:color w:val="000000" w:themeColor="text1"/>
                <w:kern w:val="0"/>
                <w:sz w:val="24"/>
                <w:szCs w:val="24"/>
                <w:highlight w:val="none"/>
                <w:lang w:eastAsia="zh-CN"/>
              </w:rPr>
              <w:t>）</w:t>
            </w:r>
            <w:r>
              <w:rPr>
                <w:rFonts w:hint="eastAsia" w:ascii="仿宋" w:hAnsi="仿宋" w:eastAsia="仿宋" w:cs="仿宋"/>
                <w:color w:val="000000" w:themeColor="text1"/>
                <w:kern w:val="0"/>
                <w:sz w:val="24"/>
                <w:szCs w:val="24"/>
                <w:highlight w:val="none"/>
              </w:rPr>
              <w:t>:</w:t>
            </w:r>
          </w:p>
          <w:p w14:paraId="052EA83B">
            <w:pPr>
              <w:spacing w:line="360" w:lineRule="auto"/>
              <w:rPr>
                <w:rFonts w:hint="eastAsia"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A.提供《IS013485医疗器械质量管理体系认证证书》、《IS019600合规管理体系认证证书》或《ISO03701合规管理体系认证证书》、《中国设备维修安装企业能力等级证书》、《GB/T27922-2011售后服务认证证书(五星)》其中4个证书的企业得3分。</w:t>
            </w:r>
          </w:p>
          <w:p w14:paraId="538E224F">
            <w:pPr>
              <w:spacing w:line="360" w:lineRule="auto"/>
              <w:rPr>
                <w:rFonts w:hint="eastAsia"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B.提供《IS013485医疗器械质量管理体系认证证书》、《IS019600合规管理体系认证证书》或《ISO03701合规管理体系认证证书》、《中国设备维修安装企业能力等级证书》、《GB/T27922-2011售后服务认证证书(五星)》其中3个证书的企业得2分。</w:t>
            </w:r>
          </w:p>
          <w:p w14:paraId="63EABD91">
            <w:pPr>
              <w:spacing w:line="360" w:lineRule="auto"/>
              <w:rPr>
                <w:rFonts w:hint="eastAsia"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C.提供《IS013485医疗器械质量管理体系认证证书》、《IS019600合规管理体系认证证书》》或《ISO03701合规管理体系认证证书》、《中国设备维修安装企业能力等级证书》、《GB/T27922-2011售后服务认证证书(五星)》其中1至2个证书的企业得1分。</w:t>
            </w:r>
          </w:p>
          <w:p w14:paraId="17B39906">
            <w:pPr>
              <w:spacing w:line="360" w:lineRule="auto"/>
              <w:rPr>
                <w:rFonts w:hint="eastAsia"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注：未提供的不得分。</w:t>
            </w:r>
          </w:p>
          <w:p w14:paraId="1F16BB9A">
            <w:pPr>
              <w:spacing w:line="360" w:lineRule="auto"/>
              <w:rPr>
                <w:rFonts w:hint="eastAsia" w:ascii="仿宋" w:hAnsi="仿宋" w:eastAsia="仿宋" w:cs="仿宋"/>
                <w:color w:val="000000" w:themeColor="text1"/>
                <w:kern w:val="0"/>
                <w:sz w:val="24"/>
                <w:szCs w:val="24"/>
                <w:highlight w:val="none"/>
              </w:rPr>
            </w:pPr>
            <w:r>
              <w:rPr>
                <w:rFonts w:hint="eastAsia" w:ascii="仿宋" w:hAnsi="仿宋" w:eastAsia="仿宋" w:cs="仿宋"/>
                <w:color w:val="000000" w:themeColor="text1"/>
                <w:kern w:val="0"/>
                <w:sz w:val="24"/>
                <w:szCs w:val="24"/>
                <w:highlight w:val="none"/>
              </w:rPr>
              <w:t>注:提供认证文件原件扫描件，同时提供证书查询网址及查询截图，上述资料提供不全不得分。</w:t>
            </w:r>
          </w:p>
          <w:p w14:paraId="262AC76A">
            <w:pPr>
              <w:spacing w:line="360" w:lineRule="auto"/>
              <w:rPr>
                <w:rFonts w:hint="eastAsia" w:ascii="仿宋" w:hAnsi="仿宋" w:eastAsia="仿宋" w:cs="宋体"/>
                <w:color w:val="FF0000"/>
                <w:sz w:val="24"/>
                <w:szCs w:val="24"/>
                <w:highlight w:val="none"/>
              </w:rPr>
            </w:pPr>
            <w:r>
              <w:rPr>
                <w:rFonts w:hint="eastAsia" w:ascii="仿宋" w:hAnsi="仿宋" w:eastAsia="仿宋" w:cs="仿宋"/>
                <w:color w:val="000000" w:themeColor="text1"/>
                <w:kern w:val="0"/>
                <w:sz w:val="24"/>
                <w:szCs w:val="24"/>
                <w:highlight w:val="none"/>
                <w:lang w:val="en-US" w:eastAsia="zh-CN"/>
              </w:rPr>
              <w:t>2.</w:t>
            </w:r>
            <w:r>
              <w:rPr>
                <w:rFonts w:hint="eastAsia" w:ascii="仿宋" w:hAnsi="仿宋" w:eastAsia="仿宋" w:cs="仿宋"/>
                <w:color w:val="000000" w:themeColor="text1"/>
                <w:kern w:val="0"/>
                <w:sz w:val="24"/>
                <w:szCs w:val="24"/>
                <w:highlight w:val="none"/>
              </w:rPr>
              <w:t>投标人提供国家版权局颁发的计算机软件著作权登记书，得2分。</w:t>
            </w:r>
          </w:p>
        </w:tc>
      </w:tr>
    </w:tbl>
    <w:p w14:paraId="4385225B">
      <w:pPr>
        <w:autoSpaceDE w:val="0"/>
        <w:spacing w:line="360" w:lineRule="auto"/>
        <w:rPr>
          <w:rFonts w:ascii="仿宋" w:hAnsi="仿宋" w:eastAsia="仿宋"/>
          <w:b/>
          <w:bCs/>
          <w:color w:val="000000"/>
          <w:sz w:val="24"/>
          <w:szCs w:val="24"/>
          <w:highlight w:val="none"/>
        </w:rPr>
      </w:pPr>
      <w:r>
        <w:rPr>
          <w:rFonts w:hint="eastAsia" w:ascii="仿宋" w:hAnsi="仿宋" w:eastAsia="仿宋"/>
          <w:b/>
          <w:bCs/>
          <w:color w:val="000000"/>
          <w:sz w:val="24"/>
          <w:szCs w:val="24"/>
          <w:highlight w:val="none"/>
        </w:rPr>
        <w:t>1.评标方法：</w:t>
      </w:r>
    </w:p>
    <w:p w14:paraId="7A43B610">
      <w:pPr>
        <w:autoSpaceDE w:val="0"/>
        <w:spacing w:line="360" w:lineRule="auto"/>
        <w:jc w:val="left"/>
        <w:rPr>
          <w:rFonts w:ascii="仿宋" w:hAnsi="仿宋" w:eastAsia="仿宋"/>
          <w:color w:val="000000"/>
          <w:sz w:val="24"/>
          <w:szCs w:val="24"/>
          <w:highlight w:val="none"/>
        </w:rPr>
      </w:pPr>
      <w:r>
        <w:rPr>
          <w:rFonts w:hint="eastAsia" w:ascii="仿宋" w:hAnsi="仿宋" w:eastAsia="仿宋"/>
          <w:b/>
          <w:color w:val="000000"/>
          <w:sz w:val="24"/>
          <w:szCs w:val="24"/>
          <w:highlight w:val="none"/>
        </w:rPr>
        <w:t>1.1本次评标采用综合评分法。</w:t>
      </w:r>
      <w:r>
        <w:rPr>
          <w:rFonts w:hint="eastAsia" w:ascii="仿宋" w:hAnsi="仿宋" w:eastAsia="仿宋"/>
          <w:color w:val="000000"/>
          <w:sz w:val="24"/>
          <w:szCs w:val="24"/>
          <w:highlight w:val="none"/>
        </w:rPr>
        <w:t>评标委员会对满足招标文件实质性要求的投标文件，按照本章前附表规定的评分标准进行打分，并按上述评标总得分计算公式计算评标总得分，按评标总得分由高到低的顺序推荐中标候选人排序；评标总得分相等时，按商务技术部分得分由高到低顺序排序；评标总得分相等且技术部分得分相同时，按投标报价由低到高顺序排序。</w:t>
      </w:r>
    </w:p>
    <w:p w14:paraId="7A55761D">
      <w:pPr>
        <w:pStyle w:val="9"/>
        <w:autoSpaceDE w:val="0"/>
        <w:spacing w:line="360" w:lineRule="auto"/>
        <w:rPr>
          <w:rFonts w:ascii="仿宋" w:hAnsi="仿宋" w:eastAsia="仿宋"/>
          <w:b/>
          <w:bCs/>
          <w:color w:val="000000"/>
          <w:sz w:val="24"/>
          <w:szCs w:val="24"/>
          <w:highlight w:val="none"/>
        </w:rPr>
      </w:pPr>
      <w:r>
        <w:rPr>
          <w:rFonts w:hint="eastAsia" w:ascii="仿宋" w:hAnsi="仿宋" w:eastAsia="仿宋"/>
          <w:b/>
          <w:bCs/>
          <w:color w:val="000000"/>
          <w:sz w:val="24"/>
          <w:szCs w:val="24"/>
          <w:highlight w:val="none"/>
        </w:rPr>
        <w:t>2. 评审程序和标准</w:t>
      </w:r>
    </w:p>
    <w:p w14:paraId="2603F451">
      <w:pPr>
        <w:pStyle w:val="9"/>
        <w:autoSpaceDE w:val="0"/>
        <w:spacing w:line="360" w:lineRule="auto"/>
        <w:rPr>
          <w:rFonts w:ascii="仿宋" w:hAnsi="仿宋" w:eastAsia="仿宋"/>
          <w:color w:val="000000"/>
          <w:sz w:val="24"/>
          <w:szCs w:val="24"/>
          <w:highlight w:val="none"/>
        </w:rPr>
      </w:pPr>
      <w:r>
        <w:rPr>
          <w:rFonts w:hint="eastAsia" w:ascii="仿宋" w:hAnsi="仿宋" w:eastAsia="仿宋"/>
          <w:b/>
          <w:bCs/>
          <w:color w:val="000000"/>
          <w:sz w:val="24"/>
          <w:szCs w:val="24"/>
          <w:highlight w:val="none"/>
        </w:rPr>
        <w:t>2.1资格审查、符合性审查</w:t>
      </w:r>
    </w:p>
    <w:p w14:paraId="7EC29918">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2.1.1资格审查：采购人或者采购代理机构依据法律法规和招标文件的规定，对投标文件中的资格证明文件进行审查（具体详见《评标方法前附表》），有一项不符合的，该投标文件按无效投标处理。</w:t>
      </w:r>
    </w:p>
    <w:p w14:paraId="24742FA0">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2.1.2符合性审查：评标委员会依据招标文件的规定，对符合资格的投标人的投标文件进行符合性审查（具体详见《评标方法前附表》），有一项不符合的，该投标文件按无效投标处理。</w:t>
      </w:r>
    </w:p>
    <w:p w14:paraId="37CC9A1E">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2.1.3符合本章第2.1.1、2.1.2项规定的投标文件视为符合招标文件的商务、技术等实质性要求评审，可以进行技术和商务评估，综合比较与评价。</w:t>
      </w:r>
    </w:p>
    <w:p w14:paraId="54D7A86D">
      <w:pPr>
        <w:pStyle w:val="4"/>
        <w:keepLines w:val="0"/>
        <w:autoSpaceDE w:val="0"/>
        <w:spacing w:before="0" w:after="0" w:line="360" w:lineRule="auto"/>
        <w:rPr>
          <w:rFonts w:ascii="仿宋" w:hAnsi="仿宋" w:eastAsia="仿宋"/>
          <w:color w:val="000000"/>
          <w:sz w:val="24"/>
          <w:szCs w:val="24"/>
          <w:highlight w:val="none"/>
        </w:rPr>
      </w:pPr>
      <w:bookmarkStart w:id="51" w:name="_Toc321836408"/>
      <w:bookmarkEnd w:id="51"/>
      <w:bookmarkStart w:id="52" w:name="_Toc489145775"/>
      <w:bookmarkEnd w:id="52"/>
      <w:bookmarkStart w:id="53" w:name="_Toc489197879"/>
      <w:r>
        <w:rPr>
          <w:rFonts w:hint="eastAsia" w:ascii="仿宋" w:hAnsi="仿宋" w:eastAsia="仿宋"/>
          <w:color w:val="000000"/>
          <w:sz w:val="24"/>
          <w:szCs w:val="24"/>
          <w:highlight w:val="none"/>
        </w:rPr>
        <w:t>2.2 分值构成与评分标准</w:t>
      </w:r>
      <w:bookmarkEnd w:id="53"/>
    </w:p>
    <w:p w14:paraId="53CD0F6A">
      <w:pPr>
        <w:autoSpaceDE w:val="0"/>
        <w:spacing w:line="360" w:lineRule="auto"/>
        <w:jc w:val="left"/>
        <w:rPr>
          <w:rFonts w:ascii="仿宋" w:hAnsi="仿宋" w:eastAsia="仿宋"/>
          <w:color w:val="000000"/>
          <w:sz w:val="24"/>
          <w:szCs w:val="24"/>
          <w:highlight w:val="none"/>
        </w:rPr>
      </w:pPr>
      <w:bookmarkStart w:id="54" w:name="_Toc321836409"/>
      <w:bookmarkEnd w:id="54"/>
      <w:bookmarkStart w:id="55" w:name="_Toc489197880"/>
      <w:bookmarkEnd w:id="55"/>
      <w:bookmarkStart w:id="56" w:name="_Toc489145776"/>
      <w:r>
        <w:rPr>
          <w:rFonts w:hint="eastAsia" w:ascii="仿宋" w:hAnsi="仿宋" w:eastAsia="仿宋"/>
          <w:color w:val="000000"/>
          <w:sz w:val="24"/>
          <w:szCs w:val="24"/>
          <w:highlight w:val="none"/>
        </w:rPr>
        <w:t>2.2.1 分值构成</w:t>
      </w:r>
      <w:bookmarkEnd w:id="56"/>
    </w:p>
    <w:p w14:paraId="2C7752CC">
      <w:pPr>
        <w:autoSpaceDE w:val="0"/>
        <w:spacing w:line="360" w:lineRule="auto"/>
        <w:ind w:firstLine="240" w:firstLineChars="1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（1）投标报价：详见《评标方法前附表》；</w:t>
      </w:r>
    </w:p>
    <w:p w14:paraId="135CD324">
      <w:pPr>
        <w:autoSpaceDE w:val="0"/>
        <w:spacing w:line="360" w:lineRule="auto"/>
        <w:ind w:firstLine="240" w:firstLineChars="1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（2）商务技术部分：详见《评标方法前附表》；</w:t>
      </w:r>
    </w:p>
    <w:p w14:paraId="41E325C2">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2.2.2 评标基准价计算方法：详见《评标方法前附表》。</w:t>
      </w:r>
    </w:p>
    <w:p w14:paraId="26AFFB3E">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2.2.3 评分标准</w:t>
      </w:r>
    </w:p>
    <w:p w14:paraId="2935937A">
      <w:pPr>
        <w:autoSpaceDE w:val="0"/>
        <w:spacing w:line="360" w:lineRule="auto"/>
        <w:ind w:firstLine="480" w:firstLineChars="2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按招标文件中规定的评标方法和标准，对满足招标文件实质性要求评审的投标文件进行技术和商务评估，综合比较与评价。</w:t>
      </w:r>
    </w:p>
    <w:p w14:paraId="07768040">
      <w:pPr>
        <w:autoSpaceDE w:val="0"/>
        <w:spacing w:line="360" w:lineRule="auto"/>
        <w:ind w:firstLine="240" w:firstLineChars="1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（1）投标报价评分标准：详见《评标方法前附表》；</w:t>
      </w:r>
    </w:p>
    <w:p w14:paraId="321A368F">
      <w:pPr>
        <w:autoSpaceDE w:val="0"/>
        <w:spacing w:line="360" w:lineRule="auto"/>
        <w:ind w:firstLine="240" w:firstLineChars="1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（2）商务技术部分评分标准：详见《评标方法前附表》；</w:t>
      </w:r>
    </w:p>
    <w:p w14:paraId="69E1081D">
      <w:pPr>
        <w:pStyle w:val="4"/>
        <w:keepLines w:val="0"/>
        <w:autoSpaceD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2.3综合比较与评价</w:t>
      </w:r>
    </w:p>
    <w:p w14:paraId="3EED2D6A">
      <w:pPr>
        <w:autoSpaceDE w:val="0"/>
        <w:spacing w:line="360" w:lineRule="auto"/>
        <w:jc w:val="left"/>
        <w:rPr>
          <w:rFonts w:ascii="仿宋" w:hAnsi="仿宋" w:eastAsia="仿宋"/>
          <w:color w:val="000000"/>
          <w:sz w:val="24"/>
          <w:szCs w:val="24"/>
          <w:highlight w:val="none"/>
        </w:rPr>
      </w:pPr>
      <w:bookmarkStart w:id="57" w:name="_Toc489145777"/>
      <w:bookmarkEnd w:id="57"/>
      <w:bookmarkStart w:id="58" w:name="_Toc321836412"/>
      <w:bookmarkEnd w:id="58"/>
      <w:bookmarkStart w:id="59" w:name="_Toc489197881"/>
      <w:r>
        <w:rPr>
          <w:rFonts w:hint="eastAsia" w:ascii="仿宋" w:hAnsi="仿宋" w:eastAsia="仿宋"/>
          <w:color w:val="000000"/>
          <w:sz w:val="24"/>
          <w:szCs w:val="24"/>
          <w:highlight w:val="none"/>
        </w:rPr>
        <w:t>2.3.1 评标委员会按本章2.2.3规定的评分标准进行打分，并计算出投标人的评标总得分。对投标人的价格分等客观评分项的评分应当一致，对其他需要借助专业知识评判的主观评分项，应当严格按照评分细则公正评分。</w:t>
      </w:r>
      <w:bookmarkEnd w:id="59"/>
    </w:p>
    <w:p w14:paraId="08686582">
      <w:pPr>
        <w:autoSpaceDE w:val="0"/>
        <w:spacing w:line="360" w:lineRule="auto"/>
        <w:ind w:firstLine="240" w:firstLineChars="1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（1）按本章《评标方法前附表》的规定对投标报价计算出得分F1；</w:t>
      </w:r>
    </w:p>
    <w:p w14:paraId="0F3DE5D9">
      <w:pPr>
        <w:autoSpaceDE w:val="0"/>
        <w:spacing w:line="360" w:lineRule="auto"/>
        <w:ind w:firstLine="240" w:firstLineChars="1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（2）按本章《评标方法前附表》的规定对商务技术部分评分，得分F2；</w:t>
      </w:r>
    </w:p>
    <w:p w14:paraId="54DDC010">
      <w:pPr>
        <w:autoSpaceDE w:val="0"/>
        <w:spacing w:line="360" w:lineRule="auto"/>
        <w:ind w:firstLine="240" w:firstLineChars="1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（3）按本章《评标方法前附表》的规定计算评标总得分。</w:t>
      </w:r>
    </w:p>
    <w:p w14:paraId="0953E2EF">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2.3.2商务技术部分（F2）得分由评标委员会成员独立评分，投标人各项评分因素得分为该项因素各评委评分的算术平均值（保留小数点后两位），小数点后第三位“四舍五入”。</w:t>
      </w:r>
    </w:p>
    <w:p w14:paraId="3E07BC9A">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4B2B3641">
      <w:pPr>
        <w:pStyle w:val="4"/>
        <w:keepLines w:val="0"/>
        <w:autoSpaceD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2.4投标文件的澄清 </w:t>
      </w:r>
    </w:p>
    <w:p w14:paraId="3D2AEFDA">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2.4.1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负责人）或其授权的代表签字。投标人的澄清、说明或者补正不得超出投标文件的范围或者改变投标文件的实质性内容。</w:t>
      </w:r>
    </w:p>
    <w:p w14:paraId="41B386FE">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2.4.2评标委员会不接受投标人主动提出的澄清、说明或者补正。</w:t>
      </w:r>
    </w:p>
    <w:p w14:paraId="3CCDCF0C">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2.4.3 评标委员会对投标人提交的澄清、说明或者补正有疑问的，可以要求投标人进一步澄清、说明或者补正。</w:t>
      </w:r>
    </w:p>
    <w:p w14:paraId="5118075F">
      <w:pPr>
        <w:autoSpaceDE w:val="0"/>
        <w:spacing w:line="360" w:lineRule="auto"/>
        <w:jc w:val="left"/>
        <w:rPr>
          <w:rFonts w:ascii="仿宋" w:hAnsi="仿宋" w:eastAsia="仿宋"/>
          <w:b/>
          <w:bCs/>
          <w:color w:val="000000"/>
          <w:sz w:val="24"/>
          <w:szCs w:val="24"/>
          <w:highlight w:val="none"/>
        </w:rPr>
      </w:pPr>
      <w:bookmarkStart w:id="60" w:name="_Toc489197882"/>
      <w:bookmarkEnd w:id="60"/>
      <w:bookmarkStart w:id="61" w:name="_Toc489145778"/>
      <w:bookmarkEnd w:id="61"/>
      <w:bookmarkStart w:id="62" w:name="_Toc321836413"/>
      <w:r>
        <w:rPr>
          <w:rFonts w:hint="eastAsia" w:ascii="仿宋" w:hAnsi="仿宋" w:eastAsia="仿宋"/>
          <w:b/>
          <w:bCs/>
          <w:color w:val="000000"/>
          <w:sz w:val="24"/>
          <w:szCs w:val="24"/>
          <w:highlight w:val="none"/>
        </w:rPr>
        <w:t>2.5</w:t>
      </w:r>
      <w:bookmarkEnd w:id="62"/>
      <w:r>
        <w:rPr>
          <w:rFonts w:hint="eastAsia" w:ascii="仿宋" w:hAnsi="仿宋" w:eastAsia="仿宋"/>
          <w:b/>
          <w:bCs/>
          <w:color w:val="000000"/>
          <w:sz w:val="24"/>
          <w:szCs w:val="24"/>
          <w:highlight w:val="none"/>
        </w:rPr>
        <w:t>报价过低情形澄清</w:t>
      </w:r>
    </w:p>
    <w:p w14:paraId="40AE2D4B">
      <w:pPr>
        <w:autoSpaceDE w:val="0"/>
        <w:spacing w:line="360" w:lineRule="auto"/>
        <w:ind w:firstLine="480" w:firstLineChars="2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75EC8524">
      <w:pPr>
        <w:pStyle w:val="4"/>
        <w:keepLines w:val="0"/>
        <w:autoSpaceD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2.6评标结果</w:t>
      </w:r>
    </w:p>
    <w:p w14:paraId="7D7469C1">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2.6.1评标委员会按评标总得分由高到低顺序推荐中标候选人，评标总得分相等时，按技术部分得分由高到低顺序排序；评标总得分相等且技术部分得分相同时，按投标报价由低到高顺序排序，并提出书面评标报告。</w:t>
      </w:r>
    </w:p>
    <w:p w14:paraId="0FD0C5B9">
      <w:pPr>
        <w:autoSpaceDE w:val="0"/>
        <w:spacing w:line="360" w:lineRule="auto"/>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2.6.2 采购人根据评标委员会提出的书面评标报告和推荐的中标候选人名单，确定中标人。</w:t>
      </w:r>
    </w:p>
    <w:p w14:paraId="44669F55">
      <w:pPr>
        <w:autoSpaceDE w:val="0"/>
        <w:spacing w:line="360" w:lineRule="auto"/>
        <w:jc w:val="left"/>
        <w:rPr>
          <w:rFonts w:ascii="仿宋" w:hAnsi="仿宋" w:eastAsia="仿宋"/>
          <w:b/>
          <w:bCs/>
          <w:color w:val="000000"/>
          <w:sz w:val="24"/>
          <w:szCs w:val="24"/>
          <w:highlight w:val="none"/>
        </w:rPr>
      </w:pPr>
      <w:r>
        <w:rPr>
          <w:rFonts w:hint="eastAsia" w:ascii="仿宋" w:hAnsi="仿宋" w:eastAsia="仿宋"/>
          <w:color w:val="000000"/>
          <w:sz w:val="24"/>
          <w:szCs w:val="24"/>
          <w:highlight w:val="none"/>
        </w:rPr>
        <w:t>2.6.3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4E08BED">
      <w:pPr>
        <w:rPr>
          <w:rFonts w:hint="eastAsia" w:ascii="仿宋" w:hAnsi="仿宋" w:eastAsia="仿宋"/>
          <w:b/>
          <w:color w:val="000000"/>
          <w:kern w:val="10"/>
          <w:sz w:val="24"/>
          <w:szCs w:val="24"/>
          <w:highlight w:val="none"/>
        </w:rPr>
      </w:pPr>
      <w:r>
        <w:rPr>
          <w:rFonts w:hint="eastAsia" w:ascii="仿宋" w:hAnsi="仿宋" w:eastAsia="仿宋"/>
          <w:b/>
          <w:color w:val="000000"/>
          <w:kern w:val="10"/>
          <w:sz w:val="24"/>
          <w:szCs w:val="24"/>
          <w:highlight w:val="none"/>
        </w:rPr>
        <w:t xml:space="preserve"> </w:t>
      </w:r>
    </w:p>
    <w:p w14:paraId="6F0A0B6E">
      <w:pPr>
        <w:rPr>
          <w:rFonts w:hint="eastAsia" w:ascii="仿宋" w:hAnsi="仿宋" w:eastAsia="仿宋"/>
          <w:b/>
          <w:color w:val="000000"/>
          <w:kern w:val="10"/>
          <w:sz w:val="24"/>
          <w:szCs w:val="24"/>
          <w:highlight w:val="none"/>
        </w:rPr>
      </w:pPr>
    </w:p>
    <w:p w14:paraId="39363559">
      <w:pPr>
        <w:rPr>
          <w:rFonts w:hint="eastAsia" w:ascii="仿宋" w:hAnsi="仿宋" w:eastAsia="仿宋"/>
          <w:b/>
          <w:color w:val="000000"/>
          <w:kern w:val="10"/>
          <w:sz w:val="24"/>
          <w:szCs w:val="24"/>
          <w:highlight w:val="none"/>
        </w:rPr>
      </w:pPr>
    </w:p>
    <w:p w14:paraId="2740E672">
      <w:pPr>
        <w:rPr>
          <w:rFonts w:hint="eastAsia" w:ascii="仿宋" w:hAnsi="仿宋" w:eastAsia="仿宋"/>
          <w:b/>
          <w:color w:val="000000"/>
          <w:kern w:val="10"/>
          <w:sz w:val="24"/>
          <w:szCs w:val="24"/>
          <w:highlight w:val="none"/>
        </w:rPr>
      </w:pPr>
    </w:p>
    <w:p w14:paraId="52B4524D">
      <w:pPr>
        <w:rPr>
          <w:rFonts w:hint="eastAsia" w:ascii="仿宋" w:hAnsi="仿宋" w:eastAsia="仿宋"/>
          <w:b/>
          <w:color w:val="000000"/>
          <w:kern w:val="10"/>
          <w:sz w:val="24"/>
          <w:szCs w:val="24"/>
          <w:highlight w:val="none"/>
        </w:rPr>
      </w:pPr>
    </w:p>
    <w:p w14:paraId="7FDDDB09">
      <w:pPr>
        <w:rPr>
          <w:rFonts w:hint="eastAsia" w:ascii="仿宋" w:hAnsi="仿宋" w:eastAsia="仿宋"/>
          <w:b/>
          <w:color w:val="000000"/>
          <w:kern w:val="10"/>
          <w:sz w:val="24"/>
          <w:szCs w:val="24"/>
          <w:highlight w:val="none"/>
        </w:rPr>
      </w:pPr>
    </w:p>
    <w:p w14:paraId="0B93321B">
      <w:pPr>
        <w:rPr>
          <w:rFonts w:hint="eastAsia" w:ascii="仿宋" w:hAnsi="仿宋" w:eastAsia="仿宋"/>
          <w:b/>
          <w:color w:val="000000"/>
          <w:kern w:val="10"/>
          <w:sz w:val="24"/>
          <w:szCs w:val="24"/>
          <w:highlight w:val="none"/>
        </w:rPr>
      </w:pPr>
    </w:p>
    <w:p w14:paraId="356B64E8">
      <w:pPr>
        <w:rPr>
          <w:rFonts w:ascii="仿宋" w:hAnsi="仿宋" w:eastAsia="仿宋"/>
          <w:b/>
          <w:caps/>
          <w:color w:val="000000"/>
          <w:sz w:val="32"/>
          <w:szCs w:val="32"/>
          <w:highlight w:val="none"/>
        </w:rPr>
      </w:pPr>
      <w:bookmarkStart w:id="63" w:name="_Toc20049"/>
      <w:bookmarkEnd w:id="63"/>
    </w:p>
    <w:p w14:paraId="07A7EAC5">
      <w:pPr>
        <w:jc w:val="center"/>
        <w:outlineLvl w:val="0"/>
        <w:rPr>
          <w:rFonts w:ascii="仿宋" w:hAnsi="仿宋" w:eastAsia="仿宋"/>
          <w:b/>
          <w:caps/>
          <w:color w:val="000000"/>
          <w:sz w:val="32"/>
          <w:szCs w:val="32"/>
          <w:highlight w:val="none"/>
        </w:rPr>
      </w:pPr>
      <w:bookmarkStart w:id="64" w:name="_Toc25434"/>
      <w:r>
        <w:rPr>
          <w:rFonts w:hint="eastAsia" w:ascii="仿宋" w:hAnsi="仿宋" w:eastAsia="仿宋"/>
          <w:b/>
          <w:caps/>
          <w:color w:val="000000"/>
          <w:sz w:val="32"/>
          <w:szCs w:val="32"/>
          <w:highlight w:val="none"/>
        </w:rPr>
        <w:t xml:space="preserve">第五章  </w:t>
      </w:r>
      <w:bookmarkStart w:id="65" w:name="_Toc427678318"/>
      <w:bookmarkEnd w:id="65"/>
      <w:r>
        <w:rPr>
          <w:rFonts w:hint="eastAsia" w:ascii="仿宋" w:hAnsi="仿宋" w:eastAsia="仿宋"/>
          <w:b/>
          <w:caps/>
          <w:color w:val="000000"/>
          <w:sz w:val="32"/>
          <w:szCs w:val="32"/>
          <w:highlight w:val="none"/>
        </w:rPr>
        <w:t>合同条款及合同书样式</w:t>
      </w:r>
      <w:bookmarkEnd w:id="64"/>
    </w:p>
    <w:p w14:paraId="153EFF6A">
      <w:pPr>
        <w:spacing w:line="500" w:lineRule="exact"/>
        <w:jc w:val="center"/>
        <w:rPr>
          <w:rFonts w:ascii="仿宋" w:hAnsi="仿宋" w:eastAsia="仿宋" w:cs="仿宋"/>
          <w:b/>
          <w:sz w:val="24"/>
          <w:szCs w:val="24"/>
          <w:highlight w:val="none"/>
        </w:rPr>
      </w:pPr>
      <w:bookmarkStart w:id="66" w:name="_Toc4856"/>
      <w:bookmarkEnd w:id="66"/>
      <w:r>
        <w:rPr>
          <w:rFonts w:hint="eastAsia" w:ascii="仿宋" w:hAnsi="仿宋" w:eastAsia="仿宋" w:cs="仿宋"/>
          <w:b/>
          <w:bCs/>
          <w:spacing w:val="-20"/>
          <w:kern w:val="44"/>
          <w:sz w:val="24"/>
          <w:szCs w:val="24"/>
          <w:highlight w:val="none"/>
        </w:rPr>
        <w:t xml:space="preserve"> </w:t>
      </w:r>
      <w:r>
        <w:rPr>
          <w:rFonts w:hint="eastAsia" w:ascii="仿宋" w:hAnsi="仿宋" w:eastAsia="仿宋" w:cs="仿宋"/>
          <w:b/>
          <w:sz w:val="24"/>
          <w:szCs w:val="24"/>
          <w:highlight w:val="none"/>
        </w:rPr>
        <w:t>（本合同内容仅供参考，甲乙双方可根据国家相关法律法规及本项目的情况另行约定）</w:t>
      </w:r>
    </w:p>
    <w:p w14:paraId="30998E62">
      <w:pPr>
        <w:spacing w:line="500" w:lineRule="exact"/>
        <w:rPr>
          <w:rFonts w:ascii="仿宋" w:hAnsi="仿宋" w:eastAsia="仿宋" w:cs="仿宋"/>
          <w:b/>
          <w:sz w:val="24"/>
          <w:szCs w:val="24"/>
          <w:highlight w:val="none"/>
        </w:rPr>
      </w:pPr>
    </w:p>
    <w:tbl>
      <w:tblPr>
        <w:tblStyle w:val="19"/>
        <w:tblW w:w="0" w:type="auto"/>
        <w:jc w:val="center"/>
        <w:tblLayout w:type="fixed"/>
        <w:tblCellMar>
          <w:top w:w="0" w:type="dxa"/>
          <w:left w:w="0" w:type="dxa"/>
          <w:bottom w:w="0" w:type="dxa"/>
          <w:right w:w="0" w:type="dxa"/>
        </w:tblCellMar>
      </w:tblPr>
      <w:tblGrid>
        <w:gridCol w:w="9750"/>
      </w:tblGrid>
      <w:tr w14:paraId="5DBAAA51">
        <w:tblPrEx>
          <w:tblCellMar>
            <w:top w:w="0" w:type="dxa"/>
            <w:left w:w="0" w:type="dxa"/>
            <w:bottom w:w="0" w:type="dxa"/>
            <w:right w:w="0" w:type="dxa"/>
          </w:tblCellMar>
        </w:tblPrEx>
        <w:trPr>
          <w:jc w:val="center"/>
        </w:trPr>
        <w:tc>
          <w:tcPr>
            <w:tcW w:w="9750" w:type="dxa"/>
            <w:vAlign w:val="center"/>
          </w:tcPr>
          <w:p w14:paraId="5FBC629A">
            <w:pPr>
              <w:tabs>
                <w:tab w:val="left" w:pos="1590"/>
                <w:tab w:val="left" w:pos="3409"/>
                <w:tab w:val="left" w:pos="4847"/>
                <w:tab w:val="left" w:pos="5711"/>
                <w:tab w:val="left" w:pos="7020"/>
                <w:tab w:val="left" w:pos="7891"/>
              </w:tabs>
              <w:spacing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 xml:space="preserve">合同编号：                              招标编号： </w:t>
            </w:r>
          </w:p>
        </w:tc>
      </w:tr>
    </w:tbl>
    <w:p w14:paraId="588A3A57">
      <w:pPr>
        <w:spacing w:line="5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●本合同须加盖甲乙双方骑缝章有效</w:t>
      </w:r>
      <w:r>
        <w:rPr>
          <w:rFonts w:hint="eastAsia" w:ascii="仿宋" w:hAnsi="仿宋" w:eastAsia="仿宋" w:cs="仿宋"/>
          <w:sz w:val="24"/>
          <w:szCs w:val="24"/>
          <w:highlight w:val="none"/>
        </w:rPr>
        <w:br w:type="textWrapping"/>
      </w:r>
    </w:p>
    <w:p w14:paraId="57391EFD">
      <w:pPr>
        <w:spacing w:line="360" w:lineRule="auto"/>
        <w:jc w:val="center"/>
        <w:rPr>
          <w:rFonts w:ascii="仿宋" w:hAnsi="仿宋" w:eastAsia="仿宋" w:cs="仿宋"/>
          <w:sz w:val="72"/>
          <w:szCs w:val="72"/>
          <w:highlight w:val="none"/>
        </w:rPr>
      </w:pPr>
    </w:p>
    <w:p w14:paraId="1096E151">
      <w:pPr>
        <w:spacing w:line="360" w:lineRule="auto"/>
        <w:jc w:val="center"/>
        <w:rPr>
          <w:rFonts w:ascii="仿宋" w:hAnsi="仿宋" w:eastAsia="仿宋" w:cs="仿宋"/>
          <w:sz w:val="72"/>
          <w:szCs w:val="72"/>
          <w:highlight w:val="none"/>
        </w:rPr>
      </w:pPr>
      <w:r>
        <w:rPr>
          <w:rFonts w:hint="eastAsia" w:ascii="仿宋" w:hAnsi="仿宋" w:eastAsia="仿宋" w:cs="仿宋"/>
          <w:sz w:val="72"/>
          <w:szCs w:val="72"/>
          <w:highlight w:val="none"/>
        </w:rPr>
        <w:t>合</w:t>
      </w:r>
    </w:p>
    <w:p w14:paraId="04D3B4E9">
      <w:pPr>
        <w:spacing w:line="360" w:lineRule="auto"/>
        <w:jc w:val="center"/>
        <w:rPr>
          <w:rFonts w:ascii="仿宋" w:hAnsi="仿宋" w:eastAsia="仿宋" w:cs="仿宋"/>
          <w:sz w:val="72"/>
          <w:szCs w:val="72"/>
          <w:highlight w:val="none"/>
        </w:rPr>
      </w:pPr>
      <w:r>
        <w:rPr>
          <w:rFonts w:hint="eastAsia" w:ascii="仿宋" w:hAnsi="仿宋" w:eastAsia="仿宋" w:cs="仿宋"/>
          <w:sz w:val="72"/>
          <w:szCs w:val="72"/>
          <w:highlight w:val="none"/>
        </w:rPr>
        <w:t>同</w:t>
      </w:r>
    </w:p>
    <w:p w14:paraId="0C7D9280">
      <w:pPr>
        <w:spacing w:line="360" w:lineRule="auto"/>
        <w:jc w:val="center"/>
        <w:rPr>
          <w:rFonts w:ascii="仿宋" w:hAnsi="仿宋" w:eastAsia="仿宋" w:cs="仿宋"/>
          <w:sz w:val="72"/>
          <w:szCs w:val="72"/>
          <w:highlight w:val="none"/>
        </w:rPr>
      </w:pPr>
      <w:r>
        <w:rPr>
          <w:rFonts w:hint="eastAsia" w:ascii="仿宋" w:hAnsi="仿宋" w:eastAsia="仿宋" w:cs="仿宋"/>
          <w:sz w:val="72"/>
          <w:szCs w:val="72"/>
          <w:highlight w:val="none"/>
        </w:rPr>
        <w:t xml:space="preserve">书 </w:t>
      </w:r>
      <w:r>
        <w:rPr>
          <w:rFonts w:hint="eastAsia" w:ascii="仿宋" w:hAnsi="仿宋" w:eastAsia="仿宋" w:cs="仿宋"/>
          <w:sz w:val="72"/>
          <w:szCs w:val="72"/>
          <w:highlight w:val="none"/>
        </w:rPr>
        <w:br w:type="textWrapping"/>
      </w:r>
    </w:p>
    <w:p w14:paraId="710C5813">
      <w:pPr>
        <w:spacing w:line="600" w:lineRule="exact"/>
        <w:jc w:val="center"/>
        <w:rPr>
          <w:rFonts w:ascii="仿宋" w:hAnsi="仿宋" w:eastAsia="仿宋" w:cs="仿宋"/>
          <w:sz w:val="72"/>
          <w:szCs w:val="72"/>
          <w:highlight w:val="none"/>
        </w:rPr>
      </w:pPr>
    </w:p>
    <w:p w14:paraId="29616BD4">
      <w:pPr>
        <w:spacing w:line="500" w:lineRule="exact"/>
        <w:ind w:firstLine="280" w:firstLineChars="100"/>
        <w:rPr>
          <w:rFonts w:ascii="仿宋" w:hAnsi="仿宋" w:eastAsia="仿宋" w:cs="仿宋"/>
          <w:sz w:val="28"/>
          <w:szCs w:val="28"/>
          <w:highlight w:val="none"/>
        </w:rPr>
      </w:pPr>
    </w:p>
    <w:p w14:paraId="4F14F140">
      <w:pPr>
        <w:spacing w:line="500" w:lineRule="exact"/>
        <w:ind w:firstLine="280" w:firstLineChars="100"/>
        <w:rPr>
          <w:rFonts w:ascii="仿宋" w:hAnsi="仿宋" w:eastAsia="仿宋" w:cs="仿宋"/>
          <w:sz w:val="28"/>
          <w:szCs w:val="28"/>
          <w:highlight w:val="none"/>
        </w:rPr>
      </w:pPr>
      <w:r>
        <w:rPr>
          <w:rFonts w:hint="eastAsia" w:ascii="仿宋" w:hAnsi="仿宋" w:eastAsia="仿宋" w:cs="仿宋"/>
          <w:sz w:val="28"/>
          <w:szCs w:val="28"/>
          <w:highlight w:val="none"/>
        </w:rPr>
        <w:t>签订地点: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br w:type="textWrapping"/>
      </w:r>
    </w:p>
    <w:p w14:paraId="2B0CD488">
      <w:pPr>
        <w:spacing w:line="500" w:lineRule="exact"/>
        <w:ind w:left="839" w:leftChars="133" w:hanging="560" w:hangingChars="200"/>
        <w:rPr>
          <w:rFonts w:ascii="仿宋" w:hAnsi="仿宋" w:eastAsia="仿宋" w:cs="仿宋"/>
          <w:sz w:val="28"/>
          <w:szCs w:val="28"/>
          <w:highlight w:val="none"/>
        </w:rPr>
      </w:pPr>
      <w:r>
        <w:rPr>
          <w:rFonts w:hint="eastAsia" w:ascii="仿宋" w:hAnsi="仿宋" w:eastAsia="仿宋" w:cs="仿宋"/>
          <w:sz w:val="28"/>
          <w:szCs w:val="28"/>
          <w:highlight w:val="none"/>
        </w:rPr>
        <w:t xml:space="preserve">签订日期: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 </w:t>
      </w:r>
      <w:r>
        <w:rPr>
          <w:rFonts w:hint="eastAsia" w:ascii="仿宋" w:hAnsi="仿宋" w:eastAsia="仿宋" w:cs="仿宋"/>
          <w:sz w:val="28"/>
          <w:szCs w:val="28"/>
          <w:highlight w:val="none"/>
        </w:rPr>
        <w:br w:type="textWrapping"/>
      </w:r>
    </w:p>
    <w:p w14:paraId="1138DAA2">
      <w:pPr>
        <w:spacing w:line="500" w:lineRule="exact"/>
        <w:rPr>
          <w:rFonts w:ascii="仿宋" w:hAnsi="仿宋" w:eastAsia="仿宋" w:cs="仿宋"/>
          <w:sz w:val="24"/>
          <w:szCs w:val="24"/>
          <w:highlight w:val="none"/>
        </w:rPr>
      </w:pPr>
    </w:p>
    <w:p w14:paraId="6E5D8E0D">
      <w:pPr>
        <w:spacing w:line="500" w:lineRule="exact"/>
        <w:jc w:val="center"/>
        <w:rPr>
          <w:rFonts w:ascii="仿宋" w:hAnsi="仿宋" w:eastAsia="仿宋" w:cs="仿宋"/>
          <w:sz w:val="24"/>
          <w:szCs w:val="24"/>
          <w:highlight w:val="none"/>
        </w:rPr>
      </w:pPr>
    </w:p>
    <w:p w14:paraId="4548C145">
      <w:pPr>
        <w:spacing w:line="480" w:lineRule="auto"/>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甲方（采购人公章）名    称：</w:t>
      </w:r>
      <w:r>
        <w:rPr>
          <w:rFonts w:hint="eastAsia" w:ascii="仿宋" w:hAnsi="仿宋" w:eastAsia="仿宋" w:cs="仿宋"/>
          <w:sz w:val="24"/>
          <w:szCs w:val="24"/>
          <w:highlight w:val="none"/>
          <w:u w:val="single"/>
        </w:rPr>
        <w:t xml:space="preserve">               </w:t>
      </w:r>
    </w:p>
    <w:p w14:paraId="4D834ADE">
      <w:pPr>
        <w:spacing w:line="48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地    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14CAC8C">
      <w:pPr>
        <w:spacing w:line="480" w:lineRule="auto"/>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邮    编：</w:t>
      </w:r>
      <w:r>
        <w:rPr>
          <w:rFonts w:hint="eastAsia" w:ascii="仿宋" w:hAnsi="仿宋" w:eastAsia="仿宋" w:cs="仿宋"/>
          <w:sz w:val="24"/>
          <w:szCs w:val="24"/>
          <w:highlight w:val="none"/>
          <w:u w:val="single"/>
        </w:rPr>
        <w:t xml:space="preserve">                            </w:t>
      </w:r>
    </w:p>
    <w:p w14:paraId="6A796318">
      <w:pPr>
        <w:spacing w:line="480" w:lineRule="auto"/>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法定代表人或委托代理人：</w:t>
      </w:r>
      <w:r>
        <w:rPr>
          <w:rFonts w:hint="eastAsia" w:ascii="仿宋" w:hAnsi="仿宋" w:eastAsia="仿宋" w:cs="仿宋"/>
          <w:sz w:val="24"/>
          <w:szCs w:val="24"/>
          <w:highlight w:val="none"/>
          <w:u w:val="single"/>
        </w:rPr>
        <w:t xml:space="preserve">            </w:t>
      </w:r>
    </w:p>
    <w:p w14:paraId="01DC9893">
      <w:pPr>
        <w:spacing w:line="480" w:lineRule="auto"/>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项目（技术）负责人：</w:t>
      </w:r>
      <w:r>
        <w:rPr>
          <w:rFonts w:hint="eastAsia" w:ascii="仿宋" w:hAnsi="仿宋" w:eastAsia="仿宋" w:cs="仿宋"/>
          <w:sz w:val="24"/>
          <w:szCs w:val="24"/>
          <w:highlight w:val="none"/>
          <w:u w:val="single"/>
        </w:rPr>
        <w:t xml:space="preserve">                </w:t>
      </w:r>
    </w:p>
    <w:p w14:paraId="510755BD">
      <w:pPr>
        <w:spacing w:line="480" w:lineRule="auto"/>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电    话：</w:t>
      </w:r>
      <w:r>
        <w:rPr>
          <w:rFonts w:hint="eastAsia" w:ascii="仿宋" w:hAnsi="仿宋" w:eastAsia="仿宋" w:cs="仿宋"/>
          <w:sz w:val="24"/>
          <w:szCs w:val="24"/>
          <w:highlight w:val="none"/>
          <w:u w:val="single"/>
        </w:rPr>
        <w:t xml:space="preserve">                            </w:t>
      </w:r>
    </w:p>
    <w:p w14:paraId="7483738E">
      <w:pPr>
        <w:spacing w:line="480" w:lineRule="auto"/>
        <w:ind w:firstLine="480" w:firstLineChars="200"/>
        <w:rPr>
          <w:rFonts w:ascii="仿宋" w:hAnsi="仿宋" w:eastAsia="仿宋" w:cs="仿宋"/>
          <w:sz w:val="24"/>
          <w:szCs w:val="24"/>
          <w:highlight w:val="none"/>
        </w:rPr>
      </w:pPr>
    </w:p>
    <w:p w14:paraId="2E6EF03C">
      <w:pPr>
        <w:spacing w:line="480" w:lineRule="auto"/>
        <w:rPr>
          <w:rFonts w:ascii="仿宋" w:hAnsi="仿宋" w:eastAsia="仿宋" w:cs="仿宋"/>
          <w:sz w:val="24"/>
          <w:szCs w:val="24"/>
          <w:highlight w:val="none"/>
        </w:rPr>
      </w:pPr>
    </w:p>
    <w:p w14:paraId="6D7327B6">
      <w:pPr>
        <w:spacing w:line="480" w:lineRule="auto"/>
        <w:ind w:firstLine="480" w:firstLineChars="200"/>
        <w:rPr>
          <w:rFonts w:ascii="仿宋" w:hAnsi="仿宋" w:eastAsia="仿宋" w:cs="仿宋"/>
          <w:sz w:val="24"/>
          <w:szCs w:val="24"/>
          <w:highlight w:val="none"/>
        </w:rPr>
      </w:pPr>
    </w:p>
    <w:p w14:paraId="32C386C3">
      <w:pPr>
        <w:spacing w:line="480" w:lineRule="auto"/>
        <w:ind w:firstLine="480" w:firstLineChars="200"/>
        <w:rPr>
          <w:rFonts w:ascii="仿宋" w:hAnsi="仿宋" w:eastAsia="仿宋" w:cs="仿宋"/>
          <w:sz w:val="24"/>
          <w:szCs w:val="24"/>
          <w:highlight w:val="none"/>
        </w:rPr>
      </w:pPr>
    </w:p>
    <w:p w14:paraId="4B0A8DFC">
      <w:pPr>
        <w:spacing w:line="480" w:lineRule="auto"/>
        <w:ind w:left="479" w:leftChars="228"/>
        <w:rPr>
          <w:rFonts w:ascii="仿宋" w:hAnsi="仿宋" w:eastAsia="仿宋" w:cs="仿宋"/>
          <w:sz w:val="24"/>
          <w:szCs w:val="24"/>
          <w:highlight w:val="none"/>
        </w:rPr>
      </w:pP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乙方（供应商公章）名    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7A6F101D">
      <w:pPr>
        <w:spacing w:line="480" w:lineRule="auto"/>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地    址：</w:t>
      </w:r>
      <w:r>
        <w:rPr>
          <w:rFonts w:hint="eastAsia" w:ascii="仿宋" w:hAnsi="仿宋" w:eastAsia="仿宋" w:cs="仿宋"/>
          <w:sz w:val="24"/>
          <w:szCs w:val="24"/>
          <w:highlight w:val="none"/>
          <w:u w:val="single"/>
        </w:rPr>
        <w:t xml:space="preserve">                             </w:t>
      </w:r>
    </w:p>
    <w:p w14:paraId="2FC5002F">
      <w:pPr>
        <w:spacing w:line="480" w:lineRule="auto"/>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邮    编：</w:t>
      </w:r>
      <w:r>
        <w:rPr>
          <w:rFonts w:hint="eastAsia" w:ascii="仿宋" w:hAnsi="仿宋" w:eastAsia="仿宋" w:cs="仿宋"/>
          <w:sz w:val="24"/>
          <w:szCs w:val="24"/>
          <w:highlight w:val="none"/>
          <w:u w:val="single"/>
        </w:rPr>
        <w:t xml:space="preserve">                             </w:t>
      </w:r>
    </w:p>
    <w:p w14:paraId="4B2B2CD0">
      <w:pPr>
        <w:spacing w:line="48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法定代表人或委托代理人：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w:t>
      </w:r>
    </w:p>
    <w:p w14:paraId="7318B5C2">
      <w:pPr>
        <w:spacing w:line="480" w:lineRule="auto"/>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经办人：</w:t>
      </w:r>
      <w:r>
        <w:rPr>
          <w:rFonts w:hint="eastAsia" w:ascii="仿宋" w:hAnsi="仿宋" w:eastAsia="仿宋" w:cs="仿宋"/>
          <w:sz w:val="24"/>
          <w:szCs w:val="24"/>
          <w:highlight w:val="none"/>
          <w:u w:val="single"/>
        </w:rPr>
        <w:t xml:space="preserve">                             </w:t>
      </w:r>
    </w:p>
    <w:p w14:paraId="5C41B8D2">
      <w:pPr>
        <w:spacing w:line="480" w:lineRule="auto"/>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电话：</w:t>
      </w:r>
      <w:r>
        <w:rPr>
          <w:rFonts w:hint="eastAsia" w:ascii="仿宋" w:hAnsi="仿宋" w:eastAsia="仿宋" w:cs="仿宋"/>
          <w:sz w:val="24"/>
          <w:szCs w:val="24"/>
          <w:highlight w:val="none"/>
          <w:u w:val="single"/>
        </w:rPr>
        <w:t xml:space="preserve">                               </w:t>
      </w:r>
    </w:p>
    <w:p w14:paraId="01953F94">
      <w:pPr>
        <w:spacing w:line="480" w:lineRule="auto"/>
        <w:rPr>
          <w:rFonts w:ascii="仿宋" w:hAnsi="仿宋" w:eastAsia="仿宋" w:cs="仿宋"/>
          <w:sz w:val="24"/>
          <w:szCs w:val="24"/>
          <w:highlight w:val="none"/>
        </w:rPr>
      </w:pPr>
    </w:p>
    <w:p w14:paraId="62835744">
      <w:pPr>
        <w:spacing w:line="500" w:lineRule="exact"/>
        <w:rPr>
          <w:rFonts w:ascii="仿宋" w:hAnsi="仿宋" w:eastAsia="仿宋" w:cs="仿宋"/>
          <w:vanish/>
          <w:sz w:val="24"/>
          <w:szCs w:val="24"/>
          <w:highlight w:val="none"/>
        </w:rPr>
      </w:pPr>
    </w:p>
    <w:p w14:paraId="3EDF6A74">
      <w:pPr>
        <w:spacing w:line="500" w:lineRule="exact"/>
        <w:jc w:val="center"/>
        <w:rPr>
          <w:rFonts w:ascii="仿宋" w:hAnsi="仿宋" w:eastAsia="仿宋" w:cs="仿宋"/>
          <w:b/>
          <w:sz w:val="24"/>
          <w:szCs w:val="24"/>
          <w:highlight w:val="none"/>
        </w:rPr>
      </w:pPr>
      <w:r>
        <w:rPr>
          <w:rFonts w:hint="eastAsia" w:ascii="仿宋" w:hAnsi="仿宋" w:eastAsia="仿宋" w:cs="仿宋"/>
          <w:b/>
          <w:sz w:val="24"/>
          <w:szCs w:val="24"/>
          <w:highlight w:val="none"/>
        </w:rPr>
        <w:br w:type="page"/>
      </w:r>
    </w:p>
    <w:p w14:paraId="14C0EE46">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甲乙双方经过平等协商，达成本项目维保服务合同（以下简称“合同”），供双方遵守。合同内容包括具体条款、附件及合同中提及的其他文件。</w:t>
      </w:r>
    </w:p>
    <w:p w14:paraId="4A3500AD">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合同有效期：</w:t>
      </w:r>
    </w:p>
    <w:p w14:paraId="6DFC6B5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合同期为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年，自</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日至</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w:t>
      </w:r>
    </w:p>
    <w:p w14:paraId="763FA762">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维保服务设备清单及价格：</w:t>
      </w:r>
    </w:p>
    <w:p w14:paraId="0E5D1CF3">
      <w:pPr>
        <w:autoSpaceDE w:val="0"/>
        <w:autoSpaceDN w:val="0"/>
        <w:adjustRightInd w:val="0"/>
        <w:snapToGrid w:val="0"/>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乙方提供服务的设备名称、型号、数量等详细情况见附件1《设备清单》，非《设备清单》中的设备不在本合同服务范围，如设备后续发生增减，由甲乙双方协商修改，签订补充协议。</w:t>
      </w:r>
    </w:p>
    <w:p w14:paraId="100330EA">
      <w:pPr>
        <w:autoSpaceDE w:val="0"/>
        <w:autoSpaceDN w:val="0"/>
        <w:adjustRightInd w:val="0"/>
        <w:snapToGrid w:val="0"/>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本服务合同总价：</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元，大写：</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w:t>
      </w:r>
    </w:p>
    <w:p w14:paraId="4AAF7A06">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 xml:space="preserve">服务内容：  </w:t>
      </w:r>
    </w:p>
    <w:p w14:paraId="565BD9DC">
      <w:pPr>
        <w:numPr>
          <w:ilvl w:val="1"/>
          <w:numId w:val="1"/>
        </w:numPr>
        <w:spacing w:line="360" w:lineRule="auto"/>
        <w:ind w:left="0" w:firstLine="480" w:firstLineChars="200"/>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在合同期内乙方至少安排</w:t>
      </w:r>
      <w:r>
        <w:rPr>
          <w:rFonts w:hint="eastAsia" w:ascii="仿宋" w:hAnsi="仿宋" w:eastAsia="仿宋" w:cs="仿宋"/>
          <w:bCs/>
          <w:kern w:val="0"/>
          <w:sz w:val="24"/>
          <w:szCs w:val="24"/>
          <w:highlight w:val="none"/>
          <w:u w:val="single"/>
        </w:rPr>
        <w:t xml:space="preserve">    </w:t>
      </w:r>
      <w:r>
        <w:rPr>
          <w:rFonts w:hint="eastAsia" w:ascii="仿宋" w:hAnsi="仿宋" w:eastAsia="仿宋" w:cs="仿宋"/>
          <w:bCs/>
          <w:kern w:val="0"/>
          <w:sz w:val="24"/>
          <w:szCs w:val="24"/>
          <w:highlight w:val="none"/>
        </w:rPr>
        <w:t>名工程师常驻在医院提供设备维修服务，工作时间为每周一到周五，作息时间与医院相同，节假日休息。乙方具备400或800客户服务专线电话，确保24小时*365天有客服人员和资深工程师接听电话。如需延长工作时间或提供节假日服务，甲方需提前通知。</w:t>
      </w:r>
    </w:p>
    <w:p w14:paraId="4D2E82CB">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乙方驻院工程师在收到服务诉求</w:t>
      </w:r>
      <w:r>
        <w:rPr>
          <w:rFonts w:hint="eastAsia" w:ascii="仿宋" w:hAnsi="仿宋" w:eastAsia="仿宋" w:cs="仿宋"/>
          <w:bCs/>
          <w:kern w:val="0"/>
          <w:sz w:val="24"/>
          <w:szCs w:val="24"/>
          <w:highlight w:val="none"/>
          <w:u w:val="single"/>
        </w:rPr>
        <w:t xml:space="preserve">   </w:t>
      </w:r>
      <w:r>
        <w:rPr>
          <w:rFonts w:hint="eastAsia" w:ascii="仿宋" w:hAnsi="仿宋" w:eastAsia="仿宋" w:cs="仿宋"/>
          <w:bCs/>
          <w:kern w:val="0"/>
          <w:sz w:val="24"/>
          <w:szCs w:val="24"/>
          <w:highlight w:val="none"/>
        </w:rPr>
        <w:t>分钟内响应，工作时间</w:t>
      </w:r>
      <w:r>
        <w:rPr>
          <w:rFonts w:hint="eastAsia" w:ascii="仿宋" w:hAnsi="仿宋" w:eastAsia="仿宋" w:cs="仿宋"/>
          <w:bCs/>
          <w:kern w:val="0"/>
          <w:sz w:val="24"/>
          <w:szCs w:val="24"/>
          <w:highlight w:val="none"/>
          <w:u w:val="single"/>
        </w:rPr>
        <w:t xml:space="preserve">   </w:t>
      </w:r>
      <w:r>
        <w:rPr>
          <w:rFonts w:hint="eastAsia" w:ascii="仿宋" w:hAnsi="仿宋" w:eastAsia="仿宋" w:cs="仿宋"/>
          <w:bCs/>
          <w:kern w:val="0"/>
          <w:sz w:val="24"/>
          <w:szCs w:val="24"/>
          <w:highlight w:val="none"/>
        </w:rPr>
        <w:t>分钟内赶到故障设备所在科室，非工作时间4小时内到达。</w:t>
      </w:r>
    </w:p>
    <w:p w14:paraId="2EC408F8">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乙方维修后，向甲方设备使用科室或设备科汇报维修情况，提交《设备维修保养记录单》，经设备使用科室或设备科工作人员签字并存档。</w:t>
      </w:r>
    </w:p>
    <w:p w14:paraId="3B659B28">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乙方每月对中小型设备进行一次日常巡检，指导使用人员正确操作，检查设备的运行状况并填写《设备巡检记录单》，由使用科室或设备科签字确认并存档。大型设备预防性保养按照原厂标准流程进行，具体保养次数</w:t>
      </w:r>
      <w:r>
        <w:rPr>
          <w:rFonts w:hint="eastAsia" w:ascii="仿宋" w:hAnsi="仿宋" w:eastAsia="仿宋" w:cs="仿宋"/>
          <w:kern w:val="0"/>
          <w:sz w:val="24"/>
          <w:szCs w:val="24"/>
          <w:highlight w:val="none"/>
        </w:rPr>
        <w:t>见附件1《设备清单》，</w:t>
      </w:r>
      <w:r>
        <w:rPr>
          <w:rFonts w:hint="eastAsia" w:ascii="仿宋" w:hAnsi="仿宋" w:eastAsia="仿宋" w:cs="仿宋"/>
          <w:bCs/>
          <w:kern w:val="0"/>
          <w:sz w:val="24"/>
          <w:szCs w:val="24"/>
          <w:highlight w:val="none"/>
        </w:rPr>
        <w:t>内容包括机器清洁、更换定期保养件、性能测试及校准、必要的机械或电气检查、非紧急性质的补救维修和确保系统能按照制造商产品规范运行的其他维修。保养结束后提供《设备定期保养报告》，经设备使用科室或设备科工作人员签字并存档。</w:t>
      </w:r>
    </w:p>
    <w:p w14:paraId="2D227601">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乙方协助甲方进行新设备的验收，并协同厂家进行维修、保养，该部分设备出保，相关事宜双方另行协商。</w:t>
      </w:r>
    </w:p>
    <w:p w14:paraId="2791CBBB">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乙方协助甲方进行设备的计量和检测。</w:t>
      </w:r>
    </w:p>
    <w:p w14:paraId="5E87F20D">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乙方可应甲方需求进行医疗设备台账的梳理和档案管理，甲方应提供档案管理所需的场所和设施。</w:t>
      </w:r>
    </w:p>
    <w:p w14:paraId="0B7C0E00">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乙方协助甲方进行小型设备（便于移动或具有移动功能）的调拨和搬迁，大型设备和不可以移动设备不在此服务范围，需另行协商。</w:t>
      </w:r>
    </w:p>
    <w:p w14:paraId="341DE74E">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乙方协助甲方进行设备的报废工作，为甲方提供相关设备运行状态报告，是否报废由甲方确定。</w:t>
      </w:r>
    </w:p>
    <w:p w14:paraId="0578CA4A">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乙方的责任：</w:t>
      </w:r>
    </w:p>
    <w:p w14:paraId="381A845B">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sz w:val="24"/>
          <w:szCs w:val="24"/>
          <w:highlight w:val="none"/>
        </w:rPr>
        <w:t>在合同期内保证全年开机率不低于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%，按全年365天计算，包含节假日，停机时间不超过</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天。 </w:t>
      </w:r>
    </w:p>
    <w:p w14:paraId="4947D896">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sz w:val="24"/>
          <w:szCs w:val="24"/>
          <w:highlight w:val="none"/>
        </w:rPr>
        <w:t>乙方在接到甲方维修需求后24小时（不包含订购备件时间）后无法完成维修，应及时向相关使用科室和设备科说明并提出进一步解决方案，必要时申请原厂维修，相关费用由乙方承担。</w:t>
      </w:r>
    </w:p>
    <w:p w14:paraId="52785EFA">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乙方保证在提供维修服务过程中所更换的备件，是原厂或合法正规渠道产品，维修后设备达到正常运转标准。</w:t>
      </w:r>
    </w:p>
    <w:p w14:paraId="15B3EC39">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当甲方所保设备出现故障时，乙方应以合理的方式为甲方提供技术服务，因为乙方工程师的技术原因导致的故障及故障扩大，应由乙方承担责任。</w:t>
      </w:r>
    </w:p>
    <w:p w14:paraId="47D65281">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乙方按照应急预案，在突发紧急事件时协助甲方做好设备保障工作，最大限度的避免因紧急事件对医疗设备的正常运行造成不利影响。</w:t>
      </w:r>
    </w:p>
    <w:p w14:paraId="476B2753">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如甲方使用乙方的设备管理软件，双方需签订数据保密协议，使用方式主要包括网页端、app端、微信端。在合同期内乙方为甲方免费提供满足日常工作需要的客户端口数量，合同期届满后将存放在乙方公司的设备维修数据打包返还甲方。如甲方有意向继续使用，由双方协商相关事宜。</w:t>
      </w:r>
    </w:p>
    <w:p w14:paraId="75D576CB">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甲方的责任和义务：</w:t>
      </w:r>
    </w:p>
    <w:p w14:paraId="742ACFA0">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甲方为乙方提供适当的办公场所和维修场所，这些场所应接通必要的水、电和网络，允许乙方人员自费在甲方食堂就餐，提供进入相关办公及维修场所的门禁卡。</w:t>
      </w:r>
    </w:p>
    <w:p w14:paraId="47A74844">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甲方应按机器操作手册的要求进行操作及日常维护，保证机器的电气环境（电源质量、接地、温湿度、电磁干扰、腐蚀性气体等符合设备安装手册中的要求，保证机器所需电源、水源的正常供应及开启和关闭。由于甲方原因造成设备不能正常运转或无法提供维修，乙方并不承担维修责任。</w:t>
      </w:r>
    </w:p>
    <w:p w14:paraId="5AB9679F">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甲方应按合同约定的方式按时向乙方支付维修服务费用。若甲方延迟付款，乙方有权暂停对甲方提供服务直至甲方支付对应款项。</w:t>
      </w:r>
    </w:p>
    <w:p w14:paraId="1842ABDF">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甲方应无条件退还更换下来的坏、旧备件，不能以任何理由予以扣留。</w:t>
      </w:r>
    </w:p>
    <w:p w14:paraId="6C23B84D">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本次合同服务相关的化学品（如酒精、高压油等）以及产生的相关废物，甲方应按照国家相关法律法规要求进行管理和处置。</w:t>
      </w:r>
    </w:p>
    <w:p w14:paraId="0DC338E5">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若续签保修合同，或暂停服务时间已超过上一次报修结束日期3个月的，该机器须重新进行状态检测后方可进保。</w:t>
      </w:r>
    </w:p>
    <w:p w14:paraId="4D11BA49">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如连续续保，具体续保金额由甲乙双方进一步沟通协商而定。</w:t>
      </w:r>
    </w:p>
    <w:p w14:paraId="7D18AA63">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合同金额及付款方式：</w:t>
      </w:r>
    </w:p>
    <w:p w14:paraId="1FFAC7E3">
      <w:pPr>
        <w:pStyle w:val="39"/>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在</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日前付清人民币</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元；（大写：</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w:t>
      </w:r>
    </w:p>
    <w:p w14:paraId="0ED78CB1">
      <w:pPr>
        <w:pStyle w:val="39"/>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在</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年</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月</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日前付清人民币</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元。（大写：</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w:t>
      </w:r>
    </w:p>
    <w:p w14:paraId="68716989">
      <w:pPr>
        <w:autoSpaceDE w:val="0"/>
        <w:autoSpaceDN w:val="0"/>
        <w:adjustRightInd w:val="0"/>
        <w:snapToGrid w:val="0"/>
        <w:spacing w:line="360" w:lineRule="auto"/>
        <w:ind w:firstLine="480" w:firstLineChars="200"/>
        <w:jc w:val="left"/>
        <w:rPr>
          <w:rFonts w:ascii="仿宋" w:hAnsi="仿宋" w:eastAsia="仿宋" w:cs="仿宋"/>
          <w:bCs/>
          <w:kern w:val="0"/>
          <w:sz w:val="24"/>
          <w:szCs w:val="24"/>
          <w:highlight w:val="none"/>
          <w:u w:val="single"/>
        </w:rPr>
      </w:pPr>
      <w:r>
        <w:rPr>
          <w:rFonts w:hint="eastAsia" w:ascii="仿宋" w:hAnsi="仿宋" w:eastAsia="仿宋" w:cs="仿宋"/>
          <w:bCs/>
          <w:kern w:val="0"/>
          <w:sz w:val="24"/>
          <w:szCs w:val="24"/>
          <w:highlight w:val="none"/>
        </w:rPr>
        <w:t>账  户：</w:t>
      </w:r>
      <w:r>
        <w:rPr>
          <w:rFonts w:hint="eastAsia" w:ascii="仿宋" w:hAnsi="仿宋" w:eastAsia="仿宋" w:cs="仿宋"/>
          <w:bCs/>
          <w:kern w:val="0"/>
          <w:sz w:val="24"/>
          <w:szCs w:val="24"/>
          <w:highlight w:val="none"/>
          <w:u w:val="single"/>
        </w:rPr>
        <w:t xml:space="preserve">               </w:t>
      </w:r>
    </w:p>
    <w:p w14:paraId="4E6FDF55">
      <w:pPr>
        <w:autoSpaceDE w:val="0"/>
        <w:autoSpaceDN w:val="0"/>
        <w:adjustRightInd w:val="0"/>
        <w:snapToGrid w:val="0"/>
        <w:spacing w:line="360" w:lineRule="auto"/>
        <w:ind w:firstLine="480" w:firstLineChars="200"/>
        <w:jc w:val="left"/>
        <w:rPr>
          <w:rFonts w:ascii="仿宋" w:hAnsi="仿宋" w:eastAsia="仿宋" w:cs="仿宋"/>
          <w:bCs/>
          <w:kern w:val="0"/>
          <w:sz w:val="24"/>
          <w:szCs w:val="24"/>
          <w:highlight w:val="none"/>
          <w:u w:val="single"/>
        </w:rPr>
      </w:pPr>
      <w:r>
        <w:rPr>
          <w:rFonts w:hint="eastAsia" w:ascii="仿宋" w:hAnsi="仿宋" w:eastAsia="仿宋" w:cs="仿宋"/>
          <w:bCs/>
          <w:kern w:val="0"/>
          <w:sz w:val="24"/>
          <w:szCs w:val="24"/>
          <w:highlight w:val="none"/>
        </w:rPr>
        <w:t>账  号：</w:t>
      </w:r>
      <w:r>
        <w:rPr>
          <w:rFonts w:hint="eastAsia" w:ascii="仿宋" w:hAnsi="仿宋" w:eastAsia="仿宋" w:cs="仿宋"/>
          <w:bCs/>
          <w:kern w:val="0"/>
          <w:sz w:val="24"/>
          <w:szCs w:val="24"/>
          <w:highlight w:val="none"/>
          <w:u w:val="single"/>
        </w:rPr>
        <w:t xml:space="preserve">               </w:t>
      </w:r>
    </w:p>
    <w:p w14:paraId="27C80EE8">
      <w:pPr>
        <w:autoSpaceDE w:val="0"/>
        <w:autoSpaceDN w:val="0"/>
        <w:adjustRightInd w:val="0"/>
        <w:snapToGrid w:val="0"/>
        <w:spacing w:line="360" w:lineRule="auto"/>
        <w:ind w:firstLine="480" w:firstLineChars="200"/>
        <w:jc w:val="left"/>
        <w:rPr>
          <w:rFonts w:ascii="仿宋" w:hAnsi="仿宋" w:eastAsia="仿宋" w:cs="仿宋"/>
          <w:bCs/>
          <w:kern w:val="0"/>
          <w:sz w:val="24"/>
          <w:szCs w:val="24"/>
          <w:highlight w:val="none"/>
          <w:u w:val="single"/>
        </w:rPr>
      </w:pPr>
      <w:r>
        <w:rPr>
          <w:rFonts w:hint="eastAsia" w:ascii="仿宋" w:hAnsi="仿宋" w:eastAsia="仿宋" w:cs="仿宋"/>
          <w:bCs/>
          <w:kern w:val="0"/>
          <w:sz w:val="24"/>
          <w:szCs w:val="24"/>
          <w:highlight w:val="none"/>
        </w:rPr>
        <w:t>开户行：</w:t>
      </w:r>
      <w:r>
        <w:rPr>
          <w:rFonts w:hint="eastAsia" w:ascii="仿宋" w:hAnsi="仿宋" w:eastAsia="仿宋" w:cs="仿宋"/>
          <w:bCs/>
          <w:kern w:val="0"/>
          <w:sz w:val="24"/>
          <w:szCs w:val="24"/>
          <w:highlight w:val="none"/>
          <w:u w:val="single"/>
        </w:rPr>
        <w:t xml:space="preserve">               </w:t>
      </w:r>
    </w:p>
    <w:p w14:paraId="75D08004">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合同的变更和转让：</w:t>
      </w:r>
    </w:p>
    <w:p w14:paraId="6759F9C5">
      <w:pPr>
        <w:autoSpaceDE w:val="0"/>
        <w:autoSpaceDN w:val="0"/>
        <w:adjustRightInd w:val="0"/>
        <w:snapToGrid w:val="0"/>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合同有效期内，任何一方均不得擅自变更合同的权利和义务，除非双方的授权代表以书面的方式确认。</w:t>
      </w:r>
    </w:p>
    <w:p w14:paraId="7A4703F0">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信息保密：</w:t>
      </w:r>
    </w:p>
    <w:p w14:paraId="0C03B4BE">
      <w:pPr>
        <w:autoSpaceDE w:val="0"/>
        <w:autoSpaceDN w:val="0"/>
        <w:adjustRightInd w:val="0"/>
        <w:snapToGrid w:val="0"/>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甲乙双方对本合同，与本合同相关的其它信息，涉及乙方知识产权的相关信息均负有保密义务。未经另一方事先书面同意，任何一方不得将该信息的任何部分向任何第三方或社会公众披露。如最终用户或政府部门要求甲方或乙方提供保密信息，该方应将此要求及时通知另一方。该保密义务在本合同终止或解除后仍然有效。</w:t>
      </w:r>
    </w:p>
    <w:p w14:paraId="55549338">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豁免及违约责任：</w:t>
      </w:r>
    </w:p>
    <w:p w14:paraId="24C4FEB2">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由于公认的不可抗力事件造成的损坏（如自然灾害、爆炸、房屋倒塌、暴乱、坠机及蓄意破坏、缺乏燃料或水电、劳资纠纷、罢工、战争等），乙方根据实际情况部分或全部免除责任，并及时通知甲方。</w:t>
      </w:r>
    </w:p>
    <w:p w14:paraId="151AA6FF">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乙方应甲方要求进行技术服务前，若发生甲方隐瞒其机器曾自行或请第三方修理调整、换装零件、改装机器及备件的，乙方不承担相关责任。</w:t>
      </w:r>
    </w:p>
    <w:p w14:paraId="77CD9E9C">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甲方或其代表未遵照保养及操作手册上的程序所进行操作所引起的设备故障，乙方不承担相关责任。</w:t>
      </w:r>
    </w:p>
    <w:p w14:paraId="3974BE13">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在合同有效期内，未经乙方认可，甲方擅自维修、移机、保养或更换零备件，乙方有权解除合同。</w:t>
      </w:r>
    </w:p>
    <w:p w14:paraId="3E23B614">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除不可抗力或乙方不可能控制的因素导致的情形外，因为乙方过错无故不履行合同或者履行合同不符合约定给甲方造成损失的，乙方负责赔偿直接损失，该损失赔偿额最高不超过本合同签署时双方约定的甲方应支付给乙方的设备当期服务合同价款。</w:t>
      </w:r>
    </w:p>
    <w:p w14:paraId="6FDEB8A7">
      <w:pPr>
        <w:pStyle w:val="39"/>
        <w:numPr>
          <w:ilvl w:val="1"/>
          <w:numId w:val="1"/>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kern w:val="0"/>
          <w:sz w:val="24"/>
          <w:szCs w:val="24"/>
          <w:highlight w:val="none"/>
        </w:rPr>
      </w:pPr>
      <w:r>
        <w:rPr>
          <w:rFonts w:hint="eastAsia" w:ascii="仿宋" w:hAnsi="仿宋" w:eastAsia="仿宋" w:cs="仿宋"/>
          <w:bCs/>
          <w:kern w:val="0"/>
          <w:sz w:val="24"/>
          <w:szCs w:val="24"/>
          <w:highlight w:val="none"/>
        </w:rPr>
        <w:t>如甲方超出本合同付款条款规定期限30天仍未支付相关款项，乙方有权终止或解除合同，并要求甲方支付所有应付款项及违约金（违约金按照每天合同总金额0.3%计算）及其他相关费用（包括但不限于诉讼费，合理的律师费等）。</w:t>
      </w:r>
      <w:r>
        <w:rPr>
          <w:rFonts w:hint="eastAsia" w:ascii="仿宋" w:hAnsi="仿宋" w:eastAsia="仿宋" w:cs="仿宋"/>
          <w:kern w:val="0"/>
          <w:sz w:val="24"/>
          <w:szCs w:val="24"/>
          <w:highlight w:val="none"/>
        </w:rPr>
        <w:t>自乙方发出书面通知7个工作日起，合同自动终止或解除。</w:t>
      </w:r>
    </w:p>
    <w:p w14:paraId="58974A8C">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争议解决：</w:t>
      </w:r>
    </w:p>
    <w:p w14:paraId="3F1FCE78">
      <w:pPr>
        <w:adjustRightInd w:val="0"/>
        <w:snapToGrid w:val="0"/>
        <w:spacing w:line="360" w:lineRule="auto"/>
        <w:ind w:firstLine="480" w:firstLineChars="200"/>
        <w:rPr>
          <w:rFonts w:ascii="仿宋" w:hAnsi="仿宋" w:eastAsia="仿宋" w:cs="仿宋"/>
          <w:bCs/>
          <w:kern w:val="0"/>
          <w:sz w:val="24"/>
          <w:szCs w:val="24"/>
          <w:highlight w:val="none"/>
        </w:rPr>
      </w:pPr>
      <w:r>
        <w:rPr>
          <w:rFonts w:hint="eastAsia" w:ascii="仿宋" w:hAnsi="仿宋" w:eastAsia="仿宋" w:cs="仿宋"/>
          <w:bCs/>
          <w:kern w:val="0"/>
          <w:sz w:val="24"/>
          <w:szCs w:val="24"/>
          <w:highlight w:val="none"/>
        </w:rPr>
        <w:t>甲乙双方在履行合同过程中发生争议应协商解决，协商不成的，可向合同签订地人民法院起诉。</w:t>
      </w:r>
    </w:p>
    <w:p w14:paraId="2B430C03">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其他:</w:t>
      </w:r>
    </w:p>
    <w:p w14:paraId="68AB02DB">
      <w:pPr>
        <w:pStyle w:val="39"/>
        <w:numPr>
          <w:ilvl w:val="1"/>
          <w:numId w:val="2"/>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bCs/>
          <w:kern w:val="0"/>
          <w:sz w:val="24"/>
          <w:szCs w:val="24"/>
          <w:highlight w:val="none"/>
        </w:rPr>
      </w:pPr>
      <w:r>
        <w:rPr>
          <w:rFonts w:hint="eastAsia" w:ascii="仿宋" w:hAnsi="仿宋" w:eastAsia="仿宋" w:cs="仿宋"/>
          <w:kern w:val="0"/>
          <w:sz w:val="24"/>
          <w:szCs w:val="24"/>
          <w:highlight w:val="none"/>
        </w:rPr>
        <w:t>本合同附加内容具有与以上条款同样的法律责任。</w:t>
      </w:r>
    </w:p>
    <w:p w14:paraId="3CD38B58">
      <w:pPr>
        <w:pStyle w:val="39"/>
        <w:numPr>
          <w:ilvl w:val="1"/>
          <w:numId w:val="2"/>
        </w:numPr>
        <w:autoSpaceDE w:val="0"/>
        <w:autoSpaceDN w:val="0"/>
        <w:adjustRightInd w:val="0"/>
        <w:snapToGrid w:val="0"/>
        <w:spacing w:before="0" w:beforeAutospacing="0" w:after="0" w:afterAutospacing="0" w:line="360" w:lineRule="auto"/>
        <w:ind w:left="0" w:firstLine="480" w:firstLineChars="200"/>
        <w:jc w:val="left"/>
        <w:rPr>
          <w:rFonts w:ascii="仿宋" w:hAnsi="仿宋" w:eastAsia="仿宋" w:cs="仿宋"/>
          <w:bCs/>
          <w:kern w:val="0"/>
          <w:sz w:val="24"/>
          <w:szCs w:val="24"/>
          <w:highlight w:val="none"/>
        </w:rPr>
      </w:pPr>
      <w:r>
        <w:rPr>
          <w:rFonts w:hint="eastAsia" w:ascii="仿宋" w:hAnsi="仿宋" w:eastAsia="仿宋" w:cs="仿宋"/>
          <w:kern w:val="0"/>
          <w:sz w:val="24"/>
          <w:szCs w:val="24"/>
          <w:highlight w:val="none"/>
        </w:rPr>
        <w:t>合同正本一式</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份，甲方执</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份，乙方执</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份，经双方签字盖章后生效。</w:t>
      </w:r>
    </w:p>
    <w:p w14:paraId="01A633C1">
      <w:pPr>
        <w:pStyle w:val="39"/>
        <w:numPr>
          <w:ilvl w:val="0"/>
          <w:numId w:val="1"/>
        </w:numPr>
        <w:autoSpaceDE w:val="0"/>
        <w:autoSpaceDN w:val="0"/>
        <w:adjustRightInd w:val="0"/>
        <w:snapToGrid w:val="0"/>
        <w:spacing w:before="0" w:beforeAutospacing="0" w:after="0" w:afterAutospacing="0" w:line="360" w:lineRule="auto"/>
        <w:ind w:left="0" w:firstLine="0"/>
        <w:jc w:val="left"/>
        <w:rPr>
          <w:rFonts w:ascii="仿宋" w:hAnsi="仿宋" w:eastAsia="仿宋" w:cs="仿宋"/>
          <w:b/>
          <w:kern w:val="0"/>
          <w:sz w:val="24"/>
          <w:szCs w:val="24"/>
          <w:highlight w:val="none"/>
        </w:rPr>
      </w:pPr>
      <w:r>
        <w:rPr>
          <w:rFonts w:hint="eastAsia" w:ascii="仿宋" w:hAnsi="仿宋" w:eastAsia="仿宋" w:cs="仿宋"/>
          <w:b/>
          <w:kern w:val="0"/>
          <w:sz w:val="24"/>
          <w:szCs w:val="24"/>
          <w:highlight w:val="none"/>
        </w:rPr>
        <w:t>附件：</w:t>
      </w:r>
    </w:p>
    <w:p w14:paraId="2F6E6B22">
      <w:pPr>
        <w:autoSpaceDE w:val="0"/>
        <w:autoSpaceDN w:val="0"/>
        <w:adjustRightInd w:val="0"/>
        <w:snapToGrid w:val="0"/>
        <w:spacing w:line="360" w:lineRule="auto"/>
        <w:ind w:firstLine="480" w:firstLineChars="200"/>
        <w:jc w:val="left"/>
        <w:rPr>
          <w:rFonts w:ascii="仿宋" w:hAnsi="仿宋" w:eastAsia="仿宋" w:cs="仿宋"/>
          <w:kern w:val="0"/>
          <w:sz w:val="24"/>
          <w:szCs w:val="24"/>
          <w:highlight w:val="none"/>
        </w:rPr>
      </w:pPr>
      <w:r>
        <w:rPr>
          <w:rFonts w:hint="eastAsia" w:ascii="仿宋" w:hAnsi="仿宋" w:eastAsia="仿宋" w:cs="仿宋"/>
          <w:kern w:val="0"/>
          <w:sz w:val="24"/>
          <w:szCs w:val="24"/>
          <w:highlight w:val="none"/>
        </w:rPr>
        <w:t>附件1：《设备清单》</w:t>
      </w:r>
    </w:p>
    <w:tbl>
      <w:tblPr>
        <w:tblStyle w:val="19"/>
        <w:tblW w:w="0" w:type="auto"/>
        <w:tblInd w:w="0" w:type="dxa"/>
        <w:tblLayout w:type="fixed"/>
        <w:tblCellMar>
          <w:top w:w="0" w:type="dxa"/>
          <w:left w:w="108" w:type="dxa"/>
          <w:bottom w:w="0" w:type="dxa"/>
          <w:right w:w="108" w:type="dxa"/>
        </w:tblCellMar>
      </w:tblPr>
      <w:tblGrid>
        <w:gridCol w:w="1147"/>
        <w:gridCol w:w="2072"/>
        <w:gridCol w:w="1201"/>
        <w:gridCol w:w="709"/>
        <w:gridCol w:w="2409"/>
        <w:gridCol w:w="1843"/>
      </w:tblGrid>
      <w:tr w14:paraId="16E97769">
        <w:tblPrEx>
          <w:tblCellMar>
            <w:top w:w="0" w:type="dxa"/>
            <w:left w:w="108" w:type="dxa"/>
            <w:bottom w:w="0" w:type="dxa"/>
            <w:right w:w="108" w:type="dxa"/>
          </w:tblCellMar>
        </w:tblPrEx>
        <w:trPr>
          <w:trHeight w:val="285" w:hRule="atLeast"/>
        </w:trPr>
        <w:tc>
          <w:tcPr>
            <w:tcW w:w="1147" w:type="dxa"/>
            <w:tcBorders>
              <w:top w:val="single" w:color="auto" w:sz="8" w:space="0"/>
              <w:left w:val="single" w:color="auto" w:sz="8" w:space="0"/>
              <w:bottom w:val="single" w:color="auto" w:sz="8" w:space="0"/>
              <w:right w:val="single" w:color="auto" w:sz="8" w:space="0"/>
            </w:tcBorders>
            <w:vAlign w:val="center"/>
          </w:tcPr>
          <w:p w14:paraId="13B5E7A1">
            <w:pPr>
              <w:widowControl/>
              <w:adjustRightInd w:val="0"/>
              <w:snapToGrid w:val="0"/>
              <w:spacing w:line="360" w:lineRule="auto"/>
              <w:jc w:val="center"/>
              <w:rPr>
                <w:rFonts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序号</w:t>
            </w:r>
          </w:p>
        </w:tc>
        <w:tc>
          <w:tcPr>
            <w:tcW w:w="2072" w:type="dxa"/>
            <w:tcBorders>
              <w:top w:val="single" w:color="auto" w:sz="8" w:space="0"/>
              <w:left w:val="nil"/>
              <w:bottom w:val="single" w:color="auto" w:sz="8" w:space="0"/>
              <w:right w:val="single" w:color="auto" w:sz="8" w:space="0"/>
            </w:tcBorders>
            <w:vAlign w:val="center"/>
          </w:tcPr>
          <w:p w14:paraId="2EE33416">
            <w:pPr>
              <w:widowControl/>
              <w:adjustRightInd w:val="0"/>
              <w:snapToGrid w:val="0"/>
              <w:spacing w:line="360" w:lineRule="auto"/>
              <w:jc w:val="center"/>
              <w:rPr>
                <w:rFonts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设备型号</w:t>
            </w:r>
          </w:p>
        </w:tc>
        <w:tc>
          <w:tcPr>
            <w:tcW w:w="1201" w:type="dxa"/>
            <w:tcBorders>
              <w:top w:val="single" w:color="auto" w:sz="8" w:space="0"/>
              <w:left w:val="nil"/>
              <w:bottom w:val="single" w:color="auto" w:sz="8" w:space="0"/>
              <w:right w:val="single" w:color="auto" w:sz="8" w:space="0"/>
            </w:tcBorders>
            <w:vAlign w:val="center"/>
          </w:tcPr>
          <w:p w14:paraId="023F2B78">
            <w:pPr>
              <w:widowControl/>
              <w:adjustRightInd w:val="0"/>
              <w:snapToGrid w:val="0"/>
              <w:spacing w:line="360" w:lineRule="auto"/>
              <w:jc w:val="center"/>
              <w:rPr>
                <w:rFonts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厂家</w:t>
            </w:r>
          </w:p>
        </w:tc>
        <w:tc>
          <w:tcPr>
            <w:tcW w:w="709" w:type="dxa"/>
            <w:tcBorders>
              <w:top w:val="single" w:color="auto" w:sz="8" w:space="0"/>
              <w:left w:val="nil"/>
              <w:bottom w:val="single" w:color="auto" w:sz="8" w:space="0"/>
              <w:right w:val="single" w:color="auto" w:sz="8" w:space="0"/>
            </w:tcBorders>
            <w:vAlign w:val="center"/>
          </w:tcPr>
          <w:p w14:paraId="7D1D83FC">
            <w:pPr>
              <w:widowControl/>
              <w:adjustRightInd w:val="0"/>
              <w:snapToGrid w:val="0"/>
              <w:spacing w:line="360" w:lineRule="auto"/>
              <w:jc w:val="center"/>
              <w:rPr>
                <w:rFonts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数量</w:t>
            </w:r>
          </w:p>
        </w:tc>
        <w:tc>
          <w:tcPr>
            <w:tcW w:w="2409" w:type="dxa"/>
            <w:tcBorders>
              <w:top w:val="single" w:color="auto" w:sz="8" w:space="0"/>
              <w:left w:val="nil"/>
              <w:bottom w:val="single" w:color="auto" w:sz="8" w:space="0"/>
              <w:right w:val="single" w:color="auto" w:sz="8" w:space="0"/>
            </w:tcBorders>
            <w:vAlign w:val="center"/>
          </w:tcPr>
          <w:p w14:paraId="080CEAAE">
            <w:pPr>
              <w:widowControl/>
              <w:adjustRightInd w:val="0"/>
              <w:snapToGrid w:val="0"/>
              <w:spacing w:line="360" w:lineRule="auto"/>
              <w:jc w:val="center"/>
              <w:rPr>
                <w:rFonts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保修类型</w:t>
            </w:r>
          </w:p>
        </w:tc>
        <w:tc>
          <w:tcPr>
            <w:tcW w:w="1843" w:type="dxa"/>
            <w:tcBorders>
              <w:top w:val="single" w:color="auto" w:sz="8" w:space="0"/>
              <w:left w:val="nil"/>
              <w:bottom w:val="single" w:color="auto" w:sz="8" w:space="0"/>
              <w:right w:val="single" w:color="auto" w:sz="8" w:space="0"/>
            </w:tcBorders>
            <w:vAlign w:val="center"/>
          </w:tcPr>
          <w:p w14:paraId="57D0AB95">
            <w:pPr>
              <w:widowControl/>
              <w:adjustRightInd w:val="0"/>
              <w:snapToGrid w:val="0"/>
              <w:spacing w:line="360" w:lineRule="auto"/>
              <w:jc w:val="center"/>
              <w:rPr>
                <w:rFonts w:ascii="仿宋" w:hAnsi="仿宋" w:eastAsia="仿宋" w:cs="仿宋"/>
                <w:b/>
                <w:bCs/>
                <w:kern w:val="0"/>
                <w:sz w:val="24"/>
                <w:szCs w:val="24"/>
                <w:highlight w:val="none"/>
              </w:rPr>
            </w:pPr>
            <w:r>
              <w:rPr>
                <w:rFonts w:hint="eastAsia" w:ascii="仿宋" w:hAnsi="仿宋" w:eastAsia="仿宋" w:cs="仿宋"/>
                <w:b/>
                <w:bCs/>
                <w:kern w:val="0"/>
                <w:sz w:val="24"/>
                <w:szCs w:val="24"/>
                <w:highlight w:val="none"/>
              </w:rPr>
              <w:t>备注</w:t>
            </w:r>
          </w:p>
        </w:tc>
      </w:tr>
      <w:tr w14:paraId="7B951B69">
        <w:tblPrEx>
          <w:tblCellMar>
            <w:top w:w="0" w:type="dxa"/>
            <w:left w:w="108" w:type="dxa"/>
            <w:bottom w:w="0" w:type="dxa"/>
            <w:right w:w="108" w:type="dxa"/>
          </w:tblCellMar>
        </w:tblPrEx>
        <w:trPr>
          <w:trHeight w:val="285" w:hRule="atLeast"/>
        </w:trPr>
        <w:tc>
          <w:tcPr>
            <w:tcW w:w="1147" w:type="dxa"/>
            <w:tcBorders>
              <w:top w:val="nil"/>
              <w:left w:val="single" w:color="auto" w:sz="8" w:space="0"/>
              <w:bottom w:val="single" w:color="auto" w:sz="8" w:space="0"/>
              <w:right w:val="single" w:color="auto" w:sz="8" w:space="0"/>
            </w:tcBorders>
            <w:vAlign w:val="center"/>
          </w:tcPr>
          <w:p w14:paraId="072159AE">
            <w:pPr>
              <w:widowControl/>
              <w:adjustRightInd w:val="0"/>
              <w:snapToGrid w:val="0"/>
              <w:spacing w:line="360" w:lineRule="auto"/>
              <w:jc w:val="left"/>
              <w:rPr>
                <w:rFonts w:ascii="仿宋" w:hAnsi="仿宋" w:eastAsia="仿宋" w:cs="仿宋"/>
                <w:kern w:val="0"/>
                <w:sz w:val="24"/>
                <w:szCs w:val="24"/>
                <w:highlight w:val="none"/>
              </w:rPr>
            </w:pPr>
          </w:p>
        </w:tc>
        <w:tc>
          <w:tcPr>
            <w:tcW w:w="2072" w:type="dxa"/>
            <w:tcBorders>
              <w:top w:val="nil"/>
              <w:left w:val="nil"/>
              <w:bottom w:val="single" w:color="auto" w:sz="8" w:space="0"/>
              <w:right w:val="single" w:color="auto" w:sz="8" w:space="0"/>
            </w:tcBorders>
            <w:vAlign w:val="center"/>
          </w:tcPr>
          <w:p w14:paraId="7E60E4E1">
            <w:pPr>
              <w:widowControl/>
              <w:adjustRightInd w:val="0"/>
              <w:snapToGrid w:val="0"/>
              <w:spacing w:line="360" w:lineRule="auto"/>
              <w:jc w:val="left"/>
              <w:rPr>
                <w:rFonts w:ascii="仿宋" w:hAnsi="仿宋" w:eastAsia="仿宋" w:cs="仿宋"/>
                <w:kern w:val="0"/>
                <w:sz w:val="24"/>
                <w:szCs w:val="24"/>
                <w:highlight w:val="none"/>
              </w:rPr>
            </w:pPr>
          </w:p>
        </w:tc>
        <w:tc>
          <w:tcPr>
            <w:tcW w:w="1201" w:type="dxa"/>
            <w:tcBorders>
              <w:top w:val="nil"/>
              <w:left w:val="nil"/>
              <w:bottom w:val="single" w:color="auto" w:sz="8" w:space="0"/>
              <w:right w:val="single" w:color="auto" w:sz="8" w:space="0"/>
            </w:tcBorders>
            <w:vAlign w:val="center"/>
          </w:tcPr>
          <w:p w14:paraId="2FB1A57B">
            <w:pPr>
              <w:widowControl/>
              <w:adjustRightInd w:val="0"/>
              <w:snapToGrid w:val="0"/>
              <w:spacing w:line="360" w:lineRule="auto"/>
              <w:jc w:val="left"/>
              <w:rPr>
                <w:rFonts w:ascii="仿宋" w:hAnsi="仿宋" w:eastAsia="仿宋" w:cs="仿宋"/>
                <w:kern w:val="0"/>
                <w:sz w:val="24"/>
                <w:szCs w:val="24"/>
                <w:highlight w:val="none"/>
              </w:rPr>
            </w:pPr>
          </w:p>
        </w:tc>
        <w:tc>
          <w:tcPr>
            <w:tcW w:w="709" w:type="dxa"/>
            <w:tcBorders>
              <w:top w:val="nil"/>
              <w:left w:val="nil"/>
              <w:bottom w:val="single" w:color="auto" w:sz="8" w:space="0"/>
              <w:right w:val="single" w:color="auto" w:sz="8" w:space="0"/>
            </w:tcBorders>
            <w:vAlign w:val="center"/>
          </w:tcPr>
          <w:p w14:paraId="249E6806">
            <w:pPr>
              <w:widowControl/>
              <w:adjustRightInd w:val="0"/>
              <w:snapToGrid w:val="0"/>
              <w:spacing w:line="360" w:lineRule="auto"/>
              <w:jc w:val="left"/>
              <w:rPr>
                <w:rFonts w:ascii="仿宋" w:hAnsi="仿宋" w:eastAsia="仿宋" w:cs="仿宋"/>
                <w:kern w:val="0"/>
                <w:sz w:val="24"/>
                <w:szCs w:val="24"/>
                <w:highlight w:val="none"/>
              </w:rPr>
            </w:pPr>
          </w:p>
        </w:tc>
        <w:tc>
          <w:tcPr>
            <w:tcW w:w="2409" w:type="dxa"/>
            <w:tcBorders>
              <w:top w:val="nil"/>
              <w:left w:val="nil"/>
              <w:bottom w:val="single" w:color="auto" w:sz="8" w:space="0"/>
              <w:right w:val="single" w:color="auto" w:sz="8" w:space="0"/>
            </w:tcBorders>
            <w:vAlign w:val="center"/>
          </w:tcPr>
          <w:p w14:paraId="31DEF162">
            <w:pPr>
              <w:widowControl/>
              <w:adjustRightInd w:val="0"/>
              <w:snapToGrid w:val="0"/>
              <w:spacing w:line="360" w:lineRule="auto"/>
              <w:jc w:val="left"/>
              <w:rPr>
                <w:rFonts w:ascii="仿宋" w:hAnsi="仿宋" w:eastAsia="仿宋" w:cs="仿宋"/>
                <w:kern w:val="0"/>
                <w:sz w:val="24"/>
                <w:szCs w:val="24"/>
                <w:highlight w:val="none"/>
              </w:rPr>
            </w:pPr>
          </w:p>
        </w:tc>
        <w:tc>
          <w:tcPr>
            <w:tcW w:w="1843" w:type="dxa"/>
            <w:tcBorders>
              <w:top w:val="nil"/>
              <w:left w:val="nil"/>
              <w:bottom w:val="single" w:color="auto" w:sz="8" w:space="0"/>
              <w:right w:val="single" w:color="auto" w:sz="8" w:space="0"/>
            </w:tcBorders>
            <w:vAlign w:val="center"/>
          </w:tcPr>
          <w:p w14:paraId="6043846D">
            <w:pPr>
              <w:widowControl/>
              <w:adjustRightInd w:val="0"/>
              <w:snapToGrid w:val="0"/>
              <w:spacing w:line="360" w:lineRule="auto"/>
              <w:jc w:val="left"/>
              <w:rPr>
                <w:rFonts w:ascii="仿宋" w:hAnsi="仿宋" w:eastAsia="仿宋" w:cs="仿宋"/>
                <w:kern w:val="0"/>
                <w:sz w:val="24"/>
                <w:szCs w:val="24"/>
                <w:highlight w:val="none"/>
              </w:rPr>
            </w:pPr>
          </w:p>
        </w:tc>
      </w:tr>
    </w:tbl>
    <w:p w14:paraId="7F9FE1E2">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附件2：中标人投标文件；</w:t>
      </w:r>
    </w:p>
    <w:p w14:paraId="46C40E6F">
      <w:pPr>
        <w:adjustRightInd w:val="0"/>
        <w:snapToGrid w:val="0"/>
        <w:spacing w:line="360" w:lineRule="auto"/>
        <w:ind w:firstLine="480" w:firstLineChars="200"/>
        <w:rPr>
          <w:rFonts w:ascii="仿宋" w:hAnsi="仿宋" w:eastAsia="仿宋" w:cs="仿宋"/>
          <w:sz w:val="24"/>
          <w:szCs w:val="24"/>
          <w:highlight w:val="none"/>
        </w:rPr>
      </w:pPr>
      <w:r>
        <w:rPr>
          <w:rFonts w:hint="eastAsia" w:ascii="仿宋" w:hAnsi="仿宋" w:eastAsia="仿宋" w:cs="仿宋"/>
          <w:kern w:val="0"/>
          <w:sz w:val="24"/>
          <w:szCs w:val="24"/>
          <w:highlight w:val="none"/>
        </w:rPr>
        <w:t>附件4：中标</w:t>
      </w:r>
      <w:r>
        <w:rPr>
          <w:rFonts w:hint="eastAsia" w:ascii="仿宋" w:hAnsi="仿宋" w:eastAsia="仿宋" w:cs="仿宋"/>
          <w:sz w:val="24"/>
          <w:szCs w:val="24"/>
          <w:highlight w:val="none"/>
        </w:rPr>
        <w:t>通知书；</w:t>
      </w:r>
    </w:p>
    <w:p w14:paraId="4D7974B4">
      <w:pPr>
        <w:spacing w:line="500" w:lineRule="exact"/>
        <w:rPr>
          <w:rFonts w:ascii="仿宋" w:hAnsi="仿宋" w:eastAsia="仿宋" w:cs="仿宋"/>
          <w:sz w:val="24"/>
          <w:szCs w:val="24"/>
          <w:highlight w:val="none"/>
        </w:rPr>
      </w:pPr>
    </w:p>
    <w:p w14:paraId="17733C25">
      <w:pPr>
        <w:spacing w:line="500" w:lineRule="exact"/>
        <w:rPr>
          <w:rFonts w:ascii="仿宋" w:hAnsi="仿宋" w:eastAsia="仿宋" w:cs="仿宋"/>
          <w:sz w:val="24"/>
          <w:szCs w:val="24"/>
          <w:highlight w:val="none"/>
        </w:rPr>
      </w:pPr>
    </w:p>
    <w:p w14:paraId="519CEF5C">
      <w:pPr>
        <w:rPr>
          <w:highlight w:val="none"/>
        </w:rPr>
      </w:pPr>
      <w:r>
        <w:rPr>
          <w:highlight w:val="none"/>
        </w:rPr>
        <w:t xml:space="preserve"> </w:t>
      </w:r>
    </w:p>
    <w:p w14:paraId="0310EFB3">
      <w:pPr>
        <w:rPr>
          <w:rFonts w:ascii="仿宋" w:hAnsi="仿宋" w:eastAsia="仿宋"/>
          <w:b/>
          <w:bCs/>
          <w:caps/>
          <w:color w:val="000000"/>
          <w:sz w:val="32"/>
          <w:szCs w:val="32"/>
          <w:highlight w:val="none"/>
        </w:rPr>
      </w:pPr>
      <w:bookmarkStart w:id="67" w:name="_Toc30922"/>
      <w:r>
        <w:rPr>
          <w:rFonts w:hint="eastAsia" w:ascii="仿宋" w:hAnsi="仿宋" w:eastAsia="仿宋"/>
          <w:b/>
          <w:bCs/>
          <w:caps/>
          <w:color w:val="000000"/>
          <w:sz w:val="32"/>
          <w:szCs w:val="32"/>
          <w:highlight w:val="none"/>
        </w:rPr>
        <w:br w:type="page"/>
      </w:r>
    </w:p>
    <w:p w14:paraId="7E57DF2B">
      <w:pPr>
        <w:spacing w:line="360" w:lineRule="auto"/>
        <w:jc w:val="center"/>
        <w:outlineLvl w:val="0"/>
        <w:rPr>
          <w:rFonts w:ascii="仿宋" w:hAnsi="仿宋" w:eastAsia="仿宋"/>
          <w:b/>
          <w:bCs/>
          <w:caps/>
          <w:color w:val="000000"/>
          <w:sz w:val="32"/>
          <w:szCs w:val="32"/>
          <w:highlight w:val="none"/>
        </w:rPr>
      </w:pPr>
      <w:r>
        <w:rPr>
          <w:rFonts w:hint="eastAsia" w:ascii="仿宋" w:hAnsi="仿宋" w:eastAsia="仿宋"/>
          <w:b/>
          <w:bCs/>
          <w:caps/>
          <w:color w:val="000000"/>
          <w:sz w:val="32"/>
          <w:szCs w:val="32"/>
          <w:highlight w:val="none"/>
        </w:rPr>
        <w:t>第六章  投标文件格式</w:t>
      </w:r>
      <w:bookmarkEnd w:id="67"/>
    </w:p>
    <w:p w14:paraId="106776DB">
      <w:pPr>
        <w:pStyle w:val="9"/>
        <w:wordWrap w:val="0"/>
        <w:snapToGrid w:val="0"/>
        <w:spacing w:line="360" w:lineRule="auto"/>
        <w:ind w:firstLine="1675" w:firstLineChars="695"/>
        <w:rPr>
          <w:rFonts w:ascii="仿宋" w:hAnsi="仿宋" w:eastAsia="仿宋"/>
          <w:b/>
          <w:caps/>
          <w:color w:val="000000"/>
          <w:sz w:val="24"/>
          <w:szCs w:val="24"/>
          <w:highlight w:val="none"/>
          <w:u w:val="single"/>
        </w:rPr>
      </w:pPr>
    </w:p>
    <w:p w14:paraId="2F209E1A">
      <w:pPr>
        <w:jc w:val="left"/>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 </w:t>
      </w:r>
    </w:p>
    <w:p w14:paraId="7EB8F1CE">
      <w:pPr>
        <w:widowControl/>
        <w:spacing w:line="360" w:lineRule="auto"/>
        <w:jc w:val="center"/>
        <w:rPr>
          <w:rFonts w:ascii="仿宋" w:hAnsi="仿宋" w:eastAsia="仿宋" w:cs="仿宋"/>
          <w:b/>
          <w:bCs/>
          <w:color w:val="000000"/>
          <w:kern w:val="0"/>
          <w:sz w:val="48"/>
          <w:szCs w:val="48"/>
          <w:highlight w:val="none"/>
        </w:rPr>
      </w:pPr>
      <w:r>
        <w:rPr>
          <w:rFonts w:hint="eastAsia" w:ascii="仿宋" w:hAnsi="仿宋" w:eastAsia="仿宋" w:cs="仿宋"/>
          <w:b/>
          <w:bCs/>
          <w:color w:val="000000"/>
          <w:kern w:val="0"/>
          <w:sz w:val="48"/>
          <w:szCs w:val="48"/>
          <w:highlight w:val="none"/>
        </w:rPr>
        <w:t>陇川县人民医院采购医疗设备</w:t>
      </w:r>
    </w:p>
    <w:p w14:paraId="2A6D6F66">
      <w:pPr>
        <w:widowControl/>
        <w:spacing w:line="360" w:lineRule="auto"/>
        <w:jc w:val="center"/>
        <w:rPr>
          <w:rFonts w:ascii="仿宋" w:hAnsi="仿宋" w:eastAsia="仿宋" w:cs="仿宋"/>
          <w:b/>
          <w:bCs/>
          <w:sz w:val="48"/>
          <w:szCs w:val="48"/>
          <w:highlight w:val="none"/>
        </w:rPr>
      </w:pPr>
      <w:r>
        <w:rPr>
          <w:rFonts w:hint="eastAsia" w:ascii="仿宋" w:hAnsi="仿宋" w:eastAsia="仿宋" w:cs="仿宋"/>
          <w:b/>
          <w:bCs/>
          <w:color w:val="000000"/>
          <w:kern w:val="0"/>
          <w:sz w:val="48"/>
          <w:szCs w:val="48"/>
          <w:highlight w:val="none"/>
        </w:rPr>
        <w:t>维护保修服务项目</w:t>
      </w:r>
    </w:p>
    <w:p w14:paraId="34644BB0">
      <w:pPr>
        <w:pStyle w:val="9"/>
        <w:wordWrap w:val="0"/>
        <w:snapToGrid w:val="0"/>
        <w:spacing w:line="360" w:lineRule="auto"/>
        <w:jc w:val="center"/>
        <w:rPr>
          <w:rFonts w:ascii="仿宋" w:hAnsi="仿宋" w:eastAsia="仿宋"/>
          <w:b/>
          <w:caps/>
          <w:color w:val="000000"/>
          <w:sz w:val="48"/>
          <w:szCs w:val="48"/>
          <w:highlight w:val="none"/>
        </w:rPr>
      </w:pPr>
      <w:r>
        <w:rPr>
          <w:rFonts w:hint="eastAsia" w:ascii="仿宋" w:hAnsi="仿宋" w:eastAsia="仿宋"/>
          <w:b/>
          <w:caps/>
          <w:color w:val="000000"/>
          <w:sz w:val="48"/>
          <w:szCs w:val="48"/>
          <w:highlight w:val="none"/>
        </w:rPr>
        <w:t xml:space="preserve"> </w:t>
      </w:r>
    </w:p>
    <w:p w14:paraId="14689BBB">
      <w:pPr>
        <w:pStyle w:val="9"/>
        <w:wordWrap w:val="0"/>
        <w:snapToGrid w:val="0"/>
        <w:spacing w:line="360" w:lineRule="auto"/>
        <w:jc w:val="center"/>
        <w:rPr>
          <w:rFonts w:ascii="仿宋" w:hAnsi="仿宋" w:eastAsia="仿宋"/>
          <w:b/>
          <w:caps/>
          <w:color w:val="000000"/>
          <w:sz w:val="48"/>
          <w:szCs w:val="48"/>
          <w:highlight w:val="none"/>
        </w:rPr>
      </w:pPr>
      <w:r>
        <w:rPr>
          <w:rFonts w:hint="eastAsia" w:ascii="仿宋" w:hAnsi="仿宋" w:eastAsia="仿宋"/>
          <w:b/>
          <w:caps/>
          <w:color w:val="000000"/>
          <w:sz w:val="48"/>
          <w:szCs w:val="48"/>
          <w:highlight w:val="none"/>
        </w:rPr>
        <w:t xml:space="preserve">  </w:t>
      </w:r>
    </w:p>
    <w:p w14:paraId="0D8171F9">
      <w:pPr>
        <w:pStyle w:val="9"/>
        <w:wordWrap w:val="0"/>
        <w:snapToGrid w:val="0"/>
        <w:spacing w:line="360" w:lineRule="auto"/>
        <w:jc w:val="center"/>
        <w:rPr>
          <w:rFonts w:ascii="仿宋" w:hAnsi="仿宋" w:eastAsia="仿宋"/>
          <w:b/>
          <w:caps/>
          <w:color w:val="000000"/>
          <w:sz w:val="48"/>
          <w:szCs w:val="48"/>
          <w:highlight w:val="none"/>
        </w:rPr>
      </w:pPr>
      <w:r>
        <w:rPr>
          <w:rFonts w:hint="eastAsia" w:ascii="仿宋" w:hAnsi="仿宋" w:eastAsia="仿宋"/>
          <w:b/>
          <w:caps/>
          <w:color w:val="000000"/>
          <w:sz w:val="48"/>
          <w:szCs w:val="48"/>
          <w:highlight w:val="none"/>
        </w:rPr>
        <w:t>投标文件</w:t>
      </w:r>
    </w:p>
    <w:p w14:paraId="35611701">
      <w:pPr>
        <w:pStyle w:val="9"/>
        <w:wordWrap w:val="0"/>
        <w:snapToGrid w:val="0"/>
        <w:spacing w:line="360" w:lineRule="auto"/>
        <w:ind w:firstLine="3086" w:firstLineChars="1281"/>
        <w:rPr>
          <w:rFonts w:ascii="仿宋" w:hAnsi="仿宋" w:eastAsia="仿宋"/>
          <w:b/>
          <w:caps/>
          <w:color w:val="000000"/>
          <w:sz w:val="24"/>
          <w:szCs w:val="24"/>
          <w:highlight w:val="none"/>
        </w:rPr>
      </w:pPr>
      <w:r>
        <w:rPr>
          <w:rFonts w:hint="eastAsia" w:ascii="仿宋" w:hAnsi="仿宋" w:eastAsia="仿宋"/>
          <w:b/>
          <w:caps/>
          <w:color w:val="000000"/>
          <w:sz w:val="24"/>
          <w:szCs w:val="24"/>
          <w:highlight w:val="none"/>
        </w:rPr>
        <w:t xml:space="preserve">                   </w:t>
      </w:r>
    </w:p>
    <w:p w14:paraId="1DD527EA">
      <w:pPr>
        <w:pStyle w:val="9"/>
        <w:wordWrap w:val="0"/>
        <w:snapToGrid w:val="0"/>
        <w:spacing w:line="360" w:lineRule="auto"/>
        <w:jc w:val="center"/>
        <w:rPr>
          <w:rFonts w:ascii="仿宋" w:hAnsi="仿宋" w:eastAsia="仿宋"/>
          <w:b/>
          <w:caps/>
          <w:color w:val="000000"/>
          <w:sz w:val="24"/>
          <w:szCs w:val="24"/>
          <w:highlight w:val="none"/>
        </w:rPr>
      </w:pPr>
      <w:r>
        <w:rPr>
          <w:rFonts w:hint="eastAsia" w:ascii="仿宋" w:hAnsi="仿宋" w:eastAsia="仿宋"/>
          <w:b/>
          <w:caps/>
          <w:color w:val="000000"/>
          <w:sz w:val="24"/>
          <w:szCs w:val="24"/>
          <w:highlight w:val="none"/>
        </w:rPr>
        <w:t xml:space="preserve"> </w:t>
      </w:r>
    </w:p>
    <w:p w14:paraId="7682CE96">
      <w:pPr>
        <w:pStyle w:val="9"/>
        <w:wordWrap w:val="0"/>
        <w:snapToGrid w:val="0"/>
        <w:spacing w:line="360" w:lineRule="auto"/>
        <w:jc w:val="center"/>
        <w:rPr>
          <w:rFonts w:ascii="仿宋" w:hAnsi="仿宋" w:eastAsia="仿宋"/>
          <w:b/>
          <w:caps/>
          <w:color w:val="000000"/>
          <w:sz w:val="24"/>
          <w:szCs w:val="24"/>
          <w:highlight w:val="none"/>
        </w:rPr>
      </w:pPr>
      <w:r>
        <w:rPr>
          <w:rFonts w:hint="eastAsia" w:ascii="仿宋" w:hAnsi="仿宋" w:eastAsia="仿宋"/>
          <w:b/>
          <w:caps/>
          <w:color w:val="000000"/>
          <w:sz w:val="24"/>
          <w:szCs w:val="24"/>
          <w:highlight w:val="none"/>
        </w:rPr>
        <w:t xml:space="preserve"> </w:t>
      </w:r>
    </w:p>
    <w:p w14:paraId="323551CA">
      <w:pPr>
        <w:pStyle w:val="9"/>
        <w:wordWrap w:val="0"/>
        <w:snapToGrid w:val="0"/>
        <w:spacing w:line="360" w:lineRule="auto"/>
        <w:jc w:val="center"/>
        <w:rPr>
          <w:rFonts w:ascii="仿宋" w:hAnsi="仿宋" w:eastAsia="仿宋"/>
          <w:b/>
          <w:caps/>
          <w:color w:val="000000"/>
          <w:sz w:val="24"/>
          <w:szCs w:val="24"/>
          <w:highlight w:val="none"/>
        </w:rPr>
      </w:pPr>
      <w:r>
        <w:rPr>
          <w:rFonts w:hint="eastAsia" w:ascii="仿宋" w:hAnsi="仿宋" w:eastAsia="仿宋"/>
          <w:b/>
          <w:caps/>
          <w:color w:val="000000"/>
          <w:sz w:val="24"/>
          <w:szCs w:val="24"/>
          <w:highlight w:val="none"/>
        </w:rPr>
        <w:t xml:space="preserve">  </w:t>
      </w:r>
    </w:p>
    <w:p w14:paraId="387F9D49">
      <w:pPr>
        <w:pStyle w:val="9"/>
        <w:wordWrap w:val="0"/>
        <w:snapToGrid w:val="0"/>
        <w:spacing w:line="360" w:lineRule="auto"/>
        <w:rPr>
          <w:rFonts w:ascii="仿宋" w:hAnsi="仿宋" w:eastAsia="仿宋"/>
          <w:b/>
          <w:caps/>
          <w:color w:val="000000"/>
          <w:sz w:val="24"/>
          <w:szCs w:val="24"/>
          <w:highlight w:val="none"/>
        </w:rPr>
      </w:pPr>
      <w:r>
        <w:rPr>
          <w:rFonts w:hint="eastAsia" w:ascii="仿宋" w:hAnsi="仿宋" w:eastAsia="仿宋"/>
          <w:b/>
          <w:caps/>
          <w:color w:val="000000"/>
          <w:sz w:val="24"/>
          <w:szCs w:val="24"/>
          <w:highlight w:val="none"/>
        </w:rPr>
        <w:t xml:space="preserve"> </w:t>
      </w:r>
    </w:p>
    <w:p w14:paraId="64EF8965">
      <w:pPr>
        <w:autoSpaceDE w:val="0"/>
        <w:spacing w:line="480" w:lineRule="auto"/>
        <w:outlineLvl w:val="0"/>
        <w:rPr>
          <w:rFonts w:ascii="仿宋" w:hAnsi="仿宋" w:eastAsia="仿宋"/>
          <w:color w:val="000000"/>
          <w:sz w:val="30"/>
          <w:szCs w:val="30"/>
          <w:highlight w:val="none"/>
        </w:rPr>
      </w:pPr>
      <w:bookmarkStart w:id="68" w:name="_Toc3648"/>
      <w:bookmarkEnd w:id="68"/>
      <w:bookmarkStart w:id="69" w:name="_Toc25855"/>
      <w:bookmarkStart w:id="70" w:name="_Toc15875"/>
      <w:r>
        <w:rPr>
          <w:rFonts w:hint="eastAsia" w:ascii="仿宋" w:hAnsi="仿宋" w:eastAsia="仿宋"/>
          <w:color w:val="000000"/>
          <w:sz w:val="30"/>
          <w:szCs w:val="30"/>
          <w:highlight w:val="none"/>
        </w:rPr>
        <w:t>招标编号:</w:t>
      </w:r>
      <w:bookmarkEnd w:id="69"/>
      <w:bookmarkEnd w:id="70"/>
      <w:r>
        <w:rPr>
          <w:rFonts w:hint="eastAsia" w:ascii="仿宋" w:hAnsi="仿宋" w:eastAsia="仿宋"/>
          <w:color w:val="000000"/>
          <w:sz w:val="30"/>
          <w:szCs w:val="30"/>
          <w:highlight w:val="none"/>
          <w:u w:val="single"/>
        </w:rPr>
        <w:t xml:space="preserve">                      </w:t>
      </w:r>
    </w:p>
    <w:p w14:paraId="07F53A66">
      <w:pPr>
        <w:autoSpaceDE w:val="0"/>
        <w:spacing w:line="480" w:lineRule="auto"/>
        <w:outlineLvl w:val="0"/>
        <w:rPr>
          <w:rFonts w:ascii="仿宋" w:hAnsi="仿宋" w:eastAsia="仿宋"/>
          <w:color w:val="000000"/>
          <w:sz w:val="30"/>
          <w:szCs w:val="30"/>
          <w:highlight w:val="none"/>
          <w:u w:val="single"/>
        </w:rPr>
      </w:pPr>
      <w:bookmarkStart w:id="71" w:name="_Toc5792"/>
      <w:bookmarkEnd w:id="71"/>
      <w:bookmarkStart w:id="72" w:name="_Toc110"/>
      <w:r>
        <w:rPr>
          <w:rFonts w:hint="eastAsia" w:ascii="仿宋" w:hAnsi="仿宋" w:eastAsia="仿宋"/>
          <w:color w:val="000000"/>
          <w:sz w:val="30"/>
          <w:szCs w:val="30"/>
          <w:highlight w:val="none"/>
        </w:rPr>
        <w:t>投标人全称(加盖电子公章)：</w:t>
      </w:r>
      <w:bookmarkEnd w:id="72"/>
      <w:r>
        <w:rPr>
          <w:rFonts w:hint="eastAsia" w:ascii="仿宋" w:hAnsi="仿宋" w:eastAsia="仿宋"/>
          <w:color w:val="000000"/>
          <w:sz w:val="30"/>
          <w:szCs w:val="30"/>
          <w:highlight w:val="none"/>
          <w:u w:val="single"/>
        </w:rPr>
        <w:t xml:space="preserve">           </w:t>
      </w:r>
    </w:p>
    <w:p w14:paraId="7A6FFB80">
      <w:pPr>
        <w:autoSpaceDE w:val="0"/>
        <w:spacing w:line="480" w:lineRule="auto"/>
        <w:outlineLvl w:val="0"/>
        <w:rPr>
          <w:rFonts w:ascii="仿宋" w:hAnsi="仿宋" w:eastAsia="仿宋"/>
          <w:color w:val="000000"/>
          <w:sz w:val="30"/>
          <w:szCs w:val="30"/>
          <w:highlight w:val="none"/>
          <w:u w:val="single"/>
        </w:rPr>
      </w:pPr>
      <w:bookmarkStart w:id="73" w:name="_Toc13199"/>
      <w:bookmarkEnd w:id="73"/>
      <w:bookmarkStart w:id="74" w:name="_Toc8559"/>
      <w:bookmarkStart w:id="75" w:name="_Toc23260"/>
      <w:r>
        <w:rPr>
          <w:rFonts w:hint="eastAsia" w:ascii="仿宋" w:hAnsi="仿宋" w:eastAsia="仿宋"/>
          <w:color w:val="000000"/>
          <w:sz w:val="30"/>
          <w:szCs w:val="30"/>
          <w:highlight w:val="none"/>
        </w:rPr>
        <w:t>地址：</w:t>
      </w:r>
      <w:bookmarkEnd w:id="74"/>
      <w:bookmarkEnd w:id="75"/>
      <w:r>
        <w:rPr>
          <w:rFonts w:hint="eastAsia" w:ascii="仿宋" w:hAnsi="仿宋" w:eastAsia="仿宋"/>
          <w:color w:val="000000"/>
          <w:sz w:val="30"/>
          <w:szCs w:val="30"/>
          <w:highlight w:val="none"/>
          <w:u w:val="single"/>
        </w:rPr>
        <w:t xml:space="preserve">                               </w:t>
      </w:r>
    </w:p>
    <w:p w14:paraId="7580A3F3">
      <w:pPr>
        <w:autoSpaceDE w:val="0"/>
        <w:spacing w:line="480" w:lineRule="auto"/>
        <w:outlineLvl w:val="0"/>
        <w:rPr>
          <w:rFonts w:ascii="仿宋" w:hAnsi="仿宋" w:eastAsia="仿宋"/>
          <w:color w:val="000000"/>
          <w:sz w:val="30"/>
          <w:szCs w:val="30"/>
          <w:highlight w:val="none"/>
        </w:rPr>
      </w:pPr>
      <w:bookmarkStart w:id="76" w:name="_Toc27615"/>
      <w:bookmarkEnd w:id="76"/>
      <w:bookmarkStart w:id="77" w:name="_Toc3203"/>
      <w:bookmarkStart w:id="78" w:name="_Toc7856"/>
      <w:r>
        <w:rPr>
          <w:rFonts w:hint="eastAsia" w:ascii="仿宋" w:hAnsi="仿宋" w:eastAsia="仿宋"/>
          <w:color w:val="000000"/>
          <w:sz w:val="30"/>
          <w:szCs w:val="30"/>
          <w:highlight w:val="none"/>
        </w:rPr>
        <w:t>联系人：</w:t>
      </w:r>
      <w:bookmarkEnd w:id="77"/>
      <w:bookmarkEnd w:id="78"/>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w:t>
      </w:r>
    </w:p>
    <w:p w14:paraId="58D69186">
      <w:pPr>
        <w:autoSpaceDE w:val="0"/>
        <w:spacing w:line="480" w:lineRule="auto"/>
        <w:outlineLvl w:val="0"/>
        <w:rPr>
          <w:rFonts w:ascii="仿宋" w:hAnsi="仿宋" w:eastAsia="仿宋"/>
          <w:color w:val="000000"/>
          <w:sz w:val="30"/>
          <w:szCs w:val="30"/>
          <w:highlight w:val="none"/>
          <w:u w:val="single"/>
        </w:rPr>
      </w:pPr>
      <w:bookmarkStart w:id="79" w:name="_Toc21508"/>
      <w:bookmarkEnd w:id="79"/>
      <w:bookmarkStart w:id="80" w:name="_Toc29001"/>
      <w:bookmarkStart w:id="81" w:name="_Toc25297"/>
      <w:r>
        <w:rPr>
          <w:rFonts w:hint="eastAsia" w:ascii="仿宋" w:hAnsi="仿宋" w:eastAsia="仿宋"/>
          <w:color w:val="000000"/>
          <w:sz w:val="30"/>
          <w:szCs w:val="30"/>
          <w:highlight w:val="none"/>
        </w:rPr>
        <w:t>联系电话：</w:t>
      </w:r>
      <w:bookmarkEnd w:id="80"/>
      <w:bookmarkEnd w:id="81"/>
      <w:r>
        <w:rPr>
          <w:rFonts w:hint="eastAsia" w:ascii="仿宋" w:hAnsi="仿宋" w:eastAsia="仿宋"/>
          <w:color w:val="000000"/>
          <w:sz w:val="30"/>
          <w:szCs w:val="30"/>
          <w:highlight w:val="none"/>
          <w:u w:val="single"/>
        </w:rPr>
        <w:t xml:space="preserve">                           </w:t>
      </w:r>
      <w:r>
        <w:rPr>
          <w:rFonts w:hint="eastAsia" w:ascii="仿宋" w:hAnsi="仿宋" w:eastAsia="仿宋"/>
          <w:color w:val="000000"/>
          <w:sz w:val="30"/>
          <w:szCs w:val="30"/>
          <w:highlight w:val="none"/>
        </w:rPr>
        <w:t xml:space="preserve">  </w:t>
      </w:r>
    </w:p>
    <w:p w14:paraId="16FB2F65">
      <w:pPr>
        <w:autoSpaceDE w:val="0"/>
        <w:spacing w:line="480" w:lineRule="auto"/>
        <w:outlineLvl w:val="0"/>
        <w:rPr>
          <w:rFonts w:ascii="仿宋" w:hAnsi="仿宋" w:eastAsia="仿宋"/>
          <w:b/>
          <w:bCs/>
          <w:color w:val="000000"/>
          <w:sz w:val="32"/>
          <w:szCs w:val="32"/>
          <w:highlight w:val="none"/>
        </w:rPr>
      </w:pPr>
      <w:bookmarkStart w:id="82" w:name="_Toc2788"/>
      <w:bookmarkEnd w:id="82"/>
      <w:bookmarkStart w:id="83" w:name="_Toc6389"/>
      <w:bookmarkStart w:id="84" w:name="_Toc11027"/>
      <w:r>
        <w:rPr>
          <w:rFonts w:hint="eastAsia" w:ascii="仿宋" w:hAnsi="仿宋" w:eastAsia="仿宋"/>
          <w:color w:val="000000"/>
          <w:sz w:val="30"/>
          <w:szCs w:val="30"/>
          <w:highlight w:val="none"/>
        </w:rPr>
        <w:t>日    期：</w:t>
      </w:r>
      <w:bookmarkEnd w:id="83"/>
      <w:bookmarkEnd w:id="84"/>
      <w:r>
        <w:rPr>
          <w:rFonts w:hint="eastAsia" w:ascii="仿宋" w:hAnsi="仿宋" w:eastAsia="仿宋"/>
          <w:color w:val="000000"/>
          <w:sz w:val="30"/>
          <w:szCs w:val="30"/>
          <w:highlight w:val="none"/>
          <w:u w:val="single"/>
        </w:rPr>
        <w:t xml:space="preserve">                           </w:t>
      </w:r>
      <w:bookmarkStart w:id="85" w:name="_Toc277776502"/>
      <w:bookmarkEnd w:id="85"/>
      <w:bookmarkStart w:id="86" w:name="_Toc174601751"/>
      <w:bookmarkEnd w:id="86"/>
      <w:bookmarkStart w:id="87" w:name="_Toc38173198"/>
      <w:bookmarkEnd w:id="87"/>
      <w:bookmarkStart w:id="88" w:name="_Toc427678317"/>
      <w:bookmarkEnd w:id="88"/>
      <w:bookmarkStart w:id="89" w:name="_Toc427678319"/>
      <w:bookmarkEnd w:id="89"/>
    </w:p>
    <w:p w14:paraId="4726595C">
      <w:pPr>
        <w:outlineLvl w:val="2"/>
        <w:rPr>
          <w:rFonts w:ascii="仿宋" w:hAnsi="仿宋" w:eastAsia="仿宋"/>
          <w:b/>
          <w:bCs/>
          <w:color w:val="000000"/>
          <w:sz w:val="32"/>
          <w:szCs w:val="32"/>
          <w:highlight w:val="none"/>
        </w:rPr>
      </w:pPr>
      <w:bookmarkStart w:id="90" w:name="_Toc20272"/>
      <w:bookmarkEnd w:id="90"/>
    </w:p>
    <w:p w14:paraId="75340542">
      <w:pPr>
        <w:outlineLvl w:val="2"/>
        <w:rPr>
          <w:rFonts w:ascii="仿宋" w:hAnsi="仿宋" w:eastAsia="仿宋"/>
          <w:b/>
          <w:bCs/>
          <w:color w:val="000000"/>
          <w:sz w:val="32"/>
          <w:szCs w:val="32"/>
          <w:highlight w:val="none"/>
        </w:rPr>
      </w:pPr>
    </w:p>
    <w:p w14:paraId="0B16DEC7">
      <w:pPr>
        <w:outlineLvl w:val="2"/>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第一部分  资格审查部分</w:t>
      </w:r>
    </w:p>
    <w:p w14:paraId="081767E7">
      <w:pPr>
        <w:jc w:val="center"/>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 </w:t>
      </w:r>
    </w:p>
    <w:p w14:paraId="0847E4D0">
      <w:pPr>
        <w:autoSpaceDE w:val="0"/>
        <w:spacing w:line="360" w:lineRule="auto"/>
        <w:jc w:val="center"/>
        <w:rPr>
          <w:rFonts w:ascii="仿宋" w:hAnsi="仿宋" w:eastAsia="仿宋"/>
          <w:b/>
          <w:color w:val="000000"/>
          <w:sz w:val="24"/>
          <w:szCs w:val="24"/>
          <w:highlight w:val="none"/>
        </w:rPr>
      </w:pPr>
      <w:r>
        <w:rPr>
          <w:rFonts w:hint="eastAsia" w:ascii="仿宋" w:hAnsi="仿宋" w:eastAsia="仿宋"/>
          <w:b/>
          <w:color w:val="000000"/>
          <w:sz w:val="28"/>
          <w:szCs w:val="28"/>
          <w:highlight w:val="none"/>
        </w:rPr>
        <w:t>一、营业执照</w:t>
      </w:r>
    </w:p>
    <w:p w14:paraId="13777D2D">
      <w:pPr>
        <w:autoSpaceDE w:val="0"/>
        <w:spacing w:line="360" w:lineRule="auto"/>
        <w:ind w:firstLine="480" w:firstLineChars="200"/>
        <w:rPr>
          <w:rFonts w:ascii="仿宋" w:hAnsi="仿宋" w:eastAsia="仿宋"/>
          <w:bCs/>
          <w:color w:val="000000"/>
          <w:sz w:val="24"/>
          <w:szCs w:val="24"/>
          <w:highlight w:val="none"/>
        </w:rPr>
      </w:pPr>
      <w:r>
        <w:rPr>
          <w:rFonts w:hint="eastAsia" w:ascii="仿宋" w:hAnsi="仿宋" w:eastAsia="仿宋"/>
          <w:bCs/>
          <w:color w:val="000000"/>
          <w:sz w:val="24"/>
          <w:szCs w:val="24"/>
          <w:highlight w:val="none"/>
        </w:rPr>
        <w:t>具有独立承担民事责任的能力，具有营业执照或事业单位法人证书或民办非企业单位登记证书或社会团体法人登记证书或基金会法人登记证书或自然人的身份证明。（提供扫描件）</w:t>
      </w:r>
    </w:p>
    <w:p w14:paraId="1ECE603B">
      <w:pPr>
        <w:autoSpaceDE w:val="0"/>
        <w:spacing w:line="360" w:lineRule="auto"/>
        <w:jc w:val="center"/>
        <w:rPr>
          <w:rFonts w:ascii="仿宋" w:hAnsi="仿宋" w:eastAsia="仿宋"/>
          <w:b/>
          <w:color w:val="000000"/>
          <w:sz w:val="28"/>
          <w:szCs w:val="28"/>
          <w:highlight w:val="none"/>
        </w:rPr>
      </w:pPr>
    </w:p>
    <w:p w14:paraId="32029BA8">
      <w:pPr>
        <w:spacing w:line="360" w:lineRule="auto"/>
        <w:jc w:val="center"/>
        <w:rPr>
          <w:rFonts w:ascii="仿宋" w:hAnsi="仿宋" w:eastAsia="仿宋"/>
          <w:b/>
          <w:color w:val="000000"/>
          <w:sz w:val="28"/>
          <w:szCs w:val="28"/>
          <w:highlight w:val="none"/>
        </w:rPr>
      </w:pPr>
      <w:r>
        <w:rPr>
          <w:rFonts w:hint="eastAsia" w:ascii="仿宋" w:hAnsi="仿宋" w:eastAsia="仿宋"/>
          <w:b/>
          <w:color w:val="000000"/>
          <w:sz w:val="28"/>
          <w:szCs w:val="28"/>
          <w:highlight w:val="none"/>
        </w:rPr>
        <w:t>二、财务要求</w:t>
      </w:r>
    </w:p>
    <w:p w14:paraId="4625AE5C">
      <w:pPr>
        <w:autoSpaceDE w:val="0"/>
        <w:spacing w:line="360" w:lineRule="auto"/>
        <w:ind w:firstLine="484" w:firstLineChars="200"/>
        <w:rPr>
          <w:rFonts w:ascii="仿宋" w:hAnsi="仿宋" w:eastAsia="仿宋"/>
          <w:b/>
          <w:color w:val="000000"/>
          <w:sz w:val="28"/>
          <w:szCs w:val="28"/>
          <w:highlight w:val="none"/>
        </w:rPr>
      </w:pPr>
      <w:r>
        <w:rPr>
          <w:rFonts w:hint="eastAsia" w:ascii="仿宋" w:hAnsi="仿宋" w:eastAsia="仿宋"/>
          <w:color w:val="000000"/>
          <w:spacing w:val="1"/>
          <w:sz w:val="24"/>
          <w:szCs w:val="24"/>
          <w:highlight w:val="none"/>
        </w:rPr>
        <w:t>具有良好的商业信誉和健全的财务会计制度</w:t>
      </w:r>
      <w:r>
        <w:rPr>
          <w:rFonts w:hint="eastAsia" w:ascii="宋体" w:hAnsi="宋体" w:cs="仿宋"/>
          <w:color w:val="000000"/>
          <w:spacing w:val="1"/>
          <w:sz w:val="24"/>
          <w:szCs w:val="24"/>
          <w:highlight w:val="none"/>
        </w:rPr>
        <w:t>，</w:t>
      </w:r>
      <w:r>
        <w:rPr>
          <w:rFonts w:hint="eastAsia" w:ascii="仿宋" w:hAnsi="仿宋" w:eastAsia="仿宋"/>
          <w:color w:val="000000"/>
          <w:sz w:val="24"/>
          <w:szCs w:val="24"/>
          <w:highlight w:val="none"/>
        </w:rPr>
        <w:t>提供投标人2023年</w:t>
      </w:r>
      <w:r>
        <w:rPr>
          <w:rFonts w:hint="eastAsia" w:ascii="仿宋" w:hAnsi="仿宋" w:eastAsia="仿宋" w:cs="仿宋"/>
          <w:spacing w:val="1"/>
          <w:sz w:val="24"/>
          <w:szCs w:val="24"/>
          <w:highlight w:val="none"/>
        </w:rPr>
        <w:t>度</w:t>
      </w:r>
      <w:r>
        <w:rPr>
          <w:rFonts w:hint="eastAsia" w:ascii="仿宋" w:hAnsi="仿宋" w:eastAsia="仿宋"/>
          <w:color w:val="000000"/>
          <w:sz w:val="24"/>
          <w:szCs w:val="24"/>
          <w:highlight w:val="none"/>
        </w:rPr>
        <w:t>财务报表，财务报表包括资产负债表、利润表、现金流量表；投标人成立不足一年的，无需提供。（提供扫描件）</w:t>
      </w:r>
      <w:r>
        <w:rPr>
          <w:rFonts w:hint="eastAsia" w:ascii="仿宋" w:hAnsi="仿宋" w:eastAsia="仿宋"/>
          <w:b/>
          <w:color w:val="000000"/>
          <w:sz w:val="28"/>
          <w:szCs w:val="28"/>
          <w:highlight w:val="none"/>
        </w:rPr>
        <w:t xml:space="preserve"> </w:t>
      </w:r>
    </w:p>
    <w:p w14:paraId="2400F44F">
      <w:pPr>
        <w:autoSpaceDE w:val="0"/>
        <w:spacing w:line="360" w:lineRule="auto"/>
        <w:jc w:val="center"/>
        <w:rPr>
          <w:rFonts w:ascii="仿宋" w:hAnsi="仿宋" w:eastAsia="仿宋"/>
          <w:b/>
          <w:color w:val="000000"/>
          <w:sz w:val="28"/>
          <w:szCs w:val="28"/>
          <w:highlight w:val="none"/>
        </w:rPr>
      </w:pPr>
    </w:p>
    <w:p w14:paraId="76ABD4CA">
      <w:pPr>
        <w:autoSpaceDE w:val="0"/>
        <w:spacing w:line="360" w:lineRule="auto"/>
        <w:jc w:val="center"/>
        <w:rPr>
          <w:rFonts w:ascii="仿宋" w:hAnsi="仿宋" w:eastAsia="仿宋"/>
          <w:b/>
          <w:color w:val="000000"/>
          <w:sz w:val="28"/>
          <w:szCs w:val="28"/>
          <w:highlight w:val="none"/>
        </w:rPr>
      </w:pPr>
      <w:r>
        <w:rPr>
          <w:rFonts w:hint="eastAsia" w:ascii="仿宋" w:hAnsi="仿宋" w:eastAsia="仿宋"/>
          <w:b/>
          <w:color w:val="000000"/>
          <w:sz w:val="28"/>
          <w:szCs w:val="28"/>
          <w:highlight w:val="none"/>
        </w:rPr>
        <w:t>三、税收要求</w:t>
      </w:r>
    </w:p>
    <w:p w14:paraId="4BC49BAE">
      <w:pPr>
        <w:autoSpaceDE w:val="0"/>
        <w:spacing w:line="360" w:lineRule="auto"/>
        <w:ind w:firstLine="480" w:firstLineChars="200"/>
        <w:rPr>
          <w:rFonts w:ascii="仿宋" w:hAnsi="仿宋" w:eastAsia="仿宋"/>
          <w:b/>
          <w:color w:val="000000"/>
          <w:sz w:val="28"/>
          <w:szCs w:val="28"/>
          <w:highlight w:val="none"/>
        </w:rPr>
      </w:pPr>
      <w:r>
        <w:rPr>
          <w:rFonts w:hint="eastAsia" w:ascii="仿宋" w:hAnsi="仿宋" w:eastAsia="仿宋"/>
          <w:color w:val="000000"/>
          <w:kern w:val="0"/>
          <w:sz w:val="24"/>
          <w:szCs w:val="24"/>
          <w:highlight w:val="none"/>
        </w:rPr>
        <w:t>提供投标人缴税所属时间在2024年1月至本项目响应文件提交截止时间前任意1个月的税务局税收通用缴款书或银行电子缴税（费）凭证或税务局出具纳税情况的相关证明，依法免税的，应提供依法免税的相关证明文件，</w:t>
      </w:r>
      <w:r>
        <w:rPr>
          <w:rFonts w:hint="eastAsia" w:ascii="仿宋" w:hAnsi="仿宋" w:eastAsia="仿宋"/>
          <w:color w:val="000000"/>
          <w:sz w:val="24"/>
          <w:szCs w:val="24"/>
          <w:highlight w:val="none"/>
        </w:rPr>
        <w:t>投标人成立不足一年的，无需提供。（提供扫描件）</w:t>
      </w:r>
    </w:p>
    <w:p w14:paraId="307196AB">
      <w:pPr>
        <w:autoSpaceDE w:val="0"/>
        <w:spacing w:line="360" w:lineRule="auto"/>
        <w:jc w:val="center"/>
        <w:rPr>
          <w:rFonts w:ascii="仿宋" w:hAnsi="仿宋" w:eastAsia="仿宋"/>
          <w:b/>
          <w:color w:val="000000"/>
          <w:sz w:val="28"/>
          <w:szCs w:val="28"/>
          <w:highlight w:val="none"/>
        </w:rPr>
      </w:pPr>
    </w:p>
    <w:p w14:paraId="17A96ECA">
      <w:pPr>
        <w:autoSpaceDE w:val="0"/>
        <w:spacing w:line="360" w:lineRule="auto"/>
        <w:jc w:val="center"/>
        <w:rPr>
          <w:rFonts w:ascii="仿宋" w:hAnsi="仿宋" w:eastAsia="仿宋"/>
          <w:b/>
          <w:color w:val="000000"/>
          <w:sz w:val="28"/>
          <w:szCs w:val="28"/>
          <w:highlight w:val="none"/>
        </w:rPr>
      </w:pPr>
      <w:r>
        <w:rPr>
          <w:rFonts w:hint="eastAsia" w:ascii="仿宋" w:hAnsi="仿宋" w:eastAsia="仿宋"/>
          <w:b/>
          <w:color w:val="000000"/>
          <w:sz w:val="28"/>
          <w:szCs w:val="28"/>
          <w:highlight w:val="none"/>
        </w:rPr>
        <w:t>四、社保要求</w:t>
      </w:r>
    </w:p>
    <w:p w14:paraId="6D8856D4">
      <w:pPr>
        <w:autoSpaceDE w:val="0"/>
        <w:spacing w:line="360" w:lineRule="auto"/>
        <w:ind w:firstLine="480" w:firstLineChars="200"/>
        <w:rPr>
          <w:rFonts w:ascii="仿宋" w:hAnsi="仿宋" w:eastAsia="仿宋"/>
          <w:b/>
          <w:color w:val="000000"/>
          <w:sz w:val="28"/>
          <w:szCs w:val="28"/>
          <w:highlight w:val="none"/>
        </w:rPr>
      </w:pPr>
      <w:r>
        <w:rPr>
          <w:rFonts w:hint="eastAsia" w:ascii="仿宋" w:hAnsi="仿宋" w:eastAsia="仿宋"/>
          <w:color w:val="000000"/>
          <w:kern w:val="0"/>
          <w:sz w:val="24"/>
          <w:szCs w:val="24"/>
          <w:highlight w:val="none"/>
        </w:rPr>
        <w:t>提供投标人缴费所属时间在2024年1月至本项目响应文件提交截止时间前任意1个月的社会保险费缴款书或银行电子缴税（费）凭证或社保管理部门出具的有效的缴款证明，依法免缴的，应提供依法免缴的相关证明文件，</w:t>
      </w:r>
      <w:r>
        <w:rPr>
          <w:rFonts w:hint="eastAsia" w:ascii="仿宋" w:hAnsi="仿宋" w:eastAsia="仿宋"/>
          <w:color w:val="000000"/>
          <w:sz w:val="24"/>
          <w:szCs w:val="24"/>
          <w:highlight w:val="none"/>
        </w:rPr>
        <w:t>投标人成立不足一年的，无需提供。（提供扫描件）</w:t>
      </w:r>
    </w:p>
    <w:p w14:paraId="2A8E5179">
      <w:pPr>
        <w:autoSpaceDE w:val="0"/>
        <w:spacing w:line="360" w:lineRule="auto"/>
        <w:ind w:firstLine="562" w:firstLineChars="200"/>
        <w:jc w:val="center"/>
        <w:rPr>
          <w:rFonts w:ascii="仿宋" w:hAnsi="仿宋" w:eastAsia="仿宋"/>
          <w:b/>
          <w:color w:val="000000"/>
          <w:sz w:val="28"/>
          <w:szCs w:val="28"/>
          <w:highlight w:val="none"/>
        </w:rPr>
      </w:pPr>
    </w:p>
    <w:p w14:paraId="3B3CFD5E">
      <w:pPr>
        <w:autoSpaceDE w:val="0"/>
        <w:spacing w:line="360" w:lineRule="auto"/>
        <w:ind w:firstLine="562" w:firstLineChars="200"/>
        <w:jc w:val="center"/>
        <w:rPr>
          <w:rFonts w:ascii="仿宋" w:hAnsi="仿宋" w:eastAsia="仿宋"/>
          <w:b/>
          <w:color w:val="000000"/>
          <w:sz w:val="28"/>
          <w:szCs w:val="28"/>
          <w:highlight w:val="none"/>
        </w:rPr>
      </w:pPr>
      <w:r>
        <w:rPr>
          <w:rFonts w:hint="eastAsia" w:ascii="仿宋" w:hAnsi="仿宋" w:eastAsia="仿宋"/>
          <w:b/>
          <w:color w:val="000000"/>
          <w:sz w:val="28"/>
          <w:szCs w:val="28"/>
          <w:highlight w:val="none"/>
        </w:rPr>
        <w:t>五、专业技术能力</w:t>
      </w:r>
    </w:p>
    <w:p w14:paraId="7BF23DFA">
      <w:pPr>
        <w:autoSpaceDE w:val="0"/>
        <w:spacing w:line="360" w:lineRule="auto"/>
        <w:ind w:firstLine="480" w:firstLineChars="200"/>
        <w:rPr>
          <w:rFonts w:ascii="仿宋" w:hAnsi="仿宋" w:eastAsia="仿宋"/>
          <w:bCs/>
          <w:color w:val="000000"/>
          <w:sz w:val="24"/>
          <w:szCs w:val="24"/>
          <w:highlight w:val="none"/>
        </w:rPr>
      </w:pPr>
      <w:r>
        <w:rPr>
          <w:rFonts w:hint="eastAsia" w:ascii="仿宋" w:hAnsi="仿宋" w:eastAsia="仿宋"/>
          <w:color w:val="000000"/>
          <w:sz w:val="24"/>
          <w:szCs w:val="24"/>
          <w:highlight w:val="none"/>
        </w:rPr>
        <w:t>提供投标人具有履行合同所必需的设备和专业技术能力证明材料或书面声明</w:t>
      </w:r>
      <w:r>
        <w:rPr>
          <w:rFonts w:hint="eastAsia" w:ascii="仿宋" w:hAnsi="仿宋" w:eastAsia="仿宋"/>
          <w:bCs/>
          <w:color w:val="000000"/>
          <w:sz w:val="24"/>
          <w:szCs w:val="24"/>
          <w:highlight w:val="none"/>
        </w:rPr>
        <w:t>。（格式自拟）</w:t>
      </w:r>
    </w:p>
    <w:p w14:paraId="7587DAC8">
      <w:pPr>
        <w:autoSpaceDE w:val="0"/>
        <w:spacing w:line="360" w:lineRule="auto"/>
        <w:jc w:val="center"/>
        <w:rPr>
          <w:rFonts w:ascii="仿宋" w:hAnsi="仿宋" w:eastAsia="仿宋"/>
          <w:b/>
          <w:color w:val="000000"/>
          <w:sz w:val="28"/>
          <w:szCs w:val="28"/>
          <w:highlight w:val="none"/>
        </w:rPr>
      </w:pPr>
    </w:p>
    <w:p w14:paraId="75232C7E">
      <w:pPr>
        <w:autoSpaceDE w:val="0"/>
        <w:spacing w:line="360" w:lineRule="auto"/>
        <w:jc w:val="center"/>
        <w:rPr>
          <w:rFonts w:ascii="仿宋" w:hAnsi="仿宋" w:eastAsia="仿宋"/>
          <w:b/>
          <w:color w:val="000000"/>
          <w:sz w:val="28"/>
          <w:szCs w:val="28"/>
          <w:highlight w:val="none"/>
        </w:rPr>
      </w:pPr>
    </w:p>
    <w:p w14:paraId="235C37A6">
      <w:pPr>
        <w:autoSpaceDE w:val="0"/>
        <w:spacing w:line="360" w:lineRule="auto"/>
        <w:jc w:val="center"/>
        <w:rPr>
          <w:rFonts w:ascii="仿宋" w:hAnsi="仿宋" w:eastAsia="仿宋"/>
          <w:b/>
          <w:color w:val="000000"/>
          <w:sz w:val="28"/>
          <w:szCs w:val="28"/>
          <w:highlight w:val="none"/>
        </w:rPr>
      </w:pPr>
      <w:r>
        <w:rPr>
          <w:rFonts w:hint="eastAsia" w:ascii="仿宋" w:hAnsi="仿宋" w:eastAsia="仿宋"/>
          <w:b/>
          <w:color w:val="000000"/>
          <w:sz w:val="28"/>
          <w:szCs w:val="28"/>
          <w:highlight w:val="none"/>
        </w:rPr>
        <w:t>六、书面声明</w:t>
      </w:r>
    </w:p>
    <w:p w14:paraId="21602378">
      <w:pPr>
        <w:autoSpaceDE w:val="0"/>
        <w:spacing w:line="360" w:lineRule="auto"/>
        <w:ind w:firstLine="480" w:firstLineChars="200"/>
        <w:rPr>
          <w:rFonts w:ascii="仿宋" w:hAnsi="仿宋" w:eastAsia="仿宋"/>
          <w:bCs/>
          <w:color w:val="000000"/>
          <w:sz w:val="24"/>
          <w:szCs w:val="24"/>
          <w:highlight w:val="none"/>
        </w:rPr>
      </w:pPr>
      <w:r>
        <w:rPr>
          <w:rFonts w:hint="eastAsia" w:ascii="仿宋" w:hAnsi="仿宋" w:eastAsia="仿宋"/>
          <w:bCs/>
          <w:color w:val="000000"/>
          <w:sz w:val="24"/>
          <w:szCs w:val="24"/>
          <w:highlight w:val="none"/>
        </w:rPr>
        <w:t>提供参加政府采购活动前3年内在经营活动中没有重大违法记录的书面声明（重大违法记录，是指投标人因违法经营受到刑事处罚或者责令停产停业、吊销许可证或者执照、较大数额罚款等行政处罚）。（格式自拟）</w:t>
      </w:r>
    </w:p>
    <w:p w14:paraId="1083FCF7">
      <w:pPr>
        <w:autoSpaceDE w:val="0"/>
        <w:spacing w:line="360" w:lineRule="auto"/>
        <w:jc w:val="center"/>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 </w:t>
      </w:r>
    </w:p>
    <w:p w14:paraId="713257DC">
      <w:pPr>
        <w:autoSpaceDE w:val="0"/>
        <w:spacing w:line="360" w:lineRule="auto"/>
        <w:jc w:val="center"/>
        <w:rPr>
          <w:rFonts w:ascii="仿宋" w:hAnsi="仿宋" w:eastAsia="仿宋"/>
          <w:b/>
          <w:color w:val="000000"/>
          <w:sz w:val="28"/>
          <w:szCs w:val="28"/>
          <w:highlight w:val="none"/>
        </w:rPr>
      </w:pPr>
      <w:r>
        <w:rPr>
          <w:rFonts w:hint="eastAsia" w:ascii="仿宋" w:hAnsi="仿宋" w:eastAsia="仿宋"/>
          <w:b/>
          <w:color w:val="000000"/>
          <w:sz w:val="28"/>
          <w:szCs w:val="28"/>
          <w:highlight w:val="none"/>
        </w:rPr>
        <w:t>七、法律、行政法规规定的其他条件</w:t>
      </w:r>
    </w:p>
    <w:p w14:paraId="5506A157">
      <w:pPr>
        <w:autoSpaceDE w:val="0"/>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1.投标人应在“信用中国”网站(www.creditchina.gov.cn)未被列入失信被执行人、重大税收违法失信主体，中国政府采购网(www.ccgp.gov.cn)没有政府采购严重违法失信行为记录。（注：采购人或采购代理机构通过“信用中国”网、“中国政府采购网”等渠道查询相关主体信用记录，若投标人存在被列入失信被执行人、重大税收违法失信主体、政府采购严重违法失信行为记录名单，则投标无效。）</w:t>
      </w:r>
    </w:p>
    <w:p w14:paraId="1F571DA1">
      <w:pPr>
        <w:autoSpaceDE w:val="0"/>
        <w:spacing w:line="360" w:lineRule="auto"/>
        <w:ind w:firstLine="480" w:firstLineChars="200"/>
        <w:rPr>
          <w:color w:val="000000"/>
          <w:highlight w:val="none"/>
        </w:rPr>
      </w:pPr>
      <w:r>
        <w:rPr>
          <w:rFonts w:hint="eastAsia" w:ascii="仿宋" w:hAnsi="仿宋" w:eastAsia="仿宋"/>
          <w:color w:val="000000"/>
          <w:sz w:val="24"/>
          <w:szCs w:val="24"/>
          <w:highlight w:val="none"/>
        </w:rPr>
        <w:t>2.单位负责人为同一人或者存在直接控股、管理关系的不同投标人，不得参加同一合同项下的政府采购活动。</w:t>
      </w:r>
    </w:p>
    <w:p w14:paraId="7031E47B">
      <w:pPr>
        <w:autoSpaceDE w:val="0"/>
        <w:spacing w:line="360" w:lineRule="auto"/>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 </w:t>
      </w:r>
    </w:p>
    <w:p w14:paraId="6354570E">
      <w:pPr>
        <w:jc w:val="center"/>
        <w:rPr>
          <w:color w:val="000000"/>
          <w:highlight w:val="none"/>
        </w:rPr>
      </w:pPr>
      <w:r>
        <w:rPr>
          <w:color w:val="000000"/>
          <w:highlight w:val="none"/>
        </w:rPr>
        <w:t xml:space="preserve"> </w:t>
      </w:r>
    </w:p>
    <w:p w14:paraId="768E107E">
      <w:pPr>
        <w:autoSpaceDE w:val="0"/>
        <w:spacing w:line="360" w:lineRule="auto"/>
        <w:ind w:firstLine="480" w:firstLineChars="200"/>
        <w:rPr>
          <w:rFonts w:ascii="仿宋" w:hAnsi="仿宋" w:eastAsia="仿宋"/>
          <w:color w:val="000000"/>
          <w:sz w:val="24"/>
          <w:szCs w:val="24"/>
          <w:highlight w:val="none"/>
        </w:rPr>
      </w:pPr>
    </w:p>
    <w:p w14:paraId="33DCE15D">
      <w:pPr>
        <w:autoSpaceDE w:val="0"/>
        <w:spacing w:line="360" w:lineRule="auto"/>
        <w:ind w:firstLine="643" w:firstLineChars="200"/>
        <w:rPr>
          <w:rFonts w:ascii="仿宋" w:hAnsi="仿宋" w:eastAsia="仿宋"/>
          <w:b/>
          <w:color w:val="000000"/>
          <w:sz w:val="32"/>
          <w:szCs w:val="32"/>
          <w:highlight w:val="none"/>
        </w:rPr>
      </w:pPr>
      <w:r>
        <w:rPr>
          <w:rFonts w:hint="eastAsia" w:ascii="仿宋" w:hAnsi="仿宋" w:eastAsia="仿宋"/>
          <w:b/>
          <w:color w:val="000000"/>
          <w:sz w:val="32"/>
          <w:szCs w:val="32"/>
          <w:highlight w:val="none"/>
        </w:rPr>
        <w:br w:type="page"/>
      </w:r>
    </w:p>
    <w:p w14:paraId="7412D5C1">
      <w:pPr>
        <w:spacing w:line="360" w:lineRule="auto"/>
        <w:jc w:val="center"/>
        <w:rPr>
          <w:rFonts w:ascii="仿宋" w:hAnsi="仿宋" w:eastAsia="仿宋"/>
          <w:color w:val="000000"/>
          <w:sz w:val="28"/>
          <w:szCs w:val="28"/>
          <w:highlight w:val="none"/>
        </w:rPr>
      </w:pPr>
      <w:bookmarkStart w:id="91" w:name="_Toc478214728"/>
      <w:bookmarkEnd w:id="91"/>
      <w:r>
        <w:rPr>
          <w:rFonts w:hint="eastAsia" w:ascii="仿宋" w:hAnsi="仿宋" w:eastAsia="仿宋"/>
          <w:b/>
          <w:bCs/>
          <w:color w:val="000000"/>
          <w:sz w:val="32"/>
          <w:szCs w:val="32"/>
          <w:highlight w:val="none"/>
        </w:rPr>
        <w:t>八、中小微企业声明函</w:t>
      </w:r>
    </w:p>
    <w:p w14:paraId="116A187D">
      <w:pPr>
        <w:pStyle w:val="5"/>
        <w:spacing w:beforeLines="100" w:line="360" w:lineRule="auto"/>
        <w:ind w:firstLine="0"/>
        <w:jc w:val="center"/>
        <w:rPr>
          <w:rFonts w:ascii="仿宋" w:hAnsi="仿宋" w:eastAsia="仿宋"/>
          <w:b/>
          <w:color w:val="000000"/>
          <w:spacing w:val="6"/>
          <w:sz w:val="24"/>
          <w:szCs w:val="24"/>
          <w:highlight w:val="none"/>
        </w:rPr>
      </w:pPr>
      <w:r>
        <w:rPr>
          <w:rFonts w:hint="eastAsia" w:ascii="仿宋" w:hAnsi="仿宋" w:eastAsia="仿宋"/>
          <w:b/>
          <w:color w:val="000000"/>
          <w:sz w:val="28"/>
          <w:szCs w:val="28"/>
          <w:highlight w:val="none"/>
        </w:rPr>
        <w:t>（一）</w:t>
      </w:r>
      <w:r>
        <w:rPr>
          <w:rFonts w:hint="eastAsia" w:ascii="仿宋" w:hAnsi="仿宋" w:eastAsia="仿宋"/>
          <w:b/>
          <w:color w:val="000000"/>
          <w:spacing w:val="6"/>
          <w:sz w:val="24"/>
          <w:szCs w:val="24"/>
          <w:highlight w:val="none"/>
        </w:rPr>
        <w:t>中小企业声明函(服务)</w:t>
      </w:r>
    </w:p>
    <w:p w14:paraId="03730F7C">
      <w:pPr>
        <w:spacing w:line="500" w:lineRule="exact"/>
        <w:ind w:firstLine="504" w:firstLineChars="200"/>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本公司（联合体）郑重声明，根据《政府采购促进中小企业发展管理办法》（财库﹝2020﹞46号）的规定，本公司（联合体）参加</w:t>
      </w:r>
      <w:r>
        <w:rPr>
          <w:rFonts w:hint="eastAsia" w:ascii="仿宋" w:hAnsi="仿宋" w:eastAsia="仿宋" w:cs="仿宋"/>
          <w:spacing w:val="6"/>
          <w:sz w:val="24"/>
          <w:szCs w:val="24"/>
          <w:highlight w:val="none"/>
          <w:u w:val="single"/>
        </w:rPr>
        <w:t xml:space="preserve"> （ 单位名称 ）   </w:t>
      </w:r>
      <w:r>
        <w:rPr>
          <w:rFonts w:hint="eastAsia" w:ascii="仿宋" w:hAnsi="仿宋" w:eastAsia="仿宋" w:cs="仿宋"/>
          <w:spacing w:val="6"/>
          <w:sz w:val="24"/>
          <w:szCs w:val="24"/>
          <w:highlight w:val="none"/>
        </w:rPr>
        <w:t>的</w:t>
      </w:r>
      <w:r>
        <w:rPr>
          <w:rFonts w:hint="eastAsia" w:ascii="仿宋" w:hAnsi="仿宋" w:eastAsia="仿宋" w:cs="仿宋"/>
          <w:spacing w:val="6"/>
          <w:sz w:val="24"/>
          <w:szCs w:val="24"/>
          <w:highlight w:val="none"/>
          <w:u w:val="single"/>
        </w:rPr>
        <w:t xml:space="preserve"> （ 项目名称 ）  </w:t>
      </w:r>
      <w:r>
        <w:rPr>
          <w:rFonts w:hint="eastAsia" w:ascii="仿宋" w:hAnsi="仿宋" w:eastAsia="仿宋" w:cs="仿宋"/>
          <w:spacing w:val="6"/>
          <w:sz w:val="24"/>
          <w:szCs w:val="24"/>
          <w:highlight w:val="none"/>
        </w:rPr>
        <w:t>采购活动，提供的服务全部由符合政策要求的中小企业承接。相关企业（含联合体中的中小企业、签订分包意向协议的中小企业）的具体情况如下：</w:t>
      </w:r>
    </w:p>
    <w:p w14:paraId="13DC0526">
      <w:pPr>
        <w:spacing w:line="500" w:lineRule="exact"/>
        <w:ind w:firstLine="504" w:firstLineChars="200"/>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 1.</w:t>
      </w:r>
      <w:r>
        <w:rPr>
          <w:rFonts w:hint="eastAsia" w:ascii="仿宋" w:hAnsi="仿宋" w:eastAsia="仿宋" w:cs="仿宋"/>
          <w:spacing w:val="6"/>
          <w:sz w:val="24"/>
          <w:szCs w:val="24"/>
          <w:highlight w:val="none"/>
          <w:u w:val="single"/>
        </w:rPr>
        <w:t xml:space="preserve">  （ 标的名称 ）</w:t>
      </w:r>
      <w:r>
        <w:rPr>
          <w:rFonts w:hint="eastAsia" w:ascii="仿宋" w:hAnsi="仿宋" w:eastAsia="仿宋" w:cs="仿宋"/>
          <w:spacing w:val="6"/>
          <w:sz w:val="24"/>
          <w:szCs w:val="24"/>
          <w:highlight w:val="none"/>
        </w:rPr>
        <w:t xml:space="preserve"> ，属于</w:t>
      </w:r>
      <w:r>
        <w:rPr>
          <w:rFonts w:hint="eastAsia" w:ascii="仿宋" w:hAnsi="仿宋" w:eastAsia="仿宋" w:cs="仿宋"/>
          <w:spacing w:val="6"/>
          <w:sz w:val="24"/>
          <w:szCs w:val="24"/>
          <w:highlight w:val="none"/>
          <w:u w:val="single"/>
        </w:rPr>
        <w:t xml:space="preserve">  （ 采购文件中明确的所属行业 ）</w:t>
      </w:r>
      <w:r>
        <w:rPr>
          <w:rFonts w:hint="eastAsia" w:ascii="仿宋" w:hAnsi="仿宋" w:eastAsia="仿宋" w:cs="仿宋"/>
          <w:spacing w:val="6"/>
          <w:sz w:val="24"/>
          <w:szCs w:val="24"/>
          <w:highlight w:val="none"/>
        </w:rPr>
        <w:t xml:space="preserve"> 行业 ；</w:t>
      </w:r>
      <w:r>
        <w:rPr>
          <w:rFonts w:hint="eastAsia" w:ascii="仿宋" w:hAnsi="仿宋" w:eastAsia="仿宋" w:cs="仿宋"/>
          <w:sz w:val="24"/>
          <w:szCs w:val="24"/>
          <w:highlight w:val="none"/>
        </w:rPr>
        <w:t>承建（承接）企业为</w:t>
      </w:r>
      <w:r>
        <w:rPr>
          <w:rFonts w:hint="eastAsia" w:ascii="仿宋" w:hAnsi="仿宋" w:eastAsia="仿宋" w:cs="仿宋"/>
          <w:spacing w:val="6"/>
          <w:sz w:val="24"/>
          <w:szCs w:val="24"/>
          <w:highlight w:val="none"/>
          <w:u w:val="single"/>
        </w:rPr>
        <w:t xml:space="preserve">   （ 企业名称 ）   </w:t>
      </w:r>
      <w:r>
        <w:rPr>
          <w:rFonts w:hint="eastAsia" w:ascii="仿宋" w:hAnsi="仿宋" w:eastAsia="仿宋" w:cs="仿宋"/>
          <w:spacing w:val="6"/>
          <w:sz w:val="24"/>
          <w:szCs w:val="24"/>
          <w:highlight w:val="none"/>
        </w:rPr>
        <w:t>，从业人员</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人，营业收入为</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万元，资产总额为</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万元</w:t>
      </w:r>
      <w:r>
        <w:rPr>
          <w:rFonts w:hint="eastAsia" w:ascii="仿宋" w:hAnsi="仿宋" w:eastAsia="仿宋" w:cs="仿宋"/>
          <w:spacing w:val="6"/>
          <w:sz w:val="24"/>
          <w:szCs w:val="24"/>
          <w:highlight w:val="none"/>
          <w:vertAlign w:val="superscript"/>
        </w:rPr>
        <w:t>1</w:t>
      </w:r>
      <w:r>
        <w:rPr>
          <w:rFonts w:hint="eastAsia" w:ascii="仿宋" w:hAnsi="仿宋" w:eastAsia="仿宋" w:cs="仿宋"/>
          <w:spacing w:val="6"/>
          <w:sz w:val="24"/>
          <w:szCs w:val="24"/>
          <w:highlight w:val="none"/>
        </w:rPr>
        <w:t xml:space="preserve">，属于 </w:t>
      </w:r>
      <w:r>
        <w:rPr>
          <w:rFonts w:hint="eastAsia" w:ascii="仿宋" w:hAnsi="仿宋" w:eastAsia="仿宋" w:cs="仿宋"/>
          <w:bCs/>
          <w:sz w:val="24"/>
          <w:szCs w:val="24"/>
          <w:highlight w:val="none"/>
          <w:u w:val="single"/>
        </w:rPr>
        <w:t>□</w:t>
      </w:r>
      <w:r>
        <w:rPr>
          <w:rFonts w:hint="eastAsia" w:ascii="仿宋" w:hAnsi="仿宋" w:eastAsia="仿宋" w:cs="仿宋"/>
          <w:spacing w:val="6"/>
          <w:sz w:val="24"/>
          <w:szCs w:val="24"/>
          <w:highlight w:val="none"/>
          <w:u w:val="single"/>
        </w:rPr>
        <w:t xml:space="preserve">大型企业 </w:t>
      </w:r>
      <w:r>
        <w:rPr>
          <w:rFonts w:hint="eastAsia" w:ascii="仿宋" w:hAnsi="仿宋" w:eastAsia="仿宋" w:cs="仿宋"/>
          <w:bCs/>
          <w:sz w:val="24"/>
          <w:szCs w:val="24"/>
          <w:highlight w:val="none"/>
          <w:u w:val="single"/>
        </w:rPr>
        <w:t>□</w:t>
      </w:r>
      <w:r>
        <w:rPr>
          <w:rFonts w:hint="eastAsia" w:ascii="仿宋" w:hAnsi="仿宋" w:eastAsia="仿宋" w:cs="仿宋"/>
          <w:spacing w:val="6"/>
          <w:sz w:val="24"/>
          <w:szCs w:val="24"/>
          <w:highlight w:val="none"/>
          <w:u w:val="single"/>
        </w:rPr>
        <w:t xml:space="preserve">中型企业 </w:t>
      </w:r>
      <w:r>
        <w:rPr>
          <w:rFonts w:hint="eastAsia" w:ascii="仿宋" w:hAnsi="仿宋" w:eastAsia="仿宋" w:cs="仿宋"/>
          <w:bCs/>
          <w:sz w:val="24"/>
          <w:szCs w:val="24"/>
          <w:highlight w:val="none"/>
          <w:u w:val="single"/>
        </w:rPr>
        <w:t>□</w:t>
      </w:r>
      <w:r>
        <w:rPr>
          <w:rFonts w:hint="eastAsia" w:ascii="仿宋" w:hAnsi="仿宋" w:eastAsia="仿宋" w:cs="仿宋"/>
          <w:spacing w:val="6"/>
          <w:sz w:val="24"/>
          <w:szCs w:val="24"/>
          <w:highlight w:val="none"/>
          <w:u w:val="single"/>
        </w:rPr>
        <w:t xml:space="preserve">小型企业 </w:t>
      </w:r>
      <w:r>
        <w:rPr>
          <w:rFonts w:hint="eastAsia" w:ascii="仿宋" w:hAnsi="仿宋" w:eastAsia="仿宋" w:cs="仿宋"/>
          <w:bCs/>
          <w:sz w:val="24"/>
          <w:szCs w:val="24"/>
          <w:highlight w:val="none"/>
          <w:u w:val="single"/>
        </w:rPr>
        <w:t>□</w:t>
      </w:r>
      <w:r>
        <w:rPr>
          <w:rFonts w:hint="eastAsia" w:ascii="仿宋" w:hAnsi="仿宋" w:eastAsia="仿宋" w:cs="仿宋"/>
          <w:spacing w:val="6"/>
          <w:sz w:val="24"/>
          <w:szCs w:val="24"/>
          <w:highlight w:val="none"/>
          <w:u w:val="single"/>
        </w:rPr>
        <w:t>微型企业</w:t>
      </w:r>
      <w:r>
        <w:rPr>
          <w:rFonts w:hint="eastAsia" w:ascii="仿宋" w:hAnsi="仿宋" w:eastAsia="仿宋" w:cs="仿宋"/>
          <w:spacing w:val="6"/>
          <w:sz w:val="24"/>
          <w:szCs w:val="24"/>
          <w:highlight w:val="none"/>
        </w:rPr>
        <w:t xml:space="preserve">（只能勾选一种类型）； </w:t>
      </w:r>
    </w:p>
    <w:p w14:paraId="657811F7">
      <w:pPr>
        <w:spacing w:line="500" w:lineRule="exact"/>
        <w:ind w:firstLine="504" w:firstLineChars="200"/>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2.</w:t>
      </w:r>
      <w:r>
        <w:rPr>
          <w:rFonts w:hint="eastAsia" w:ascii="仿宋" w:hAnsi="仿宋" w:eastAsia="仿宋" w:cs="仿宋"/>
          <w:spacing w:val="6"/>
          <w:sz w:val="24"/>
          <w:szCs w:val="24"/>
          <w:highlight w:val="none"/>
          <w:u w:val="single"/>
        </w:rPr>
        <w:t xml:space="preserve">    （标的名称 ）</w:t>
      </w:r>
      <w:r>
        <w:rPr>
          <w:rFonts w:hint="eastAsia" w:ascii="仿宋" w:hAnsi="仿宋" w:eastAsia="仿宋" w:cs="仿宋"/>
          <w:spacing w:val="6"/>
          <w:sz w:val="24"/>
          <w:szCs w:val="24"/>
          <w:highlight w:val="none"/>
        </w:rPr>
        <w:t xml:space="preserve"> ，属于</w:t>
      </w:r>
      <w:r>
        <w:rPr>
          <w:rFonts w:hint="eastAsia" w:ascii="仿宋" w:hAnsi="仿宋" w:eastAsia="仿宋" w:cs="仿宋"/>
          <w:spacing w:val="6"/>
          <w:sz w:val="24"/>
          <w:szCs w:val="24"/>
          <w:highlight w:val="none"/>
          <w:u w:val="single"/>
        </w:rPr>
        <w:t xml:space="preserve">   （采购文件中明确的所属行业）</w:t>
      </w:r>
      <w:r>
        <w:rPr>
          <w:rFonts w:hint="eastAsia" w:ascii="仿宋" w:hAnsi="仿宋" w:eastAsia="仿宋" w:cs="仿宋"/>
          <w:spacing w:val="6"/>
          <w:sz w:val="24"/>
          <w:szCs w:val="24"/>
          <w:highlight w:val="none"/>
        </w:rPr>
        <w:t xml:space="preserve"> 行 业 ；</w:t>
      </w:r>
      <w:r>
        <w:rPr>
          <w:rFonts w:hint="eastAsia" w:ascii="仿宋" w:hAnsi="仿宋" w:eastAsia="仿宋" w:cs="仿宋"/>
          <w:sz w:val="24"/>
          <w:szCs w:val="24"/>
          <w:highlight w:val="none"/>
        </w:rPr>
        <w:t>承建（承接）企业为</w:t>
      </w:r>
      <w:r>
        <w:rPr>
          <w:rFonts w:hint="eastAsia" w:ascii="仿宋" w:hAnsi="仿宋" w:eastAsia="仿宋" w:cs="仿宋"/>
          <w:spacing w:val="6"/>
          <w:sz w:val="24"/>
          <w:szCs w:val="24"/>
          <w:highlight w:val="none"/>
          <w:u w:val="single"/>
        </w:rPr>
        <w:t xml:space="preserve">   （企业名称 ）   </w:t>
      </w:r>
      <w:r>
        <w:rPr>
          <w:rFonts w:hint="eastAsia" w:ascii="仿宋" w:hAnsi="仿宋" w:eastAsia="仿宋" w:cs="仿宋"/>
          <w:spacing w:val="6"/>
          <w:sz w:val="24"/>
          <w:szCs w:val="24"/>
          <w:highlight w:val="none"/>
        </w:rPr>
        <w:t>，从业人员</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人，营业收入为</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万元，资产总额为</w:t>
      </w:r>
      <w:r>
        <w:rPr>
          <w:rFonts w:hint="eastAsia" w:ascii="仿宋" w:hAnsi="仿宋" w:eastAsia="仿宋" w:cs="仿宋"/>
          <w:spacing w:val="6"/>
          <w:sz w:val="24"/>
          <w:szCs w:val="24"/>
          <w:highlight w:val="none"/>
          <w:u w:val="single"/>
        </w:rPr>
        <w:t xml:space="preserve">      </w:t>
      </w:r>
      <w:r>
        <w:rPr>
          <w:rFonts w:hint="eastAsia" w:ascii="仿宋" w:hAnsi="仿宋" w:eastAsia="仿宋" w:cs="仿宋"/>
          <w:spacing w:val="6"/>
          <w:sz w:val="24"/>
          <w:szCs w:val="24"/>
          <w:highlight w:val="none"/>
        </w:rPr>
        <w:t>万元</w:t>
      </w:r>
      <w:r>
        <w:rPr>
          <w:rFonts w:hint="eastAsia" w:ascii="仿宋" w:hAnsi="仿宋" w:eastAsia="仿宋" w:cs="仿宋"/>
          <w:spacing w:val="6"/>
          <w:sz w:val="24"/>
          <w:szCs w:val="24"/>
          <w:highlight w:val="none"/>
          <w:vertAlign w:val="superscript"/>
        </w:rPr>
        <w:t>1</w:t>
      </w:r>
      <w:r>
        <w:rPr>
          <w:rFonts w:hint="eastAsia" w:ascii="仿宋" w:hAnsi="仿宋" w:eastAsia="仿宋" w:cs="仿宋"/>
          <w:spacing w:val="6"/>
          <w:sz w:val="24"/>
          <w:szCs w:val="24"/>
          <w:highlight w:val="none"/>
        </w:rPr>
        <w:t>，属于</w:t>
      </w:r>
      <w:r>
        <w:rPr>
          <w:rFonts w:hint="eastAsia" w:ascii="仿宋" w:hAnsi="仿宋" w:eastAsia="仿宋" w:cs="仿宋"/>
          <w:bCs/>
          <w:sz w:val="24"/>
          <w:szCs w:val="24"/>
          <w:highlight w:val="none"/>
          <w:u w:val="single"/>
        </w:rPr>
        <w:t>□</w:t>
      </w:r>
      <w:r>
        <w:rPr>
          <w:rFonts w:hint="eastAsia" w:ascii="仿宋" w:hAnsi="仿宋" w:eastAsia="仿宋" w:cs="仿宋"/>
          <w:spacing w:val="6"/>
          <w:sz w:val="24"/>
          <w:szCs w:val="24"/>
          <w:highlight w:val="none"/>
          <w:u w:val="single"/>
        </w:rPr>
        <w:t xml:space="preserve">大型企业 </w:t>
      </w:r>
      <w:r>
        <w:rPr>
          <w:rFonts w:hint="eastAsia" w:ascii="仿宋" w:hAnsi="仿宋" w:eastAsia="仿宋" w:cs="仿宋"/>
          <w:bCs/>
          <w:sz w:val="24"/>
          <w:szCs w:val="24"/>
          <w:highlight w:val="none"/>
          <w:u w:val="single"/>
        </w:rPr>
        <w:t>□</w:t>
      </w:r>
      <w:r>
        <w:rPr>
          <w:rFonts w:hint="eastAsia" w:ascii="仿宋" w:hAnsi="仿宋" w:eastAsia="仿宋" w:cs="仿宋"/>
          <w:spacing w:val="6"/>
          <w:sz w:val="24"/>
          <w:szCs w:val="24"/>
          <w:highlight w:val="none"/>
          <w:u w:val="single"/>
        </w:rPr>
        <w:t xml:space="preserve">中型企业 </w:t>
      </w:r>
      <w:r>
        <w:rPr>
          <w:rFonts w:hint="eastAsia" w:ascii="仿宋" w:hAnsi="仿宋" w:eastAsia="仿宋" w:cs="仿宋"/>
          <w:bCs/>
          <w:sz w:val="24"/>
          <w:szCs w:val="24"/>
          <w:highlight w:val="none"/>
          <w:u w:val="single"/>
        </w:rPr>
        <w:t>□</w:t>
      </w:r>
      <w:r>
        <w:rPr>
          <w:rFonts w:hint="eastAsia" w:ascii="仿宋" w:hAnsi="仿宋" w:eastAsia="仿宋" w:cs="仿宋"/>
          <w:spacing w:val="6"/>
          <w:sz w:val="24"/>
          <w:szCs w:val="24"/>
          <w:highlight w:val="none"/>
          <w:u w:val="single"/>
        </w:rPr>
        <w:t xml:space="preserve">小型企业 </w:t>
      </w:r>
      <w:r>
        <w:rPr>
          <w:rFonts w:hint="eastAsia" w:ascii="仿宋" w:hAnsi="仿宋" w:eastAsia="仿宋" w:cs="仿宋"/>
          <w:bCs/>
          <w:sz w:val="24"/>
          <w:szCs w:val="24"/>
          <w:highlight w:val="none"/>
          <w:u w:val="single"/>
        </w:rPr>
        <w:t>□</w:t>
      </w:r>
      <w:r>
        <w:rPr>
          <w:rFonts w:hint="eastAsia" w:ascii="仿宋" w:hAnsi="仿宋" w:eastAsia="仿宋" w:cs="仿宋"/>
          <w:spacing w:val="6"/>
          <w:sz w:val="24"/>
          <w:szCs w:val="24"/>
          <w:highlight w:val="none"/>
          <w:u w:val="single"/>
        </w:rPr>
        <w:t>微型企业</w:t>
      </w:r>
      <w:r>
        <w:rPr>
          <w:rFonts w:hint="eastAsia" w:ascii="仿宋" w:hAnsi="仿宋" w:eastAsia="仿宋" w:cs="仿宋"/>
          <w:spacing w:val="6"/>
          <w:sz w:val="24"/>
          <w:szCs w:val="24"/>
          <w:highlight w:val="none"/>
        </w:rPr>
        <w:t>（只能勾选一种类型）；</w:t>
      </w:r>
    </w:p>
    <w:p w14:paraId="0C321A01">
      <w:pPr>
        <w:pStyle w:val="6"/>
        <w:spacing w:before="0" w:beforeAutospacing="0" w:after="0" w:line="50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w:t>
      </w:r>
    </w:p>
    <w:p w14:paraId="68C3C911">
      <w:pPr>
        <w:spacing w:line="500" w:lineRule="exact"/>
        <w:ind w:firstLine="504" w:firstLineChars="200"/>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以上企业，不属于大企业的分支机构，不存在控股股东为大企业的情形，也不存在与大企业的负责人为同一人的情形。 </w:t>
      </w:r>
    </w:p>
    <w:p w14:paraId="32B03847">
      <w:pPr>
        <w:spacing w:line="500" w:lineRule="exact"/>
        <w:ind w:firstLine="504" w:firstLineChars="200"/>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 xml:space="preserve">本企业对上述声明内容的真实性负责。如有虚假，将依法承担相应责任。 </w:t>
      </w:r>
    </w:p>
    <w:p w14:paraId="0E17D54A">
      <w:pPr>
        <w:widowControl/>
        <w:autoSpaceDE w:val="0"/>
        <w:spacing w:line="500" w:lineRule="exact"/>
        <w:ind w:firstLine="480"/>
        <w:jc w:val="left"/>
        <w:rPr>
          <w:rFonts w:ascii="仿宋" w:hAnsi="仿宋" w:eastAsia="仿宋"/>
          <w:color w:val="000000"/>
          <w:highlight w:val="none"/>
        </w:rPr>
      </w:pPr>
    </w:p>
    <w:p w14:paraId="0C5230C6">
      <w:pPr>
        <w:widowControl/>
        <w:autoSpaceDE w:val="0"/>
        <w:spacing w:line="500" w:lineRule="exact"/>
        <w:ind w:firstLine="5280"/>
        <w:jc w:val="left"/>
        <w:rPr>
          <w:rFonts w:ascii="仿宋" w:hAnsi="仿宋" w:eastAsia="仿宋"/>
          <w:color w:val="000000"/>
          <w:kern w:val="0"/>
          <w:sz w:val="24"/>
          <w:szCs w:val="24"/>
          <w:highlight w:val="none"/>
          <w:shd w:val="clear" w:color="auto" w:fill="FFFFFF"/>
        </w:rPr>
      </w:pPr>
      <w:r>
        <w:rPr>
          <w:rFonts w:hint="eastAsia" w:ascii="仿宋" w:hAnsi="仿宋" w:eastAsia="仿宋"/>
          <w:color w:val="000000"/>
          <w:kern w:val="0"/>
          <w:sz w:val="24"/>
          <w:szCs w:val="24"/>
          <w:highlight w:val="none"/>
          <w:shd w:val="clear" w:color="auto" w:fill="FFFFFF"/>
        </w:rPr>
        <w:t xml:space="preserve"> </w:t>
      </w:r>
    </w:p>
    <w:p w14:paraId="07AAD847">
      <w:pPr>
        <w:widowControl/>
        <w:autoSpaceDE w:val="0"/>
        <w:spacing w:line="500" w:lineRule="exact"/>
        <w:ind w:firstLine="5280"/>
        <w:jc w:val="left"/>
        <w:rPr>
          <w:rFonts w:ascii="仿宋" w:hAnsi="仿宋" w:eastAsia="仿宋"/>
          <w:color w:val="000000"/>
          <w:sz w:val="24"/>
          <w:szCs w:val="24"/>
          <w:highlight w:val="none"/>
        </w:rPr>
      </w:pPr>
      <w:r>
        <w:rPr>
          <w:rFonts w:hint="eastAsia" w:ascii="仿宋" w:hAnsi="仿宋" w:eastAsia="仿宋"/>
          <w:color w:val="000000"/>
          <w:kern w:val="0"/>
          <w:sz w:val="24"/>
          <w:szCs w:val="24"/>
          <w:highlight w:val="none"/>
          <w:shd w:val="clear" w:color="auto" w:fill="FFFFFF"/>
        </w:rPr>
        <w:t>企业名称（</w:t>
      </w:r>
      <w:r>
        <w:rPr>
          <w:rFonts w:hint="eastAsia" w:ascii="仿宋" w:hAnsi="仿宋" w:eastAsia="仿宋"/>
          <w:color w:val="000000"/>
          <w:sz w:val="24"/>
          <w:szCs w:val="24"/>
          <w:highlight w:val="none"/>
        </w:rPr>
        <w:t>加盖电子公章</w:t>
      </w:r>
      <w:r>
        <w:rPr>
          <w:rFonts w:hint="eastAsia" w:ascii="仿宋" w:hAnsi="仿宋" w:eastAsia="仿宋"/>
          <w:color w:val="000000"/>
          <w:kern w:val="0"/>
          <w:sz w:val="24"/>
          <w:szCs w:val="24"/>
          <w:highlight w:val="none"/>
          <w:shd w:val="clear" w:color="auto" w:fill="FFFFFF"/>
        </w:rPr>
        <w:t>）：</w:t>
      </w:r>
    </w:p>
    <w:p w14:paraId="5E1A0AE2">
      <w:pPr>
        <w:widowControl/>
        <w:autoSpaceDE w:val="0"/>
        <w:spacing w:line="500" w:lineRule="exact"/>
        <w:ind w:firstLine="5280"/>
        <w:jc w:val="left"/>
        <w:rPr>
          <w:rFonts w:ascii="仿宋" w:hAnsi="仿宋" w:eastAsia="仿宋"/>
          <w:color w:val="000000"/>
          <w:sz w:val="24"/>
          <w:szCs w:val="24"/>
          <w:highlight w:val="none"/>
        </w:rPr>
      </w:pPr>
      <w:r>
        <w:rPr>
          <w:rFonts w:hint="eastAsia" w:ascii="仿宋" w:hAnsi="仿宋" w:eastAsia="仿宋"/>
          <w:color w:val="000000"/>
          <w:kern w:val="0"/>
          <w:sz w:val="24"/>
          <w:szCs w:val="24"/>
          <w:highlight w:val="none"/>
          <w:shd w:val="clear" w:color="auto" w:fill="FFFFFF"/>
        </w:rPr>
        <w:t>日 期：</w:t>
      </w:r>
    </w:p>
    <w:p w14:paraId="6FB385FB">
      <w:pPr>
        <w:spacing w:line="360" w:lineRule="auto"/>
        <w:rPr>
          <w:rFonts w:ascii="仿宋" w:hAnsi="仿宋" w:eastAsia="仿宋"/>
          <w:b/>
          <w:color w:val="000000"/>
          <w:sz w:val="24"/>
          <w:szCs w:val="24"/>
          <w:highlight w:val="none"/>
        </w:rPr>
      </w:pPr>
      <w:r>
        <w:rPr>
          <w:rFonts w:hint="eastAsia" w:ascii="仿宋" w:hAnsi="仿宋" w:eastAsia="仿宋"/>
          <w:b/>
          <w:color w:val="000000"/>
          <w:sz w:val="24"/>
          <w:szCs w:val="24"/>
          <w:highlight w:val="none"/>
        </w:rPr>
        <w:t xml:space="preserve"> </w:t>
      </w:r>
    </w:p>
    <w:p w14:paraId="5D4C2E2D">
      <w:pPr>
        <w:spacing w:line="360" w:lineRule="auto"/>
        <w:rPr>
          <w:rFonts w:ascii="仿宋" w:hAnsi="仿宋" w:eastAsia="仿宋"/>
          <w:color w:val="000000"/>
          <w:sz w:val="22"/>
          <w:szCs w:val="22"/>
          <w:highlight w:val="none"/>
        </w:rPr>
      </w:pPr>
      <w:r>
        <w:rPr>
          <w:rFonts w:hint="eastAsia" w:ascii="仿宋" w:hAnsi="仿宋" w:eastAsia="仿宋"/>
          <w:b/>
          <w:color w:val="000000"/>
          <w:sz w:val="24"/>
          <w:szCs w:val="24"/>
          <w:highlight w:val="none"/>
        </w:rPr>
        <w:t>注：从业人员、营业收入、资产总额填报上一年度数据，无上一年度数据的新成立企业可不填报</w:t>
      </w:r>
      <w:r>
        <w:rPr>
          <w:rFonts w:hint="eastAsia" w:ascii="仿宋" w:hAnsi="仿宋" w:eastAsia="仿宋"/>
          <w:color w:val="000000"/>
          <w:sz w:val="22"/>
          <w:szCs w:val="22"/>
          <w:highlight w:val="none"/>
        </w:rPr>
        <w:t>。</w:t>
      </w:r>
    </w:p>
    <w:p w14:paraId="65AB7902">
      <w:pPr>
        <w:pStyle w:val="16"/>
        <w:widowControl w:val="0"/>
        <w:autoSpaceDE w:val="0"/>
        <w:spacing w:line="360" w:lineRule="auto"/>
        <w:rPr>
          <w:rFonts w:ascii="仿宋" w:hAnsi="仿宋" w:eastAsia="仿宋"/>
          <w:b/>
          <w:bCs/>
          <w:highlight w:val="none"/>
        </w:rPr>
      </w:pPr>
      <w:r>
        <w:rPr>
          <w:rFonts w:hint="eastAsia" w:ascii="仿宋" w:hAnsi="仿宋" w:eastAsia="仿宋"/>
          <w:b/>
          <w:bCs/>
          <w:highlight w:val="none"/>
        </w:rPr>
        <w:t xml:space="preserve"> </w:t>
      </w:r>
    </w:p>
    <w:p w14:paraId="38D367D7">
      <w:pPr>
        <w:rPr>
          <w:rFonts w:ascii="仿宋" w:hAnsi="仿宋" w:eastAsia="仿宋"/>
          <w:b/>
          <w:color w:val="000000"/>
          <w:sz w:val="28"/>
          <w:szCs w:val="28"/>
          <w:highlight w:val="none"/>
        </w:rPr>
      </w:pPr>
      <w:r>
        <w:rPr>
          <w:rFonts w:hint="eastAsia" w:ascii="仿宋" w:hAnsi="仿宋" w:eastAsia="仿宋"/>
          <w:b/>
          <w:color w:val="000000"/>
          <w:sz w:val="28"/>
          <w:szCs w:val="28"/>
          <w:highlight w:val="none"/>
        </w:rPr>
        <w:br w:type="page"/>
      </w:r>
    </w:p>
    <w:p w14:paraId="4D5106BC">
      <w:pPr>
        <w:pStyle w:val="6"/>
        <w:spacing w:line="360" w:lineRule="auto"/>
        <w:jc w:val="center"/>
        <w:rPr>
          <w:rFonts w:ascii="仿宋" w:hAnsi="仿宋" w:eastAsia="仿宋"/>
          <w:b/>
          <w:color w:val="000000"/>
          <w:kern w:val="0"/>
          <w:sz w:val="28"/>
          <w:szCs w:val="28"/>
          <w:highlight w:val="none"/>
        </w:rPr>
      </w:pPr>
      <w:r>
        <w:rPr>
          <w:rFonts w:hint="eastAsia" w:ascii="仿宋" w:hAnsi="仿宋" w:eastAsia="仿宋"/>
          <w:b/>
          <w:color w:val="000000"/>
          <w:sz w:val="28"/>
          <w:szCs w:val="28"/>
          <w:highlight w:val="none"/>
        </w:rPr>
        <w:t>（二）</w:t>
      </w:r>
      <w:r>
        <w:rPr>
          <w:rFonts w:hint="eastAsia" w:ascii="仿宋" w:hAnsi="仿宋" w:eastAsia="仿宋"/>
          <w:b/>
          <w:color w:val="000000"/>
          <w:kern w:val="0"/>
          <w:sz w:val="28"/>
          <w:szCs w:val="28"/>
          <w:highlight w:val="none"/>
        </w:rPr>
        <w:t>监狱企业声明函</w:t>
      </w:r>
    </w:p>
    <w:p w14:paraId="6BC4698D">
      <w:pPr>
        <w:pStyle w:val="6"/>
        <w:spacing w:line="360" w:lineRule="auto"/>
        <w:jc w:val="center"/>
        <w:rPr>
          <w:rFonts w:ascii="仿宋" w:hAnsi="仿宋" w:eastAsia="仿宋"/>
          <w:color w:val="000000"/>
          <w:spacing w:val="-4"/>
          <w:sz w:val="24"/>
          <w:szCs w:val="24"/>
          <w:highlight w:val="none"/>
        </w:rPr>
      </w:pPr>
      <w:r>
        <w:rPr>
          <w:rFonts w:hint="eastAsia" w:ascii="仿宋" w:hAnsi="仿宋" w:eastAsia="仿宋"/>
          <w:color w:val="000000"/>
          <w:spacing w:val="-4"/>
          <w:sz w:val="24"/>
          <w:szCs w:val="24"/>
          <w:highlight w:val="none"/>
        </w:rPr>
        <w:t>（</w:t>
      </w:r>
      <w:r>
        <w:rPr>
          <w:rFonts w:hint="eastAsia" w:ascii="仿宋" w:hAnsi="仿宋" w:eastAsia="仿宋"/>
          <w:color w:val="000000"/>
          <w:sz w:val="24"/>
          <w:szCs w:val="24"/>
          <w:highlight w:val="none"/>
        </w:rPr>
        <w:t>不属于监狱企业的无需填写</w:t>
      </w:r>
      <w:r>
        <w:rPr>
          <w:rFonts w:hint="eastAsia" w:ascii="仿宋" w:hAnsi="仿宋" w:eastAsia="仿宋"/>
          <w:color w:val="000000"/>
          <w:spacing w:val="-4"/>
          <w:sz w:val="24"/>
          <w:szCs w:val="24"/>
          <w:highlight w:val="none"/>
        </w:rPr>
        <w:t>）</w:t>
      </w:r>
    </w:p>
    <w:p w14:paraId="55D6180E">
      <w:pPr>
        <w:pStyle w:val="6"/>
        <w:spacing w:line="360" w:lineRule="auto"/>
        <w:ind w:firstLine="464" w:firstLineChars="200"/>
        <w:jc w:val="left"/>
        <w:rPr>
          <w:rFonts w:ascii="仿宋" w:hAnsi="仿宋" w:eastAsia="仿宋"/>
          <w:color w:val="000000"/>
          <w:sz w:val="24"/>
          <w:szCs w:val="24"/>
          <w:highlight w:val="none"/>
        </w:rPr>
      </w:pPr>
      <w:r>
        <w:rPr>
          <w:rFonts w:hint="eastAsia" w:ascii="仿宋" w:hAnsi="仿宋" w:eastAsia="仿宋"/>
          <w:color w:val="000000"/>
          <w:spacing w:val="-4"/>
          <w:sz w:val="24"/>
          <w:szCs w:val="24"/>
          <w:highlight w:val="none"/>
        </w:rPr>
        <w:t xml:space="preserve">公司郑重声明，根据《关于政府采购支持监狱企业发展有关问题的通知》 </w:t>
      </w:r>
      <w:r>
        <w:rPr>
          <w:rFonts w:hint="eastAsia" w:ascii="仿宋" w:hAnsi="仿宋" w:eastAsia="仿宋"/>
          <w:color w:val="000000"/>
          <w:sz w:val="24"/>
          <w:szCs w:val="24"/>
          <w:highlight w:val="none"/>
        </w:rPr>
        <w:t>（财库[2014]68</w:t>
      </w:r>
      <w:r>
        <w:rPr>
          <w:rFonts w:hint="eastAsia" w:ascii="仿宋" w:hAnsi="仿宋" w:eastAsia="仿宋"/>
          <w:color w:val="000000"/>
          <w:spacing w:val="-47"/>
          <w:sz w:val="24"/>
          <w:szCs w:val="24"/>
          <w:highlight w:val="none"/>
        </w:rPr>
        <w:t xml:space="preserve"> </w:t>
      </w:r>
      <w:r>
        <w:rPr>
          <w:rFonts w:hint="eastAsia" w:ascii="仿宋" w:hAnsi="仿宋" w:eastAsia="仿宋"/>
          <w:color w:val="000000"/>
          <w:sz w:val="24"/>
          <w:szCs w:val="24"/>
          <w:highlight w:val="none"/>
        </w:rPr>
        <w:t xml:space="preserve">号）的规定，本公司为监狱企业。 </w:t>
      </w:r>
    </w:p>
    <w:p w14:paraId="77DA645D">
      <w:pPr>
        <w:pStyle w:val="6"/>
        <w:spacing w:line="360" w:lineRule="auto"/>
        <w:ind w:firstLine="452" w:firstLineChars="200"/>
        <w:jc w:val="left"/>
        <w:rPr>
          <w:rFonts w:ascii="仿宋" w:hAnsi="仿宋" w:eastAsia="仿宋"/>
          <w:color w:val="000000"/>
          <w:sz w:val="24"/>
          <w:szCs w:val="24"/>
          <w:highlight w:val="none"/>
        </w:rPr>
      </w:pPr>
      <w:r>
        <w:rPr>
          <w:rFonts w:hint="eastAsia" w:ascii="仿宋" w:hAnsi="仿宋" w:eastAsia="仿宋"/>
          <w:color w:val="000000"/>
          <w:spacing w:val="-7"/>
          <w:sz w:val="24"/>
          <w:szCs w:val="24"/>
          <w:highlight w:val="none"/>
        </w:rPr>
        <w:t>根据上述标准，我公司属于监狱企业的理由为：</w:t>
      </w:r>
      <w:r>
        <w:rPr>
          <w:rFonts w:hint="eastAsia" w:ascii="仿宋" w:hAnsi="仿宋" w:eastAsia="仿宋"/>
          <w:color w:val="000000"/>
          <w:spacing w:val="-7"/>
          <w:sz w:val="24"/>
          <w:szCs w:val="24"/>
          <w:highlight w:val="none"/>
          <w:u w:val="single"/>
        </w:rPr>
        <w:t xml:space="preserve">                    </w:t>
      </w:r>
      <w:r>
        <w:rPr>
          <w:rFonts w:hint="eastAsia" w:ascii="仿宋" w:hAnsi="仿宋" w:eastAsia="仿宋"/>
          <w:color w:val="000000"/>
          <w:spacing w:val="-7"/>
          <w:sz w:val="24"/>
          <w:szCs w:val="24"/>
          <w:highlight w:val="none"/>
        </w:rPr>
        <w:t>。</w:t>
      </w:r>
    </w:p>
    <w:p w14:paraId="564BDD83">
      <w:pPr>
        <w:pStyle w:val="6"/>
        <w:spacing w:line="360" w:lineRule="auto"/>
        <w:ind w:firstLine="476" w:firstLineChars="200"/>
        <w:jc w:val="left"/>
        <w:rPr>
          <w:rFonts w:ascii="仿宋" w:hAnsi="仿宋" w:eastAsia="仿宋"/>
          <w:color w:val="000000"/>
          <w:sz w:val="24"/>
          <w:szCs w:val="24"/>
          <w:highlight w:val="none"/>
        </w:rPr>
      </w:pPr>
      <w:r>
        <w:rPr>
          <w:rFonts w:hint="eastAsia" w:ascii="仿宋" w:hAnsi="仿宋" w:eastAsia="仿宋"/>
          <w:color w:val="000000"/>
          <w:spacing w:val="-1"/>
          <w:sz w:val="24"/>
          <w:szCs w:val="24"/>
          <w:highlight w:val="none"/>
        </w:rPr>
        <w:t>本公司为参加</w:t>
      </w:r>
      <w:r>
        <w:rPr>
          <w:rFonts w:hint="eastAsia" w:ascii="仿宋" w:hAnsi="仿宋" w:eastAsia="仿宋"/>
          <w:color w:val="000000"/>
          <w:spacing w:val="-1"/>
          <w:sz w:val="24"/>
          <w:szCs w:val="24"/>
          <w:highlight w:val="none"/>
          <w:u w:val="single" w:color="000000"/>
        </w:rPr>
        <w:tab/>
      </w:r>
      <w:r>
        <w:rPr>
          <w:rFonts w:hint="eastAsia" w:ascii="仿宋" w:hAnsi="仿宋" w:eastAsia="仿宋"/>
          <w:color w:val="000000"/>
          <w:spacing w:val="-1"/>
          <w:sz w:val="24"/>
          <w:szCs w:val="24"/>
          <w:highlight w:val="none"/>
          <w:u w:val="single" w:color="000000"/>
        </w:rPr>
        <w:t>（项目名称）</w:t>
      </w:r>
      <w:r>
        <w:rPr>
          <w:rFonts w:hint="eastAsia" w:ascii="仿宋" w:hAnsi="仿宋" w:eastAsia="仿宋"/>
          <w:color w:val="000000"/>
          <w:spacing w:val="34"/>
          <w:sz w:val="24"/>
          <w:szCs w:val="24"/>
          <w:highlight w:val="none"/>
          <w:u w:val="single" w:color="000000"/>
        </w:rPr>
        <w:t xml:space="preserve"> </w:t>
      </w:r>
      <w:r>
        <w:rPr>
          <w:rFonts w:hint="eastAsia" w:ascii="仿宋" w:hAnsi="仿宋" w:eastAsia="仿宋"/>
          <w:color w:val="000000"/>
          <w:spacing w:val="-6"/>
          <w:sz w:val="24"/>
          <w:szCs w:val="24"/>
          <w:highlight w:val="none"/>
        </w:rPr>
        <w:t xml:space="preserve">（项目编号： </w:t>
      </w:r>
      <w:r>
        <w:rPr>
          <w:rFonts w:hint="eastAsia" w:ascii="仿宋" w:hAnsi="仿宋" w:eastAsia="仿宋"/>
          <w:color w:val="000000"/>
          <w:spacing w:val="-6"/>
          <w:sz w:val="24"/>
          <w:szCs w:val="24"/>
          <w:highlight w:val="none"/>
          <w:u w:val="single"/>
        </w:rPr>
        <w:t xml:space="preserve">        </w:t>
      </w:r>
      <w:r>
        <w:rPr>
          <w:rFonts w:hint="eastAsia" w:ascii="仿宋" w:hAnsi="仿宋" w:eastAsia="仿宋"/>
          <w:color w:val="000000"/>
          <w:spacing w:val="-6"/>
          <w:sz w:val="24"/>
          <w:szCs w:val="24"/>
          <w:highlight w:val="none"/>
        </w:rPr>
        <w:t>）采购活动提供本企业</w:t>
      </w:r>
      <w:r>
        <w:rPr>
          <w:rFonts w:hint="eastAsia" w:ascii="仿宋" w:hAnsi="仿宋" w:eastAsia="仿宋"/>
          <w:color w:val="000000"/>
          <w:spacing w:val="-6"/>
          <w:sz w:val="24"/>
          <w:szCs w:val="24"/>
          <w:highlight w:val="none"/>
          <w:u w:val="single"/>
        </w:rPr>
        <w:t xml:space="preserve">     </w:t>
      </w:r>
      <w:r>
        <w:rPr>
          <w:rFonts w:hint="eastAsia" w:ascii="仿宋" w:hAnsi="仿宋" w:eastAsia="仿宋"/>
          <w:color w:val="000000"/>
          <w:spacing w:val="-6"/>
          <w:sz w:val="24"/>
          <w:szCs w:val="24"/>
          <w:highlight w:val="none"/>
          <w:u w:val="single" w:color="000000"/>
        </w:rPr>
        <w:t>（填写制造的货</w:t>
      </w:r>
      <w:r>
        <w:rPr>
          <w:rFonts w:hint="eastAsia" w:ascii="仿宋" w:hAnsi="仿宋" w:eastAsia="仿宋"/>
          <w:color w:val="000000"/>
          <w:spacing w:val="-8"/>
          <w:sz w:val="24"/>
          <w:szCs w:val="24"/>
          <w:highlight w:val="none"/>
          <w:u w:val="single" w:color="000000"/>
        </w:rPr>
        <w:t>物，由本企业承担工程、提供服务）</w:t>
      </w:r>
      <w:r>
        <w:rPr>
          <w:rFonts w:hint="eastAsia" w:ascii="仿宋" w:hAnsi="仿宋" w:eastAsia="仿宋"/>
          <w:color w:val="000000"/>
          <w:spacing w:val="-8"/>
          <w:sz w:val="24"/>
          <w:szCs w:val="24"/>
          <w:highlight w:val="none"/>
        </w:rPr>
        <w:t>。</w:t>
      </w:r>
    </w:p>
    <w:p w14:paraId="2CE06D55">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1C55E2B4">
      <w:pPr>
        <w:pStyle w:val="6"/>
        <w:spacing w:line="360" w:lineRule="auto"/>
        <w:ind w:firstLine="480" w:firstLineChars="2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本条所称货物不包括使用大型企业注册商标的货物和服务。 </w:t>
      </w:r>
    </w:p>
    <w:p w14:paraId="749BEF7C">
      <w:pPr>
        <w:pStyle w:val="6"/>
        <w:spacing w:line="360" w:lineRule="auto"/>
        <w:ind w:firstLine="472" w:firstLineChars="200"/>
        <w:jc w:val="left"/>
        <w:rPr>
          <w:rFonts w:ascii="仿宋" w:hAnsi="仿宋" w:eastAsia="仿宋"/>
          <w:color w:val="000000"/>
          <w:sz w:val="24"/>
          <w:szCs w:val="24"/>
          <w:highlight w:val="none"/>
        </w:rPr>
      </w:pPr>
      <w:r>
        <w:rPr>
          <w:rFonts w:hint="eastAsia" w:ascii="仿宋" w:hAnsi="仿宋" w:eastAsia="仿宋"/>
          <w:color w:val="000000"/>
          <w:spacing w:val="-2"/>
          <w:sz w:val="24"/>
          <w:szCs w:val="24"/>
          <w:highlight w:val="none"/>
        </w:rPr>
        <w:t>本公司对上述声明的真实性负责。如有虚假，将依法承担相应责任。</w:t>
      </w:r>
    </w:p>
    <w:p w14:paraId="6DDBCD2E">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62E9E5BD">
      <w:pPr>
        <w:spacing w:line="360" w:lineRule="auto"/>
        <w:ind w:firstLine="2" w:firstLineChars="1"/>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12385356">
      <w:pPr>
        <w:spacing w:line="360" w:lineRule="auto"/>
        <w:ind w:firstLine="2" w:firstLineChars="1"/>
        <w:rPr>
          <w:rFonts w:ascii="仿宋" w:hAnsi="仿宋" w:eastAsia="仿宋"/>
          <w:color w:val="000000"/>
          <w:sz w:val="24"/>
          <w:szCs w:val="24"/>
          <w:highlight w:val="none"/>
        </w:rPr>
      </w:pPr>
      <w:r>
        <w:rPr>
          <w:rFonts w:hint="eastAsia" w:ascii="仿宋" w:hAnsi="仿宋" w:eastAsia="仿宋"/>
          <w:color w:val="000000"/>
          <w:sz w:val="24"/>
          <w:szCs w:val="24"/>
          <w:highlight w:val="none"/>
        </w:rPr>
        <w:t>投标人全称（加盖电子公章）：</w:t>
      </w:r>
      <w:r>
        <w:rPr>
          <w:rFonts w:hint="eastAsia" w:ascii="仿宋" w:hAnsi="仿宋" w:eastAsia="仿宋"/>
          <w:color w:val="000000"/>
          <w:sz w:val="24"/>
          <w:szCs w:val="24"/>
          <w:highlight w:val="none"/>
          <w:u w:val="single"/>
        </w:rPr>
        <w:t xml:space="preserve">                </w:t>
      </w:r>
    </w:p>
    <w:p w14:paraId="24D6011F">
      <w:pPr>
        <w:adjustRightInd w:val="0"/>
        <w:snapToGrid w:val="0"/>
        <w:spacing w:line="360" w:lineRule="auto"/>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法定代表人或其委托代理人（</w:t>
      </w:r>
      <w:r>
        <w:rPr>
          <w:rFonts w:hint="eastAsia" w:ascii="仿宋" w:hAnsi="仿宋" w:eastAsia="仿宋"/>
          <w:caps/>
          <w:color w:val="000000"/>
          <w:sz w:val="24"/>
          <w:szCs w:val="24"/>
          <w:highlight w:val="none"/>
        </w:rPr>
        <w:t>电子签章</w:t>
      </w:r>
      <w:r>
        <w:rPr>
          <w:rFonts w:hint="eastAsia" w:ascii="仿宋" w:hAnsi="仿宋" w:eastAsia="仿宋"/>
          <w:color w:val="000000"/>
          <w:sz w:val="24"/>
          <w:szCs w:val="24"/>
          <w:highlight w:val="none"/>
        </w:rPr>
        <w:t>）：</w:t>
      </w:r>
      <w:r>
        <w:rPr>
          <w:rFonts w:hint="eastAsia" w:ascii="仿宋" w:hAnsi="仿宋" w:eastAsia="仿宋"/>
          <w:color w:val="000000"/>
          <w:sz w:val="24"/>
          <w:szCs w:val="24"/>
          <w:highlight w:val="none"/>
          <w:u w:val="single"/>
        </w:rPr>
        <w:t xml:space="preserve">              </w:t>
      </w:r>
    </w:p>
    <w:p w14:paraId="06688B9A">
      <w:pPr>
        <w:adjustRightInd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日期：</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p>
    <w:p w14:paraId="76215EF7">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21DC07D2">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7D1C3D24">
      <w:pPr>
        <w:pStyle w:val="6"/>
        <w:spacing w:line="360" w:lineRule="auto"/>
        <w:ind w:firstLine="478" w:firstLineChars="200"/>
        <w:jc w:val="left"/>
        <w:rPr>
          <w:rFonts w:ascii="仿宋" w:hAnsi="仿宋" w:eastAsia="仿宋"/>
          <w:b/>
          <w:bCs/>
          <w:color w:val="000000"/>
          <w:spacing w:val="-1"/>
          <w:sz w:val="24"/>
          <w:szCs w:val="24"/>
          <w:highlight w:val="none"/>
        </w:rPr>
      </w:pPr>
      <w:r>
        <w:rPr>
          <w:rFonts w:hint="eastAsia" w:ascii="仿宋" w:hAnsi="仿宋" w:eastAsia="仿宋"/>
          <w:b/>
          <w:bCs/>
          <w:color w:val="000000"/>
          <w:spacing w:val="-1"/>
          <w:sz w:val="24"/>
          <w:szCs w:val="24"/>
          <w:highlight w:val="none"/>
        </w:rPr>
        <w:t>注：若产品出自符合国家规定的监狱企业，则该产品制造企业必须出具上述声明函，且投标人必须提供 应当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14:paraId="7ED12DB2">
      <w:pPr>
        <w:pStyle w:val="6"/>
        <w:spacing w:line="360" w:lineRule="auto"/>
        <w:jc w:val="center"/>
        <w:rPr>
          <w:rFonts w:ascii="仿宋" w:hAnsi="仿宋" w:eastAsia="仿宋"/>
          <w:b/>
          <w:color w:val="000000"/>
          <w:kern w:val="0"/>
          <w:sz w:val="24"/>
          <w:szCs w:val="24"/>
          <w:highlight w:val="none"/>
        </w:rPr>
      </w:pPr>
      <w:r>
        <w:rPr>
          <w:rFonts w:hint="eastAsia" w:ascii="仿宋" w:hAnsi="仿宋" w:eastAsia="仿宋"/>
          <w:b/>
          <w:bCs/>
          <w:color w:val="000000"/>
          <w:spacing w:val="-1"/>
          <w:sz w:val="24"/>
          <w:szCs w:val="24"/>
          <w:highlight w:val="none"/>
        </w:rPr>
        <w:br w:type="page"/>
      </w:r>
      <w:r>
        <w:rPr>
          <w:rFonts w:hint="eastAsia" w:ascii="仿宋" w:hAnsi="仿宋" w:eastAsia="仿宋"/>
          <w:b/>
          <w:color w:val="000000"/>
          <w:sz w:val="28"/>
          <w:szCs w:val="28"/>
          <w:highlight w:val="none"/>
        </w:rPr>
        <w:t>（三）</w:t>
      </w:r>
      <w:r>
        <w:rPr>
          <w:rFonts w:hint="eastAsia" w:ascii="仿宋" w:hAnsi="仿宋" w:eastAsia="仿宋"/>
          <w:b/>
          <w:color w:val="000000"/>
          <w:kern w:val="0"/>
          <w:sz w:val="28"/>
          <w:szCs w:val="28"/>
          <w:highlight w:val="none"/>
        </w:rPr>
        <w:t>残疾人福利性单位声明函</w:t>
      </w:r>
    </w:p>
    <w:p w14:paraId="0EAEF5E1">
      <w:pPr>
        <w:pStyle w:val="6"/>
        <w:spacing w:line="360" w:lineRule="auto"/>
        <w:ind w:firstLine="420"/>
        <w:jc w:val="center"/>
        <w:rPr>
          <w:rFonts w:ascii="仿宋" w:hAnsi="仿宋" w:eastAsia="仿宋"/>
          <w:color w:val="000000"/>
          <w:sz w:val="24"/>
          <w:szCs w:val="24"/>
          <w:highlight w:val="none"/>
        </w:rPr>
      </w:pPr>
      <w:bookmarkStart w:id="92" w:name="_Toc20904"/>
      <w:bookmarkEnd w:id="92"/>
      <w:bookmarkStart w:id="93" w:name="_Toc12907"/>
      <w:r>
        <w:rPr>
          <w:rFonts w:hint="eastAsia" w:ascii="仿宋" w:hAnsi="仿宋" w:eastAsia="仿宋"/>
          <w:color w:val="000000"/>
          <w:sz w:val="24"/>
          <w:szCs w:val="24"/>
          <w:highlight w:val="none"/>
        </w:rPr>
        <w:t>（不属于残疾人福利性单位的无需填写）</w:t>
      </w:r>
      <w:bookmarkEnd w:id="93"/>
    </w:p>
    <w:p w14:paraId="5D3286EE">
      <w:pPr>
        <w:pStyle w:val="6"/>
        <w:spacing w:line="360" w:lineRule="auto"/>
        <w:ind w:firstLine="480" w:firstLineChars="2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本单位郑重声明，根据《财政部 民政部 中国残疾人联合会关于促进残疾人就业政府采购政策</w:t>
      </w:r>
      <w:r>
        <w:rPr>
          <w:rFonts w:hint="eastAsia" w:ascii="仿宋" w:hAnsi="仿宋" w:eastAsia="仿宋"/>
          <w:color w:val="000000"/>
          <w:spacing w:val="-10"/>
          <w:sz w:val="24"/>
          <w:szCs w:val="24"/>
          <w:highlight w:val="none"/>
        </w:rPr>
        <w:t xml:space="preserve">的通知》（财库〔2017〕  </w:t>
      </w:r>
      <w:r>
        <w:rPr>
          <w:rFonts w:hint="eastAsia" w:ascii="仿宋" w:hAnsi="仿宋" w:eastAsia="仿宋"/>
          <w:color w:val="000000"/>
          <w:sz w:val="24"/>
          <w:szCs w:val="24"/>
          <w:highlight w:val="none"/>
        </w:rPr>
        <w:t>141</w:t>
      </w:r>
      <w:r>
        <w:rPr>
          <w:rFonts w:hint="eastAsia" w:ascii="仿宋" w:hAnsi="仿宋" w:eastAsia="仿宋"/>
          <w:color w:val="000000"/>
          <w:spacing w:val="-32"/>
          <w:sz w:val="24"/>
          <w:szCs w:val="24"/>
          <w:highlight w:val="none"/>
        </w:rPr>
        <w:t xml:space="preserve"> </w:t>
      </w:r>
      <w:r>
        <w:rPr>
          <w:rFonts w:hint="eastAsia" w:ascii="仿宋" w:hAnsi="仿宋" w:eastAsia="仿宋"/>
          <w:color w:val="000000"/>
          <w:sz w:val="24"/>
          <w:szCs w:val="24"/>
          <w:highlight w:val="none"/>
        </w:rPr>
        <w:t>号）的规定，本单位为符合条件的残疾人福利性单位，且本单位参加</w:t>
      </w:r>
      <w:r>
        <w:rPr>
          <w:rFonts w:hint="eastAsia" w:ascii="仿宋" w:hAnsi="仿宋" w:eastAsia="仿宋"/>
          <w:color w:val="000000"/>
          <w:sz w:val="24"/>
          <w:szCs w:val="24"/>
          <w:highlight w:val="none"/>
          <w:u w:val="single" w:color="000000"/>
        </w:rPr>
        <w:t xml:space="preserve"> </w:t>
      </w:r>
      <w:r>
        <w:rPr>
          <w:rFonts w:hint="eastAsia" w:ascii="仿宋" w:hAnsi="仿宋" w:eastAsia="仿宋"/>
          <w:color w:val="000000"/>
          <w:sz w:val="24"/>
          <w:szCs w:val="24"/>
          <w:highlight w:val="none"/>
          <w:u w:val="single" w:color="000000"/>
        </w:rPr>
        <w:tab/>
      </w:r>
      <w:r>
        <w:rPr>
          <w:rFonts w:hint="eastAsia" w:ascii="仿宋" w:hAnsi="仿宋" w:eastAsia="仿宋"/>
          <w:color w:val="000000"/>
          <w:sz w:val="24"/>
          <w:szCs w:val="24"/>
          <w:highlight w:val="none"/>
          <w:u w:val="single" w:color="000000"/>
        </w:rPr>
        <w:t xml:space="preserve">         </w:t>
      </w:r>
      <w:r>
        <w:rPr>
          <w:rFonts w:hint="eastAsia" w:ascii="仿宋" w:hAnsi="仿宋" w:eastAsia="仿宋"/>
          <w:color w:val="000000"/>
          <w:spacing w:val="-1"/>
          <w:sz w:val="24"/>
          <w:szCs w:val="24"/>
          <w:highlight w:val="none"/>
        </w:rPr>
        <w:t>单位的</w:t>
      </w:r>
      <w:r>
        <w:rPr>
          <w:rFonts w:hint="eastAsia" w:ascii="仿宋" w:hAnsi="仿宋" w:eastAsia="仿宋"/>
          <w:color w:val="000000"/>
          <w:spacing w:val="-1"/>
          <w:sz w:val="24"/>
          <w:szCs w:val="24"/>
          <w:highlight w:val="none"/>
          <w:u w:val="single" w:color="000000"/>
        </w:rPr>
        <w:tab/>
      </w:r>
      <w:r>
        <w:rPr>
          <w:rFonts w:hint="eastAsia" w:ascii="仿宋" w:hAnsi="仿宋" w:eastAsia="仿宋"/>
          <w:color w:val="000000"/>
          <w:spacing w:val="-1"/>
          <w:sz w:val="24"/>
          <w:szCs w:val="24"/>
          <w:highlight w:val="none"/>
          <w:u w:val="single" w:color="000000"/>
        </w:rPr>
        <w:t xml:space="preserve">              </w:t>
      </w:r>
      <w:r>
        <w:rPr>
          <w:rFonts w:hint="eastAsia" w:ascii="仿宋" w:hAnsi="仿宋" w:eastAsia="仿宋"/>
          <w:color w:val="000000"/>
          <w:spacing w:val="-4"/>
          <w:sz w:val="24"/>
          <w:szCs w:val="24"/>
          <w:highlight w:val="none"/>
        </w:rPr>
        <w:t>项目采购活动提供本单位制造的货物（由本单位承担工程/提供服务），或者提供其他残疾人福利性单位制造的货物（不包括使用非残疾人福利性单位注册商标的货物）。</w:t>
      </w:r>
    </w:p>
    <w:p w14:paraId="12BCF568">
      <w:pPr>
        <w:pStyle w:val="6"/>
        <w:spacing w:line="360" w:lineRule="auto"/>
        <w:ind w:firstLine="480" w:firstLineChars="200"/>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本单位对上述声明的真实性负责。如有虚假，将依法承担相应责任。</w:t>
      </w:r>
    </w:p>
    <w:p w14:paraId="52B2549E">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5BE3FF70">
      <w:pPr>
        <w:pStyle w:val="6"/>
        <w:spacing w:line="360" w:lineRule="auto"/>
        <w:ind w:firstLine="420"/>
        <w:jc w:val="left"/>
        <w:rPr>
          <w:rFonts w:ascii="仿宋" w:hAnsi="仿宋" w:eastAsia="仿宋"/>
          <w:color w:val="000000"/>
          <w:spacing w:val="-4"/>
          <w:sz w:val="24"/>
          <w:szCs w:val="24"/>
          <w:highlight w:val="none"/>
        </w:rPr>
      </w:pPr>
      <w:r>
        <w:rPr>
          <w:rFonts w:hint="eastAsia" w:ascii="仿宋" w:hAnsi="仿宋" w:eastAsia="仿宋"/>
          <w:color w:val="000000"/>
          <w:spacing w:val="-4"/>
          <w:sz w:val="24"/>
          <w:szCs w:val="24"/>
          <w:highlight w:val="none"/>
        </w:rPr>
        <w:t>注： 单独列出所供残疾人福利性单位制造的货物产品单价和总价。</w:t>
      </w:r>
    </w:p>
    <w:p w14:paraId="0B472C0B">
      <w:pPr>
        <w:pStyle w:val="6"/>
        <w:spacing w:line="360" w:lineRule="auto"/>
        <w:jc w:val="left"/>
        <w:rPr>
          <w:rFonts w:ascii="仿宋" w:hAnsi="仿宋" w:eastAsia="仿宋"/>
          <w:color w:val="000000"/>
          <w:sz w:val="24"/>
          <w:szCs w:val="24"/>
          <w:highlight w:val="none"/>
        </w:rPr>
      </w:pPr>
      <w:r>
        <w:rPr>
          <w:rFonts w:hint="eastAsia" w:ascii="仿宋" w:hAnsi="仿宋" w:eastAsia="仿宋"/>
          <w:color w:val="000000"/>
          <w:spacing w:val="-5"/>
          <w:sz w:val="24"/>
          <w:szCs w:val="24"/>
          <w:highlight w:val="none"/>
        </w:rPr>
        <w:t>（若投标文件中无上述材料，则在评审时不考虑对该小、微企业的相关优惠。）</w:t>
      </w:r>
    </w:p>
    <w:p w14:paraId="7A0EDEB3">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609FD7E3">
      <w:pPr>
        <w:spacing w:line="360" w:lineRule="auto"/>
        <w:ind w:firstLine="2" w:firstLineChars="1"/>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30D1D5D9">
      <w:pPr>
        <w:spacing w:line="360" w:lineRule="auto"/>
        <w:ind w:firstLine="2" w:firstLineChars="1"/>
        <w:rPr>
          <w:rFonts w:ascii="仿宋" w:hAnsi="仿宋" w:eastAsia="仿宋"/>
          <w:color w:val="000000"/>
          <w:sz w:val="24"/>
          <w:szCs w:val="24"/>
          <w:highlight w:val="none"/>
        </w:rPr>
      </w:pPr>
      <w:r>
        <w:rPr>
          <w:rFonts w:hint="eastAsia" w:ascii="仿宋" w:hAnsi="仿宋" w:eastAsia="仿宋"/>
          <w:color w:val="000000"/>
          <w:sz w:val="24"/>
          <w:szCs w:val="24"/>
          <w:highlight w:val="none"/>
        </w:rPr>
        <w:t>投标人全称（加盖电子公章）：</w:t>
      </w:r>
      <w:r>
        <w:rPr>
          <w:rFonts w:hint="eastAsia" w:ascii="仿宋" w:hAnsi="仿宋" w:eastAsia="仿宋"/>
          <w:color w:val="000000"/>
          <w:sz w:val="24"/>
          <w:szCs w:val="24"/>
          <w:highlight w:val="none"/>
          <w:u w:val="single"/>
        </w:rPr>
        <w:t xml:space="preserve">                </w:t>
      </w:r>
    </w:p>
    <w:p w14:paraId="429273A8">
      <w:pPr>
        <w:adjustRightInd w:val="0"/>
        <w:snapToGrid w:val="0"/>
        <w:spacing w:line="360" w:lineRule="auto"/>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法定代表人或其委托代理人（</w:t>
      </w:r>
      <w:r>
        <w:rPr>
          <w:rFonts w:hint="eastAsia" w:ascii="仿宋" w:hAnsi="仿宋" w:eastAsia="仿宋"/>
          <w:caps/>
          <w:color w:val="000000"/>
          <w:sz w:val="24"/>
          <w:szCs w:val="24"/>
          <w:highlight w:val="none"/>
        </w:rPr>
        <w:t>电子签章</w:t>
      </w:r>
      <w:r>
        <w:rPr>
          <w:rFonts w:hint="eastAsia" w:ascii="仿宋" w:hAnsi="仿宋" w:eastAsia="仿宋"/>
          <w:color w:val="000000"/>
          <w:sz w:val="24"/>
          <w:szCs w:val="24"/>
          <w:highlight w:val="none"/>
        </w:rPr>
        <w:t>）：</w:t>
      </w:r>
      <w:r>
        <w:rPr>
          <w:rFonts w:hint="eastAsia" w:ascii="仿宋" w:hAnsi="仿宋" w:eastAsia="仿宋"/>
          <w:color w:val="000000"/>
          <w:sz w:val="24"/>
          <w:szCs w:val="24"/>
          <w:highlight w:val="none"/>
          <w:u w:val="single"/>
        </w:rPr>
        <w:t xml:space="preserve">              </w:t>
      </w:r>
    </w:p>
    <w:p w14:paraId="31AC8185">
      <w:pPr>
        <w:adjustRightInd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日期：</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p>
    <w:p w14:paraId="36112358">
      <w:pPr>
        <w:pStyle w:val="6"/>
        <w:spacing w:line="360" w:lineRule="auto"/>
        <w:ind w:left="27" w:hanging="27"/>
        <w:jc w:val="lef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1E8728AD">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472C2EEC">
      <w:pPr>
        <w:pStyle w:val="18"/>
        <w:autoSpaceDE w:val="0"/>
        <w:spacing w:after="0" w:line="360" w:lineRule="auto"/>
        <w:ind w:left="0" w:leftChars="0" w:firstLine="478"/>
        <w:rPr>
          <w:rFonts w:ascii="仿宋" w:hAnsi="仿宋" w:eastAsia="仿宋"/>
          <w:b/>
          <w:bCs/>
          <w:color w:val="000000"/>
          <w:spacing w:val="-1"/>
          <w:sz w:val="24"/>
          <w:szCs w:val="24"/>
          <w:highlight w:val="none"/>
        </w:rPr>
      </w:pPr>
      <w:r>
        <w:rPr>
          <w:rFonts w:hint="eastAsia" w:ascii="仿宋" w:hAnsi="仿宋" w:eastAsia="仿宋"/>
          <w:b/>
          <w:bCs/>
          <w:color w:val="000000"/>
          <w:spacing w:val="-1"/>
          <w:sz w:val="24"/>
          <w:szCs w:val="24"/>
          <w:highlight w:val="none"/>
        </w:rPr>
        <w:t>注：符合条件的残疾人福利性单位在参加政府采购活动时，应当提供本通知规定的《残疾人福利性单位声明函》，并对声明的真实性负责。招标代理机构在随中标、中标结果同时公告其《残疾人福利性单位声明函》，接受社会监督。投标人提供的《残疾人福利性单位声明函》与事实不符的，依照《政府采购法》第七十七条第一款的规定追究法律责任。</w:t>
      </w:r>
    </w:p>
    <w:p w14:paraId="300E5B6B">
      <w:pPr>
        <w:pStyle w:val="9"/>
        <w:spacing w:line="360" w:lineRule="auto"/>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 </w:t>
      </w:r>
    </w:p>
    <w:p w14:paraId="738D892D">
      <w:pPr>
        <w:pStyle w:val="9"/>
        <w:spacing w:line="360" w:lineRule="auto"/>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 </w:t>
      </w:r>
    </w:p>
    <w:p w14:paraId="0E071E2B">
      <w:pPr>
        <w:pStyle w:val="5"/>
        <w:autoSpaceDE w:val="0"/>
        <w:spacing w:line="360" w:lineRule="auto"/>
        <w:ind w:firstLine="0"/>
        <w:outlineLvl w:val="1"/>
        <w:rPr>
          <w:rFonts w:ascii="仿宋" w:hAnsi="仿宋" w:eastAsia="仿宋"/>
          <w:color w:val="000000"/>
          <w:sz w:val="32"/>
          <w:szCs w:val="32"/>
          <w:highlight w:val="none"/>
        </w:rPr>
      </w:pPr>
      <w:r>
        <w:rPr>
          <w:rFonts w:hint="eastAsia" w:ascii="仿宋" w:hAnsi="仿宋" w:eastAsia="仿宋"/>
          <w:b/>
          <w:bCs/>
          <w:color w:val="000000"/>
          <w:sz w:val="32"/>
          <w:szCs w:val="32"/>
          <w:highlight w:val="none"/>
        </w:rPr>
        <w:t>第二部分  报价部分</w:t>
      </w:r>
    </w:p>
    <w:p w14:paraId="314DBDA7">
      <w:pPr>
        <w:pStyle w:val="3"/>
        <w:spacing w:line="360" w:lineRule="auto"/>
        <w:jc w:val="center"/>
        <w:rPr>
          <w:rFonts w:ascii="仿宋" w:hAnsi="仿宋" w:eastAsia="仿宋"/>
          <w:color w:val="000000"/>
          <w:sz w:val="28"/>
          <w:szCs w:val="28"/>
          <w:highlight w:val="none"/>
        </w:rPr>
      </w:pPr>
      <w:r>
        <w:rPr>
          <w:rFonts w:hint="eastAsia" w:ascii="仿宋" w:hAnsi="仿宋" w:eastAsia="仿宋"/>
          <w:color w:val="000000"/>
          <w:highlight w:val="none"/>
        </w:rPr>
        <w:t>一、投标报价一览表</w:t>
      </w:r>
    </w:p>
    <w:tbl>
      <w:tblPr>
        <w:tblStyle w:val="19"/>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3"/>
        <w:gridCol w:w="6433"/>
      </w:tblGrid>
      <w:tr w14:paraId="2B9DCE61">
        <w:tblPrEx>
          <w:tblCellMar>
            <w:top w:w="0" w:type="dxa"/>
            <w:left w:w="108" w:type="dxa"/>
            <w:bottom w:w="0" w:type="dxa"/>
            <w:right w:w="108" w:type="dxa"/>
          </w:tblCellMar>
        </w:tblPrEx>
        <w:trPr>
          <w:trHeight w:val="673"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0EB81DBF">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项目名称</w:t>
            </w:r>
          </w:p>
        </w:tc>
        <w:tc>
          <w:tcPr>
            <w:tcW w:w="6433" w:type="dxa"/>
            <w:tcBorders>
              <w:top w:val="single" w:color="auto" w:sz="4" w:space="0"/>
              <w:left w:val="single" w:color="auto" w:sz="4" w:space="0"/>
              <w:bottom w:val="single" w:color="auto" w:sz="4" w:space="0"/>
              <w:right w:val="single" w:color="auto" w:sz="4" w:space="0"/>
            </w:tcBorders>
          </w:tcPr>
          <w:p w14:paraId="5583116F">
            <w:pPr>
              <w:spacing w:line="360" w:lineRule="auto"/>
              <w:rPr>
                <w:rFonts w:ascii="仿宋" w:hAnsi="仿宋" w:eastAsia="仿宋"/>
                <w:bCs/>
                <w:color w:val="000000"/>
                <w:sz w:val="24"/>
                <w:szCs w:val="24"/>
                <w:highlight w:val="none"/>
                <w:u w:val="single"/>
              </w:rPr>
            </w:pPr>
          </w:p>
        </w:tc>
      </w:tr>
      <w:tr w14:paraId="7DB21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7D4443C3">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投标报价（元）</w:t>
            </w:r>
          </w:p>
        </w:tc>
        <w:tc>
          <w:tcPr>
            <w:tcW w:w="6433" w:type="dxa"/>
            <w:tcBorders>
              <w:top w:val="single" w:color="auto" w:sz="4" w:space="0"/>
              <w:left w:val="single" w:color="auto" w:sz="4" w:space="0"/>
              <w:bottom w:val="single" w:color="auto" w:sz="4" w:space="0"/>
              <w:right w:val="single" w:color="auto" w:sz="4" w:space="0"/>
            </w:tcBorders>
            <w:vAlign w:val="center"/>
          </w:tcPr>
          <w:p w14:paraId="1245E67C">
            <w:pPr>
              <w:spacing w:line="360" w:lineRule="auto"/>
              <w:rPr>
                <w:rFonts w:ascii="仿宋" w:hAnsi="仿宋" w:eastAsia="仿宋"/>
                <w:bCs/>
                <w:color w:val="000000"/>
                <w:sz w:val="24"/>
                <w:szCs w:val="24"/>
                <w:highlight w:val="none"/>
                <w:u w:val="single"/>
              </w:rPr>
            </w:pPr>
            <w:r>
              <w:rPr>
                <w:rFonts w:hint="eastAsia" w:ascii="仿宋" w:hAnsi="仿宋" w:eastAsia="仿宋"/>
                <w:bCs/>
                <w:color w:val="000000"/>
                <w:sz w:val="24"/>
                <w:szCs w:val="24"/>
                <w:highlight w:val="none"/>
              </w:rPr>
              <w:t>小写：              大写：</w:t>
            </w:r>
          </w:p>
        </w:tc>
      </w:tr>
      <w:tr w14:paraId="130B7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5CD07683">
            <w:pPr>
              <w:autoSpaceDE w:val="0"/>
              <w:spacing w:line="400" w:lineRule="exact"/>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合同履行期限</w:t>
            </w:r>
          </w:p>
        </w:tc>
        <w:tc>
          <w:tcPr>
            <w:tcW w:w="6433" w:type="dxa"/>
            <w:tcBorders>
              <w:top w:val="single" w:color="auto" w:sz="4" w:space="0"/>
              <w:left w:val="single" w:color="auto" w:sz="4" w:space="0"/>
              <w:bottom w:val="single" w:color="auto" w:sz="4" w:space="0"/>
              <w:right w:val="single" w:color="auto" w:sz="4" w:space="0"/>
            </w:tcBorders>
            <w:vAlign w:val="center"/>
          </w:tcPr>
          <w:p w14:paraId="39A560AC">
            <w:pPr>
              <w:spacing w:line="360" w:lineRule="auto"/>
              <w:rPr>
                <w:rFonts w:ascii="仿宋" w:hAnsi="仿宋" w:eastAsia="仿宋"/>
                <w:color w:val="000000"/>
                <w:sz w:val="24"/>
                <w:szCs w:val="24"/>
                <w:highlight w:val="none"/>
              </w:rPr>
            </w:pPr>
          </w:p>
        </w:tc>
      </w:tr>
      <w:tr w14:paraId="21A59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4176A629">
            <w:pPr>
              <w:pStyle w:val="10"/>
              <w:spacing w:before="120" w:beforeAutospacing="0" w:after="120" w:afterAutospacing="0" w:line="360" w:lineRule="auto"/>
              <w:ind w:left="0" w:leftChars="0"/>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投标保证金</w:t>
            </w:r>
          </w:p>
        </w:tc>
        <w:tc>
          <w:tcPr>
            <w:tcW w:w="6433" w:type="dxa"/>
            <w:tcBorders>
              <w:top w:val="single" w:color="auto" w:sz="4" w:space="0"/>
              <w:left w:val="single" w:color="auto" w:sz="4" w:space="0"/>
              <w:bottom w:val="single" w:color="auto" w:sz="4" w:space="0"/>
              <w:right w:val="single" w:color="auto" w:sz="4" w:space="0"/>
            </w:tcBorders>
            <w:vAlign w:val="center"/>
          </w:tcPr>
          <w:p w14:paraId="6D34514E">
            <w:pPr>
              <w:spacing w:line="360" w:lineRule="auto"/>
              <w:rPr>
                <w:rFonts w:ascii="仿宋" w:hAnsi="仿宋" w:eastAsia="仿宋"/>
                <w:bCs/>
                <w:color w:val="000000"/>
                <w:sz w:val="24"/>
                <w:szCs w:val="24"/>
                <w:highlight w:val="none"/>
                <w:u w:val="single"/>
              </w:rPr>
            </w:pPr>
          </w:p>
        </w:tc>
      </w:tr>
      <w:tr w14:paraId="2DCFF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3" w:type="dxa"/>
            <w:tcBorders>
              <w:top w:val="single" w:color="auto" w:sz="4" w:space="0"/>
              <w:left w:val="single" w:color="auto" w:sz="4" w:space="0"/>
              <w:bottom w:val="single" w:color="auto" w:sz="4" w:space="0"/>
              <w:right w:val="single" w:color="auto" w:sz="4" w:space="0"/>
            </w:tcBorders>
            <w:vAlign w:val="center"/>
          </w:tcPr>
          <w:p w14:paraId="31BB0326">
            <w:pPr>
              <w:pStyle w:val="10"/>
              <w:spacing w:before="120" w:beforeAutospacing="0" w:after="120" w:afterAutospacing="0" w:line="360" w:lineRule="auto"/>
              <w:ind w:left="0" w:leftChars="0"/>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备注</w:t>
            </w:r>
          </w:p>
        </w:tc>
        <w:tc>
          <w:tcPr>
            <w:tcW w:w="6433" w:type="dxa"/>
            <w:tcBorders>
              <w:top w:val="single" w:color="auto" w:sz="4" w:space="0"/>
              <w:left w:val="single" w:color="auto" w:sz="4" w:space="0"/>
              <w:bottom w:val="single" w:color="auto" w:sz="4" w:space="0"/>
              <w:right w:val="single" w:color="auto" w:sz="4" w:space="0"/>
            </w:tcBorders>
            <w:vAlign w:val="center"/>
          </w:tcPr>
          <w:p w14:paraId="385DFCF6">
            <w:pPr>
              <w:spacing w:line="360" w:lineRule="auto"/>
              <w:rPr>
                <w:rFonts w:ascii="仿宋" w:hAnsi="仿宋" w:eastAsia="仿宋"/>
                <w:bCs/>
                <w:color w:val="000000"/>
                <w:sz w:val="24"/>
                <w:szCs w:val="24"/>
                <w:highlight w:val="none"/>
                <w:u w:val="single"/>
              </w:rPr>
            </w:pPr>
          </w:p>
        </w:tc>
      </w:tr>
    </w:tbl>
    <w:p w14:paraId="34BEB0C0">
      <w:pPr>
        <w:pStyle w:val="31"/>
        <w:spacing w:before="0" w:beforeAutospacing="0" w:after="0" w:afterAutospacing="0" w:line="360" w:lineRule="auto"/>
        <w:ind w:left="0" w:right="23"/>
        <w:rPr>
          <w:rFonts w:ascii="仿宋" w:hAnsi="仿宋" w:eastAsia="仿宋"/>
          <w:color w:val="000000"/>
          <w:highlight w:val="none"/>
        </w:rPr>
      </w:pPr>
      <w:r>
        <w:rPr>
          <w:rFonts w:hint="eastAsia" w:ascii="仿宋" w:hAnsi="仿宋" w:eastAsia="仿宋"/>
          <w:color w:val="000000"/>
          <w:highlight w:val="none"/>
        </w:rPr>
        <w:t xml:space="preserve"> </w:t>
      </w:r>
    </w:p>
    <w:p w14:paraId="676AFBE4">
      <w:pPr>
        <w:pStyle w:val="31"/>
        <w:spacing w:before="0" w:beforeAutospacing="0" w:after="0" w:afterAutospacing="0" w:line="360" w:lineRule="auto"/>
        <w:ind w:left="0" w:right="0" w:firstLine="420" w:firstLineChars="200"/>
        <w:rPr>
          <w:rFonts w:ascii="仿宋" w:hAnsi="仿宋" w:eastAsia="仿宋"/>
          <w:color w:val="000000"/>
          <w:highlight w:val="none"/>
        </w:rPr>
      </w:pPr>
      <w:r>
        <w:rPr>
          <w:rFonts w:hint="eastAsia" w:ascii="仿宋" w:hAnsi="仿宋" w:eastAsia="仿宋"/>
          <w:color w:val="000000"/>
          <w:highlight w:val="none"/>
        </w:rPr>
        <w:t>注：1、</w:t>
      </w:r>
      <w:r>
        <w:rPr>
          <w:rFonts w:hint="eastAsia" w:ascii="仿宋" w:hAnsi="仿宋" w:eastAsia="仿宋"/>
          <w:color w:val="000000"/>
          <w:sz w:val="24"/>
          <w:szCs w:val="24"/>
          <w:highlight w:val="none"/>
        </w:rPr>
        <w:t>投标报价为全包价，以人民币为结算单位，包括本项目所有货品、货品运输装卸、验收、售后服务、质保等伴随的服务及各种税费等全部费用。</w:t>
      </w:r>
    </w:p>
    <w:p w14:paraId="28A73DB1">
      <w:pPr>
        <w:pStyle w:val="31"/>
        <w:spacing w:before="0" w:beforeAutospacing="0" w:after="0" w:afterAutospacing="0" w:line="360" w:lineRule="auto"/>
        <w:ind w:right="23"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2.投标报价超过预算价作无效标书处理。</w:t>
      </w:r>
    </w:p>
    <w:p w14:paraId="6AE34B2F">
      <w:pPr>
        <w:spacing w:line="360" w:lineRule="auto"/>
        <w:ind w:firstLine="2" w:firstLineChars="1"/>
        <w:rPr>
          <w:rFonts w:ascii="仿宋" w:hAnsi="仿宋" w:eastAsia="仿宋"/>
          <w:color w:val="000000"/>
          <w:highlight w:val="none"/>
        </w:rPr>
      </w:pPr>
      <w:r>
        <w:rPr>
          <w:rFonts w:hint="eastAsia" w:ascii="仿宋" w:hAnsi="仿宋" w:eastAsia="仿宋"/>
          <w:color w:val="000000"/>
          <w:highlight w:val="none"/>
        </w:rPr>
        <w:t xml:space="preserve"> </w:t>
      </w:r>
    </w:p>
    <w:p w14:paraId="768095A8">
      <w:pPr>
        <w:adjustRightInd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6C111F03">
      <w:pPr>
        <w:adjustRightInd w:val="0"/>
        <w:snapToGrid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78639324">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投标人全称（加盖电子公章）：</w:t>
      </w:r>
      <w:r>
        <w:rPr>
          <w:rFonts w:hint="eastAsia" w:ascii="仿宋" w:hAnsi="仿宋" w:eastAsia="仿宋"/>
          <w:color w:val="000000"/>
          <w:sz w:val="24"/>
          <w:szCs w:val="24"/>
          <w:highlight w:val="none"/>
          <w:u w:val="single"/>
        </w:rPr>
        <w:t xml:space="preserve">                   </w:t>
      </w:r>
    </w:p>
    <w:p w14:paraId="322B6B27">
      <w:pPr>
        <w:autoSpaceDE w:val="0"/>
        <w:adjustRightInd w:val="0"/>
        <w:snapToGrid w:val="0"/>
        <w:spacing w:line="360" w:lineRule="auto"/>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法定代表人或其委托代理人（</w:t>
      </w:r>
      <w:r>
        <w:rPr>
          <w:rFonts w:hint="eastAsia" w:ascii="仿宋" w:hAnsi="仿宋" w:eastAsia="仿宋"/>
          <w:caps/>
          <w:color w:val="000000"/>
          <w:sz w:val="24"/>
          <w:szCs w:val="24"/>
          <w:highlight w:val="none"/>
        </w:rPr>
        <w:t>电子签章</w:t>
      </w:r>
      <w:r>
        <w:rPr>
          <w:rFonts w:hint="eastAsia" w:ascii="仿宋" w:hAnsi="仿宋" w:eastAsia="仿宋"/>
          <w:color w:val="000000"/>
          <w:sz w:val="24"/>
          <w:szCs w:val="24"/>
          <w:highlight w:val="none"/>
        </w:rPr>
        <w:t>）：</w:t>
      </w:r>
      <w:r>
        <w:rPr>
          <w:rFonts w:hint="eastAsia" w:ascii="仿宋" w:hAnsi="仿宋" w:eastAsia="仿宋"/>
          <w:color w:val="000000"/>
          <w:sz w:val="24"/>
          <w:szCs w:val="24"/>
          <w:highlight w:val="none"/>
          <w:u w:val="single"/>
        </w:rPr>
        <w:t xml:space="preserve">              </w:t>
      </w:r>
    </w:p>
    <w:p w14:paraId="010D5136">
      <w:pPr>
        <w:autoSpaceDE w:val="0"/>
        <w:spacing w:line="360" w:lineRule="auto"/>
        <w:jc w:val="left"/>
        <w:rPr>
          <w:rFonts w:ascii="仿宋" w:hAnsi="仿宋" w:eastAsia="仿宋"/>
          <w:b/>
          <w:bCs/>
          <w:color w:val="000000"/>
          <w:sz w:val="28"/>
          <w:szCs w:val="28"/>
          <w:highlight w:val="none"/>
        </w:rPr>
      </w:pPr>
      <w:r>
        <w:rPr>
          <w:rFonts w:hint="eastAsia" w:ascii="仿宋" w:hAnsi="仿宋" w:eastAsia="仿宋"/>
          <w:color w:val="000000"/>
          <w:sz w:val="24"/>
          <w:szCs w:val="24"/>
          <w:highlight w:val="none"/>
        </w:rPr>
        <w:t>日期：</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p>
    <w:p w14:paraId="2CF12572">
      <w:pPr>
        <w:pStyle w:val="9"/>
        <w:spacing w:line="360" w:lineRule="auto"/>
        <w:rPr>
          <w:rFonts w:ascii="仿宋" w:hAnsi="仿宋" w:eastAsia="仿宋"/>
          <w:b/>
          <w:color w:val="000000"/>
          <w:highlight w:val="none"/>
        </w:rPr>
      </w:pPr>
      <w:r>
        <w:rPr>
          <w:rFonts w:hint="eastAsia" w:ascii="仿宋" w:hAnsi="仿宋" w:eastAsia="仿宋"/>
          <w:b/>
          <w:color w:val="000000"/>
          <w:highlight w:val="none"/>
        </w:rPr>
        <w:t xml:space="preserve"> </w:t>
      </w:r>
    </w:p>
    <w:p w14:paraId="70DA8C59">
      <w:pPr>
        <w:rPr>
          <w:rFonts w:ascii="仿宋" w:hAnsi="仿宋" w:eastAsia="仿宋"/>
          <w:b/>
          <w:bCs/>
          <w:color w:val="000000"/>
          <w:kern w:val="0"/>
          <w:sz w:val="28"/>
          <w:szCs w:val="28"/>
          <w:highlight w:val="none"/>
        </w:rPr>
      </w:pPr>
      <w:r>
        <w:rPr>
          <w:rFonts w:hint="eastAsia" w:ascii="仿宋" w:hAnsi="仿宋" w:eastAsia="仿宋"/>
          <w:b/>
          <w:bCs/>
          <w:color w:val="000000"/>
          <w:kern w:val="0"/>
          <w:sz w:val="28"/>
          <w:szCs w:val="28"/>
          <w:highlight w:val="none"/>
        </w:rPr>
        <w:t xml:space="preserve"> </w:t>
      </w:r>
    </w:p>
    <w:p w14:paraId="352FEE7E">
      <w:pPr>
        <w:rPr>
          <w:rFonts w:ascii="仿宋" w:hAnsi="仿宋" w:eastAsia="仿宋"/>
          <w:b/>
          <w:bCs/>
          <w:color w:val="000000"/>
          <w:sz w:val="32"/>
          <w:szCs w:val="32"/>
          <w:highlight w:val="none"/>
        </w:rPr>
      </w:pPr>
      <w:r>
        <w:rPr>
          <w:rFonts w:hint="eastAsia" w:ascii="仿宋" w:hAnsi="仿宋" w:eastAsia="仿宋"/>
          <w:bCs/>
          <w:color w:val="000000"/>
          <w:kern w:val="0"/>
          <w:sz w:val="28"/>
          <w:szCs w:val="28"/>
          <w:highlight w:val="none"/>
        </w:rPr>
        <w:br w:type="page"/>
      </w:r>
    </w:p>
    <w:p w14:paraId="01AA7AD4">
      <w:pPr>
        <w:spacing w:line="360" w:lineRule="auto"/>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第三部分  商务技术部分</w:t>
      </w:r>
    </w:p>
    <w:p w14:paraId="52F6FD19">
      <w:pPr>
        <w:pStyle w:val="3"/>
        <w:spacing w:before="0" w:after="0" w:line="360" w:lineRule="auto"/>
        <w:jc w:val="center"/>
        <w:rPr>
          <w:rFonts w:ascii="仿宋" w:hAnsi="仿宋" w:eastAsia="仿宋"/>
          <w:color w:val="000000"/>
          <w:highlight w:val="none"/>
        </w:rPr>
      </w:pPr>
      <w:bookmarkStart w:id="94" w:name="_Toc486885404"/>
      <w:bookmarkEnd w:id="94"/>
      <w:bookmarkStart w:id="95" w:name="_Toc393354841"/>
      <w:r>
        <w:rPr>
          <w:rFonts w:hint="eastAsia" w:ascii="仿宋" w:hAnsi="仿宋" w:eastAsia="仿宋"/>
          <w:color w:val="000000"/>
          <w:highlight w:val="none"/>
        </w:rPr>
        <w:t>一</w:t>
      </w:r>
      <w:bookmarkEnd w:id="95"/>
      <w:r>
        <w:rPr>
          <w:rFonts w:hint="eastAsia" w:ascii="仿宋" w:hAnsi="仿宋" w:eastAsia="仿宋"/>
          <w:color w:val="000000"/>
          <w:highlight w:val="none"/>
        </w:rPr>
        <w:t>、投标函</w:t>
      </w:r>
    </w:p>
    <w:p w14:paraId="1C6CE682">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我方仔细研究了</w:t>
      </w:r>
      <w:r>
        <w:rPr>
          <w:rFonts w:hint="eastAsia" w:ascii="仿宋" w:hAnsi="仿宋" w:eastAsia="仿宋" w:cs="仿宋"/>
          <w:sz w:val="24"/>
          <w:szCs w:val="24"/>
          <w:highlight w:val="none"/>
          <w:u w:val="single"/>
        </w:rPr>
        <w:t xml:space="preserve">       （采购项目名称） （项目编号：       ）</w:t>
      </w:r>
      <w:r>
        <w:rPr>
          <w:rFonts w:hint="eastAsia" w:ascii="仿宋" w:hAnsi="仿宋" w:eastAsia="仿宋" w:cs="仿宋"/>
          <w:sz w:val="24"/>
          <w:szCs w:val="24"/>
          <w:highlight w:val="none"/>
        </w:rPr>
        <w:t>招标文件的全部内容，正式授权</w:t>
      </w:r>
      <w:r>
        <w:rPr>
          <w:rFonts w:hint="eastAsia" w:ascii="仿宋" w:hAnsi="仿宋" w:eastAsia="仿宋" w:cs="仿宋"/>
          <w:sz w:val="24"/>
          <w:szCs w:val="24"/>
          <w:highlight w:val="none"/>
          <w:u w:val="single"/>
        </w:rPr>
        <w:t xml:space="preserve">     （姓名和职务）    </w:t>
      </w:r>
      <w:r>
        <w:rPr>
          <w:rFonts w:hint="eastAsia" w:ascii="仿宋" w:hAnsi="仿宋" w:eastAsia="仿宋" w:cs="仿宋"/>
          <w:sz w:val="24"/>
          <w:szCs w:val="24"/>
          <w:highlight w:val="none"/>
        </w:rPr>
        <w:t>全权代表</w:t>
      </w:r>
      <w:r>
        <w:rPr>
          <w:rFonts w:hint="eastAsia" w:ascii="仿宋" w:hAnsi="仿宋" w:eastAsia="仿宋" w:cs="仿宋"/>
          <w:sz w:val="24"/>
          <w:szCs w:val="24"/>
          <w:highlight w:val="none"/>
          <w:u w:val="single"/>
        </w:rPr>
        <w:t xml:space="preserve">    （投标人全称）    </w:t>
      </w:r>
      <w:r>
        <w:rPr>
          <w:rFonts w:hint="eastAsia" w:ascii="仿宋" w:hAnsi="仿宋" w:eastAsia="仿宋" w:cs="仿宋"/>
          <w:sz w:val="24"/>
          <w:szCs w:val="24"/>
          <w:highlight w:val="none"/>
        </w:rPr>
        <w:t>参加投标，并提交投标文件。</w:t>
      </w:r>
    </w:p>
    <w:p w14:paraId="601DE04B">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据此函，签字人兹宣布同意如下：</w:t>
      </w:r>
    </w:p>
    <w:p w14:paraId="7C97CCAE">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1、按招标文件采购需求及服务要求和投标报价汇总表，投标总报价</w:t>
      </w:r>
      <w:r>
        <w:rPr>
          <w:rFonts w:hint="eastAsia" w:ascii="仿宋" w:hAnsi="仿宋" w:eastAsia="仿宋" w:cs="仿宋"/>
          <w:sz w:val="24"/>
          <w:szCs w:val="24"/>
          <w:highlight w:val="none"/>
          <w:u w:val="single"/>
        </w:rPr>
        <w:t xml:space="preserve">     （大写） 元</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，在</w:t>
      </w:r>
      <w:r>
        <w:rPr>
          <w:rFonts w:hint="eastAsia" w:ascii="仿宋" w:hAnsi="仿宋" w:eastAsia="仿宋" w:cs="仿宋"/>
          <w:sz w:val="24"/>
          <w:szCs w:val="24"/>
          <w:highlight w:val="none"/>
          <w:u w:val="single"/>
        </w:rPr>
        <w:t xml:space="preserve">    （合同履行期限）   </w:t>
      </w:r>
      <w:r>
        <w:rPr>
          <w:rFonts w:hint="eastAsia" w:ascii="仿宋" w:hAnsi="仿宋" w:eastAsia="仿宋" w:cs="仿宋"/>
          <w:sz w:val="24"/>
          <w:szCs w:val="24"/>
          <w:highlight w:val="none"/>
        </w:rPr>
        <w:t>完成服务。</w:t>
      </w:r>
    </w:p>
    <w:p w14:paraId="5913A863">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2、我方已详细审查全部招标文件，包括澄清文件(如有)。我们完全理解并同意放弃对这方面有不明及误解的权力。</w:t>
      </w:r>
    </w:p>
    <w:p w14:paraId="500D72F4">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3、在投标人须知规定的开标日期起遵循本投标文件，并在投标人须知规定的投标文件有效期满之前均具有约束力。</w:t>
      </w:r>
    </w:p>
    <w:p w14:paraId="7752194F">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4、同意投标人须知中关于没收投标保证金的规定。</w:t>
      </w:r>
    </w:p>
    <w:p w14:paraId="4AA87ECF">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5、同意应贵方要求提供与本投标有关的任何数据或资料，并保证数据和资料的完整性和真实性。</w:t>
      </w:r>
    </w:p>
    <w:p w14:paraId="760DFFF5">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6、完全理解贵方不一定要接受最低报价的投标人为中标人的行为。</w:t>
      </w:r>
    </w:p>
    <w:p w14:paraId="6E452630">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7、如我方中标：</w:t>
      </w:r>
    </w:p>
    <w:p w14:paraId="1153EC58">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（1）我方承诺在收到中标通知书后，在中标通知书规定的期限内与采购人签订合同，并履行相应的合同责任和义务。</w:t>
      </w:r>
    </w:p>
    <w:p w14:paraId="34D7CFF0">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（2）我方承诺按照招标文件规定向你方递交履约担保。</w:t>
      </w:r>
    </w:p>
    <w:p w14:paraId="34FE88E0">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（3）我方承诺将承担售后服务及保修责任。</w:t>
      </w:r>
    </w:p>
    <w:p w14:paraId="0BE3444E">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8、我方在此声明，所递交的投标文件及有关资料内容完整、真实和准确。</w:t>
      </w:r>
    </w:p>
    <w:p w14:paraId="54CE1FD0">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9、我公司理解并完全接受本文件全部内容，并承诺参与投标后，不再对招标文件内容有任何疑问。</w:t>
      </w:r>
    </w:p>
    <w:p w14:paraId="14CC7921">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10、本投标自开标之日起</w:t>
      </w:r>
      <w:r>
        <w:rPr>
          <w:rFonts w:hint="eastAsia" w:ascii="仿宋" w:hAnsi="仿宋" w:eastAsia="仿宋" w:cs="仿宋"/>
          <w:sz w:val="24"/>
          <w:szCs w:val="24"/>
          <w:highlight w:val="none"/>
          <w:u w:val="single"/>
        </w:rPr>
        <w:t xml:space="preserve"> 90 </w:t>
      </w:r>
      <w:r>
        <w:rPr>
          <w:rFonts w:hint="eastAsia" w:ascii="仿宋" w:hAnsi="仿宋" w:eastAsia="仿宋" w:cs="仿宋"/>
          <w:sz w:val="24"/>
          <w:szCs w:val="24"/>
          <w:highlight w:val="none"/>
        </w:rPr>
        <w:t>天内有效。</w:t>
      </w:r>
    </w:p>
    <w:p w14:paraId="62999144">
      <w:pPr>
        <w:spacing w:before="60" w:after="60" w:line="360" w:lineRule="auto"/>
        <w:ind w:left="424" w:leftChars="202"/>
        <w:rPr>
          <w:rFonts w:ascii="仿宋" w:hAnsi="仿宋" w:eastAsia="仿宋" w:cs="仿宋"/>
          <w:sz w:val="24"/>
          <w:szCs w:val="24"/>
          <w:highlight w:val="none"/>
          <w:u w:val="single"/>
        </w:rPr>
      </w:pPr>
      <w:r>
        <w:rPr>
          <w:rFonts w:hint="eastAsia" w:ascii="仿宋" w:hAnsi="仿宋" w:eastAsia="仿宋"/>
          <w:color w:val="000000"/>
          <w:sz w:val="24"/>
          <w:szCs w:val="24"/>
          <w:highlight w:val="none"/>
        </w:rPr>
        <w:t xml:space="preserve"> </w:t>
      </w:r>
      <w:r>
        <w:rPr>
          <w:rFonts w:hint="eastAsia" w:ascii="仿宋" w:hAnsi="仿宋" w:eastAsia="仿宋" w:cs="仿宋"/>
          <w:sz w:val="24"/>
          <w:szCs w:val="24"/>
          <w:highlight w:val="none"/>
        </w:rPr>
        <w:t>与本投标有关的正式通讯地址为：</w:t>
      </w:r>
    </w:p>
    <w:p w14:paraId="0B4BF400">
      <w:pPr>
        <w:spacing w:before="60" w:after="60" w:line="360" w:lineRule="auto"/>
        <w:ind w:left="424" w:leftChars="202"/>
        <w:rPr>
          <w:rFonts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165CA37F">
      <w:pPr>
        <w:spacing w:before="60" w:after="60" w:line="360" w:lineRule="auto"/>
        <w:ind w:left="424" w:leftChars="202"/>
        <w:rPr>
          <w:rFonts w:ascii="仿宋" w:hAnsi="仿宋" w:eastAsia="仿宋" w:cs="仿宋"/>
          <w:sz w:val="24"/>
          <w:szCs w:val="24"/>
          <w:highlight w:val="none"/>
        </w:rPr>
      </w:pPr>
      <w:r>
        <w:rPr>
          <w:rFonts w:hint="eastAsia" w:ascii="仿宋" w:hAnsi="仿宋" w:eastAsia="仿宋" w:cs="仿宋"/>
          <w:sz w:val="24"/>
          <w:szCs w:val="24"/>
          <w:highlight w:val="none"/>
        </w:rPr>
        <w:t>邮政编码：</w:t>
      </w:r>
      <w:r>
        <w:rPr>
          <w:rFonts w:hint="eastAsia" w:ascii="仿宋" w:hAnsi="仿宋" w:eastAsia="仿宋" w:cs="仿宋"/>
          <w:sz w:val="24"/>
          <w:szCs w:val="24"/>
          <w:highlight w:val="none"/>
          <w:u w:val="single"/>
        </w:rPr>
        <w:t xml:space="preserve">                   </w:t>
      </w:r>
    </w:p>
    <w:p w14:paraId="6DFF6B14">
      <w:pPr>
        <w:spacing w:before="60" w:after="60" w:line="360" w:lineRule="auto"/>
        <w:ind w:left="424" w:leftChars="202"/>
        <w:rPr>
          <w:rFonts w:ascii="仿宋" w:hAnsi="仿宋" w:eastAsia="仿宋" w:cs="仿宋"/>
          <w:sz w:val="24"/>
          <w:szCs w:val="24"/>
          <w:highlight w:val="none"/>
        </w:rPr>
      </w:pPr>
    </w:p>
    <w:p w14:paraId="2D957798">
      <w:pPr>
        <w:spacing w:before="60" w:after="60" w:line="360" w:lineRule="auto"/>
        <w:ind w:left="424" w:leftChars="202"/>
        <w:rPr>
          <w:rFonts w:ascii="仿宋" w:hAnsi="仿宋" w:eastAsia="仿宋" w:cs="仿宋"/>
          <w:sz w:val="24"/>
          <w:szCs w:val="24"/>
          <w:highlight w:val="none"/>
        </w:rPr>
      </w:pPr>
      <w:r>
        <w:rPr>
          <w:rFonts w:hint="eastAsia" w:ascii="仿宋" w:hAnsi="仿宋" w:eastAsia="仿宋" w:cs="仿宋"/>
          <w:sz w:val="24"/>
          <w:szCs w:val="24"/>
          <w:highlight w:val="none"/>
        </w:rPr>
        <w:t>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598C56D">
      <w:pPr>
        <w:spacing w:before="60" w:after="60" w:line="360" w:lineRule="auto"/>
        <w:ind w:left="424" w:leftChars="202"/>
        <w:rPr>
          <w:rFonts w:ascii="仿宋" w:hAnsi="仿宋" w:eastAsia="仿宋" w:cs="仿宋"/>
          <w:sz w:val="24"/>
          <w:szCs w:val="24"/>
          <w:highlight w:val="none"/>
        </w:rPr>
      </w:pPr>
      <w:r>
        <w:rPr>
          <w:rFonts w:hint="eastAsia" w:ascii="仿宋" w:hAnsi="仿宋" w:eastAsia="仿宋" w:cs="仿宋"/>
          <w:sz w:val="24"/>
          <w:szCs w:val="24"/>
          <w:highlight w:val="none"/>
        </w:rPr>
        <w:t>传    真：</w:t>
      </w:r>
      <w:r>
        <w:rPr>
          <w:rFonts w:hint="eastAsia" w:ascii="仿宋" w:hAnsi="仿宋" w:eastAsia="仿宋" w:cs="仿宋"/>
          <w:sz w:val="24"/>
          <w:szCs w:val="24"/>
          <w:highlight w:val="none"/>
          <w:u w:val="single"/>
        </w:rPr>
        <w:t xml:space="preserve">                   </w:t>
      </w:r>
    </w:p>
    <w:p w14:paraId="67C8F078">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开户银行名称：</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p>
    <w:p w14:paraId="6D8D8B05">
      <w:pPr>
        <w:spacing w:line="360" w:lineRule="auto"/>
        <w:ind w:firstLine="480" w:firstLineChars="200"/>
        <w:rPr>
          <w:rFonts w:ascii="仿宋" w:hAnsi="仿宋" w:eastAsia="仿宋" w:cs="仿宋"/>
          <w:sz w:val="24"/>
          <w:szCs w:val="24"/>
          <w:highlight w:val="none"/>
          <w:u w:val="single"/>
        </w:rPr>
      </w:pPr>
      <w:r>
        <w:rPr>
          <w:rFonts w:hint="eastAsia" w:ascii="仿宋" w:hAnsi="仿宋" w:eastAsia="仿宋" w:cs="仿宋"/>
          <w:sz w:val="24"/>
          <w:szCs w:val="24"/>
          <w:highlight w:val="none"/>
        </w:rPr>
        <w:t>开户银行账号：</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ab/>
      </w:r>
    </w:p>
    <w:p w14:paraId="2C521F9C">
      <w:pPr>
        <w:autoSpaceDE w:val="0"/>
        <w:spacing w:line="360" w:lineRule="auto"/>
        <w:ind w:firstLine="480" w:firstLineChars="200"/>
        <w:jc w:val="left"/>
        <w:rPr>
          <w:rFonts w:ascii="仿宋" w:hAnsi="仿宋" w:eastAsia="仿宋" w:cs="仿宋"/>
          <w:color w:val="000000"/>
          <w:sz w:val="24"/>
          <w:szCs w:val="24"/>
          <w:highlight w:val="none"/>
        </w:rPr>
      </w:pPr>
    </w:p>
    <w:p w14:paraId="731E2012">
      <w:pPr>
        <w:autoSpaceDE w:val="0"/>
        <w:spacing w:line="360" w:lineRule="auto"/>
        <w:jc w:val="left"/>
        <w:rPr>
          <w:rFonts w:ascii="仿宋" w:hAnsi="仿宋" w:eastAsia="仿宋" w:cs="仿宋"/>
          <w:color w:val="000000"/>
          <w:sz w:val="24"/>
          <w:szCs w:val="24"/>
          <w:highlight w:val="none"/>
        </w:rPr>
      </w:pPr>
    </w:p>
    <w:p w14:paraId="4C410F62">
      <w:pPr>
        <w:autoSpaceDE w:val="0"/>
        <w:spacing w:line="360" w:lineRule="auto"/>
        <w:ind w:firstLine="480" w:firstLineChars="200"/>
        <w:jc w:val="left"/>
        <w:rPr>
          <w:rFonts w:ascii="仿宋" w:hAnsi="仿宋" w:eastAsia="仿宋" w:cs="仿宋"/>
          <w:color w:val="000000"/>
          <w:sz w:val="24"/>
          <w:szCs w:val="24"/>
          <w:highlight w:val="none"/>
        </w:rPr>
      </w:pPr>
    </w:p>
    <w:p w14:paraId="5DA69499">
      <w:pPr>
        <w:autoSpaceDE w:val="0"/>
        <w:spacing w:line="360" w:lineRule="auto"/>
        <w:ind w:firstLine="480" w:firstLineChars="200"/>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投标人全称（加盖电子公章）：</w:t>
      </w:r>
      <w:r>
        <w:rPr>
          <w:rFonts w:hint="eastAsia" w:ascii="仿宋" w:hAnsi="仿宋" w:eastAsia="仿宋" w:cs="仿宋"/>
          <w:color w:val="000000"/>
          <w:sz w:val="24"/>
          <w:szCs w:val="24"/>
          <w:highlight w:val="none"/>
          <w:u w:val="single"/>
        </w:rPr>
        <w:t xml:space="preserve">            </w:t>
      </w:r>
    </w:p>
    <w:p w14:paraId="591D4635">
      <w:pPr>
        <w:autoSpaceDE w:val="0"/>
        <w:spacing w:line="360" w:lineRule="auto"/>
        <w:ind w:firstLine="480" w:firstLineChars="200"/>
        <w:jc w:val="lef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法定代表人或其委托代理人（</w:t>
      </w:r>
      <w:r>
        <w:rPr>
          <w:rFonts w:hint="eastAsia" w:ascii="仿宋" w:hAnsi="仿宋" w:eastAsia="仿宋" w:cs="仿宋"/>
          <w:caps/>
          <w:color w:val="000000"/>
          <w:sz w:val="24"/>
          <w:szCs w:val="24"/>
          <w:highlight w:val="none"/>
        </w:rPr>
        <w:t>电子签章</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u w:val="single"/>
        </w:rPr>
        <w:t xml:space="preserve">                </w:t>
      </w:r>
    </w:p>
    <w:p w14:paraId="4B66253A">
      <w:pPr>
        <w:autoSpaceDE w:val="0"/>
        <w:spacing w:line="360" w:lineRule="auto"/>
        <w:ind w:firstLine="480" w:firstLineChars="200"/>
        <w:jc w:val="lef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日期：</w:t>
      </w:r>
      <w:r>
        <w:rPr>
          <w:rFonts w:hint="eastAsia" w:ascii="仿宋" w:hAnsi="仿宋" w:eastAsia="仿宋" w:cs="仿宋"/>
          <w:color w:val="000000"/>
          <w:sz w:val="24"/>
          <w:szCs w:val="24"/>
          <w:highlight w:val="none"/>
          <w:u w:val="single"/>
        </w:rPr>
        <w:t xml:space="preserve">               </w:t>
      </w:r>
    </w:p>
    <w:p w14:paraId="73EF3355">
      <w:pPr>
        <w:pStyle w:val="3"/>
        <w:spacing w:line="360" w:lineRule="auto"/>
        <w:jc w:val="left"/>
        <w:rPr>
          <w:rFonts w:ascii="仿宋" w:hAnsi="仿宋" w:eastAsia="仿宋" w:cs="仿宋"/>
          <w:color w:val="000000"/>
          <w:kern w:val="0"/>
          <w:sz w:val="24"/>
          <w:szCs w:val="24"/>
          <w:highlight w:val="none"/>
        </w:rPr>
      </w:pPr>
      <w:r>
        <w:rPr>
          <w:rFonts w:hint="eastAsia" w:ascii="仿宋" w:hAnsi="仿宋" w:eastAsia="仿宋" w:cs="仿宋"/>
          <w:color w:val="000000"/>
          <w:sz w:val="24"/>
          <w:szCs w:val="24"/>
          <w:highlight w:val="none"/>
        </w:rPr>
        <w:br w:type="page"/>
      </w:r>
    </w:p>
    <w:p w14:paraId="617E85A2">
      <w:pPr>
        <w:pStyle w:val="3"/>
        <w:spacing w:line="360" w:lineRule="auto"/>
        <w:jc w:val="center"/>
        <w:rPr>
          <w:rFonts w:ascii="仿宋" w:hAnsi="仿宋" w:eastAsia="仿宋" w:cs="仿宋"/>
          <w:color w:val="000000" w:themeColor="text1"/>
          <w:highlight w:val="none"/>
        </w:rPr>
      </w:pPr>
      <w:bookmarkStart w:id="96" w:name="_Toc23672"/>
      <w:r>
        <w:rPr>
          <w:rFonts w:hint="eastAsia" w:ascii="仿宋" w:hAnsi="仿宋" w:eastAsia="仿宋"/>
          <w:color w:val="000000"/>
          <w:highlight w:val="none"/>
        </w:rPr>
        <w:t>二、商务条款偏离表</w:t>
      </w:r>
      <w:bookmarkEnd w:id="96"/>
    </w:p>
    <w:p w14:paraId="3D53E6ED">
      <w:pPr>
        <w:pStyle w:val="9"/>
        <w:spacing w:line="360" w:lineRule="auto"/>
        <w:rPr>
          <w:rFonts w:ascii="仿宋" w:hAnsi="仿宋" w:eastAsia="仿宋" w:cs="仿宋"/>
          <w:color w:val="000000" w:themeColor="text1"/>
          <w:sz w:val="24"/>
          <w:szCs w:val="24"/>
          <w:highlight w:val="none"/>
          <w:u w:val="single"/>
        </w:rPr>
      </w:pPr>
      <w:r>
        <w:rPr>
          <w:rFonts w:hint="eastAsia" w:ascii="仿宋" w:hAnsi="仿宋" w:eastAsia="仿宋" w:cs="仿宋"/>
          <w:color w:val="000000" w:themeColor="text1"/>
          <w:sz w:val="24"/>
          <w:szCs w:val="24"/>
          <w:highlight w:val="none"/>
        </w:rPr>
        <w:t>项目名称：</w:t>
      </w:r>
      <w:r>
        <w:rPr>
          <w:rFonts w:hint="eastAsia" w:ascii="仿宋" w:hAnsi="仿宋" w:eastAsia="仿宋" w:cs="仿宋"/>
          <w:color w:val="000000" w:themeColor="text1"/>
          <w:sz w:val="24"/>
          <w:szCs w:val="24"/>
          <w:highlight w:val="none"/>
          <w:u w:val="single"/>
        </w:rPr>
        <w:t xml:space="preserve">                        </w:t>
      </w:r>
    </w:p>
    <w:tbl>
      <w:tblPr>
        <w:tblStyle w:val="19"/>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2946"/>
        <w:gridCol w:w="3054"/>
        <w:gridCol w:w="1068"/>
        <w:gridCol w:w="825"/>
      </w:tblGrid>
      <w:tr w14:paraId="01DB0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234" w:type="dxa"/>
            <w:tcBorders>
              <w:top w:val="single" w:color="auto" w:sz="4" w:space="0"/>
              <w:left w:val="single" w:color="auto" w:sz="4" w:space="0"/>
              <w:bottom w:val="single" w:color="auto" w:sz="4" w:space="0"/>
              <w:right w:val="single" w:color="auto" w:sz="4" w:space="0"/>
            </w:tcBorders>
            <w:vAlign w:val="center"/>
          </w:tcPr>
          <w:p w14:paraId="4F3D3962">
            <w:pPr>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2946" w:type="dxa"/>
            <w:tcBorders>
              <w:top w:val="single" w:color="auto" w:sz="4" w:space="0"/>
              <w:left w:val="nil"/>
              <w:bottom w:val="single" w:color="auto" w:sz="4" w:space="0"/>
              <w:right w:val="single" w:color="auto" w:sz="4" w:space="0"/>
            </w:tcBorders>
            <w:vAlign w:val="center"/>
          </w:tcPr>
          <w:p w14:paraId="25BE32A0">
            <w:pPr>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招标文件的商务条款内容</w:t>
            </w:r>
          </w:p>
        </w:tc>
        <w:tc>
          <w:tcPr>
            <w:tcW w:w="3054" w:type="dxa"/>
            <w:tcBorders>
              <w:top w:val="single" w:color="auto" w:sz="4" w:space="0"/>
              <w:left w:val="nil"/>
              <w:bottom w:val="single" w:color="auto" w:sz="4" w:space="0"/>
              <w:right w:val="single" w:color="auto" w:sz="4" w:space="0"/>
            </w:tcBorders>
            <w:vAlign w:val="center"/>
          </w:tcPr>
          <w:p w14:paraId="1BA610FA">
            <w:pPr>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投标文件的商务条款响应情况</w:t>
            </w:r>
          </w:p>
        </w:tc>
        <w:tc>
          <w:tcPr>
            <w:tcW w:w="1068" w:type="dxa"/>
            <w:tcBorders>
              <w:top w:val="single" w:color="auto" w:sz="4" w:space="0"/>
              <w:left w:val="nil"/>
              <w:bottom w:val="single" w:color="auto" w:sz="4" w:space="0"/>
              <w:right w:val="single" w:color="auto" w:sz="4" w:space="0"/>
            </w:tcBorders>
            <w:vAlign w:val="center"/>
          </w:tcPr>
          <w:p w14:paraId="67016822">
            <w:pPr>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偏离</w:t>
            </w:r>
          </w:p>
          <w:p w14:paraId="27870315">
            <w:pPr>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情况</w:t>
            </w:r>
          </w:p>
        </w:tc>
        <w:tc>
          <w:tcPr>
            <w:tcW w:w="825" w:type="dxa"/>
            <w:tcBorders>
              <w:top w:val="single" w:color="auto" w:sz="4" w:space="0"/>
              <w:left w:val="nil"/>
              <w:bottom w:val="single" w:color="auto" w:sz="4" w:space="0"/>
              <w:right w:val="single" w:color="auto" w:sz="4" w:space="0"/>
            </w:tcBorders>
            <w:vAlign w:val="center"/>
          </w:tcPr>
          <w:p w14:paraId="12978D3F">
            <w:pPr>
              <w:jc w:val="center"/>
              <w:rPr>
                <w:rFonts w:ascii="仿宋" w:hAnsi="仿宋" w:eastAsia="仿宋" w:cs="仿宋"/>
                <w:b/>
                <w:bCs/>
                <w:sz w:val="24"/>
                <w:szCs w:val="24"/>
                <w:highlight w:val="none"/>
              </w:rPr>
            </w:pPr>
            <w:r>
              <w:rPr>
                <w:rFonts w:hint="eastAsia" w:ascii="仿宋" w:hAnsi="仿宋" w:eastAsia="仿宋" w:cs="仿宋"/>
                <w:b/>
                <w:bCs/>
                <w:sz w:val="24"/>
                <w:szCs w:val="24"/>
                <w:highlight w:val="none"/>
              </w:rPr>
              <w:t>说明</w:t>
            </w:r>
          </w:p>
        </w:tc>
      </w:tr>
      <w:tr w14:paraId="69A04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234" w:type="dxa"/>
            <w:tcBorders>
              <w:top w:val="single" w:color="auto" w:sz="4" w:space="0"/>
              <w:left w:val="single" w:color="auto" w:sz="4" w:space="0"/>
              <w:bottom w:val="single" w:color="auto" w:sz="4" w:space="0"/>
              <w:right w:val="single" w:color="auto" w:sz="4" w:space="0"/>
            </w:tcBorders>
            <w:vAlign w:val="center"/>
          </w:tcPr>
          <w:p w14:paraId="3B2F0539">
            <w:pPr>
              <w:jc w:val="center"/>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946" w:type="dxa"/>
            <w:tcBorders>
              <w:top w:val="single" w:color="auto" w:sz="4" w:space="0"/>
              <w:left w:val="nil"/>
              <w:bottom w:val="single" w:color="auto" w:sz="4" w:space="0"/>
              <w:right w:val="single" w:color="auto" w:sz="4" w:space="0"/>
            </w:tcBorders>
            <w:vAlign w:val="center"/>
          </w:tcPr>
          <w:p w14:paraId="1261166E">
            <w:pPr>
              <w:jc w:val="center"/>
              <w:rPr>
                <w:rFonts w:ascii="仿宋" w:hAnsi="仿宋" w:eastAsia="仿宋" w:cs="仿宋"/>
                <w:sz w:val="24"/>
                <w:szCs w:val="24"/>
                <w:highlight w:val="none"/>
              </w:rPr>
            </w:pPr>
          </w:p>
        </w:tc>
        <w:tc>
          <w:tcPr>
            <w:tcW w:w="3054" w:type="dxa"/>
            <w:tcBorders>
              <w:top w:val="single" w:color="auto" w:sz="4" w:space="0"/>
              <w:left w:val="nil"/>
              <w:bottom w:val="single" w:color="auto" w:sz="4" w:space="0"/>
              <w:right w:val="single" w:color="auto" w:sz="4" w:space="0"/>
            </w:tcBorders>
            <w:vAlign w:val="center"/>
          </w:tcPr>
          <w:p w14:paraId="111C4C1E">
            <w:pPr>
              <w:jc w:val="center"/>
              <w:rPr>
                <w:rFonts w:ascii="仿宋" w:hAnsi="仿宋" w:eastAsia="仿宋" w:cs="仿宋"/>
                <w:sz w:val="24"/>
                <w:szCs w:val="24"/>
                <w:highlight w:val="none"/>
              </w:rPr>
            </w:pPr>
          </w:p>
        </w:tc>
        <w:tc>
          <w:tcPr>
            <w:tcW w:w="1068" w:type="dxa"/>
            <w:tcBorders>
              <w:top w:val="single" w:color="auto" w:sz="4" w:space="0"/>
              <w:left w:val="nil"/>
              <w:bottom w:val="single" w:color="auto" w:sz="4" w:space="0"/>
              <w:right w:val="single" w:color="auto" w:sz="4" w:space="0"/>
            </w:tcBorders>
            <w:vAlign w:val="center"/>
          </w:tcPr>
          <w:p w14:paraId="56C6A74B">
            <w:pPr>
              <w:jc w:val="center"/>
              <w:rPr>
                <w:rFonts w:ascii="仿宋" w:hAnsi="仿宋" w:eastAsia="仿宋" w:cs="仿宋"/>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6C50FD1E">
            <w:pPr>
              <w:jc w:val="center"/>
              <w:rPr>
                <w:rFonts w:ascii="仿宋" w:hAnsi="仿宋" w:eastAsia="仿宋" w:cs="仿宋"/>
                <w:sz w:val="24"/>
                <w:szCs w:val="24"/>
                <w:highlight w:val="none"/>
              </w:rPr>
            </w:pPr>
          </w:p>
        </w:tc>
      </w:tr>
      <w:tr w14:paraId="46563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1234" w:type="dxa"/>
            <w:tcBorders>
              <w:top w:val="single" w:color="auto" w:sz="4" w:space="0"/>
              <w:left w:val="single" w:color="auto" w:sz="4" w:space="0"/>
              <w:bottom w:val="single" w:color="auto" w:sz="4" w:space="0"/>
              <w:right w:val="single" w:color="auto" w:sz="4" w:space="0"/>
            </w:tcBorders>
            <w:vAlign w:val="center"/>
          </w:tcPr>
          <w:p w14:paraId="2D5B672F">
            <w:pPr>
              <w:jc w:val="center"/>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946" w:type="dxa"/>
            <w:tcBorders>
              <w:top w:val="single" w:color="auto" w:sz="4" w:space="0"/>
              <w:left w:val="nil"/>
              <w:bottom w:val="single" w:color="auto" w:sz="4" w:space="0"/>
              <w:right w:val="single" w:color="auto" w:sz="4" w:space="0"/>
            </w:tcBorders>
            <w:vAlign w:val="center"/>
          </w:tcPr>
          <w:p w14:paraId="1A356363">
            <w:pPr>
              <w:jc w:val="center"/>
              <w:rPr>
                <w:rFonts w:ascii="仿宋" w:hAnsi="仿宋" w:eastAsia="仿宋" w:cs="仿宋"/>
                <w:sz w:val="24"/>
                <w:szCs w:val="24"/>
                <w:highlight w:val="none"/>
              </w:rPr>
            </w:pPr>
          </w:p>
        </w:tc>
        <w:tc>
          <w:tcPr>
            <w:tcW w:w="3054" w:type="dxa"/>
            <w:tcBorders>
              <w:top w:val="single" w:color="auto" w:sz="4" w:space="0"/>
              <w:left w:val="nil"/>
              <w:bottom w:val="single" w:color="auto" w:sz="4" w:space="0"/>
              <w:right w:val="single" w:color="auto" w:sz="4" w:space="0"/>
            </w:tcBorders>
            <w:vAlign w:val="center"/>
          </w:tcPr>
          <w:p w14:paraId="14D25CEE">
            <w:pPr>
              <w:jc w:val="center"/>
              <w:rPr>
                <w:rFonts w:ascii="仿宋" w:hAnsi="仿宋" w:eastAsia="仿宋" w:cs="仿宋"/>
                <w:sz w:val="24"/>
                <w:szCs w:val="24"/>
                <w:highlight w:val="none"/>
              </w:rPr>
            </w:pPr>
          </w:p>
        </w:tc>
        <w:tc>
          <w:tcPr>
            <w:tcW w:w="1068" w:type="dxa"/>
            <w:tcBorders>
              <w:top w:val="single" w:color="auto" w:sz="4" w:space="0"/>
              <w:left w:val="nil"/>
              <w:bottom w:val="single" w:color="auto" w:sz="4" w:space="0"/>
              <w:right w:val="single" w:color="auto" w:sz="4" w:space="0"/>
            </w:tcBorders>
            <w:vAlign w:val="center"/>
          </w:tcPr>
          <w:p w14:paraId="30479D00">
            <w:pPr>
              <w:jc w:val="center"/>
              <w:rPr>
                <w:rFonts w:ascii="仿宋" w:hAnsi="仿宋" w:eastAsia="仿宋" w:cs="仿宋"/>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06B0A179">
            <w:pPr>
              <w:jc w:val="center"/>
              <w:rPr>
                <w:rFonts w:ascii="仿宋" w:hAnsi="仿宋" w:eastAsia="仿宋" w:cs="仿宋"/>
                <w:sz w:val="24"/>
                <w:szCs w:val="24"/>
                <w:highlight w:val="none"/>
              </w:rPr>
            </w:pPr>
          </w:p>
        </w:tc>
      </w:tr>
      <w:tr w14:paraId="1DB8F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1234" w:type="dxa"/>
            <w:tcBorders>
              <w:top w:val="single" w:color="auto" w:sz="4" w:space="0"/>
              <w:left w:val="single" w:color="auto" w:sz="4" w:space="0"/>
              <w:bottom w:val="single" w:color="auto" w:sz="4" w:space="0"/>
              <w:right w:val="single" w:color="auto" w:sz="4" w:space="0"/>
            </w:tcBorders>
            <w:vAlign w:val="center"/>
          </w:tcPr>
          <w:p w14:paraId="016D0025">
            <w:pPr>
              <w:jc w:val="center"/>
              <w:rPr>
                <w:rFonts w:ascii="仿宋" w:hAnsi="仿宋" w:eastAsia="仿宋" w:cs="仿宋"/>
                <w:sz w:val="24"/>
                <w:szCs w:val="24"/>
                <w:highlight w:val="none"/>
              </w:rPr>
            </w:pPr>
            <w:r>
              <w:rPr>
                <w:rFonts w:hint="eastAsia" w:ascii="仿宋" w:hAnsi="仿宋" w:eastAsia="仿宋" w:cs="仿宋"/>
                <w:sz w:val="24"/>
                <w:szCs w:val="24"/>
                <w:highlight w:val="none"/>
              </w:rPr>
              <w:t>3</w:t>
            </w:r>
          </w:p>
        </w:tc>
        <w:tc>
          <w:tcPr>
            <w:tcW w:w="2946" w:type="dxa"/>
            <w:tcBorders>
              <w:top w:val="single" w:color="auto" w:sz="4" w:space="0"/>
              <w:left w:val="nil"/>
              <w:bottom w:val="single" w:color="auto" w:sz="4" w:space="0"/>
              <w:right w:val="single" w:color="auto" w:sz="4" w:space="0"/>
            </w:tcBorders>
            <w:vAlign w:val="center"/>
          </w:tcPr>
          <w:p w14:paraId="57AA8848">
            <w:pPr>
              <w:jc w:val="center"/>
              <w:rPr>
                <w:rFonts w:ascii="仿宋" w:hAnsi="仿宋" w:eastAsia="仿宋" w:cs="仿宋"/>
                <w:sz w:val="24"/>
                <w:szCs w:val="24"/>
                <w:highlight w:val="none"/>
              </w:rPr>
            </w:pPr>
          </w:p>
        </w:tc>
        <w:tc>
          <w:tcPr>
            <w:tcW w:w="3054" w:type="dxa"/>
            <w:tcBorders>
              <w:top w:val="single" w:color="auto" w:sz="4" w:space="0"/>
              <w:left w:val="nil"/>
              <w:bottom w:val="single" w:color="auto" w:sz="4" w:space="0"/>
              <w:right w:val="single" w:color="auto" w:sz="4" w:space="0"/>
            </w:tcBorders>
            <w:vAlign w:val="center"/>
          </w:tcPr>
          <w:p w14:paraId="1DA8F96A">
            <w:pPr>
              <w:jc w:val="center"/>
              <w:rPr>
                <w:rFonts w:ascii="仿宋" w:hAnsi="仿宋" w:eastAsia="仿宋" w:cs="仿宋"/>
                <w:sz w:val="24"/>
                <w:szCs w:val="24"/>
                <w:highlight w:val="none"/>
              </w:rPr>
            </w:pPr>
          </w:p>
        </w:tc>
        <w:tc>
          <w:tcPr>
            <w:tcW w:w="1068" w:type="dxa"/>
            <w:tcBorders>
              <w:top w:val="single" w:color="auto" w:sz="4" w:space="0"/>
              <w:left w:val="nil"/>
              <w:bottom w:val="single" w:color="auto" w:sz="4" w:space="0"/>
              <w:right w:val="single" w:color="auto" w:sz="4" w:space="0"/>
            </w:tcBorders>
            <w:vAlign w:val="center"/>
          </w:tcPr>
          <w:p w14:paraId="1FC9ADA5">
            <w:pPr>
              <w:jc w:val="center"/>
              <w:rPr>
                <w:rFonts w:ascii="仿宋" w:hAnsi="仿宋" w:eastAsia="仿宋" w:cs="仿宋"/>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6BF1FB42">
            <w:pPr>
              <w:jc w:val="center"/>
              <w:rPr>
                <w:rFonts w:ascii="仿宋" w:hAnsi="仿宋" w:eastAsia="仿宋" w:cs="仿宋"/>
                <w:sz w:val="24"/>
                <w:szCs w:val="24"/>
                <w:highlight w:val="none"/>
              </w:rPr>
            </w:pPr>
          </w:p>
        </w:tc>
      </w:tr>
      <w:tr w14:paraId="61724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234" w:type="dxa"/>
            <w:tcBorders>
              <w:top w:val="single" w:color="auto" w:sz="4" w:space="0"/>
              <w:left w:val="single" w:color="auto" w:sz="4" w:space="0"/>
              <w:bottom w:val="single" w:color="auto" w:sz="4" w:space="0"/>
              <w:right w:val="single" w:color="auto" w:sz="4" w:space="0"/>
            </w:tcBorders>
            <w:vAlign w:val="center"/>
          </w:tcPr>
          <w:p w14:paraId="218F6F35">
            <w:pPr>
              <w:jc w:val="center"/>
              <w:rPr>
                <w:rFonts w:ascii="仿宋" w:hAnsi="仿宋" w:eastAsia="仿宋" w:cs="仿宋"/>
                <w:sz w:val="24"/>
                <w:szCs w:val="24"/>
                <w:highlight w:val="none"/>
              </w:rPr>
            </w:pPr>
            <w:r>
              <w:rPr>
                <w:rFonts w:hint="eastAsia" w:ascii="仿宋" w:hAnsi="仿宋" w:eastAsia="仿宋" w:cs="仿宋"/>
                <w:sz w:val="24"/>
                <w:szCs w:val="24"/>
                <w:highlight w:val="none"/>
              </w:rPr>
              <w:t>4</w:t>
            </w:r>
          </w:p>
        </w:tc>
        <w:tc>
          <w:tcPr>
            <w:tcW w:w="2946" w:type="dxa"/>
            <w:tcBorders>
              <w:top w:val="single" w:color="auto" w:sz="4" w:space="0"/>
              <w:left w:val="nil"/>
              <w:bottom w:val="single" w:color="auto" w:sz="4" w:space="0"/>
              <w:right w:val="single" w:color="auto" w:sz="4" w:space="0"/>
            </w:tcBorders>
            <w:vAlign w:val="center"/>
          </w:tcPr>
          <w:p w14:paraId="61C230B3">
            <w:pPr>
              <w:jc w:val="center"/>
              <w:rPr>
                <w:rFonts w:ascii="仿宋" w:hAnsi="仿宋" w:eastAsia="仿宋" w:cs="仿宋"/>
                <w:sz w:val="24"/>
                <w:szCs w:val="24"/>
                <w:highlight w:val="none"/>
              </w:rPr>
            </w:pPr>
          </w:p>
        </w:tc>
        <w:tc>
          <w:tcPr>
            <w:tcW w:w="3054" w:type="dxa"/>
            <w:tcBorders>
              <w:top w:val="single" w:color="auto" w:sz="4" w:space="0"/>
              <w:left w:val="nil"/>
              <w:bottom w:val="single" w:color="auto" w:sz="4" w:space="0"/>
              <w:right w:val="single" w:color="auto" w:sz="4" w:space="0"/>
            </w:tcBorders>
            <w:vAlign w:val="center"/>
          </w:tcPr>
          <w:p w14:paraId="7C08301F">
            <w:pPr>
              <w:jc w:val="center"/>
              <w:rPr>
                <w:rFonts w:ascii="仿宋" w:hAnsi="仿宋" w:eastAsia="仿宋" w:cs="仿宋"/>
                <w:sz w:val="24"/>
                <w:szCs w:val="24"/>
                <w:highlight w:val="none"/>
              </w:rPr>
            </w:pPr>
          </w:p>
        </w:tc>
        <w:tc>
          <w:tcPr>
            <w:tcW w:w="1068" w:type="dxa"/>
            <w:tcBorders>
              <w:top w:val="single" w:color="auto" w:sz="4" w:space="0"/>
              <w:left w:val="nil"/>
              <w:bottom w:val="single" w:color="auto" w:sz="4" w:space="0"/>
              <w:right w:val="single" w:color="auto" w:sz="4" w:space="0"/>
            </w:tcBorders>
            <w:vAlign w:val="center"/>
          </w:tcPr>
          <w:p w14:paraId="29E34448">
            <w:pPr>
              <w:jc w:val="center"/>
              <w:rPr>
                <w:rFonts w:ascii="仿宋" w:hAnsi="仿宋" w:eastAsia="仿宋" w:cs="仿宋"/>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5F15EF54">
            <w:pPr>
              <w:jc w:val="center"/>
              <w:rPr>
                <w:rFonts w:ascii="仿宋" w:hAnsi="仿宋" w:eastAsia="仿宋" w:cs="仿宋"/>
                <w:sz w:val="24"/>
                <w:szCs w:val="24"/>
                <w:highlight w:val="none"/>
              </w:rPr>
            </w:pPr>
          </w:p>
        </w:tc>
      </w:tr>
      <w:tr w14:paraId="0AC25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1234" w:type="dxa"/>
            <w:tcBorders>
              <w:top w:val="single" w:color="auto" w:sz="4" w:space="0"/>
              <w:left w:val="single" w:color="auto" w:sz="4" w:space="0"/>
              <w:bottom w:val="single" w:color="auto" w:sz="4" w:space="0"/>
              <w:right w:val="single" w:color="auto" w:sz="4" w:space="0"/>
            </w:tcBorders>
            <w:vAlign w:val="center"/>
          </w:tcPr>
          <w:p w14:paraId="628FA7D3">
            <w:pPr>
              <w:jc w:val="center"/>
              <w:rPr>
                <w:rFonts w:ascii="仿宋" w:hAnsi="仿宋" w:eastAsia="仿宋" w:cs="仿宋"/>
                <w:sz w:val="24"/>
                <w:szCs w:val="24"/>
                <w:highlight w:val="none"/>
              </w:rPr>
            </w:pPr>
            <w:r>
              <w:rPr>
                <w:rFonts w:hint="eastAsia" w:ascii="仿宋" w:hAnsi="仿宋" w:eastAsia="仿宋" w:cs="仿宋"/>
                <w:sz w:val="24"/>
                <w:szCs w:val="24"/>
                <w:highlight w:val="none"/>
              </w:rPr>
              <w:t>5</w:t>
            </w:r>
          </w:p>
        </w:tc>
        <w:tc>
          <w:tcPr>
            <w:tcW w:w="2946" w:type="dxa"/>
            <w:tcBorders>
              <w:top w:val="single" w:color="auto" w:sz="4" w:space="0"/>
              <w:left w:val="nil"/>
              <w:bottom w:val="single" w:color="auto" w:sz="4" w:space="0"/>
              <w:right w:val="single" w:color="auto" w:sz="4" w:space="0"/>
            </w:tcBorders>
            <w:vAlign w:val="center"/>
          </w:tcPr>
          <w:p w14:paraId="7FB9A8F0">
            <w:pPr>
              <w:jc w:val="center"/>
              <w:rPr>
                <w:rFonts w:ascii="仿宋" w:hAnsi="仿宋" w:eastAsia="仿宋" w:cs="仿宋"/>
                <w:sz w:val="24"/>
                <w:szCs w:val="24"/>
                <w:highlight w:val="none"/>
              </w:rPr>
            </w:pPr>
          </w:p>
        </w:tc>
        <w:tc>
          <w:tcPr>
            <w:tcW w:w="3054" w:type="dxa"/>
            <w:tcBorders>
              <w:top w:val="single" w:color="auto" w:sz="4" w:space="0"/>
              <w:left w:val="nil"/>
              <w:bottom w:val="single" w:color="auto" w:sz="4" w:space="0"/>
              <w:right w:val="single" w:color="auto" w:sz="4" w:space="0"/>
            </w:tcBorders>
            <w:vAlign w:val="center"/>
          </w:tcPr>
          <w:p w14:paraId="363F3C43">
            <w:pPr>
              <w:jc w:val="center"/>
              <w:rPr>
                <w:rFonts w:ascii="仿宋" w:hAnsi="仿宋" w:eastAsia="仿宋" w:cs="仿宋"/>
                <w:sz w:val="24"/>
                <w:szCs w:val="24"/>
                <w:highlight w:val="none"/>
              </w:rPr>
            </w:pPr>
          </w:p>
        </w:tc>
        <w:tc>
          <w:tcPr>
            <w:tcW w:w="1068" w:type="dxa"/>
            <w:tcBorders>
              <w:top w:val="single" w:color="auto" w:sz="4" w:space="0"/>
              <w:left w:val="nil"/>
              <w:bottom w:val="single" w:color="auto" w:sz="4" w:space="0"/>
              <w:right w:val="single" w:color="auto" w:sz="4" w:space="0"/>
            </w:tcBorders>
            <w:vAlign w:val="center"/>
          </w:tcPr>
          <w:p w14:paraId="4DAFA3BB">
            <w:pPr>
              <w:jc w:val="center"/>
              <w:rPr>
                <w:rFonts w:ascii="仿宋" w:hAnsi="仿宋" w:eastAsia="仿宋" w:cs="仿宋"/>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3CE8F857">
            <w:pPr>
              <w:jc w:val="center"/>
              <w:rPr>
                <w:rFonts w:ascii="仿宋" w:hAnsi="仿宋" w:eastAsia="仿宋" w:cs="仿宋"/>
                <w:sz w:val="24"/>
                <w:szCs w:val="24"/>
                <w:highlight w:val="none"/>
              </w:rPr>
            </w:pPr>
          </w:p>
        </w:tc>
      </w:tr>
      <w:tr w14:paraId="325F2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1234" w:type="dxa"/>
            <w:tcBorders>
              <w:top w:val="single" w:color="auto" w:sz="4" w:space="0"/>
              <w:left w:val="single" w:color="auto" w:sz="4" w:space="0"/>
              <w:bottom w:val="single" w:color="auto" w:sz="4" w:space="0"/>
              <w:right w:val="single" w:color="auto" w:sz="4" w:space="0"/>
            </w:tcBorders>
            <w:vAlign w:val="center"/>
          </w:tcPr>
          <w:p w14:paraId="0696FF72">
            <w:pPr>
              <w:jc w:val="center"/>
              <w:rPr>
                <w:rFonts w:ascii="仿宋" w:hAnsi="仿宋" w:eastAsia="仿宋" w:cs="仿宋"/>
                <w:sz w:val="24"/>
                <w:szCs w:val="24"/>
                <w:highlight w:val="none"/>
              </w:rPr>
            </w:pPr>
            <w:r>
              <w:rPr>
                <w:rFonts w:hint="eastAsia" w:ascii="仿宋" w:hAnsi="仿宋" w:eastAsia="仿宋" w:cs="仿宋"/>
                <w:sz w:val="24"/>
                <w:szCs w:val="24"/>
                <w:highlight w:val="none"/>
              </w:rPr>
              <w:t>...</w:t>
            </w:r>
          </w:p>
        </w:tc>
        <w:tc>
          <w:tcPr>
            <w:tcW w:w="2946" w:type="dxa"/>
            <w:tcBorders>
              <w:top w:val="single" w:color="auto" w:sz="4" w:space="0"/>
              <w:left w:val="nil"/>
              <w:bottom w:val="single" w:color="auto" w:sz="4" w:space="0"/>
              <w:right w:val="single" w:color="auto" w:sz="4" w:space="0"/>
            </w:tcBorders>
            <w:vAlign w:val="center"/>
          </w:tcPr>
          <w:p w14:paraId="6ED01F0B">
            <w:pPr>
              <w:jc w:val="center"/>
              <w:rPr>
                <w:rFonts w:ascii="仿宋" w:hAnsi="仿宋" w:eastAsia="仿宋" w:cs="仿宋"/>
                <w:sz w:val="24"/>
                <w:szCs w:val="24"/>
                <w:highlight w:val="none"/>
              </w:rPr>
            </w:pPr>
          </w:p>
        </w:tc>
        <w:tc>
          <w:tcPr>
            <w:tcW w:w="3054" w:type="dxa"/>
            <w:tcBorders>
              <w:top w:val="single" w:color="auto" w:sz="4" w:space="0"/>
              <w:left w:val="nil"/>
              <w:bottom w:val="single" w:color="auto" w:sz="4" w:space="0"/>
              <w:right w:val="single" w:color="auto" w:sz="4" w:space="0"/>
            </w:tcBorders>
            <w:vAlign w:val="center"/>
          </w:tcPr>
          <w:p w14:paraId="2E968E01">
            <w:pPr>
              <w:jc w:val="center"/>
              <w:rPr>
                <w:rFonts w:ascii="仿宋" w:hAnsi="仿宋" w:eastAsia="仿宋" w:cs="仿宋"/>
                <w:sz w:val="24"/>
                <w:szCs w:val="24"/>
                <w:highlight w:val="none"/>
              </w:rPr>
            </w:pPr>
          </w:p>
        </w:tc>
        <w:tc>
          <w:tcPr>
            <w:tcW w:w="1068" w:type="dxa"/>
            <w:tcBorders>
              <w:top w:val="single" w:color="auto" w:sz="4" w:space="0"/>
              <w:left w:val="nil"/>
              <w:bottom w:val="single" w:color="auto" w:sz="4" w:space="0"/>
              <w:right w:val="single" w:color="auto" w:sz="4" w:space="0"/>
            </w:tcBorders>
            <w:vAlign w:val="center"/>
          </w:tcPr>
          <w:p w14:paraId="44CCD128">
            <w:pPr>
              <w:jc w:val="center"/>
              <w:rPr>
                <w:rFonts w:ascii="仿宋" w:hAnsi="仿宋" w:eastAsia="仿宋" w:cs="仿宋"/>
                <w:sz w:val="24"/>
                <w:szCs w:val="24"/>
                <w:highlight w:val="none"/>
              </w:rPr>
            </w:pPr>
          </w:p>
        </w:tc>
        <w:tc>
          <w:tcPr>
            <w:tcW w:w="825" w:type="dxa"/>
            <w:tcBorders>
              <w:top w:val="single" w:color="auto" w:sz="4" w:space="0"/>
              <w:left w:val="nil"/>
              <w:bottom w:val="single" w:color="auto" w:sz="4" w:space="0"/>
              <w:right w:val="single" w:color="auto" w:sz="4" w:space="0"/>
            </w:tcBorders>
            <w:vAlign w:val="center"/>
          </w:tcPr>
          <w:p w14:paraId="6DCE0D49">
            <w:pPr>
              <w:jc w:val="center"/>
              <w:rPr>
                <w:rFonts w:ascii="仿宋" w:hAnsi="仿宋" w:eastAsia="仿宋" w:cs="仿宋"/>
                <w:sz w:val="24"/>
                <w:szCs w:val="24"/>
                <w:highlight w:val="none"/>
              </w:rPr>
            </w:pPr>
          </w:p>
        </w:tc>
      </w:tr>
    </w:tbl>
    <w:p w14:paraId="48D649FD">
      <w:pPr>
        <w:spacing w:line="360" w:lineRule="auto"/>
        <w:rPr>
          <w:rFonts w:ascii="仿宋" w:hAnsi="仿宋" w:eastAsia="仿宋" w:cs="仿宋"/>
          <w:sz w:val="24"/>
          <w:highlight w:val="none"/>
        </w:rPr>
      </w:pPr>
    </w:p>
    <w:p w14:paraId="0C8E51EB">
      <w:pPr>
        <w:spacing w:line="360" w:lineRule="auto"/>
        <w:rPr>
          <w:rFonts w:ascii="仿宋" w:hAnsi="仿宋" w:eastAsia="仿宋" w:cs="仿宋"/>
          <w:sz w:val="24"/>
          <w:highlight w:val="none"/>
        </w:rPr>
      </w:pPr>
    </w:p>
    <w:p w14:paraId="2954D4A4">
      <w:pPr>
        <w:spacing w:line="360" w:lineRule="auto"/>
        <w:rPr>
          <w:rFonts w:ascii="仿宋" w:hAnsi="仿宋" w:eastAsia="仿宋" w:cs="仿宋"/>
          <w:sz w:val="24"/>
          <w:szCs w:val="24"/>
          <w:highlight w:val="none"/>
        </w:rPr>
      </w:pPr>
      <w:r>
        <w:rPr>
          <w:rFonts w:hint="eastAsia" w:ascii="仿宋" w:hAnsi="仿宋" w:eastAsia="仿宋" w:cs="仿宋"/>
          <w:sz w:val="24"/>
          <w:highlight w:val="none"/>
        </w:rPr>
        <w:t>投标人全称（加盖电子公章）：</w:t>
      </w:r>
      <w:r>
        <w:rPr>
          <w:rFonts w:hint="eastAsia" w:ascii="仿宋" w:hAnsi="仿宋" w:eastAsia="仿宋" w:cs="仿宋"/>
          <w:sz w:val="24"/>
          <w:highlight w:val="none"/>
          <w:u w:val="single"/>
        </w:rPr>
        <w:t xml:space="preserve">                   </w:t>
      </w:r>
    </w:p>
    <w:p w14:paraId="4A73B9EF">
      <w:pPr>
        <w:adjustRightInd w:val="0"/>
        <w:snapToGrid w:val="0"/>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法定代表人或其委托代理人（电子签章）：</w:t>
      </w:r>
      <w:r>
        <w:rPr>
          <w:rFonts w:hint="eastAsia" w:ascii="仿宋" w:hAnsi="仿宋" w:eastAsia="仿宋" w:cs="仿宋"/>
          <w:sz w:val="24"/>
          <w:szCs w:val="24"/>
          <w:highlight w:val="none"/>
          <w:u w:val="single"/>
        </w:rPr>
        <w:t xml:space="preserve">              </w:t>
      </w:r>
    </w:p>
    <w:p w14:paraId="28442980">
      <w:pPr>
        <w:spacing w:line="360" w:lineRule="auto"/>
        <w:jc w:val="left"/>
        <w:rPr>
          <w:rFonts w:ascii="仿宋" w:hAnsi="仿宋" w:eastAsia="仿宋" w:cs="仿宋"/>
          <w:b/>
          <w:bCs/>
          <w:sz w:val="28"/>
          <w:szCs w:val="28"/>
          <w:highlight w:val="none"/>
        </w:rPr>
      </w:pPr>
      <w:r>
        <w:rPr>
          <w:rFonts w:hint="eastAsia" w:ascii="仿宋" w:hAnsi="仿宋" w:eastAsia="仿宋" w:cs="仿宋"/>
          <w:sz w:val="24"/>
          <w:szCs w:val="24"/>
          <w:highlight w:val="none"/>
        </w:rPr>
        <w:t>日期：</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w:t>
      </w:r>
      <w:r>
        <w:rPr>
          <w:rFonts w:hint="eastAsia" w:ascii="仿宋" w:hAnsi="仿宋" w:eastAsia="仿宋" w:cs="仿宋"/>
          <w:sz w:val="24"/>
          <w:szCs w:val="24"/>
          <w:highlight w:val="none"/>
        </w:rPr>
        <w:t>日</w:t>
      </w:r>
    </w:p>
    <w:p w14:paraId="36D8E9A4">
      <w:pPr>
        <w:rPr>
          <w:rFonts w:ascii="仿宋" w:hAnsi="仿宋" w:eastAsia="仿宋"/>
          <w:b/>
          <w:bCs/>
          <w:color w:val="000000"/>
          <w:sz w:val="32"/>
          <w:szCs w:val="32"/>
          <w:highlight w:val="none"/>
        </w:rPr>
      </w:pPr>
    </w:p>
    <w:p w14:paraId="20F6992A">
      <w:pP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br w:type="page"/>
      </w:r>
    </w:p>
    <w:p w14:paraId="56FB41A0">
      <w:pPr>
        <w:spacing w:line="360" w:lineRule="auto"/>
        <w:jc w:val="center"/>
        <w:rPr>
          <w:rFonts w:ascii="仿宋" w:hAnsi="仿宋" w:eastAsia="仿宋"/>
          <w:color w:val="000000"/>
          <w:sz w:val="32"/>
          <w:szCs w:val="32"/>
          <w:highlight w:val="none"/>
        </w:rPr>
      </w:pPr>
      <w:r>
        <w:rPr>
          <w:rFonts w:hint="eastAsia" w:ascii="仿宋" w:hAnsi="仿宋" w:eastAsia="仿宋"/>
          <w:b/>
          <w:bCs/>
          <w:color w:val="000000"/>
          <w:sz w:val="32"/>
          <w:szCs w:val="32"/>
          <w:highlight w:val="none"/>
        </w:rPr>
        <w:t>三、投标人基本情况表</w:t>
      </w:r>
    </w:p>
    <w:tbl>
      <w:tblPr>
        <w:tblStyle w:val="19"/>
        <w:tblW w:w="89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8"/>
        <w:gridCol w:w="2181"/>
        <w:gridCol w:w="2760"/>
        <w:gridCol w:w="1289"/>
      </w:tblGrid>
      <w:tr w14:paraId="7F57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718" w:type="dxa"/>
            <w:tcBorders>
              <w:top w:val="single" w:color="auto" w:sz="4" w:space="0"/>
              <w:left w:val="single" w:color="auto" w:sz="4" w:space="0"/>
              <w:bottom w:val="single" w:color="auto" w:sz="4" w:space="0"/>
              <w:right w:val="single" w:color="auto" w:sz="4" w:space="0"/>
            </w:tcBorders>
            <w:vAlign w:val="center"/>
          </w:tcPr>
          <w:p w14:paraId="03363F49">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投标人名称</w:t>
            </w:r>
          </w:p>
        </w:tc>
        <w:tc>
          <w:tcPr>
            <w:tcW w:w="6230" w:type="dxa"/>
            <w:gridSpan w:val="3"/>
            <w:tcBorders>
              <w:top w:val="single" w:color="auto" w:sz="4" w:space="0"/>
              <w:left w:val="single" w:color="auto" w:sz="4" w:space="0"/>
              <w:bottom w:val="single" w:color="auto" w:sz="4" w:space="0"/>
              <w:right w:val="single" w:color="auto" w:sz="4" w:space="0"/>
            </w:tcBorders>
            <w:vAlign w:val="center"/>
          </w:tcPr>
          <w:p w14:paraId="0F9BC5C3">
            <w:pPr>
              <w:pStyle w:val="9"/>
              <w:autoSpaceDE w:val="0"/>
              <w:snapToGrid w:val="0"/>
              <w:spacing w:line="360" w:lineRule="auto"/>
              <w:jc w:val="center"/>
              <w:rPr>
                <w:rFonts w:ascii="仿宋" w:hAnsi="仿宋" w:eastAsia="仿宋"/>
                <w:color w:val="000000"/>
                <w:sz w:val="24"/>
                <w:szCs w:val="24"/>
                <w:highlight w:val="none"/>
              </w:rPr>
            </w:pPr>
          </w:p>
        </w:tc>
      </w:tr>
      <w:tr w14:paraId="716DF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718" w:type="dxa"/>
            <w:tcBorders>
              <w:top w:val="single" w:color="auto" w:sz="4" w:space="0"/>
              <w:left w:val="single" w:color="auto" w:sz="4" w:space="0"/>
              <w:bottom w:val="single" w:color="auto" w:sz="4" w:space="0"/>
              <w:right w:val="single" w:color="auto" w:sz="4" w:space="0"/>
            </w:tcBorders>
            <w:vAlign w:val="center"/>
          </w:tcPr>
          <w:p w14:paraId="63C51EEA">
            <w:pPr>
              <w:pStyle w:val="9"/>
              <w:autoSpaceDE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营业执照</w:t>
            </w:r>
          </w:p>
          <w:p w14:paraId="00A72A23">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统一社会信用代码</w:t>
            </w:r>
          </w:p>
        </w:tc>
        <w:tc>
          <w:tcPr>
            <w:tcW w:w="6230" w:type="dxa"/>
            <w:gridSpan w:val="3"/>
            <w:tcBorders>
              <w:top w:val="single" w:color="auto" w:sz="4" w:space="0"/>
              <w:left w:val="single" w:color="auto" w:sz="4" w:space="0"/>
              <w:bottom w:val="single" w:color="auto" w:sz="4" w:space="0"/>
              <w:right w:val="single" w:color="auto" w:sz="4" w:space="0"/>
            </w:tcBorders>
            <w:vAlign w:val="center"/>
          </w:tcPr>
          <w:p w14:paraId="1573DB66">
            <w:pPr>
              <w:pStyle w:val="9"/>
              <w:autoSpaceDE w:val="0"/>
              <w:snapToGrid w:val="0"/>
              <w:spacing w:line="360" w:lineRule="auto"/>
              <w:jc w:val="center"/>
              <w:rPr>
                <w:rFonts w:ascii="仿宋" w:hAnsi="仿宋" w:eastAsia="仿宋"/>
                <w:color w:val="000000"/>
                <w:sz w:val="24"/>
                <w:szCs w:val="24"/>
                <w:highlight w:val="none"/>
              </w:rPr>
            </w:pPr>
          </w:p>
        </w:tc>
      </w:tr>
      <w:tr w14:paraId="5723A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718" w:type="dxa"/>
            <w:tcBorders>
              <w:top w:val="single" w:color="auto" w:sz="4" w:space="0"/>
              <w:left w:val="single" w:color="auto" w:sz="4" w:space="0"/>
              <w:bottom w:val="single" w:color="auto" w:sz="4" w:space="0"/>
              <w:right w:val="single" w:color="auto" w:sz="4" w:space="0"/>
            </w:tcBorders>
            <w:vAlign w:val="center"/>
          </w:tcPr>
          <w:p w14:paraId="1A454EBD">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注册资金</w:t>
            </w:r>
          </w:p>
        </w:tc>
        <w:tc>
          <w:tcPr>
            <w:tcW w:w="2181" w:type="dxa"/>
            <w:tcBorders>
              <w:top w:val="single" w:color="auto" w:sz="4" w:space="0"/>
              <w:left w:val="single" w:color="auto" w:sz="4" w:space="0"/>
              <w:bottom w:val="single" w:color="auto" w:sz="4" w:space="0"/>
              <w:right w:val="single" w:color="auto" w:sz="4" w:space="0"/>
            </w:tcBorders>
            <w:vAlign w:val="center"/>
          </w:tcPr>
          <w:p w14:paraId="2E6C9ABA">
            <w:pPr>
              <w:pStyle w:val="9"/>
              <w:autoSpaceDE w:val="0"/>
              <w:snapToGrid w:val="0"/>
              <w:spacing w:line="360" w:lineRule="auto"/>
              <w:jc w:val="center"/>
              <w:rPr>
                <w:rFonts w:ascii="仿宋" w:hAnsi="仿宋" w:eastAsia="仿宋"/>
                <w:color w:val="000000"/>
                <w:sz w:val="24"/>
                <w:szCs w:val="24"/>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14:paraId="046456C3">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邮政编码</w:t>
            </w:r>
          </w:p>
        </w:tc>
        <w:tc>
          <w:tcPr>
            <w:tcW w:w="1289" w:type="dxa"/>
            <w:tcBorders>
              <w:top w:val="single" w:color="auto" w:sz="4" w:space="0"/>
              <w:left w:val="single" w:color="auto" w:sz="4" w:space="0"/>
              <w:bottom w:val="single" w:color="auto" w:sz="4" w:space="0"/>
              <w:right w:val="single" w:color="auto" w:sz="4" w:space="0"/>
            </w:tcBorders>
            <w:vAlign w:val="center"/>
          </w:tcPr>
          <w:p w14:paraId="6C4BEC0F">
            <w:pPr>
              <w:pStyle w:val="9"/>
              <w:autoSpaceDE w:val="0"/>
              <w:snapToGrid w:val="0"/>
              <w:spacing w:line="360" w:lineRule="auto"/>
              <w:jc w:val="center"/>
              <w:rPr>
                <w:rFonts w:ascii="仿宋" w:hAnsi="仿宋" w:eastAsia="仿宋"/>
                <w:color w:val="000000"/>
                <w:sz w:val="24"/>
                <w:szCs w:val="24"/>
                <w:highlight w:val="none"/>
              </w:rPr>
            </w:pPr>
          </w:p>
        </w:tc>
      </w:tr>
      <w:tr w14:paraId="6C269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2718" w:type="dxa"/>
            <w:tcBorders>
              <w:top w:val="single" w:color="auto" w:sz="4" w:space="0"/>
              <w:left w:val="single" w:color="auto" w:sz="4" w:space="0"/>
              <w:bottom w:val="single" w:color="auto" w:sz="4" w:space="0"/>
              <w:right w:val="single" w:color="auto" w:sz="4" w:space="0"/>
            </w:tcBorders>
            <w:vAlign w:val="center"/>
          </w:tcPr>
          <w:p w14:paraId="2B23500A">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公司成立日期</w:t>
            </w:r>
          </w:p>
        </w:tc>
        <w:tc>
          <w:tcPr>
            <w:tcW w:w="2181" w:type="dxa"/>
            <w:tcBorders>
              <w:top w:val="single" w:color="auto" w:sz="4" w:space="0"/>
              <w:left w:val="single" w:color="auto" w:sz="4" w:space="0"/>
              <w:bottom w:val="single" w:color="auto" w:sz="4" w:space="0"/>
              <w:right w:val="single" w:color="auto" w:sz="4" w:space="0"/>
            </w:tcBorders>
            <w:vAlign w:val="center"/>
          </w:tcPr>
          <w:p w14:paraId="17AEA128">
            <w:pPr>
              <w:pStyle w:val="9"/>
              <w:autoSpaceDE w:val="0"/>
              <w:snapToGrid w:val="0"/>
              <w:spacing w:line="360" w:lineRule="auto"/>
              <w:jc w:val="center"/>
              <w:rPr>
                <w:rFonts w:ascii="仿宋" w:hAnsi="仿宋" w:eastAsia="仿宋"/>
                <w:color w:val="000000"/>
                <w:sz w:val="24"/>
                <w:szCs w:val="24"/>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14:paraId="5AF37D82">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企业网站网址（如有）</w:t>
            </w:r>
          </w:p>
        </w:tc>
        <w:tc>
          <w:tcPr>
            <w:tcW w:w="1289" w:type="dxa"/>
            <w:tcBorders>
              <w:top w:val="single" w:color="auto" w:sz="4" w:space="0"/>
              <w:left w:val="single" w:color="auto" w:sz="4" w:space="0"/>
              <w:bottom w:val="single" w:color="auto" w:sz="4" w:space="0"/>
              <w:right w:val="single" w:color="auto" w:sz="4" w:space="0"/>
            </w:tcBorders>
            <w:vAlign w:val="center"/>
          </w:tcPr>
          <w:p w14:paraId="7A6C9046">
            <w:pPr>
              <w:pStyle w:val="9"/>
              <w:autoSpaceDE w:val="0"/>
              <w:snapToGrid w:val="0"/>
              <w:spacing w:line="360" w:lineRule="auto"/>
              <w:jc w:val="center"/>
              <w:rPr>
                <w:rFonts w:ascii="仿宋" w:hAnsi="仿宋" w:eastAsia="仿宋"/>
                <w:color w:val="000000"/>
                <w:sz w:val="24"/>
                <w:szCs w:val="24"/>
                <w:highlight w:val="none"/>
              </w:rPr>
            </w:pPr>
          </w:p>
        </w:tc>
      </w:tr>
      <w:tr w14:paraId="13AB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718" w:type="dxa"/>
            <w:tcBorders>
              <w:top w:val="single" w:color="auto" w:sz="4" w:space="0"/>
              <w:left w:val="single" w:color="auto" w:sz="4" w:space="0"/>
              <w:bottom w:val="single" w:color="auto" w:sz="4" w:space="0"/>
              <w:right w:val="single" w:color="auto" w:sz="4" w:space="0"/>
            </w:tcBorders>
            <w:vAlign w:val="center"/>
          </w:tcPr>
          <w:p w14:paraId="314F868D">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企业电话</w:t>
            </w:r>
          </w:p>
        </w:tc>
        <w:tc>
          <w:tcPr>
            <w:tcW w:w="2181" w:type="dxa"/>
            <w:tcBorders>
              <w:top w:val="single" w:color="auto" w:sz="4" w:space="0"/>
              <w:left w:val="single" w:color="auto" w:sz="4" w:space="0"/>
              <w:bottom w:val="single" w:color="auto" w:sz="4" w:space="0"/>
              <w:right w:val="single" w:color="auto" w:sz="4" w:space="0"/>
            </w:tcBorders>
            <w:vAlign w:val="center"/>
          </w:tcPr>
          <w:p w14:paraId="434819C8">
            <w:pPr>
              <w:pStyle w:val="9"/>
              <w:autoSpaceDE w:val="0"/>
              <w:snapToGrid w:val="0"/>
              <w:spacing w:line="360" w:lineRule="auto"/>
              <w:jc w:val="center"/>
              <w:rPr>
                <w:rFonts w:ascii="仿宋" w:hAnsi="仿宋" w:eastAsia="仿宋"/>
                <w:color w:val="000000"/>
                <w:sz w:val="24"/>
                <w:szCs w:val="24"/>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14:paraId="7562AA1F">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通讯地址</w:t>
            </w:r>
          </w:p>
        </w:tc>
        <w:tc>
          <w:tcPr>
            <w:tcW w:w="1289" w:type="dxa"/>
            <w:tcBorders>
              <w:top w:val="single" w:color="auto" w:sz="4" w:space="0"/>
              <w:left w:val="single" w:color="auto" w:sz="4" w:space="0"/>
              <w:bottom w:val="single" w:color="auto" w:sz="4" w:space="0"/>
              <w:right w:val="single" w:color="auto" w:sz="4" w:space="0"/>
            </w:tcBorders>
            <w:vAlign w:val="center"/>
          </w:tcPr>
          <w:p w14:paraId="0EA65A47">
            <w:pPr>
              <w:pStyle w:val="9"/>
              <w:autoSpaceDE w:val="0"/>
              <w:snapToGrid w:val="0"/>
              <w:spacing w:line="360" w:lineRule="auto"/>
              <w:jc w:val="center"/>
              <w:rPr>
                <w:rFonts w:ascii="仿宋" w:hAnsi="仿宋" w:eastAsia="仿宋"/>
                <w:color w:val="000000"/>
                <w:sz w:val="24"/>
                <w:szCs w:val="24"/>
                <w:highlight w:val="none"/>
              </w:rPr>
            </w:pPr>
          </w:p>
        </w:tc>
      </w:tr>
      <w:tr w14:paraId="754EF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718" w:type="dxa"/>
            <w:tcBorders>
              <w:top w:val="single" w:color="auto" w:sz="4" w:space="0"/>
              <w:left w:val="single" w:color="auto" w:sz="4" w:space="0"/>
              <w:bottom w:val="single" w:color="auto" w:sz="4" w:space="0"/>
              <w:right w:val="single" w:color="auto" w:sz="4" w:space="0"/>
            </w:tcBorders>
            <w:vAlign w:val="center"/>
          </w:tcPr>
          <w:p w14:paraId="539BBD14">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公司简介</w:t>
            </w:r>
          </w:p>
        </w:tc>
        <w:tc>
          <w:tcPr>
            <w:tcW w:w="6230" w:type="dxa"/>
            <w:gridSpan w:val="3"/>
            <w:tcBorders>
              <w:top w:val="single" w:color="auto" w:sz="4" w:space="0"/>
              <w:left w:val="single" w:color="auto" w:sz="4" w:space="0"/>
              <w:bottom w:val="single" w:color="auto" w:sz="4" w:space="0"/>
              <w:right w:val="single" w:color="auto" w:sz="4" w:space="0"/>
            </w:tcBorders>
            <w:vAlign w:val="center"/>
          </w:tcPr>
          <w:p w14:paraId="32CC1A7A">
            <w:pPr>
              <w:pStyle w:val="9"/>
              <w:autoSpaceDE w:val="0"/>
              <w:snapToGrid w:val="0"/>
              <w:spacing w:line="360" w:lineRule="auto"/>
              <w:jc w:val="center"/>
              <w:rPr>
                <w:rFonts w:ascii="仿宋" w:hAnsi="仿宋" w:eastAsia="仿宋"/>
                <w:color w:val="000000"/>
                <w:sz w:val="24"/>
                <w:szCs w:val="24"/>
                <w:highlight w:val="none"/>
              </w:rPr>
            </w:pPr>
          </w:p>
        </w:tc>
      </w:tr>
      <w:tr w14:paraId="03ED8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718" w:type="dxa"/>
            <w:tcBorders>
              <w:top w:val="single" w:color="auto" w:sz="4" w:space="0"/>
              <w:left w:val="single" w:color="auto" w:sz="4" w:space="0"/>
              <w:bottom w:val="single" w:color="auto" w:sz="4" w:space="0"/>
              <w:right w:val="single" w:color="auto" w:sz="4" w:space="0"/>
            </w:tcBorders>
            <w:vAlign w:val="center"/>
          </w:tcPr>
          <w:p w14:paraId="15917E1B">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经营范围</w:t>
            </w:r>
          </w:p>
        </w:tc>
        <w:tc>
          <w:tcPr>
            <w:tcW w:w="6230" w:type="dxa"/>
            <w:gridSpan w:val="3"/>
            <w:tcBorders>
              <w:top w:val="single" w:color="auto" w:sz="4" w:space="0"/>
              <w:left w:val="single" w:color="auto" w:sz="4" w:space="0"/>
              <w:bottom w:val="single" w:color="auto" w:sz="4" w:space="0"/>
              <w:right w:val="single" w:color="auto" w:sz="4" w:space="0"/>
            </w:tcBorders>
            <w:vAlign w:val="center"/>
          </w:tcPr>
          <w:p w14:paraId="3371F3F4">
            <w:pPr>
              <w:pStyle w:val="9"/>
              <w:autoSpaceDE w:val="0"/>
              <w:snapToGrid w:val="0"/>
              <w:spacing w:line="360" w:lineRule="auto"/>
              <w:jc w:val="center"/>
              <w:rPr>
                <w:rFonts w:ascii="仿宋" w:hAnsi="仿宋" w:eastAsia="仿宋"/>
                <w:color w:val="000000"/>
                <w:sz w:val="24"/>
                <w:szCs w:val="24"/>
                <w:highlight w:val="none"/>
              </w:rPr>
            </w:pPr>
          </w:p>
        </w:tc>
      </w:tr>
      <w:tr w14:paraId="24686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2718" w:type="dxa"/>
            <w:tcBorders>
              <w:top w:val="single" w:color="auto" w:sz="4" w:space="0"/>
              <w:left w:val="single" w:color="auto" w:sz="4" w:space="0"/>
              <w:bottom w:val="single" w:color="auto" w:sz="4" w:space="0"/>
              <w:right w:val="single" w:color="auto" w:sz="4" w:space="0"/>
            </w:tcBorders>
            <w:vAlign w:val="center"/>
          </w:tcPr>
          <w:p w14:paraId="6EC3E407">
            <w:pPr>
              <w:pStyle w:val="9"/>
              <w:autoSpaceDE w:val="0"/>
              <w:snapToGrid w:val="0"/>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公司拥有资质证书</w:t>
            </w:r>
          </w:p>
        </w:tc>
        <w:tc>
          <w:tcPr>
            <w:tcW w:w="6230" w:type="dxa"/>
            <w:gridSpan w:val="3"/>
            <w:tcBorders>
              <w:top w:val="single" w:color="auto" w:sz="4" w:space="0"/>
              <w:left w:val="single" w:color="auto" w:sz="4" w:space="0"/>
              <w:bottom w:val="single" w:color="auto" w:sz="4" w:space="0"/>
              <w:right w:val="single" w:color="auto" w:sz="4" w:space="0"/>
            </w:tcBorders>
            <w:vAlign w:val="center"/>
          </w:tcPr>
          <w:p w14:paraId="3CC85652">
            <w:pPr>
              <w:pStyle w:val="9"/>
              <w:autoSpaceDE w:val="0"/>
              <w:snapToGrid w:val="0"/>
              <w:spacing w:line="360" w:lineRule="auto"/>
              <w:jc w:val="center"/>
              <w:rPr>
                <w:rFonts w:ascii="仿宋" w:hAnsi="仿宋" w:eastAsia="仿宋"/>
                <w:color w:val="000000"/>
                <w:sz w:val="24"/>
                <w:szCs w:val="24"/>
                <w:highlight w:val="none"/>
              </w:rPr>
            </w:pPr>
          </w:p>
        </w:tc>
      </w:tr>
    </w:tbl>
    <w:p w14:paraId="684329F8">
      <w:pPr>
        <w:spacing w:line="72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0F3DDEC8">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5347987B">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投标人全称（加盖电子公章）：</w:t>
      </w:r>
      <w:r>
        <w:rPr>
          <w:rFonts w:hint="eastAsia" w:ascii="仿宋" w:hAnsi="仿宋" w:eastAsia="仿宋"/>
          <w:color w:val="000000"/>
          <w:sz w:val="24"/>
          <w:szCs w:val="24"/>
          <w:highlight w:val="none"/>
          <w:u w:val="single"/>
        </w:rPr>
        <w:t xml:space="preserve">               </w:t>
      </w:r>
    </w:p>
    <w:p w14:paraId="4CA83200">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法定代表人或其委托代理人（电子签章）：</w:t>
      </w:r>
      <w:r>
        <w:rPr>
          <w:rFonts w:hint="eastAsia" w:ascii="仿宋" w:hAnsi="仿宋" w:eastAsia="仿宋"/>
          <w:color w:val="000000"/>
          <w:sz w:val="24"/>
          <w:szCs w:val="24"/>
          <w:highlight w:val="none"/>
          <w:u w:val="single"/>
        </w:rPr>
        <w:t xml:space="preserve">                 </w:t>
      </w:r>
    </w:p>
    <w:p w14:paraId="2C6301FB">
      <w:pPr>
        <w:autoSpaceDE w:val="0"/>
        <w:spacing w:line="360" w:lineRule="auto"/>
        <w:jc w:val="left"/>
        <w:rPr>
          <w:rFonts w:ascii="仿宋" w:hAnsi="仿宋" w:eastAsia="仿宋"/>
          <w:b/>
          <w:bCs/>
          <w:color w:val="000000"/>
          <w:sz w:val="28"/>
          <w:szCs w:val="28"/>
          <w:highlight w:val="none"/>
        </w:rPr>
      </w:pPr>
      <w:r>
        <w:rPr>
          <w:rFonts w:hint="eastAsia" w:ascii="仿宋" w:hAnsi="仿宋" w:eastAsia="仿宋"/>
          <w:color w:val="000000"/>
          <w:sz w:val="24"/>
          <w:szCs w:val="24"/>
          <w:highlight w:val="none"/>
        </w:rPr>
        <w:t>日期：</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p>
    <w:p w14:paraId="024AA272">
      <w:pPr>
        <w:rPr>
          <w:rFonts w:ascii="仿宋" w:hAnsi="仿宋" w:eastAsia="仿宋"/>
          <w:b/>
          <w:bCs/>
          <w:color w:val="000000"/>
          <w:sz w:val="30"/>
          <w:szCs w:val="30"/>
          <w:highlight w:val="none"/>
        </w:rPr>
      </w:pPr>
      <w:r>
        <w:rPr>
          <w:rFonts w:hint="eastAsia" w:ascii="仿宋" w:hAnsi="仿宋" w:eastAsia="仿宋"/>
          <w:b/>
          <w:bCs/>
          <w:color w:val="000000"/>
          <w:sz w:val="30"/>
          <w:szCs w:val="30"/>
          <w:highlight w:val="none"/>
        </w:rPr>
        <w:br w:type="page"/>
      </w:r>
    </w:p>
    <w:p w14:paraId="0DD33368">
      <w:pPr>
        <w:jc w:val="cente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四、法定代表人身份证明书及授权书</w:t>
      </w:r>
    </w:p>
    <w:p w14:paraId="74A396B4">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71DE3508">
      <w:pPr>
        <w:spacing w:line="360" w:lineRule="auto"/>
        <w:jc w:val="center"/>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（一）法定代表人身份证明书</w:t>
      </w:r>
    </w:p>
    <w:p w14:paraId="7216D313">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32F70CDC">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单位名称：</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rPr>
        <w:tab/>
      </w:r>
    </w:p>
    <w:p w14:paraId="0247F840">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单位性质：</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rPr>
        <w:tab/>
      </w:r>
    </w:p>
    <w:p w14:paraId="2ED0C735">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地    址：</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ab/>
      </w:r>
    </w:p>
    <w:p w14:paraId="10992FBB">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成立时间：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p>
    <w:p w14:paraId="49F08889">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经营期限：</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u w:val="single"/>
        </w:rPr>
        <w:tab/>
      </w:r>
    </w:p>
    <w:p w14:paraId="109BB629">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姓    名：</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 性别：</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年龄：</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 职务：</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u w:val="single"/>
        </w:rPr>
        <w:t xml:space="preserve"> </w:t>
      </w:r>
    </w:p>
    <w:p w14:paraId="14BB39FF">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系</w:t>
      </w:r>
      <w:r>
        <w:rPr>
          <w:rFonts w:hint="eastAsia" w:ascii="仿宋" w:hAnsi="仿宋" w:eastAsia="仿宋"/>
          <w:color w:val="000000"/>
          <w:sz w:val="24"/>
          <w:szCs w:val="24"/>
          <w:highlight w:val="none"/>
          <w:u w:val="single"/>
        </w:rPr>
        <w:t xml:space="preserve">         （投标人名称）  </w:t>
      </w:r>
      <w:r>
        <w:rPr>
          <w:rFonts w:hint="eastAsia" w:ascii="仿宋" w:hAnsi="仿宋" w:eastAsia="仿宋"/>
          <w:color w:val="000000"/>
          <w:sz w:val="24"/>
          <w:szCs w:val="24"/>
          <w:highlight w:val="none"/>
        </w:rPr>
        <w:t>的法定代表人。</w:t>
      </w:r>
    </w:p>
    <w:p w14:paraId="6238FD44">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09F48E74">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特此证明。</w:t>
      </w:r>
    </w:p>
    <w:p w14:paraId="40BB6609">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7354C3EB">
      <w:pPr>
        <w:spacing w:line="360" w:lineRule="auto"/>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附法定代表人身份证复印件</w:t>
      </w:r>
    </w:p>
    <w:p w14:paraId="7ACD8F36">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3855D5A1">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31A1BD07">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1E8E50CF">
      <w:pPr>
        <w:spacing w:line="360" w:lineRule="auto"/>
        <w:ind w:firstLine="3120" w:firstLineChars="1300"/>
        <w:rPr>
          <w:rFonts w:ascii="仿宋" w:hAnsi="仿宋" w:eastAsia="仿宋"/>
          <w:color w:val="000000"/>
          <w:sz w:val="24"/>
          <w:szCs w:val="24"/>
          <w:highlight w:val="none"/>
        </w:rPr>
      </w:pPr>
      <w:r>
        <w:rPr>
          <w:rFonts w:hint="eastAsia" w:ascii="仿宋" w:hAnsi="仿宋" w:eastAsia="仿宋"/>
          <w:color w:val="000000"/>
          <w:sz w:val="24"/>
          <w:szCs w:val="24"/>
          <w:highlight w:val="none"/>
        </w:rPr>
        <w:t>投标人全称（加盖电子公章) ：</w:t>
      </w:r>
      <w:r>
        <w:rPr>
          <w:rFonts w:hint="eastAsia" w:ascii="仿宋" w:hAnsi="仿宋" w:eastAsia="仿宋"/>
          <w:color w:val="000000"/>
          <w:sz w:val="24"/>
          <w:szCs w:val="24"/>
          <w:highlight w:val="none"/>
          <w:u w:val="single"/>
        </w:rPr>
        <w:t xml:space="preserve">           </w:t>
      </w:r>
    </w:p>
    <w:p w14:paraId="584480DC">
      <w:pPr>
        <w:spacing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日 期：</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p>
    <w:p w14:paraId="24E3E79B">
      <w:pPr>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6704A562">
      <w:pPr>
        <w:pStyle w:val="3"/>
        <w:wordWrap w:val="0"/>
        <w:jc w:val="center"/>
        <w:rPr>
          <w:rFonts w:ascii="仿宋" w:hAnsi="仿宋" w:eastAsia="仿宋"/>
          <w:b w:val="0"/>
          <w:bCs/>
          <w:caps/>
          <w:color w:val="000000"/>
          <w:highlight w:val="none"/>
        </w:rPr>
      </w:pPr>
      <w:r>
        <w:rPr>
          <w:rFonts w:hint="eastAsia" w:ascii="仿宋" w:hAnsi="仿宋" w:eastAsia="仿宋"/>
          <w:b w:val="0"/>
          <w:bCs/>
          <w:color w:val="000000"/>
          <w:sz w:val="24"/>
          <w:szCs w:val="24"/>
          <w:highlight w:val="none"/>
        </w:rPr>
        <w:br w:type="page"/>
      </w:r>
      <w:r>
        <w:rPr>
          <w:rFonts w:hint="eastAsia" w:ascii="仿宋" w:hAnsi="仿宋" w:eastAsia="仿宋"/>
          <w:bCs/>
          <w:color w:val="000000"/>
          <w:sz w:val="28"/>
          <w:szCs w:val="28"/>
          <w:highlight w:val="none"/>
        </w:rPr>
        <w:t>（二）法定代表人授权书</w:t>
      </w:r>
    </w:p>
    <w:p w14:paraId="5D80FF56">
      <w:pPr>
        <w:spacing w:line="500" w:lineRule="exact"/>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本人</w:t>
      </w:r>
      <w:r>
        <w:rPr>
          <w:rFonts w:hint="eastAsia" w:ascii="仿宋" w:hAnsi="仿宋" w:eastAsia="仿宋"/>
          <w:color w:val="000000"/>
          <w:sz w:val="24"/>
          <w:szCs w:val="24"/>
          <w:highlight w:val="none"/>
          <w:u w:val="single"/>
        </w:rPr>
        <w:t xml:space="preserve"> （姓名）  </w:t>
      </w:r>
      <w:r>
        <w:rPr>
          <w:rFonts w:hint="eastAsia" w:ascii="仿宋" w:hAnsi="仿宋" w:eastAsia="仿宋"/>
          <w:color w:val="000000"/>
          <w:sz w:val="24"/>
          <w:szCs w:val="24"/>
          <w:highlight w:val="none"/>
        </w:rPr>
        <w:t>系</w:t>
      </w:r>
      <w:r>
        <w:rPr>
          <w:rFonts w:hint="eastAsia" w:ascii="仿宋" w:hAnsi="仿宋" w:eastAsia="仿宋"/>
          <w:color w:val="000000"/>
          <w:sz w:val="24"/>
          <w:szCs w:val="24"/>
          <w:highlight w:val="none"/>
          <w:u w:val="single"/>
        </w:rPr>
        <w:t xml:space="preserve">    （投标人名称）   </w:t>
      </w:r>
      <w:r>
        <w:rPr>
          <w:rFonts w:hint="eastAsia" w:ascii="仿宋" w:hAnsi="仿宋" w:eastAsia="仿宋"/>
          <w:color w:val="000000"/>
          <w:sz w:val="24"/>
          <w:szCs w:val="24"/>
          <w:highlight w:val="none"/>
        </w:rPr>
        <w:t>的法定代表人，现委托</w:t>
      </w:r>
      <w:r>
        <w:rPr>
          <w:rFonts w:hint="eastAsia" w:ascii="仿宋" w:hAnsi="仿宋" w:eastAsia="仿宋"/>
          <w:color w:val="000000"/>
          <w:sz w:val="24"/>
          <w:szCs w:val="24"/>
          <w:highlight w:val="none"/>
          <w:u w:val="single"/>
        </w:rPr>
        <w:t xml:space="preserve">  （姓名）  </w:t>
      </w:r>
      <w:r>
        <w:rPr>
          <w:rFonts w:hint="eastAsia" w:ascii="仿宋" w:hAnsi="仿宋" w:eastAsia="仿宋"/>
          <w:color w:val="000000"/>
          <w:sz w:val="24"/>
          <w:szCs w:val="24"/>
          <w:highlight w:val="none"/>
        </w:rPr>
        <w:t>为我方代理人。代理人根据授权，以我方名义签署、澄清、说明、补正、递交、撤回、修改</w:t>
      </w:r>
      <w:r>
        <w:rPr>
          <w:rFonts w:hint="eastAsia" w:ascii="仿宋" w:hAnsi="仿宋" w:eastAsia="仿宋"/>
          <w:color w:val="000000"/>
          <w:sz w:val="24"/>
          <w:szCs w:val="24"/>
          <w:highlight w:val="none"/>
          <w:u w:val="single"/>
        </w:rPr>
        <w:t xml:space="preserve">    （项目名称）   </w:t>
      </w:r>
      <w:r>
        <w:rPr>
          <w:rFonts w:hint="eastAsia" w:ascii="仿宋" w:hAnsi="仿宋" w:eastAsia="仿宋"/>
          <w:color w:val="000000"/>
          <w:sz w:val="24"/>
          <w:szCs w:val="24"/>
          <w:highlight w:val="none"/>
        </w:rPr>
        <w:t>响应文件、签订合同和处理有关事宜，其法律后果由我方承担。</w:t>
      </w:r>
    </w:p>
    <w:p w14:paraId="09D5396F">
      <w:pPr>
        <w:spacing w:beforeLines="50" w:line="500" w:lineRule="exact"/>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委托期限：</w:t>
      </w:r>
      <w:r>
        <w:rPr>
          <w:rFonts w:hint="eastAsia" w:ascii="仿宋" w:hAnsi="仿宋" w:eastAsia="仿宋"/>
          <w:color w:val="000000"/>
          <w:sz w:val="24"/>
          <w:szCs w:val="24"/>
          <w:highlight w:val="none"/>
          <w:u w:val="single"/>
        </w:rPr>
        <w:t xml:space="preserve">             </w:t>
      </w:r>
    </w:p>
    <w:p w14:paraId="7BB82167">
      <w:pPr>
        <w:spacing w:beforeLines="100" w:afterLines="100" w:line="500" w:lineRule="exact"/>
        <w:ind w:firstLine="480" w:firstLineChars="200"/>
        <w:rPr>
          <w:rFonts w:ascii="仿宋" w:hAnsi="仿宋" w:eastAsia="仿宋"/>
          <w:color w:val="000000"/>
          <w:sz w:val="24"/>
          <w:szCs w:val="24"/>
          <w:highlight w:val="none"/>
        </w:rPr>
      </w:pPr>
      <w:r>
        <w:rPr>
          <w:rFonts w:hint="eastAsia" w:ascii="仿宋" w:hAnsi="仿宋" w:eastAsia="仿宋"/>
          <w:color w:val="000000"/>
          <w:sz w:val="24"/>
          <w:szCs w:val="24"/>
          <w:highlight w:val="none"/>
        </w:rPr>
        <w:t>代理人无转委托权。</w:t>
      </w:r>
    </w:p>
    <w:p w14:paraId="74BE7CAF">
      <w:pPr>
        <w:spacing w:line="360" w:lineRule="auto"/>
        <w:ind w:left="1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18FC0DB3">
      <w:pPr>
        <w:spacing w:line="360" w:lineRule="auto"/>
        <w:ind w:left="100"/>
        <w:rPr>
          <w:rFonts w:ascii="仿宋" w:hAnsi="仿宋" w:eastAsia="仿宋"/>
          <w:color w:val="000000"/>
          <w:sz w:val="24"/>
          <w:szCs w:val="24"/>
          <w:highlight w:val="none"/>
        </w:rPr>
      </w:pPr>
      <w:r>
        <w:rPr>
          <w:rFonts w:hint="eastAsia" w:ascii="仿宋" w:hAnsi="仿宋" w:eastAsia="仿宋"/>
          <w:color w:val="000000"/>
          <w:sz w:val="24"/>
          <w:szCs w:val="24"/>
          <w:highlight w:val="none"/>
        </w:rPr>
        <w:t>附：身份证复印件</w:t>
      </w:r>
    </w:p>
    <w:p w14:paraId="50F66D44">
      <w:pPr>
        <w:spacing w:line="4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7FA198A2">
      <w:pPr>
        <w:spacing w:line="3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242EC5F4">
      <w:pPr>
        <w:spacing w:line="3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645F4A95">
      <w:pPr>
        <w:spacing w:line="300" w:lineRule="exact"/>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投标人全称（加盖电子公章）：</w:t>
      </w:r>
      <w:r>
        <w:rPr>
          <w:rFonts w:hint="eastAsia" w:ascii="仿宋" w:hAnsi="仿宋" w:eastAsia="仿宋"/>
          <w:color w:val="000000"/>
          <w:sz w:val="24"/>
          <w:szCs w:val="24"/>
          <w:highlight w:val="none"/>
          <w:u w:val="single"/>
        </w:rPr>
        <w:t xml:space="preserve">                  </w:t>
      </w:r>
    </w:p>
    <w:p w14:paraId="621CA0F7">
      <w:pPr>
        <w:spacing w:line="300" w:lineRule="exact"/>
        <w:ind w:firstLine="4080" w:firstLineChars="17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523DB64E">
      <w:pPr>
        <w:spacing w:line="300" w:lineRule="exact"/>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法定代表人：</w:t>
      </w:r>
      <w:r>
        <w:rPr>
          <w:rFonts w:hint="eastAsia" w:ascii="仿宋" w:hAnsi="仿宋" w:eastAsia="仿宋"/>
          <w:color w:val="000000"/>
          <w:sz w:val="24"/>
          <w:szCs w:val="24"/>
          <w:highlight w:val="none"/>
          <w:u w:val="single"/>
        </w:rPr>
        <w:t xml:space="preserve">             （电子签章）    </w:t>
      </w:r>
    </w:p>
    <w:p w14:paraId="12B3F200">
      <w:pPr>
        <w:spacing w:line="300" w:lineRule="exact"/>
        <w:ind w:firstLine="4080" w:firstLineChars="17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6E165517">
      <w:pPr>
        <w:spacing w:line="300" w:lineRule="exact"/>
        <w:ind w:firstLine="240" w:firstLineChars="100"/>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身份证号码：</w:t>
      </w:r>
      <w:r>
        <w:rPr>
          <w:rFonts w:hint="eastAsia" w:ascii="仿宋" w:hAnsi="仿宋" w:eastAsia="仿宋"/>
          <w:color w:val="000000"/>
          <w:sz w:val="24"/>
          <w:szCs w:val="24"/>
          <w:highlight w:val="none"/>
          <w:u w:val="single"/>
        </w:rPr>
        <w:t xml:space="preserve">                             </w:t>
      </w:r>
    </w:p>
    <w:p w14:paraId="734586E9">
      <w:pPr>
        <w:spacing w:line="300" w:lineRule="exact"/>
        <w:ind w:firstLine="4080" w:firstLineChars="17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596768E3">
      <w:pPr>
        <w:spacing w:line="300" w:lineRule="exact"/>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委托代理人：</w:t>
      </w:r>
      <w:r>
        <w:rPr>
          <w:rFonts w:hint="eastAsia" w:ascii="仿宋" w:hAnsi="仿宋" w:eastAsia="仿宋"/>
          <w:color w:val="000000"/>
          <w:sz w:val="24"/>
          <w:szCs w:val="24"/>
          <w:highlight w:val="none"/>
          <w:u w:val="single"/>
        </w:rPr>
        <w:t xml:space="preserve">              （签字）       </w:t>
      </w:r>
    </w:p>
    <w:p w14:paraId="3AB55A41">
      <w:pPr>
        <w:spacing w:line="300" w:lineRule="exact"/>
        <w:ind w:firstLine="4080" w:firstLineChars="17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2E381F8B">
      <w:pPr>
        <w:spacing w:line="300" w:lineRule="exact"/>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身份证号码：</w:t>
      </w:r>
      <w:r>
        <w:rPr>
          <w:rFonts w:hint="eastAsia" w:ascii="仿宋" w:hAnsi="仿宋" w:eastAsia="仿宋"/>
          <w:color w:val="000000"/>
          <w:sz w:val="24"/>
          <w:szCs w:val="24"/>
          <w:highlight w:val="none"/>
          <w:u w:val="single"/>
        </w:rPr>
        <w:t xml:space="preserve">                             </w:t>
      </w:r>
    </w:p>
    <w:p w14:paraId="1E883AE1">
      <w:pPr>
        <w:spacing w:line="300" w:lineRule="exact"/>
        <w:ind w:firstLine="4080" w:firstLineChars="17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5F36308E">
      <w:pPr>
        <w:spacing w:line="300" w:lineRule="exact"/>
        <w:ind w:firstLine="240" w:firstLineChars="100"/>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电子邮箱：</w:t>
      </w:r>
      <w:r>
        <w:rPr>
          <w:rFonts w:hint="eastAsia" w:ascii="仿宋" w:hAnsi="仿宋" w:eastAsia="仿宋"/>
          <w:color w:val="000000"/>
          <w:sz w:val="24"/>
          <w:szCs w:val="24"/>
          <w:highlight w:val="none"/>
          <w:u w:val="single"/>
        </w:rPr>
        <w:t xml:space="preserve">                               </w:t>
      </w:r>
    </w:p>
    <w:p w14:paraId="3F4B4A15">
      <w:pPr>
        <w:spacing w:line="300" w:lineRule="exact"/>
        <w:ind w:firstLine="4080" w:firstLineChars="1700"/>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5EB226C1">
      <w:pPr>
        <w:spacing w:line="300" w:lineRule="exact"/>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联系电话：</w:t>
      </w:r>
      <w:r>
        <w:rPr>
          <w:rFonts w:hint="eastAsia" w:ascii="仿宋" w:hAnsi="仿宋" w:eastAsia="仿宋"/>
          <w:color w:val="000000"/>
          <w:sz w:val="24"/>
          <w:szCs w:val="24"/>
          <w:highlight w:val="none"/>
          <w:u w:val="single"/>
        </w:rPr>
        <w:t xml:space="preserve">                              </w:t>
      </w:r>
    </w:p>
    <w:p w14:paraId="3945A2AE">
      <w:pPr>
        <w:spacing w:line="30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4449F7B9">
      <w:pPr>
        <w:spacing w:line="300" w:lineRule="exact"/>
        <w:ind w:firstLine="240" w:firstLineChars="100"/>
        <w:rPr>
          <w:rFonts w:ascii="仿宋" w:hAnsi="仿宋" w:eastAsia="仿宋"/>
          <w:color w:val="000000"/>
          <w:sz w:val="24"/>
          <w:szCs w:val="24"/>
          <w:highlight w:val="none"/>
        </w:rPr>
      </w:pPr>
      <w:r>
        <w:rPr>
          <w:rFonts w:hint="eastAsia" w:ascii="仿宋" w:hAnsi="仿宋" w:eastAsia="仿宋"/>
          <w:color w:val="000000"/>
          <w:sz w:val="24"/>
          <w:szCs w:val="24"/>
          <w:highlight w:val="none"/>
        </w:rPr>
        <w:t>日期：</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p>
    <w:p w14:paraId="27471AC0">
      <w:pPr>
        <w:ind w:right="-328" w:rightChars="-156"/>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33B91B1C">
      <w:pPr>
        <w:ind w:right="-328" w:rightChars="-156"/>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03C45238">
      <w:pPr>
        <w:ind w:right="-328" w:rightChars="-156"/>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419AF3F2">
      <w:pPr>
        <w:rPr>
          <w:rFonts w:ascii="仿宋" w:hAnsi="仿宋" w:eastAsia="仿宋"/>
          <w:b/>
          <w:color w:val="000000"/>
          <w:sz w:val="32"/>
          <w:szCs w:val="32"/>
          <w:highlight w:val="none"/>
        </w:rPr>
      </w:pPr>
      <w:r>
        <w:rPr>
          <w:rFonts w:hint="eastAsia" w:ascii="仿宋" w:hAnsi="仿宋" w:eastAsia="仿宋"/>
          <w:b/>
          <w:color w:val="000000"/>
          <w:sz w:val="32"/>
          <w:szCs w:val="32"/>
          <w:highlight w:val="none"/>
        </w:rPr>
        <w:br w:type="page"/>
      </w:r>
    </w:p>
    <w:p w14:paraId="454CA510">
      <w:pPr>
        <w:jc w:val="cente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五、保证金</w:t>
      </w:r>
    </w:p>
    <w:p w14:paraId="2B3FF0DE">
      <w:pP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 </w:t>
      </w:r>
    </w:p>
    <w:p w14:paraId="059E66F3">
      <w:pPr>
        <w:spacing w:before="120" w:after="12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投标人提交的投标保证金应采用招标文件中规定的形式，并在此提供相应凭证的扫描件。</w:t>
      </w:r>
    </w:p>
    <w:p w14:paraId="46BB1FDE">
      <w:pPr>
        <w:rPr>
          <w:rFonts w:ascii="仿宋" w:hAnsi="仿宋" w:eastAsia="仿宋"/>
          <w:b/>
          <w:bCs/>
          <w:color w:val="000000"/>
          <w:kern w:val="0"/>
          <w:sz w:val="28"/>
          <w:szCs w:val="28"/>
          <w:highlight w:val="none"/>
        </w:rPr>
      </w:pPr>
      <w:r>
        <w:rPr>
          <w:rFonts w:hint="eastAsia" w:ascii="仿宋" w:hAnsi="仿宋" w:eastAsia="仿宋"/>
          <w:b/>
          <w:bCs/>
          <w:color w:val="000000"/>
          <w:kern w:val="0"/>
          <w:sz w:val="28"/>
          <w:szCs w:val="28"/>
          <w:highlight w:val="none"/>
        </w:rPr>
        <w:t xml:space="preserve"> </w:t>
      </w:r>
    </w:p>
    <w:p w14:paraId="239A0597">
      <w:pPr>
        <w:rPr>
          <w:rFonts w:ascii="仿宋" w:hAnsi="仿宋" w:eastAsia="仿宋"/>
          <w:b/>
          <w:bCs/>
          <w:color w:val="000000"/>
          <w:kern w:val="0"/>
          <w:sz w:val="28"/>
          <w:szCs w:val="28"/>
          <w:highlight w:val="none"/>
        </w:rPr>
      </w:pPr>
      <w:r>
        <w:rPr>
          <w:rFonts w:hint="eastAsia" w:ascii="仿宋" w:hAnsi="仿宋" w:eastAsia="仿宋"/>
          <w:b/>
          <w:bCs/>
          <w:color w:val="000000"/>
          <w:kern w:val="0"/>
          <w:sz w:val="28"/>
          <w:szCs w:val="28"/>
          <w:highlight w:val="none"/>
        </w:rPr>
        <w:br w:type="page"/>
      </w:r>
    </w:p>
    <w:p w14:paraId="3202532F">
      <w:pPr>
        <w:spacing w:line="360" w:lineRule="auto"/>
        <w:jc w:val="cente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六、服务标准指标响应</w:t>
      </w:r>
    </w:p>
    <w:p w14:paraId="4338EC9B">
      <w:pPr>
        <w:pStyle w:val="9"/>
        <w:spacing w:line="360" w:lineRule="auto"/>
        <w:jc w:val="left"/>
        <w:rPr>
          <w:rFonts w:ascii="仿宋" w:hAnsi="仿宋" w:eastAsia="仿宋"/>
          <w:b/>
          <w:color w:val="000000"/>
          <w:highlight w:val="none"/>
        </w:rPr>
      </w:pPr>
      <w:r>
        <w:rPr>
          <w:rFonts w:hint="eastAsia" w:ascii="仿宋" w:hAnsi="仿宋" w:eastAsia="仿宋"/>
          <w:b/>
          <w:color w:val="000000"/>
          <w:sz w:val="24"/>
          <w:szCs w:val="24"/>
          <w:highlight w:val="none"/>
        </w:rPr>
        <w:t xml:space="preserve">项目名称：                                                                 </w:t>
      </w:r>
    </w:p>
    <w:tbl>
      <w:tblPr>
        <w:tblStyle w:val="19"/>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2586"/>
        <w:gridCol w:w="2450"/>
        <w:gridCol w:w="1750"/>
        <w:gridCol w:w="2038"/>
      </w:tblGrid>
      <w:tr w14:paraId="313F9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680" w:type="dxa"/>
            <w:tcBorders>
              <w:top w:val="single" w:color="auto" w:sz="4" w:space="0"/>
              <w:left w:val="single" w:color="auto" w:sz="4" w:space="0"/>
              <w:bottom w:val="single" w:color="auto" w:sz="4" w:space="0"/>
              <w:right w:val="single" w:color="auto" w:sz="4" w:space="0"/>
            </w:tcBorders>
            <w:vAlign w:val="center"/>
          </w:tcPr>
          <w:p w14:paraId="3FC7C433">
            <w:pPr>
              <w:spacing w:line="360" w:lineRule="auto"/>
              <w:jc w:val="center"/>
              <w:rPr>
                <w:rFonts w:ascii="仿宋" w:hAnsi="仿宋" w:eastAsia="仿宋"/>
                <w:b/>
                <w:color w:val="000000"/>
                <w:highlight w:val="none"/>
              </w:rPr>
            </w:pPr>
            <w:r>
              <w:rPr>
                <w:rFonts w:hint="eastAsia" w:ascii="仿宋" w:hAnsi="仿宋" w:eastAsia="仿宋"/>
                <w:b/>
                <w:color w:val="000000"/>
                <w:highlight w:val="none"/>
              </w:rPr>
              <w:t>序号</w:t>
            </w:r>
          </w:p>
        </w:tc>
        <w:tc>
          <w:tcPr>
            <w:tcW w:w="2586" w:type="dxa"/>
            <w:tcBorders>
              <w:top w:val="single" w:color="auto" w:sz="4" w:space="0"/>
              <w:left w:val="single" w:color="auto" w:sz="4" w:space="0"/>
              <w:bottom w:val="single" w:color="auto" w:sz="4" w:space="0"/>
              <w:right w:val="single" w:color="auto" w:sz="4" w:space="0"/>
            </w:tcBorders>
            <w:vAlign w:val="center"/>
          </w:tcPr>
          <w:p w14:paraId="125E10BD">
            <w:pPr>
              <w:spacing w:line="360" w:lineRule="auto"/>
              <w:jc w:val="center"/>
              <w:rPr>
                <w:rFonts w:ascii="仿宋" w:hAnsi="仿宋" w:eastAsia="仿宋"/>
                <w:b/>
                <w:color w:val="000000"/>
                <w:highlight w:val="none"/>
              </w:rPr>
            </w:pPr>
            <w:r>
              <w:rPr>
                <w:rFonts w:hint="eastAsia" w:ascii="仿宋" w:hAnsi="仿宋" w:eastAsia="仿宋"/>
                <w:b/>
                <w:color w:val="000000"/>
                <w:highlight w:val="none"/>
              </w:rPr>
              <w:t>招标文件采购要求</w:t>
            </w:r>
          </w:p>
        </w:tc>
        <w:tc>
          <w:tcPr>
            <w:tcW w:w="2450" w:type="dxa"/>
            <w:tcBorders>
              <w:top w:val="single" w:color="auto" w:sz="4" w:space="0"/>
              <w:left w:val="single" w:color="auto" w:sz="4" w:space="0"/>
              <w:bottom w:val="single" w:color="auto" w:sz="4" w:space="0"/>
              <w:right w:val="single" w:color="auto" w:sz="4" w:space="0"/>
            </w:tcBorders>
            <w:vAlign w:val="center"/>
          </w:tcPr>
          <w:p w14:paraId="4DB7EE6A">
            <w:pPr>
              <w:spacing w:line="360" w:lineRule="auto"/>
              <w:jc w:val="center"/>
              <w:rPr>
                <w:rFonts w:ascii="仿宋" w:hAnsi="仿宋" w:eastAsia="仿宋"/>
                <w:b/>
                <w:color w:val="000000"/>
                <w:highlight w:val="none"/>
              </w:rPr>
            </w:pPr>
            <w:r>
              <w:rPr>
                <w:rFonts w:hint="eastAsia" w:ascii="仿宋" w:hAnsi="仿宋" w:eastAsia="仿宋"/>
                <w:b/>
                <w:color w:val="000000"/>
                <w:highlight w:val="none"/>
              </w:rPr>
              <w:t>投标文件响应参数</w:t>
            </w:r>
          </w:p>
        </w:tc>
        <w:tc>
          <w:tcPr>
            <w:tcW w:w="1750" w:type="dxa"/>
            <w:tcBorders>
              <w:top w:val="single" w:color="auto" w:sz="4" w:space="0"/>
              <w:left w:val="single" w:color="auto" w:sz="4" w:space="0"/>
              <w:bottom w:val="single" w:color="auto" w:sz="4" w:space="0"/>
              <w:right w:val="single" w:color="auto" w:sz="4" w:space="0"/>
            </w:tcBorders>
            <w:vAlign w:val="center"/>
          </w:tcPr>
          <w:p w14:paraId="4099E953">
            <w:pPr>
              <w:spacing w:line="360" w:lineRule="auto"/>
              <w:jc w:val="center"/>
              <w:rPr>
                <w:rFonts w:ascii="仿宋" w:hAnsi="仿宋" w:eastAsia="仿宋"/>
                <w:b/>
                <w:color w:val="000000"/>
                <w:highlight w:val="none"/>
              </w:rPr>
            </w:pPr>
            <w:r>
              <w:rPr>
                <w:rFonts w:hint="eastAsia" w:ascii="仿宋" w:hAnsi="仿宋" w:eastAsia="仿宋"/>
                <w:b/>
                <w:color w:val="000000"/>
                <w:highlight w:val="none"/>
              </w:rPr>
              <w:t>偏离概述</w:t>
            </w:r>
          </w:p>
        </w:tc>
        <w:tc>
          <w:tcPr>
            <w:tcW w:w="2038" w:type="dxa"/>
            <w:tcBorders>
              <w:top w:val="single" w:color="auto" w:sz="4" w:space="0"/>
              <w:left w:val="single" w:color="auto" w:sz="4" w:space="0"/>
              <w:bottom w:val="single" w:color="auto" w:sz="4" w:space="0"/>
              <w:right w:val="single" w:color="auto" w:sz="4" w:space="0"/>
            </w:tcBorders>
            <w:vAlign w:val="center"/>
          </w:tcPr>
          <w:p w14:paraId="03CCEA3E">
            <w:pPr>
              <w:spacing w:line="360" w:lineRule="auto"/>
              <w:jc w:val="center"/>
              <w:rPr>
                <w:rFonts w:ascii="仿宋" w:hAnsi="仿宋" w:eastAsia="仿宋"/>
                <w:b/>
                <w:color w:val="000000"/>
                <w:highlight w:val="none"/>
              </w:rPr>
            </w:pPr>
            <w:r>
              <w:rPr>
                <w:rFonts w:hint="eastAsia" w:ascii="仿宋" w:hAnsi="仿宋" w:eastAsia="仿宋"/>
                <w:b/>
                <w:color w:val="000000"/>
                <w:highlight w:val="none"/>
              </w:rPr>
              <w:t>技术支持资料索引（页码及条目号等）</w:t>
            </w:r>
          </w:p>
        </w:tc>
      </w:tr>
      <w:tr w14:paraId="1DC00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680" w:type="dxa"/>
            <w:tcBorders>
              <w:top w:val="single" w:color="auto" w:sz="4" w:space="0"/>
              <w:left w:val="single" w:color="auto" w:sz="4" w:space="0"/>
              <w:bottom w:val="single" w:color="auto" w:sz="4" w:space="0"/>
              <w:right w:val="single" w:color="auto" w:sz="4" w:space="0"/>
            </w:tcBorders>
            <w:vAlign w:val="center"/>
          </w:tcPr>
          <w:p w14:paraId="4FAEF5A9">
            <w:pPr>
              <w:spacing w:line="360" w:lineRule="auto"/>
              <w:jc w:val="center"/>
              <w:rPr>
                <w:rFonts w:ascii="仿宋" w:hAnsi="仿宋" w:eastAsia="仿宋"/>
                <w:color w:val="000000"/>
                <w:highlight w:val="none"/>
              </w:rPr>
            </w:pPr>
            <w:r>
              <w:rPr>
                <w:rFonts w:hint="eastAsia" w:ascii="仿宋" w:hAnsi="仿宋" w:eastAsia="仿宋"/>
                <w:color w:val="000000"/>
                <w:highlight w:val="none"/>
              </w:rPr>
              <w:t>1</w:t>
            </w:r>
          </w:p>
        </w:tc>
        <w:tc>
          <w:tcPr>
            <w:tcW w:w="2586" w:type="dxa"/>
            <w:tcBorders>
              <w:top w:val="single" w:color="auto" w:sz="4" w:space="0"/>
              <w:left w:val="single" w:color="auto" w:sz="4" w:space="0"/>
              <w:bottom w:val="single" w:color="auto" w:sz="4" w:space="0"/>
              <w:right w:val="single" w:color="auto" w:sz="4" w:space="0"/>
            </w:tcBorders>
            <w:vAlign w:val="center"/>
          </w:tcPr>
          <w:p w14:paraId="08F897E1">
            <w:pPr>
              <w:spacing w:line="360" w:lineRule="auto"/>
              <w:jc w:val="center"/>
              <w:rPr>
                <w:rFonts w:ascii="仿宋" w:hAnsi="仿宋" w:eastAsia="仿宋"/>
                <w:color w:val="000000"/>
                <w:highlight w:val="none"/>
              </w:rPr>
            </w:pPr>
          </w:p>
        </w:tc>
        <w:tc>
          <w:tcPr>
            <w:tcW w:w="2450" w:type="dxa"/>
            <w:tcBorders>
              <w:top w:val="single" w:color="auto" w:sz="4" w:space="0"/>
              <w:left w:val="single" w:color="auto" w:sz="4" w:space="0"/>
              <w:bottom w:val="single" w:color="auto" w:sz="4" w:space="0"/>
              <w:right w:val="single" w:color="auto" w:sz="4" w:space="0"/>
            </w:tcBorders>
            <w:vAlign w:val="center"/>
          </w:tcPr>
          <w:p w14:paraId="1D32CD73">
            <w:pPr>
              <w:spacing w:line="360" w:lineRule="auto"/>
              <w:jc w:val="center"/>
              <w:rPr>
                <w:rFonts w:ascii="仿宋" w:hAnsi="仿宋" w:eastAsia="仿宋"/>
                <w:color w:val="000000"/>
                <w:highlight w:val="none"/>
              </w:rPr>
            </w:pPr>
          </w:p>
        </w:tc>
        <w:tc>
          <w:tcPr>
            <w:tcW w:w="1750" w:type="dxa"/>
            <w:tcBorders>
              <w:top w:val="single" w:color="auto" w:sz="4" w:space="0"/>
              <w:left w:val="single" w:color="auto" w:sz="4" w:space="0"/>
              <w:bottom w:val="single" w:color="auto" w:sz="4" w:space="0"/>
              <w:right w:val="single" w:color="auto" w:sz="4" w:space="0"/>
            </w:tcBorders>
          </w:tcPr>
          <w:p w14:paraId="337FE718">
            <w:pPr>
              <w:spacing w:line="360" w:lineRule="auto"/>
              <w:jc w:val="center"/>
              <w:rPr>
                <w:rFonts w:ascii="仿宋" w:hAnsi="仿宋" w:eastAsia="仿宋"/>
                <w:color w:val="000000"/>
                <w:highlight w:val="none"/>
              </w:rPr>
            </w:pPr>
          </w:p>
        </w:tc>
        <w:tc>
          <w:tcPr>
            <w:tcW w:w="2038" w:type="dxa"/>
            <w:tcBorders>
              <w:top w:val="single" w:color="auto" w:sz="4" w:space="0"/>
              <w:left w:val="single" w:color="auto" w:sz="4" w:space="0"/>
              <w:bottom w:val="single" w:color="auto" w:sz="4" w:space="0"/>
              <w:right w:val="single" w:color="auto" w:sz="4" w:space="0"/>
            </w:tcBorders>
          </w:tcPr>
          <w:p w14:paraId="093519F3">
            <w:pPr>
              <w:spacing w:line="360" w:lineRule="auto"/>
              <w:jc w:val="center"/>
              <w:rPr>
                <w:rFonts w:ascii="仿宋" w:hAnsi="仿宋" w:eastAsia="仿宋"/>
                <w:color w:val="000000"/>
                <w:highlight w:val="none"/>
              </w:rPr>
            </w:pPr>
          </w:p>
        </w:tc>
      </w:tr>
      <w:tr w14:paraId="19509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680" w:type="dxa"/>
            <w:tcBorders>
              <w:top w:val="single" w:color="auto" w:sz="4" w:space="0"/>
              <w:left w:val="single" w:color="auto" w:sz="4" w:space="0"/>
              <w:bottom w:val="single" w:color="auto" w:sz="4" w:space="0"/>
              <w:right w:val="single" w:color="auto" w:sz="4" w:space="0"/>
            </w:tcBorders>
            <w:vAlign w:val="center"/>
          </w:tcPr>
          <w:p w14:paraId="7E5971D6">
            <w:pPr>
              <w:spacing w:line="360" w:lineRule="auto"/>
              <w:jc w:val="center"/>
              <w:rPr>
                <w:rFonts w:ascii="仿宋" w:hAnsi="仿宋" w:eastAsia="仿宋"/>
                <w:color w:val="000000"/>
                <w:highlight w:val="none"/>
              </w:rPr>
            </w:pPr>
            <w:r>
              <w:rPr>
                <w:rFonts w:hint="eastAsia" w:ascii="仿宋" w:hAnsi="仿宋" w:eastAsia="仿宋"/>
                <w:color w:val="000000"/>
                <w:highlight w:val="none"/>
              </w:rPr>
              <w:t>2</w:t>
            </w:r>
          </w:p>
        </w:tc>
        <w:tc>
          <w:tcPr>
            <w:tcW w:w="2586" w:type="dxa"/>
            <w:tcBorders>
              <w:top w:val="single" w:color="auto" w:sz="4" w:space="0"/>
              <w:left w:val="single" w:color="auto" w:sz="4" w:space="0"/>
              <w:bottom w:val="single" w:color="auto" w:sz="4" w:space="0"/>
              <w:right w:val="single" w:color="auto" w:sz="4" w:space="0"/>
            </w:tcBorders>
            <w:vAlign w:val="center"/>
          </w:tcPr>
          <w:p w14:paraId="3ABA42CB">
            <w:pPr>
              <w:spacing w:line="360" w:lineRule="auto"/>
              <w:jc w:val="center"/>
              <w:rPr>
                <w:rFonts w:ascii="仿宋" w:hAnsi="仿宋" w:eastAsia="仿宋"/>
                <w:color w:val="000000"/>
                <w:highlight w:val="none"/>
              </w:rPr>
            </w:pPr>
          </w:p>
        </w:tc>
        <w:tc>
          <w:tcPr>
            <w:tcW w:w="2450" w:type="dxa"/>
            <w:tcBorders>
              <w:top w:val="single" w:color="auto" w:sz="4" w:space="0"/>
              <w:left w:val="single" w:color="auto" w:sz="4" w:space="0"/>
              <w:bottom w:val="single" w:color="auto" w:sz="4" w:space="0"/>
              <w:right w:val="single" w:color="auto" w:sz="4" w:space="0"/>
            </w:tcBorders>
            <w:vAlign w:val="center"/>
          </w:tcPr>
          <w:p w14:paraId="1DB13E13">
            <w:pPr>
              <w:spacing w:line="360" w:lineRule="auto"/>
              <w:jc w:val="center"/>
              <w:rPr>
                <w:rFonts w:ascii="仿宋" w:hAnsi="仿宋" w:eastAsia="仿宋"/>
                <w:color w:val="000000"/>
                <w:highlight w:val="none"/>
              </w:rPr>
            </w:pPr>
          </w:p>
        </w:tc>
        <w:tc>
          <w:tcPr>
            <w:tcW w:w="1750" w:type="dxa"/>
            <w:tcBorders>
              <w:top w:val="single" w:color="auto" w:sz="4" w:space="0"/>
              <w:left w:val="single" w:color="auto" w:sz="4" w:space="0"/>
              <w:bottom w:val="single" w:color="auto" w:sz="4" w:space="0"/>
              <w:right w:val="single" w:color="auto" w:sz="4" w:space="0"/>
            </w:tcBorders>
          </w:tcPr>
          <w:p w14:paraId="27AAF8B1">
            <w:pPr>
              <w:spacing w:line="360" w:lineRule="auto"/>
              <w:jc w:val="center"/>
              <w:rPr>
                <w:rFonts w:ascii="仿宋" w:hAnsi="仿宋" w:eastAsia="仿宋"/>
                <w:color w:val="000000"/>
                <w:highlight w:val="none"/>
              </w:rPr>
            </w:pPr>
          </w:p>
        </w:tc>
        <w:tc>
          <w:tcPr>
            <w:tcW w:w="2038" w:type="dxa"/>
            <w:tcBorders>
              <w:top w:val="single" w:color="auto" w:sz="4" w:space="0"/>
              <w:left w:val="single" w:color="auto" w:sz="4" w:space="0"/>
              <w:bottom w:val="single" w:color="auto" w:sz="4" w:space="0"/>
              <w:right w:val="single" w:color="auto" w:sz="4" w:space="0"/>
            </w:tcBorders>
          </w:tcPr>
          <w:p w14:paraId="42A9B8EB">
            <w:pPr>
              <w:spacing w:line="360" w:lineRule="auto"/>
              <w:jc w:val="center"/>
              <w:rPr>
                <w:rFonts w:ascii="仿宋" w:hAnsi="仿宋" w:eastAsia="仿宋"/>
                <w:color w:val="000000"/>
                <w:highlight w:val="none"/>
              </w:rPr>
            </w:pPr>
          </w:p>
        </w:tc>
      </w:tr>
      <w:tr w14:paraId="78A18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680" w:type="dxa"/>
            <w:tcBorders>
              <w:top w:val="single" w:color="auto" w:sz="4" w:space="0"/>
              <w:left w:val="single" w:color="auto" w:sz="4" w:space="0"/>
              <w:bottom w:val="single" w:color="auto" w:sz="4" w:space="0"/>
              <w:right w:val="single" w:color="auto" w:sz="4" w:space="0"/>
            </w:tcBorders>
            <w:vAlign w:val="center"/>
          </w:tcPr>
          <w:p w14:paraId="13DC6F90">
            <w:pPr>
              <w:spacing w:line="360" w:lineRule="auto"/>
              <w:jc w:val="center"/>
              <w:rPr>
                <w:rFonts w:ascii="仿宋" w:hAnsi="仿宋" w:eastAsia="仿宋"/>
                <w:color w:val="000000"/>
                <w:highlight w:val="none"/>
              </w:rPr>
            </w:pPr>
            <w:r>
              <w:rPr>
                <w:rFonts w:hint="eastAsia" w:ascii="仿宋" w:hAnsi="仿宋" w:eastAsia="仿宋"/>
                <w:color w:val="000000"/>
                <w:highlight w:val="none"/>
              </w:rPr>
              <w:t>3</w:t>
            </w:r>
          </w:p>
        </w:tc>
        <w:tc>
          <w:tcPr>
            <w:tcW w:w="2586" w:type="dxa"/>
            <w:tcBorders>
              <w:top w:val="single" w:color="auto" w:sz="4" w:space="0"/>
              <w:left w:val="single" w:color="auto" w:sz="4" w:space="0"/>
              <w:bottom w:val="single" w:color="auto" w:sz="4" w:space="0"/>
              <w:right w:val="single" w:color="auto" w:sz="4" w:space="0"/>
            </w:tcBorders>
            <w:vAlign w:val="center"/>
          </w:tcPr>
          <w:p w14:paraId="7EB16EFA">
            <w:pPr>
              <w:spacing w:line="360" w:lineRule="auto"/>
              <w:jc w:val="center"/>
              <w:rPr>
                <w:rFonts w:ascii="仿宋" w:hAnsi="仿宋" w:eastAsia="仿宋"/>
                <w:color w:val="000000"/>
                <w:highlight w:val="none"/>
              </w:rPr>
            </w:pPr>
          </w:p>
        </w:tc>
        <w:tc>
          <w:tcPr>
            <w:tcW w:w="2450" w:type="dxa"/>
            <w:tcBorders>
              <w:top w:val="single" w:color="auto" w:sz="4" w:space="0"/>
              <w:left w:val="single" w:color="auto" w:sz="4" w:space="0"/>
              <w:bottom w:val="single" w:color="auto" w:sz="4" w:space="0"/>
              <w:right w:val="single" w:color="auto" w:sz="4" w:space="0"/>
            </w:tcBorders>
            <w:vAlign w:val="center"/>
          </w:tcPr>
          <w:p w14:paraId="01DF4EDF">
            <w:pPr>
              <w:spacing w:line="360" w:lineRule="auto"/>
              <w:jc w:val="center"/>
              <w:rPr>
                <w:rFonts w:ascii="仿宋" w:hAnsi="仿宋" w:eastAsia="仿宋"/>
                <w:color w:val="000000"/>
                <w:highlight w:val="none"/>
              </w:rPr>
            </w:pPr>
          </w:p>
        </w:tc>
        <w:tc>
          <w:tcPr>
            <w:tcW w:w="1750" w:type="dxa"/>
            <w:tcBorders>
              <w:top w:val="single" w:color="auto" w:sz="4" w:space="0"/>
              <w:left w:val="single" w:color="auto" w:sz="4" w:space="0"/>
              <w:bottom w:val="single" w:color="auto" w:sz="4" w:space="0"/>
              <w:right w:val="single" w:color="auto" w:sz="4" w:space="0"/>
            </w:tcBorders>
          </w:tcPr>
          <w:p w14:paraId="0F044672">
            <w:pPr>
              <w:spacing w:line="360" w:lineRule="auto"/>
              <w:jc w:val="center"/>
              <w:rPr>
                <w:rFonts w:ascii="仿宋" w:hAnsi="仿宋" w:eastAsia="仿宋"/>
                <w:color w:val="000000"/>
                <w:highlight w:val="none"/>
              </w:rPr>
            </w:pPr>
          </w:p>
        </w:tc>
        <w:tc>
          <w:tcPr>
            <w:tcW w:w="2038" w:type="dxa"/>
            <w:tcBorders>
              <w:top w:val="single" w:color="auto" w:sz="4" w:space="0"/>
              <w:left w:val="single" w:color="auto" w:sz="4" w:space="0"/>
              <w:bottom w:val="single" w:color="auto" w:sz="4" w:space="0"/>
              <w:right w:val="single" w:color="auto" w:sz="4" w:space="0"/>
            </w:tcBorders>
          </w:tcPr>
          <w:p w14:paraId="62E17B0D">
            <w:pPr>
              <w:spacing w:line="360" w:lineRule="auto"/>
              <w:jc w:val="center"/>
              <w:rPr>
                <w:rFonts w:ascii="仿宋" w:hAnsi="仿宋" w:eastAsia="仿宋"/>
                <w:color w:val="000000"/>
                <w:highlight w:val="none"/>
              </w:rPr>
            </w:pPr>
          </w:p>
        </w:tc>
      </w:tr>
      <w:tr w14:paraId="791FF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680" w:type="dxa"/>
            <w:tcBorders>
              <w:top w:val="single" w:color="auto" w:sz="4" w:space="0"/>
              <w:left w:val="single" w:color="auto" w:sz="4" w:space="0"/>
              <w:bottom w:val="single" w:color="auto" w:sz="4" w:space="0"/>
              <w:right w:val="single" w:color="auto" w:sz="4" w:space="0"/>
            </w:tcBorders>
            <w:vAlign w:val="center"/>
          </w:tcPr>
          <w:p w14:paraId="07A8911C">
            <w:pPr>
              <w:spacing w:line="360" w:lineRule="auto"/>
              <w:jc w:val="center"/>
              <w:rPr>
                <w:rFonts w:ascii="仿宋" w:hAnsi="仿宋" w:eastAsia="仿宋"/>
                <w:color w:val="000000"/>
                <w:highlight w:val="none"/>
              </w:rPr>
            </w:pPr>
            <w:r>
              <w:rPr>
                <w:rFonts w:hint="eastAsia" w:ascii="仿宋" w:hAnsi="仿宋" w:eastAsia="仿宋"/>
                <w:color w:val="000000"/>
                <w:highlight w:val="none"/>
              </w:rPr>
              <w:t>...</w:t>
            </w:r>
          </w:p>
        </w:tc>
        <w:tc>
          <w:tcPr>
            <w:tcW w:w="2586" w:type="dxa"/>
            <w:tcBorders>
              <w:top w:val="single" w:color="auto" w:sz="4" w:space="0"/>
              <w:left w:val="single" w:color="auto" w:sz="4" w:space="0"/>
              <w:bottom w:val="single" w:color="auto" w:sz="4" w:space="0"/>
              <w:right w:val="single" w:color="auto" w:sz="4" w:space="0"/>
            </w:tcBorders>
            <w:vAlign w:val="center"/>
          </w:tcPr>
          <w:p w14:paraId="01A9D918">
            <w:pPr>
              <w:spacing w:line="360" w:lineRule="auto"/>
              <w:jc w:val="center"/>
              <w:rPr>
                <w:rFonts w:ascii="仿宋" w:hAnsi="仿宋" w:eastAsia="仿宋"/>
                <w:color w:val="000000"/>
                <w:highlight w:val="none"/>
              </w:rPr>
            </w:pPr>
          </w:p>
        </w:tc>
        <w:tc>
          <w:tcPr>
            <w:tcW w:w="2450" w:type="dxa"/>
            <w:tcBorders>
              <w:top w:val="single" w:color="auto" w:sz="4" w:space="0"/>
              <w:left w:val="single" w:color="auto" w:sz="4" w:space="0"/>
              <w:bottom w:val="single" w:color="auto" w:sz="4" w:space="0"/>
              <w:right w:val="single" w:color="auto" w:sz="4" w:space="0"/>
            </w:tcBorders>
            <w:vAlign w:val="center"/>
          </w:tcPr>
          <w:p w14:paraId="476B427A">
            <w:pPr>
              <w:spacing w:line="360" w:lineRule="auto"/>
              <w:jc w:val="center"/>
              <w:rPr>
                <w:rFonts w:ascii="仿宋" w:hAnsi="仿宋" w:eastAsia="仿宋"/>
                <w:color w:val="000000"/>
                <w:highlight w:val="none"/>
              </w:rPr>
            </w:pPr>
          </w:p>
        </w:tc>
        <w:tc>
          <w:tcPr>
            <w:tcW w:w="1750" w:type="dxa"/>
            <w:tcBorders>
              <w:top w:val="single" w:color="auto" w:sz="4" w:space="0"/>
              <w:left w:val="single" w:color="auto" w:sz="4" w:space="0"/>
              <w:bottom w:val="single" w:color="auto" w:sz="4" w:space="0"/>
              <w:right w:val="single" w:color="auto" w:sz="4" w:space="0"/>
            </w:tcBorders>
          </w:tcPr>
          <w:p w14:paraId="505A9DE6">
            <w:pPr>
              <w:spacing w:line="360" w:lineRule="auto"/>
              <w:jc w:val="center"/>
              <w:rPr>
                <w:rFonts w:ascii="仿宋" w:hAnsi="仿宋" w:eastAsia="仿宋"/>
                <w:color w:val="000000"/>
                <w:highlight w:val="none"/>
              </w:rPr>
            </w:pPr>
          </w:p>
        </w:tc>
        <w:tc>
          <w:tcPr>
            <w:tcW w:w="2038" w:type="dxa"/>
            <w:tcBorders>
              <w:top w:val="single" w:color="auto" w:sz="4" w:space="0"/>
              <w:left w:val="single" w:color="auto" w:sz="4" w:space="0"/>
              <w:bottom w:val="single" w:color="auto" w:sz="4" w:space="0"/>
              <w:right w:val="single" w:color="auto" w:sz="4" w:space="0"/>
            </w:tcBorders>
          </w:tcPr>
          <w:p w14:paraId="618F6629">
            <w:pPr>
              <w:spacing w:line="360" w:lineRule="auto"/>
              <w:jc w:val="center"/>
              <w:rPr>
                <w:rFonts w:ascii="仿宋" w:hAnsi="仿宋" w:eastAsia="仿宋"/>
                <w:color w:val="000000"/>
                <w:highlight w:val="none"/>
              </w:rPr>
            </w:pPr>
          </w:p>
        </w:tc>
      </w:tr>
    </w:tbl>
    <w:p w14:paraId="44DDE84E">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1、上表中“偏离”一列，投标人须如实填写“正偏离”、“负偏离”或“无偏离”。凡投标内容高于招标文件要求的，按“正偏离”填写；低于招标文件要求的，按“负偏离”填写；满足招标文件要求的，按“无偏离”填写。</w:t>
      </w:r>
    </w:p>
    <w:p w14:paraId="016A31F2">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2、上表“序号”一列，应对在</w:t>
      </w:r>
      <w:r>
        <w:rPr>
          <w:rFonts w:hint="eastAsia" w:ascii="仿宋" w:hAnsi="仿宋" w:eastAsia="仿宋" w:cs="仿宋"/>
          <w:color w:val="000000" w:themeColor="text1"/>
          <w:sz w:val="24"/>
          <w:szCs w:val="24"/>
          <w:highlight w:val="none"/>
        </w:rPr>
        <w:t>第三章“采购需求”的（五）服务标准及要求</w:t>
      </w:r>
      <w:r>
        <w:rPr>
          <w:rFonts w:hint="eastAsia" w:ascii="仿宋" w:hAnsi="仿宋" w:eastAsia="仿宋"/>
          <w:color w:val="000000"/>
          <w:sz w:val="24"/>
          <w:szCs w:val="24"/>
          <w:highlight w:val="none"/>
        </w:rPr>
        <w:t>的序号。</w:t>
      </w:r>
    </w:p>
    <w:p w14:paraId="02C0BFFE">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3、各投标人必须对招标文件</w:t>
      </w:r>
      <w:r>
        <w:rPr>
          <w:rFonts w:hint="eastAsia" w:ascii="仿宋" w:hAnsi="仿宋" w:eastAsia="仿宋" w:cs="仿宋"/>
          <w:color w:val="000000" w:themeColor="text1"/>
          <w:sz w:val="24"/>
          <w:szCs w:val="24"/>
          <w:highlight w:val="none"/>
        </w:rPr>
        <w:t>第三章“采购需求”的（五）服务标准及要求</w:t>
      </w:r>
      <w:r>
        <w:rPr>
          <w:rFonts w:hint="eastAsia" w:ascii="仿宋" w:hAnsi="仿宋" w:eastAsia="仿宋"/>
          <w:color w:val="000000"/>
          <w:sz w:val="24"/>
          <w:szCs w:val="24"/>
          <w:highlight w:val="none"/>
        </w:rPr>
        <w:t>，逐条作出全面、真实的反映。</w:t>
      </w:r>
    </w:p>
    <w:p w14:paraId="44375E62">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4.投标人应将支持该项技术要求响应的技术支持资料在投标文件中的索引（页码或条目号等）标注在“技术支持资料索引”一栏中。</w:t>
      </w:r>
    </w:p>
    <w:p w14:paraId="634D9237">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7DED7C3B">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w:t>
      </w:r>
    </w:p>
    <w:p w14:paraId="2009E847">
      <w:pPr>
        <w:autoSpaceD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投标人全称（加盖电子公章）：</w:t>
      </w:r>
      <w:r>
        <w:rPr>
          <w:rFonts w:hint="eastAsia" w:ascii="仿宋" w:hAnsi="仿宋" w:eastAsia="仿宋"/>
          <w:color w:val="000000"/>
          <w:sz w:val="24"/>
          <w:szCs w:val="24"/>
          <w:highlight w:val="none"/>
          <w:u w:val="single"/>
        </w:rPr>
        <w:t xml:space="preserve">                   </w:t>
      </w:r>
    </w:p>
    <w:p w14:paraId="7E4BDD2A">
      <w:pPr>
        <w:autoSpaceDE w:val="0"/>
        <w:adjustRightInd w:val="0"/>
        <w:snapToGrid w:val="0"/>
        <w:spacing w:line="360" w:lineRule="auto"/>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法定代表人或其委托代理人（</w:t>
      </w:r>
      <w:r>
        <w:rPr>
          <w:rFonts w:hint="eastAsia" w:ascii="仿宋" w:hAnsi="仿宋" w:eastAsia="仿宋"/>
          <w:caps/>
          <w:color w:val="000000"/>
          <w:sz w:val="24"/>
          <w:szCs w:val="24"/>
          <w:highlight w:val="none"/>
        </w:rPr>
        <w:t>电子签章</w:t>
      </w:r>
      <w:r>
        <w:rPr>
          <w:rFonts w:hint="eastAsia" w:ascii="仿宋" w:hAnsi="仿宋" w:eastAsia="仿宋"/>
          <w:color w:val="000000"/>
          <w:sz w:val="24"/>
          <w:szCs w:val="24"/>
          <w:highlight w:val="none"/>
        </w:rPr>
        <w:t>）：</w:t>
      </w:r>
      <w:r>
        <w:rPr>
          <w:rFonts w:hint="eastAsia" w:ascii="仿宋" w:hAnsi="仿宋" w:eastAsia="仿宋"/>
          <w:color w:val="000000"/>
          <w:sz w:val="24"/>
          <w:szCs w:val="24"/>
          <w:highlight w:val="none"/>
          <w:u w:val="single"/>
        </w:rPr>
        <w:t xml:space="preserve">              </w:t>
      </w:r>
    </w:p>
    <w:p w14:paraId="57D451AE">
      <w:pPr>
        <w:autoSpaceDE w:val="0"/>
        <w:spacing w:line="360" w:lineRule="auto"/>
        <w:jc w:val="left"/>
        <w:rPr>
          <w:rFonts w:ascii="仿宋" w:hAnsi="仿宋" w:eastAsia="仿宋"/>
          <w:b/>
          <w:bCs/>
          <w:color w:val="000000"/>
          <w:sz w:val="28"/>
          <w:szCs w:val="28"/>
          <w:highlight w:val="none"/>
        </w:rPr>
      </w:pPr>
      <w:r>
        <w:rPr>
          <w:rFonts w:hint="eastAsia" w:ascii="仿宋" w:hAnsi="仿宋" w:eastAsia="仿宋"/>
          <w:color w:val="000000"/>
          <w:sz w:val="24"/>
          <w:szCs w:val="24"/>
          <w:highlight w:val="none"/>
        </w:rPr>
        <w:t>日期：</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年</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月</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日</w:t>
      </w:r>
    </w:p>
    <w:p w14:paraId="30D7C85D">
      <w:pPr>
        <w:rPr>
          <w:rFonts w:ascii="仿宋" w:hAnsi="仿宋" w:eastAsia="仿宋"/>
          <w:b/>
          <w:bCs/>
          <w:color w:val="000000"/>
          <w:kern w:val="0"/>
          <w:sz w:val="28"/>
          <w:szCs w:val="28"/>
          <w:highlight w:val="none"/>
        </w:rPr>
      </w:pPr>
      <w:r>
        <w:rPr>
          <w:rFonts w:hint="eastAsia" w:ascii="仿宋" w:hAnsi="仿宋" w:eastAsia="仿宋"/>
          <w:b/>
          <w:bCs/>
          <w:color w:val="000000"/>
          <w:kern w:val="0"/>
          <w:sz w:val="28"/>
          <w:szCs w:val="28"/>
          <w:highlight w:val="none"/>
        </w:rPr>
        <w:t xml:space="preserve"> </w:t>
      </w:r>
    </w:p>
    <w:p w14:paraId="2E9D58AC">
      <w:pPr>
        <w:rPr>
          <w:rFonts w:ascii="仿宋" w:hAnsi="仿宋" w:eastAsia="仿宋"/>
          <w:b/>
          <w:bCs/>
          <w:color w:val="000000"/>
          <w:kern w:val="0"/>
          <w:sz w:val="28"/>
          <w:szCs w:val="28"/>
          <w:highlight w:val="none"/>
        </w:rPr>
      </w:pPr>
    </w:p>
    <w:p w14:paraId="7FE86DC2">
      <w:pPr>
        <w:rPr>
          <w:rFonts w:ascii="仿宋" w:hAnsi="仿宋" w:eastAsia="仿宋"/>
          <w:b/>
          <w:bCs/>
          <w:color w:val="000000"/>
          <w:kern w:val="0"/>
          <w:sz w:val="28"/>
          <w:szCs w:val="28"/>
          <w:highlight w:val="none"/>
        </w:rPr>
      </w:pPr>
    </w:p>
    <w:p w14:paraId="7CD3AE98">
      <w:pPr>
        <w:rPr>
          <w:rFonts w:ascii="仿宋" w:hAnsi="仿宋" w:eastAsia="仿宋"/>
          <w:b/>
          <w:bCs/>
          <w:color w:val="000000"/>
          <w:kern w:val="0"/>
          <w:sz w:val="28"/>
          <w:szCs w:val="28"/>
          <w:highlight w:val="none"/>
        </w:rPr>
      </w:pPr>
    </w:p>
    <w:p w14:paraId="582CFDF6">
      <w:pPr>
        <w:rPr>
          <w:rFonts w:ascii="仿宋" w:hAnsi="仿宋" w:eastAsia="仿宋"/>
          <w:b/>
          <w:bCs/>
          <w:color w:val="000000"/>
          <w:kern w:val="0"/>
          <w:sz w:val="28"/>
          <w:szCs w:val="28"/>
          <w:highlight w:val="none"/>
        </w:rPr>
      </w:pPr>
    </w:p>
    <w:p w14:paraId="4CFE3F7D">
      <w:pPr>
        <w:rPr>
          <w:rFonts w:ascii="仿宋" w:hAnsi="仿宋" w:eastAsia="仿宋"/>
          <w:b/>
          <w:bCs/>
          <w:color w:val="000000"/>
          <w:kern w:val="0"/>
          <w:sz w:val="28"/>
          <w:szCs w:val="28"/>
          <w:highlight w:val="none"/>
        </w:rPr>
      </w:pPr>
      <w:r>
        <w:rPr>
          <w:rFonts w:hint="eastAsia" w:ascii="仿宋" w:hAnsi="仿宋" w:eastAsia="仿宋"/>
          <w:b/>
          <w:bCs/>
          <w:color w:val="000000"/>
          <w:kern w:val="0"/>
          <w:sz w:val="28"/>
          <w:szCs w:val="28"/>
          <w:highlight w:val="none"/>
        </w:rPr>
        <w:t xml:space="preserve"> </w:t>
      </w:r>
    </w:p>
    <w:p w14:paraId="0DF9CF3E">
      <w:pPr>
        <w:rPr>
          <w:rFonts w:ascii="仿宋" w:hAnsi="仿宋" w:eastAsia="仿宋"/>
          <w:b/>
          <w:bCs/>
          <w:color w:val="000000"/>
          <w:kern w:val="0"/>
          <w:sz w:val="28"/>
          <w:szCs w:val="28"/>
          <w:highlight w:val="none"/>
        </w:rPr>
      </w:pPr>
    </w:p>
    <w:p w14:paraId="107B6C05">
      <w:pPr>
        <w:rPr>
          <w:rFonts w:ascii="仿宋" w:hAnsi="仿宋" w:eastAsia="仿宋"/>
          <w:b/>
          <w:bCs/>
          <w:color w:val="000000"/>
          <w:kern w:val="0"/>
          <w:sz w:val="28"/>
          <w:szCs w:val="28"/>
          <w:highlight w:val="none"/>
        </w:rPr>
      </w:pPr>
    </w:p>
    <w:p w14:paraId="3DD2EB45">
      <w:pPr>
        <w:rPr>
          <w:rFonts w:ascii="仿宋" w:hAnsi="仿宋" w:eastAsia="仿宋"/>
          <w:bCs/>
          <w:color w:val="000000"/>
          <w:highlight w:val="none"/>
        </w:rPr>
      </w:pPr>
      <w:r>
        <w:rPr>
          <w:rFonts w:hint="eastAsia" w:ascii="仿宋" w:hAnsi="仿宋" w:eastAsia="仿宋"/>
          <w:bCs/>
          <w:color w:val="000000"/>
          <w:highlight w:val="none"/>
        </w:rPr>
        <w:br w:type="page"/>
      </w:r>
    </w:p>
    <w:p w14:paraId="7EAA5391">
      <w:pPr>
        <w:spacing w:line="360" w:lineRule="auto"/>
        <w:jc w:val="cente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七、总体服务方案</w:t>
      </w:r>
    </w:p>
    <w:p w14:paraId="731C0D63">
      <w:pPr>
        <w:pStyle w:val="3"/>
        <w:keepLines w:val="0"/>
        <w:autoSpaceDE w:val="0"/>
        <w:spacing w:before="0" w:after="0" w:line="360" w:lineRule="auto"/>
        <w:ind w:left="1021" w:hanging="596"/>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（格式自拟）</w:t>
      </w:r>
    </w:p>
    <w:p w14:paraId="076A22CD">
      <w:pPr>
        <w:spacing w:line="360" w:lineRule="auto"/>
        <w:jc w:val="center"/>
        <w:rPr>
          <w:rFonts w:ascii="仿宋" w:hAnsi="仿宋" w:eastAsia="仿宋"/>
          <w:b/>
          <w:bCs/>
          <w:color w:val="000000"/>
          <w:sz w:val="32"/>
          <w:szCs w:val="32"/>
          <w:highlight w:val="none"/>
        </w:rPr>
      </w:pPr>
    </w:p>
    <w:p w14:paraId="6AE42821">
      <w:pPr>
        <w:spacing w:line="360" w:lineRule="auto"/>
        <w:jc w:val="cente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八、服务团队评审</w:t>
      </w:r>
    </w:p>
    <w:p w14:paraId="19141544">
      <w:pPr>
        <w:pStyle w:val="3"/>
        <w:keepLines w:val="0"/>
        <w:autoSpaceDE w:val="0"/>
        <w:spacing w:before="0" w:after="0" w:line="360" w:lineRule="auto"/>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（格式自拟）</w:t>
      </w:r>
    </w:p>
    <w:p w14:paraId="6844F69E">
      <w:pPr>
        <w:rPr>
          <w:rFonts w:ascii="仿宋" w:hAnsi="仿宋" w:eastAsia="仿宋" w:cs="仿宋"/>
          <w:b/>
          <w:sz w:val="24"/>
          <w:szCs w:val="24"/>
          <w:highlight w:val="none"/>
        </w:rPr>
      </w:pPr>
    </w:p>
    <w:p w14:paraId="0B00FA60">
      <w:pPr>
        <w:rPr>
          <w:rFonts w:ascii="仿宋" w:hAnsi="仿宋" w:eastAsia="仿宋" w:cs="仿宋"/>
          <w:b/>
          <w:sz w:val="24"/>
          <w:szCs w:val="24"/>
          <w:highlight w:val="none"/>
        </w:rPr>
      </w:pPr>
      <w:r>
        <w:rPr>
          <w:rFonts w:hint="eastAsia" w:ascii="仿宋" w:hAnsi="仿宋" w:eastAsia="仿宋" w:cs="仿宋"/>
          <w:b/>
          <w:sz w:val="24"/>
          <w:szCs w:val="24"/>
          <w:highlight w:val="none"/>
        </w:rPr>
        <w:br w:type="page"/>
      </w:r>
    </w:p>
    <w:p w14:paraId="41CA50F4">
      <w:pPr>
        <w:rPr>
          <w:rFonts w:ascii="仿宋" w:hAnsi="仿宋" w:eastAsia="仿宋" w:cs="仿宋"/>
          <w:b/>
          <w:sz w:val="24"/>
          <w:szCs w:val="24"/>
          <w:highlight w:val="none"/>
        </w:rPr>
      </w:pPr>
      <w:r>
        <w:rPr>
          <w:rFonts w:hint="eastAsia" w:ascii="仿宋" w:hAnsi="仿宋" w:eastAsia="仿宋" w:cs="仿宋"/>
          <w:b/>
          <w:sz w:val="24"/>
          <w:szCs w:val="24"/>
          <w:highlight w:val="none"/>
        </w:rPr>
        <w:t>附件：</w:t>
      </w:r>
    </w:p>
    <w:p w14:paraId="19B3F576">
      <w:pPr>
        <w:spacing w:line="360" w:lineRule="auto"/>
        <w:jc w:val="center"/>
        <w:rPr>
          <w:rFonts w:ascii="仿宋" w:hAnsi="仿宋" w:eastAsia="仿宋" w:cs="仿宋"/>
          <w:b/>
          <w:sz w:val="28"/>
          <w:szCs w:val="28"/>
          <w:highlight w:val="none"/>
        </w:rPr>
      </w:pPr>
      <w:r>
        <w:rPr>
          <w:rFonts w:hint="eastAsia" w:ascii="仿宋" w:hAnsi="仿宋" w:eastAsia="仿宋" w:cs="仿宋"/>
          <w:b/>
          <w:sz w:val="28"/>
          <w:szCs w:val="28"/>
          <w:highlight w:val="none"/>
        </w:rPr>
        <w:t>1.项目负责人简历表</w:t>
      </w:r>
    </w:p>
    <w:tbl>
      <w:tblPr>
        <w:tblStyle w:val="19"/>
        <w:tblW w:w="9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1148"/>
        <w:gridCol w:w="1389"/>
        <w:gridCol w:w="1077"/>
        <w:gridCol w:w="1041"/>
        <w:gridCol w:w="1221"/>
        <w:gridCol w:w="1261"/>
        <w:gridCol w:w="996"/>
      </w:tblGrid>
      <w:tr w14:paraId="37D39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1216" w:type="dxa"/>
            <w:vAlign w:val="center"/>
          </w:tcPr>
          <w:p w14:paraId="11CCD24A">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姓名</w:t>
            </w:r>
          </w:p>
        </w:tc>
        <w:tc>
          <w:tcPr>
            <w:tcW w:w="1148" w:type="dxa"/>
            <w:vAlign w:val="center"/>
          </w:tcPr>
          <w:p w14:paraId="18414295">
            <w:pPr>
              <w:spacing w:line="360" w:lineRule="auto"/>
              <w:jc w:val="center"/>
              <w:rPr>
                <w:rFonts w:ascii="仿宋" w:hAnsi="仿宋" w:eastAsia="仿宋" w:cs="仿宋"/>
                <w:sz w:val="24"/>
                <w:szCs w:val="24"/>
                <w:highlight w:val="none"/>
              </w:rPr>
            </w:pPr>
          </w:p>
        </w:tc>
        <w:tc>
          <w:tcPr>
            <w:tcW w:w="1389" w:type="dxa"/>
            <w:vAlign w:val="center"/>
          </w:tcPr>
          <w:p w14:paraId="7AD5F8F1">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性别、年龄</w:t>
            </w:r>
          </w:p>
        </w:tc>
        <w:tc>
          <w:tcPr>
            <w:tcW w:w="1077" w:type="dxa"/>
            <w:vAlign w:val="center"/>
          </w:tcPr>
          <w:p w14:paraId="2E3EB129">
            <w:pPr>
              <w:spacing w:line="360" w:lineRule="auto"/>
              <w:jc w:val="center"/>
              <w:rPr>
                <w:rFonts w:ascii="仿宋" w:hAnsi="仿宋" w:eastAsia="仿宋" w:cs="仿宋"/>
                <w:sz w:val="24"/>
                <w:szCs w:val="24"/>
                <w:highlight w:val="none"/>
              </w:rPr>
            </w:pPr>
          </w:p>
        </w:tc>
        <w:tc>
          <w:tcPr>
            <w:tcW w:w="1041" w:type="dxa"/>
            <w:vAlign w:val="center"/>
          </w:tcPr>
          <w:p w14:paraId="5ED87BDD">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学历</w:t>
            </w:r>
          </w:p>
        </w:tc>
        <w:tc>
          <w:tcPr>
            <w:tcW w:w="1221" w:type="dxa"/>
            <w:vAlign w:val="center"/>
          </w:tcPr>
          <w:p w14:paraId="6F77882A">
            <w:pPr>
              <w:spacing w:line="360" w:lineRule="auto"/>
              <w:jc w:val="center"/>
              <w:rPr>
                <w:rFonts w:ascii="仿宋" w:hAnsi="仿宋" w:eastAsia="仿宋" w:cs="仿宋"/>
                <w:sz w:val="24"/>
                <w:szCs w:val="24"/>
                <w:highlight w:val="none"/>
              </w:rPr>
            </w:pPr>
          </w:p>
        </w:tc>
        <w:tc>
          <w:tcPr>
            <w:tcW w:w="1261" w:type="dxa"/>
            <w:vAlign w:val="center"/>
          </w:tcPr>
          <w:p w14:paraId="7D297E6E">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毕业时间</w:t>
            </w:r>
          </w:p>
        </w:tc>
        <w:tc>
          <w:tcPr>
            <w:tcW w:w="996" w:type="dxa"/>
            <w:vAlign w:val="center"/>
          </w:tcPr>
          <w:p w14:paraId="1119480D">
            <w:pPr>
              <w:spacing w:line="360" w:lineRule="auto"/>
              <w:jc w:val="center"/>
              <w:rPr>
                <w:rFonts w:ascii="仿宋" w:hAnsi="仿宋" w:eastAsia="仿宋" w:cs="仿宋"/>
                <w:sz w:val="24"/>
                <w:szCs w:val="24"/>
                <w:highlight w:val="none"/>
              </w:rPr>
            </w:pPr>
          </w:p>
        </w:tc>
      </w:tr>
      <w:tr w14:paraId="7865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2364" w:type="dxa"/>
            <w:gridSpan w:val="2"/>
            <w:vAlign w:val="center"/>
          </w:tcPr>
          <w:p w14:paraId="575C47E4">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毕业院校和专业</w:t>
            </w:r>
          </w:p>
        </w:tc>
        <w:tc>
          <w:tcPr>
            <w:tcW w:w="2466" w:type="dxa"/>
            <w:gridSpan w:val="2"/>
            <w:vAlign w:val="center"/>
          </w:tcPr>
          <w:p w14:paraId="0B016A48">
            <w:pPr>
              <w:spacing w:line="360" w:lineRule="auto"/>
              <w:jc w:val="center"/>
              <w:rPr>
                <w:rFonts w:ascii="仿宋" w:hAnsi="仿宋" w:eastAsia="仿宋" w:cs="仿宋"/>
                <w:sz w:val="24"/>
                <w:szCs w:val="24"/>
                <w:highlight w:val="none"/>
              </w:rPr>
            </w:pPr>
          </w:p>
        </w:tc>
        <w:tc>
          <w:tcPr>
            <w:tcW w:w="1041" w:type="dxa"/>
            <w:vAlign w:val="center"/>
          </w:tcPr>
          <w:p w14:paraId="743B1D0A">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职务</w:t>
            </w:r>
          </w:p>
        </w:tc>
        <w:tc>
          <w:tcPr>
            <w:tcW w:w="1221" w:type="dxa"/>
            <w:vAlign w:val="center"/>
          </w:tcPr>
          <w:p w14:paraId="29D74101">
            <w:pPr>
              <w:spacing w:line="360" w:lineRule="auto"/>
              <w:jc w:val="center"/>
              <w:rPr>
                <w:rFonts w:ascii="仿宋" w:hAnsi="仿宋" w:eastAsia="仿宋" w:cs="仿宋"/>
                <w:sz w:val="24"/>
                <w:szCs w:val="24"/>
                <w:highlight w:val="none"/>
              </w:rPr>
            </w:pPr>
          </w:p>
        </w:tc>
        <w:tc>
          <w:tcPr>
            <w:tcW w:w="1261" w:type="dxa"/>
            <w:vAlign w:val="center"/>
          </w:tcPr>
          <w:p w14:paraId="67A674DB">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专业技术职称</w:t>
            </w:r>
          </w:p>
        </w:tc>
        <w:tc>
          <w:tcPr>
            <w:tcW w:w="996" w:type="dxa"/>
            <w:vAlign w:val="center"/>
          </w:tcPr>
          <w:p w14:paraId="4AE41978">
            <w:pPr>
              <w:spacing w:line="360" w:lineRule="auto"/>
              <w:jc w:val="center"/>
              <w:rPr>
                <w:rFonts w:ascii="仿宋" w:hAnsi="仿宋" w:eastAsia="仿宋" w:cs="仿宋"/>
                <w:sz w:val="24"/>
                <w:szCs w:val="24"/>
                <w:highlight w:val="none"/>
              </w:rPr>
            </w:pPr>
          </w:p>
        </w:tc>
      </w:tr>
      <w:tr w14:paraId="392D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jc w:val="center"/>
        </w:trPr>
        <w:tc>
          <w:tcPr>
            <w:tcW w:w="1216" w:type="dxa"/>
            <w:vAlign w:val="center"/>
          </w:tcPr>
          <w:p w14:paraId="13715E8C">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执业资格</w:t>
            </w:r>
          </w:p>
        </w:tc>
        <w:tc>
          <w:tcPr>
            <w:tcW w:w="1148" w:type="dxa"/>
            <w:vAlign w:val="center"/>
          </w:tcPr>
          <w:p w14:paraId="0F798859">
            <w:pPr>
              <w:spacing w:line="360" w:lineRule="auto"/>
              <w:jc w:val="center"/>
              <w:rPr>
                <w:rFonts w:ascii="仿宋" w:hAnsi="仿宋" w:eastAsia="仿宋" w:cs="仿宋"/>
                <w:sz w:val="24"/>
                <w:szCs w:val="24"/>
                <w:highlight w:val="none"/>
              </w:rPr>
            </w:pPr>
          </w:p>
        </w:tc>
        <w:tc>
          <w:tcPr>
            <w:tcW w:w="1389" w:type="dxa"/>
            <w:vAlign w:val="center"/>
          </w:tcPr>
          <w:p w14:paraId="72441DF0">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执业证书</w:t>
            </w:r>
          </w:p>
          <w:p w14:paraId="0AA5E385">
            <w:pPr>
              <w:spacing w:line="360" w:lineRule="auto"/>
              <w:jc w:val="center"/>
              <w:rPr>
                <w:rFonts w:ascii="仿宋" w:hAnsi="仿宋" w:eastAsia="仿宋" w:cs="仿宋"/>
                <w:sz w:val="24"/>
                <w:szCs w:val="24"/>
                <w:highlight w:val="none"/>
              </w:rPr>
            </w:pPr>
            <w:r>
              <w:rPr>
                <w:rFonts w:hint="eastAsia" w:ascii="仿宋" w:hAnsi="仿宋" w:eastAsia="仿宋" w:cs="仿宋"/>
                <w:sz w:val="24"/>
                <w:szCs w:val="24"/>
                <w:highlight w:val="none"/>
              </w:rPr>
              <w:t>编号</w:t>
            </w:r>
          </w:p>
        </w:tc>
        <w:tc>
          <w:tcPr>
            <w:tcW w:w="5596" w:type="dxa"/>
            <w:gridSpan w:val="5"/>
            <w:vAlign w:val="center"/>
          </w:tcPr>
          <w:p w14:paraId="7478C618">
            <w:pPr>
              <w:spacing w:line="360" w:lineRule="auto"/>
              <w:jc w:val="center"/>
              <w:rPr>
                <w:rFonts w:ascii="仿宋" w:hAnsi="仿宋" w:eastAsia="仿宋" w:cs="仿宋"/>
                <w:sz w:val="24"/>
                <w:szCs w:val="24"/>
                <w:highlight w:val="none"/>
              </w:rPr>
            </w:pPr>
          </w:p>
        </w:tc>
      </w:tr>
      <w:tr w14:paraId="1FAE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67" w:hRule="atLeast"/>
          <w:jc w:val="center"/>
        </w:trPr>
        <w:tc>
          <w:tcPr>
            <w:tcW w:w="9349" w:type="dxa"/>
            <w:gridSpan w:val="8"/>
            <w:vAlign w:val="center"/>
          </w:tcPr>
          <w:p w14:paraId="331849D2">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主要工作经历：（包括起止年限、单位名称、从事的工作内容、职务）</w:t>
            </w:r>
          </w:p>
        </w:tc>
      </w:tr>
    </w:tbl>
    <w:p w14:paraId="1BF3A670">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说明：</w:t>
      </w:r>
    </w:p>
    <w:p w14:paraId="2AF490B3">
      <w:pPr>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1.表格长度须根据招标文件要求并结合自身实际情况自行调整进行填写。</w:t>
      </w:r>
    </w:p>
    <w:p w14:paraId="5A09E9F0">
      <w:pPr>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2.附相关证明材料。</w:t>
      </w:r>
    </w:p>
    <w:p w14:paraId="3C605B1D">
      <w:pPr>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3.投标人须承诺项目负责人在本项目合同履行期内未经采购人同意不得更换。</w:t>
      </w:r>
    </w:p>
    <w:p w14:paraId="5F5ED22A">
      <w:pPr>
        <w:pStyle w:val="9"/>
        <w:spacing w:line="600" w:lineRule="exact"/>
        <w:rPr>
          <w:rFonts w:ascii="仿宋" w:hAnsi="仿宋" w:eastAsia="仿宋" w:cs="仿宋"/>
          <w:sz w:val="24"/>
          <w:szCs w:val="24"/>
          <w:highlight w:val="none"/>
        </w:rPr>
      </w:pPr>
    </w:p>
    <w:p w14:paraId="33E60B33">
      <w:pPr>
        <w:jc w:val="center"/>
        <w:rPr>
          <w:rFonts w:ascii="仿宋" w:hAnsi="仿宋" w:eastAsia="仿宋" w:cs="仿宋"/>
          <w:sz w:val="24"/>
          <w:szCs w:val="24"/>
          <w:highlight w:val="none"/>
        </w:rPr>
      </w:pPr>
      <w:r>
        <w:rPr>
          <w:rFonts w:hint="eastAsia" w:ascii="仿宋" w:hAnsi="仿宋" w:eastAsia="仿宋" w:cs="仿宋"/>
          <w:b/>
          <w:sz w:val="24"/>
          <w:szCs w:val="24"/>
          <w:highlight w:val="none"/>
        </w:rPr>
        <w:t xml:space="preserve">                                </w:t>
      </w:r>
      <w:r>
        <w:rPr>
          <w:rFonts w:hint="eastAsia" w:ascii="仿宋" w:hAnsi="仿宋" w:eastAsia="仿宋" w:cs="仿宋"/>
          <w:sz w:val="24"/>
          <w:szCs w:val="24"/>
          <w:highlight w:val="none"/>
        </w:rPr>
        <w:br w:type="page"/>
      </w:r>
    </w:p>
    <w:p w14:paraId="598B40F2">
      <w:pPr>
        <w:spacing w:line="360" w:lineRule="auto"/>
        <w:jc w:val="center"/>
        <w:rPr>
          <w:rFonts w:ascii="仿宋" w:hAnsi="仿宋" w:eastAsia="仿宋" w:cs="仿宋"/>
          <w:b/>
          <w:sz w:val="28"/>
          <w:szCs w:val="28"/>
          <w:highlight w:val="none"/>
        </w:rPr>
      </w:pPr>
      <w:r>
        <w:rPr>
          <w:rFonts w:hint="eastAsia" w:ascii="仿宋" w:hAnsi="仿宋" w:eastAsia="仿宋" w:cs="仿宋"/>
          <w:b/>
          <w:sz w:val="28"/>
          <w:szCs w:val="28"/>
          <w:highlight w:val="none"/>
        </w:rPr>
        <w:t>2.拟投入本项目的人员情况表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8"/>
        <w:gridCol w:w="881"/>
        <w:gridCol w:w="1434"/>
        <w:gridCol w:w="1128"/>
        <w:gridCol w:w="1201"/>
        <w:gridCol w:w="881"/>
        <w:gridCol w:w="1494"/>
        <w:gridCol w:w="1444"/>
      </w:tblGrid>
      <w:tr w14:paraId="0EFAD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498" w:type="dxa"/>
            <w:tcBorders>
              <w:top w:val="single" w:color="auto" w:sz="4" w:space="0"/>
              <w:left w:val="single" w:color="auto" w:sz="4" w:space="0"/>
              <w:bottom w:val="single" w:color="auto" w:sz="4" w:space="0"/>
              <w:right w:val="single" w:color="auto" w:sz="4" w:space="0"/>
            </w:tcBorders>
            <w:vAlign w:val="center"/>
          </w:tcPr>
          <w:p w14:paraId="0F716F98">
            <w:pPr>
              <w:snapToGrid w:val="0"/>
              <w:spacing w:line="360" w:lineRule="auto"/>
              <w:jc w:val="center"/>
              <w:textAlignment w:val="baseline"/>
              <w:rPr>
                <w:rFonts w:ascii="仿宋" w:hAnsi="仿宋" w:eastAsia="仿宋" w:cs="仿宋"/>
                <w:sz w:val="24"/>
                <w:szCs w:val="24"/>
                <w:highlight w:val="none"/>
              </w:rPr>
            </w:pPr>
            <w:r>
              <w:rPr>
                <w:rFonts w:hint="eastAsia" w:ascii="仿宋" w:hAnsi="仿宋" w:eastAsia="仿宋" w:cs="仿宋"/>
                <w:sz w:val="24"/>
                <w:szCs w:val="24"/>
                <w:highlight w:val="none"/>
              </w:rPr>
              <w:t>人员类别</w:t>
            </w:r>
          </w:p>
        </w:tc>
        <w:tc>
          <w:tcPr>
            <w:tcW w:w="881" w:type="dxa"/>
            <w:tcBorders>
              <w:top w:val="single" w:color="auto" w:sz="4" w:space="0"/>
              <w:left w:val="single" w:color="auto" w:sz="4" w:space="0"/>
              <w:bottom w:val="single" w:color="auto" w:sz="4" w:space="0"/>
              <w:right w:val="single" w:color="auto" w:sz="4" w:space="0"/>
            </w:tcBorders>
            <w:vAlign w:val="center"/>
          </w:tcPr>
          <w:p w14:paraId="6CF1F14C">
            <w:pPr>
              <w:snapToGrid w:val="0"/>
              <w:spacing w:line="360" w:lineRule="auto"/>
              <w:jc w:val="center"/>
              <w:textAlignment w:val="baseline"/>
              <w:rPr>
                <w:rFonts w:ascii="仿宋" w:hAnsi="仿宋" w:eastAsia="仿宋" w:cs="仿宋"/>
                <w:sz w:val="24"/>
                <w:szCs w:val="24"/>
                <w:highlight w:val="none"/>
              </w:rPr>
            </w:pPr>
            <w:r>
              <w:rPr>
                <w:rFonts w:hint="eastAsia" w:ascii="仿宋" w:hAnsi="仿宋" w:eastAsia="仿宋" w:cs="仿宋"/>
                <w:sz w:val="24"/>
                <w:szCs w:val="24"/>
                <w:highlight w:val="none"/>
              </w:rPr>
              <w:t>姓名</w:t>
            </w:r>
          </w:p>
        </w:tc>
        <w:tc>
          <w:tcPr>
            <w:tcW w:w="1434" w:type="dxa"/>
            <w:tcBorders>
              <w:top w:val="single" w:color="auto" w:sz="4" w:space="0"/>
              <w:left w:val="single" w:color="auto" w:sz="4" w:space="0"/>
              <w:bottom w:val="single" w:color="auto" w:sz="4" w:space="0"/>
              <w:right w:val="single" w:color="auto" w:sz="4" w:space="0"/>
            </w:tcBorders>
            <w:vAlign w:val="center"/>
          </w:tcPr>
          <w:p w14:paraId="04C3999C">
            <w:pPr>
              <w:snapToGrid w:val="0"/>
              <w:spacing w:line="360" w:lineRule="auto"/>
              <w:jc w:val="center"/>
              <w:textAlignment w:val="baseline"/>
              <w:rPr>
                <w:rFonts w:ascii="仿宋" w:hAnsi="仿宋" w:eastAsia="仿宋" w:cs="仿宋"/>
                <w:sz w:val="24"/>
                <w:szCs w:val="24"/>
                <w:highlight w:val="none"/>
              </w:rPr>
            </w:pPr>
            <w:r>
              <w:rPr>
                <w:rFonts w:hint="eastAsia" w:ascii="仿宋" w:hAnsi="仿宋" w:eastAsia="仿宋" w:cs="仿宋"/>
                <w:sz w:val="24"/>
                <w:szCs w:val="24"/>
                <w:highlight w:val="none"/>
              </w:rPr>
              <w:t>从业年限</w:t>
            </w:r>
          </w:p>
        </w:tc>
        <w:tc>
          <w:tcPr>
            <w:tcW w:w="1128" w:type="dxa"/>
            <w:tcBorders>
              <w:top w:val="single" w:color="auto" w:sz="4" w:space="0"/>
              <w:left w:val="single" w:color="auto" w:sz="4" w:space="0"/>
              <w:bottom w:val="single" w:color="auto" w:sz="4" w:space="0"/>
              <w:right w:val="single" w:color="auto" w:sz="4" w:space="0"/>
            </w:tcBorders>
            <w:vAlign w:val="center"/>
          </w:tcPr>
          <w:p w14:paraId="246B18CA">
            <w:pPr>
              <w:snapToGrid w:val="0"/>
              <w:spacing w:line="360" w:lineRule="auto"/>
              <w:jc w:val="center"/>
              <w:textAlignment w:val="baseline"/>
              <w:rPr>
                <w:rFonts w:ascii="仿宋" w:hAnsi="仿宋" w:eastAsia="仿宋" w:cs="仿宋"/>
                <w:sz w:val="24"/>
                <w:szCs w:val="24"/>
                <w:highlight w:val="none"/>
              </w:rPr>
            </w:pPr>
            <w:r>
              <w:rPr>
                <w:rFonts w:hint="eastAsia" w:ascii="仿宋" w:hAnsi="仿宋" w:eastAsia="仿宋" w:cs="仿宋"/>
                <w:sz w:val="24"/>
                <w:szCs w:val="24"/>
                <w:highlight w:val="none"/>
              </w:rPr>
              <w:t>年龄</w:t>
            </w:r>
          </w:p>
        </w:tc>
        <w:tc>
          <w:tcPr>
            <w:tcW w:w="1201" w:type="dxa"/>
            <w:tcBorders>
              <w:top w:val="single" w:color="auto" w:sz="4" w:space="0"/>
              <w:left w:val="single" w:color="auto" w:sz="4" w:space="0"/>
              <w:bottom w:val="single" w:color="auto" w:sz="4" w:space="0"/>
              <w:right w:val="single" w:color="auto" w:sz="4" w:space="0"/>
            </w:tcBorders>
            <w:vAlign w:val="center"/>
          </w:tcPr>
          <w:p w14:paraId="05D11F66">
            <w:pPr>
              <w:snapToGrid w:val="0"/>
              <w:spacing w:line="360" w:lineRule="auto"/>
              <w:jc w:val="center"/>
              <w:textAlignment w:val="baseline"/>
              <w:rPr>
                <w:rFonts w:ascii="仿宋" w:hAnsi="仿宋" w:eastAsia="仿宋" w:cs="仿宋"/>
                <w:sz w:val="24"/>
                <w:szCs w:val="24"/>
                <w:highlight w:val="none"/>
              </w:rPr>
            </w:pPr>
            <w:r>
              <w:rPr>
                <w:rFonts w:hint="eastAsia" w:ascii="仿宋" w:hAnsi="仿宋" w:eastAsia="仿宋" w:cs="仿宋"/>
                <w:sz w:val="24"/>
                <w:szCs w:val="24"/>
                <w:highlight w:val="none"/>
              </w:rPr>
              <w:t>最高学历</w:t>
            </w:r>
          </w:p>
        </w:tc>
        <w:tc>
          <w:tcPr>
            <w:tcW w:w="881" w:type="dxa"/>
            <w:tcBorders>
              <w:top w:val="single" w:color="auto" w:sz="4" w:space="0"/>
              <w:left w:val="single" w:color="auto" w:sz="4" w:space="0"/>
              <w:bottom w:val="single" w:color="auto" w:sz="4" w:space="0"/>
              <w:right w:val="single" w:color="auto" w:sz="4" w:space="0"/>
            </w:tcBorders>
            <w:vAlign w:val="center"/>
          </w:tcPr>
          <w:p w14:paraId="3F089380">
            <w:pPr>
              <w:snapToGrid w:val="0"/>
              <w:spacing w:line="360" w:lineRule="auto"/>
              <w:jc w:val="center"/>
              <w:textAlignment w:val="baseline"/>
              <w:rPr>
                <w:rFonts w:ascii="仿宋" w:hAnsi="仿宋" w:eastAsia="仿宋" w:cs="仿宋"/>
                <w:sz w:val="24"/>
                <w:szCs w:val="24"/>
                <w:highlight w:val="none"/>
              </w:rPr>
            </w:pPr>
            <w:r>
              <w:rPr>
                <w:rFonts w:hint="eastAsia" w:ascii="仿宋" w:hAnsi="仿宋" w:eastAsia="仿宋" w:cs="仿宋"/>
                <w:sz w:val="24"/>
                <w:szCs w:val="24"/>
                <w:highlight w:val="none"/>
              </w:rPr>
              <w:t>专业</w:t>
            </w:r>
          </w:p>
        </w:tc>
        <w:tc>
          <w:tcPr>
            <w:tcW w:w="1494" w:type="dxa"/>
            <w:tcBorders>
              <w:top w:val="single" w:color="auto" w:sz="4" w:space="0"/>
              <w:left w:val="single" w:color="auto" w:sz="4" w:space="0"/>
              <w:bottom w:val="single" w:color="auto" w:sz="4" w:space="0"/>
              <w:right w:val="single" w:color="auto" w:sz="4" w:space="0"/>
            </w:tcBorders>
            <w:vAlign w:val="center"/>
          </w:tcPr>
          <w:p w14:paraId="75E7D546">
            <w:pPr>
              <w:snapToGrid w:val="0"/>
              <w:spacing w:line="360" w:lineRule="auto"/>
              <w:jc w:val="center"/>
              <w:textAlignment w:val="baseline"/>
              <w:rPr>
                <w:rFonts w:ascii="仿宋" w:hAnsi="仿宋" w:eastAsia="仿宋" w:cs="仿宋"/>
                <w:sz w:val="24"/>
                <w:szCs w:val="24"/>
                <w:highlight w:val="none"/>
              </w:rPr>
            </w:pPr>
            <w:r>
              <w:rPr>
                <w:rFonts w:hint="eastAsia" w:ascii="仿宋" w:hAnsi="仿宋" w:eastAsia="仿宋" w:cs="仿宋"/>
                <w:sz w:val="24"/>
                <w:szCs w:val="24"/>
                <w:highlight w:val="none"/>
              </w:rPr>
              <w:t>在本项目中承担的工作</w:t>
            </w:r>
          </w:p>
        </w:tc>
        <w:tc>
          <w:tcPr>
            <w:tcW w:w="1444" w:type="dxa"/>
            <w:tcBorders>
              <w:top w:val="single" w:color="auto" w:sz="4" w:space="0"/>
              <w:left w:val="single" w:color="auto" w:sz="4" w:space="0"/>
              <w:bottom w:val="single" w:color="auto" w:sz="4" w:space="0"/>
              <w:right w:val="single" w:color="auto" w:sz="4" w:space="0"/>
            </w:tcBorders>
            <w:vAlign w:val="center"/>
          </w:tcPr>
          <w:p w14:paraId="086EF3FD">
            <w:pPr>
              <w:snapToGrid w:val="0"/>
              <w:spacing w:line="360" w:lineRule="auto"/>
              <w:jc w:val="center"/>
              <w:textAlignment w:val="baseline"/>
              <w:rPr>
                <w:rFonts w:ascii="仿宋" w:hAnsi="仿宋" w:eastAsia="仿宋" w:cs="仿宋"/>
                <w:sz w:val="24"/>
                <w:szCs w:val="24"/>
                <w:highlight w:val="none"/>
              </w:rPr>
            </w:pPr>
            <w:r>
              <w:rPr>
                <w:rFonts w:hint="eastAsia" w:ascii="仿宋" w:hAnsi="仿宋" w:eastAsia="仿宋" w:cs="仿宋"/>
                <w:sz w:val="24"/>
                <w:szCs w:val="24"/>
                <w:highlight w:val="none"/>
              </w:rPr>
              <w:t>职称/职业资格</w:t>
            </w:r>
          </w:p>
        </w:tc>
      </w:tr>
      <w:tr w14:paraId="2D041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98" w:type="dxa"/>
            <w:tcBorders>
              <w:top w:val="single" w:color="auto" w:sz="4" w:space="0"/>
              <w:left w:val="single" w:color="auto" w:sz="4" w:space="0"/>
              <w:bottom w:val="single" w:color="auto" w:sz="4" w:space="0"/>
              <w:right w:val="single" w:color="auto" w:sz="4" w:space="0"/>
            </w:tcBorders>
            <w:vAlign w:val="center"/>
          </w:tcPr>
          <w:p w14:paraId="250904CA">
            <w:pPr>
              <w:snapToGrid w:val="0"/>
              <w:jc w:val="center"/>
              <w:textAlignment w:val="baseline"/>
              <w:rPr>
                <w:rFonts w:ascii="仿宋" w:hAnsi="仿宋" w:eastAsia="仿宋" w:cs="仿宋"/>
                <w:sz w:val="24"/>
                <w:szCs w:val="24"/>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430BC6BE">
            <w:pPr>
              <w:snapToGrid w:val="0"/>
              <w:jc w:val="center"/>
              <w:textAlignment w:val="baseline"/>
              <w:rPr>
                <w:rFonts w:ascii="仿宋" w:hAnsi="仿宋" w:eastAsia="仿宋" w:cs="仿宋"/>
                <w:sz w:val="24"/>
                <w:szCs w:val="24"/>
                <w:highlight w:val="none"/>
              </w:rPr>
            </w:pPr>
          </w:p>
        </w:tc>
        <w:tc>
          <w:tcPr>
            <w:tcW w:w="1434" w:type="dxa"/>
            <w:tcBorders>
              <w:top w:val="single" w:color="auto" w:sz="4" w:space="0"/>
              <w:left w:val="single" w:color="auto" w:sz="4" w:space="0"/>
              <w:bottom w:val="single" w:color="auto" w:sz="4" w:space="0"/>
              <w:right w:val="single" w:color="auto" w:sz="4" w:space="0"/>
            </w:tcBorders>
            <w:vAlign w:val="center"/>
          </w:tcPr>
          <w:p w14:paraId="7B3D25BF">
            <w:pPr>
              <w:snapToGrid w:val="0"/>
              <w:jc w:val="center"/>
              <w:textAlignment w:val="baseline"/>
              <w:rPr>
                <w:rFonts w:ascii="仿宋" w:hAnsi="仿宋" w:eastAsia="仿宋" w:cs="仿宋"/>
                <w:sz w:val="24"/>
                <w:szCs w:val="24"/>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59174999">
            <w:pPr>
              <w:snapToGrid w:val="0"/>
              <w:jc w:val="center"/>
              <w:textAlignment w:val="baseline"/>
              <w:rPr>
                <w:rFonts w:ascii="仿宋" w:hAnsi="仿宋" w:eastAsia="仿宋" w:cs="仿宋"/>
                <w:sz w:val="24"/>
                <w:szCs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14:paraId="0A276C0E">
            <w:pPr>
              <w:snapToGrid w:val="0"/>
              <w:jc w:val="center"/>
              <w:textAlignment w:val="baseline"/>
              <w:rPr>
                <w:rFonts w:ascii="仿宋" w:hAnsi="仿宋" w:eastAsia="仿宋" w:cs="仿宋"/>
                <w:sz w:val="24"/>
                <w:szCs w:val="24"/>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760C7D5A">
            <w:pPr>
              <w:snapToGrid w:val="0"/>
              <w:jc w:val="center"/>
              <w:textAlignment w:val="baseline"/>
              <w:rPr>
                <w:rFonts w:ascii="仿宋" w:hAnsi="仿宋" w:eastAsia="仿宋" w:cs="仿宋"/>
                <w:sz w:val="24"/>
                <w:szCs w:val="24"/>
                <w:highlight w:val="none"/>
              </w:rPr>
            </w:pPr>
          </w:p>
        </w:tc>
        <w:tc>
          <w:tcPr>
            <w:tcW w:w="1494" w:type="dxa"/>
            <w:tcBorders>
              <w:top w:val="single" w:color="auto" w:sz="4" w:space="0"/>
              <w:left w:val="single" w:color="auto" w:sz="4" w:space="0"/>
              <w:bottom w:val="single" w:color="auto" w:sz="4" w:space="0"/>
              <w:right w:val="single" w:color="auto" w:sz="4" w:space="0"/>
            </w:tcBorders>
            <w:vAlign w:val="center"/>
          </w:tcPr>
          <w:p w14:paraId="10F57C49">
            <w:pPr>
              <w:snapToGrid w:val="0"/>
              <w:jc w:val="center"/>
              <w:textAlignment w:val="baseline"/>
              <w:rPr>
                <w:rFonts w:ascii="仿宋" w:hAnsi="仿宋" w:eastAsia="仿宋" w:cs="仿宋"/>
                <w:sz w:val="24"/>
                <w:szCs w:val="24"/>
                <w:highlight w:val="none"/>
              </w:rPr>
            </w:pPr>
          </w:p>
        </w:tc>
        <w:tc>
          <w:tcPr>
            <w:tcW w:w="1444" w:type="dxa"/>
            <w:tcBorders>
              <w:top w:val="single" w:color="auto" w:sz="4" w:space="0"/>
              <w:left w:val="single" w:color="auto" w:sz="4" w:space="0"/>
              <w:bottom w:val="single" w:color="auto" w:sz="4" w:space="0"/>
              <w:right w:val="single" w:color="auto" w:sz="4" w:space="0"/>
            </w:tcBorders>
          </w:tcPr>
          <w:p w14:paraId="531DD509">
            <w:pPr>
              <w:snapToGrid w:val="0"/>
              <w:jc w:val="center"/>
              <w:textAlignment w:val="baseline"/>
              <w:rPr>
                <w:rFonts w:ascii="仿宋" w:hAnsi="仿宋" w:eastAsia="仿宋" w:cs="仿宋"/>
                <w:sz w:val="24"/>
                <w:szCs w:val="24"/>
                <w:highlight w:val="none"/>
              </w:rPr>
            </w:pPr>
          </w:p>
        </w:tc>
      </w:tr>
      <w:tr w14:paraId="7D66D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98" w:type="dxa"/>
            <w:tcBorders>
              <w:top w:val="single" w:color="auto" w:sz="4" w:space="0"/>
              <w:left w:val="single" w:color="auto" w:sz="4" w:space="0"/>
              <w:bottom w:val="single" w:color="auto" w:sz="4" w:space="0"/>
              <w:right w:val="single" w:color="auto" w:sz="4" w:space="0"/>
            </w:tcBorders>
            <w:vAlign w:val="center"/>
          </w:tcPr>
          <w:p w14:paraId="3B35C09D">
            <w:pPr>
              <w:snapToGrid w:val="0"/>
              <w:jc w:val="center"/>
              <w:textAlignment w:val="baseline"/>
              <w:rPr>
                <w:rFonts w:ascii="仿宋" w:hAnsi="仿宋" w:eastAsia="仿宋" w:cs="仿宋"/>
                <w:sz w:val="24"/>
                <w:szCs w:val="24"/>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350E3699">
            <w:pPr>
              <w:snapToGrid w:val="0"/>
              <w:jc w:val="center"/>
              <w:textAlignment w:val="baseline"/>
              <w:rPr>
                <w:rFonts w:ascii="仿宋" w:hAnsi="仿宋" w:eastAsia="仿宋" w:cs="仿宋"/>
                <w:sz w:val="24"/>
                <w:szCs w:val="24"/>
                <w:highlight w:val="none"/>
              </w:rPr>
            </w:pPr>
          </w:p>
        </w:tc>
        <w:tc>
          <w:tcPr>
            <w:tcW w:w="1434" w:type="dxa"/>
            <w:tcBorders>
              <w:top w:val="single" w:color="auto" w:sz="4" w:space="0"/>
              <w:left w:val="single" w:color="auto" w:sz="4" w:space="0"/>
              <w:bottom w:val="single" w:color="auto" w:sz="4" w:space="0"/>
              <w:right w:val="single" w:color="auto" w:sz="4" w:space="0"/>
            </w:tcBorders>
            <w:vAlign w:val="center"/>
          </w:tcPr>
          <w:p w14:paraId="163D9A00">
            <w:pPr>
              <w:snapToGrid w:val="0"/>
              <w:jc w:val="center"/>
              <w:textAlignment w:val="baseline"/>
              <w:rPr>
                <w:rFonts w:ascii="仿宋" w:hAnsi="仿宋" w:eastAsia="仿宋" w:cs="仿宋"/>
                <w:sz w:val="24"/>
                <w:szCs w:val="24"/>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1D765177">
            <w:pPr>
              <w:snapToGrid w:val="0"/>
              <w:jc w:val="center"/>
              <w:textAlignment w:val="baseline"/>
              <w:rPr>
                <w:rFonts w:ascii="仿宋" w:hAnsi="仿宋" w:eastAsia="仿宋" w:cs="仿宋"/>
                <w:sz w:val="24"/>
                <w:szCs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14:paraId="402F8DA1">
            <w:pPr>
              <w:snapToGrid w:val="0"/>
              <w:jc w:val="center"/>
              <w:textAlignment w:val="baseline"/>
              <w:rPr>
                <w:rFonts w:ascii="仿宋" w:hAnsi="仿宋" w:eastAsia="仿宋" w:cs="仿宋"/>
                <w:sz w:val="24"/>
                <w:szCs w:val="24"/>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7FF6C339">
            <w:pPr>
              <w:snapToGrid w:val="0"/>
              <w:jc w:val="center"/>
              <w:textAlignment w:val="baseline"/>
              <w:rPr>
                <w:rFonts w:ascii="仿宋" w:hAnsi="仿宋" w:eastAsia="仿宋" w:cs="仿宋"/>
                <w:sz w:val="24"/>
                <w:szCs w:val="24"/>
                <w:highlight w:val="none"/>
              </w:rPr>
            </w:pPr>
          </w:p>
        </w:tc>
        <w:tc>
          <w:tcPr>
            <w:tcW w:w="1494" w:type="dxa"/>
            <w:tcBorders>
              <w:top w:val="single" w:color="auto" w:sz="4" w:space="0"/>
              <w:left w:val="single" w:color="auto" w:sz="4" w:space="0"/>
              <w:bottom w:val="single" w:color="auto" w:sz="4" w:space="0"/>
              <w:right w:val="single" w:color="auto" w:sz="4" w:space="0"/>
            </w:tcBorders>
            <w:vAlign w:val="center"/>
          </w:tcPr>
          <w:p w14:paraId="49624A49">
            <w:pPr>
              <w:snapToGrid w:val="0"/>
              <w:jc w:val="center"/>
              <w:textAlignment w:val="baseline"/>
              <w:rPr>
                <w:rFonts w:ascii="仿宋" w:hAnsi="仿宋" w:eastAsia="仿宋" w:cs="仿宋"/>
                <w:sz w:val="24"/>
                <w:szCs w:val="24"/>
                <w:highlight w:val="none"/>
              </w:rPr>
            </w:pPr>
          </w:p>
        </w:tc>
        <w:tc>
          <w:tcPr>
            <w:tcW w:w="1444" w:type="dxa"/>
            <w:tcBorders>
              <w:top w:val="single" w:color="auto" w:sz="4" w:space="0"/>
              <w:left w:val="single" w:color="auto" w:sz="4" w:space="0"/>
              <w:bottom w:val="single" w:color="auto" w:sz="4" w:space="0"/>
              <w:right w:val="single" w:color="auto" w:sz="4" w:space="0"/>
            </w:tcBorders>
          </w:tcPr>
          <w:p w14:paraId="5D456515">
            <w:pPr>
              <w:snapToGrid w:val="0"/>
              <w:jc w:val="center"/>
              <w:textAlignment w:val="baseline"/>
              <w:rPr>
                <w:rFonts w:ascii="仿宋" w:hAnsi="仿宋" w:eastAsia="仿宋" w:cs="仿宋"/>
                <w:sz w:val="24"/>
                <w:szCs w:val="24"/>
                <w:highlight w:val="none"/>
              </w:rPr>
            </w:pPr>
          </w:p>
        </w:tc>
      </w:tr>
      <w:tr w14:paraId="70B60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98" w:type="dxa"/>
            <w:tcBorders>
              <w:top w:val="single" w:color="auto" w:sz="4" w:space="0"/>
              <w:left w:val="single" w:color="auto" w:sz="4" w:space="0"/>
              <w:bottom w:val="single" w:color="auto" w:sz="4" w:space="0"/>
              <w:right w:val="single" w:color="auto" w:sz="4" w:space="0"/>
            </w:tcBorders>
            <w:vAlign w:val="center"/>
          </w:tcPr>
          <w:p w14:paraId="18A90D63">
            <w:pPr>
              <w:snapToGrid w:val="0"/>
              <w:jc w:val="center"/>
              <w:textAlignment w:val="baseline"/>
              <w:rPr>
                <w:rFonts w:ascii="仿宋" w:hAnsi="仿宋" w:eastAsia="仿宋" w:cs="仿宋"/>
                <w:sz w:val="24"/>
                <w:szCs w:val="24"/>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12E1B7FB">
            <w:pPr>
              <w:snapToGrid w:val="0"/>
              <w:jc w:val="center"/>
              <w:textAlignment w:val="baseline"/>
              <w:rPr>
                <w:rFonts w:ascii="仿宋" w:hAnsi="仿宋" w:eastAsia="仿宋" w:cs="仿宋"/>
                <w:sz w:val="24"/>
                <w:szCs w:val="24"/>
                <w:highlight w:val="none"/>
              </w:rPr>
            </w:pPr>
          </w:p>
        </w:tc>
        <w:tc>
          <w:tcPr>
            <w:tcW w:w="1434" w:type="dxa"/>
            <w:tcBorders>
              <w:top w:val="single" w:color="auto" w:sz="4" w:space="0"/>
              <w:left w:val="single" w:color="auto" w:sz="4" w:space="0"/>
              <w:bottom w:val="single" w:color="auto" w:sz="4" w:space="0"/>
              <w:right w:val="single" w:color="auto" w:sz="4" w:space="0"/>
            </w:tcBorders>
            <w:vAlign w:val="center"/>
          </w:tcPr>
          <w:p w14:paraId="5D636CB0">
            <w:pPr>
              <w:snapToGrid w:val="0"/>
              <w:jc w:val="center"/>
              <w:textAlignment w:val="baseline"/>
              <w:rPr>
                <w:rFonts w:ascii="仿宋" w:hAnsi="仿宋" w:eastAsia="仿宋" w:cs="仿宋"/>
                <w:sz w:val="24"/>
                <w:szCs w:val="24"/>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216FA56C">
            <w:pPr>
              <w:snapToGrid w:val="0"/>
              <w:jc w:val="center"/>
              <w:textAlignment w:val="baseline"/>
              <w:rPr>
                <w:rFonts w:ascii="仿宋" w:hAnsi="仿宋" w:eastAsia="仿宋" w:cs="仿宋"/>
                <w:sz w:val="24"/>
                <w:szCs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14:paraId="246EBD75">
            <w:pPr>
              <w:snapToGrid w:val="0"/>
              <w:jc w:val="center"/>
              <w:textAlignment w:val="baseline"/>
              <w:rPr>
                <w:rFonts w:ascii="仿宋" w:hAnsi="仿宋" w:eastAsia="仿宋" w:cs="仿宋"/>
                <w:sz w:val="24"/>
                <w:szCs w:val="24"/>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42554BEB">
            <w:pPr>
              <w:snapToGrid w:val="0"/>
              <w:jc w:val="center"/>
              <w:textAlignment w:val="baseline"/>
              <w:rPr>
                <w:rFonts w:ascii="仿宋" w:hAnsi="仿宋" w:eastAsia="仿宋" w:cs="仿宋"/>
                <w:sz w:val="24"/>
                <w:szCs w:val="24"/>
                <w:highlight w:val="none"/>
              </w:rPr>
            </w:pPr>
          </w:p>
        </w:tc>
        <w:tc>
          <w:tcPr>
            <w:tcW w:w="1494" w:type="dxa"/>
            <w:tcBorders>
              <w:top w:val="single" w:color="auto" w:sz="4" w:space="0"/>
              <w:left w:val="single" w:color="auto" w:sz="4" w:space="0"/>
              <w:bottom w:val="single" w:color="auto" w:sz="4" w:space="0"/>
              <w:right w:val="single" w:color="auto" w:sz="4" w:space="0"/>
            </w:tcBorders>
            <w:vAlign w:val="center"/>
          </w:tcPr>
          <w:p w14:paraId="7683D932">
            <w:pPr>
              <w:snapToGrid w:val="0"/>
              <w:jc w:val="center"/>
              <w:textAlignment w:val="baseline"/>
              <w:rPr>
                <w:rFonts w:ascii="仿宋" w:hAnsi="仿宋" w:eastAsia="仿宋" w:cs="仿宋"/>
                <w:sz w:val="24"/>
                <w:szCs w:val="24"/>
                <w:highlight w:val="none"/>
              </w:rPr>
            </w:pPr>
          </w:p>
        </w:tc>
        <w:tc>
          <w:tcPr>
            <w:tcW w:w="1444" w:type="dxa"/>
            <w:tcBorders>
              <w:top w:val="single" w:color="auto" w:sz="4" w:space="0"/>
              <w:left w:val="single" w:color="auto" w:sz="4" w:space="0"/>
              <w:bottom w:val="single" w:color="auto" w:sz="4" w:space="0"/>
              <w:right w:val="single" w:color="auto" w:sz="4" w:space="0"/>
            </w:tcBorders>
          </w:tcPr>
          <w:p w14:paraId="38D9AA34">
            <w:pPr>
              <w:snapToGrid w:val="0"/>
              <w:jc w:val="center"/>
              <w:textAlignment w:val="baseline"/>
              <w:rPr>
                <w:rFonts w:ascii="仿宋" w:hAnsi="仿宋" w:eastAsia="仿宋" w:cs="仿宋"/>
                <w:sz w:val="24"/>
                <w:szCs w:val="24"/>
                <w:highlight w:val="none"/>
              </w:rPr>
            </w:pPr>
          </w:p>
        </w:tc>
      </w:tr>
      <w:tr w14:paraId="30A46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98" w:type="dxa"/>
            <w:tcBorders>
              <w:top w:val="single" w:color="auto" w:sz="4" w:space="0"/>
              <w:left w:val="single" w:color="auto" w:sz="4" w:space="0"/>
              <w:bottom w:val="single" w:color="auto" w:sz="4" w:space="0"/>
              <w:right w:val="single" w:color="auto" w:sz="4" w:space="0"/>
            </w:tcBorders>
            <w:vAlign w:val="center"/>
          </w:tcPr>
          <w:p w14:paraId="41D38AC4">
            <w:pPr>
              <w:snapToGrid w:val="0"/>
              <w:jc w:val="center"/>
              <w:textAlignment w:val="baseline"/>
              <w:rPr>
                <w:rFonts w:ascii="仿宋" w:hAnsi="仿宋" w:eastAsia="仿宋" w:cs="仿宋"/>
                <w:sz w:val="24"/>
                <w:szCs w:val="24"/>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6CEF23B9">
            <w:pPr>
              <w:snapToGrid w:val="0"/>
              <w:jc w:val="center"/>
              <w:textAlignment w:val="baseline"/>
              <w:rPr>
                <w:rFonts w:ascii="仿宋" w:hAnsi="仿宋" w:eastAsia="仿宋" w:cs="仿宋"/>
                <w:sz w:val="24"/>
                <w:szCs w:val="24"/>
                <w:highlight w:val="none"/>
              </w:rPr>
            </w:pPr>
          </w:p>
        </w:tc>
        <w:tc>
          <w:tcPr>
            <w:tcW w:w="1434" w:type="dxa"/>
            <w:tcBorders>
              <w:top w:val="single" w:color="auto" w:sz="4" w:space="0"/>
              <w:left w:val="single" w:color="auto" w:sz="4" w:space="0"/>
              <w:bottom w:val="single" w:color="auto" w:sz="4" w:space="0"/>
              <w:right w:val="single" w:color="auto" w:sz="4" w:space="0"/>
            </w:tcBorders>
            <w:vAlign w:val="center"/>
          </w:tcPr>
          <w:p w14:paraId="2A21FD0D">
            <w:pPr>
              <w:snapToGrid w:val="0"/>
              <w:jc w:val="center"/>
              <w:textAlignment w:val="baseline"/>
              <w:rPr>
                <w:rFonts w:ascii="仿宋" w:hAnsi="仿宋" w:eastAsia="仿宋" w:cs="仿宋"/>
                <w:sz w:val="24"/>
                <w:szCs w:val="24"/>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52125414">
            <w:pPr>
              <w:snapToGrid w:val="0"/>
              <w:jc w:val="center"/>
              <w:textAlignment w:val="baseline"/>
              <w:rPr>
                <w:rFonts w:ascii="仿宋" w:hAnsi="仿宋" w:eastAsia="仿宋" w:cs="仿宋"/>
                <w:sz w:val="24"/>
                <w:szCs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14:paraId="2809F33F">
            <w:pPr>
              <w:snapToGrid w:val="0"/>
              <w:jc w:val="center"/>
              <w:textAlignment w:val="baseline"/>
              <w:rPr>
                <w:rFonts w:ascii="仿宋" w:hAnsi="仿宋" w:eastAsia="仿宋" w:cs="仿宋"/>
                <w:sz w:val="24"/>
                <w:szCs w:val="24"/>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4E084DB5">
            <w:pPr>
              <w:snapToGrid w:val="0"/>
              <w:jc w:val="center"/>
              <w:textAlignment w:val="baseline"/>
              <w:rPr>
                <w:rFonts w:ascii="仿宋" w:hAnsi="仿宋" w:eastAsia="仿宋" w:cs="仿宋"/>
                <w:sz w:val="24"/>
                <w:szCs w:val="24"/>
                <w:highlight w:val="none"/>
              </w:rPr>
            </w:pPr>
          </w:p>
        </w:tc>
        <w:tc>
          <w:tcPr>
            <w:tcW w:w="1494" w:type="dxa"/>
            <w:tcBorders>
              <w:top w:val="single" w:color="auto" w:sz="4" w:space="0"/>
              <w:left w:val="single" w:color="auto" w:sz="4" w:space="0"/>
              <w:bottom w:val="single" w:color="auto" w:sz="4" w:space="0"/>
              <w:right w:val="single" w:color="auto" w:sz="4" w:space="0"/>
            </w:tcBorders>
            <w:vAlign w:val="center"/>
          </w:tcPr>
          <w:p w14:paraId="3EF2C8AE">
            <w:pPr>
              <w:snapToGrid w:val="0"/>
              <w:jc w:val="center"/>
              <w:textAlignment w:val="baseline"/>
              <w:rPr>
                <w:rFonts w:ascii="仿宋" w:hAnsi="仿宋" w:eastAsia="仿宋" w:cs="仿宋"/>
                <w:sz w:val="24"/>
                <w:szCs w:val="24"/>
                <w:highlight w:val="none"/>
              </w:rPr>
            </w:pPr>
          </w:p>
        </w:tc>
        <w:tc>
          <w:tcPr>
            <w:tcW w:w="1444" w:type="dxa"/>
            <w:tcBorders>
              <w:top w:val="single" w:color="auto" w:sz="4" w:space="0"/>
              <w:left w:val="single" w:color="auto" w:sz="4" w:space="0"/>
              <w:bottom w:val="single" w:color="auto" w:sz="4" w:space="0"/>
              <w:right w:val="single" w:color="auto" w:sz="4" w:space="0"/>
            </w:tcBorders>
          </w:tcPr>
          <w:p w14:paraId="0E16A46E">
            <w:pPr>
              <w:snapToGrid w:val="0"/>
              <w:jc w:val="center"/>
              <w:textAlignment w:val="baseline"/>
              <w:rPr>
                <w:rFonts w:ascii="仿宋" w:hAnsi="仿宋" w:eastAsia="仿宋" w:cs="仿宋"/>
                <w:sz w:val="24"/>
                <w:szCs w:val="24"/>
                <w:highlight w:val="none"/>
              </w:rPr>
            </w:pPr>
          </w:p>
        </w:tc>
      </w:tr>
      <w:tr w14:paraId="21163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498" w:type="dxa"/>
            <w:tcBorders>
              <w:top w:val="single" w:color="auto" w:sz="4" w:space="0"/>
              <w:left w:val="single" w:color="auto" w:sz="4" w:space="0"/>
              <w:bottom w:val="single" w:color="auto" w:sz="4" w:space="0"/>
              <w:right w:val="single" w:color="auto" w:sz="4" w:space="0"/>
            </w:tcBorders>
            <w:vAlign w:val="center"/>
          </w:tcPr>
          <w:p w14:paraId="110DF454">
            <w:pPr>
              <w:snapToGrid w:val="0"/>
              <w:jc w:val="center"/>
              <w:textAlignment w:val="baseline"/>
              <w:rPr>
                <w:rFonts w:ascii="仿宋" w:hAnsi="仿宋" w:eastAsia="仿宋" w:cs="仿宋"/>
                <w:sz w:val="24"/>
                <w:szCs w:val="24"/>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20B5B763">
            <w:pPr>
              <w:snapToGrid w:val="0"/>
              <w:jc w:val="center"/>
              <w:textAlignment w:val="baseline"/>
              <w:rPr>
                <w:rFonts w:ascii="仿宋" w:hAnsi="仿宋" w:eastAsia="仿宋" w:cs="仿宋"/>
                <w:sz w:val="24"/>
                <w:szCs w:val="24"/>
                <w:highlight w:val="none"/>
              </w:rPr>
            </w:pPr>
          </w:p>
        </w:tc>
        <w:tc>
          <w:tcPr>
            <w:tcW w:w="1434" w:type="dxa"/>
            <w:tcBorders>
              <w:top w:val="single" w:color="auto" w:sz="4" w:space="0"/>
              <w:left w:val="single" w:color="auto" w:sz="4" w:space="0"/>
              <w:bottom w:val="single" w:color="auto" w:sz="4" w:space="0"/>
              <w:right w:val="single" w:color="auto" w:sz="4" w:space="0"/>
            </w:tcBorders>
            <w:vAlign w:val="center"/>
          </w:tcPr>
          <w:p w14:paraId="62C31E13">
            <w:pPr>
              <w:snapToGrid w:val="0"/>
              <w:jc w:val="center"/>
              <w:textAlignment w:val="baseline"/>
              <w:rPr>
                <w:rFonts w:ascii="仿宋" w:hAnsi="仿宋" w:eastAsia="仿宋" w:cs="仿宋"/>
                <w:sz w:val="24"/>
                <w:szCs w:val="24"/>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56216BDF">
            <w:pPr>
              <w:snapToGrid w:val="0"/>
              <w:jc w:val="center"/>
              <w:textAlignment w:val="baseline"/>
              <w:rPr>
                <w:rFonts w:ascii="仿宋" w:hAnsi="仿宋" w:eastAsia="仿宋" w:cs="仿宋"/>
                <w:sz w:val="24"/>
                <w:szCs w:val="24"/>
                <w:highlight w:val="none"/>
              </w:rPr>
            </w:pPr>
          </w:p>
        </w:tc>
        <w:tc>
          <w:tcPr>
            <w:tcW w:w="1201" w:type="dxa"/>
            <w:tcBorders>
              <w:top w:val="single" w:color="auto" w:sz="4" w:space="0"/>
              <w:left w:val="single" w:color="auto" w:sz="4" w:space="0"/>
              <w:bottom w:val="single" w:color="auto" w:sz="4" w:space="0"/>
              <w:right w:val="single" w:color="auto" w:sz="4" w:space="0"/>
            </w:tcBorders>
            <w:vAlign w:val="center"/>
          </w:tcPr>
          <w:p w14:paraId="4649F1B4">
            <w:pPr>
              <w:snapToGrid w:val="0"/>
              <w:jc w:val="center"/>
              <w:textAlignment w:val="baseline"/>
              <w:rPr>
                <w:rFonts w:ascii="仿宋" w:hAnsi="仿宋" w:eastAsia="仿宋" w:cs="仿宋"/>
                <w:sz w:val="24"/>
                <w:szCs w:val="24"/>
                <w:highlight w:val="none"/>
              </w:rPr>
            </w:pPr>
          </w:p>
        </w:tc>
        <w:tc>
          <w:tcPr>
            <w:tcW w:w="881" w:type="dxa"/>
            <w:tcBorders>
              <w:top w:val="single" w:color="auto" w:sz="4" w:space="0"/>
              <w:left w:val="single" w:color="auto" w:sz="4" w:space="0"/>
              <w:bottom w:val="single" w:color="auto" w:sz="4" w:space="0"/>
              <w:right w:val="single" w:color="auto" w:sz="4" w:space="0"/>
            </w:tcBorders>
            <w:vAlign w:val="center"/>
          </w:tcPr>
          <w:p w14:paraId="37428D07">
            <w:pPr>
              <w:snapToGrid w:val="0"/>
              <w:jc w:val="center"/>
              <w:textAlignment w:val="baseline"/>
              <w:rPr>
                <w:rFonts w:ascii="仿宋" w:hAnsi="仿宋" w:eastAsia="仿宋" w:cs="仿宋"/>
                <w:sz w:val="24"/>
                <w:szCs w:val="24"/>
                <w:highlight w:val="none"/>
              </w:rPr>
            </w:pPr>
          </w:p>
        </w:tc>
        <w:tc>
          <w:tcPr>
            <w:tcW w:w="1494" w:type="dxa"/>
            <w:tcBorders>
              <w:top w:val="single" w:color="auto" w:sz="4" w:space="0"/>
              <w:left w:val="single" w:color="auto" w:sz="4" w:space="0"/>
              <w:bottom w:val="single" w:color="auto" w:sz="4" w:space="0"/>
              <w:right w:val="single" w:color="auto" w:sz="4" w:space="0"/>
            </w:tcBorders>
            <w:vAlign w:val="center"/>
          </w:tcPr>
          <w:p w14:paraId="4822FB59">
            <w:pPr>
              <w:snapToGrid w:val="0"/>
              <w:jc w:val="center"/>
              <w:textAlignment w:val="baseline"/>
              <w:rPr>
                <w:rFonts w:ascii="仿宋" w:hAnsi="仿宋" w:eastAsia="仿宋" w:cs="仿宋"/>
                <w:sz w:val="24"/>
                <w:szCs w:val="24"/>
                <w:highlight w:val="none"/>
              </w:rPr>
            </w:pPr>
          </w:p>
        </w:tc>
        <w:tc>
          <w:tcPr>
            <w:tcW w:w="1444" w:type="dxa"/>
            <w:tcBorders>
              <w:top w:val="single" w:color="auto" w:sz="4" w:space="0"/>
              <w:left w:val="single" w:color="auto" w:sz="4" w:space="0"/>
              <w:bottom w:val="single" w:color="auto" w:sz="4" w:space="0"/>
              <w:right w:val="single" w:color="auto" w:sz="4" w:space="0"/>
            </w:tcBorders>
          </w:tcPr>
          <w:p w14:paraId="0B8094FA">
            <w:pPr>
              <w:snapToGrid w:val="0"/>
              <w:jc w:val="center"/>
              <w:textAlignment w:val="baseline"/>
              <w:rPr>
                <w:rFonts w:ascii="仿宋" w:hAnsi="仿宋" w:eastAsia="仿宋" w:cs="仿宋"/>
                <w:sz w:val="24"/>
                <w:szCs w:val="24"/>
                <w:highlight w:val="none"/>
              </w:rPr>
            </w:pPr>
          </w:p>
        </w:tc>
      </w:tr>
    </w:tbl>
    <w:p w14:paraId="5F325F0B">
      <w:pPr>
        <w:spacing w:line="360" w:lineRule="auto"/>
        <w:rPr>
          <w:rFonts w:ascii="仿宋" w:hAnsi="仿宋" w:eastAsia="仿宋" w:cs="仿宋"/>
          <w:sz w:val="24"/>
          <w:szCs w:val="24"/>
          <w:highlight w:val="none"/>
        </w:rPr>
      </w:pPr>
    </w:p>
    <w:p w14:paraId="67823856">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说明：附相关证明材料。</w:t>
      </w:r>
    </w:p>
    <w:p w14:paraId="4616E364">
      <w:pPr>
        <w:jc w:val="center"/>
        <w:rPr>
          <w:rFonts w:ascii="仿宋" w:hAnsi="仿宋" w:eastAsia="仿宋" w:cs="仿宋"/>
          <w:sz w:val="24"/>
          <w:szCs w:val="24"/>
          <w:highlight w:val="none"/>
        </w:rPr>
      </w:pPr>
    </w:p>
    <w:p w14:paraId="4D14AA81">
      <w:pPr>
        <w:pStyle w:val="9"/>
        <w:spacing w:line="276" w:lineRule="auto"/>
        <w:rPr>
          <w:rFonts w:ascii="仿宋" w:hAnsi="仿宋" w:eastAsia="仿宋" w:cs="仿宋"/>
          <w:sz w:val="24"/>
          <w:szCs w:val="24"/>
          <w:highlight w:val="none"/>
        </w:rPr>
      </w:pPr>
    </w:p>
    <w:p w14:paraId="39135BDF">
      <w:pPr>
        <w:pStyle w:val="9"/>
        <w:spacing w:line="276" w:lineRule="auto"/>
        <w:rPr>
          <w:rFonts w:ascii="仿宋" w:hAnsi="仿宋" w:eastAsia="仿宋" w:cs="仿宋"/>
          <w:sz w:val="24"/>
          <w:szCs w:val="24"/>
          <w:highlight w:val="none"/>
        </w:rPr>
      </w:pPr>
    </w:p>
    <w:p w14:paraId="3B4D8D6F">
      <w:pPr>
        <w:pStyle w:val="9"/>
        <w:spacing w:line="276" w:lineRule="auto"/>
        <w:rPr>
          <w:rFonts w:ascii="仿宋" w:hAnsi="仿宋" w:eastAsia="仿宋" w:cs="仿宋"/>
          <w:sz w:val="24"/>
          <w:szCs w:val="24"/>
          <w:highlight w:val="none"/>
        </w:rPr>
      </w:pPr>
    </w:p>
    <w:p w14:paraId="7DA79E35">
      <w:pPr>
        <w:pStyle w:val="9"/>
        <w:spacing w:line="276" w:lineRule="auto"/>
        <w:rPr>
          <w:rFonts w:ascii="仿宋" w:hAnsi="仿宋" w:eastAsia="仿宋" w:cs="仿宋"/>
          <w:sz w:val="24"/>
          <w:szCs w:val="24"/>
          <w:highlight w:val="none"/>
        </w:rPr>
      </w:pPr>
    </w:p>
    <w:p w14:paraId="64261FB7">
      <w:pPr>
        <w:autoSpaceDE w:val="0"/>
        <w:adjustRightInd w:val="0"/>
        <w:spacing w:line="360" w:lineRule="auto"/>
        <w:jc w:val="center"/>
        <w:rPr>
          <w:rFonts w:ascii="仿宋" w:hAnsi="仿宋" w:eastAsia="仿宋"/>
          <w:b/>
          <w:bCs/>
          <w:color w:val="000000"/>
          <w:sz w:val="32"/>
          <w:szCs w:val="32"/>
          <w:highlight w:val="none"/>
        </w:rPr>
      </w:pPr>
    </w:p>
    <w:p w14:paraId="707DA5B6">
      <w:pPr>
        <w:rPr>
          <w:rFonts w:ascii="仿宋" w:hAnsi="仿宋" w:eastAsia="仿宋"/>
          <w:bCs/>
          <w:color w:val="000000"/>
          <w:highlight w:val="none"/>
        </w:rPr>
      </w:pPr>
      <w:r>
        <w:rPr>
          <w:rFonts w:hint="eastAsia" w:ascii="仿宋" w:hAnsi="仿宋" w:eastAsia="仿宋"/>
          <w:bCs/>
          <w:color w:val="000000"/>
          <w:highlight w:val="none"/>
        </w:rPr>
        <w:br w:type="page"/>
      </w:r>
    </w:p>
    <w:p w14:paraId="22FEE0B9">
      <w:pPr>
        <w:autoSpaceDE w:val="0"/>
        <w:adjustRightInd w:val="0"/>
        <w:spacing w:line="360" w:lineRule="auto"/>
        <w:jc w:val="cente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 </w:t>
      </w:r>
    </w:p>
    <w:p w14:paraId="09EED97A">
      <w:pPr>
        <w:spacing w:line="360" w:lineRule="auto"/>
        <w:jc w:val="cente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九、</w:t>
      </w:r>
      <w:r>
        <w:rPr>
          <w:rFonts w:hint="eastAsia" w:ascii="仿宋" w:hAnsi="仿宋" w:eastAsia="仿宋"/>
          <w:b/>
          <w:bCs/>
          <w:color w:val="000000"/>
          <w:sz w:val="32"/>
          <w:szCs w:val="32"/>
          <w:highlight w:val="none"/>
          <w:lang w:val="zh-TW"/>
        </w:rPr>
        <w:t>质量保障及违约承诺</w:t>
      </w:r>
    </w:p>
    <w:p w14:paraId="580D4ECB">
      <w:pPr>
        <w:pStyle w:val="3"/>
        <w:keepLines w:val="0"/>
        <w:autoSpaceDE w:val="0"/>
        <w:spacing w:before="0" w:after="0" w:line="360" w:lineRule="auto"/>
        <w:ind w:left="425"/>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（格式自拟）</w:t>
      </w:r>
    </w:p>
    <w:p w14:paraId="7915CB34">
      <w:pPr>
        <w:autoSpaceDE w:val="0"/>
        <w:spacing w:line="360" w:lineRule="auto"/>
        <w:ind w:firstLine="562" w:firstLineChars="200"/>
        <w:jc w:val="center"/>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 </w:t>
      </w:r>
    </w:p>
    <w:p w14:paraId="328C1943">
      <w:pPr>
        <w:autoSpaceDE w:val="0"/>
        <w:spacing w:line="360" w:lineRule="auto"/>
        <w:rPr>
          <w:rFonts w:ascii="仿宋" w:hAnsi="仿宋" w:eastAsia="仿宋"/>
          <w:b/>
          <w:bCs/>
          <w:color w:val="000000"/>
          <w:sz w:val="28"/>
          <w:szCs w:val="28"/>
          <w:highlight w:val="none"/>
        </w:rPr>
      </w:pPr>
      <w:r>
        <w:rPr>
          <w:rFonts w:hint="eastAsia" w:ascii="仿宋" w:hAnsi="仿宋" w:eastAsia="仿宋"/>
          <w:b/>
          <w:bCs/>
          <w:color w:val="000000"/>
          <w:sz w:val="28"/>
          <w:szCs w:val="28"/>
          <w:highlight w:val="none"/>
        </w:rPr>
        <w:t xml:space="preserve"> </w:t>
      </w:r>
    </w:p>
    <w:p w14:paraId="7BB7C0ED">
      <w:pPr>
        <w:spacing w:line="360" w:lineRule="auto"/>
        <w:jc w:val="center"/>
        <w:rPr>
          <w:rFonts w:ascii="仿宋" w:hAnsi="仿宋" w:eastAsia="仿宋"/>
          <w:b/>
          <w:bCs/>
          <w:color w:val="000000"/>
          <w:sz w:val="32"/>
          <w:szCs w:val="32"/>
          <w:highlight w:val="none"/>
          <w:lang w:val="zh-TW"/>
        </w:rPr>
      </w:pPr>
      <w:r>
        <w:rPr>
          <w:rFonts w:hint="eastAsia" w:ascii="仿宋" w:hAnsi="仿宋" w:eastAsia="仿宋"/>
          <w:b/>
          <w:bCs/>
          <w:color w:val="000000"/>
          <w:sz w:val="32"/>
          <w:szCs w:val="32"/>
          <w:highlight w:val="none"/>
        </w:rPr>
        <w:t>十</w:t>
      </w:r>
      <w:r>
        <w:rPr>
          <w:rFonts w:hint="eastAsia" w:ascii="仿宋" w:hAnsi="仿宋" w:eastAsia="仿宋"/>
          <w:b/>
          <w:bCs/>
          <w:color w:val="000000"/>
          <w:sz w:val="32"/>
          <w:szCs w:val="32"/>
          <w:highlight w:val="none"/>
          <w:lang w:val="zh-TW"/>
        </w:rPr>
        <w:t>、</w:t>
      </w:r>
      <w:r>
        <w:rPr>
          <w:rFonts w:hint="eastAsia" w:ascii="仿宋" w:hAnsi="仿宋" w:eastAsia="仿宋"/>
          <w:b/>
          <w:bCs/>
          <w:color w:val="000000"/>
          <w:sz w:val="32"/>
          <w:szCs w:val="32"/>
          <w:highlight w:val="none"/>
        </w:rPr>
        <w:t>服务能力及培训方案</w:t>
      </w:r>
    </w:p>
    <w:p w14:paraId="08A1E9DE">
      <w:pPr>
        <w:pStyle w:val="3"/>
        <w:keepLines w:val="0"/>
        <w:autoSpaceDE w:val="0"/>
        <w:spacing w:before="0" w:after="0" w:line="360" w:lineRule="auto"/>
        <w:ind w:left="425"/>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（格式自拟）</w:t>
      </w:r>
    </w:p>
    <w:p w14:paraId="5F60802B">
      <w:pPr>
        <w:autoSpaceDE w:val="0"/>
        <w:adjustRightInd w:val="0"/>
        <w:spacing w:line="360" w:lineRule="auto"/>
        <w:jc w:val="center"/>
        <w:rPr>
          <w:rFonts w:ascii="仿宋" w:hAnsi="仿宋" w:eastAsia="仿宋"/>
          <w:b/>
          <w:bCs/>
          <w:color w:val="000000"/>
          <w:sz w:val="32"/>
          <w:szCs w:val="32"/>
          <w:highlight w:val="none"/>
        </w:rPr>
      </w:pPr>
    </w:p>
    <w:p w14:paraId="09CA6402">
      <w:pPr>
        <w:autoSpaceDE w:val="0"/>
        <w:adjustRightInd w:val="0"/>
        <w:spacing w:line="360" w:lineRule="auto"/>
        <w:jc w:val="center"/>
        <w:rPr>
          <w:rFonts w:ascii="仿宋" w:hAnsi="仿宋" w:eastAsia="仿宋"/>
          <w:b/>
          <w:bCs/>
          <w:color w:val="000000"/>
          <w:sz w:val="32"/>
          <w:szCs w:val="32"/>
          <w:highlight w:val="none"/>
        </w:rPr>
      </w:pPr>
    </w:p>
    <w:p w14:paraId="3C20CB9F">
      <w:pPr>
        <w:spacing w:line="360" w:lineRule="auto"/>
        <w:jc w:val="cente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十一、应急措施方案</w:t>
      </w:r>
    </w:p>
    <w:p w14:paraId="28AA4B06">
      <w:pPr>
        <w:pStyle w:val="3"/>
        <w:keepLines w:val="0"/>
        <w:autoSpaceDE w:val="0"/>
        <w:spacing w:before="0" w:after="0" w:line="360" w:lineRule="auto"/>
        <w:ind w:left="425"/>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（格式自拟）</w:t>
      </w:r>
    </w:p>
    <w:p w14:paraId="62A29AF3">
      <w:pPr>
        <w:autoSpaceDE w:val="0"/>
        <w:adjustRightInd w:val="0"/>
        <w:spacing w:line="360" w:lineRule="auto"/>
        <w:jc w:val="center"/>
        <w:rPr>
          <w:rFonts w:ascii="仿宋" w:hAnsi="仿宋" w:eastAsia="仿宋"/>
          <w:b/>
          <w:bCs/>
          <w:color w:val="000000"/>
          <w:sz w:val="32"/>
          <w:szCs w:val="32"/>
          <w:highlight w:val="none"/>
        </w:rPr>
      </w:pPr>
    </w:p>
    <w:p w14:paraId="723E766C">
      <w:pPr>
        <w:spacing w:line="360" w:lineRule="auto"/>
        <w:jc w:val="center"/>
        <w:rPr>
          <w:rFonts w:hint="default" w:ascii="仿宋" w:hAnsi="仿宋" w:eastAsia="仿宋"/>
          <w:b/>
          <w:bCs/>
          <w:color w:val="000000"/>
          <w:sz w:val="32"/>
          <w:szCs w:val="32"/>
          <w:highlight w:val="none"/>
          <w:lang w:val="en-US"/>
        </w:rPr>
      </w:pPr>
      <w:r>
        <w:rPr>
          <w:rFonts w:hint="eastAsia" w:ascii="仿宋" w:hAnsi="仿宋" w:eastAsia="仿宋"/>
          <w:b/>
          <w:bCs/>
          <w:color w:val="000000"/>
          <w:sz w:val="32"/>
          <w:szCs w:val="32"/>
          <w:highlight w:val="none"/>
        </w:rPr>
        <w:t>十</w:t>
      </w:r>
      <w:r>
        <w:rPr>
          <w:rFonts w:hint="eastAsia" w:ascii="仿宋" w:hAnsi="仿宋" w:eastAsia="仿宋"/>
          <w:b/>
          <w:bCs/>
          <w:color w:val="000000"/>
          <w:sz w:val="32"/>
          <w:szCs w:val="32"/>
          <w:highlight w:val="none"/>
          <w:lang w:val="en-US" w:eastAsia="zh-CN"/>
        </w:rPr>
        <w:t>二、</w:t>
      </w:r>
      <w:r>
        <w:rPr>
          <w:rFonts w:hint="eastAsia" w:ascii="仿宋" w:hAnsi="仿宋" w:eastAsia="仿宋"/>
          <w:b/>
          <w:bCs/>
          <w:color w:val="000000"/>
          <w:sz w:val="32"/>
          <w:szCs w:val="32"/>
          <w:highlight w:val="none"/>
        </w:rPr>
        <w:t>企业</w:t>
      </w:r>
      <w:r>
        <w:rPr>
          <w:rFonts w:hint="eastAsia" w:ascii="仿宋" w:hAnsi="仿宋" w:eastAsia="仿宋"/>
          <w:b/>
          <w:bCs/>
          <w:color w:val="000000"/>
          <w:sz w:val="32"/>
          <w:szCs w:val="32"/>
          <w:highlight w:val="none"/>
          <w:lang w:val="en-US" w:eastAsia="zh-CN"/>
        </w:rPr>
        <w:t>履约能力</w:t>
      </w:r>
    </w:p>
    <w:p w14:paraId="0108EFD0">
      <w:pPr>
        <w:pStyle w:val="3"/>
        <w:keepLines w:val="0"/>
        <w:autoSpaceDE w:val="0"/>
        <w:spacing w:before="0" w:after="0" w:line="360" w:lineRule="auto"/>
        <w:ind w:left="425"/>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（格式自拟）</w:t>
      </w:r>
    </w:p>
    <w:p w14:paraId="380950DA">
      <w:pPr>
        <w:autoSpaceDE w:val="0"/>
        <w:adjustRightInd w:val="0"/>
        <w:spacing w:line="360" w:lineRule="auto"/>
        <w:jc w:val="center"/>
        <w:rPr>
          <w:rFonts w:hint="eastAsia" w:ascii="仿宋" w:hAnsi="仿宋" w:eastAsia="仿宋"/>
          <w:b/>
          <w:bCs/>
          <w:color w:val="000000"/>
          <w:sz w:val="32"/>
          <w:szCs w:val="32"/>
          <w:highlight w:val="none"/>
        </w:rPr>
      </w:pPr>
    </w:p>
    <w:p w14:paraId="0B6F686C">
      <w:pPr>
        <w:autoSpaceDE w:val="0"/>
        <w:adjustRightInd w:val="0"/>
        <w:spacing w:line="360" w:lineRule="auto"/>
        <w:jc w:val="center"/>
        <w:rPr>
          <w:rFonts w:ascii="仿宋" w:hAnsi="仿宋" w:eastAsia="仿宋"/>
          <w:b/>
          <w:bCs/>
          <w:color w:val="000000"/>
          <w:sz w:val="32"/>
          <w:szCs w:val="32"/>
          <w:highlight w:val="none"/>
        </w:rPr>
      </w:pPr>
      <w:r>
        <w:rPr>
          <w:rFonts w:hint="eastAsia" w:ascii="仿宋" w:hAnsi="仿宋" w:eastAsia="仿宋"/>
          <w:b/>
          <w:bCs/>
          <w:color w:val="000000"/>
          <w:sz w:val="32"/>
          <w:szCs w:val="32"/>
          <w:highlight w:val="none"/>
        </w:rPr>
        <w:t>十</w:t>
      </w:r>
      <w:r>
        <w:rPr>
          <w:rFonts w:hint="eastAsia" w:ascii="仿宋" w:hAnsi="仿宋" w:eastAsia="仿宋"/>
          <w:b/>
          <w:bCs/>
          <w:color w:val="000000"/>
          <w:sz w:val="32"/>
          <w:szCs w:val="32"/>
          <w:highlight w:val="none"/>
          <w:lang w:val="en-US" w:eastAsia="zh-CN"/>
        </w:rPr>
        <w:t>三</w:t>
      </w:r>
      <w:r>
        <w:rPr>
          <w:rFonts w:hint="eastAsia" w:ascii="仿宋" w:hAnsi="仿宋" w:eastAsia="仿宋"/>
          <w:b/>
          <w:bCs/>
          <w:color w:val="000000"/>
          <w:sz w:val="32"/>
          <w:szCs w:val="32"/>
          <w:highlight w:val="none"/>
        </w:rPr>
        <w:t>、其它资料</w:t>
      </w:r>
    </w:p>
    <w:p w14:paraId="6613FF65">
      <w:pPr>
        <w:rPr>
          <w:rFonts w:ascii="仿宋" w:hAnsi="仿宋" w:eastAsia="仿宋"/>
          <w:b/>
          <w:bCs/>
          <w:color w:val="000000"/>
          <w:kern w:val="0"/>
          <w:sz w:val="28"/>
          <w:szCs w:val="28"/>
          <w:highlight w:val="none"/>
        </w:rPr>
      </w:pPr>
      <w:r>
        <w:rPr>
          <w:rFonts w:hint="eastAsia" w:ascii="仿宋" w:hAnsi="仿宋" w:eastAsia="仿宋"/>
          <w:b/>
          <w:bCs/>
          <w:color w:val="000000"/>
          <w:kern w:val="0"/>
          <w:sz w:val="28"/>
          <w:szCs w:val="28"/>
          <w:highlight w:val="none"/>
        </w:rPr>
        <w:t xml:space="preserve"> </w:t>
      </w:r>
    </w:p>
    <w:p w14:paraId="28F2470F">
      <w:pPr>
        <w:rPr>
          <w:highlight w:val="none"/>
        </w:rPr>
      </w:pPr>
    </w:p>
    <w:sectPr>
      <w:pgSz w:w="11906" w:h="16838"/>
      <w:pgMar w:top="1355" w:right="1321" w:bottom="1355" w:left="132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10" w:usb3="00000000" w:csb0="0004009F"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823DD">
    <w:pPr>
      <w:pStyle w:val="12"/>
      <w:jc w:val="right"/>
      <w:rPr>
        <w:rFonts w:ascii="仿宋" w:hAnsi="仿宋" w:eastAsia="仿宋" w:cs="仿宋"/>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4AB4A">
    <w:pPr>
      <w:pStyle w:val="12"/>
      <w:jc w:val="right"/>
      <w:rPr>
        <w:rFonts w:ascii="仿宋" w:hAnsi="仿宋" w:eastAsia="仿宋" w:cs="仿宋"/>
        <w:sz w:val="21"/>
        <w:szCs w:val="21"/>
      </w:rPr>
    </w:pPr>
    <w:r>
      <w:rPr>
        <w:rFonts w:ascii="仿宋" w:hAnsi="仿宋" w:eastAsia="仿宋" w:cs="仿宋"/>
        <w:sz w:val="21"/>
        <w:szCs w:val="21"/>
      </w:rPr>
      <w:pict>
        <v:shape id="_x0000_s2049" o:spid="_x0000_s204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14:paraId="6F731F7C">
                <w:pPr>
                  <w:pStyle w:val="12"/>
                  <w:rPr>
                    <w:rFonts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24</w:t>
                </w:r>
                <w:r>
                  <w:rPr>
                    <w:rFonts w:hint="eastAsia" w:ascii="仿宋" w:hAnsi="仿宋" w:eastAsia="仿宋" w:cs="仿宋"/>
                    <w:sz w:val="21"/>
                    <w:szCs w:val="21"/>
                  </w:rPr>
                  <w:fldChar w:fldCharType="end"/>
                </w:r>
                <w:r>
                  <w:rPr>
                    <w:rFonts w:hint="eastAsia" w:ascii="仿宋" w:hAnsi="仿宋" w:eastAsia="仿宋" w:cs="仿宋"/>
                    <w:sz w:val="21"/>
                    <w:szCs w:val="21"/>
                  </w:rPr>
                  <w:t xml:space="preserve"> —</w:t>
                </w:r>
              </w:p>
            </w:txbxContent>
          </v:textbox>
        </v:shape>
      </w:pict>
    </w:r>
    <w:r>
      <w:rPr>
        <w:rFonts w:hint="eastAsia" w:ascii="仿宋" w:hAnsi="仿宋" w:eastAsia="仿宋" w:cs="仿宋"/>
        <w:sz w:val="21"/>
        <w:szCs w:val="21"/>
      </w:rPr>
      <w:t>德宏州润宇招标代理有限公司</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92AE3A"/>
    <w:multiLevelType w:val="multilevel"/>
    <w:tmpl w:val="0692AE3A"/>
    <w:lvl w:ilvl="0" w:tentative="0">
      <w:start w:val="11"/>
      <w:numFmt w:val="decimal"/>
      <w:lvlText w:val="%1"/>
      <w:lvlJc w:val="left"/>
      <w:pPr>
        <w:ind w:left="420" w:hanging="420"/>
      </w:pPr>
      <w:rPr>
        <w:rFonts w:hint="default"/>
      </w:rPr>
    </w:lvl>
    <w:lvl w:ilvl="1" w:tentative="0">
      <w:start w:val="1"/>
      <w:numFmt w:val="decimal"/>
      <w:suff w:val="space"/>
      <w:lvlText w:val="%1.%2"/>
      <w:lvlJc w:val="left"/>
      <w:pPr>
        <w:ind w:left="454" w:hanging="454"/>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
    <w:nsid w:val="6F4F1085"/>
    <w:multiLevelType w:val="multilevel"/>
    <w:tmpl w:val="6F4F1085"/>
    <w:lvl w:ilvl="0" w:tentative="0">
      <w:start w:val="1"/>
      <w:numFmt w:val="decimal"/>
      <w:suff w:val="space"/>
      <w:lvlText w:val="%1."/>
      <w:lvlJc w:val="left"/>
      <w:pPr>
        <w:ind w:left="360" w:hanging="360"/>
      </w:pPr>
      <w:rPr>
        <w:rFonts w:hint="default"/>
      </w:rPr>
    </w:lvl>
    <w:lvl w:ilvl="1" w:tentative="0">
      <w:start w:val="1"/>
      <w:numFmt w:val="decimal"/>
      <w:isLgl/>
      <w:suff w:val="space"/>
      <w:lvlText w:val="%1.%2"/>
      <w:lvlJc w:val="left"/>
      <w:pPr>
        <w:ind w:left="357" w:hanging="357"/>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jdiOGVmZDUyMzY1YmI5YTI3NTVmM2ZlNjE3NWFkMzAifQ=="/>
  </w:docVars>
  <w:rsids>
    <w:rsidRoot w:val="00971A65"/>
    <w:rsid w:val="00080EDA"/>
    <w:rsid w:val="000B276F"/>
    <w:rsid w:val="0017732E"/>
    <w:rsid w:val="001A4716"/>
    <w:rsid w:val="00252330"/>
    <w:rsid w:val="00253ED9"/>
    <w:rsid w:val="00273599"/>
    <w:rsid w:val="002B1D13"/>
    <w:rsid w:val="00327CB1"/>
    <w:rsid w:val="00500AA4"/>
    <w:rsid w:val="00525518"/>
    <w:rsid w:val="00557424"/>
    <w:rsid w:val="005B6699"/>
    <w:rsid w:val="006045DB"/>
    <w:rsid w:val="006258A6"/>
    <w:rsid w:val="00686278"/>
    <w:rsid w:val="00772760"/>
    <w:rsid w:val="00863B59"/>
    <w:rsid w:val="008968F2"/>
    <w:rsid w:val="00902C2A"/>
    <w:rsid w:val="00971A65"/>
    <w:rsid w:val="009819AD"/>
    <w:rsid w:val="00B6063E"/>
    <w:rsid w:val="00CA05ED"/>
    <w:rsid w:val="00D24FF0"/>
    <w:rsid w:val="00E80183"/>
    <w:rsid w:val="0111235A"/>
    <w:rsid w:val="012313A8"/>
    <w:rsid w:val="012810B4"/>
    <w:rsid w:val="01390BCC"/>
    <w:rsid w:val="016C0FA1"/>
    <w:rsid w:val="01C761D7"/>
    <w:rsid w:val="022E6257"/>
    <w:rsid w:val="02421D02"/>
    <w:rsid w:val="02681684"/>
    <w:rsid w:val="02781BC8"/>
    <w:rsid w:val="030D2310"/>
    <w:rsid w:val="03200295"/>
    <w:rsid w:val="0326672B"/>
    <w:rsid w:val="037203C5"/>
    <w:rsid w:val="03725F44"/>
    <w:rsid w:val="037A17DE"/>
    <w:rsid w:val="03EE0F11"/>
    <w:rsid w:val="04310280"/>
    <w:rsid w:val="046B42E1"/>
    <w:rsid w:val="04892F2B"/>
    <w:rsid w:val="048D195A"/>
    <w:rsid w:val="04991296"/>
    <w:rsid w:val="05056501"/>
    <w:rsid w:val="050B7D18"/>
    <w:rsid w:val="05247076"/>
    <w:rsid w:val="054305F2"/>
    <w:rsid w:val="05A83628"/>
    <w:rsid w:val="05B178CA"/>
    <w:rsid w:val="066761DB"/>
    <w:rsid w:val="068965D5"/>
    <w:rsid w:val="06913258"/>
    <w:rsid w:val="070D4DEF"/>
    <w:rsid w:val="070E636A"/>
    <w:rsid w:val="074D2288"/>
    <w:rsid w:val="07523500"/>
    <w:rsid w:val="076369A2"/>
    <w:rsid w:val="078057A6"/>
    <w:rsid w:val="078A2181"/>
    <w:rsid w:val="078D3A1F"/>
    <w:rsid w:val="07C338E5"/>
    <w:rsid w:val="07F67816"/>
    <w:rsid w:val="085C2FC2"/>
    <w:rsid w:val="08702488"/>
    <w:rsid w:val="08735873"/>
    <w:rsid w:val="087B5F6E"/>
    <w:rsid w:val="08872B64"/>
    <w:rsid w:val="088E3EF3"/>
    <w:rsid w:val="08D315E7"/>
    <w:rsid w:val="09012917"/>
    <w:rsid w:val="090E0B90"/>
    <w:rsid w:val="09265ED9"/>
    <w:rsid w:val="092C7400"/>
    <w:rsid w:val="0960344D"/>
    <w:rsid w:val="0A0615C6"/>
    <w:rsid w:val="0A20038D"/>
    <w:rsid w:val="0A2D46D2"/>
    <w:rsid w:val="0A5F5B47"/>
    <w:rsid w:val="0A793240"/>
    <w:rsid w:val="0A91533A"/>
    <w:rsid w:val="0A9919B5"/>
    <w:rsid w:val="0AA64BFD"/>
    <w:rsid w:val="0AE00732"/>
    <w:rsid w:val="0B0E4E77"/>
    <w:rsid w:val="0B2C354F"/>
    <w:rsid w:val="0B4B7E79"/>
    <w:rsid w:val="0B534F80"/>
    <w:rsid w:val="0B6B051B"/>
    <w:rsid w:val="0BDC4F75"/>
    <w:rsid w:val="0BDE0CED"/>
    <w:rsid w:val="0C252478"/>
    <w:rsid w:val="0C252508"/>
    <w:rsid w:val="0C2858CC"/>
    <w:rsid w:val="0C424FD1"/>
    <w:rsid w:val="0C62191E"/>
    <w:rsid w:val="0C8F1FE8"/>
    <w:rsid w:val="0C9950B0"/>
    <w:rsid w:val="0C9F5E99"/>
    <w:rsid w:val="0CA37841"/>
    <w:rsid w:val="0CDB522D"/>
    <w:rsid w:val="0D3B3F1D"/>
    <w:rsid w:val="0D3F57BC"/>
    <w:rsid w:val="0D6D5B36"/>
    <w:rsid w:val="0D7C0F42"/>
    <w:rsid w:val="0D933D59"/>
    <w:rsid w:val="0DA5675A"/>
    <w:rsid w:val="0DAE649D"/>
    <w:rsid w:val="0E707BF7"/>
    <w:rsid w:val="0E990EFC"/>
    <w:rsid w:val="0EC71F0D"/>
    <w:rsid w:val="0ED65CAC"/>
    <w:rsid w:val="0EF6634E"/>
    <w:rsid w:val="0F4277E5"/>
    <w:rsid w:val="0F4E7F38"/>
    <w:rsid w:val="0F5372FC"/>
    <w:rsid w:val="0F751969"/>
    <w:rsid w:val="0F7C2CF7"/>
    <w:rsid w:val="0FCB1589"/>
    <w:rsid w:val="100D394F"/>
    <w:rsid w:val="1034712E"/>
    <w:rsid w:val="10521CAA"/>
    <w:rsid w:val="106D1372"/>
    <w:rsid w:val="10C34956"/>
    <w:rsid w:val="10F44B0F"/>
    <w:rsid w:val="11090360"/>
    <w:rsid w:val="11124F95"/>
    <w:rsid w:val="1124023D"/>
    <w:rsid w:val="11895257"/>
    <w:rsid w:val="122D02D9"/>
    <w:rsid w:val="12470CCC"/>
    <w:rsid w:val="124B55AF"/>
    <w:rsid w:val="125D0492"/>
    <w:rsid w:val="127A4E8F"/>
    <w:rsid w:val="127C4DBC"/>
    <w:rsid w:val="132F270C"/>
    <w:rsid w:val="134A6C68"/>
    <w:rsid w:val="13A46379"/>
    <w:rsid w:val="13FB4994"/>
    <w:rsid w:val="14261483"/>
    <w:rsid w:val="14373691"/>
    <w:rsid w:val="14411E19"/>
    <w:rsid w:val="146617CF"/>
    <w:rsid w:val="14860174"/>
    <w:rsid w:val="1490549F"/>
    <w:rsid w:val="14E35883"/>
    <w:rsid w:val="14FB46BE"/>
    <w:rsid w:val="15044AF8"/>
    <w:rsid w:val="152534E9"/>
    <w:rsid w:val="152F4368"/>
    <w:rsid w:val="15466EB4"/>
    <w:rsid w:val="154B337E"/>
    <w:rsid w:val="155D688F"/>
    <w:rsid w:val="15791A87"/>
    <w:rsid w:val="157F6D3F"/>
    <w:rsid w:val="158F3058"/>
    <w:rsid w:val="15916DD0"/>
    <w:rsid w:val="15A105F5"/>
    <w:rsid w:val="15A765F4"/>
    <w:rsid w:val="16045491"/>
    <w:rsid w:val="16052DA8"/>
    <w:rsid w:val="160A039A"/>
    <w:rsid w:val="161A0B74"/>
    <w:rsid w:val="161A5018"/>
    <w:rsid w:val="166167A3"/>
    <w:rsid w:val="167575DE"/>
    <w:rsid w:val="168D3A3C"/>
    <w:rsid w:val="169C5A2D"/>
    <w:rsid w:val="16BF171B"/>
    <w:rsid w:val="16DE1BA1"/>
    <w:rsid w:val="173739A8"/>
    <w:rsid w:val="17D80A18"/>
    <w:rsid w:val="17F378CF"/>
    <w:rsid w:val="18167A61"/>
    <w:rsid w:val="184D0C01"/>
    <w:rsid w:val="187F73B4"/>
    <w:rsid w:val="18822A00"/>
    <w:rsid w:val="18AE7C99"/>
    <w:rsid w:val="18B708FC"/>
    <w:rsid w:val="18D314AE"/>
    <w:rsid w:val="18DB6AD0"/>
    <w:rsid w:val="18EB4A4A"/>
    <w:rsid w:val="194A5C14"/>
    <w:rsid w:val="19881E8B"/>
    <w:rsid w:val="19882298"/>
    <w:rsid w:val="19F27963"/>
    <w:rsid w:val="1A073B05"/>
    <w:rsid w:val="1A0F5AD4"/>
    <w:rsid w:val="1A341FDA"/>
    <w:rsid w:val="1A512FD2"/>
    <w:rsid w:val="1A612413"/>
    <w:rsid w:val="1A622AE9"/>
    <w:rsid w:val="1A69031C"/>
    <w:rsid w:val="1A7F161B"/>
    <w:rsid w:val="1A8C6779"/>
    <w:rsid w:val="1AAE21D3"/>
    <w:rsid w:val="1ABC669E"/>
    <w:rsid w:val="1AD4308C"/>
    <w:rsid w:val="1ADA6B24"/>
    <w:rsid w:val="1AF5570C"/>
    <w:rsid w:val="1AF71484"/>
    <w:rsid w:val="1B067919"/>
    <w:rsid w:val="1B34092A"/>
    <w:rsid w:val="1B4D5548"/>
    <w:rsid w:val="1B4F12C0"/>
    <w:rsid w:val="1B5E59A7"/>
    <w:rsid w:val="1B6630B8"/>
    <w:rsid w:val="1BBE4697"/>
    <w:rsid w:val="1BE37C5A"/>
    <w:rsid w:val="1C3B5CE8"/>
    <w:rsid w:val="1C4526C3"/>
    <w:rsid w:val="1C4C75BF"/>
    <w:rsid w:val="1C9B22E3"/>
    <w:rsid w:val="1CC23D13"/>
    <w:rsid w:val="1CD87093"/>
    <w:rsid w:val="1CE7377A"/>
    <w:rsid w:val="1CF14B87"/>
    <w:rsid w:val="1D1C585C"/>
    <w:rsid w:val="1E195BB5"/>
    <w:rsid w:val="1E616D7F"/>
    <w:rsid w:val="1E7B3054"/>
    <w:rsid w:val="1EAD65EA"/>
    <w:rsid w:val="1EB34D61"/>
    <w:rsid w:val="1EDA3596"/>
    <w:rsid w:val="1EDD3086"/>
    <w:rsid w:val="1EFB350D"/>
    <w:rsid w:val="1F0506DA"/>
    <w:rsid w:val="1F070A8A"/>
    <w:rsid w:val="1F3A2287"/>
    <w:rsid w:val="1FA058F2"/>
    <w:rsid w:val="1FA6661C"/>
    <w:rsid w:val="1FAB5110"/>
    <w:rsid w:val="1FB97650"/>
    <w:rsid w:val="1FC85AE5"/>
    <w:rsid w:val="20580C17"/>
    <w:rsid w:val="205C1FDB"/>
    <w:rsid w:val="205C7FDB"/>
    <w:rsid w:val="207F2647"/>
    <w:rsid w:val="208E4638"/>
    <w:rsid w:val="20A839AB"/>
    <w:rsid w:val="20DA2292"/>
    <w:rsid w:val="211B3513"/>
    <w:rsid w:val="21747CD2"/>
    <w:rsid w:val="21810F97"/>
    <w:rsid w:val="219C4B33"/>
    <w:rsid w:val="219F0AC7"/>
    <w:rsid w:val="21B23500"/>
    <w:rsid w:val="21FF3314"/>
    <w:rsid w:val="221B32F3"/>
    <w:rsid w:val="226715E5"/>
    <w:rsid w:val="226A69DF"/>
    <w:rsid w:val="22791318"/>
    <w:rsid w:val="22AA3280"/>
    <w:rsid w:val="22FE5379"/>
    <w:rsid w:val="23290648"/>
    <w:rsid w:val="23356FED"/>
    <w:rsid w:val="23384D2F"/>
    <w:rsid w:val="23996ED4"/>
    <w:rsid w:val="23A32C52"/>
    <w:rsid w:val="23E24451"/>
    <w:rsid w:val="23ED78C8"/>
    <w:rsid w:val="23F01166"/>
    <w:rsid w:val="24194B61"/>
    <w:rsid w:val="2453623C"/>
    <w:rsid w:val="24704055"/>
    <w:rsid w:val="248A15BB"/>
    <w:rsid w:val="24A80E38"/>
    <w:rsid w:val="24AB32DF"/>
    <w:rsid w:val="24B403E6"/>
    <w:rsid w:val="24C0764C"/>
    <w:rsid w:val="24C745BD"/>
    <w:rsid w:val="250A26FB"/>
    <w:rsid w:val="252415A7"/>
    <w:rsid w:val="252E1F46"/>
    <w:rsid w:val="254B6F9C"/>
    <w:rsid w:val="25553977"/>
    <w:rsid w:val="2559683D"/>
    <w:rsid w:val="25822292"/>
    <w:rsid w:val="258D7005"/>
    <w:rsid w:val="259D0E7A"/>
    <w:rsid w:val="25D52D09"/>
    <w:rsid w:val="25E22D30"/>
    <w:rsid w:val="26031625"/>
    <w:rsid w:val="266B541C"/>
    <w:rsid w:val="2685203A"/>
    <w:rsid w:val="268F2D4D"/>
    <w:rsid w:val="26E07FCC"/>
    <w:rsid w:val="27290E16"/>
    <w:rsid w:val="27376525"/>
    <w:rsid w:val="27893DAB"/>
    <w:rsid w:val="27D33279"/>
    <w:rsid w:val="27EE1E60"/>
    <w:rsid w:val="27F54F9D"/>
    <w:rsid w:val="27F73402"/>
    <w:rsid w:val="280276BA"/>
    <w:rsid w:val="280D3643"/>
    <w:rsid w:val="280E605F"/>
    <w:rsid w:val="281573ED"/>
    <w:rsid w:val="28CC474C"/>
    <w:rsid w:val="28E5332C"/>
    <w:rsid w:val="29143B49"/>
    <w:rsid w:val="291B6C85"/>
    <w:rsid w:val="292518B2"/>
    <w:rsid w:val="292C49EE"/>
    <w:rsid w:val="29317885"/>
    <w:rsid w:val="294A756A"/>
    <w:rsid w:val="29916F47"/>
    <w:rsid w:val="29A419A3"/>
    <w:rsid w:val="29C966E1"/>
    <w:rsid w:val="29EB2AFB"/>
    <w:rsid w:val="29F15C38"/>
    <w:rsid w:val="2A720B27"/>
    <w:rsid w:val="2A8D46CE"/>
    <w:rsid w:val="2A950CB9"/>
    <w:rsid w:val="2B485D2C"/>
    <w:rsid w:val="2B732DA8"/>
    <w:rsid w:val="2BAA0794"/>
    <w:rsid w:val="2BAC0068"/>
    <w:rsid w:val="2BCC24B9"/>
    <w:rsid w:val="2C041C52"/>
    <w:rsid w:val="2C0C4FAB"/>
    <w:rsid w:val="2C10566F"/>
    <w:rsid w:val="2C6170A5"/>
    <w:rsid w:val="2C7072E8"/>
    <w:rsid w:val="2CE43832"/>
    <w:rsid w:val="2CFB592E"/>
    <w:rsid w:val="2D0B5263"/>
    <w:rsid w:val="2D1161A8"/>
    <w:rsid w:val="2D8D7A26"/>
    <w:rsid w:val="2DAA682A"/>
    <w:rsid w:val="2DF6515F"/>
    <w:rsid w:val="2E607376"/>
    <w:rsid w:val="2E615AEB"/>
    <w:rsid w:val="2E876B6B"/>
    <w:rsid w:val="2EB01C1E"/>
    <w:rsid w:val="2EBC6814"/>
    <w:rsid w:val="2EF275EA"/>
    <w:rsid w:val="2F0F5FD2"/>
    <w:rsid w:val="2F176141"/>
    <w:rsid w:val="2FC23CCE"/>
    <w:rsid w:val="30316D8E"/>
    <w:rsid w:val="30542A7D"/>
    <w:rsid w:val="30986D57"/>
    <w:rsid w:val="30AB35A1"/>
    <w:rsid w:val="30AD0B0B"/>
    <w:rsid w:val="30AF64B9"/>
    <w:rsid w:val="30B023A9"/>
    <w:rsid w:val="30D24471"/>
    <w:rsid w:val="30DD6F16"/>
    <w:rsid w:val="30E65DCB"/>
    <w:rsid w:val="30F06C49"/>
    <w:rsid w:val="317909ED"/>
    <w:rsid w:val="31A33CBC"/>
    <w:rsid w:val="31B031A0"/>
    <w:rsid w:val="31B45EC9"/>
    <w:rsid w:val="322D3335"/>
    <w:rsid w:val="32A93554"/>
    <w:rsid w:val="32B20B24"/>
    <w:rsid w:val="32BB6DE3"/>
    <w:rsid w:val="32CE4D68"/>
    <w:rsid w:val="32EC3440"/>
    <w:rsid w:val="33286D2A"/>
    <w:rsid w:val="33704071"/>
    <w:rsid w:val="3381627F"/>
    <w:rsid w:val="33955886"/>
    <w:rsid w:val="339935C8"/>
    <w:rsid w:val="33CD3272"/>
    <w:rsid w:val="33D509D3"/>
    <w:rsid w:val="33F702EF"/>
    <w:rsid w:val="340A0022"/>
    <w:rsid w:val="34254E5C"/>
    <w:rsid w:val="346040E6"/>
    <w:rsid w:val="34645984"/>
    <w:rsid w:val="34713BFD"/>
    <w:rsid w:val="34714FD7"/>
    <w:rsid w:val="34D348B8"/>
    <w:rsid w:val="34F230EB"/>
    <w:rsid w:val="356E2833"/>
    <w:rsid w:val="35C3492C"/>
    <w:rsid w:val="35C506A4"/>
    <w:rsid w:val="35F72828"/>
    <w:rsid w:val="360B4516"/>
    <w:rsid w:val="3619454C"/>
    <w:rsid w:val="36201CA5"/>
    <w:rsid w:val="36FE5B80"/>
    <w:rsid w:val="37AF33BA"/>
    <w:rsid w:val="37CC3B28"/>
    <w:rsid w:val="37D01583"/>
    <w:rsid w:val="37D7646D"/>
    <w:rsid w:val="37EC619B"/>
    <w:rsid w:val="388C276E"/>
    <w:rsid w:val="38ED70F1"/>
    <w:rsid w:val="38EE1CC0"/>
    <w:rsid w:val="39363667"/>
    <w:rsid w:val="3951224F"/>
    <w:rsid w:val="39893797"/>
    <w:rsid w:val="39E210F9"/>
    <w:rsid w:val="39F23A32"/>
    <w:rsid w:val="39FA6830"/>
    <w:rsid w:val="3A2E2CFA"/>
    <w:rsid w:val="3A335FE0"/>
    <w:rsid w:val="3A773F37"/>
    <w:rsid w:val="3A79380C"/>
    <w:rsid w:val="3A8E1EA0"/>
    <w:rsid w:val="3AE75F01"/>
    <w:rsid w:val="3B295232"/>
    <w:rsid w:val="3B443E1A"/>
    <w:rsid w:val="3B4F1833"/>
    <w:rsid w:val="3B7B2504"/>
    <w:rsid w:val="3B806E1C"/>
    <w:rsid w:val="3B844B5E"/>
    <w:rsid w:val="3B8A37F6"/>
    <w:rsid w:val="3B9C1479"/>
    <w:rsid w:val="3BA42B0A"/>
    <w:rsid w:val="3BAE1BDB"/>
    <w:rsid w:val="3BC9431F"/>
    <w:rsid w:val="3C20213A"/>
    <w:rsid w:val="3C340960"/>
    <w:rsid w:val="3C3B1AD0"/>
    <w:rsid w:val="3C3C1CB9"/>
    <w:rsid w:val="3C6B3628"/>
    <w:rsid w:val="3C81109D"/>
    <w:rsid w:val="3CA31EB6"/>
    <w:rsid w:val="3CB21639"/>
    <w:rsid w:val="3CC01BC6"/>
    <w:rsid w:val="3D3305EA"/>
    <w:rsid w:val="3D4225DB"/>
    <w:rsid w:val="3D995F73"/>
    <w:rsid w:val="3DC21E80"/>
    <w:rsid w:val="3DDA2813"/>
    <w:rsid w:val="3E282512"/>
    <w:rsid w:val="3E2C6DE7"/>
    <w:rsid w:val="3E4800C5"/>
    <w:rsid w:val="3E481E73"/>
    <w:rsid w:val="3E5A11AA"/>
    <w:rsid w:val="3E641245"/>
    <w:rsid w:val="3E66679D"/>
    <w:rsid w:val="3E9A6446"/>
    <w:rsid w:val="3E9B4698"/>
    <w:rsid w:val="3EC17BD0"/>
    <w:rsid w:val="3ECC2AA4"/>
    <w:rsid w:val="3ED43706"/>
    <w:rsid w:val="3EE33949"/>
    <w:rsid w:val="3EF2511F"/>
    <w:rsid w:val="3F402B4A"/>
    <w:rsid w:val="3F9D12D9"/>
    <w:rsid w:val="3FF57DD8"/>
    <w:rsid w:val="402F613F"/>
    <w:rsid w:val="403F1053"/>
    <w:rsid w:val="404E573A"/>
    <w:rsid w:val="409969B6"/>
    <w:rsid w:val="40A4535A"/>
    <w:rsid w:val="40B42395"/>
    <w:rsid w:val="40C31C84"/>
    <w:rsid w:val="40DE086C"/>
    <w:rsid w:val="40FA4F7A"/>
    <w:rsid w:val="40FC5196"/>
    <w:rsid w:val="410423F9"/>
    <w:rsid w:val="4134048C"/>
    <w:rsid w:val="41466412"/>
    <w:rsid w:val="41994F2A"/>
    <w:rsid w:val="41EA3241"/>
    <w:rsid w:val="41F36599"/>
    <w:rsid w:val="421D53C4"/>
    <w:rsid w:val="421F11DB"/>
    <w:rsid w:val="42293D69"/>
    <w:rsid w:val="422C64D3"/>
    <w:rsid w:val="423821FE"/>
    <w:rsid w:val="42462B6D"/>
    <w:rsid w:val="42817701"/>
    <w:rsid w:val="42934031"/>
    <w:rsid w:val="42A33B1C"/>
    <w:rsid w:val="42A653BA"/>
    <w:rsid w:val="42B23D5F"/>
    <w:rsid w:val="42F73E67"/>
    <w:rsid w:val="42F80640"/>
    <w:rsid w:val="431E31A2"/>
    <w:rsid w:val="436F49F9"/>
    <w:rsid w:val="43A35D9D"/>
    <w:rsid w:val="443469F5"/>
    <w:rsid w:val="445A1A13"/>
    <w:rsid w:val="44C10289"/>
    <w:rsid w:val="44F20D8A"/>
    <w:rsid w:val="44F66BF4"/>
    <w:rsid w:val="45153531"/>
    <w:rsid w:val="456270F8"/>
    <w:rsid w:val="45967968"/>
    <w:rsid w:val="4597548E"/>
    <w:rsid w:val="45C87998"/>
    <w:rsid w:val="45D95AA6"/>
    <w:rsid w:val="45E74D31"/>
    <w:rsid w:val="45F36B68"/>
    <w:rsid w:val="46054AED"/>
    <w:rsid w:val="46454EEA"/>
    <w:rsid w:val="46647A66"/>
    <w:rsid w:val="469B0FAE"/>
    <w:rsid w:val="46DC584E"/>
    <w:rsid w:val="46EE5581"/>
    <w:rsid w:val="46FA25B9"/>
    <w:rsid w:val="47176886"/>
    <w:rsid w:val="473B3818"/>
    <w:rsid w:val="477041E8"/>
    <w:rsid w:val="47705F96"/>
    <w:rsid w:val="47A74873"/>
    <w:rsid w:val="47AA59C1"/>
    <w:rsid w:val="47B539F8"/>
    <w:rsid w:val="47CA672D"/>
    <w:rsid w:val="47D15824"/>
    <w:rsid w:val="47D227AD"/>
    <w:rsid w:val="4817529A"/>
    <w:rsid w:val="48927CEE"/>
    <w:rsid w:val="48C03515"/>
    <w:rsid w:val="48D03190"/>
    <w:rsid w:val="48F96348"/>
    <w:rsid w:val="494D658F"/>
    <w:rsid w:val="498166D1"/>
    <w:rsid w:val="49867CF3"/>
    <w:rsid w:val="49AE2DA6"/>
    <w:rsid w:val="49B20AE8"/>
    <w:rsid w:val="49C34AA3"/>
    <w:rsid w:val="49D942C7"/>
    <w:rsid w:val="4A123335"/>
    <w:rsid w:val="4A38723F"/>
    <w:rsid w:val="4A7D4C52"/>
    <w:rsid w:val="4A807A1E"/>
    <w:rsid w:val="4AB10DA0"/>
    <w:rsid w:val="4AC565F9"/>
    <w:rsid w:val="4B1A06F3"/>
    <w:rsid w:val="4B321EE0"/>
    <w:rsid w:val="4B325670"/>
    <w:rsid w:val="4B335C59"/>
    <w:rsid w:val="4B4439C2"/>
    <w:rsid w:val="4B9078B5"/>
    <w:rsid w:val="4B9A1834"/>
    <w:rsid w:val="4BAD1567"/>
    <w:rsid w:val="4C2B52E7"/>
    <w:rsid w:val="4CB434FF"/>
    <w:rsid w:val="4CB60FD5"/>
    <w:rsid w:val="4CBD57DA"/>
    <w:rsid w:val="4D0B0C3B"/>
    <w:rsid w:val="4D267823"/>
    <w:rsid w:val="4D8602C2"/>
    <w:rsid w:val="4DAC0F44"/>
    <w:rsid w:val="4DB71498"/>
    <w:rsid w:val="4DBA7F6B"/>
    <w:rsid w:val="4E17716C"/>
    <w:rsid w:val="4E281379"/>
    <w:rsid w:val="4E3F66C2"/>
    <w:rsid w:val="4EA56E6D"/>
    <w:rsid w:val="4EAC1FAA"/>
    <w:rsid w:val="4EE72FE2"/>
    <w:rsid w:val="4F343D4D"/>
    <w:rsid w:val="4FB31ECA"/>
    <w:rsid w:val="4FB52EBC"/>
    <w:rsid w:val="4FC357FD"/>
    <w:rsid w:val="4FD572DE"/>
    <w:rsid w:val="505A77E4"/>
    <w:rsid w:val="50C86E43"/>
    <w:rsid w:val="51031C29"/>
    <w:rsid w:val="512F7688"/>
    <w:rsid w:val="516C5A20"/>
    <w:rsid w:val="518E5997"/>
    <w:rsid w:val="51A82AC2"/>
    <w:rsid w:val="51AC0513"/>
    <w:rsid w:val="51B64EEE"/>
    <w:rsid w:val="51C972C4"/>
    <w:rsid w:val="51CC130F"/>
    <w:rsid w:val="52416EAD"/>
    <w:rsid w:val="52495D62"/>
    <w:rsid w:val="528172AA"/>
    <w:rsid w:val="52A770BC"/>
    <w:rsid w:val="52FB3500"/>
    <w:rsid w:val="53165C44"/>
    <w:rsid w:val="532C190B"/>
    <w:rsid w:val="533B0847"/>
    <w:rsid w:val="53424C8B"/>
    <w:rsid w:val="535D7D17"/>
    <w:rsid w:val="5382777D"/>
    <w:rsid w:val="53990623"/>
    <w:rsid w:val="53D041D1"/>
    <w:rsid w:val="53FD70F6"/>
    <w:rsid w:val="545A4256"/>
    <w:rsid w:val="545A6004"/>
    <w:rsid w:val="545E69E5"/>
    <w:rsid w:val="545F361A"/>
    <w:rsid w:val="54905ECA"/>
    <w:rsid w:val="54984EB3"/>
    <w:rsid w:val="54E55B5A"/>
    <w:rsid w:val="55081F04"/>
    <w:rsid w:val="551A4038"/>
    <w:rsid w:val="55287EB0"/>
    <w:rsid w:val="55410F72"/>
    <w:rsid w:val="55894DF3"/>
    <w:rsid w:val="55BC7D0E"/>
    <w:rsid w:val="560721BC"/>
    <w:rsid w:val="560E70A6"/>
    <w:rsid w:val="561346BC"/>
    <w:rsid w:val="56194281"/>
    <w:rsid w:val="563F54B2"/>
    <w:rsid w:val="564B02FA"/>
    <w:rsid w:val="56535401"/>
    <w:rsid w:val="56861332"/>
    <w:rsid w:val="569F23F4"/>
    <w:rsid w:val="56E073C6"/>
    <w:rsid w:val="56E672C2"/>
    <w:rsid w:val="56EB73E7"/>
    <w:rsid w:val="57527466"/>
    <w:rsid w:val="580A7D41"/>
    <w:rsid w:val="581110D0"/>
    <w:rsid w:val="589D2551"/>
    <w:rsid w:val="589F66DB"/>
    <w:rsid w:val="58E52E80"/>
    <w:rsid w:val="58EB1921"/>
    <w:rsid w:val="58FE78A6"/>
    <w:rsid w:val="5908515D"/>
    <w:rsid w:val="591C7D2C"/>
    <w:rsid w:val="592D1F39"/>
    <w:rsid w:val="594C0979"/>
    <w:rsid w:val="598002BB"/>
    <w:rsid w:val="59A246D5"/>
    <w:rsid w:val="59DC5288"/>
    <w:rsid w:val="5A0215A1"/>
    <w:rsid w:val="5A317807"/>
    <w:rsid w:val="5A68520E"/>
    <w:rsid w:val="5A6C083F"/>
    <w:rsid w:val="5A737E20"/>
    <w:rsid w:val="5A7F4351"/>
    <w:rsid w:val="5AD6728C"/>
    <w:rsid w:val="5B2E2E3B"/>
    <w:rsid w:val="5B2E3D47"/>
    <w:rsid w:val="5B461090"/>
    <w:rsid w:val="5B857E0A"/>
    <w:rsid w:val="5B962018"/>
    <w:rsid w:val="5BAC7F3F"/>
    <w:rsid w:val="5C3F26AF"/>
    <w:rsid w:val="5C4F4200"/>
    <w:rsid w:val="5C776F19"/>
    <w:rsid w:val="5CA61FE4"/>
    <w:rsid w:val="5CC03A3D"/>
    <w:rsid w:val="5CD9503E"/>
    <w:rsid w:val="5CDF354A"/>
    <w:rsid w:val="5CFE60C6"/>
    <w:rsid w:val="5D2B6790"/>
    <w:rsid w:val="5D5266D6"/>
    <w:rsid w:val="5D55380D"/>
    <w:rsid w:val="5D7D63F1"/>
    <w:rsid w:val="5DD15589"/>
    <w:rsid w:val="5E631F59"/>
    <w:rsid w:val="5E9B16F3"/>
    <w:rsid w:val="5EA54320"/>
    <w:rsid w:val="5ED66BCF"/>
    <w:rsid w:val="5EEC63F2"/>
    <w:rsid w:val="5EFC6636"/>
    <w:rsid w:val="5F482CD8"/>
    <w:rsid w:val="5F49220B"/>
    <w:rsid w:val="5F666820"/>
    <w:rsid w:val="5F7563E8"/>
    <w:rsid w:val="5FAF36A8"/>
    <w:rsid w:val="5FB05863"/>
    <w:rsid w:val="5FBB1A30"/>
    <w:rsid w:val="5FCC5E3A"/>
    <w:rsid w:val="5FCD1D80"/>
    <w:rsid w:val="5FF11F12"/>
    <w:rsid w:val="5FF94923"/>
    <w:rsid w:val="5FFE7F3F"/>
    <w:rsid w:val="5FFF04A2"/>
    <w:rsid w:val="60365B77"/>
    <w:rsid w:val="604B286F"/>
    <w:rsid w:val="60575AEE"/>
    <w:rsid w:val="6065645C"/>
    <w:rsid w:val="60917251"/>
    <w:rsid w:val="60FD6695"/>
    <w:rsid w:val="611063C8"/>
    <w:rsid w:val="61227EAA"/>
    <w:rsid w:val="61534507"/>
    <w:rsid w:val="6227291A"/>
    <w:rsid w:val="62286A95"/>
    <w:rsid w:val="624706E9"/>
    <w:rsid w:val="627110E9"/>
    <w:rsid w:val="62A56FE4"/>
    <w:rsid w:val="62DD22DA"/>
    <w:rsid w:val="63013544"/>
    <w:rsid w:val="63094CB9"/>
    <w:rsid w:val="63343EC4"/>
    <w:rsid w:val="633C08FC"/>
    <w:rsid w:val="633F2F95"/>
    <w:rsid w:val="635051A2"/>
    <w:rsid w:val="636B4CFE"/>
    <w:rsid w:val="6372336A"/>
    <w:rsid w:val="63A31776"/>
    <w:rsid w:val="63AD43A2"/>
    <w:rsid w:val="63CB4828"/>
    <w:rsid w:val="63EB4ECB"/>
    <w:rsid w:val="63FB7E15"/>
    <w:rsid w:val="64025D70"/>
    <w:rsid w:val="64A51C86"/>
    <w:rsid w:val="64CD45D0"/>
    <w:rsid w:val="64CE1093"/>
    <w:rsid w:val="64CF0348"/>
    <w:rsid w:val="650A5824"/>
    <w:rsid w:val="651B17E0"/>
    <w:rsid w:val="656D37B1"/>
    <w:rsid w:val="65766A16"/>
    <w:rsid w:val="65B455A1"/>
    <w:rsid w:val="65C11C3A"/>
    <w:rsid w:val="65DF7C9A"/>
    <w:rsid w:val="661C75BD"/>
    <w:rsid w:val="66280D11"/>
    <w:rsid w:val="662C66AE"/>
    <w:rsid w:val="6640638E"/>
    <w:rsid w:val="664F1741"/>
    <w:rsid w:val="66524D8D"/>
    <w:rsid w:val="669C425A"/>
    <w:rsid w:val="66A15D14"/>
    <w:rsid w:val="66C13CC1"/>
    <w:rsid w:val="66F87302"/>
    <w:rsid w:val="67036DE1"/>
    <w:rsid w:val="671146F3"/>
    <w:rsid w:val="672957C5"/>
    <w:rsid w:val="675863D3"/>
    <w:rsid w:val="67AC07E5"/>
    <w:rsid w:val="67D31EFE"/>
    <w:rsid w:val="67E91A6E"/>
    <w:rsid w:val="67EB7247"/>
    <w:rsid w:val="68060D49"/>
    <w:rsid w:val="682123F8"/>
    <w:rsid w:val="683C31F9"/>
    <w:rsid w:val="686A3AA5"/>
    <w:rsid w:val="68BA4E6C"/>
    <w:rsid w:val="68E334DF"/>
    <w:rsid w:val="690F6F65"/>
    <w:rsid w:val="693764BC"/>
    <w:rsid w:val="6990454A"/>
    <w:rsid w:val="69937B96"/>
    <w:rsid w:val="699B69C1"/>
    <w:rsid w:val="69DD4D5E"/>
    <w:rsid w:val="6A1F7993"/>
    <w:rsid w:val="6A2904FB"/>
    <w:rsid w:val="6A415844"/>
    <w:rsid w:val="6A837F7F"/>
    <w:rsid w:val="6B080C30"/>
    <w:rsid w:val="6B4F3F91"/>
    <w:rsid w:val="6B657311"/>
    <w:rsid w:val="6B806E15"/>
    <w:rsid w:val="6B8D6867"/>
    <w:rsid w:val="6BAE515B"/>
    <w:rsid w:val="6BB362CE"/>
    <w:rsid w:val="6BD54C66"/>
    <w:rsid w:val="6BDB736E"/>
    <w:rsid w:val="6BE741CA"/>
    <w:rsid w:val="6C046B2A"/>
    <w:rsid w:val="6C454C4B"/>
    <w:rsid w:val="6CAD014C"/>
    <w:rsid w:val="6CCB2B24"/>
    <w:rsid w:val="6CD26C28"/>
    <w:rsid w:val="6CE402EB"/>
    <w:rsid w:val="6D263BCB"/>
    <w:rsid w:val="6D3B2A1F"/>
    <w:rsid w:val="6D785A21"/>
    <w:rsid w:val="6D8A5E74"/>
    <w:rsid w:val="6D940381"/>
    <w:rsid w:val="6DCA3DA3"/>
    <w:rsid w:val="6E566CE7"/>
    <w:rsid w:val="6E642EDB"/>
    <w:rsid w:val="6ED75BB0"/>
    <w:rsid w:val="6EDA6267"/>
    <w:rsid w:val="6F2B6AC3"/>
    <w:rsid w:val="6F323CF6"/>
    <w:rsid w:val="6F3914E8"/>
    <w:rsid w:val="6F977CB5"/>
    <w:rsid w:val="6FDD1A35"/>
    <w:rsid w:val="6FF84BF7"/>
    <w:rsid w:val="704A673A"/>
    <w:rsid w:val="705E44AE"/>
    <w:rsid w:val="70785D38"/>
    <w:rsid w:val="70926DFA"/>
    <w:rsid w:val="70AB1C6A"/>
    <w:rsid w:val="70D477D4"/>
    <w:rsid w:val="70EB475C"/>
    <w:rsid w:val="710E3FA6"/>
    <w:rsid w:val="711A6DEF"/>
    <w:rsid w:val="71770A1B"/>
    <w:rsid w:val="71BE3F79"/>
    <w:rsid w:val="71F83C19"/>
    <w:rsid w:val="720205F5"/>
    <w:rsid w:val="72181581"/>
    <w:rsid w:val="722A4E10"/>
    <w:rsid w:val="723D2D95"/>
    <w:rsid w:val="724539F8"/>
    <w:rsid w:val="724759C2"/>
    <w:rsid w:val="7258197D"/>
    <w:rsid w:val="72871193"/>
    <w:rsid w:val="72C15778"/>
    <w:rsid w:val="72D82ABE"/>
    <w:rsid w:val="73243F55"/>
    <w:rsid w:val="73467A28"/>
    <w:rsid w:val="73497518"/>
    <w:rsid w:val="739764D5"/>
    <w:rsid w:val="73C848E1"/>
    <w:rsid w:val="73D72D76"/>
    <w:rsid w:val="73E579B0"/>
    <w:rsid w:val="7419513C"/>
    <w:rsid w:val="74B11819"/>
    <w:rsid w:val="74EE50AA"/>
    <w:rsid w:val="750758DC"/>
    <w:rsid w:val="7541494A"/>
    <w:rsid w:val="757F5473"/>
    <w:rsid w:val="75AD3D8E"/>
    <w:rsid w:val="75C335B1"/>
    <w:rsid w:val="765B3AC3"/>
    <w:rsid w:val="7677439C"/>
    <w:rsid w:val="76885999"/>
    <w:rsid w:val="76AF7FDA"/>
    <w:rsid w:val="76B15B00"/>
    <w:rsid w:val="76FD29E1"/>
    <w:rsid w:val="77425E1D"/>
    <w:rsid w:val="77505319"/>
    <w:rsid w:val="77672662"/>
    <w:rsid w:val="778356EE"/>
    <w:rsid w:val="77E95383"/>
    <w:rsid w:val="785E5813"/>
    <w:rsid w:val="7860158C"/>
    <w:rsid w:val="789F7357"/>
    <w:rsid w:val="78C01D9E"/>
    <w:rsid w:val="78CE2981"/>
    <w:rsid w:val="78DB50B6"/>
    <w:rsid w:val="790068CB"/>
    <w:rsid w:val="79083885"/>
    <w:rsid w:val="790B5DDB"/>
    <w:rsid w:val="79181E66"/>
    <w:rsid w:val="7931117A"/>
    <w:rsid w:val="797155A1"/>
    <w:rsid w:val="798E3ED6"/>
    <w:rsid w:val="79BE0C60"/>
    <w:rsid w:val="79BF6786"/>
    <w:rsid w:val="79DE4E5E"/>
    <w:rsid w:val="79E166FC"/>
    <w:rsid w:val="79F20407"/>
    <w:rsid w:val="7A1E525A"/>
    <w:rsid w:val="7A2111EE"/>
    <w:rsid w:val="7A480529"/>
    <w:rsid w:val="7A664E53"/>
    <w:rsid w:val="7A6A0B10"/>
    <w:rsid w:val="7A9279F6"/>
    <w:rsid w:val="7AB756AF"/>
    <w:rsid w:val="7AE00762"/>
    <w:rsid w:val="7AF16E13"/>
    <w:rsid w:val="7AF20495"/>
    <w:rsid w:val="7B166879"/>
    <w:rsid w:val="7B2B62C3"/>
    <w:rsid w:val="7B30793B"/>
    <w:rsid w:val="7B3960C4"/>
    <w:rsid w:val="7B9A3006"/>
    <w:rsid w:val="7BB816DF"/>
    <w:rsid w:val="7BC76A3E"/>
    <w:rsid w:val="7C0D1A2A"/>
    <w:rsid w:val="7C146DDB"/>
    <w:rsid w:val="7C7C0829"/>
    <w:rsid w:val="7CCF6CE0"/>
    <w:rsid w:val="7CD42548"/>
    <w:rsid w:val="7CDB7433"/>
    <w:rsid w:val="7CE3278B"/>
    <w:rsid w:val="7CED53B8"/>
    <w:rsid w:val="7CF149BD"/>
    <w:rsid w:val="7D083FA0"/>
    <w:rsid w:val="7D10537A"/>
    <w:rsid w:val="7D16490F"/>
    <w:rsid w:val="7D1C2FFC"/>
    <w:rsid w:val="7D220DCD"/>
    <w:rsid w:val="7D422360"/>
    <w:rsid w:val="7D470F6C"/>
    <w:rsid w:val="7D5A7640"/>
    <w:rsid w:val="7D781125"/>
    <w:rsid w:val="7DB25D96"/>
    <w:rsid w:val="7DB55ED6"/>
    <w:rsid w:val="7DCC1471"/>
    <w:rsid w:val="7DD50326"/>
    <w:rsid w:val="7DE06CCB"/>
    <w:rsid w:val="7E0C5029"/>
    <w:rsid w:val="7E6D67B0"/>
    <w:rsid w:val="7E9005D3"/>
    <w:rsid w:val="7E997CE8"/>
    <w:rsid w:val="7EA321D2"/>
    <w:rsid w:val="7EB919F5"/>
    <w:rsid w:val="7EBA751C"/>
    <w:rsid w:val="7EFE7470"/>
    <w:rsid w:val="7F016EF9"/>
    <w:rsid w:val="7F280929"/>
    <w:rsid w:val="7F2F1CB8"/>
    <w:rsid w:val="7F327676"/>
    <w:rsid w:val="7F386CB6"/>
    <w:rsid w:val="7F89761A"/>
    <w:rsid w:val="7F8E2E82"/>
    <w:rsid w:val="7F91555C"/>
    <w:rsid w:val="7FBD362E"/>
    <w:rsid w:val="7FE235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8"/>
    <w:autoRedefine/>
    <w:qFormat/>
    <w:uiPriority w:val="99"/>
    <w:pPr>
      <w:keepNext/>
      <w:keepLines/>
      <w:adjustRightInd w:val="0"/>
      <w:spacing w:before="120" w:after="100" w:afterAutospacing="1" w:line="360" w:lineRule="auto"/>
      <w:outlineLvl w:val="0"/>
    </w:pPr>
    <w:rPr>
      <w:rFonts w:eastAsia="黑体"/>
      <w:b/>
      <w:kern w:val="44"/>
      <w:sz w:val="28"/>
      <w:szCs w:val="28"/>
    </w:rPr>
  </w:style>
  <w:style w:type="paragraph" w:styleId="3">
    <w:name w:val="heading 2"/>
    <w:basedOn w:val="1"/>
    <w:next w:val="1"/>
    <w:link w:val="27"/>
    <w:qFormat/>
    <w:uiPriority w:val="99"/>
    <w:pPr>
      <w:keepNext/>
      <w:keepLines/>
      <w:spacing w:before="260" w:after="260" w:line="412" w:lineRule="auto"/>
      <w:outlineLvl w:val="1"/>
    </w:pPr>
    <w:rPr>
      <w:rFonts w:ascii="Arial" w:hAnsi="Arial" w:eastAsia="黑体"/>
      <w:b/>
      <w:sz w:val="32"/>
      <w:szCs w:val="32"/>
    </w:rPr>
  </w:style>
  <w:style w:type="paragraph" w:styleId="4">
    <w:name w:val="heading 3"/>
    <w:basedOn w:val="1"/>
    <w:next w:val="1"/>
    <w:link w:val="26"/>
    <w:qFormat/>
    <w:uiPriority w:val="99"/>
    <w:pPr>
      <w:keepNext/>
      <w:keepLines/>
      <w:spacing w:before="260" w:after="260" w:line="412" w:lineRule="auto"/>
      <w:outlineLvl w:val="2"/>
    </w:pPr>
    <w:rPr>
      <w:b/>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unhideWhenUsed/>
    <w:qFormat/>
    <w:uiPriority w:val="99"/>
    <w:pPr>
      <w:ind w:firstLine="420"/>
    </w:pPr>
  </w:style>
  <w:style w:type="paragraph" w:styleId="6">
    <w:name w:val="Body Text"/>
    <w:basedOn w:val="1"/>
    <w:link w:val="33"/>
    <w:unhideWhenUsed/>
    <w:qFormat/>
    <w:uiPriority w:val="99"/>
    <w:pPr>
      <w:spacing w:before="100" w:beforeAutospacing="1" w:after="120"/>
    </w:pPr>
    <w:rPr>
      <w:sz w:val="36"/>
      <w:szCs w:val="36"/>
    </w:rPr>
  </w:style>
  <w:style w:type="paragraph" w:styleId="7">
    <w:name w:val="Body Text Indent"/>
    <w:basedOn w:val="1"/>
    <w:link w:val="37"/>
    <w:autoRedefine/>
    <w:unhideWhenUsed/>
    <w:qFormat/>
    <w:uiPriority w:val="99"/>
    <w:pPr>
      <w:spacing w:before="100" w:beforeAutospacing="1" w:after="120"/>
      <w:ind w:left="420" w:leftChars="200"/>
    </w:pPr>
    <w:rPr>
      <w:rFonts w:ascii="宋体"/>
    </w:rPr>
  </w:style>
  <w:style w:type="paragraph" w:styleId="8">
    <w:name w:val="Block Text"/>
    <w:basedOn w:val="1"/>
    <w:semiHidden/>
    <w:unhideWhenUsed/>
    <w:qFormat/>
    <w:uiPriority w:val="99"/>
    <w:pPr>
      <w:spacing w:after="120"/>
      <w:ind w:left="1440" w:leftChars="700" w:right="1440" w:rightChars="700"/>
    </w:pPr>
  </w:style>
  <w:style w:type="paragraph" w:styleId="9">
    <w:name w:val="Plain Text"/>
    <w:basedOn w:val="1"/>
    <w:next w:val="1"/>
    <w:link w:val="30"/>
    <w:autoRedefine/>
    <w:unhideWhenUsed/>
    <w:qFormat/>
    <w:uiPriority w:val="99"/>
    <w:rPr>
      <w:rFonts w:ascii="宋体" w:hAnsi="Courier New"/>
    </w:rPr>
  </w:style>
  <w:style w:type="paragraph" w:styleId="10">
    <w:name w:val="Date"/>
    <w:basedOn w:val="1"/>
    <w:next w:val="1"/>
    <w:link w:val="34"/>
    <w:autoRedefine/>
    <w:unhideWhenUsed/>
    <w:qFormat/>
    <w:uiPriority w:val="99"/>
    <w:pPr>
      <w:spacing w:before="100" w:beforeAutospacing="1" w:after="100" w:afterAutospacing="1"/>
      <w:ind w:left="100" w:leftChars="2500"/>
    </w:pPr>
  </w:style>
  <w:style w:type="paragraph" w:styleId="11">
    <w:name w:val="Balloon Text"/>
    <w:basedOn w:val="1"/>
    <w:link w:val="51"/>
    <w:semiHidden/>
    <w:unhideWhenUsed/>
    <w:qFormat/>
    <w:uiPriority w:val="99"/>
    <w:rPr>
      <w:sz w:val="18"/>
      <w:szCs w:val="18"/>
    </w:rPr>
  </w:style>
  <w:style w:type="paragraph" w:styleId="12">
    <w:name w:val="footer"/>
    <w:basedOn w:val="1"/>
    <w:link w:val="36"/>
    <w:unhideWhenUsed/>
    <w:qFormat/>
    <w:uiPriority w:val="99"/>
    <w:pPr>
      <w:snapToGrid w:val="0"/>
      <w:jc w:val="left"/>
    </w:pPr>
    <w:rPr>
      <w:sz w:val="18"/>
      <w:szCs w:val="18"/>
    </w:rPr>
  </w:style>
  <w:style w:type="paragraph" w:styleId="13">
    <w:name w:val="envelope return"/>
    <w:basedOn w:val="1"/>
    <w:qFormat/>
    <w:uiPriority w:val="0"/>
    <w:pPr>
      <w:snapToGrid w:val="0"/>
    </w:pPr>
    <w:rPr>
      <w:rFonts w:ascii="Arial" w:hAnsi="Arial"/>
    </w:rPr>
  </w:style>
  <w:style w:type="paragraph" w:styleId="14">
    <w:name w:val="header"/>
    <w:basedOn w:val="1"/>
    <w:link w:val="41"/>
    <w:unhideWhenUsed/>
    <w:qFormat/>
    <w:uiPriority w:val="99"/>
    <w:pPr>
      <w:pBdr>
        <w:bottom w:val="single" w:color="auto" w:sz="6" w:space="1"/>
      </w:pBdr>
      <w:snapToGrid w:val="0"/>
      <w:jc w:val="center"/>
    </w:pPr>
    <w:rPr>
      <w:sz w:val="18"/>
      <w:szCs w:val="18"/>
    </w:rPr>
  </w:style>
  <w:style w:type="paragraph" w:styleId="15">
    <w:name w:val="toc 1"/>
    <w:basedOn w:val="1"/>
    <w:next w:val="1"/>
    <w:autoRedefine/>
    <w:unhideWhenUsed/>
    <w:qFormat/>
    <w:uiPriority w:val="99"/>
    <w:pPr>
      <w:spacing w:before="120" w:after="120"/>
      <w:jc w:val="left"/>
    </w:pPr>
    <w:rPr>
      <w:b/>
      <w:caps/>
      <w:sz w:val="20"/>
      <w:szCs w:val="20"/>
    </w:rPr>
  </w:style>
  <w:style w:type="paragraph" w:styleId="16">
    <w:name w:val="Normal (Web)"/>
    <w:basedOn w:val="1"/>
    <w:unhideWhenUsed/>
    <w:qFormat/>
    <w:uiPriority w:val="99"/>
    <w:pPr>
      <w:widowControl/>
      <w:spacing w:before="100" w:beforeAutospacing="1" w:after="100" w:afterAutospacing="1"/>
      <w:jc w:val="left"/>
    </w:pPr>
    <w:rPr>
      <w:rFonts w:ascii="宋体" w:hAnsi="宋体"/>
      <w:color w:val="000000"/>
      <w:kern w:val="0"/>
      <w:sz w:val="18"/>
      <w:szCs w:val="18"/>
    </w:rPr>
  </w:style>
  <w:style w:type="paragraph" w:styleId="17">
    <w:name w:val="Body Text First Indent"/>
    <w:basedOn w:val="6"/>
    <w:qFormat/>
    <w:uiPriority w:val="0"/>
    <w:pPr>
      <w:ind w:firstLine="320" w:firstLineChars="100"/>
    </w:pPr>
  </w:style>
  <w:style w:type="paragraph" w:styleId="18">
    <w:name w:val="Body Text First Indent 2"/>
    <w:basedOn w:val="7"/>
    <w:next w:val="8"/>
    <w:link w:val="38"/>
    <w:autoRedefine/>
    <w:unhideWhenUsed/>
    <w:qFormat/>
    <w:uiPriority w:val="99"/>
    <w:pPr>
      <w:ind w:firstLine="420" w:firstLineChars="200"/>
    </w:pPr>
    <w:rPr>
      <w:rFonts w:ascii="Times New Roman"/>
    </w:rPr>
  </w:style>
  <w:style w:type="table" w:styleId="20">
    <w:name w:val="Table Grid"/>
    <w:basedOn w:val="19"/>
    <w:autoRedefine/>
    <w:unhideWhenUsed/>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page number"/>
    <w:basedOn w:val="21"/>
    <w:unhideWhenUsed/>
    <w:qFormat/>
    <w:uiPriority w:val="99"/>
  </w:style>
  <w:style w:type="character" w:styleId="23">
    <w:name w:val="FollowedHyperlink"/>
    <w:basedOn w:val="21"/>
    <w:unhideWhenUsed/>
    <w:qFormat/>
    <w:uiPriority w:val="99"/>
    <w:rPr>
      <w:color w:val="800080"/>
      <w:u w:val="single"/>
    </w:rPr>
  </w:style>
  <w:style w:type="character" w:styleId="24">
    <w:name w:val="Hyperlink"/>
    <w:basedOn w:val="21"/>
    <w:autoRedefine/>
    <w:unhideWhenUsed/>
    <w:qFormat/>
    <w:uiPriority w:val="99"/>
    <w:rPr>
      <w:color w:val="0000FF"/>
      <w:u w:val="single"/>
    </w:rPr>
  </w:style>
  <w:style w:type="character" w:styleId="25">
    <w:name w:val="annotation reference"/>
    <w:basedOn w:val="21"/>
    <w:qFormat/>
    <w:uiPriority w:val="0"/>
    <w:rPr>
      <w:sz w:val="21"/>
      <w:szCs w:val="21"/>
    </w:rPr>
  </w:style>
  <w:style w:type="character" w:customStyle="1" w:styleId="26">
    <w:name w:val="标题 3 Char"/>
    <w:basedOn w:val="21"/>
    <w:link w:val="4"/>
    <w:autoRedefine/>
    <w:qFormat/>
    <w:uiPriority w:val="99"/>
    <w:rPr>
      <w:rFonts w:ascii="Times New Roman" w:hAnsi="Times New Roman" w:eastAsia="宋体" w:cs="Times New Roman"/>
      <w:b/>
      <w:sz w:val="32"/>
      <w:szCs w:val="32"/>
    </w:rPr>
  </w:style>
  <w:style w:type="character" w:customStyle="1" w:styleId="27">
    <w:name w:val="标题 2 Char"/>
    <w:basedOn w:val="21"/>
    <w:link w:val="3"/>
    <w:autoRedefine/>
    <w:qFormat/>
    <w:uiPriority w:val="99"/>
    <w:rPr>
      <w:rFonts w:ascii="Arial" w:hAnsi="Arial" w:eastAsia="黑体" w:cs="Times New Roman"/>
      <w:b/>
      <w:sz w:val="32"/>
      <w:szCs w:val="32"/>
    </w:rPr>
  </w:style>
  <w:style w:type="character" w:customStyle="1" w:styleId="28">
    <w:name w:val="标题 1 Char"/>
    <w:basedOn w:val="21"/>
    <w:link w:val="2"/>
    <w:autoRedefine/>
    <w:qFormat/>
    <w:uiPriority w:val="99"/>
    <w:rPr>
      <w:rFonts w:ascii="Times New Roman" w:hAnsi="Times New Roman" w:eastAsia="黑体" w:cs="Times New Roman"/>
      <w:b/>
      <w:kern w:val="44"/>
      <w:sz w:val="28"/>
      <w:szCs w:val="28"/>
    </w:rPr>
  </w:style>
  <w:style w:type="paragraph" w:customStyle="1" w:styleId="29">
    <w:name w:val="AONormal"/>
    <w:basedOn w:val="1"/>
    <w:autoRedefine/>
    <w:qFormat/>
    <w:uiPriority w:val="0"/>
    <w:pPr>
      <w:widowControl/>
      <w:autoSpaceDE w:val="0"/>
      <w:autoSpaceDN w:val="0"/>
      <w:adjustRightInd w:val="0"/>
      <w:spacing w:line="400" w:lineRule="exact"/>
      <w:ind w:firstLine="440" w:firstLineChars="200"/>
      <w:jc w:val="left"/>
    </w:pPr>
    <w:rPr>
      <w:rFonts w:ascii="华文楷体" w:hAnsi="华文楷体" w:eastAsia="华文楷体" w:cs="宋体"/>
      <w:kern w:val="0"/>
      <w:sz w:val="22"/>
      <w:szCs w:val="22"/>
    </w:rPr>
  </w:style>
  <w:style w:type="character" w:customStyle="1" w:styleId="30">
    <w:name w:val="纯文本 Char"/>
    <w:basedOn w:val="21"/>
    <w:link w:val="9"/>
    <w:autoRedefine/>
    <w:qFormat/>
    <w:uiPriority w:val="99"/>
    <w:rPr>
      <w:rFonts w:ascii="宋体" w:hAnsi="Courier New" w:eastAsia="宋体" w:cs="Times New Roman"/>
      <w:szCs w:val="21"/>
    </w:rPr>
  </w:style>
  <w:style w:type="paragraph" w:customStyle="1" w:styleId="31">
    <w:name w:val="Blockquote"/>
    <w:basedOn w:val="1"/>
    <w:autoRedefine/>
    <w:qFormat/>
    <w:uiPriority w:val="0"/>
    <w:pPr>
      <w:autoSpaceDE w:val="0"/>
      <w:autoSpaceDN w:val="0"/>
      <w:adjustRightInd w:val="0"/>
      <w:spacing w:before="100" w:beforeAutospacing="1" w:after="100" w:afterAutospacing="1"/>
      <w:ind w:left="360" w:right="360"/>
    </w:pPr>
  </w:style>
  <w:style w:type="paragraph" w:customStyle="1" w:styleId="32">
    <w:name w:val="正文 New"/>
    <w:basedOn w:val="1"/>
    <w:autoRedefine/>
    <w:qFormat/>
    <w:uiPriority w:val="0"/>
  </w:style>
  <w:style w:type="character" w:customStyle="1" w:styleId="33">
    <w:name w:val="正文文本 Char"/>
    <w:basedOn w:val="21"/>
    <w:link w:val="6"/>
    <w:qFormat/>
    <w:uiPriority w:val="99"/>
    <w:rPr>
      <w:rFonts w:ascii="Times New Roman" w:hAnsi="Times New Roman" w:eastAsia="宋体" w:cs="Times New Roman"/>
      <w:sz w:val="36"/>
      <w:szCs w:val="36"/>
    </w:rPr>
  </w:style>
  <w:style w:type="character" w:customStyle="1" w:styleId="34">
    <w:name w:val="日期 Char"/>
    <w:basedOn w:val="21"/>
    <w:link w:val="10"/>
    <w:qFormat/>
    <w:uiPriority w:val="99"/>
    <w:rPr>
      <w:rFonts w:ascii="Times New Roman" w:hAnsi="Times New Roman" w:eastAsia="宋体" w:cs="Times New Roman"/>
      <w:szCs w:val="21"/>
    </w:rPr>
  </w:style>
  <w:style w:type="paragraph" w:customStyle="1" w:styleId="35">
    <w:name w:val="p2"/>
    <w:basedOn w:val="1"/>
    <w:autoRedefine/>
    <w:qFormat/>
    <w:uiPriority w:val="0"/>
    <w:pPr>
      <w:widowControl/>
      <w:spacing w:line="480" w:lineRule="auto"/>
      <w:ind w:firstLine="420"/>
      <w:jc w:val="left"/>
    </w:pPr>
    <w:rPr>
      <w:rFonts w:ascii="宋体" w:hAnsi="宋体" w:cs="宋体"/>
      <w:kern w:val="0"/>
    </w:rPr>
  </w:style>
  <w:style w:type="character" w:customStyle="1" w:styleId="36">
    <w:name w:val="页脚 Char"/>
    <w:basedOn w:val="21"/>
    <w:link w:val="12"/>
    <w:qFormat/>
    <w:uiPriority w:val="99"/>
    <w:rPr>
      <w:rFonts w:ascii="Times New Roman" w:hAnsi="Times New Roman" w:eastAsia="宋体" w:cs="Times New Roman"/>
      <w:sz w:val="18"/>
      <w:szCs w:val="18"/>
    </w:rPr>
  </w:style>
  <w:style w:type="character" w:customStyle="1" w:styleId="37">
    <w:name w:val="正文文本缩进 Char"/>
    <w:basedOn w:val="21"/>
    <w:link w:val="7"/>
    <w:autoRedefine/>
    <w:qFormat/>
    <w:uiPriority w:val="99"/>
    <w:rPr>
      <w:rFonts w:ascii="宋体" w:hAnsi="Times New Roman" w:eastAsia="宋体" w:cs="Times New Roman"/>
      <w:szCs w:val="21"/>
    </w:rPr>
  </w:style>
  <w:style w:type="character" w:customStyle="1" w:styleId="38">
    <w:name w:val="正文首行缩进 2 Char"/>
    <w:basedOn w:val="37"/>
    <w:link w:val="18"/>
    <w:autoRedefine/>
    <w:qFormat/>
    <w:uiPriority w:val="99"/>
    <w:rPr>
      <w:rFonts w:ascii="Times New Roman"/>
    </w:rPr>
  </w:style>
  <w:style w:type="paragraph" w:customStyle="1" w:styleId="39">
    <w:name w:val="列出段落1"/>
    <w:basedOn w:val="1"/>
    <w:autoRedefine/>
    <w:qFormat/>
    <w:uiPriority w:val="0"/>
    <w:pPr>
      <w:spacing w:before="100" w:beforeAutospacing="1" w:after="100" w:afterAutospacing="1"/>
      <w:ind w:left="1939" w:hanging="601"/>
    </w:pPr>
    <w:rPr>
      <w:rFonts w:ascii="宋体" w:hAnsi="宋体" w:cs="宋体"/>
    </w:rPr>
  </w:style>
  <w:style w:type="paragraph" w:customStyle="1" w:styleId="40">
    <w:name w:val="列出段落11"/>
    <w:basedOn w:val="1"/>
    <w:autoRedefine/>
    <w:qFormat/>
    <w:uiPriority w:val="0"/>
    <w:pPr>
      <w:ind w:firstLine="420" w:firstLineChars="200"/>
    </w:pPr>
    <w:rPr>
      <w:rFonts w:ascii="Calibri" w:hAnsi="Calibri"/>
    </w:rPr>
  </w:style>
  <w:style w:type="character" w:customStyle="1" w:styleId="41">
    <w:name w:val="页眉 Char"/>
    <w:basedOn w:val="21"/>
    <w:link w:val="14"/>
    <w:autoRedefine/>
    <w:qFormat/>
    <w:uiPriority w:val="99"/>
    <w:rPr>
      <w:rFonts w:ascii="Times New Roman" w:hAnsi="Times New Roman" w:eastAsia="宋体" w:cs="Times New Roman"/>
      <w:sz w:val="18"/>
      <w:szCs w:val="18"/>
    </w:rPr>
  </w:style>
  <w:style w:type="character" w:customStyle="1" w:styleId="42">
    <w:name w:val="10"/>
    <w:basedOn w:val="21"/>
    <w:qFormat/>
    <w:uiPriority w:val="0"/>
    <w:rPr>
      <w:rFonts w:hint="default" w:ascii="Times New Roman" w:hAnsi="Times New Roman" w:cs="Times New Roman"/>
    </w:rPr>
  </w:style>
  <w:style w:type="character" w:customStyle="1" w:styleId="43">
    <w:name w:val="15"/>
    <w:basedOn w:val="21"/>
    <w:qFormat/>
    <w:uiPriority w:val="0"/>
    <w:rPr>
      <w:rFonts w:hint="eastAsia" w:ascii="宋体" w:hAnsi="宋体" w:eastAsia="宋体"/>
      <w:color w:val="000000"/>
      <w:sz w:val="22"/>
      <w:szCs w:val="22"/>
    </w:rPr>
  </w:style>
  <w:style w:type="paragraph" w:customStyle="1" w:styleId="44">
    <w:name w:val="WPSOffice手动目录 1"/>
    <w:autoRedefine/>
    <w:qFormat/>
    <w:uiPriority w:val="0"/>
    <w:rPr>
      <w:rFonts w:asciiTheme="minorHAnsi" w:hAnsiTheme="minorHAnsi" w:eastAsiaTheme="minorEastAsia" w:cstheme="minorBidi"/>
      <w:lang w:val="en-US" w:eastAsia="zh-CN" w:bidi="ar-SA"/>
    </w:rPr>
  </w:style>
  <w:style w:type="character" w:customStyle="1" w:styleId="45">
    <w:name w:val="font31"/>
    <w:basedOn w:val="21"/>
    <w:qFormat/>
    <w:uiPriority w:val="0"/>
    <w:rPr>
      <w:rFonts w:hint="default" w:ascii="Times New Roman" w:hAnsi="Times New Roman" w:cs="Times New Roman"/>
      <w:color w:val="FF0000"/>
      <w:sz w:val="22"/>
      <w:szCs w:val="22"/>
      <w:u w:val="none"/>
    </w:rPr>
  </w:style>
  <w:style w:type="character" w:customStyle="1" w:styleId="46">
    <w:name w:val="font51"/>
    <w:basedOn w:val="21"/>
    <w:qFormat/>
    <w:uiPriority w:val="0"/>
    <w:rPr>
      <w:rFonts w:hint="default" w:ascii="方正仿宋_GBK" w:hAnsi="方正仿宋_GBK" w:eastAsia="方正仿宋_GBK" w:cs="方正仿宋_GBK"/>
      <w:color w:val="FF0000"/>
      <w:sz w:val="22"/>
      <w:szCs w:val="22"/>
      <w:u w:val="none"/>
    </w:rPr>
  </w:style>
  <w:style w:type="character" w:customStyle="1" w:styleId="47">
    <w:name w:val="NormalCharacter"/>
    <w:qFormat/>
    <w:uiPriority w:val="0"/>
  </w:style>
  <w:style w:type="paragraph" w:customStyle="1" w:styleId="48">
    <w:name w:val="p0"/>
    <w:basedOn w:val="1"/>
    <w:qFormat/>
    <w:uiPriority w:val="0"/>
    <w:pPr>
      <w:widowControl/>
      <w:ind w:firstLine="420"/>
      <w:jc w:val="left"/>
    </w:pPr>
    <w:rPr>
      <w:kern w:val="0"/>
      <w:sz w:val="20"/>
      <w:szCs w:val="20"/>
    </w:rPr>
  </w:style>
  <w:style w:type="paragraph" w:styleId="49">
    <w:name w:val="No Spacing"/>
    <w:autoRedefine/>
    <w:qFormat/>
    <w:uiPriority w:val="1"/>
    <w:pPr>
      <w:adjustRightInd w:val="0"/>
      <w:snapToGrid w:val="0"/>
    </w:pPr>
    <w:rPr>
      <w:rFonts w:ascii="Tahoma" w:hAnsi="Tahoma" w:eastAsia="宋体" w:cs="Times New Roman"/>
      <w:sz w:val="22"/>
      <w:szCs w:val="22"/>
      <w:lang w:val="en-US" w:eastAsia="zh-CN" w:bidi="ar-SA"/>
    </w:rPr>
  </w:style>
  <w:style w:type="character" w:customStyle="1" w:styleId="50">
    <w:name w:val="CharAttribute0"/>
    <w:autoRedefine/>
    <w:qFormat/>
    <w:uiPriority w:val="0"/>
    <w:rPr>
      <w:rFonts w:ascii="Times New Roman" w:eastAsia="宋体"/>
      <w:sz w:val="21"/>
    </w:rPr>
  </w:style>
  <w:style w:type="character" w:customStyle="1" w:styleId="51">
    <w:name w:val="批注框文本 Char"/>
    <w:basedOn w:val="21"/>
    <w:link w:val="11"/>
    <w:semiHidden/>
    <w:qFormat/>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66</Pages>
  <Words>32750</Words>
  <Characters>35145</Characters>
  <Lines>283</Lines>
  <Paragraphs>79</Paragraphs>
  <TotalTime>74</TotalTime>
  <ScaleCrop>false</ScaleCrop>
  <LinksUpToDate>false</LinksUpToDate>
  <CharactersWithSpaces>37944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2024-06-26T14:17:00Z</dcterms:created>
  <dc:creator>Sky123.Org</dc:creator>
  <cp:lastModifiedBy>无心</cp:lastModifiedBy>
  <cp:lastPrinted>2024-11-25T09:47:00Z</cp:lastPrinted>
  <dcterms:modified xsi:type="dcterms:W3CDTF">2024-12-06T11:11:02Z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91991E9E15154831B7FD227DC735ABE1_13</vt:lpwstr>
  </property>
</Properties>
</file>