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版本号：N510311202500008920251103001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沿滩区政府大楼后勤服务项目（2025年度）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N5103112025000089</w:t>
      </w:r>
    </w:p>
    <w:p>
      <w:pPr>
        <w:pStyle w:val="null3"/>
        <w:jc w:val="left"/>
        <w:outlineLvl w:val="2"/>
      </w:pPr>
      <w:r>
        <w:rPr>
          <w:rFonts w:ascii="仿宋_GB2312" w:hAnsi="仿宋_GB2312" w:cs="仿宋_GB2312" w:eastAsia="仿宋_GB2312"/>
          <w:sz w:val="28"/>
          <w:b/>
        </w:rPr>
        <w:t>自贡市沿滩区人民政府办公室</w:t>
      </w:r>
    </w:p>
    <w:p>
      <w:pPr>
        <w:pStyle w:val="null3"/>
        <w:jc w:val="center"/>
        <w:outlineLvl w:val="2"/>
      </w:pPr>
      <w:r>
        <w:rPr>
          <w:rFonts w:ascii="仿宋_GB2312" w:hAnsi="仿宋_GB2312" w:cs="仿宋_GB2312" w:eastAsia="仿宋_GB2312"/>
          <w:sz w:val="28"/>
          <w:b/>
        </w:rPr>
        <w:t>中锦军贤工程咨询集团有限公司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中锦军贤工程咨询集团有限公司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自贡市沿滩区人民政府办公室</w:t>
      </w:r>
      <w:r>
        <w:rPr>
          <w:rFonts w:ascii="仿宋_GB2312" w:hAnsi="仿宋_GB2312" w:cs="仿宋_GB2312" w:eastAsia="仿宋_GB2312"/>
        </w:rPr>
        <w:t xml:space="preserve"> 委托，拟对 </w:t>
      </w:r>
      <w:r>
        <w:rPr>
          <w:rFonts w:ascii="仿宋_GB2312" w:hAnsi="仿宋_GB2312" w:cs="仿宋_GB2312" w:eastAsia="仿宋_GB2312"/>
        </w:rPr>
        <w:t>沿滩区政府大楼后勤服务项目（2025年度）</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自贡市沿滩区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N5103112025000089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沿滩区政府大楼后勤服务项目（2025年度）</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根据自贡市沿滩区人民政府办公室工作需要，现对沿滩区政府大楼后勤服务项目(2025年度）进行采购。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自贡市沿滩区人民政府办公室</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自贡市沿滩区沿滩镇开元路社区开元中路111号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15182632702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中锦军贤工程咨询集团有限公司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自贡市自流井区丹阳街2号普润电商博览城一期A8-3-40-43</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0813-5401888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代理服务费收费标准：按照预算金额的1.5%收取代理费。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自贡市沿滩区人民政府办公室</w:t>
      </w:r>
      <w:r>
        <w:rPr>
          <w:rFonts w:ascii="仿宋_GB2312" w:hAnsi="仿宋_GB2312" w:cs="仿宋_GB2312" w:eastAsia="仿宋_GB2312"/>
        </w:rPr>
        <w:t xml:space="preserve"> 和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自贡市沿滩区人民政府办公室</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中锦军贤工程咨询集团有限公司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自成交供应商提出验收之日起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根据合同签订内容为准。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（1）审核提供的服务内容是否与响应文件内容一致。 （2）审核项目中提供的服务是否达到规定要求。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（1）审核提供验收的各类资料的正确性、完整性。 （2）审核提供验收的各类资料是否齐全、合理。 （3）审核服务情况是否符合采购文件要求。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严格按照政府采购相关法律法规以及《财政部关于进一步加强政府采购需求和履约验收管理的指导意见》财库〔2016〕205号的要求、竞争性磋商文件规定的要求和供应商响应文件及合同约定的内容进行验收。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自贡市沿滩区人民政府办公室</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联系人：田老师</w:t>
      </w:r>
    </w:p>
    <w:p>
      <w:pPr>
        <w:pStyle w:val="null3"/>
        <w:jc w:val="left"/>
      </w:pPr>
      <w:r>
        <w:rPr>
          <w:rFonts w:ascii="仿宋_GB2312" w:hAnsi="仿宋_GB2312" w:cs="仿宋_GB2312" w:eastAsia="仿宋_GB2312"/>
        </w:rPr>
        <w:t>联系电话：15182632702</w:t>
      </w:r>
    </w:p>
    <w:p>
      <w:pPr>
        <w:pStyle w:val="null3"/>
        <w:jc w:val="left"/>
      </w:pPr>
      <w:r>
        <w:rPr>
          <w:rFonts w:ascii="仿宋_GB2312" w:hAnsi="仿宋_GB2312" w:cs="仿宋_GB2312" w:eastAsia="仿宋_GB2312"/>
        </w:rPr>
        <w:t>地址：自贡市沿滩区沿滩镇开元路社区开元中路111号</w:t>
      </w:r>
    </w:p>
    <w:p>
      <w:pPr>
        <w:pStyle w:val="null3"/>
        <w:jc w:val="left"/>
      </w:pPr>
      <w:r>
        <w:rPr>
          <w:rFonts w:ascii="仿宋_GB2312" w:hAnsi="仿宋_GB2312" w:cs="仿宋_GB2312" w:eastAsia="仿宋_GB2312"/>
        </w:rPr>
        <w:t>邮编：643030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联系电话：0813-5401888</w:t>
      </w:r>
    </w:p>
    <w:p>
      <w:pPr>
        <w:pStyle w:val="null3"/>
        <w:jc w:val="left"/>
      </w:pPr>
      <w:r>
        <w:rPr>
          <w:rFonts w:ascii="仿宋_GB2312" w:hAnsi="仿宋_GB2312" w:cs="仿宋_GB2312" w:eastAsia="仿宋_GB2312"/>
        </w:rPr>
        <w:t>地址：自贡市自流井区丹阳街2号普润电商博览城一期A8-3-40-43</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C05990000 其他社会服务</w:t>
            </w:r>
          </w:p>
        </w:tc>
        <w:tc>
          <w:tcPr>
            <w:tcW w:type="dxa" w:w="821"/>
          </w:tcPr>
          <w:p>
            <w:pPr>
              <w:pStyle w:val="null3"/>
              <w:jc w:val="left"/>
            </w:pPr>
            <w:r>
              <w:rPr>
                <w:rFonts w:ascii="仿宋_GB2312" w:hAnsi="仿宋_GB2312" w:cs="仿宋_GB2312" w:eastAsia="仿宋_GB2312"/>
              </w:rPr>
              <w:t>沿滩区政府大楼后勤服务项目(2025年度）</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沿滩区政府大楼后勤服务项目(2025年度）</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标的名称：沿滩区政府大楼后勤服务项目(2025年度）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服务内容及服务要求</w:t>
            </w:r>
          </w:p>
        </w:tc>
        <w:tc>
          <w:tcPr>
            <w:tcW w:type="dxa" w:w="5814"/>
          </w:tcPr>
          <w:p>
            <w:pPr>
              <w:pStyle w:val="null3"/>
              <w:jc w:val="left"/>
            </w:pPr>
            <w:r>
              <w:rPr>
                <w:rFonts w:ascii="仿宋_GB2312" w:hAnsi="仿宋_GB2312" w:cs="仿宋_GB2312" w:eastAsia="仿宋_GB2312"/>
              </w:rPr>
              <w:t>详见“3.3.1”服务内容及服务要求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服务内容及服务要求</w:t>
            </w:r>
          </w:p>
        </w:tc>
        <w:tc>
          <w:tcPr>
            <w:tcW w:type="dxa" w:w="5814"/>
          </w:tcPr>
          <w:p>
            <w:pPr>
              <w:pStyle w:val="null3"/>
              <w:spacing w:before="255" w:after="255"/>
              <w:jc w:val="both"/>
              <w:outlineLvl w:val="2"/>
            </w:pPr>
            <w:r>
              <w:rPr>
                <w:rFonts w:ascii="仿宋_GB2312" w:hAnsi="仿宋_GB2312" w:cs="仿宋_GB2312" w:eastAsia="仿宋_GB2312"/>
                <w:sz w:val="32"/>
                <w:b/>
              </w:rPr>
              <w:t>★</w:t>
            </w:r>
            <w:r>
              <w:rPr>
                <w:rFonts w:ascii="仿宋_GB2312" w:hAnsi="仿宋_GB2312" w:cs="仿宋_GB2312" w:eastAsia="仿宋_GB2312"/>
                <w:sz w:val="28"/>
                <w:b/>
              </w:rPr>
              <w:t>一、人员配置：</w:t>
            </w:r>
          </w:p>
          <w:tbl>
            <w:tblPr>
              <w:tblInd w:type="dxa" w:w="135"/>
              <w:tblBorders>
                <w:top w:val="none" w:color="000000" w:sz="4"/>
                <w:left w:val="none" w:color="000000" w:sz="4"/>
                <w:bottom w:val="none" w:color="000000" w:sz="4"/>
                <w:right w:val="none" w:color="000000" w:sz="4"/>
                <w:insideH w:val="none"/>
                <w:insideV w:val="none"/>
              </w:tblBorders>
            </w:tblPr>
            <w:tblGrid>
              <w:gridCol w:w="600"/>
              <w:gridCol w:w="2289"/>
              <w:gridCol w:w="1036"/>
              <w:gridCol w:w="1662"/>
            </w:tblGrid>
            <w:tr>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岗位</w:t>
                  </w: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人员配置（人）</w:t>
                  </w:r>
                </w:p>
              </w:tc>
              <w:tc>
                <w:tcPr>
                  <w:tcW w:type="dxa" w:w="1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备注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1</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项目经理</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1人</w:t>
                  </w:r>
                </w:p>
              </w:tc>
              <w:tc>
                <w:tcPr>
                  <w:tcW w:type="dxa" w:w="16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注：报价是最终总价，包括服务人工费（工作保障和福利保障）、社保费、管理费、税费等一切费用。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2</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秩序维护服务</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4人</w:t>
                  </w:r>
                </w:p>
              </w:tc>
              <w:tc>
                <w:tcPr>
                  <w:tcW w:type="dxa" w:w="1662"/>
                  <w:vMerge/>
                  <w:tcBorders>
                    <w:top w:val="none" w:color="000000" w:sz="4"/>
                    <w:left w:val="none" w:color="000000" w:sz="4"/>
                    <w:bottom w:val="single" w:color="000000" w:sz="4"/>
                    <w:right w:val="single" w:color="000000" w:sz="4"/>
                  </w:tcBorders>
                </w:tcP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3</w:t>
                  </w: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会务接待服务</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2人</w:t>
                  </w:r>
                </w:p>
              </w:tc>
              <w:tc>
                <w:tcPr>
                  <w:tcW w:type="dxa" w:w="1662"/>
                  <w:vMerge/>
                  <w:tcBorders>
                    <w:top w:val="none" w:color="000000" w:sz="4"/>
                    <w:left w:val="none" w:color="000000" w:sz="4"/>
                    <w:bottom w:val="single" w:color="000000" w:sz="4"/>
                    <w:right w:val="single" w:color="000000" w:sz="4"/>
                  </w:tcBorders>
                </w:tcP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2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7人</w:t>
                  </w:r>
                </w:p>
              </w:tc>
              <w:tc>
                <w:tcPr>
                  <w:tcW w:type="dxa" w:w="1662"/>
                  <w:vMerge/>
                  <w:tcBorders>
                    <w:top w:val="none" w:color="000000" w:sz="4"/>
                    <w:left w:val="none" w:color="000000" w:sz="4"/>
                    <w:bottom w:val="single" w:color="000000" w:sz="4"/>
                    <w:right w:val="single" w:color="000000" w:sz="4"/>
                  </w:tcBorders>
                </w:tcPr>
                <w:p/>
              </w:tc>
            </w:tr>
          </w:tbl>
          <w:p>
            <w:pPr>
              <w:pStyle w:val="null3"/>
              <w:jc w:val="both"/>
              <w:outlineLvl w:val="1"/>
            </w:pPr>
            <w:r>
              <w:rPr>
                <w:rFonts w:ascii="仿宋_GB2312" w:hAnsi="仿宋_GB2312" w:cs="仿宋_GB2312" w:eastAsia="仿宋_GB2312"/>
                <w:sz w:val="28"/>
                <w:b/>
              </w:rPr>
              <w:t>★二</w:t>
            </w:r>
            <w:r>
              <w:rPr>
                <w:rFonts w:ascii="仿宋_GB2312" w:hAnsi="仿宋_GB2312" w:cs="仿宋_GB2312" w:eastAsia="仿宋_GB2312"/>
                <w:sz w:val="28"/>
                <w:b/>
              </w:rPr>
              <w:t>、服务</w:t>
            </w:r>
            <w:r>
              <w:rPr>
                <w:rFonts w:ascii="仿宋_GB2312" w:hAnsi="仿宋_GB2312" w:cs="仿宋_GB2312" w:eastAsia="仿宋_GB2312"/>
                <w:sz w:val="28"/>
                <w:b/>
              </w:rPr>
              <w:t>内容</w:t>
            </w:r>
            <w:r>
              <w:rPr>
                <w:rFonts w:ascii="仿宋_GB2312" w:hAnsi="仿宋_GB2312" w:cs="仿宋_GB2312" w:eastAsia="仿宋_GB2312"/>
                <w:sz w:val="28"/>
                <w:b/>
              </w:rPr>
              <w:t>及</w:t>
            </w:r>
            <w:r>
              <w:rPr>
                <w:rFonts w:ascii="仿宋_GB2312" w:hAnsi="仿宋_GB2312" w:cs="仿宋_GB2312" w:eastAsia="仿宋_GB2312"/>
                <w:sz w:val="28"/>
                <w:b/>
              </w:rPr>
              <w:t>要求</w:t>
            </w:r>
          </w:p>
          <w:p>
            <w:pPr>
              <w:pStyle w:val="null3"/>
              <w:ind w:firstLine="482"/>
              <w:jc w:val="left"/>
            </w:pPr>
            <w:r>
              <w:rPr>
                <w:rFonts w:ascii="仿宋_GB2312" w:hAnsi="仿宋_GB2312" w:cs="仿宋_GB2312" w:eastAsia="仿宋_GB2312"/>
                <w:sz w:val="24"/>
                <w:b/>
              </w:rPr>
              <w:t>1.秩序维护服务：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1）负责办公大楼管理的全面工作；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2）负责区政府大院及门卫室秩序维护；</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3）负责区政府停车场安全监控及安全巡视服务；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4）负责各项管理服务工作的日常检查督导，处理相关突发事件，安排并协调各岗位工作人员顺利完成工作；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5）负责区政府办公室报刊收发及其它工作。</w:t>
            </w:r>
          </w:p>
          <w:p>
            <w:pPr>
              <w:pStyle w:val="null3"/>
              <w:ind w:firstLine="482"/>
              <w:jc w:val="left"/>
            </w:pPr>
            <w:r>
              <w:rPr>
                <w:rFonts w:ascii="仿宋_GB2312" w:hAnsi="仿宋_GB2312" w:cs="仿宋_GB2312" w:eastAsia="仿宋_GB2312"/>
                <w:sz w:val="24"/>
                <w:b/>
              </w:rPr>
              <w:t>2.会务接待服务：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1）负责与自贡市沿滩区人民政府办公室及自贡市沿滩区机关事务服务中心沟通协调；</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2）负责按照经办人要求布置各类大小型会场，提供会议服务和会议室清洁工作。</w:t>
            </w:r>
          </w:p>
          <w:p>
            <w:pPr>
              <w:pStyle w:val="null3"/>
              <w:spacing w:before="255" w:after="255"/>
              <w:jc w:val="left"/>
              <w:outlineLvl w:val="1"/>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w:t>
            </w:r>
            <w:r>
              <w:rPr>
                <w:rFonts w:ascii="仿宋_GB2312" w:hAnsi="仿宋_GB2312" w:cs="仿宋_GB2312" w:eastAsia="仿宋_GB2312"/>
                <w:sz w:val="28"/>
                <w:b/>
              </w:rPr>
              <w:t>、技术、服务要求</w:t>
            </w:r>
          </w:p>
          <w:p>
            <w:pPr>
              <w:pStyle w:val="null3"/>
              <w:ind w:firstLine="241"/>
              <w:jc w:val="both"/>
            </w:pPr>
            <w:r>
              <w:rPr>
                <w:rFonts w:ascii="仿宋_GB2312" w:hAnsi="仿宋_GB2312" w:cs="仿宋_GB2312" w:eastAsia="仿宋_GB2312"/>
                <w:sz w:val="24"/>
                <w:b/>
              </w:rPr>
              <w:t>1.服务方案要求：</w:t>
            </w:r>
            <w:r>
              <w:rPr>
                <w:rFonts w:ascii="仿宋_GB2312" w:hAnsi="仿宋_GB2312" w:cs="仿宋_GB2312" w:eastAsia="仿宋_GB2312"/>
                <w:sz w:val="24"/>
              </w:rPr>
              <w:t>提供针对本项目的服务方案包括</w:t>
            </w:r>
            <w:r>
              <w:rPr>
                <w:rFonts w:ascii="仿宋_GB2312" w:hAnsi="仿宋_GB2312" w:cs="仿宋_GB2312" w:eastAsia="仿宋_GB2312"/>
                <w:sz w:val="24"/>
              </w:rPr>
              <w:t>（包括：</w:t>
            </w:r>
            <w:r>
              <w:rPr>
                <w:rFonts w:ascii="仿宋_GB2312" w:hAnsi="仿宋_GB2312" w:cs="仿宋_GB2312" w:eastAsia="仿宋_GB2312"/>
                <w:sz w:val="24"/>
              </w:rPr>
              <w:t>①服务特点</w:t>
            </w:r>
            <w:r>
              <w:rPr>
                <w:rFonts w:ascii="仿宋_GB2312" w:hAnsi="仿宋_GB2312" w:cs="仿宋_GB2312" w:eastAsia="仿宋_GB2312"/>
                <w:sz w:val="24"/>
              </w:rPr>
              <w:t>；</w:t>
            </w:r>
            <w:r>
              <w:rPr>
                <w:rFonts w:ascii="仿宋_GB2312" w:hAnsi="仿宋_GB2312" w:cs="仿宋_GB2312" w:eastAsia="仿宋_GB2312"/>
                <w:sz w:val="24"/>
              </w:rPr>
              <w:t>②服务目标</w:t>
            </w:r>
            <w:r>
              <w:rPr>
                <w:rFonts w:ascii="仿宋_GB2312" w:hAnsi="仿宋_GB2312" w:cs="仿宋_GB2312" w:eastAsia="仿宋_GB2312"/>
                <w:sz w:val="24"/>
              </w:rPr>
              <w:t>；</w:t>
            </w:r>
            <w:r>
              <w:rPr>
                <w:rFonts w:ascii="仿宋_GB2312" w:hAnsi="仿宋_GB2312" w:cs="仿宋_GB2312" w:eastAsia="仿宋_GB2312"/>
                <w:sz w:val="24"/>
              </w:rPr>
              <w:t>③服务理念</w:t>
            </w:r>
            <w:r>
              <w:rPr>
                <w:rFonts w:ascii="仿宋_GB2312" w:hAnsi="仿宋_GB2312" w:cs="仿宋_GB2312" w:eastAsia="仿宋_GB2312"/>
                <w:sz w:val="24"/>
              </w:rPr>
              <w:t>及</w:t>
            </w:r>
            <w:r>
              <w:rPr>
                <w:rFonts w:ascii="仿宋_GB2312" w:hAnsi="仿宋_GB2312" w:cs="仿宋_GB2312" w:eastAsia="仿宋_GB2312"/>
                <w:sz w:val="24"/>
              </w:rPr>
              <w:t>难点</w:t>
            </w:r>
            <w:r>
              <w:rPr>
                <w:rFonts w:ascii="仿宋_GB2312" w:hAnsi="仿宋_GB2312" w:cs="仿宋_GB2312" w:eastAsia="仿宋_GB2312"/>
                <w:sz w:val="24"/>
              </w:rPr>
              <w:t>分析</w:t>
            </w:r>
            <w:r>
              <w:rPr>
                <w:rFonts w:ascii="仿宋_GB2312" w:hAnsi="仿宋_GB2312" w:cs="仿宋_GB2312" w:eastAsia="仿宋_GB2312"/>
                <w:sz w:val="24"/>
              </w:rPr>
              <w:t>）；</w:t>
            </w:r>
            <w:r>
              <w:rPr>
                <w:rFonts w:ascii="仿宋_GB2312" w:hAnsi="仿宋_GB2312" w:cs="仿宋_GB2312" w:eastAsia="仿宋_GB2312"/>
                <w:sz w:val="24"/>
              </w:rPr>
              <w:t>管理实施方案（包括：</w:t>
            </w:r>
            <w:r>
              <w:rPr>
                <w:rFonts w:ascii="仿宋_GB2312" w:hAnsi="仿宋_GB2312" w:cs="仿宋_GB2312" w:eastAsia="仿宋_GB2312"/>
                <w:sz w:val="24"/>
              </w:rPr>
              <w:t>①工作管理计划</w:t>
            </w:r>
            <w:r>
              <w:rPr>
                <w:rFonts w:ascii="仿宋_GB2312" w:hAnsi="仿宋_GB2312" w:cs="仿宋_GB2312" w:eastAsia="仿宋_GB2312"/>
                <w:sz w:val="24"/>
              </w:rPr>
              <w:t>、</w:t>
            </w:r>
            <w:r>
              <w:rPr>
                <w:rFonts w:ascii="仿宋_GB2312" w:hAnsi="仿宋_GB2312" w:cs="仿宋_GB2312" w:eastAsia="仿宋_GB2312"/>
                <w:sz w:val="24"/>
              </w:rPr>
              <w:t>实施步骤</w:t>
            </w:r>
            <w:r>
              <w:rPr>
                <w:rFonts w:ascii="仿宋_GB2312" w:hAnsi="仿宋_GB2312" w:cs="仿宋_GB2312" w:eastAsia="仿宋_GB2312"/>
                <w:sz w:val="24"/>
              </w:rPr>
              <w:t>及具体</w:t>
            </w:r>
            <w:r>
              <w:rPr>
                <w:rFonts w:ascii="仿宋_GB2312" w:hAnsi="仿宋_GB2312" w:cs="仿宋_GB2312" w:eastAsia="仿宋_GB2312"/>
                <w:sz w:val="24"/>
              </w:rPr>
              <w:t>实施方案</w:t>
            </w:r>
            <w:r>
              <w:rPr>
                <w:rFonts w:ascii="仿宋_GB2312" w:hAnsi="仿宋_GB2312" w:cs="仿宋_GB2312" w:eastAsia="仿宋_GB2312"/>
                <w:sz w:val="24"/>
              </w:rPr>
              <w:t>；</w:t>
            </w:r>
            <w:r>
              <w:rPr>
                <w:rFonts w:ascii="仿宋_GB2312" w:hAnsi="仿宋_GB2312" w:cs="仿宋_GB2312" w:eastAsia="仿宋_GB2312"/>
                <w:sz w:val="24"/>
              </w:rPr>
              <w:t>②管理制度</w:t>
            </w:r>
            <w:r>
              <w:rPr>
                <w:rFonts w:ascii="仿宋_GB2312" w:hAnsi="仿宋_GB2312" w:cs="仿宋_GB2312" w:eastAsia="仿宋_GB2312"/>
                <w:sz w:val="24"/>
              </w:rPr>
              <w:t>；</w:t>
            </w:r>
            <w:r>
              <w:rPr>
                <w:rFonts w:ascii="仿宋_GB2312" w:hAnsi="仿宋_GB2312" w:cs="仿宋_GB2312" w:eastAsia="仿宋_GB2312"/>
                <w:sz w:val="24"/>
              </w:rPr>
              <w:t>③项目经理职责</w:t>
            </w:r>
            <w:r>
              <w:rPr>
                <w:rFonts w:ascii="仿宋_GB2312" w:hAnsi="仿宋_GB2312" w:cs="仿宋_GB2312" w:eastAsia="仿宋_GB2312"/>
                <w:sz w:val="24"/>
              </w:rPr>
              <w:t>、</w:t>
            </w:r>
            <w:r>
              <w:rPr>
                <w:rFonts w:ascii="仿宋_GB2312" w:hAnsi="仿宋_GB2312" w:cs="仿宋_GB2312" w:eastAsia="仿宋_GB2312"/>
                <w:sz w:val="24"/>
              </w:rPr>
              <w:t>内部管理的职责分工</w:t>
            </w:r>
            <w:r>
              <w:rPr>
                <w:rFonts w:ascii="仿宋_GB2312" w:hAnsi="仿宋_GB2312" w:cs="仿宋_GB2312" w:eastAsia="仿宋_GB2312"/>
                <w:sz w:val="24"/>
              </w:rPr>
              <w:t>；</w:t>
            </w:r>
            <w:r>
              <w:rPr>
                <w:rFonts w:ascii="仿宋_GB2312" w:hAnsi="仿宋_GB2312" w:cs="仿宋_GB2312" w:eastAsia="仿宋_GB2312"/>
                <w:sz w:val="24"/>
              </w:rPr>
              <w:t>④</w:t>
            </w:r>
            <w:r>
              <w:rPr>
                <w:rFonts w:ascii="仿宋_GB2312" w:hAnsi="仿宋_GB2312" w:cs="仿宋_GB2312" w:eastAsia="仿宋_GB2312"/>
                <w:sz w:val="24"/>
              </w:rPr>
              <w:t>组织机构和工作职能运行图</w:t>
            </w:r>
            <w:r>
              <w:rPr>
                <w:rFonts w:ascii="仿宋_GB2312" w:hAnsi="仿宋_GB2312" w:cs="仿宋_GB2312" w:eastAsia="仿宋_GB2312"/>
                <w:sz w:val="24"/>
              </w:rPr>
              <w:t>）；</w:t>
            </w:r>
            <w:r>
              <w:rPr>
                <w:rFonts w:ascii="仿宋_GB2312" w:hAnsi="仿宋_GB2312" w:cs="仿宋_GB2312" w:eastAsia="仿宋_GB2312"/>
                <w:sz w:val="24"/>
              </w:rPr>
              <w:t>人员考核及奖惩办法内容（包括：</w:t>
            </w:r>
            <w:r>
              <w:rPr>
                <w:rFonts w:ascii="仿宋_GB2312" w:hAnsi="仿宋_GB2312" w:cs="仿宋_GB2312" w:eastAsia="仿宋_GB2312"/>
                <w:sz w:val="24"/>
              </w:rPr>
              <w:t>①考核内容</w:t>
            </w:r>
            <w:r>
              <w:rPr>
                <w:rFonts w:ascii="仿宋_GB2312" w:hAnsi="仿宋_GB2312" w:cs="仿宋_GB2312" w:eastAsia="仿宋_GB2312"/>
                <w:sz w:val="24"/>
              </w:rPr>
              <w:t>②</w:t>
            </w:r>
            <w:r>
              <w:rPr>
                <w:rFonts w:ascii="仿宋_GB2312" w:hAnsi="仿宋_GB2312" w:cs="仿宋_GB2312" w:eastAsia="仿宋_GB2312"/>
                <w:sz w:val="24"/>
              </w:rPr>
              <w:t>考核标准</w:t>
            </w:r>
            <w:r>
              <w:rPr>
                <w:rFonts w:ascii="仿宋_GB2312" w:hAnsi="仿宋_GB2312" w:cs="仿宋_GB2312" w:eastAsia="仿宋_GB2312"/>
                <w:sz w:val="24"/>
              </w:rPr>
              <w:t>③</w:t>
            </w:r>
            <w:r>
              <w:rPr>
                <w:rFonts w:ascii="仿宋_GB2312" w:hAnsi="仿宋_GB2312" w:cs="仿宋_GB2312" w:eastAsia="仿宋_GB2312"/>
                <w:sz w:val="24"/>
              </w:rPr>
              <w:t>奖惩措施）</w:t>
            </w:r>
            <w:r>
              <w:rPr>
                <w:rFonts w:ascii="仿宋_GB2312" w:hAnsi="仿宋_GB2312" w:cs="仿宋_GB2312" w:eastAsia="仿宋_GB2312"/>
                <w:sz w:val="24"/>
              </w:rPr>
              <w:t>；</w:t>
            </w:r>
            <w:r>
              <w:rPr>
                <w:rFonts w:ascii="仿宋_GB2312" w:hAnsi="仿宋_GB2312" w:cs="仿宋_GB2312" w:eastAsia="仿宋_GB2312"/>
                <w:sz w:val="24"/>
              </w:rPr>
              <w:t>应急措施方案（包括</w:t>
            </w:r>
            <w:r>
              <w:rPr>
                <w:rFonts w:ascii="仿宋_GB2312" w:hAnsi="仿宋_GB2312" w:cs="仿宋_GB2312" w:eastAsia="仿宋_GB2312"/>
                <w:sz w:val="24"/>
              </w:rPr>
              <w:t>：</w:t>
            </w:r>
            <w:r>
              <w:rPr>
                <w:rFonts w:ascii="仿宋_GB2312" w:hAnsi="仿宋_GB2312" w:cs="仿宋_GB2312" w:eastAsia="仿宋_GB2312"/>
                <w:sz w:val="24"/>
              </w:rPr>
              <w:t>①服务人员处理突发事件的原则和方法</w:t>
            </w:r>
            <w:r>
              <w:rPr>
                <w:rFonts w:ascii="仿宋_GB2312" w:hAnsi="仿宋_GB2312" w:cs="仿宋_GB2312" w:eastAsia="仿宋_GB2312"/>
                <w:sz w:val="24"/>
              </w:rPr>
              <w:t>、</w:t>
            </w:r>
            <w:r>
              <w:rPr>
                <w:rFonts w:ascii="仿宋_GB2312" w:hAnsi="仿宋_GB2312" w:cs="仿宋_GB2312" w:eastAsia="仿宋_GB2312"/>
                <w:sz w:val="24"/>
              </w:rPr>
              <w:t>②</w:t>
            </w:r>
            <w:r>
              <w:rPr>
                <w:rFonts w:ascii="仿宋_GB2312" w:hAnsi="仿宋_GB2312" w:cs="仿宋_GB2312" w:eastAsia="仿宋_GB2312"/>
                <w:sz w:val="24"/>
              </w:rPr>
              <w:t>日常管理服务突发事件处理预案</w:t>
            </w:r>
            <w:r>
              <w:rPr>
                <w:rFonts w:ascii="仿宋_GB2312" w:hAnsi="仿宋_GB2312" w:cs="仿宋_GB2312" w:eastAsia="仿宋_GB2312"/>
                <w:sz w:val="24"/>
              </w:rPr>
              <w:t>；</w:t>
            </w:r>
            <w:r>
              <w:rPr>
                <w:rFonts w:ascii="仿宋_GB2312" w:hAnsi="仿宋_GB2312" w:cs="仿宋_GB2312" w:eastAsia="仿宋_GB2312"/>
                <w:sz w:val="24"/>
              </w:rPr>
              <w:t>③</w:t>
            </w:r>
            <w:r>
              <w:rPr>
                <w:rFonts w:ascii="仿宋_GB2312" w:hAnsi="仿宋_GB2312" w:cs="仿宋_GB2312" w:eastAsia="仿宋_GB2312"/>
                <w:sz w:val="24"/>
              </w:rPr>
              <w:t>安全突发事件</w:t>
            </w:r>
            <w:r>
              <w:rPr>
                <w:rFonts w:ascii="仿宋_GB2312" w:hAnsi="仿宋_GB2312" w:cs="仿宋_GB2312" w:eastAsia="仿宋_GB2312"/>
                <w:sz w:val="24"/>
              </w:rPr>
              <w:t>及</w:t>
            </w:r>
            <w:r>
              <w:rPr>
                <w:rFonts w:ascii="仿宋_GB2312" w:hAnsi="仿宋_GB2312" w:cs="仿宋_GB2312" w:eastAsia="仿宋_GB2312"/>
                <w:sz w:val="24"/>
              </w:rPr>
              <w:t>设备故障处理预案）</w:t>
            </w:r>
            <w:r>
              <w:rPr>
                <w:rFonts w:ascii="仿宋_GB2312" w:hAnsi="仿宋_GB2312" w:cs="仿宋_GB2312" w:eastAsia="仿宋_GB2312"/>
                <w:sz w:val="24"/>
              </w:rPr>
              <w:t>等。</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4"/>
                <w:b/>
              </w:rPr>
              <w:t>2.会议服务要求：</w:t>
            </w:r>
          </w:p>
          <w:p>
            <w:pPr>
              <w:pStyle w:val="null3"/>
              <w:spacing w:after="120"/>
              <w:ind w:firstLine="4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按照相关会议服务要求规范会议服务流程。</w:t>
            </w:r>
          </w:p>
          <w:p>
            <w:pPr>
              <w:pStyle w:val="null3"/>
              <w:spacing w:after="120"/>
              <w:ind w:firstLine="4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要提前做好会议室卫生的打扫，会议室设施设备都要做到干净、无灰尘、无烟头、无水迹、无死角。</w:t>
            </w:r>
          </w:p>
          <w:p>
            <w:pPr>
              <w:pStyle w:val="null3"/>
              <w:spacing w:after="120"/>
              <w:ind w:firstLine="4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每天检查会议室设施设备是否完好，如有损坏，及时报修。</w:t>
            </w:r>
          </w:p>
          <w:p>
            <w:pPr>
              <w:pStyle w:val="null3"/>
              <w:spacing w:after="120"/>
              <w:ind w:firstLine="42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会前认真检查每一个环节，杯子和茶叶是否准备齐全。</w:t>
            </w:r>
          </w:p>
          <w:p>
            <w:pPr>
              <w:pStyle w:val="null3"/>
              <w:spacing w:after="120"/>
              <w:ind w:firstLine="42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会议开始后，每隔</w:t>
            </w:r>
            <w:r>
              <w:rPr>
                <w:rFonts w:ascii="仿宋_GB2312" w:hAnsi="仿宋_GB2312" w:cs="仿宋_GB2312" w:eastAsia="仿宋_GB2312"/>
                <w:sz w:val="24"/>
              </w:rPr>
              <w:t>15分钟进行冲水。</w:t>
            </w:r>
          </w:p>
          <w:p>
            <w:pPr>
              <w:pStyle w:val="null3"/>
              <w:spacing w:after="120"/>
              <w:ind w:firstLine="42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会议完毕后，对使用后的会议室清理卫生，保证会议室干净整洁。</w:t>
            </w:r>
          </w:p>
          <w:p>
            <w:pPr>
              <w:pStyle w:val="null3"/>
              <w:spacing w:after="120"/>
              <w:ind w:firstLine="42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增加对会议的个性化服务，会议人员按要求规范佩戴手套进行会议服务及为领导拉椅服务等。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b/>
              </w:rPr>
              <w:t>3.门卫室</w:t>
            </w:r>
            <w:r>
              <w:rPr>
                <w:rFonts w:ascii="仿宋_GB2312" w:hAnsi="仿宋_GB2312" w:cs="仿宋_GB2312" w:eastAsia="仿宋_GB2312"/>
                <w:sz w:val="24"/>
                <w:b/>
              </w:rPr>
              <w:t>秩序维护</w:t>
            </w:r>
            <w:r>
              <w:rPr>
                <w:rFonts w:ascii="仿宋_GB2312" w:hAnsi="仿宋_GB2312" w:cs="仿宋_GB2312" w:eastAsia="仿宋_GB2312"/>
                <w:sz w:val="24"/>
                <w:b/>
              </w:rPr>
              <w:t>要求：</w:t>
            </w:r>
          </w:p>
          <w:p>
            <w:pPr>
              <w:pStyle w:val="null3"/>
              <w:spacing w:after="120"/>
              <w:jc w:val="both"/>
            </w:pPr>
            <w:r>
              <w:rPr>
                <w:rFonts w:ascii="仿宋_GB2312" w:hAnsi="仿宋_GB2312" w:cs="仿宋_GB2312" w:eastAsia="仿宋_GB2312"/>
                <w:sz w:val="24"/>
              </w:rPr>
              <w:t>（1）门卫工作人员</w:t>
            </w:r>
            <w:r>
              <w:rPr>
                <w:rFonts w:ascii="仿宋_GB2312" w:hAnsi="仿宋_GB2312" w:cs="仿宋_GB2312" w:eastAsia="仿宋_GB2312"/>
                <w:sz w:val="24"/>
              </w:rPr>
              <w:t>4名（其中2名</w:t>
            </w:r>
            <w:r>
              <w:rPr>
                <w:rFonts w:ascii="仿宋_GB2312" w:hAnsi="仿宋_GB2312" w:cs="仿宋_GB2312" w:eastAsia="仿宋_GB2312"/>
                <w:sz w:val="24"/>
              </w:rPr>
              <w:t>秩序维护</w:t>
            </w:r>
            <w:r>
              <w:rPr>
                <w:rFonts w:ascii="仿宋_GB2312" w:hAnsi="仿宋_GB2312" w:cs="仿宋_GB2312" w:eastAsia="仿宋_GB2312"/>
                <w:sz w:val="24"/>
              </w:rPr>
              <w:t>人员要求</w:t>
            </w:r>
            <w:r>
              <w:rPr>
                <w:rFonts w:ascii="仿宋_GB2312" w:hAnsi="仿宋_GB2312" w:cs="仿宋_GB2312" w:eastAsia="仿宋_GB2312"/>
                <w:sz w:val="24"/>
              </w:rPr>
              <w:t>45岁周岁以下，退伍军人优先），按规定时间上下班（工作日8:30-18:00），有特殊情况除外</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名秩序维护人员</w:t>
            </w:r>
            <w:r>
              <w:rPr>
                <w:rFonts w:ascii="仿宋_GB2312" w:hAnsi="仿宋_GB2312" w:cs="仿宋_GB2312" w:eastAsia="仿宋_GB2312"/>
                <w:sz w:val="24"/>
              </w:rPr>
              <w:t>实行</w:t>
            </w:r>
            <w:r>
              <w:rPr>
                <w:rFonts w:ascii="仿宋_GB2312" w:hAnsi="仿宋_GB2312" w:cs="仿宋_GB2312" w:eastAsia="仿宋_GB2312"/>
                <w:sz w:val="24"/>
              </w:rPr>
              <w:t>24小时上班制度</w:t>
            </w:r>
            <w:r>
              <w:rPr>
                <w:rFonts w:ascii="仿宋_GB2312" w:hAnsi="仿宋_GB2312" w:cs="仿宋_GB2312" w:eastAsia="仿宋_GB2312"/>
                <w:sz w:val="24"/>
              </w:rPr>
              <w:t>，（工作时间</w:t>
            </w:r>
            <w:r>
              <w:rPr>
                <w:rFonts w:ascii="仿宋_GB2312" w:hAnsi="仿宋_GB2312" w:cs="仿宋_GB2312" w:eastAsia="仿宋_GB2312"/>
                <w:sz w:val="24"/>
              </w:rPr>
              <w:t>8:30-第二天8:30）2人交替换班，如有特殊情况，供应商应负责安排一名符合本项目要求的秩序维护员代班，并向采购人报告代班人员情况。</w:t>
            </w:r>
          </w:p>
          <w:p>
            <w:pPr>
              <w:pStyle w:val="null3"/>
              <w:spacing w:after="120"/>
              <w:jc w:val="both"/>
            </w:pPr>
            <w:r>
              <w:rPr>
                <w:rFonts w:ascii="仿宋_GB2312" w:hAnsi="仿宋_GB2312" w:cs="仿宋_GB2312" w:eastAsia="仿宋_GB2312"/>
                <w:sz w:val="24"/>
              </w:rPr>
              <w:t>（2）上班期间须定时或不定时进行巡查，确保区政府大院及停车场安全。</w:t>
            </w:r>
          </w:p>
          <w:p>
            <w:pPr>
              <w:pStyle w:val="null3"/>
              <w:spacing w:after="120"/>
              <w:jc w:val="both"/>
            </w:pPr>
            <w:r>
              <w:rPr>
                <w:rFonts w:ascii="仿宋_GB2312" w:hAnsi="仿宋_GB2312" w:cs="仿宋_GB2312" w:eastAsia="仿宋_GB2312"/>
                <w:sz w:val="24"/>
              </w:rPr>
              <w:t>（3）每天负责区政府办各种报刊清理分类工作，并按要求送到各办公室。</w:t>
            </w:r>
          </w:p>
          <w:p>
            <w:pPr>
              <w:pStyle w:val="null3"/>
              <w:spacing w:after="120"/>
              <w:jc w:val="both"/>
            </w:pPr>
            <w:r>
              <w:rPr>
                <w:rFonts w:ascii="仿宋_GB2312" w:hAnsi="仿宋_GB2312" w:cs="仿宋_GB2312" w:eastAsia="仿宋_GB2312"/>
                <w:sz w:val="24"/>
              </w:rPr>
              <w:t>（4）完成临时交办的其它工作。</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自2025年12月1日至2026年11月30日止。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以及竞争性磋商文件的质量要求和技术指标、供应商的响应文件及承诺与本合同约定标准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1、合同签订起，达到付款条件起10日内，支付合同总金额的40.00%</w:t>
            </w:r>
          </w:p>
          <w:p>
            <w:pPr>
              <w:pStyle w:val="null3"/>
              <w:jc w:val="left"/>
            </w:pPr>
            <w:r>
              <w:rPr>
                <w:rFonts w:ascii="仿宋_GB2312" w:hAnsi="仿宋_GB2312" w:cs="仿宋_GB2312" w:eastAsia="仿宋_GB2312"/>
              </w:rPr>
              <w:t>2、剩余60%费用采取按月结算（剩余60%费用除以12个月），乙方于每月末向甲方提供正式发票及相关财务手续，甲方于下月10日前向乙方以转账或公务卡支付上一月款项，达到付款条件起10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1、双方必须遵守本合同并执行合同中的各项规定，保证本合同的正常履行。 2、如因中标人工作人员在履行职务过程中的的疏忽、失职、过错等故意或者过失原因给招标人造成损失或侵害，包括但不限于招标人本身的财产损失、由此而导致的招标人对任何第三方的法律责任等，中标人对此均应承担全部的赔偿责任。 二、争议解决方法：合同履行期间，双方发生争议，可协商或由有关部门调解解决，协商或调解不成的，由当事人依法维护其合法权益，并在招标人所在地人民法院提起诉讼。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★1、成交供应商在接到采购人的紧急工作安排后（包括秩序维护人员、会议接待人员），须在24小时内派人赶到并进行处理。特殊情况急需处理的须在接到通知后1小时派人赶到采购人指定地点并进行处理。 ★2、安全防护及事故处理： ①成交供应商委派的工作人员在工作期间，应当严格遵守安全作业的有关管理制度，并随时接受监督检查，采取必要的安全防护措施，消除事故隐患，由于未按规定落实安全措施或安全措施不当造成事故的责任和因此发生的费用由成交供应商承担； ②成交供应商须对其委派的人员进行安全教育，并对其安全负责，同时为工作人员购买足额的意外保险，发生意外事故，采购人不承担赔偿责任； ★3、成交供应商应根据采购人的要求进行服务工作，采购人可适时调整成交供应商委派的工作人员的工作安排。 ★4、成交供应商应当与委派劳动人员签订《劳动合同》，支付所派出全部工作人员工资、社保、残疾人基金、工会基金等费用及各项补助、节日福利等，并对其疾病和人身安全等完全负责，成交供应商委派的工作人员工资标准不得低于自贡市的最低工资标准，采购人对此不承担任何的法律责任和义务。5、采购文件中引用的政策法规、规范和技术标准等，如有更新或与最新执行有冲突的一律按最新标准执行，采购文件不再另行变更。6、除采购文件另有规定外，若出现有关法律、法规和规章有强制性规定但采购文件未列明的情形，磋商小组和供应商应按照有关法律、法规和规章强制性规定执行。7、磋商文件中“3.3服务要求、3.4其他要求”在服务应答表中应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上传相应证明文件并进行电子签章。①可提供近三年（任意一年）供应商经审计的完整有效的财务报告复印件；②也可提供近三年（任意一年）供应商内部的财务报表复印件（至少应包含资产负债表、现金流量表、利润表）；③也可提供距文件递交截止日一年内银行出具的资信证明（复印件）；④供应商注册时间至文件递交截止日不足一年的，也可提供在工商备案的公司章程（复印件）；⑤非营利性单位或者社会团体或者其他机关事业单位以符合财务会计制度为准；⑥供应商为自然人时提供承诺函原件（格式自拟）⑦也可提供承诺函（格式自拟）。并进行电子签章。</w:t>
            </w:r>
          </w:p>
        </w:tc>
        <w:tc>
          <w:tcPr>
            <w:tcW w:type="dxa" w:w="1910"/>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磋商文件加★号的技术、服务、商务和其他要求均为实质性要求。</w:t>
            </w:r>
          </w:p>
        </w:tc>
        <w:tc>
          <w:tcPr>
            <w:tcW w:type="dxa" w:w="3322"/>
          </w:tcPr>
          <w:p>
            <w:pPr>
              <w:pStyle w:val="null3"/>
              <w:jc w:val="left"/>
            </w:pPr>
            <w:r>
              <w:rPr>
                <w:rFonts w:ascii="仿宋_GB2312" w:hAnsi="仿宋_GB2312" w:cs="仿宋_GB2312" w:eastAsia="仿宋_GB2312"/>
              </w:rPr>
              <w:t>响应文件均应实质性响应磋商文件中加★号的技术、服务、商务和其他要求。</w:t>
            </w:r>
          </w:p>
        </w:tc>
        <w:tc>
          <w:tcPr>
            <w:tcW w:type="dxa" w:w="1910"/>
          </w:tcPr>
          <w:p>
            <w:pPr>
              <w:pStyle w:val="null3"/>
              <w:jc w:val="left"/>
            </w:pPr>
            <w:r>
              <w:rPr>
                <w:rFonts w:ascii="仿宋_GB2312" w:hAnsi="仿宋_GB2312" w:cs="仿宋_GB2312" w:eastAsia="仿宋_GB2312"/>
              </w:rPr>
              <w:t>供应商认为需要提供的材料,服务应答表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在评审过程中，供应商报价低于采购预算50% 或者低于其他有效供应商报价算术平均价40% ，有可能影响产品质量或者不能诚信履约的， 磋商小组应当要求其在合理的时间内通过交易 系统进行书面说明、提交相关证明材料，并加 盖电子签章。供应商拒绝或者变相拒绝提供有 效书面说明或者书面说明不能证明其报价合理 性的，磋商小组应当将其响应文件作为无效响 应处理。</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服务内容服务要求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供应商根据本项目提供的分析方案（包括：①服务特点；②服务目标；③服务理念及难点分析）完全满足本项目采购需求实际得18分，每缺其中一项扣6分；每有一处内容存在缺陷的扣3分，扣完为止。 注：（内容缺陷是指: ①不符合项目需求且不能保障项目顺利实施②内容非专门针对本项目编制③存在套用其他项目方案④存在方案内容语句矛盾⑤存在阐述存在逻辑错误、涉及的规范或标准错误⑥存在方案阐述脱离服务需求或完全复制服务需求⑦存在方案中的内容与项目技术服务要求对比存在错误，质量与安全相关内容缺乏监督机制）</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供应商认为需要提供的材料</w:t>
            </w:r>
          </w:p>
        </w:tc>
      </w:tr>
      <w:tr>
        <w:tc>
          <w:tcPr>
            <w:tcW w:type="dxa" w:w="831"/>
            <w:vMerge/>
          </w:tcPr>
          <w:p/>
        </w:tc>
        <w:tc>
          <w:tcPr>
            <w:tcW w:type="dxa" w:w="1661"/>
          </w:tcPr>
          <w:p>
            <w:pPr>
              <w:pStyle w:val="null3"/>
              <w:jc w:val="left"/>
            </w:pPr>
            <w:r>
              <w:rPr>
                <w:rFonts w:ascii="仿宋_GB2312" w:hAnsi="仿宋_GB2312" w:cs="仿宋_GB2312" w:eastAsia="仿宋_GB2312"/>
              </w:rPr>
              <w:t>管理方案</w:t>
            </w:r>
          </w:p>
        </w:tc>
        <w:tc>
          <w:tcPr>
            <w:tcW w:type="dxa" w:w="2575"/>
          </w:tcPr>
          <w:p>
            <w:pPr>
              <w:pStyle w:val="null3"/>
              <w:jc w:val="left"/>
            </w:pPr>
            <w:r>
              <w:rPr>
                <w:rFonts w:ascii="仿宋_GB2312" w:hAnsi="仿宋_GB2312" w:cs="仿宋_GB2312" w:eastAsia="仿宋_GB2312"/>
              </w:rPr>
              <w:t>1.管理实施方案（28分） 供应商根据本项目提供的管理实施方案（包括：①工作管理计划、实施步骤及具体实施方案；②管理制度；③项目经理职责、内部管理的职责分工；④组织机构和工作职能运行图）完全满足本项目采购需求实际得28分，每缺其中一项扣7分；每有一处内容存在缺陷的扣3.5分，扣完为止。 注：（内容缺陷是指: ①不符合项目需求且不能保障项目顺利实施②内容非专门针对本项目编制③存在套用其他项目方案④存在方案内容语句矛盾⑤存在阐述存在逻辑错误、涉及的规范或标准错误⑥存在方案阐述脱离服务需求或完全复制服务需求⑦存在方案中的内容与项目技术服务要求对比存在错误，质量与安全相关内容缺乏监督机制） 2.人员考核及奖惩办法（12分） （1）供应商根据本项目提供的人员考核及奖惩办法内容（包括：①考核内容、②考核标准、③奖惩措施）完全满足本项目采购需求实际得12分，每缺其中一项扣4分；每有一处内容存在缺陷的扣2分，扣完为止。 注：（内容缺陷是指: ①不符合项目需求且不能保障项目顺利实施②内容非专门针对本项目编制③存在套用其他项目方案④存在方案内容语句矛盾⑤存在阐述存在逻辑错误、涉及的规范或标准错误⑥存在方案阐述脱离服务需求或完全复制服务需求⑦存在方案中的内容与项目技术服务要求对比存在错误，质量与安全相关内容缺乏监督机制）</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供应商认为需要提供的材料</w:t>
            </w:r>
          </w:p>
        </w:tc>
      </w:tr>
      <w:tr>
        <w:tc>
          <w:tcPr>
            <w:tcW w:type="dxa" w:w="831"/>
            <w:vMerge/>
          </w:tcPr>
          <w:p/>
        </w:tc>
        <w:tc>
          <w:tcPr>
            <w:tcW w:type="dxa" w:w="1661"/>
          </w:tcPr>
          <w:p>
            <w:pPr>
              <w:pStyle w:val="null3"/>
              <w:jc w:val="left"/>
            </w:pPr>
            <w:r>
              <w:rPr>
                <w:rFonts w:ascii="仿宋_GB2312" w:hAnsi="仿宋_GB2312" w:cs="仿宋_GB2312" w:eastAsia="仿宋_GB2312"/>
              </w:rPr>
              <w:t>应急措施方案</w:t>
            </w:r>
          </w:p>
        </w:tc>
        <w:tc>
          <w:tcPr>
            <w:tcW w:type="dxa" w:w="2575"/>
          </w:tcPr>
          <w:p>
            <w:pPr>
              <w:pStyle w:val="null3"/>
              <w:jc w:val="left"/>
            </w:pPr>
            <w:r>
              <w:rPr>
                <w:rFonts w:ascii="仿宋_GB2312" w:hAnsi="仿宋_GB2312" w:cs="仿宋_GB2312" w:eastAsia="仿宋_GB2312"/>
              </w:rPr>
              <w:t>供应商根据本项目提供的应急措施方案（包括：①服务人员处理突发事件的原则和方法、②日常管理服务突发事件处理预案；③安全突发事件及设备故障处理预案）完全满足本项目采购需求实际得18分，每缺其中一项扣6分；每有一处内容缺陷的扣3分，扣完为止。 注：（内容缺陷是指: ①不符合项目需求且不能保障项目顺利实施②内容非专门针对本项目编制③存在套用其他项目方案④存在方案内容语句矛盾⑤存在阐述存在逻辑错误、涉及的规范或标准错误⑥存在方案阐述脱离服务需求或完全复制服务需求⑦存在方案中的内容与项目技术服务要求对比存在错误，质量与安全相关内容缺乏监督机制）</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供应商自2022年1月1日（含）至今，每有一个类似业绩得2分，最多得4分，未提供不得分。 注：以供应商提供合同复印件为依据。</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详见附件：供应商认为需要提供的材料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