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widowControl w:val="0"/>
        <w:spacing w:before="156" w:beforeLines="0" w:after="120" w:line="460" w:lineRule="exact"/>
        <w:ind w:left="284"/>
        <w:jc w:val="center"/>
        <w:outlineLvl w:val="1"/>
        <w:rPr>
          <w:rFonts w:ascii="宋体" w:hAnsi="Calibri" w:eastAsia="宋体" w:cs="Times New Roman"/>
          <w:b/>
          <w:bCs/>
          <w:kern w:val="0"/>
          <w:sz w:val="30"/>
          <w:szCs w:val="30"/>
          <w:lang w:val="en-US" w:eastAsia="zh-CN" w:bidi="ar-SA"/>
        </w:rPr>
      </w:pPr>
      <w:bookmarkStart w:id="0" w:name="_Toc11522"/>
      <w:bookmarkStart w:id="1" w:name="_Toc30395"/>
      <w:bookmarkStart w:id="2" w:name="_Toc512588787"/>
      <w:r>
        <w:rPr>
          <w:rFonts w:hint="eastAsia" w:ascii="宋体" w:hAnsi="Calibri" w:eastAsia="宋体" w:cs="Times New Roman"/>
          <w:b/>
          <w:bCs/>
          <w:kern w:val="0"/>
          <w:sz w:val="30"/>
          <w:szCs w:val="30"/>
          <w:lang w:val="en-US" w:eastAsia="zh-CN" w:bidi="ar-SA"/>
        </w:rPr>
        <w:t>一、技术要求</w:t>
      </w:r>
      <w:bookmarkEnd w:id="0"/>
      <w:bookmarkEnd w:id="1"/>
      <w:bookmarkEnd w:id="2"/>
    </w:p>
    <w:p>
      <w:pPr>
        <w:spacing w:line="540" w:lineRule="exact"/>
        <w:rPr>
          <w:rFonts w:hint="eastAsia" w:ascii="宋体" w:hAnsi="宋体" w:cs="宋体"/>
          <w:b/>
          <w:bCs/>
          <w:szCs w:val="24"/>
        </w:rPr>
      </w:pPr>
      <w:r>
        <w:rPr>
          <w:rFonts w:hint="eastAsia" w:ascii="宋体" w:hAnsi="宋体" w:cs="宋体"/>
          <w:b/>
          <w:bCs/>
          <w:szCs w:val="24"/>
        </w:rPr>
        <w:t>（一）采购清单</w:t>
      </w:r>
    </w:p>
    <w:tbl>
      <w:tblPr>
        <w:tblStyle w:val="7"/>
        <w:tblW w:w="94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771"/>
        <w:gridCol w:w="4679"/>
        <w:gridCol w:w="700"/>
        <w:gridCol w:w="700"/>
        <w:gridCol w:w="8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00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序号</w:t>
            </w:r>
          </w:p>
        </w:tc>
        <w:tc>
          <w:tcPr>
            <w:tcW w:w="177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项目</w:t>
            </w: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详细品目</w:t>
            </w:r>
          </w:p>
        </w:tc>
        <w:tc>
          <w:tcPr>
            <w:tcW w:w="700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单位</w:t>
            </w:r>
          </w:p>
        </w:tc>
        <w:tc>
          <w:tcPr>
            <w:tcW w:w="700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数量</w:t>
            </w:r>
          </w:p>
        </w:tc>
        <w:tc>
          <w:tcPr>
            <w:tcW w:w="892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1771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工控融合主机</w:t>
            </w: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物理密匙U盾</w:t>
            </w:r>
          </w:p>
        </w:tc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200</w:t>
            </w:r>
          </w:p>
        </w:tc>
        <w:tc>
          <w:tcPr>
            <w:tcW w:w="892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硬件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中央处理器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散热器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主板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DRAM动态闪存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SSD固态驱动器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ATX机箱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PSU电源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1771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主体设计与定制</w:t>
            </w: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主体工艺设计</w:t>
            </w:r>
          </w:p>
        </w:tc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200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外观工艺定制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高保真音响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高刷屏液晶显示器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摇杆元件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按钮元件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控制器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电路板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漏电保护开关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亚克力操作台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电源开关控制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bidi="ar"/>
              </w:rPr>
              <w:t>电源适配线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外观UV工艺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安全检修锁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</w:t>
            </w:r>
          </w:p>
        </w:tc>
        <w:tc>
          <w:tcPr>
            <w:tcW w:w="1771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其他</w:t>
            </w: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人工费</w:t>
            </w:r>
          </w:p>
        </w:tc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200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辅材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4679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物流</w:t>
            </w: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4</w:t>
            </w:r>
          </w:p>
        </w:tc>
        <w:tc>
          <w:tcPr>
            <w:tcW w:w="1771" w:type="dxa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虚拟现实程序开发</w:t>
            </w: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软件设计策划</w:t>
            </w:r>
          </w:p>
        </w:tc>
        <w:tc>
          <w:tcPr>
            <w:tcW w:w="892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ascii="宋体" w:hAnsi="宋体" w:cs="Times New Roman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住宅火灾逃生模拟定制开发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通信应用开发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智能唤醒系统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AI程序判断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拓展接口协议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多边形数字模型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3D角色建模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3D角色骨骼绑定，人物动作捕捉，动作数据导出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3D角色程序开发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特效程序开发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音效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UI美术设计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00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1771" w:type="dxa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6079" w:type="dxa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加密软件开发</w:t>
            </w:r>
          </w:p>
        </w:tc>
        <w:tc>
          <w:tcPr>
            <w:tcW w:w="892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442" w:type="dxa"/>
            <w:gridSpan w:val="6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本项目报价为含税</w:t>
            </w: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  <w:lang w:val="en-US" w:eastAsia="zh-CN"/>
              </w:rPr>
              <w:t>报</w:t>
            </w: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价。</w:t>
            </w:r>
          </w:p>
        </w:tc>
      </w:tr>
    </w:tbl>
    <w:p>
      <w:pPr>
        <w:widowControl w:val="0"/>
        <w:spacing w:line="460" w:lineRule="exact"/>
        <w:rPr>
          <w:rFonts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（二）详细技术要求</w:t>
      </w:r>
    </w:p>
    <w:tbl>
      <w:tblPr>
        <w:tblStyle w:val="7"/>
        <w:tblW w:w="94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1"/>
        <w:gridCol w:w="531"/>
        <w:gridCol w:w="928"/>
        <w:gridCol w:w="5000"/>
        <w:gridCol w:w="701"/>
        <w:gridCol w:w="701"/>
        <w:gridCol w:w="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701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531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分类</w:t>
            </w: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项目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名称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技术要求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单位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数量</w:t>
            </w:r>
          </w:p>
        </w:tc>
        <w:tc>
          <w:tcPr>
            <w:tcW w:w="893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531" w:type="dxa"/>
            <w:vMerge w:val="restart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住宅模拟逃生虚拟现实程序定制开发</w:t>
            </w: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软件设计策划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沉浸式教育理念与互动叙事技术的住宅火灾逃生模拟训练平台。通过程序开发+摇杆操作模式，构建出高度拟真的住宅火灾环境，让训练者掌握住宅发生火灾时的逃生方法。系统以“判断—选择—反馈”为核心机制，强化用户在紧急情境下的决策能力与安全意识，打造集知识性、趣味性、实操性于一体的安全教育新范式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技术要求：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1、多维度情景嵌套剧本，基于真实火灾案例建模，构建高仿真、可交互的模拟逃生环境。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2、非线性决策树结构，采用分支式任务流设计，支持多种逃生路径与行为反馈结果。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3、动态事件触发机制，根据用户操作实时生成烟雾蔓延路径、火焰扩散区域等环境变化。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4、角色行为映射系统，将玩家动作（如开门、撤离、躲避）与系统响应精准匹配，提升代入感。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住宅火灾逃生模拟定制开发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虚拟现实技术+程序开发进行逻辑编程，融合住宅火灾逃生知识操作体验、黑白漫画风格、三维建筑建模、AI路径判断、沉浸式音效与UI交互等多个技术模块，集教育性、趣味性和实操性于一体的住宅火灾逃生模拟训练系统。总共4大关卡：楼上起火、同层起火、身边起火、楼下起火。每个大关有小节关卡，共8节关卡内容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1、虚拟现实开发引擎技术或以上版本（推荐使用URP通用渲染管线），动态计算安全路径，引导玩家选择最佳逃生通道，基于预制体（Prefab）拼接三维立体楼层结构，支持动态障碍物（烟雾）。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 xml:space="preserve">2、程序脚本语言（用于程序逻辑控制、状态管理、UI交互等） 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 xml:space="preserve">3、平台支持 Windows PC / Android / 可扩展至PC设备 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 xml:space="preserve">4、UI框架 虚拟现实技术UGUI / DOTween（动画过渡） / TextMeshPro（文本优化） 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5、使用烘焙光照 + 实时光影混合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6、背景音乐，引入紧张氛围的BGM（循环播放、淡入淡出）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7、静音控制，</w:t>
            </w:r>
            <w:bookmarkStart w:id="3" w:name="OLE_LINK2"/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全局音频Mute控制（AudioListener.volume）。</w:t>
            </w:r>
            <w:bookmarkEnd w:id="3"/>
          </w:p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8、UI事件绑定程序脚本，支持摇杆导航（Select Navigation）。程序结束时可点击“重玩”重新开始当前关卡。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9、方向控制上下左右（8方向或4方向限制）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通信应用开发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采用TLS/DTLS、SRTP、AES等安全协议，确保数据传输保密性与完整性。支持微服务拆分、负载均衡与数据稳定，保障7×24小时稳定运行。支持MySQL 或 PostgreSQL，确保低延迟的数据传输，减少响应时间并降低中心服务器负载，提供强大的计算能力，支持交互确保低延迟的数据传输响应。支持本地程序打包，安全封装打包。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4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智能唤醒系统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智能消防知识传播屏保系统、消防视觉呈现、动态消防信息交互平台。高清画质展示窗口、沉浸式视觉引导系统。自动化播放功能，空闲时间后自动启动、无延迟交互自动切换唤醒模式。闲置时自动启动，以动态视觉内容替代传统静态或空白屏幕，兼具屏幕保护、节能运行与消防传播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5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AI程序判断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判断玩家行为是否正确（如错误逃生路线、未关闭门窗等）,错误判断触发专属音效并提供反馈提示（“继续闯关”或“返回大厅”），当前关卡名称、时间倒计时（可选）、判断提示、结果等反馈。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6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拓展接口协议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支持物理摇杆和按钮元件（通过InputSystem插件或JoyCon库）协议联通，方向控制上下左右（8方向或4方向限制），发送相关指令到控制器，准确有效的、无延迟，实现程序交互联动摇杆和按钮。说明：该协议可以与摇杆和按钮的控制器对接上，实现摇杆和按钮交互模拟火宅逃生模拟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7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多边形数字模型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通过顶点(Vertex)、边(Edge)、面(Face)构建网格模型，支持细分曲面(SubD)平滑，根据建筑设计或实际测量空间数据进行建模，确保建筑结构和室内家庭结构比例合理，拓扑布局确保模型的边缘流畅，避免不必要的多边形拉伸或压缩，多边形数量优化，室内细节丰富的家具模型，优化多边形密度模型表现细腻的纹理和形状，细分曲面技术增加模型的平滑度和结构。三维建筑建模场景：多层住宅结构，含楼梯、家庭住宅、8层楼栋建筑、电梯、阳台、门、窗、家具等住宅环境模拟，四大场景卧室建模，程序模型烘焙。说明：4关的三位哦场景建模，模拟楼层和楼道、住宅的逃生环境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8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3D角色建模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人物形象建模，Blender/Maya/3ds Max 3D建模软件多边形建模，ZBrush雕刻建模细节丰富的有机形状，如脸部和肌肉结构等角色形体，UV展开与纹理贴图，PBR材质表现，细分曲面提高模型的平滑度和细节程度。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9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3D角色骨骼绑定，人物动作捕捉，动作数据导出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采用真人动作捕捉仪器，记录动作，导出给与程序角色，角色的骨架结构，并将其与模型表面的顶点关联起来，包括主要关节位置及其运动范围。绑定权重决定了每个骨骼对模型上各个顶点的影响程度，控制每个顶点受哪些骨骼影响的程度，确保角色动画动作过程中模型变形自然流畅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10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3D角色程序开发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角色三维模型驱动动起来，模拟真实世界中的人体运动规律，可以通过操纵骨骼绑定系统来控制模型的动作，角色动画或肢体的动作，动画师能够精细地表达角色的动作（开门、绕过障碍物、走动、走楼梯、关门、接打电话、跑步、站立），使得角色动作更加细腻真实。与楼房之间有碰撞，还有程序判断，以及重力模拟，死亡模拟，万象模拟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11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特效程序开发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火焰、浓烟、水雾等粒子系统，增强火焰和烟雾效果（使用虚拟现实技术）程序判断，效果展示开发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12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音效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判断正确/错误时播放不同音效（wav/mp3格式），着火，烟雾、脚步、警报声、门开关等专属音效音。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13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UI美术设计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用户界面（UI）。主界面：楼上起火、同层起火、身边起火、楼下起火、名称等美术UI设计，关卡选择、静音、重玩、退出等选项美术设计。当前关卡名称、时间倒计时（可选）、判断提示、选择提示、结果等美术设计UI设计。原创绘制设计黑白漫画风格（使用Shader实现线条描边+灰阶色调）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14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加密软件开发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国密SM2算法，AES、RSA、DES、3DES加密算法，支持Usb接口，支持热插拔，兼容性强。对软件授权信息进行存储、读取、验证的机制，预防解密。针对保护程序代码和数据不被未授权访问、复制或篡改而进行的一系列技术，关键部分的代码编译成一种自定义的字节码，并在运行时通过一个内部虚拟机解释执行，增加了逆向分析的难度。加密和混淆技术，阻止黑客轻易理解和复制核心算法和技术方案，加强传输中的数据加密保护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套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15</w:t>
            </w:r>
          </w:p>
        </w:tc>
        <w:tc>
          <w:tcPr>
            <w:tcW w:w="531" w:type="dxa"/>
            <w:vMerge w:val="restart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工控融合主机</w:t>
            </w: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物理密匙U盾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国密SM2算法Usb key Usbkey证书Ukey密匙加密U盾，对数据保密和软件安全保护协议存档。保护软件的数字、私钥以及其他数据信息的安全，内置专门的安全芯片，用于执行加密运算和存储程序数据，确保这些数据不会轻易被提取或篡改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每台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16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中央处理器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中央处理器（CPU）： 基础频率：≥3.4GHz，最高睿频：≥3.8GHz ，总线规格DMI3 8GT/s 。三级缓存：≥6MB，热设计功耗：≥65W 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17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散热器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bookmarkStart w:id="4" w:name="OLE_LINK6"/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风扇尺寸：≥ 120mm，风扇转速：800~1600 RPM ± 10%，风量：≥ 60 CFM ，噪音水平：≥ 25 dB(A)，重量: ≥700克（含风扇）热管数量及材质：4根高效纯铜镀镍热管设计，优化热量传导效率：高密度铝制鳍片，表面经过黑化处理，增强抗氧化能力的同时提高了散热效能，配合低噪音液压轴承风扇，依据CPU实时温度动态调整风扇转速，确保CPU在高效运算时维持稳定温度区间，噪音值控制在行业标准静音阈值内</w:t>
            </w:r>
            <w:bookmarkEnd w:id="4"/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18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主板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芯片组，功率：≥ 120w， 3.0 通道数: ≥ 20 条，SATA 6Gb/s 接口数: ≥  6 个，最大内存容量：≥ 4GB ，M.2 接口支持: 支持 NVMe 协议，用于高速固态硬盘安装，USB2.0接口前置2个，支持内存类型 DDR4 / DDR3L，串口一个;主板有HDMI和DP 高清接口 。TDP（热设计功率）：≥ 6W ，网络支持1×RJ45千兆网口，保障基础办公及娱乐场景的硬件拓展与功能实现。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19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DRAM 动态闪存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内存规格：DDR4，内存模组，容量：≥8GB ，工作频率≥2400MHz ，具备XMP（极速内存配置技术）简易超频潜力 ，内存颗粒封装形式保障信号传输稳定性与抗干扰能力，为系统运行、多任务处理提供基础内存带宽支撑。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20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SSD固态驱动器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≥256GB 固态硬盘，存储协议：采用NVME 1.4协议标准，搭载M.2 2280规格接口，重量: ≥7-10克。工作电压: 通常：≥.3V，空闲功耗:≥30mW-50mW ，具备S.M.A.R.T智能监测功能，保障长期使用中存储性能的稳定性与数据写入效率，为系统盘及常用软件、文件存储提供高速读写响应，工作温度：0-70°C，存储温度：-40-85°C。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21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ATX机箱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采用ATX 标准机箱设计，水冷类型：420冷排，支持CPU散热器限高：≥ 200mm，显卡（连供电头总长度）限长：≥15cm，重量: 4kg-10kg，具备合理的风道设计空间，前置、后置及顶部可拓展风扇安装位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22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PSU电源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功率及规范：额定功率：≥180W ，输入电压：≥220V，CPU 12V供电接口：≥1个，风扇：≥12cm，采用主动式PFC（功率因数校正）技术，提升电网电能利用率，+12V输出回路具备稳定电流供应能力，保障CPU、显卡等核心硬件供电需求 。具备过压保护（OVP）、过流保护（OCP）、过功率保护（OPP）、短路保护（SCP）等多重防护机制，风扇采用智能温控设计，低负载时降低转速以控制噪音，高负载时增强散热，保障电源及整机硬件运行安全。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23</w:t>
            </w:r>
          </w:p>
        </w:tc>
        <w:tc>
          <w:tcPr>
            <w:tcW w:w="531" w:type="dxa"/>
            <w:vMerge w:val="restart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主体设计与定制</w:t>
            </w: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主体工艺设计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融合美学、材料科学与工艺技术，外观UV美术设计，设计有效保护又能增强其视觉吸引力的展示平台。设计不仅要满足功能需求（如防尘、防盗、安全、稳定、合理），还要体现消防个性，提升整体形象。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每台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70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24</w:t>
            </w:r>
          </w:p>
        </w:tc>
        <w:tc>
          <w:tcPr>
            <w:tcW w:w="531" w:type="dxa"/>
            <w:vMerge w:val="continue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外观工艺定制</w:t>
            </w:r>
          </w:p>
        </w:tc>
        <w:tc>
          <w:tcPr>
            <w:tcW w:w="5000" w:type="dxa"/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高密度压缩纤维板（主体），产品尺寸：620mm*560mm*1200mm（±1mm）。利用数控机床进行裁剪，保证每一块板材尺寸一致，接缝紧密无缝隙。表面处理哑光漆面、亮光漆面、木纹贴皮等，内部骨架采用强化结构设计，确保整体架构稳定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25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高保真音响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立体音效 震撼低音，全频高保真，频响范围:38Hz-20kHz，电压：≥5v，电流：≥1-2a，频响均衡高保真音响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26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高刷屏液晶显示器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低延迟高速响应，色彩还原精准自然显示器，尺寸：≥22寸，16:10屏，分辨率：≥1680*1050，接口：VGA+HDMI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台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27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摇杆元件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方圆档手柄八向摇杆，摇杆特性：力回馈；有无线：有；颜色分类：摇杆（红球）。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28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按钮元件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聚碳酸酯抗冲击按钮。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29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控制器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移动摇杆改变内部电位器的电阻值，产生与位置相对应的电压信号，进而确定X轴和Y轴的方向及幅度。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30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电路板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 xml:space="preserve">转换器:开发板 </w:t>
            </w:r>
            <w:bookmarkStart w:id="5" w:name="OLE_LINK4"/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双</w:t>
            </w:r>
            <w:bookmarkEnd w:id="5"/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核芯片。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31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漏电保护开关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过载、漏电、短路保护，≥10A。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32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亚克力操作台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高强度阻燃耐高温防爆亚克力面板（≥650mm * 200mm）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套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33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电源开关控制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按键（红色）电源开关控制，防水 KCD4 四脚 2 档，自锁式，执行国家CQC安全认证标准。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34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电源适配线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1米10A/16A三插头大功率电源线3芯品字三孔。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35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外观UV工艺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纳米防水涂层处理微蚀刻工磨砂质贴纸，超高清UV视觉形象。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36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安全检修锁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 xml:space="preserve">折弯全铝合金，弹头锁芯不锈钢片，执行标准《QB/T 1621-2015 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val="en-US" w:eastAsia="zh-CN"/>
              </w:rPr>
              <w:t>家具锁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》。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个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37</w:t>
            </w:r>
          </w:p>
        </w:tc>
        <w:tc>
          <w:tcPr>
            <w:tcW w:w="531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其他</w:t>
            </w: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人工费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开发与设计人员、调试人员等技术岗位的人工费，具备敏捷开发、虚拟现实技术等现代开发方法的知识与经验，调试系统的深入理解程度，熟练掌握调试工具和技术的能力，软件缺陷修复、性能调优还是硬件故障排查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每台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38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辅材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粗、细电线，金属固定和其他耗材，USB线，信号线材等。摇杆、按钮链接主板FFC排线。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39</w:t>
            </w:r>
          </w:p>
        </w:tc>
        <w:tc>
          <w:tcPr>
            <w:tcW w:w="531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928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物流</w:t>
            </w:r>
          </w:p>
        </w:tc>
        <w:tc>
          <w:tcPr>
            <w:tcW w:w="5000" w:type="dxa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木制包装物流运输，点对点送达不同目的地，搬运到省内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val="en-US" w:eastAsia="zh-CN"/>
              </w:rPr>
              <w:t>各区县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指定地点。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项</w:t>
            </w:r>
          </w:p>
        </w:tc>
        <w:tc>
          <w:tcPr>
            <w:tcW w:w="701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893" w:type="dxa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</w:rPr>
            </w:pPr>
          </w:p>
        </w:tc>
      </w:tr>
    </w:tbl>
    <w:p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FA92CB1"/>
    <w:rsid w:val="3013643D"/>
    <w:rsid w:val="38386239"/>
    <w:rsid w:val="6AD8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paragraph" w:styleId="4">
    <w:name w:val="heading 1"/>
    <w:basedOn w:val="1"/>
    <w:next w:val="1"/>
    <w:link w:val="8"/>
    <w:qFormat/>
    <w:uiPriority w:val="0"/>
    <w:pPr>
      <w:keepNext/>
      <w:keepLines/>
      <w:spacing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44"/>
      <w:szCs w:val="24"/>
    </w:rPr>
  </w:style>
  <w:style w:type="paragraph" w:styleId="5">
    <w:name w:val="heading 2"/>
    <w:basedOn w:val="1"/>
    <w:next w:val="1"/>
    <w:qFormat/>
    <w:uiPriority w:val="99"/>
    <w:pPr>
      <w:keepNext/>
      <w:keepLines/>
      <w:spacing w:beforeLines="50" w:line="360" w:lineRule="auto"/>
      <w:jc w:val="center"/>
      <w:outlineLvl w:val="1"/>
    </w:pPr>
    <w:rPr>
      <w:rFonts w:ascii="宋体"/>
      <w:b/>
      <w:bCs/>
      <w:kern w:val="0"/>
      <w:szCs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line="460" w:lineRule="exact"/>
    </w:pPr>
    <w:rPr>
      <w:rFonts w:ascii="宋体" w:hAnsi="宋体"/>
      <w:kern w:val="0"/>
      <w:sz w:val="20"/>
    </w:rPr>
  </w:style>
  <w:style w:type="paragraph" w:styleId="3">
    <w:name w:val="Body Text First Indent"/>
    <w:basedOn w:val="2"/>
    <w:qFormat/>
    <w:uiPriority w:val="0"/>
    <w:pPr>
      <w:ind w:firstLine="420" w:firstLineChars="100"/>
    </w:pPr>
  </w:style>
  <w:style w:type="character" w:customStyle="1" w:styleId="8">
    <w:name w:val="标题 1 字符"/>
    <w:basedOn w:val="6"/>
    <w:link w:val="4"/>
    <w:qFormat/>
    <w:uiPriority w:val="0"/>
    <w:rPr>
      <w:rFonts w:ascii="Times New Roman" w:hAnsi="Times New Roman" w:eastAsia="宋体" w:cs="Times New Roman"/>
      <w:b/>
      <w:kern w:val="44"/>
      <w:sz w:val="44"/>
      <w:szCs w:val="24"/>
    </w:rPr>
  </w:style>
  <w:style w:type="character" w:customStyle="1" w:styleId="9">
    <w:name w:val="标题 2 Char Char Char"/>
    <w:qFormat/>
    <w:uiPriority w:val="0"/>
    <w:rPr>
      <w:rFonts w:ascii="Arial" w:hAnsi="Arial"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2025-09-17T01:55:00Z</dcterms:created>
  <dc:creator>诚信伟业3015</dc:creator>
  <cp:lastModifiedBy>诚信伟业3015</cp:lastModifiedBy>
  <dcterms:modified xsi:type="dcterms:W3CDTF">2025-11-12T07:42:26Z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