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AFE852">
      <w:pPr>
        <w:spacing w:before="156" w:beforeLines="50" w:line="360" w:lineRule="auto"/>
        <w:jc w:val="center"/>
        <w:rPr>
          <w:rFonts w:ascii="宋体" w:hAnsi="宋体" w:cs="宋体"/>
          <w:color w:val="000000" w:themeColor="text1"/>
          <w:highlight w:val="none"/>
          <w14:textFill>
            <w14:solidFill>
              <w14:schemeClr w14:val="tx1"/>
            </w14:solidFill>
          </w14:textFill>
        </w:rPr>
      </w:pPr>
      <w:r>
        <w:rPr>
          <w:rFonts w:hint="eastAsia" w:ascii="黑体" w:eastAsia="黑体"/>
          <w:b/>
          <w:color w:val="000000" w:themeColor="text1"/>
          <w:sz w:val="32"/>
          <w:szCs w:val="32"/>
          <w:highlight w:val="none"/>
          <w14:textFill>
            <w14:solidFill>
              <w14:schemeClr w14:val="tx1"/>
            </w14:solidFill>
          </w14:textFill>
        </w:rPr>
        <w:t>采购需求</w:t>
      </w:r>
    </w:p>
    <w:p w14:paraId="10C1B66D">
      <w:pPr>
        <w:pStyle w:val="5"/>
        <w:adjustRightInd w:val="0"/>
        <w:snapToGrid w:val="0"/>
        <w:spacing w:before="156" w:beforeLines="50"/>
        <w:jc w:val="center"/>
        <w:rPr>
          <w:rFonts w:hint="eastAsia"/>
          <w:color w:val="000000" w:themeColor="text1"/>
          <w:highlight w:val="none"/>
          <w:lang w:val="en-US" w:eastAsia="zh-CN"/>
          <w14:textFill>
            <w14:solidFill>
              <w14:schemeClr w14:val="tx1"/>
            </w14:solidFill>
          </w14:textFill>
        </w:rPr>
      </w:pPr>
      <w:bookmarkStart w:id="0" w:name="_Toc39092087"/>
      <w:bookmarkStart w:id="1" w:name="_Toc22767"/>
      <w:r>
        <w:rPr>
          <w:rFonts w:hint="eastAsia" w:ascii="仿宋" w:hAnsi="仿宋" w:eastAsia="仿宋"/>
          <w:color w:val="000000" w:themeColor="text1"/>
          <w:sz w:val="28"/>
          <w:szCs w:val="28"/>
          <w:highlight w:val="none"/>
          <w14:textFill>
            <w14:solidFill>
              <w14:schemeClr w14:val="tx1"/>
            </w14:solidFill>
          </w14:textFill>
        </w:rPr>
        <w:t>第一节 采购清单一览表</w:t>
      </w:r>
      <w:bookmarkEnd w:id="0"/>
      <w:bookmarkEnd w:id="1"/>
    </w:p>
    <w:tbl>
      <w:tblPr>
        <w:tblStyle w:val="8"/>
        <w:tblW w:w="9368" w:type="dxa"/>
        <w:tblInd w:w="-171"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901"/>
        <w:gridCol w:w="2812"/>
        <w:gridCol w:w="2508"/>
        <w:gridCol w:w="917"/>
        <w:gridCol w:w="1087"/>
        <w:gridCol w:w="1143"/>
      </w:tblGrid>
      <w:tr w14:paraId="495220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733" w:hRule="atLeast"/>
        </w:trPr>
        <w:tc>
          <w:tcPr>
            <w:tcW w:w="901" w:type="dxa"/>
            <w:noWrap w:val="0"/>
            <w:vAlign w:val="center"/>
          </w:tcPr>
          <w:p w14:paraId="011903A7">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 xml:space="preserve">包号 </w:t>
            </w:r>
          </w:p>
        </w:tc>
        <w:tc>
          <w:tcPr>
            <w:tcW w:w="2812" w:type="dxa"/>
            <w:noWrap w:val="0"/>
            <w:vAlign w:val="center"/>
          </w:tcPr>
          <w:p w14:paraId="01DD7AB4">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标的名称</w:t>
            </w:r>
          </w:p>
        </w:tc>
        <w:tc>
          <w:tcPr>
            <w:tcW w:w="2508" w:type="dxa"/>
            <w:tcBorders>
              <w:left w:val="single" w:color="auto" w:sz="4" w:space="0"/>
            </w:tcBorders>
            <w:noWrap w:val="0"/>
            <w:vAlign w:val="center"/>
          </w:tcPr>
          <w:p w14:paraId="23100D49">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简要技术要求</w:t>
            </w:r>
          </w:p>
        </w:tc>
        <w:tc>
          <w:tcPr>
            <w:tcW w:w="917" w:type="dxa"/>
            <w:tcBorders>
              <w:left w:val="single" w:color="auto" w:sz="4" w:space="0"/>
            </w:tcBorders>
            <w:noWrap w:val="0"/>
            <w:vAlign w:val="center"/>
          </w:tcPr>
          <w:p w14:paraId="6F2B39D9">
            <w:pPr>
              <w:adjustRightInd w:val="0"/>
              <w:snapToGrid w:val="0"/>
              <w:jc w:val="center"/>
              <w:rPr>
                <w:rFonts w:ascii="宋体" w:hAnsi="宋体" w:cs="宋体"/>
                <w:color w:val="000000" w:themeColor="text1"/>
                <w:kern w:val="0"/>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数量</w:t>
            </w:r>
          </w:p>
        </w:tc>
        <w:tc>
          <w:tcPr>
            <w:tcW w:w="1087" w:type="dxa"/>
            <w:noWrap w:val="0"/>
            <w:vAlign w:val="center"/>
          </w:tcPr>
          <w:p w14:paraId="635FA6A5">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节能产品</w:t>
            </w:r>
          </w:p>
        </w:tc>
        <w:tc>
          <w:tcPr>
            <w:tcW w:w="1143" w:type="dxa"/>
            <w:noWrap w:val="0"/>
            <w:vAlign w:val="center"/>
          </w:tcPr>
          <w:p w14:paraId="056C5360">
            <w:pPr>
              <w:adjustRightInd w:val="0"/>
              <w:snapToGrid w:val="0"/>
              <w:jc w:val="center"/>
              <w:rPr>
                <w:color w:val="000000" w:themeColor="text1"/>
                <w:szCs w:val="21"/>
                <w:highlight w:val="none"/>
                <w14:textFill>
                  <w14:solidFill>
                    <w14:schemeClr w14:val="tx1"/>
                  </w14:solidFill>
                </w14:textFill>
              </w:rPr>
            </w:pPr>
            <w:r>
              <w:rPr>
                <w:rFonts w:hint="eastAsia"/>
                <w:color w:val="000000" w:themeColor="text1"/>
                <w:szCs w:val="21"/>
                <w:highlight w:val="none"/>
                <w14:textFill>
                  <w14:solidFill>
                    <w14:schemeClr w14:val="tx1"/>
                  </w14:solidFill>
                </w14:textFill>
              </w:rPr>
              <w:t>进口产品</w:t>
            </w:r>
          </w:p>
        </w:tc>
      </w:tr>
      <w:tr w14:paraId="76A7D72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687" w:hRule="atLeast"/>
        </w:trPr>
        <w:tc>
          <w:tcPr>
            <w:tcW w:w="901" w:type="dxa"/>
            <w:vMerge w:val="restart"/>
            <w:noWrap w:val="0"/>
            <w:vAlign w:val="top"/>
          </w:tcPr>
          <w:p w14:paraId="306B5969">
            <w:pPr>
              <w:adjustRightInd w:val="0"/>
              <w:snapToGrid w:val="0"/>
              <w:spacing w:before="156" w:beforeLines="50" w:line="360" w:lineRule="auto"/>
              <w:ind w:firstLine="210" w:firstLineChars="100"/>
              <w:rPr>
                <w:rFonts w:hint="eastAsia"/>
                <w:color w:val="000000" w:themeColor="text1"/>
                <w:szCs w:val="21"/>
                <w:highlight w:val="none"/>
                <w:lang w:val="en-US" w:eastAsia="zh-CN"/>
                <w14:textFill>
                  <w14:solidFill>
                    <w14:schemeClr w14:val="tx1"/>
                  </w14:solidFill>
                </w14:textFill>
              </w:rPr>
            </w:pPr>
          </w:p>
          <w:p w14:paraId="221BE697">
            <w:pPr>
              <w:adjustRightInd w:val="0"/>
              <w:snapToGrid w:val="0"/>
              <w:spacing w:before="156" w:beforeLines="50" w:line="360" w:lineRule="auto"/>
              <w:ind w:firstLine="210" w:firstLineChars="100"/>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w:t>
            </w:r>
          </w:p>
        </w:tc>
        <w:tc>
          <w:tcPr>
            <w:tcW w:w="2812" w:type="dxa"/>
            <w:vMerge w:val="restart"/>
            <w:noWrap w:val="0"/>
            <w:vAlign w:val="top"/>
          </w:tcPr>
          <w:p w14:paraId="38BE834C">
            <w:pPr>
              <w:adjustRightInd w:val="0"/>
              <w:snapToGrid w:val="0"/>
              <w:spacing w:before="156" w:beforeLines="50" w:line="360" w:lineRule="auto"/>
              <w:rPr>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eastAsia="zh-CN"/>
                <w14:textFill>
                  <w14:solidFill>
                    <w14:schemeClr w14:val="tx1"/>
                  </w14:solidFill>
                </w14:textFill>
              </w:rPr>
              <w:t>2025年湖南省审计厅审计项目地理信息技术服务及其他相关审计技术服务项目</w:t>
            </w:r>
            <w:r>
              <w:rPr>
                <w:rFonts w:hint="eastAsia" w:ascii="宋体" w:hAnsi="宋体" w:cs="宋体"/>
                <w:color w:val="000000" w:themeColor="text1"/>
                <w:szCs w:val="21"/>
                <w:highlight w:val="none"/>
                <w14:textFill>
                  <w14:solidFill>
                    <w14:schemeClr w14:val="tx1"/>
                  </w14:solidFill>
                </w14:textFill>
              </w:rPr>
              <w:t xml:space="preserve"> </w:t>
            </w:r>
          </w:p>
        </w:tc>
        <w:tc>
          <w:tcPr>
            <w:tcW w:w="2508" w:type="dxa"/>
            <w:vMerge w:val="restart"/>
            <w:tcBorders>
              <w:left w:val="single" w:color="auto" w:sz="4" w:space="0"/>
            </w:tcBorders>
            <w:noWrap w:val="0"/>
            <w:vAlign w:val="top"/>
          </w:tcPr>
          <w:p w14:paraId="6DF174E6">
            <w:pPr>
              <w:adjustRightInd w:val="0"/>
              <w:snapToGrid w:val="0"/>
              <w:spacing w:before="156" w:beforeLines="50" w:line="360" w:lineRule="auto"/>
              <w:rPr>
                <w:rFonts w:hint="eastAsia"/>
                <w:color w:val="000000" w:themeColor="text1"/>
                <w:szCs w:val="21"/>
                <w:highlight w:val="none"/>
                <w:lang w:eastAsia="zh-CN"/>
                <w14:textFill>
                  <w14:solidFill>
                    <w14:schemeClr w14:val="tx1"/>
                  </w14:solidFill>
                </w14:textFill>
              </w:rPr>
            </w:pPr>
          </w:p>
          <w:p w14:paraId="409432B2">
            <w:pPr>
              <w:adjustRightInd w:val="0"/>
              <w:snapToGrid w:val="0"/>
              <w:spacing w:before="156" w:beforeLines="50" w:line="360" w:lineRule="auto"/>
              <w:rPr>
                <w:rFonts w:hint="eastAsia"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详见第二节技术要求</w:t>
            </w:r>
          </w:p>
        </w:tc>
        <w:tc>
          <w:tcPr>
            <w:tcW w:w="917" w:type="dxa"/>
            <w:vMerge w:val="restart"/>
            <w:tcBorders>
              <w:left w:val="single" w:color="auto" w:sz="4" w:space="0"/>
            </w:tcBorders>
            <w:noWrap w:val="0"/>
            <w:vAlign w:val="top"/>
          </w:tcPr>
          <w:p w14:paraId="62CEF583">
            <w:pPr>
              <w:adjustRightInd w:val="0"/>
              <w:snapToGrid w:val="0"/>
              <w:spacing w:before="156" w:beforeLines="50" w:line="360" w:lineRule="auto"/>
              <w:rPr>
                <w:rFonts w:hint="eastAsia"/>
                <w:color w:val="000000" w:themeColor="text1"/>
                <w:szCs w:val="21"/>
                <w:highlight w:val="none"/>
                <w:lang w:val="en-US" w:eastAsia="zh-CN"/>
                <w14:textFill>
                  <w14:solidFill>
                    <w14:schemeClr w14:val="tx1"/>
                  </w14:solidFill>
                </w14:textFill>
              </w:rPr>
            </w:pPr>
          </w:p>
          <w:p w14:paraId="313C79C8">
            <w:pPr>
              <w:adjustRightInd w:val="0"/>
              <w:snapToGrid w:val="0"/>
              <w:spacing w:before="156" w:beforeLines="50" w:line="360" w:lineRule="auto"/>
              <w:jc w:val="center"/>
              <w:rPr>
                <w:rFonts w:hint="eastAsia" w:eastAsia="宋体"/>
                <w:color w:val="000000" w:themeColor="text1"/>
                <w:szCs w:val="21"/>
                <w:highlight w:val="none"/>
                <w:lang w:val="en-US" w:eastAsia="zh-CN"/>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1项</w:t>
            </w:r>
          </w:p>
        </w:tc>
        <w:tc>
          <w:tcPr>
            <w:tcW w:w="1087" w:type="dxa"/>
            <w:noWrap w:val="0"/>
            <w:vAlign w:val="top"/>
          </w:tcPr>
          <w:p w14:paraId="411D8B23">
            <w:pPr>
              <w:adjustRightInd w:val="0"/>
              <w:snapToGrid w:val="0"/>
              <w:spacing w:before="156" w:beforeLines="50" w:line="360" w:lineRule="auto"/>
              <w:rPr>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A8"/>
            </w:r>
          </w:p>
        </w:tc>
        <w:tc>
          <w:tcPr>
            <w:tcW w:w="1143" w:type="dxa"/>
            <w:noWrap w:val="0"/>
            <w:vAlign w:val="top"/>
          </w:tcPr>
          <w:p w14:paraId="3528E4E4">
            <w:pPr>
              <w:adjustRightInd w:val="0"/>
              <w:snapToGrid w:val="0"/>
              <w:spacing w:before="156" w:beforeLines="50" w:line="360" w:lineRule="auto"/>
              <w:rPr>
                <w:color w:val="000000" w:themeColor="text1"/>
                <w:szCs w:val="21"/>
                <w:highlight w:val="none"/>
                <w14:textFill>
                  <w14:solidFill>
                    <w14:schemeClr w14:val="tx1"/>
                  </w14:solidFill>
                </w14:textFill>
              </w:rPr>
            </w:pPr>
          </w:p>
        </w:tc>
      </w:tr>
      <w:tr w14:paraId="1E3166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cantSplit/>
          <w:trHeight w:val="576" w:hRule="atLeast"/>
        </w:trPr>
        <w:tc>
          <w:tcPr>
            <w:tcW w:w="901" w:type="dxa"/>
            <w:vMerge w:val="continue"/>
            <w:noWrap w:val="0"/>
            <w:vAlign w:val="top"/>
          </w:tcPr>
          <w:p w14:paraId="6478B009">
            <w:pPr>
              <w:adjustRightInd w:val="0"/>
              <w:snapToGrid w:val="0"/>
              <w:spacing w:before="156" w:beforeLines="50" w:line="360" w:lineRule="auto"/>
              <w:rPr>
                <w:color w:val="000000" w:themeColor="text1"/>
                <w:szCs w:val="21"/>
                <w:highlight w:val="none"/>
                <w14:textFill>
                  <w14:solidFill>
                    <w14:schemeClr w14:val="tx1"/>
                  </w14:solidFill>
                </w14:textFill>
              </w:rPr>
            </w:pPr>
          </w:p>
        </w:tc>
        <w:tc>
          <w:tcPr>
            <w:tcW w:w="2812" w:type="dxa"/>
            <w:vMerge w:val="continue"/>
            <w:noWrap w:val="0"/>
            <w:vAlign w:val="top"/>
          </w:tcPr>
          <w:p w14:paraId="12592C13">
            <w:pPr>
              <w:adjustRightInd w:val="0"/>
              <w:snapToGrid w:val="0"/>
              <w:spacing w:before="156" w:beforeLines="50" w:line="360" w:lineRule="auto"/>
              <w:rPr>
                <w:color w:val="000000" w:themeColor="text1"/>
                <w:szCs w:val="21"/>
                <w:highlight w:val="none"/>
                <w14:textFill>
                  <w14:solidFill>
                    <w14:schemeClr w14:val="tx1"/>
                  </w14:solidFill>
                </w14:textFill>
              </w:rPr>
            </w:pPr>
          </w:p>
        </w:tc>
        <w:tc>
          <w:tcPr>
            <w:tcW w:w="2508" w:type="dxa"/>
            <w:vMerge w:val="continue"/>
            <w:tcBorders>
              <w:left w:val="single" w:color="auto" w:sz="4" w:space="0"/>
            </w:tcBorders>
            <w:noWrap w:val="0"/>
            <w:vAlign w:val="top"/>
          </w:tcPr>
          <w:p w14:paraId="3E0DAE1E">
            <w:pPr>
              <w:adjustRightInd w:val="0"/>
              <w:snapToGrid w:val="0"/>
              <w:spacing w:before="156" w:beforeLines="50" w:line="360" w:lineRule="auto"/>
              <w:rPr>
                <w:color w:val="000000" w:themeColor="text1"/>
                <w:szCs w:val="21"/>
                <w:highlight w:val="none"/>
                <w14:textFill>
                  <w14:solidFill>
                    <w14:schemeClr w14:val="tx1"/>
                  </w14:solidFill>
                </w14:textFill>
              </w:rPr>
            </w:pPr>
          </w:p>
        </w:tc>
        <w:tc>
          <w:tcPr>
            <w:tcW w:w="917" w:type="dxa"/>
            <w:vMerge w:val="continue"/>
            <w:tcBorders>
              <w:left w:val="single" w:color="auto" w:sz="4" w:space="0"/>
            </w:tcBorders>
            <w:noWrap w:val="0"/>
            <w:vAlign w:val="top"/>
          </w:tcPr>
          <w:p w14:paraId="420F0057">
            <w:pPr>
              <w:adjustRightInd w:val="0"/>
              <w:snapToGrid w:val="0"/>
              <w:spacing w:before="156" w:beforeLines="50" w:line="360" w:lineRule="auto"/>
              <w:rPr>
                <w:color w:val="000000" w:themeColor="text1"/>
                <w:szCs w:val="21"/>
                <w:highlight w:val="none"/>
                <w14:textFill>
                  <w14:solidFill>
                    <w14:schemeClr w14:val="tx1"/>
                  </w14:solidFill>
                </w14:textFill>
              </w:rPr>
            </w:pPr>
          </w:p>
        </w:tc>
        <w:tc>
          <w:tcPr>
            <w:tcW w:w="1087" w:type="dxa"/>
            <w:noWrap w:val="0"/>
            <w:vAlign w:val="top"/>
          </w:tcPr>
          <w:p w14:paraId="5904415A">
            <w:pPr>
              <w:adjustRightInd w:val="0"/>
              <w:snapToGrid w:val="0"/>
              <w:spacing w:before="156" w:beforeLines="50" w:line="360" w:lineRule="auto"/>
              <w:rPr>
                <w:color w:val="000000" w:themeColor="text1"/>
                <w:szCs w:val="21"/>
                <w:highlight w:val="none"/>
                <w14:textFill>
                  <w14:solidFill>
                    <w14:schemeClr w14:val="tx1"/>
                  </w14:solidFill>
                </w14:textFill>
              </w:rPr>
            </w:pPr>
          </w:p>
        </w:tc>
        <w:tc>
          <w:tcPr>
            <w:tcW w:w="1143" w:type="dxa"/>
            <w:noWrap w:val="0"/>
            <w:vAlign w:val="top"/>
          </w:tcPr>
          <w:p w14:paraId="358E9BAA">
            <w:pPr>
              <w:adjustRightInd w:val="0"/>
              <w:snapToGrid w:val="0"/>
              <w:spacing w:before="156" w:beforeLines="50" w:line="360" w:lineRule="auto"/>
              <w:rPr>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sym w:font="Wingdings" w:char="00A8"/>
            </w:r>
          </w:p>
        </w:tc>
      </w:tr>
    </w:tbl>
    <w:p w14:paraId="32A6E2CF">
      <w:pPr>
        <w:adjustRightInd w:val="0"/>
        <w:snapToGrid w:val="0"/>
        <w:spacing w:before="156" w:beforeLines="50"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注：1</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eastAsia="宋体"/>
          <w:color w:val="000000" w:themeColor="text1"/>
          <w:szCs w:val="21"/>
          <w:highlight w:val="none"/>
          <w14:textFill>
            <w14:solidFill>
              <w14:schemeClr w14:val="tx1"/>
            </w14:solidFill>
          </w14:textFill>
        </w:rPr>
        <w:t>“包”为最小合同单位（最小投标单位）。每“包”内容应细化到具体标的。</w:t>
      </w:r>
    </w:p>
    <w:p w14:paraId="17AED7E4">
      <w:pPr>
        <w:adjustRightInd w:val="0"/>
        <w:snapToGrid w:val="0"/>
        <w:spacing w:before="156" w:beforeLines="50" w:line="360" w:lineRule="auto"/>
        <w:ind w:firstLine="420" w:firstLineChars="200"/>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2</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eastAsia="宋体"/>
          <w:color w:val="000000" w:themeColor="text1"/>
          <w:szCs w:val="21"/>
          <w:highlight w:val="none"/>
          <w14:textFill>
            <w14:solidFill>
              <w14:schemeClr w14:val="tx1"/>
            </w14:solidFill>
          </w14:textFill>
        </w:rPr>
        <w:t>投标人必须对一个完整、独立的包进行投标，不得仅对一个包中的部分标的投标，否则</w:t>
      </w:r>
      <w:r>
        <w:rPr>
          <w:rFonts w:hint="eastAsia" w:ascii="宋体" w:hAnsi="宋体" w:eastAsia="宋体"/>
          <w:b/>
          <w:color w:val="000000" w:themeColor="text1"/>
          <w:szCs w:val="21"/>
          <w:highlight w:val="none"/>
          <w14:textFill>
            <w14:solidFill>
              <w14:schemeClr w14:val="tx1"/>
            </w14:solidFill>
          </w14:textFill>
        </w:rPr>
        <w:t>投标无效。</w:t>
      </w:r>
    </w:p>
    <w:p w14:paraId="3A1CB63C">
      <w:pPr>
        <w:adjustRightInd w:val="0"/>
        <w:snapToGrid w:val="0"/>
        <w:spacing w:before="156" w:beforeLines="50" w:line="360" w:lineRule="auto"/>
        <w:ind w:firstLine="420" w:firstLineChars="200"/>
        <w:rPr>
          <w:rFonts w:ascii="宋体" w:hAnsi="宋体" w:eastAsia="宋体" w:cs="宋体"/>
          <w:color w:val="000000" w:themeColor="text1"/>
          <w:kern w:val="0"/>
          <w:szCs w:val="21"/>
          <w:highlight w:val="none"/>
          <w14:textFill>
            <w14:solidFill>
              <w14:schemeClr w14:val="tx1"/>
            </w14:solidFill>
          </w14:textFill>
        </w:rPr>
      </w:pPr>
      <w:r>
        <w:rPr>
          <w:rFonts w:hint="eastAsia" w:ascii="宋体" w:hAnsi="宋体" w:eastAsia="宋体"/>
          <w:color w:val="000000" w:themeColor="text1"/>
          <w:szCs w:val="21"/>
          <w:highlight w:val="none"/>
          <w14:textFill>
            <w14:solidFill>
              <w14:schemeClr w14:val="tx1"/>
            </w14:solidFill>
          </w14:textFill>
        </w:rPr>
        <w:t>3</w:t>
      </w:r>
      <w:r>
        <w:rPr>
          <w:rFonts w:hint="eastAsia" w:ascii="宋体" w:hAnsi="宋体"/>
          <w:color w:val="000000" w:themeColor="text1"/>
          <w:szCs w:val="21"/>
          <w:highlight w:val="none"/>
          <w:lang w:val="en-US" w:eastAsia="zh-CN"/>
          <w14:textFill>
            <w14:solidFill>
              <w14:schemeClr w14:val="tx1"/>
            </w14:solidFill>
          </w14:textFill>
        </w:rPr>
        <w:t>.</w:t>
      </w:r>
      <w:r>
        <w:rPr>
          <w:rFonts w:hint="eastAsia" w:ascii="宋体" w:hAnsi="宋体" w:eastAsia="宋体"/>
          <w:color w:val="000000" w:themeColor="text1"/>
          <w:szCs w:val="21"/>
          <w:highlight w:val="none"/>
          <w14:textFill>
            <w14:solidFill>
              <w14:schemeClr w14:val="tx1"/>
            </w14:solidFill>
          </w14:textFill>
        </w:rPr>
        <w:t>货物的主要技术参数或规格：</w:t>
      </w:r>
      <w:r>
        <w:rPr>
          <w:rFonts w:ascii="宋体" w:hAnsi="宋体" w:eastAsia="宋体" w:cs="宋体"/>
          <w:color w:val="000000" w:themeColor="text1"/>
          <w:kern w:val="0"/>
          <w:szCs w:val="21"/>
          <w:highlight w:val="none"/>
          <w14:textFill>
            <w14:solidFill>
              <w14:schemeClr w14:val="tx1"/>
            </w14:solidFill>
          </w14:textFill>
        </w:rPr>
        <w:t>详见“技术要求”中的具体技术参数</w:t>
      </w:r>
      <w:r>
        <w:rPr>
          <w:rFonts w:hint="eastAsia" w:ascii="宋体" w:hAnsi="宋体" w:eastAsia="宋体" w:cs="宋体"/>
          <w:color w:val="000000" w:themeColor="text1"/>
          <w:kern w:val="0"/>
          <w:szCs w:val="21"/>
          <w:highlight w:val="none"/>
          <w14:textFill>
            <w14:solidFill>
              <w14:schemeClr w14:val="tx1"/>
            </w14:solidFill>
          </w14:textFill>
        </w:rPr>
        <w:t>。</w:t>
      </w:r>
    </w:p>
    <w:p w14:paraId="34B25AD9">
      <w:pPr>
        <w:adjustRightInd w:val="0"/>
        <w:snapToGrid w:val="0"/>
        <w:spacing w:before="156" w:beforeLines="50" w:line="360" w:lineRule="auto"/>
        <w:ind w:firstLine="420" w:firstLineChars="200"/>
        <w:rPr>
          <w:rFonts w:ascii="宋体" w:hAnsi="宋体" w:cs="宋体"/>
          <w:color w:val="000000" w:themeColor="text1"/>
          <w:kern w:val="0"/>
          <w:szCs w:val="21"/>
          <w:highlight w:val="none"/>
          <w14:textFill>
            <w14:solidFill>
              <w14:schemeClr w14:val="tx1"/>
            </w14:solidFill>
          </w14:textFill>
        </w:rPr>
      </w:pPr>
      <w:r>
        <w:rPr>
          <w:rFonts w:hint="eastAsia" w:ascii="宋体" w:hAnsi="宋体" w:cs="宋体"/>
          <w:bCs/>
          <w:color w:val="000000" w:themeColor="text1"/>
          <w:kern w:val="0"/>
          <w:szCs w:val="21"/>
          <w:highlight w:val="none"/>
          <w14:textFill>
            <w14:solidFill>
              <w14:schemeClr w14:val="tx1"/>
            </w14:solidFill>
          </w14:textFill>
        </w:rPr>
        <w:t>4</w:t>
      </w:r>
      <w:r>
        <w:rPr>
          <w:rFonts w:hint="eastAsia" w:ascii="宋体" w:hAnsi="宋体" w:cs="宋体"/>
          <w:bCs/>
          <w:color w:val="000000" w:themeColor="text1"/>
          <w:kern w:val="0"/>
          <w:szCs w:val="21"/>
          <w:highlight w:val="none"/>
          <w:lang w:val="en-US" w:eastAsia="zh-CN"/>
          <w14:textFill>
            <w14:solidFill>
              <w14:schemeClr w14:val="tx1"/>
            </w14:solidFill>
          </w14:textFill>
        </w:rPr>
        <w:t>.</w:t>
      </w:r>
      <w:r>
        <w:rPr>
          <w:rFonts w:hint="eastAsia" w:ascii="宋体" w:hAnsi="宋体" w:cs="宋体"/>
          <w:bCs/>
          <w:color w:val="000000" w:themeColor="text1"/>
          <w:kern w:val="0"/>
          <w:szCs w:val="21"/>
          <w:highlight w:val="none"/>
          <w14:textFill>
            <w14:solidFill>
              <w14:schemeClr w14:val="tx1"/>
            </w14:solidFill>
          </w14:textFill>
        </w:rPr>
        <w:t>投标人应</w:t>
      </w:r>
      <w:r>
        <w:rPr>
          <w:rFonts w:hint="eastAsia" w:ascii="宋体" w:hAnsi="宋体" w:cs="宋体"/>
          <w:color w:val="000000" w:themeColor="text1"/>
          <w:kern w:val="0"/>
          <w:szCs w:val="21"/>
          <w:highlight w:val="none"/>
          <w14:textFill>
            <w14:solidFill>
              <w14:schemeClr w14:val="tx1"/>
            </w14:solidFill>
          </w14:textFill>
        </w:rPr>
        <w:t>在投标文件《分项报价明细表》中按</w:t>
      </w:r>
      <w:r>
        <w:rPr>
          <w:rFonts w:hint="eastAsia" w:ascii="宋体" w:hAnsi="宋体"/>
          <w:color w:val="000000" w:themeColor="text1"/>
          <w:szCs w:val="21"/>
          <w:highlight w:val="none"/>
          <w14:textFill>
            <w14:solidFill>
              <w14:schemeClr w14:val="tx1"/>
            </w14:solidFill>
          </w14:textFill>
        </w:rPr>
        <w:t>标的名称</w:t>
      </w:r>
      <w:r>
        <w:rPr>
          <w:rFonts w:hint="eastAsia" w:ascii="宋体" w:hAnsi="宋体" w:cs="宋体"/>
          <w:color w:val="000000" w:themeColor="text1"/>
          <w:kern w:val="0"/>
          <w:szCs w:val="21"/>
          <w:highlight w:val="none"/>
          <w14:textFill>
            <w14:solidFill>
              <w14:schemeClr w14:val="tx1"/>
            </w14:solidFill>
          </w14:textFill>
        </w:rPr>
        <w:t>顺序逐项填写，且每个标的中的条目均需按招标文件规定报价。如有缺项、漏项，其</w:t>
      </w:r>
      <w:r>
        <w:rPr>
          <w:rFonts w:hint="eastAsia" w:ascii="宋体" w:hAnsi="宋体" w:cs="宋体"/>
          <w:b/>
          <w:color w:val="000000" w:themeColor="text1"/>
          <w:kern w:val="0"/>
          <w:szCs w:val="21"/>
          <w:highlight w:val="none"/>
          <w14:textFill>
            <w14:solidFill>
              <w14:schemeClr w14:val="tx1"/>
            </w14:solidFill>
          </w14:textFill>
        </w:rPr>
        <w:t>投标无效</w:t>
      </w:r>
      <w:r>
        <w:rPr>
          <w:rFonts w:hint="eastAsia" w:ascii="宋体" w:hAnsi="宋体" w:cs="宋体"/>
          <w:color w:val="000000" w:themeColor="text1"/>
          <w:kern w:val="0"/>
          <w:szCs w:val="21"/>
          <w:highlight w:val="none"/>
          <w14:textFill>
            <w14:solidFill>
              <w14:schemeClr w14:val="tx1"/>
            </w14:solidFill>
          </w14:textFill>
        </w:rPr>
        <w:t>。</w:t>
      </w:r>
    </w:p>
    <w:p w14:paraId="7F02E33C">
      <w:pPr>
        <w:pStyle w:val="5"/>
        <w:adjustRightInd w:val="0"/>
        <w:snapToGrid w:val="0"/>
        <w:spacing w:before="156" w:beforeLines="50" w:line="500" w:lineRule="exact"/>
        <w:jc w:val="center"/>
        <w:rPr>
          <w:rFonts w:hint="eastAsia" w:ascii="宋体" w:hAnsi="宋体" w:cs="宋体"/>
          <w:color w:val="000000" w:themeColor="text1"/>
          <w:sz w:val="28"/>
          <w:szCs w:val="28"/>
          <w:highlight w:val="none"/>
          <w:lang w:eastAsia="zh-CN"/>
          <w14:textFill>
            <w14:solidFill>
              <w14:schemeClr w14:val="tx1"/>
            </w14:solidFill>
          </w14:textFill>
        </w:rPr>
      </w:pPr>
    </w:p>
    <w:p w14:paraId="5A4E8261">
      <w:pPr>
        <w:pStyle w:val="5"/>
        <w:adjustRightInd w:val="0"/>
        <w:snapToGrid w:val="0"/>
        <w:spacing w:before="156" w:beforeLines="50" w:line="500" w:lineRule="exact"/>
        <w:jc w:val="center"/>
        <w:rPr>
          <w:rFonts w:hint="default" w:ascii="宋体" w:hAnsi="宋体" w:cs="宋体"/>
          <w:color w:val="000000" w:themeColor="text1"/>
          <w:sz w:val="28"/>
          <w:szCs w:val="28"/>
          <w:highlight w:val="none"/>
          <w:lang w:val="en-US" w:eastAsia="zh-CN"/>
          <w14:textFill>
            <w14:solidFill>
              <w14:schemeClr w14:val="tx1"/>
            </w14:solidFill>
          </w14:textFill>
        </w:rPr>
      </w:pPr>
    </w:p>
    <w:p w14:paraId="689D9EA7">
      <w:pPr>
        <w:pStyle w:val="10"/>
        <w:rPr>
          <w:rFonts w:hint="default" w:ascii="宋体" w:hAnsi="宋体" w:cs="宋体"/>
          <w:color w:val="000000" w:themeColor="text1"/>
          <w:sz w:val="28"/>
          <w:szCs w:val="28"/>
          <w:highlight w:val="none"/>
          <w:lang w:val="en-US" w:eastAsia="zh-CN"/>
          <w14:textFill>
            <w14:solidFill>
              <w14:schemeClr w14:val="tx1"/>
            </w14:solidFill>
          </w14:textFill>
        </w:rPr>
      </w:pPr>
    </w:p>
    <w:p w14:paraId="1827E19F">
      <w:pPr>
        <w:pStyle w:val="10"/>
        <w:rPr>
          <w:rFonts w:hint="default" w:ascii="宋体" w:hAnsi="宋体" w:cs="宋体"/>
          <w:color w:val="000000" w:themeColor="text1"/>
          <w:sz w:val="28"/>
          <w:szCs w:val="28"/>
          <w:highlight w:val="none"/>
          <w:lang w:val="en-US" w:eastAsia="zh-CN"/>
          <w14:textFill>
            <w14:solidFill>
              <w14:schemeClr w14:val="tx1"/>
            </w14:solidFill>
          </w14:textFill>
        </w:rPr>
      </w:pPr>
    </w:p>
    <w:p w14:paraId="4367BBA3">
      <w:pPr>
        <w:pStyle w:val="10"/>
        <w:rPr>
          <w:rFonts w:hint="default" w:ascii="宋体" w:hAnsi="宋体" w:cs="宋体"/>
          <w:color w:val="000000" w:themeColor="text1"/>
          <w:sz w:val="28"/>
          <w:szCs w:val="28"/>
          <w:highlight w:val="none"/>
          <w:lang w:val="en-US" w:eastAsia="zh-CN"/>
          <w14:textFill>
            <w14:solidFill>
              <w14:schemeClr w14:val="tx1"/>
            </w14:solidFill>
          </w14:textFill>
        </w:rPr>
      </w:pPr>
    </w:p>
    <w:p w14:paraId="574E1F51">
      <w:pPr>
        <w:pStyle w:val="10"/>
        <w:rPr>
          <w:rFonts w:hint="default" w:ascii="宋体" w:hAnsi="宋体" w:cs="宋体"/>
          <w:color w:val="000000" w:themeColor="text1"/>
          <w:sz w:val="28"/>
          <w:szCs w:val="28"/>
          <w:highlight w:val="none"/>
          <w:lang w:val="en-US" w:eastAsia="zh-CN"/>
          <w14:textFill>
            <w14:solidFill>
              <w14:schemeClr w14:val="tx1"/>
            </w14:solidFill>
          </w14:textFill>
        </w:rPr>
      </w:pPr>
    </w:p>
    <w:p w14:paraId="5D9870F4">
      <w:pPr>
        <w:pStyle w:val="10"/>
        <w:rPr>
          <w:rFonts w:hint="default" w:ascii="宋体" w:hAnsi="宋体" w:cs="宋体"/>
          <w:color w:val="000000" w:themeColor="text1"/>
          <w:sz w:val="28"/>
          <w:szCs w:val="28"/>
          <w:highlight w:val="none"/>
          <w:lang w:val="en-US" w:eastAsia="zh-CN"/>
          <w14:textFill>
            <w14:solidFill>
              <w14:schemeClr w14:val="tx1"/>
            </w14:solidFill>
          </w14:textFill>
        </w:rPr>
      </w:pPr>
    </w:p>
    <w:p w14:paraId="7D5F818B">
      <w:pPr>
        <w:pStyle w:val="10"/>
        <w:tabs>
          <w:tab w:val="left" w:pos="3620"/>
        </w:tabs>
        <w:rPr>
          <w:rFonts w:hint="eastAsia" w:ascii="宋体" w:hAnsi="宋体" w:cs="宋体"/>
          <w:color w:val="000000" w:themeColor="text1"/>
          <w:sz w:val="28"/>
          <w:szCs w:val="28"/>
          <w:highlight w:val="none"/>
          <w:lang w:val="en-US" w:eastAsia="zh-CN"/>
          <w14:textFill>
            <w14:solidFill>
              <w14:schemeClr w14:val="tx1"/>
            </w14:solidFill>
          </w14:textFill>
        </w:rPr>
      </w:pPr>
      <w:r>
        <w:rPr>
          <w:rFonts w:hint="eastAsia" w:ascii="宋体" w:hAnsi="宋体" w:cs="宋体"/>
          <w:color w:val="000000" w:themeColor="text1"/>
          <w:sz w:val="28"/>
          <w:szCs w:val="28"/>
          <w:highlight w:val="none"/>
          <w:lang w:val="en-US" w:eastAsia="zh-CN"/>
          <w14:textFill>
            <w14:solidFill>
              <w14:schemeClr w14:val="tx1"/>
            </w14:solidFill>
          </w14:textFill>
        </w:rPr>
        <w:tab/>
      </w:r>
    </w:p>
    <w:p w14:paraId="63D41AC0">
      <w:pPr>
        <w:pStyle w:val="10"/>
        <w:tabs>
          <w:tab w:val="left" w:pos="3620"/>
        </w:tabs>
        <w:rPr>
          <w:rFonts w:hint="default" w:ascii="宋体" w:hAnsi="宋体" w:cs="宋体"/>
          <w:color w:val="000000" w:themeColor="text1"/>
          <w:sz w:val="28"/>
          <w:szCs w:val="28"/>
          <w:highlight w:val="none"/>
          <w:lang w:val="en-US" w:eastAsia="zh-CN"/>
          <w14:textFill>
            <w14:solidFill>
              <w14:schemeClr w14:val="tx1"/>
            </w14:solidFill>
          </w14:textFill>
        </w:rPr>
      </w:pPr>
    </w:p>
    <w:p w14:paraId="377F603E">
      <w:pPr>
        <w:pStyle w:val="10"/>
        <w:tabs>
          <w:tab w:val="left" w:pos="3620"/>
        </w:tabs>
        <w:rPr>
          <w:rFonts w:hint="default" w:ascii="宋体" w:hAnsi="宋体" w:cs="宋体"/>
          <w:color w:val="000000" w:themeColor="text1"/>
          <w:sz w:val="28"/>
          <w:szCs w:val="28"/>
          <w:highlight w:val="none"/>
          <w:lang w:val="en-US" w:eastAsia="zh-CN"/>
          <w14:textFill>
            <w14:solidFill>
              <w14:schemeClr w14:val="tx1"/>
            </w14:solidFill>
          </w14:textFill>
        </w:rPr>
      </w:pPr>
    </w:p>
    <w:p w14:paraId="0A5ED6E7">
      <w:pPr>
        <w:pStyle w:val="10"/>
        <w:tabs>
          <w:tab w:val="left" w:pos="3620"/>
        </w:tabs>
        <w:rPr>
          <w:rFonts w:hint="default" w:ascii="宋体" w:hAnsi="宋体" w:cs="宋体"/>
          <w:color w:val="000000" w:themeColor="text1"/>
          <w:sz w:val="28"/>
          <w:szCs w:val="28"/>
          <w:highlight w:val="none"/>
          <w:lang w:val="en-US" w:eastAsia="zh-CN"/>
          <w14:textFill>
            <w14:solidFill>
              <w14:schemeClr w14:val="tx1"/>
            </w14:solidFill>
          </w14:textFill>
        </w:rPr>
      </w:pPr>
    </w:p>
    <w:p w14:paraId="65E71B84">
      <w:pPr>
        <w:pStyle w:val="10"/>
        <w:tabs>
          <w:tab w:val="left" w:pos="3620"/>
        </w:tabs>
        <w:rPr>
          <w:rFonts w:hint="default" w:ascii="宋体" w:hAnsi="宋体" w:cs="宋体"/>
          <w:color w:val="000000" w:themeColor="text1"/>
          <w:sz w:val="28"/>
          <w:szCs w:val="28"/>
          <w:highlight w:val="none"/>
          <w:lang w:val="en-US" w:eastAsia="zh-CN"/>
          <w14:textFill>
            <w14:solidFill>
              <w14:schemeClr w14:val="tx1"/>
            </w14:solidFill>
          </w14:textFill>
        </w:rPr>
      </w:pPr>
    </w:p>
    <w:p w14:paraId="49B84860">
      <w:pPr>
        <w:pStyle w:val="10"/>
        <w:tabs>
          <w:tab w:val="left" w:pos="3620"/>
        </w:tabs>
        <w:rPr>
          <w:rFonts w:hint="default" w:ascii="宋体" w:hAnsi="宋体" w:cs="宋体"/>
          <w:color w:val="000000" w:themeColor="text1"/>
          <w:sz w:val="28"/>
          <w:szCs w:val="28"/>
          <w:highlight w:val="none"/>
          <w:lang w:val="en-US" w:eastAsia="zh-CN"/>
          <w14:textFill>
            <w14:solidFill>
              <w14:schemeClr w14:val="tx1"/>
            </w14:solidFill>
          </w14:textFill>
        </w:rPr>
      </w:pPr>
    </w:p>
    <w:p w14:paraId="04A60E2B">
      <w:pPr>
        <w:pStyle w:val="10"/>
        <w:tabs>
          <w:tab w:val="left" w:pos="3620"/>
        </w:tabs>
        <w:rPr>
          <w:rFonts w:hint="default" w:ascii="宋体" w:hAnsi="宋体" w:cs="宋体"/>
          <w:color w:val="000000" w:themeColor="text1"/>
          <w:sz w:val="28"/>
          <w:szCs w:val="28"/>
          <w:highlight w:val="none"/>
          <w:lang w:val="en-US" w:eastAsia="zh-CN"/>
          <w14:textFill>
            <w14:solidFill>
              <w14:schemeClr w14:val="tx1"/>
            </w14:solidFill>
          </w14:textFill>
        </w:rPr>
      </w:pPr>
      <w:bookmarkStart w:id="6" w:name="_GoBack"/>
      <w:bookmarkEnd w:id="6"/>
    </w:p>
    <w:p w14:paraId="116A23C7">
      <w:pPr>
        <w:pStyle w:val="10"/>
        <w:tabs>
          <w:tab w:val="left" w:pos="3620"/>
        </w:tabs>
        <w:rPr>
          <w:rFonts w:hint="default" w:ascii="宋体" w:hAnsi="宋体" w:cs="宋体"/>
          <w:color w:val="000000" w:themeColor="text1"/>
          <w:sz w:val="28"/>
          <w:szCs w:val="28"/>
          <w:highlight w:val="none"/>
          <w:lang w:val="en-US" w:eastAsia="zh-CN"/>
          <w14:textFill>
            <w14:solidFill>
              <w14:schemeClr w14:val="tx1"/>
            </w14:solidFill>
          </w14:textFill>
        </w:rPr>
      </w:pPr>
    </w:p>
    <w:p w14:paraId="22B660B4">
      <w:pPr>
        <w:pStyle w:val="10"/>
        <w:rPr>
          <w:rFonts w:hint="default" w:ascii="宋体" w:hAnsi="宋体" w:cs="宋体"/>
          <w:color w:val="000000" w:themeColor="text1"/>
          <w:sz w:val="28"/>
          <w:szCs w:val="28"/>
          <w:highlight w:val="none"/>
          <w:lang w:val="en-US" w:eastAsia="zh-CN"/>
          <w14:textFill>
            <w14:solidFill>
              <w14:schemeClr w14:val="tx1"/>
            </w14:solidFill>
          </w14:textFill>
        </w:rPr>
      </w:pPr>
    </w:p>
    <w:p w14:paraId="416438B9">
      <w:pPr>
        <w:pStyle w:val="7"/>
        <w:rPr>
          <w:rFonts w:hint="eastAsia"/>
          <w:color w:val="000000" w:themeColor="text1"/>
          <w:highlight w:val="none"/>
          <w:lang w:eastAsia="zh-CN"/>
          <w14:textFill>
            <w14:solidFill>
              <w14:schemeClr w14:val="tx1"/>
            </w14:solidFill>
          </w14:textFill>
        </w:rPr>
      </w:pPr>
    </w:p>
    <w:p w14:paraId="00252E35">
      <w:pPr>
        <w:pStyle w:val="10"/>
        <w:rPr>
          <w:rFonts w:hint="eastAsia"/>
          <w:color w:val="000000" w:themeColor="text1"/>
          <w:highlight w:val="none"/>
          <w:lang w:eastAsia="zh-CN"/>
          <w14:textFill>
            <w14:solidFill>
              <w14:schemeClr w14:val="tx1"/>
            </w14:solidFill>
          </w14:textFill>
        </w:rPr>
      </w:pPr>
    </w:p>
    <w:p w14:paraId="066B18B4">
      <w:pPr>
        <w:pStyle w:val="5"/>
        <w:adjustRightInd w:val="0"/>
        <w:snapToGrid w:val="0"/>
        <w:spacing w:before="156" w:beforeLines="50" w:line="500" w:lineRule="exact"/>
        <w:jc w:val="center"/>
        <w:rPr>
          <w:rFonts w:hint="eastAsia" w:ascii="宋体" w:hAnsi="宋体" w:cs="宋体"/>
          <w:color w:val="000000" w:themeColor="text1"/>
          <w:sz w:val="28"/>
          <w:szCs w:val="28"/>
          <w:highlight w:val="none"/>
          <w:lang w:eastAsia="zh-CN"/>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第二节</w:t>
      </w:r>
      <w:r>
        <w:rPr>
          <w:rFonts w:hint="eastAsia" w:ascii="宋体" w:hAnsi="宋体" w:cs="宋体"/>
          <w:color w:val="000000" w:themeColor="text1"/>
          <w:sz w:val="28"/>
          <w:szCs w:val="28"/>
          <w:highlight w:val="none"/>
          <w:lang w:val="en-US" w:eastAsia="zh-CN"/>
          <w14:textFill>
            <w14:solidFill>
              <w14:schemeClr w14:val="tx1"/>
            </w14:solidFill>
          </w14:textFill>
        </w:rPr>
        <w:t xml:space="preserve">  </w:t>
      </w:r>
      <w:r>
        <w:rPr>
          <w:rFonts w:hint="eastAsia" w:ascii="宋体" w:hAnsi="宋体" w:cs="宋体"/>
          <w:color w:val="000000" w:themeColor="text1"/>
          <w:sz w:val="28"/>
          <w:szCs w:val="28"/>
          <w:highlight w:val="none"/>
          <w:lang w:eastAsia="zh-CN"/>
          <w14:textFill>
            <w14:solidFill>
              <w14:schemeClr w14:val="tx1"/>
            </w14:solidFill>
          </w14:textFill>
        </w:rPr>
        <w:t>技术要求</w:t>
      </w:r>
    </w:p>
    <w:p w14:paraId="2B275A32">
      <w:pPr>
        <w:spacing w:line="360" w:lineRule="auto"/>
        <w:ind w:firstLine="482" w:firstLineChars="200"/>
        <w:outlineLvl w:val="1"/>
        <w:rPr>
          <w:rFonts w:hint="eastAsia"/>
          <w:b/>
          <w:color w:val="000000" w:themeColor="text1"/>
          <w:sz w:val="24"/>
          <w:szCs w:val="22"/>
          <w:highlight w:val="none"/>
          <w14:textFill>
            <w14:solidFill>
              <w14:schemeClr w14:val="tx1"/>
            </w14:solidFill>
          </w14:textFill>
        </w:rPr>
      </w:pPr>
      <w:bookmarkStart w:id="2" w:name="_Toc444066742"/>
      <w:bookmarkStart w:id="3" w:name="_Toc444068512"/>
      <w:bookmarkStart w:id="4" w:name="_Toc464833169"/>
      <w:bookmarkStart w:id="5" w:name="_Toc443893025"/>
      <w:r>
        <w:rPr>
          <w:rFonts w:hint="eastAsia"/>
          <w:b/>
          <w:color w:val="000000" w:themeColor="text1"/>
          <w:sz w:val="24"/>
          <w:szCs w:val="22"/>
          <w:highlight w:val="none"/>
          <w14:textFill>
            <w14:solidFill>
              <w14:schemeClr w14:val="tx1"/>
            </w14:solidFill>
          </w14:textFill>
        </w:rPr>
        <w:t>一、项目概况</w:t>
      </w:r>
    </w:p>
    <w:p w14:paraId="3526D78D">
      <w:pPr>
        <w:spacing w:line="360" w:lineRule="auto"/>
        <w:ind w:firstLine="420" w:firstLineChars="200"/>
        <w:outlineLvl w:val="9"/>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党的十八大以来，党中央明确提出要建立健全自然资源资产离任审计制度，推动领导干部切实履行自然资源资产管理和生态环境保护责任。为贯彻落实</w:t>
      </w:r>
      <w:r>
        <w:rPr>
          <w:rFonts w:hint="eastAsia" w:ascii="宋体" w:hAnsi="宋体" w:cs="宋体"/>
          <w:color w:val="000000" w:themeColor="text1"/>
          <w:szCs w:val="21"/>
          <w:highlight w:val="none"/>
          <w:lang w:eastAsia="zh-CN" w:bidi="ar"/>
          <w14:textFill>
            <w14:solidFill>
              <w14:schemeClr w14:val="tx1"/>
            </w14:solidFill>
          </w14:textFill>
        </w:rPr>
        <w:t>中央及省委省政府有关要求</w:t>
      </w:r>
      <w:r>
        <w:rPr>
          <w:rFonts w:hint="eastAsia" w:ascii="宋体" w:hAnsi="宋体" w:cs="宋体"/>
          <w:color w:val="000000" w:themeColor="text1"/>
          <w:szCs w:val="21"/>
          <w:highlight w:val="none"/>
          <w:lang w:bidi="ar"/>
          <w14:textFill>
            <w14:solidFill>
              <w14:schemeClr w14:val="tx1"/>
            </w14:solidFill>
          </w14:textFill>
        </w:rPr>
        <w:t>，</w:t>
      </w:r>
      <w:r>
        <w:rPr>
          <w:rFonts w:hint="eastAsia" w:ascii="宋体" w:hAnsi="宋体" w:cs="宋体"/>
          <w:color w:val="000000" w:themeColor="text1"/>
          <w:szCs w:val="21"/>
          <w:highlight w:val="none"/>
          <w:lang w:eastAsia="zh-CN" w:bidi="ar"/>
          <w14:textFill>
            <w14:solidFill>
              <w14:schemeClr w14:val="tx1"/>
            </w14:solidFill>
          </w14:textFill>
        </w:rPr>
        <w:t>切实加强自然资源资产保护及监管力度，</w:t>
      </w:r>
      <w:r>
        <w:rPr>
          <w:rFonts w:hint="eastAsia" w:ascii="宋体" w:hAnsi="宋体" w:cs="宋体"/>
          <w:color w:val="000000" w:themeColor="text1"/>
          <w:szCs w:val="21"/>
          <w:highlight w:val="none"/>
          <w:lang w:bidi="ar"/>
          <w14:textFill>
            <w14:solidFill>
              <w14:schemeClr w14:val="tx1"/>
            </w14:solidFill>
          </w14:textFill>
        </w:rPr>
        <w:t>应对</w:t>
      </w:r>
      <w:r>
        <w:rPr>
          <w:rFonts w:hint="eastAsia" w:ascii="宋体" w:hAnsi="宋体" w:cs="宋体"/>
          <w:color w:val="000000" w:themeColor="text1"/>
          <w:szCs w:val="21"/>
          <w:highlight w:val="none"/>
          <w:lang w:eastAsia="zh-CN" w:bidi="ar"/>
          <w14:textFill>
            <w14:solidFill>
              <w14:schemeClr w14:val="tx1"/>
            </w14:solidFill>
          </w14:textFill>
        </w:rPr>
        <w:t>相关审计项目实施过程中</w:t>
      </w:r>
      <w:r>
        <w:rPr>
          <w:rFonts w:hint="eastAsia" w:ascii="宋体" w:hAnsi="宋体" w:cs="宋体"/>
          <w:color w:val="000000" w:themeColor="text1"/>
          <w:szCs w:val="21"/>
          <w:highlight w:val="none"/>
          <w:lang w:bidi="ar"/>
          <w14:textFill>
            <w14:solidFill>
              <w14:schemeClr w14:val="tx1"/>
            </w14:solidFill>
          </w14:textFill>
        </w:rPr>
        <w:t>自然资源资产分布广、数据类型复杂、监管难度大的挑战</w:t>
      </w:r>
      <w:r>
        <w:rPr>
          <w:rFonts w:hint="eastAsia" w:ascii="宋体" w:hAnsi="宋体" w:cs="宋体"/>
          <w:color w:val="000000" w:themeColor="text1"/>
          <w:szCs w:val="21"/>
          <w:highlight w:val="none"/>
          <w:lang w:eastAsia="zh-CN" w:bidi="ar"/>
          <w14:textFill>
            <w14:solidFill>
              <w14:schemeClr w14:val="tx1"/>
            </w14:solidFill>
          </w14:textFill>
        </w:rPr>
        <w:t>，</w:t>
      </w:r>
      <w:r>
        <w:rPr>
          <w:rFonts w:hint="eastAsia" w:ascii="宋体" w:hAnsi="宋体" w:cs="宋体"/>
          <w:color w:val="000000" w:themeColor="text1"/>
          <w:szCs w:val="21"/>
          <w:highlight w:val="none"/>
          <w:lang w:bidi="ar"/>
          <w14:textFill>
            <w14:solidFill>
              <w14:schemeClr w14:val="tx1"/>
            </w14:solidFill>
          </w14:textFill>
        </w:rPr>
        <w:t>亟需</w:t>
      </w:r>
      <w:r>
        <w:rPr>
          <w:rFonts w:hint="eastAsia" w:ascii="宋体" w:hAnsi="宋体" w:cs="宋体"/>
          <w:color w:val="000000" w:themeColor="text1"/>
          <w:szCs w:val="21"/>
          <w:highlight w:val="none"/>
          <w:lang w:eastAsia="zh-CN" w:bidi="ar"/>
          <w14:textFill>
            <w14:solidFill>
              <w14:schemeClr w14:val="tx1"/>
            </w14:solidFill>
          </w14:textFill>
        </w:rPr>
        <w:t>采用</w:t>
      </w:r>
      <w:r>
        <w:rPr>
          <w:rFonts w:hint="eastAsia" w:ascii="宋体" w:hAnsi="宋体" w:cs="宋体"/>
          <w:color w:val="000000" w:themeColor="text1"/>
          <w:szCs w:val="21"/>
          <w:highlight w:val="none"/>
          <w:lang w:bidi="ar"/>
          <w14:textFill>
            <w14:solidFill>
              <w14:schemeClr w14:val="tx1"/>
            </w14:solidFill>
          </w14:textFill>
        </w:rPr>
        <w:t>创新技术手段</w:t>
      </w:r>
      <w:r>
        <w:rPr>
          <w:rFonts w:hint="eastAsia" w:ascii="宋体" w:hAnsi="宋体" w:cs="宋体"/>
          <w:color w:val="000000" w:themeColor="text1"/>
          <w:szCs w:val="21"/>
          <w:highlight w:val="none"/>
          <w:lang w:eastAsia="zh-CN" w:bidi="ar"/>
          <w14:textFill>
            <w14:solidFill>
              <w14:schemeClr w14:val="tx1"/>
            </w14:solidFill>
          </w14:textFill>
        </w:rPr>
        <w:t>开展相关审计工作</w:t>
      </w:r>
      <w:r>
        <w:rPr>
          <w:rFonts w:hint="eastAsia" w:ascii="宋体" w:hAnsi="宋体" w:cs="宋体"/>
          <w:color w:val="000000" w:themeColor="text1"/>
          <w:szCs w:val="21"/>
          <w:highlight w:val="none"/>
          <w:lang w:bidi="ar"/>
          <w14:textFill>
            <w14:solidFill>
              <w14:schemeClr w14:val="tx1"/>
            </w14:solidFill>
          </w14:textFill>
        </w:rPr>
        <w:t>。</w:t>
      </w:r>
    </w:p>
    <w:p w14:paraId="70554B01">
      <w:pPr>
        <w:spacing w:line="360" w:lineRule="auto"/>
        <w:ind w:firstLine="420" w:firstLineChars="200"/>
        <w:outlineLvl w:val="9"/>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在国家大力推进生态文明建设、加强自然资源资产管理和生态环境保护的战略背景下，地理信息技术（GIS）在审计项目中的应用已成为提升审计效能的重要手段。地理信息技术通过整合多源数据（如高分辨率遥感影像、土地利用数据、地形图等），结合空间分析、叠加分析、缓冲区分析等技术手段，能够高效识别自然资源变化、生态环境问题及违规行为</w:t>
      </w:r>
      <w:r>
        <w:rPr>
          <w:rFonts w:hint="eastAsia" w:ascii="宋体" w:hAnsi="宋体" w:cs="宋体"/>
          <w:color w:val="000000" w:themeColor="text1"/>
          <w:szCs w:val="21"/>
          <w:highlight w:val="none"/>
          <w:lang w:eastAsia="zh-CN" w:bidi="ar"/>
          <w14:textFill>
            <w14:solidFill>
              <w14:schemeClr w14:val="tx1"/>
            </w14:solidFill>
          </w14:textFill>
        </w:rPr>
        <w:t>，</w:t>
      </w:r>
      <w:r>
        <w:rPr>
          <w:rFonts w:hint="eastAsia" w:ascii="宋体" w:hAnsi="宋体" w:cs="宋体"/>
          <w:color w:val="000000" w:themeColor="text1"/>
          <w:szCs w:val="21"/>
          <w:highlight w:val="none"/>
          <w:lang w:bidi="ar"/>
          <w14:textFill>
            <w14:solidFill>
              <w14:schemeClr w14:val="tx1"/>
            </w14:solidFill>
          </w14:textFill>
        </w:rPr>
        <w:t>为推动生态文明建设、实现绿色发展目标提供了坚实的数据支撑和决策依据</w:t>
      </w:r>
      <w:r>
        <w:rPr>
          <w:rFonts w:hint="eastAsia" w:ascii="宋体" w:hAnsi="宋体" w:cs="宋体"/>
          <w:color w:val="000000" w:themeColor="text1"/>
          <w:szCs w:val="21"/>
          <w:highlight w:val="none"/>
          <w:lang w:eastAsia="zh-CN" w:bidi="ar"/>
          <w14:textFill>
            <w14:solidFill>
              <w14:schemeClr w14:val="tx1"/>
            </w14:solidFill>
          </w14:textFill>
        </w:rPr>
        <w:t>，</w:t>
      </w:r>
      <w:r>
        <w:rPr>
          <w:rFonts w:hint="eastAsia" w:ascii="宋体" w:hAnsi="宋体" w:cs="宋体"/>
          <w:color w:val="000000" w:themeColor="text1"/>
          <w:szCs w:val="21"/>
          <w:highlight w:val="none"/>
          <w:lang w:bidi="ar"/>
          <w14:textFill>
            <w14:solidFill>
              <w14:schemeClr w14:val="tx1"/>
            </w14:solidFill>
          </w14:textFill>
        </w:rPr>
        <w:t>为审计工作提供了科学化、精准化的技术支持。</w:t>
      </w:r>
    </w:p>
    <w:p w14:paraId="7F5F574E">
      <w:pPr>
        <w:spacing w:line="360" w:lineRule="auto"/>
        <w:ind w:firstLine="482" w:firstLineChars="200"/>
        <w:outlineLvl w:val="1"/>
        <w:rPr>
          <w:rFonts w:hint="eastAsia"/>
          <w:b/>
          <w:color w:val="000000" w:themeColor="text1"/>
          <w:sz w:val="24"/>
          <w:szCs w:val="22"/>
          <w:highlight w:val="none"/>
          <w14:textFill>
            <w14:solidFill>
              <w14:schemeClr w14:val="tx1"/>
            </w14:solidFill>
          </w14:textFill>
        </w:rPr>
      </w:pPr>
      <w:r>
        <w:rPr>
          <w:rFonts w:hint="eastAsia"/>
          <w:b/>
          <w:color w:val="000000" w:themeColor="text1"/>
          <w:sz w:val="24"/>
          <w:szCs w:val="22"/>
          <w:highlight w:val="none"/>
          <w14:textFill>
            <w14:solidFill>
              <w14:schemeClr w14:val="tx1"/>
            </w14:solidFill>
          </w14:textFill>
        </w:rPr>
        <w:t>二、采购内容</w:t>
      </w:r>
    </w:p>
    <w:p w14:paraId="5989866C">
      <w:pPr>
        <w:pStyle w:val="11"/>
        <w:keepNext w:val="0"/>
        <w:keepLines w:val="0"/>
        <w:pageBreakBefore w:val="0"/>
        <w:widowControl w:val="0"/>
        <w:kinsoku/>
        <w:wordWrap/>
        <w:overflowPunct/>
        <w:topLinePunct w:val="0"/>
        <w:autoSpaceDE/>
        <w:autoSpaceDN/>
        <w:bidi w:val="0"/>
        <w:adjustRightInd/>
        <w:snapToGrid/>
        <w:spacing w:line="400" w:lineRule="exact"/>
        <w:ind w:left="0" w:leftChars="0" w:right="0" w:rightChars="0" w:firstLine="420" w:firstLineChars="200"/>
        <w:jc w:val="both"/>
        <w:textAlignment w:val="auto"/>
        <w:outlineLvl w:val="9"/>
        <w:rPr>
          <w:rStyle w:val="9"/>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Style w:val="9"/>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为我厅组织实施的领导干部自然资源资产离任审计以及审计署、省委审计委员会安排的</w:t>
      </w:r>
      <w:r>
        <w:rPr>
          <w:rStyle w:val="9"/>
          <w:rFonts w:hint="eastAsia" w:ascii="宋体" w:hAnsi="宋体" w:eastAsia="宋体" w:cs="Times New Roman"/>
          <w:b w:val="0"/>
          <w:bCs w:val="0"/>
          <w:color w:val="000000" w:themeColor="text1"/>
          <w:kern w:val="32"/>
          <w:sz w:val="21"/>
          <w:szCs w:val="21"/>
          <w:highlight w:val="none"/>
          <w:lang w:eastAsia="zh-CN"/>
          <w14:textFill>
            <w14:solidFill>
              <w14:schemeClr w14:val="tx1"/>
            </w14:solidFill>
          </w14:textFill>
        </w:rPr>
        <w:t>农业农村项目审计</w:t>
      </w:r>
      <w:r>
        <w:rPr>
          <w:rStyle w:val="9"/>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、主权外贷和援款项目审计等提供地理信息技术服务。主要包括：数据采集整理、内业处理、外业核查、成果开发等，为后期审计整改和成果利用持续提供技术服务支撑。</w:t>
      </w:r>
    </w:p>
    <w:p w14:paraId="441E3B9B">
      <w:pPr>
        <w:pStyle w:val="11"/>
        <w:keepNext w:val="0"/>
        <w:numPr>
          <w:ilvl w:val="0"/>
          <w:numId w:val="0"/>
        </w:numPr>
        <w:adjustRightInd w:val="0"/>
        <w:snapToGrid w:val="0"/>
        <w:jc w:val="both"/>
        <w:outlineLvl w:val="9"/>
        <w:rPr>
          <w:rStyle w:val="9"/>
          <w:rFonts w:hint="eastAsia" w:ascii="宋体" w:hAnsi="宋体" w:eastAsia="宋体" w:cs="Times New Roman"/>
          <w:b/>
          <w:bCs/>
          <w:color w:val="000000" w:themeColor="text1"/>
          <w:kern w:val="32"/>
          <w:sz w:val="21"/>
          <w:szCs w:val="21"/>
          <w:highlight w:val="none"/>
          <w14:textFill>
            <w14:solidFill>
              <w14:schemeClr w14:val="tx1"/>
            </w14:solidFill>
          </w14:textFill>
        </w:rPr>
      </w:pPr>
      <w:r>
        <w:rPr>
          <w:rStyle w:val="9"/>
          <w:rFonts w:hint="eastAsia" w:ascii="宋体" w:hAnsi="宋体" w:eastAsia="宋体" w:cs="Times New Roman"/>
          <w:b/>
          <w:bCs/>
          <w:color w:val="000000" w:themeColor="text1"/>
          <w:kern w:val="32"/>
          <w:sz w:val="21"/>
          <w:szCs w:val="21"/>
          <w:highlight w:val="none"/>
          <w:lang w:val="en-US" w:eastAsia="zh-CN"/>
          <w14:textFill>
            <w14:solidFill>
              <w14:schemeClr w14:val="tx1"/>
            </w14:solidFill>
          </w14:textFill>
        </w:rPr>
        <w:t>1、</w:t>
      </w:r>
      <w:r>
        <w:rPr>
          <w:rStyle w:val="9"/>
          <w:rFonts w:hint="eastAsia" w:ascii="宋体" w:hAnsi="宋体" w:eastAsia="宋体" w:cs="Times New Roman"/>
          <w:b/>
          <w:bCs/>
          <w:color w:val="000000" w:themeColor="text1"/>
          <w:kern w:val="32"/>
          <w:sz w:val="21"/>
          <w:szCs w:val="21"/>
          <w:highlight w:val="none"/>
          <w14:textFill>
            <w14:solidFill>
              <w14:schemeClr w14:val="tx1"/>
            </w14:solidFill>
          </w14:textFill>
        </w:rPr>
        <w:t>投标限额标准</w:t>
      </w:r>
    </w:p>
    <w:tbl>
      <w:tblPr>
        <w:tblStyle w:val="12"/>
        <w:tblW w:w="90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95"/>
        <w:gridCol w:w="1166"/>
        <w:gridCol w:w="1281"/>
        <w:gridCol w:w="3230"/>
      </w:tblGrid>
      <w:tr w14:paraId="149C5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trPr>
        <w:tc>
          <w:tcPr>
            <w:tcW w:w="3395" w:type="dxa"/>
            <w:noWrap w:val="0"/>
            <w:vAlign w:val="center"/>
          </w:tcPr>
          <w:p w14:paraId="1DAC6194">
            <w:pPr>
              <w:pStyle w:val="11"/>
              <w:tabs>
                <w:tab w:val="left" w:pos="1380"/>
              </w:tabs>
              <w:spacing w:line="400" w:lineRule="exact"/>
              <w:jc w:val="center"/>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服务类别</w:t>
            </w:r>
          </w:p>
        </w:tc>
        <w:tc>
          <w:tcPr>
            <w:tcW w:w="1166" w:type="dxa"/>
            <w:noWrap w:val="0"/>
            <w:vAlign w:val="center"/>
          </w:tcPr>
          <w:p w14:paraId="3515A164">
            <w:pPr>
              <w:pStyle w:val="11"/>
              <w:tabs>
                <w:tab w:val="left" w:pos="1380"/>
              </w:tabs>
              <w:spacing w:line="240" w:lineRule="auto"/>
              <w:jc w:val="center"/>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最高限价</w:t>
            </w:r>
          </w:p>
          <w:p w14:paraId="3554CB47">
            <w:pPr>
              <w:pStyle w:val="11"/>
              <w:tabs>
                <w:tab w:val="left" w:pos="1380"/>
              </w:tabs>
              <w:spacing w:line="240" w:lineRule="auto"/>
              <w:jc w:val="center"/>
              <w:outlineLvl w:val="9"/>
              <w:rPr>
                <w:rStyle w:val="9"/>
                <w:rFonts w:hint="default"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（元/个）</w:t>
            </w:r>
          </w:p>
        </w:tc>
        <w:tc>
          <w:tcPr>
            <w:tcW w:w="1281" w:type="dxa"/>
            <w:noWrap w:val="0"/>
            <w:vAlign w:val="center"/>
          </w:tcPr>
          <w:p w14:paraId="00E2729A">
            <w:pPr>
              <w:pStyle w:val="11"/>
              <w:tabs>
                <w:tab w:val="left" w:pos="1380"/>
              </w:tabs>
              <w:spacing w:line="400" w:lineRule="exact"/>
              <w:jc w:val="center"/>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人数</w:t>
            </w:r>
          </w:p>
        </w:tc>
        <w:tc>
          <w:tcPr>
            <w:tcW w:w="3230" w:type="dxa"/>
            <w:noWrap w:val="0"/>
            <w:vAlign w:val="center"/>
          </w:tcPr>
          <w:p w14:paraId="117E5854">
            <w:pPr>
              <w:pStyle w:val="11"/>
              <w:tabs>
                <w:tab w:val="left" w:pos="1380"/>
              </w:tabs>
              <w:spacing w:line="400" w:lineRule="exact"/>
              <w:jc w:val="center"/>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备注</w:t>
            </w:r>
          </w:p>
        </w:tc>
      </w:tr>
      <w:tr w14:paraId="5F126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3395" w:type="dxa"/>
            <w:noWrap w:val="0"/>
            <w:vAlign w:val="top"/>
          </w:tcPr>
          <w:p w14:paraId="5F2FEC5C">
            <w:pPr>
              <w:pStyle w:val="11"/>
              <w:keepNext/>
              <w:keepLines/>
              <w:pageBreakBefore w:val="0"/>
              <w:widowControl w:val="0"/>
              <w:tabs>
                <w:tab w:val="left" w:pos="1380"/>
              </w:tabs>
              <w:kinsoku/>
              <w:wordWrap/>
              <w:overflowPunct/>
              <w:topLinePunct w:val="0"/>
              <w:autoSpaceDE/>
              <w:autoSpaceDN/>
              <w:bidi w:val="0"/>
              <w:adjustRightInd/>
              <w:snapToGrid/>
              <w:spacing w:line="340" w:lineRule="exact"/>
              <w:jc w:val="center"/>
              <w:textAlignment w:val="auto"/>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eastAsia="zh-CN"/>
                <w14:textFill>
                  <w14:solidFill>
                    <w14:schemeClr w14:val="tx1"/>
                  </w14:solidFill>
                </w14:textFill>
              </w:rPr>
              <w:t>省级领导干部自然资源资产离任审计及其他相关审计技术服务</w:t>
            </w:r>
          </w:p>
        </w:tc>
        <w:tc>
          <w:tcPr>
            <w:tcW w:w="1166" w:type="dxa"/>
            <w:noWrap w:val="0"/>
            <w:vAlign w:val="center"/>
          </w:tcPr>
          <w:p w14:paraId="4DACBF2F">
            <w:pPr>
              <w:pStyle w:val="11"/>
              <w:tabs>
                <w:tab w:val="left" w:pos="1380"/>
              </w:tabs>
              <w:spacing w:line="400" w:lineRule="exact"/>
              <w:jc w:val="center"/>
              <w:outlineLvl w:val="9"/>
              <w:rPr>
                <w:rStyle w:val="9"/>
                <w:rFonts w:hint="default"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72000</w:t>
            </w:r>
          </w:p>
        </w:tc>
        <w:tc>
          <w:tcPr>
            <w:tcW w:w="1281" w:type="dxa"/>
            <w:noWrap w:val="0"/>
            <w:vAlign w:val="center"/>
          </w:tcPr>
          <w:p w14:paraId="4D9170AA">
            <w:pPr>
              <w:pStyle w:val="11"/>
              <w:tabs>
                <w:tab w:val="left" w:pos="1380"/>
              </w:tabs>
              <w:spacing w:line="240" w:lineRule="auto"/>
              <w:jc w:val="center"/>
              <w:outlineLvl w:val="9"/>
              <w:rPr>
                <w:rStyle w:val="9"/>
                <w:rFonts w:hint="default"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内、外业不少于1人</w:t>
            </w:r>
          </w:p>
        </w:tc>
        <w:tc>
          <w:tcPr>
            <w:tcW w:w="3230" w:type="dxa"/>
            <w:noWrap w:val="0"/>
            <w:vAlign w:val="center"/>
          </w:tcPr>
          <w:p w14:paraId="2340E6A3">
            <w:pPr>
              <w:pStyle w:val="11"/>
              <w:tabs>
                <w:tab w:val="left" w:pos="1380"/>
              </w:tabs>
              <w:spacing w:line="240" w:lineRule="auto"/>
              <w:jc w:val="center"/>
              <w:outlineLvl w:val="9"/>
              <w:rPr>
                <w:rStyle w:val="9"/>
                <w:rFonts w:hint="default"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内业分析</w:t>
            </w:r>
            <w:r>
              <w:rPr>
                <w:rStyle w:val="9"/>
                <w:rFonts w:hint="eastAsia" w:ascii="宋体" w:hAnsi="宋体" w:cs="Times New Roman"/>
                <w:b w:val="0"/>
                <w:bCs w:val="0"/>
                <w:color w:val="000000" w:themeColor="text1"/>
                <w:kern w:val="32"/>
                <w:sz w:val="21"/>
                <w:szCs w:val="21"/>
                <w:highlight w:val="none"/>
                <w:vertAlign w:val="baseline"/>
                <w:lang w:val="en-US" w:eastAsia="zh-CN"/>
                <w14:textFill>
                  <w14:solidFill>
                    <w14:schemeClr w14:val="tx1"/>
                  </w14:solidFill>
                </w14:textFill>
              </w:rPr>
              <w:t>30天</w:t>
            </w: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，外业</w:t>
            </w:r>
            <w:r>
              <w:rPr>
                <w:rStyle w:val="9"/>
                <w:rFonts w:hint="eastAsia" w:ascii="宋体" w:hAnsi="宋体" w:cs="Times New Roman"/>
                <w:b w:val="0"/>
                <w:bCs w:val="0"/>
                <w:color w:val="000000" w:themeColor="text1"/>
                <w:kern w:val="32"/>
                <w:sz w:val="21"/>
                <w:szCs w:val="21"/>
                <w:highlight w:val="none"/>
                <w:vertAlign w:val="baseline"/>
                <w:lang w:val="en-US" w:eastAsia="zh-CN"/>
                <w14:textFill>
                  <w14:solidFill>
                    <w14:schemeClr w14:val="tx1"/>
                  </w14:solidFill>
                </w14:textFill>
              </w:rPr>
              <w:t>驻场15天</w:t>
            </w:r>
          </w:p>
        </w:tc>
      </w:tr>
      <w:tr w14:paraId="07A53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trPr>
        <w:tc>
          <w:tcPr>
            <w:tcW w:w="3395" w:type="dxa"/>
            <w:noWrap w:val="0"/>
            <w:vAlign w:val="top"/>
          </w:tcPr>
          <w:p w14:paraId="097A73A9">
            <w:pPr>
              <w:pStyle w:val="11"/>
              <w:keepNext/>
              <w:keepLines/>
              <w:pageBreakBefore w:val="0"/>
              <w:widowControl w:val="0"/>
              <w:tabs>
                <w:tab w:val="left" w:pos="1380"/>
              </w:tabs>
              <w:kinsoku/>
              <w:wordWrap/>
              <w:overflowPunct/>
              <w:topLinePunct w:val="0"/>
              <w:autoSpaceDE/>
              <w:autoSpaceDN/>
              <w:bidi w:val="0"/>
              <w:adjustRightInd/>
              <w:snapToGrid/>
              <w:spacing w:line="340" w:lineRule="exact"/>
              <w:jc w:val="center"/>
              <w:textAlignment w:val="auto"/>
              <w:outlineLvl w:val="9"/>
              <w:rPr>
                <w:rStyle w:val="9"/>
                <w:rFonts w:hint="eastAsia" w:ascii="宋体" w:hAnsi="宋体" w:eastAsia="宋体" w:cs="Times New Roman"/>
                <w:b w:val="0"/>
                <w:bCs w:val="0"/>
                <w:color w:val="000000" w:themeColor="text1"/>
                <w:kern w:val="32"/>
                <w:sz w:val="21"/>
                <w:szCs w:val="21"/>
                <w:highlight w:val="none"/>
                <w:vertAlign w:val="baseline"/>
                <w:lang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lang w:eastAsia="zh-CN"/>
                <w14:textFill>
                  <w14:solidFill>
                    <w14:schemeClr w14:val="tx1"/>
                  </w14:solidFill>
                </w14:textFill>
              </w:rPr>
              <w:t>市级</w:t>
            </w:r>
            <w:r>
              <w:rPr>
                <w:rStyle w:val="9"/>
                <w:rFonts w:hint="eastAsia" w:ascii="宋体" w:hAnsi="宋体" w:eastAsia="宋体" w:cs="Times New Roman"/>
                <w:b w:val="0"/>
                <w:bCs w:val="0"/>
                <w:color w:val="000000" w:themeColor="text1"/>
                <w:kern w:val="32"/>
                <w:sz w:val="21"/>
                <w:szCs w:val="21"/>
                <w:highlight w:val="none"/>
                <w:vertAlign w:val="baseline"/>
                <w:lang w:eastAsia="zh-CN"/>
                <w14:textFill>
                  <w14:solidFill>
                    <w14:schemeClr w14:val="tx1"/>
                  </w14:solidFill>
                </w14:textFill>
              </w:rPr>
              <w:t>领导干部自然资源资产离任审计及其他相关审计技术服务</w:t>
            </w:r>
          </w:p>
        </w:tc>
        <w:tc>
          <w:tcPr>
            <w:tcW w:w="1166" w:type="dxa"/>
            <w:noWrap w:val="0"/>
            <w:vAlign w:val="center"/>
          </w:tcPr>
          <w:p w14:paraId="5EF6662E">
            <w:pPr>
              <w:pStyle w:val="11"/>
              <w:tabs>
                <w:tab w:val="left" w:pos="1380"/>
              </w:tabs>
              <w:spacing w:line="400" w:lineRule="exact"/>
              <w:jc w:val="center"/>
              <w:outlineLvl w:val="9"/>
              <w:rPr>
                <w:rStyle w:val="9"/>
                <w:rFonts w:hint="default"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151800</w:t>
            </w:r>
          </w:p>
        </w:tc>
        <w:tc>
          <w:tcPr>
            <w:tcW w:w="1281" w:type="dxa"/>
            <w:noWrap w:val="0"/>
            <w:vAlign w:val="center"/>
          </w:tcPr>
          <w:p w14:paraId="531273B5">
            <w:pPr>
              <w:pStyle w:val="11"/>
              <w:tabs>
                <w:tab w:val="left" w:pos="1380"/>
              </w:tabs>
              <w:spacing w:line="240" w:lineRule="auto"/>
              <w:jc w:val="center"/>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内、外业不少于1人</w:t>
            </w:r>
          </w:p>
        </w:tc>
        <w:tc>
          <w:tcPr>
            <w:tcW w:w="3230" w:type="dxa"/>
            <w:noWrap w:val="0"/>
            <w:vAlign w:val="center"/>
          </w:tcPr>
          <w:p w14:paraId="55733ABC">
            <w:pPr>
              <w:pStyle w:val="11"/>
              <w:tabs>
                <w:tab w:val="left" w:pos="1380"/>
              </w:tabs>
              <w:spacing w:line="240" w:lineRule="auto"/>
              <w:jc w:val="center"/>
              <w:outlineLvl w:val="9"/>
              <w:rPr>
                <w:rStyle w:val="9"/>
                <w:rFonts w:hint="default"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内业分析</w:t>
            </w:r>
            <w:r>
              <w:rPr>
                <w:rStyle w:val="9"/>
                <w:rFonts w:hint="eastAsia" w:ascii="宋体" w:hAnsi="宋体" w:cs="Times New Roman"/>
                <w:b w:val="0"/>
                <w:bCs w:val="0"/>
                <w:color w:val="000000" w:themeColor="text1"/>
                <w:kern w:val="32"/>
                <w:sz w:val="21"/>
                <w:szCs w:val="21"/>
                <w:highlight w:val="none"/>
                <w:vertAlign w:val="baseline"/>
                <w:lang w:val="en-US" w:eastAsia="zh-CN"/>
                <w14:textFill>
                  <w14:solidFill>
                    <w14:schemeClr w14:val="tx1"/>
                  </w14:solidFill>
                </w14:textFill>
              </w:rPr>
              <w:t>6</w:t>
            </w: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0</w:t>
            </w:r>
            <w:r>
              <w:rPr>
                <w:rStyle w:val="9"/>
                <w:rFonts w:hint="eastAsia" w:ascii="宋体" w:hAnsi="宋体" w:cs="Times New Roman"/>
                <w:b w:val="0"/>
                <w:bCs w:val="0"/>
                <w:color w:val="000000" w:themeColor="text1"/>
                <w:kern w:val="32"/>
                <w:sz w:val="21"/>
                <w:szCs w:val="21"/>
                <w:highlight w:val="none"/>
                <w:vertAlign w:val="baseline"/>
                <w:lang w:val="en-US" w:eastAsia="zh-CN"/>
                <w14:textFill>
                  <w14:solidFill>
                    <w14:schemeClr w14:val="tx1"/>
                  </w14:solidFill>
                </w14:textFill>
              </w:rPr>
              <w:t>天</w:t>
            </w: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，外业驻场</w:t>
            </w:r>
            <w:r>
              <w:rPr>
                <w:rStyle w:val="9"/>
                <w:rFonts w:hint="eastAsia" w:ascii="宋体" w:hAnsi="宋体" w:cs="Times New Roman"/>
                <w:b w:val="0"/>
                <w:bCs w:val="0"/>
                <w:color w:val="000000" w:themeColor="text1"/>
                <w:kern w:val="32"/>
                <w:sz w:val="21"/>
                <w:szCs w:val="21"/>
                <w:highlight w:val="none"/>
                <w:vertAlign w:val="baseline"/>
                <w:lang w:val="en-US" w:eastAsia="zh-CN"/>
                <w14:textFill>
                  <w14:solidFill>
                    <w14:schemeClr w14:val="tx1"/>
                  </w14:solidFill>
                </w14:textFill>
              </w:rPr>
              <w:t>61天</w:t>
            </w:r>
          </w:p>
        </w:tc>
      </w:tr>
      <w:tr w14:paraId="0E702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3395" w:type="dxa"/>
            <w:noWrap w:val="0"/>
            <w:vAlign w:val="top"/>
          </w:tcPr>
          <w:p w14:paraId="3CD28650">
            <w:pPr>
              <w:pStyle w:val="11"/>
              <w:keepNext/>
              <w:keepLines/>
              <w:pageBreakBefore w:val="0"/>
              <w:widowControl w:val="0"/>
              <w:tabs>
                <w:tab w:val="left" w:pos="1380"/>
              </w:tabs>
              <w:kinsoku/>
              <w:wordWrap/>
              <w:overflowPunct/>
              <w:topLinePunct w:val="0"/>
              <w:autoSpaceDE/>
              <w:autoSpaceDN/>
              <w:bidi w:val="0"/>
              <w:adjustRightInd/>
              <w:snapToGrid/>
              <w:spacing w:line="340" w:lineRule="exact"/>
              <w:jc w:val="center"/>
              <w:textAlignment w:val="auto"/>
              <w:outlineLvl w:val="9"/>
              <w:rPr>
                <w:rStyle w:val="9"/>
                <w:rFonts w:hint="eastAsia" w:ascii="宋体" w:hAnsi="宋体" w:eastAsia="宋体" w:cs="Times New Roman"/>
                <w:b w:val="0"/>
                <w:bCs w:val="0"/>
                <w:color w:val="000000" w:themeColor="text1"/>
                <w:kern w:val="32"/>
                <w:sz w:val="21"/>
                <w:szCs w:val="21"/>
                <w:highlight w:val="none"/>
                <w:vertAlign w:val="baseline"/>
                <w:lang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lang w:eastAsia="zh-CN"/>
                <w14:textFill>
                  <w14:solidFill>
                    <w14:schemeClr w14:val="tx1"/>
                  </w14:solidFill>
                </w14:textFill>
              </w:rPr>
              <w:t>县级</w:t>
            </w:r>
            <w:r>
              <w:rPr>
                <w:rStyle w:val="9"/>
                <w:rFonts w:hint="eastAsia" w:ascii="宋体" w:hAnsi="宋体" w:eastAsia="宋体" w:cs="Times New Roman"/>
                <w:b w:val="0"/>
                <w:bCs w:val="0"/>
                <w:color w:val="000000" w:themeColor="text1"/>
                <w:kern w:val="32"/>
                <w:sz w:val="21"/>
                <w:szCs w:val="21"/>
                <w:highlight w:val="none"/>
                <w:vertAlign w:val="baseline"/>
                <w:lang w:eastAsia="zh-CN"/>
                <w14:textFill>
                  <w14:solidFill>
                    <w14:schemeClr w14:val="tx1"/>
                  </w14:solidFill>
                </w14:textFill>
              </w:rPr>
              <w:t>领导干部自然资源资产离任审计及其他相关审计技术服务</w:t>
            </w:r>
          </w:p>
        </w:tc>
        <w:tc>
          <w:tcPr>
            <w:tcW w:w="1166" w:type="dxa"/>
            <w:noWrap w:val="0"/>
            <w:vAlign w:val="center"/>
          </w:tcPr>
          <w:p w14:paraId="66BA569A">
            <w:pPr>
              <w:pStyle w:val="11"/>
              <w:tabs>
                <w:tab w:val="left" w:pos="1380"/>
              </w:tabs>
              <w:spacing w:line="400" w:lineRule="exact"/>
              <w:jc w:val="center"/>
              <w:outlineLvl w:val="9"/>
              <w:rPr>
                <w:rStyle w:val="9"/>
                <w:rFonts w:hint="default"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91000</w:t>
            </w:r>
          </w:p>
        </w:tc>
        <w:tc>
          <w:tcPr>
            <w:tcW w:w="1281" w:type="dxa"/>
            <w:noWrap w:val="0"/>
            <w:vAlign w:val="center"/>
          </w:tcPr>
          <w:p w14:paraId="5F6A8895">
            <w:pPr>
              <w:pStyle w:val="11"/>
              <w:tabs>
                <w:tab w:val="left" w:pos="1380"/>
              </w:tabs>
              <w:spacing w:line="240" w:lineRule="auto"/>
              <w:jc w:val="center"/>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内、外业不少于1人</w:t>
            </w:r>
          </w:p>
        </w:tc>
        <w:tc>
          <w:tcPr>
            <w:tcW w:w="3230" w:type="dxa"/>
            <w:noWrap w:val="0"/>
            <w:vAlign w:val="center"/>
          </w:tcPr>
          <w:p w14:paraId="669EC2B8">
            <w:pPr>
              <w:pStyle w:val="11"/>
              <w:tabs>
                <w:tab w:val="left" w:pos="1380"/>
              </w:tabs>
              <w:spacing w:line="240" w:lineRule="auto"/>
              <w:jc w:val="center"/>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内业分析50</w:t>
            </w:r>
            <w:r>
              <w:rPr>
                <w:rStyle w:val="9"/>
                <w:rFonts w:hint="eastAsia" w:ascii="宋体" w:hAnsi="宋体" w:cs="Times New Roman"/>
                <w:b w:val="0"/>
                <w:bCs w:val="0"/>
                <w:color w:val="000000" w:themeColor="text1"/>
                <w:kern w:val="32"/>
                <w:sz w:val="21"/>
                <w:szCs w:val="21"/>
                <w:highlight w:val="none"/>
                <w:vertAlign w:val="baseline"/>
                <w:lang w:val="en-US" w:eastAsia="zh-CN"/>
                <w14:textFill>
                  <w14:solidFill>
                    <w14:schemeClr w14:val="tx1"/>
                  </w14:solidFill>
                </w14:textFill>
              </w:rPr>
              <w:t>天</w:t>
            </w: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，外业驻场</w:t>
            </w:r>
            <w:r>
              <w:rPr>
                <w:rStyle w:val="9"/>
                <w:rFonts w:hint="eastAsia" w:ascii="宋体" w:hAnsi="宋体" w:cs="Times New Roman"/>
                <w:b w:val="0"/>
                <w:bCs w:val="0"/>
                <w:color w:val="000000" w:themeColor="text1"/>
                <w:kern w:val="32"/>
                <w:sz w:val="21"/>
                <w:szCs w:val="21"/>
                <w:highlight w:val="none"/>
                <w:vertAlign w:val="baseline"/>
                <w:lang w:val="en-US" w:eastAsia="zh-CN"/>
                <w14:textFill>
                  <w14:solidFill>
                    <w14:schemeClr w14:val="tx1"/>
                  </w14:solidFill>
                </w14:textFill>
              </w:rPr>
              <w:t>31天</w:t>
            </w:r>
          </w:p>
        </w:tc>
      </w:tr>
      <w:tr w14:paraId="13DD1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3395" w:type="dxa"/>
            <w:noWrap w:val="0"/>
            <w:vAlign w:val="center"/>
          </w:tcPr>
          <w:p w14:paraId="1FD64CC5">
            <w:pPr>
              <w:pStyle w:val="11"/>
              <w:tabs>
                <w:tab w:val="left" w:pos="1380"/>
              </w:tabs>
              <w:spacing w:line="400" w:lineRule="exact"/>
              <w:jc w:val="center"/>
              <w:outlineLvl w:val="9"/>
              <w:rPr>
                <w:rStyle w:val="9"/>
                <w:rFonts w:hint="eastAsia" w:ascii="宋体" w:hAnsi="宋体" w:eastAsia="宋体" w:cs="Times New Roman"/>
                <w:b w:val="0"/>
                <w:bCs w:val="0"/>
                <w:color w:val="000000" w:themeColor="text1"/>
                <w:kern w:val="32"/>
                <w:sz w:val="21"/>
                <w:szCs w:val="21"/>
                <w:highlight w:val="none"/>
                <w:lang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lang w:eastAsia="zh-CN"/>
                <w14:textFill>
                  <w14:solidFill>
                    <w14:schemeClr w14:val="tx1"/>
                  </w14:solidFill>
                </w14:textFill>
              </w:rPr>
              <w:t>农业农村项目审计技术服务</w:t>
            </w:r>
          </w:p>
        </w:tc>
        <w:tc>
          <w:tcPr>
            <w:tcW w:w="1166" w:type="dxa"/>
            <w:noWrap w:val="0"/>
            <w:vAlign w:val="center"/>
          </w:tcPr>
          <w:p w14:paraId="1A924A19">
            <w:pPr>
              <w:pStyle w:val="11"/>
              <w:tabs>
                <w:tab w:val="left" w:pos="1380"/>
              </w:tabs>
              <w:spacing w:line="400" w:lineRule="exact"/>
              <w:jc w:val="center"/>
              <w:outlineLvl w:val="9"/>
              <w:rPr>
                <w:rStyle w:val="9"/>
                <w:rFonts w:hint="default"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80500</w:t>
            </w:r>
          </w:p>
        </w:tc>
        <w:tc>
          <w:tcPr>
            <w:tcW w:w="1281" w:type="dxa"/>
            <w:noWrap w:val="0"/>
            <w:vAlign w:val="center"/>
          </w:tcPr>
          <w:p w14:paraId="60954A24">
            <w:pPr>
              <w:pStyle w:val="11"/>
              <w:tabs>
                <w:tab w:val="left" w:pos="1380"/>
              </w:tabs>
              <w:spacing w:line="240" w:lineRule="auto"/>
              <w:jc w:val="center"/>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内、外业不少于1人</w:t>
            </w:r>
          </w:p>
        </w:tc>
        <w:tc>
          <w:tcPr>
            <w:tcW w:w="3230" w:type="dxa"/>
            <w:noWrap w:val="0"/>
            <w:vAlign w:val="center"/>
          </w:tcPr>
          <w:p w14:paraId="7B2A2AA2">
            <w:pPr>
              <w:pStyle w:val="11"/>
              <w:spacing w:line="240" w:lineRule="auto"/>
              <w:jc w:val="center"/>
              <w:outlineLvl w:val="9"/>
              <w:rPr>
                <w:rStyle w:val="9"/>
                <w:rFonts w:hint="default"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内业分析30天，外业驻场30天</w:t>
            </w:r>
          </w:p>
        </w:tc>
      </w:tr>
      <w:tr w14:paraId="17A74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3395" w:type="dxa"/>
            <w:noWrap w:val="0"/>
            <w:vAlign w:val="center"/>
          </w:tcPr>
          <w:p w14:paraId="423AA702">
            <w:pPr>
              <w:pStyle w:val="11"/>
              <w:tabs>
                <w:tab w:val="left" w:pos="1380"/>
              </w:tabs>
              <w:spacing w:line="400" w:lineRule="exact"/>
              <w:jc w:val="center"/>
              <w:outlineLvl w:val="9"/>
              <w:rPr>
                <w:rStyle w:val="9"/>
                <w:rFonts w:hint="default" w:ascii="宋体" w:hAnsi="宋体" w:eastAsia="宋体" w:cs="Times New Roman"/>
                <w:b w:val="0"/>
                <w:bCs w:val="0"/>
                <w:color w:val="000000" w:themeColor="text1"/>
                <w:kern w:val="32"/>
                <w:sz w:val="21"/>
                <w:szCs w:val="21"/>
                <w:highlight w:val="none"/>
                <w:lang w:val="en-US" w:eastAsia="zh-CN"/>
                <w14:textFill>
                  <w14:solidFill>
                    <w14:schemeClr w14:val="tx1"/>
                  </w14:solidFill>
                </w14:textFill>
              </w:rPr>
            </w:pPr>
            <w:r>
              <w:rPr>
                <w:rStyle w:val="9"/>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主权外贷和援款项目审计技术服务</w:t>
            </w:r>
          </w:p>
        </w:tc>
        <w:tc>
          <w:tcPr>
            <w:tcW w:w="1166" w:type="dxa"/>
            <w:noWrap w:val="0"/>
            <w:vAlign w:val="center"/>
          </w:tcPr>
          <w:p w14:paraId="4B00E98E">
            <w:pPr>
              <w:pStyle w:val="11"/>
              <w:tabs>
                <w:tab w:val="left" w:pos="1380"/>
              </w:tabs>
              <w:spacing w:line="400" w:lineRule="exact"/>
              <w:jc w:val="center"/>
              <w:outlineLvl w:val="9"/>
              <w:rPr>
                <w:rStyle w:val="9"/>
                <w:rFonts w:hint="default"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21000</w:t>
            </w:r>
          </w:p>
        </w:tc>
        <w:tc>
          <w:tcPr>
            <w:tcW w:w="1281" w:type="dxa"/>
            <w:noWrap w:val="0"/>
            <w:vAlign w:val="center"/>
          </w:tcPr>
          <w:p w14:paraId="2688504F">
            <w:pPr>
              <w:pStyle w:val="11"/>
              <w:tabs>
                <w:tab w:val="left" w:pos="1380"/>
              </w:tabs>
              <w:spacing w:line="240" w:lineRule="auto"/>
              <w:jc w:val="center"/>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内、外业不少于1人</w:t>
            </w:r>
          </w:p>
        </w:tc>
        <w:tc>
          <w:tcPr>
            <w:tcW w:w="3230" w:type="dxa"/>
            <w:noWrap w:val="0"/>
            <w:vAlign w:val="center"/>
          </w:tcPr>
          <w:p w14:paraId="6EF827BC">
            <w:pPr>
              <w:pStyle w:val="11"/>
              <w:spacing w:line="240" w:lineRule="auto"/>
              <w:jc w:val="center"/>
              <w:outlineLvl w:val="9"/>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pPr>
            <w:r>
              <w:rPr>
                <w:rStyle w:val="9"/>
                <w:rFonts w:hint="eastAsia" w:ascii="宋体" w:hAnsi="宋体" w:eastAsia="宋体" w:cs="Times New Roman"/>
                <w:b w:val="0"/>
                <w:bCs w:val="0"/>
                <w:color w:val="000000" w:themeColor="text1"/>
                <w:kern w:val="32"/>
                <w:sz w:val="21"/>
                <w:szCs w:val="21"/>
                <w:highlight w:val="none"/>
                <w:vertAlign w:val="baseline"/>
                <w:lang w:val="en-US" w:eastAsia="zh-CN"/>
                <w14:textFill>
                  <w14:solidFill>
                    <w14:schemeClr w14:val="tx1"/>
                  </w14:solidFill>
                </w14:textFill>
              </w:rPr>
              <w:t>内业分析5天，外业驻场7天</w:t>
            </w:r>
          </w:p>
        </w:tc>
      </w:tr>
    </w:tbl>
    <w:p w14:paraId="43AA7894">
      <w:pPr>
        <w:pStyle w:val="11"/>
        <w:tabs>
          <w:tab w:val="left" w:pos="1380"/>
        </w:tabs>
        <w:spacing w:line="400" w:lineRule="exact"/>
        <w:outlineLvl w:val="9"/>
        <w:rPr>
          <w:rFonts w:hint="eastAsia"/>
          <w:b/>
          <w:color w:val="000000" w:themeColor="text1"/>
          <w:sz w:val="24"/>
          <w:highlight w:val="none"/>
          <w14:textFill>
            <w14:solidFill>
              <w14:schemeClr w14:val="tx1"/>
            </w14:solidFill>
          </w14:textFill>
        </w:rPr>
      </w:pPr>
      <w:r>
        <w:rPr>
          <w:rStyle w:val="9"/>
          <w:rFonts w:hint="eastAsia" w:ascii="宋体" w:hAnsi="宋体" w:eastAsia="宋体" w:cs="Times New Roman"/>
          <w:color w:val="000000" w:themeColor="text1"/>
          <w:kern w:val="32"/>
          <w:sz w:val="21"/>
          <w:szCs w:val="21"/>
          <w:highlight w:val="none"/>
          <w14:textFill>
            <w14:solidFill>
              <w14:schemeClr w14:val="tx1"/>
            </w14:solidFill>
          </w14:textFill>
        </w:rPr>
        <w:t>注：★1、各</w:t>
      </w:r>
      <w:r>
        <w:rPr>
          <w:rStyle w:val="9"/>
          <w:rFonts w:hint="eastAsia" w:ascii="宋体" w:hAnsi="宋体" w:eastAsia="宋体" w:cs="Times New Roman"/>
          <w:color w:val="000000" w:themeColor="text1"/>
          <w:kern w:val="32"/>
          <w:sz w:val="21"/>
          <w:szCs w:val="21"/>
          <w:highlight w:val="none"/>
          <w:lang w:eastAsia="zh-CN"/>
          <w14:textFill>
            <w14:solidFill>
              <w14:schemeClr w14:val="tx1"/>
            </w14:solidFill>
          </w14:textFill>
        </w:rPr>
        <w:t>投标人</w:t>
      </w:r>
      <w:r>
        <w:rPr>
          <w:rStyle w:val="9"/>
          <w:rFonts w:hint="eastAsia" w:ascii="宋体" w:hAnsi="宋体" w:eastAsia="宋体" w:cs="Times New Roman"/>
          <w:color w:val="000000" w:themeColor="text1"/>
          <w:kern w:val="32"/>
          <w:sz w:val="21"/>
          <w:szCs w:val="21"/>
          <w:highlight w:val="none"/>
          <w14:textFill>
            <w14:solidFill>
              <w14:schemeClr w14:val="tx1"/>
            </w14:solidFill>
          </w14:textFill>
        </w:rPr>
        <w:t>的</w:t>
      </w:r>
      <w:r>
        <w:rPr>
          <w:rStyle w:val="9"/>
          <w:rFonts w:hint="eastAsia" w:ascii="宋体" w:hAnsi="宋体" w:eastAsia="宋体" w:cs="Times New Roman"/>
          <w:color w:val="000000" w:themeColor="text1"/>
          <w:kern w:val="32"/>
          <w:sz w:val="21"/>
          <w:szCs w:val="21"/>
          <w:highlight w:val="none"/>
          <w:lang w:eastAsia="zh-CN"/>
          <w14:textFill>
            <w14:solidFill>
              <w14:schemeClr w14:val="tx1"/>
            </w14:solidFill>
          </w14:textFill>
        </w:rPr>
        <w:t>分项</w:t>
      </w:r>
      <w:r>
        <w:rPr>
          <w:rStyle w:val="9"/>
          <w:rFonts w:hint="eastAsia" w:ascii="宋体" w:hAnsi="宋体" w:eastAsia="宋体" w:cs="Times New Roman"/>
          <w:color w:val="000000" w:themeColor="text1"/>
          <w:kern w:val="32"/>
          <w:sz w:val="21"/>
          <w:szCs w:val="21"/>
          <w:highlight w:val="none"/>
          <w14:textFill>
            <w14:solidFill>
              <w14:schemeClr w14:val="tx1"/>
            </w14:solidFill>
          </w14:textFill>
        </w:rPr>
        <w:t>报</w:t>
      </w:r>
      <w:r>
        <w:rPr>
          <w:rStyle w:val="9"/>
          <w:rFonts w:hint="eastAsia" w:ascii="宋体" w:hAnsi="宋体" w:eastAsia="宋体" w:cs="Times New Roman"/>
          <w:b/>
          <w:bCs/>
          <w:color w:val="000000" w:themeColor="text1"/>
          <w:kern w:val="32"/>
          <w:sz w:val="21"/>
          <w:szCs w:val="21"/>
          <w:highlight w:val="none"/>
          <w14:textFill>
            <w14:solidFill>
              <w14:schemeClr w14:val="tx1"/>
            </w14:solidFill>
          </w14:textFill>
        </w:rPr>
        <w:t>价</w:t>
      </w:r>
      <w:r>
        <w:rPr>
          <w:rStyle w:val="9"/>
          <w:rFonts w:hint="eastAsia" w:ascii="宋体" w:hAnsi="宋体" w:eastAsia="宋体" w:cs="Times New Roman"/>
          <w:b/>
          <w:bCs/>
          <w:color w:val="000000" w:themeColor="text1"/>
          <w:kern w:val="32"/>
          <w:sz w:val="21"/>
          <w:szCs w:val="21"/>
          <w:highlight w:val="none"/>
          <w:lang w:eastAsia="zh-CN"/>
          <w14:textFill>
            <w14:solidFill>
              <w14:schemeClr w14:val="tx1"/>
            </w14:solidFill>
          </w14:textFill>
        </w:rPr>
        <w:t>不得</w:t>
      </w:r>
      <w:r>
        <w:rPr>
          <w:rStyle w:val="9"/>
          <w:rFonts w:hint="eastAsia" w:ascii="宋体" w:hAnsi="宋体" w:eastAsia="宋体" w:cs="Times New Roman"/>
          <w:b/>
          <w:bCs/>
          <w:color w:val="000000" w:themeColor="text1"/>
          <w:kern w:val="32"/>
          <w:sz w:val="21"/>
          <w:szCs w:val="21"/>
          <w:highlight w:val="none"/>
          <w14:textFill>
            <w14:solidFill>
              <w14:schemeClr w14:val="tx1"/>
            </w14:solidFill>
          </w14:textFill>
        </w:rPr>
        <w:t>超过</w:t>
      </w:r>
      <w:r>
        <w:rPr>
          <w:rStyle w:val="9"/>
          <w:rFonts w:hint="eastAsia" w:ascii="宋体" w:hAnsi="宋体" w:eastAsia="宋体" w:cs="Times New Roman"/>
          <w:b/>
          <w:bCs/>
          <w:color w:val="000000" w:themeColor="text1"/>
          <w:kern w:val="32"/>
          <w:sz w:val="21"/>
          <w:szCs w:val="21"/>
          <w:highlight w:val="none"/>
          <w:lang w:eastAsia="zh-CN"/>
          <w14:textFill>
            <w14:solidFill>
              <w14:schemeClr w14:val="tx1"/>
            </w14:solidFill>
          </w14:textFill>
        </w:rPr>
        <w:t>以上分项报价最高限价</w:t>
      </w:r>
      <w:r>
        <w:rPr>
          <w:rStyle w:val="9"/>
          <w:rFonts w:hint="eastAsia" w:ascii="宋体" w:hAnsi="宋体" w:eastAsia="宋体" w:cs="Times New Roman"/>
          <w:b/>
          <w:bCs/>
          <w:color w:val="000000" w:themeColor="text1"/>
          <w:kern w:val="32"/>
          <w:sz w:val="21"/>
          <w:szCs w:val="21"/>
          <w:highlight w:val="none"/>
          <w14:textFill>
            <w14:solidFill>
              <w14:schemeClr w14:val="tx1"/>
            </w14:solidFill>
          </w14:textFill>
        </w:rPr>
        <w:t>，</w:t>
      </w:r>
      <w:r>
        <w:rPr>
          <w:rStyle w:val="9"/>
          <w:rFonts w:hint="eastAsia" w:ascii="宋体" w:hAnsi="宋体" w:eastAsia="宋体" w:cs="Times New Roman"/>
          <w:b/>
          <w:bCs/>
          <w:color w:val="000000" w:themeColor="text1"/>
          <w:kern w:val="32"/>
          <w:sz w:val="21"/>
          <w:szCs w:val="21"/>
          <w:highlight w:val="none"/>
          <w:lang w:val="en-US" w:eastAsia="zh-CN"/>
          <w14:textFill>
            <w14:solidFill>
              <w14:schemeClr w14:val="tx1"/>
            </w14:solidFill>
          </w14:textFill>
        </w:rPr>
        <w:t>否则</w:t>
      </w:r>
      <w:r>
        <w:rPr>
          <w:rStyle w:val="9"/>
          <w:rFonts w:hint="eastAsia" w:ascii="宋体" w:hAnsi="宋体" w:eastAsia="宋体" w:cs="Times New Roman"/>
          <w:b/>
          <w:bCs/>
          <w:color w:val="000000" w:themeColor="text1"/>
          <w:kern w:val="32"/>
          <w:sz w:val="21"/>
          <w:szCs w:val="21"/>
          <w:highlight w:val="none"/>
          <w14:textFill>
            <w14:solidFill>
              <w14:schemeClr w14:val="tx1"/>
            </w14:solidFill>
          </w14:textFill>
        </w:rPr>
        <w:t>视为无效投标。</w:t>
      </w:r>
    </w:p>
    <w:p w14:paraId="04183068">
      <w:pPr>
        <w:spacing w:line="360" w:lineRule="auto"/>
        <w:ind w:firstLine="442" w:firstLineChars="200"/>
        <w:outlineLvl w:val="2"/>
        <w:rPr>
          <w:rFonts w:hint="eastAsia" w:ascii="Times New Roman" w:hAnsi="Times New Roman" w:eastAsia="宋体" w:cs="Times New Roman"/>
          <w:b/>
          <w:bCs w:val="0"/>
          <w:color w:val="000000" w:themeColor="text1"/>
          <w:sz w:val="22"/>
          <w:szCs w:val="22"/>
          <w:highlight w:val="none"/>
          <w14:textFill>
            <w14:solidFill>
              <w14:schemeClr w14:val="tx1"/>
            </w14:solidFill>
          </w14:textFill>
        </w:rPr>
      </w:pPr>
      <w:r>
        <w:rPr>
          <w:rFonts w:hint="eastAsia" w:ascii="Times New Roman" w:hAnsi="Times New Roman" w:eastAsia="宋体" w:cs="Times New Roman"/>
          <w:b/>
          <w:bCs w:val="0"/>
          <w:color w:val="000000" w:themeColor="text1"/>
          <w:sz w:val="22"/>
          <w:szCs w:val="22"/>
          <w:highlight w:val="none"/>
          <w:lang w:val="en-US" w:eastAsia="zh-CN"/>
          <w14:textFill>
            <w14:solidFill>
              <w14:schemeClr w14:val="tx1"/>
            </w14:solidFill>
          </w14:textFill>
        </w:rPr>
        <w:t>2</w:t>
      </w:r>
      <w:r>
        <w:rPr>
          <w:rFonts w:hint="eastAsia" w:ascii="Times New Roman" w:hAnsi="Times New Roman" w:eastAsia="宋体" w:cs="Times New Roman"/>
          <w:b/>
          <w:bCs w:val="0"/>
          <w:color w:val="000000" w:themeColor="text1"/>
          <w:sz w:val="22"/>
          <w:szCs w:val="22"/>
          <w:highlight w:val="none"/>
          <w14:textFill>
            <w14:solidFill>
              <w14:schemeClr w14:val="tx1"/>
            </w14:solidFill>
          </w14:textFill>
        </w:rPr>
        <w:t>、服务范围</w:t>
      </w:r>
    </w:p>
    <w:p w14:paraId="15A6CD0E">
      <w:pPr>
        <w:spacing w:line="360" w:lineRule="auto"/>
        <w:ind w:firstLine="420" w:firstLineChars="200"/>
        <w:outlineLvl w:val="2"/>
        <w:rPr>
          <w:rStyle w:val="9"/>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pPr>
      <w:r>
        <w:rPr>
          <w:rStyle w:val="9"/>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为我厅组织实施的领导干部自然资源资产离任审计以及审计署、省委审计委员会安排的</w:t>
      </w:r>
      <w:r>
        <w:rPr>
          <w:rStyle w:val="9"/>
          <w:rFonts w:hint="eastAsia" w:ascii="宋体" w:hAnsi="宋体" w:eastAsia="宋体" w:cs="Times New Roman"/>
          <w:b w:val="0"/>
          <w:bCs w:val="0"/>
          <w:color w:val="000000" w:themeColor="text1"/>
          <w:kern w:val="32"/>
          <w:sz w:val="21"/>
          <w:szCs w:val="21"/>
          <w:highlight w:val="none"/>
          <w:lang w:eastAsia="zh-CN"/>
          <w14:textFill>
            <w14:solidFill>
              <w14:schemeClr w14:val="tx1"/>
            </w14:solidFill>
          </w14:textFill>
        </w:rPr>
        <w:t>农业农村项目审计</w:t>
      </w:r>
      <w:r>
        <w:rPr>
          <w:rStyle w:val="9"/>
          <w:rFonts w:hint="eastAsia" w:ascii="宋体" w:hAnsi="宋体" w:eastAsia="宋体" w:cs="宋体"/>
          <w:color w:val="000000" w:themeColor="text1"/>
          <w:kern w:val="2"/>
          <w:sz w:val="21"/>
          <w:szCs w:val="21"/>
          <w:highlight w:val="none"/>
          <w:lang w:val="en-US" w:eastAsia="zh-CN" w:bidi="ar"/>
          <w14:textFill>
            <w14:solidFill>
              <w14:schemeClr w14:val="tx1"/>
            </w14:solidFill>
          </w14:textFill>
        </w:rPr>
        <w:t>、主权外贷和援款项目审计等提供地理信息技术服务</w:t>
      </w:r>
    </w:p>
    <w:p w14:paraId="76067EAD">
      <w:pPr>
        <w:spacing w:line="360" w:lineRule="auto"/>
        <w:ind w:firstLine="442" w:firstLineChars="200"/>
        <w:outlineLvl w:val="2"/>
        <w:rPr>
          <w:rFonts w:hint="eastAsia"/>
          <w:b/>
          <w:color w:val="000000" w:themeColor="text1"/>
          <w:sz w:val="22"/>
          <w:szCs w:val="22"/>
          <w:highlight w:val="none"/>
          <w14:textFill>
            <w14:solidFill>
              <w14:schemeClr w14:val="tx1"/>
            </w14:solidFill>
          </w14:textFill>
        </w:rPr>
      </w:pPr>
      <w:r>
        <w:rPr>
          <w:rFonts w:hint="eastAsia"/>
          <w:b/>
          <w:color w:val="000000" w:themeColor="text1"/>
          <w:sz w:val="22"/>
          <w:szCs w:val="22"/>
          <w:highlight w:val="none"/>
          <w:lang w:val="en-US" w:eastAsia="zh-CN"/>
          <w14:textFill>
            <w14:solidFill>
              <w14:schemeClr w14:val="tx1"/>
            </w14:solidFill>
          </w14:textFill>
        </w:rPr>
        <w:t>3</w:t>
      </w:r>
      <w:r>
        <w:rPr>
          <w:rFonts w:hint="eastAsia"/>
          <w:b/>
          <w:color w:val="000000" w:themeColor="text1"/>
          <w:sz w:val="22"/>
          <w:szCs w:val="22"/>
          <w:highlight w:val="none"/>
          <w14:textFill>
            <w14:solidFill>
              <w14:schemeClr w14:val="tx1"/>
            </w14:solidFill>
          </w14:textFill>
        </w:rPr>
        <w:t>、具体服务内容</w:t>
      </w:r>
    </w:p>
    <w:p w14:paraId="4921651B">
      <w:pPr>
        <w:spacing w:line="400" w:lineRule="exact"/>
        <w:ind w:firstLine="420" w:firstLineChars="20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本项目工作内容主要包含数据采集整理、内业处理、外业核查、成果分析、审计复核等。</w:t>
      </w:r>
    </w:p>
    <w:p w14:paraId="2F7D94E8">
      <w:pPr>
        <w:pStyle w:val="6"/>
        <w:spacing w:before="0" w:after="0" w:line="360" w:lineRule="auto"/>
        <w:ind w:firstLine="422" w:firstLineChars="200"/>
        <w:rPr>
          <w:rFonts w:hint="eastAsia" w:ascii="宋体" w:hAnsi="宋体" w:eastAsia="宋体"/>
          <w:color w:val="000000" w:themeColor="text1"/>
          <w:sz w:val="21"/>
          <w:szCs w:val="24"/>
          <w:highlight w:val="none"/>
          <w14:textFill>
            <w14:solidFill>
              <w14:schemeClr w14:val="tx1"/>
            </w14:solidFill>
          </w14:textFill>
        </w:rPr>
      </w:pPr>
      <w:r>
        <w:rPr>
          <w:rFonts w:hint="eastAsia" w:ascii="宋体" w:hAnsi="宋体" w:eastAsia="宋体"/>
          <w:color w:val="000000" w:themeColor="text1"/>
          <w:sz w:val="21"/>
          <w:szCs w:val="24"/>
          <w:highlight w:val="none"/>
          <w:lang w:val="en-US" w:eastAsia="zh-CN"/>
          <w14:textFill>
            <w14:solidFill>
              <w14:schemeClr w14:val="tx1"/>
            </w14:solidFill>
          </w14:textFill>
        </w:rPr>
        <w:t>3</w:t>
      </w:r>
      <w:r>
        <w:rPr>
          <w:rFonts w:hint="eastAsia" w:ascii="宋体" w:hAnsi="宋体" w:eastAsia="宋体"/>
          <w:color w:val="000000" w:themeColor="text1"/>
          <w:sz w:val="21"/>
          <w:szCs w:val="24"/>
          <w:highlight w:val="none"/>
          <w14:textFill>
            <w14:solidFill>
              <w14:schemeClr w14:val="tx1"/>
            </w14:solidFill>
          </w14:textFill>
        </w:rPr>
        <w:t>.1数据采集整理</w:t>
      </w:r>
    </w:p>
    <w:p w14:paraId="76F9EE89">
      <w:pPr>
        <w:spacing w:line="400" w:lineRule="exact"/>
        <w:ind w:firstLine="420" w:firstLineChars="200"/>
        <w:rPr>
          <w:rFonts w:hint="eastAsia"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采集省级自然资源</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农业农村</w:t>
      </w:r>
      <w:r>
        <w:rPr>
          <w:rFonts w:hint="eastAsia" w:ascii="宋体" w:hAnsi="宋体" w:cs="宋体"/>
          <w:color w:val="000000" w:themeColor="text1"/>
          <w:szCs w:val="21"/>
          <w:highlight w:val="none"/>
          <w:lang w:eastAsia="zh-CN"/>
          <w14:textFill>
            <w14:solidFill>
              <w14:schemeClr w14:val="tx1"/>
            </w14:solidFill>
          </w14:textFill>
        </w:rPr>
        <w:t>、</w:t>
      </w:r>
      <w:r>
        <w:rPr>
          <w:rFonts w:ascii="宋体" w:hAnsi="宋体" w:cs="宋体"/>
          <w:color w:val="000000" w:themeColor="text1"/>
          <w:szCs w:val="21"/>
          <w:highlight w:val="none"/>
          <w14:textFill>
            <w14:solidFill>
              <w14:schemeClr w14:val="tx1"/>
            </w14:solidFill>
          </w14:textFill>
        </w:rPr>
        <w:t>生态环境管理相关部门的基础数据，包括年度工作要点、上级督察问题清单、通报约谈内容等业务数据，以及土地整治、闲置土地、违法用地、水体整治、矿山环境治理、</w:t>
      </w:r>
      <w:r>
        <w:rPr>
          <w:rFonts w:hint="eastAsia" w:ascii="宋体" w:hAnsi="宋体" w:cs="宋体"/>
          <w:color w:val="000000" w:themeColor="text1"/>
          <w:szCs w:val="21"/>
          <w:highlight w:val="none"/>
          <w:lang w:val="en-US" w:eastAsia="zh-CN"/>
          <w14:textFill>
            <w14:solidFill>
              <w14:schemeClr w14:val="tx1"/>
            </w14:solidFill>
          </w14:textFill>
        </w:rPr>
        <w:t>涉农与</w:t>
      </w:r>
      <w:r>
        <w:rPr>
          <w:rFonts w:ascii="宋体" w:hAnsi="宋体" w:cs="宋体"/>
          <w:color w:val="000000" w:themeColor="text1"/>
          <w:szCs w:val="21"/>
          <w:highlight w:val="none"/>
          <w14:textFill>
            <w14:solidFill>
              <w14:schemeClr w14:val="tx1"/>
            </w14:solidFill>
          </w14:textFill>
        </w:rPr>
        <w:t>造林工程</w:t>
      </w:r>
      <w:r>
        <w:rPr>
          <w:rFonts w:hint="eastAsia" w:ascii="宋体" w:hAnsi="宋体" w:cs="宋体"/>
          <w:color w:val="000000" w:themeColor="text1"/>
          <w:szCs w:val="21"/>
          <w:highlight w:val="none"/>
          <w:lang w:val="en-US" w:eastAsia="zh-CN"/>
          <w14:textFill>
            <w14:solidFill>
              <w14:schemeClr w14:val="tx1"/>
            </w14:solidFill>
          </w14:textFill>
        </w:rPr>
        <w:t>项目</w:t>
      </w:r>
      <w:r>
        <w:rPr>
          <w:rFonts w:ascii="宋体" w:hAnsi="宋体" w:cs="宋体"/>
          <w:color w:val="000000" w:themeColor="text1"/>
          <w:szCs w:val="21"/>
          <w:highlight w:val="none"/>
          <w14:textFill>
            <w14:solidFill>
              <w14:schemeClr w14:val="tx1"/>
            </w14:solidFill>
          </w14:textFill>
        </w:rPr>
        <w:t>等重点工作的资料，并整理相关矢量数据和业务数据。</w:t>
      </w:r>
    </w:p>
    <w:p w14:paraId="0086CEA1">
      <w:pPr>
        <w:spacing w:line="400" w:lineRule="exact"/>
        <w:ind w:firstLine="420" w:firstLineChars="200"/>
        <w:outlineLvl w:val="4"/>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（1）高分辨率影像数据</w:t>
      </w:r>
    </w:p>
    <w:p w14:paraId="48DE66F4">
      <w:pPr>
        <w:spacing w:line="400" w:lineRule="exact"/>
        <w:ind w:firstLine="420" w:firstLineChars="200"/>
        <w:outlineLvl w:val="9"/>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卫星影像数据源主要包括分辨率优于1.0m的GF2、GF7、JL1等数据，作为技术服务的主要遥感影像资料。 </w:t>
      </w:r>
    </w:p>
    <w:p w14:paraId="0CA2C694">
      <w:pPr>
        <w:spacing w:line="400" w:lineRule="exact"/>
        <w:ind w:firstLine="420" w:firstLineChars="200"/>
        <w:outlineLvl w:val="4"/>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（2）业务管理系统基础数据</w:t>
      </w:r>
    </w:p>
    <w:p w14:paraId="15117284">
      <w:pPr>
        <w:spacing w:line="400" w:lineRule="exact"/>
        <w:ind w:firstLine="420" w:firstLineChars="200"/>
        <w:rPr>
          <w:rFonts w:hint="eastAsia"/>
          <w:color w:val="000000" w:themeColor="text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t>在省级部门单位业务管理数据支持下，协助审计组根据审计对象特点完善资料收集。工作涵盖自然资源、</w:t>
      </w:r>
      <w:r>
        <w:rPr>
          <w:rFonts w:hint="eastAsia" w:ascii="宋体" w:hAnsi="宋体" w:cs="宋体"/>
          <w:color w:val="000000" w:themeColor="text1"/>
          <w:szCs w:val="21"/>
          <w:highlight w:val="none"/>
          <w:lang w:val="en-US" w:eastAsia="zh-CN"/>
          <w14:textFill>
            <w14:solidFill>
              <w14:schemeClr w14:val="tx1"/>
            </w14:solidFill>
          </w14:textFill>
        </w:rPr>
        <w:t>农业农村、</w:t>
      </w:r>
      <w:r>
        <w:rPr>
          <w:rFonts w:ascii="宋体" w:hAnsi="宋体" w:cs="宋体"/>
          <w:color w:val="000000" w:themeColor="text1"/>
          <w:szCs w:val="21"/>
          <w:highlight w:val="none"/>
          <w14:textFill>
            <w14:solidFill>
              <w14:schemeClr w14:val="tx1"/>
            </w14:solidFill>
          </w14:textFill>
        </w:rPr>
        <w:t>生态环境保护调查、</w:t>
      </w:r>
      <w:r>
        <w:rPr>
          <w:rFonts w:hint="eastAsia" w:ascii="宋体" w:hAnsi="宋体" w:cs="宋体"/>
          <w:color w:val="000000" w:themeColor="text1"/>
          <w:szCs w:val="21"/>
          <w:highlight w:val="none"/>
          <w:lang w:val="en-US" w:eastAsia="zh-CN"/>
          <w14:textFill>
            <w14:solidFill>
              <w14:schemeClr w14:val="tx1"/>
            </w14:solidFill>
          </w14:textFill>
        </w:rPr>
        <w:t>贷援款项目</w:t>
      </w:r>
      <w:r>
        <w:rPr>
          <w:rFonts w:ascii="宋体" w:hAnsi="宋体" w:cs="宋体"/>
          <w:color w:val="000000" w:themeColor="text1"/>
          <w:szCs w:val="21"/>
          <w:highlight w:val="none"/>
          <w14:textFill>
            <w14:solidFill>
              <w14:schemeClr w14:val="tx1"/>
            </w14:solidFill>
          </w14:textFill>
        </w:rPr>
        <w:t>、行政管理及专项项目资料，涉及自然资源局</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农业农村局、林业局</w:t>
      </w:r>
      <w:r>
        <w:rPr>
          <w:rFonts w:ascii="宋体" w:hAnsi="宋体" w:cs="宋体"/>
          <w:color w:val="000000" w:themeColor="text1"/>
          <w:szCs w:val="21"/>
          <w:highlight w:val="none"/>
          <w14:textFill>
            <w14:solidFill>
              <w14:schemeClr w14:val="tx1"/>
            </w14:solidFill>
          </w14:textFill>
        </w:rPr>
        <w:t>等多个部门。资料为矢量电子数据，包括CAD、MapGIS、ArcGIS等格式。</w:t>
      </w:r>
    </w:p>
    <w:p w14:paraId="533AA27C">
      <w:pPr>
        <w:pStyle w:val="6"/>
        <w:spacing w:before="0" w:after="0" w:line="360" w:lineRule="auto"/>
        <w:ind w:firstLine="422" w:firstLineChars="200"/>
        <w:rPr>
          <w:rFonts w:hint="eastAsia" w:ascii="宋体" w:hAnsi="宋体" w:eastAsia="宋体"/>
          <w:color w:val="000000" w:themeColor="text1"/>
          <w:sz w:val="21"/>
          <w:szCs w:val="24"/>
          <w:highlight w:val="none"/>
          <w14:textFill>
            <w14:solidFill>
              <w14:schemeClr w14:val="tx1"/>
            </w14:solidFill>
          </w14:textFill>
        </w:rPr>
      </w:pPr>
      <w:r>
        <w:rPr>
          <w:rFonts w:hint="eastAsia" w:ascii="宋体" w:hAnsi="宋体" w:eastAsia="宋体"/>
          <w:color w:val="000000" w:themeColor="text1"/>
          <w:sz w:val="21"/>
          <w:szCs w:val="24"/>
          <w:highlight w:val="none"/>
          <w:lang w:val="en-US" w:eastAsia="zh-CN"/>
          <w14:textFill>
            <w14:solidFill>
              <w14:schemeClr w14:val="tx1"/>
            </w14:solidFill>
          </w14:textFill>
        </w:rPr>
        <w:t>3</w:t>
      </w:r>
      <w:r>
        <w:rPr>
          <w:rFonts w:hint="eastAsia" w:ascii="宋体" w:hAnsi="宋体" w:eastAsia="宋体"/>
          <w:color w:val="000000" w:themeColor="text1"/>
          <w:sz w:val="21"/>
          <w:szCs w:val="24"/>
          <w:highlight w:val="none"/>
          <w14:textFill>
            <w14:solidFill>
              <w14:schemeClr w14:val="tx1"/>
            </w14:solidFill>
          </w14:textFill>
        </w:rPr>
        <w:t>.2内业处理</w:t>
      </w:r>
    </w:p>
    <w:p w14:paraId="44B96C98">
      <w:pPr>
        <w:spacing w:line="400" w:lineRule="exact"/>
        <w:ind w:firstLine="420" w:firstLineChars="20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根据自然资源内业处理内容不同，大致分为影像判读、套合比对和数据叠加三种技术路线，对土地资源、森林资源、水资源、湿地资源、矿产资源、生态环境开发利用和保</w:t>
      </w:r>
      <w:r>
        <w:rPr>
          <w:rFonts w:hint="eastAsia" w:ascii="宋体" w:hAnsi="宋体" w:cs="宋体"/>
          <w:color w:val="000000" w:themeColor="text1"/>
          <w:szCs w:val="21"/>
          <w:highlight w:val="none"/>
          <w:lang w:eastAsia="zh-CN" w:bidi="ar"/>
          <w14:textFill>
            <w14:solidFill>
              <w14:schemeClr w14:val="tx1"/>
            </w14:solidFill>
          </w14:textFill>
        </w:rPr>
        <w:t>、</w:t>
      </w:r>
      <w:r>
        <w:rPr>
          <w:rFonts w:hint="eastAsia" w:ascii="宋体" w:hAnsi="宋体" w:cs="宋体"/>
          <w:color w:val="000000" w:themeColor="text1"/>
          <w:szCs w:val="21"/>
          <w:highlight w:val="none"/>
          <w:lang w:val="en-US" w:eastAsia="zh-CN" w:bidi="ar"/>
          <w14:textFill>
            <w14:solidFill>
              <w14:schemeClr w14:val="tx1"/>
            </w14:solidFill>
          </w14:textFill>
        </w:rPr>
        <w:t>涉农项目和贷援款项目实施</w:t>
      </w:r>
      <w:r>
        <w:rPr>
          <w:rFonts w:hint="eastAsia" w:ascii="宋体" w:hAnsi="宋体" w:cs="宋体"/>
          <w:color w:val="000000" w:themeColor="text1"/>
          <w:szCs w:val="21"/>
          <w:highlight w:val="none"/>
          <w:lang w:bidi="ar"/>
          <w14:textFill>
            <w14:solidFill>
              <w14:schemeClr w14:val="tx1"/>
            </w14:solidFill>
          </w14:textFill>
        </w:rPr>
        <w:t>、审计整改护情况进行甄别，</w:t>
      </w:r>
      <w:r>
        <w:rPr>
          <w:rFonts w:hint="eastAsia" w:ascii="宋体" w:hAnsi="宋体" w:cs="宋体"/>
          <w:color w:val="000000" w:themeColor="text1"/>
          <w:szCs w:val="21"/>
          <w:highlight w:val="none"/>
          <w:lang w:val="en-US" w:eastAsia="zh-CN" w:bidi="ar"/>
          <w14:textFill>
            <w14:solidFill>
              <w14:schemeClr w14:val="tx1"/>
            </w14:solidFill>
          </w14:textFill>
        </w:rPr>
        <w:t>发现自然资源管理和生态环境保护、农业农村、主权外贷和援款等相关项目实施存在的问题</w:t>
      </w:r>
      <w:r>
        <w:rPr>
          <w:rFonts w:hint="eastAsia" w:ascii="宋体" w:hAnsi="宋体" w:cs="宋体"/>
          <w:color w:val="000000" w:themeColor="text1"/>
          <w:szCs w:val="21"/>
          <w:highlight w:val="none"/>
          <w:lang w:bidi="ar"/>
          <w14:textFill>
            <w14:solidFill>
              <w14:schemeClr w14:val="tx1"/>
            </w14:solidFill>
          </w14:textFill>
        </w:rPr>
        <w:t>。</w:t>
      </w:r>
    </w:p>
    <w:p w14:paraId="05CE8615">
      <w:pPr>
        <w:spacing w:line="400" w:lineRule="exact"/>
        <w:ind w:firstLine="420" w:firstLineChars="200"/>
        <w:outlineLvl w:val="4"/>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1. 耕地资源变化监测</w:t>
      </w:r>
    </w:p>
    <w:p w14:paraId="1C511233">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目标：识别耕地面积变化及违规占用情况。</w:t>
      </w:r>
    </w:p>
    <w:p w14:paraId="5A1558AB">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数据与叠加分析：</w:t>
      </w:r>
    </w:p>
    <w:p w14:paraId="36BE7F66">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获取离任前后两个时期的耕地分布数据（如遥感影像），叠加分析耕地减少区域。</w:t>
      </w:r>
    </w:p>
    <w:p w14:paraId="12EBF933">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将耕地减少区域与土地利用规划数据（如基本农田保护区边界）叠加，识别违规占用区域。</w:t>
      </w:r>
    </w:p>
    <w:p w14:paraId="13B58E9E">
      <w:pPr>
        <w:spacing w:line="400" w:lineRule="exact"/>
        <w:ind w:firstLine="420" w:firstLineChars="200"/>
        <w:outlineLvl w:val="4"/>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2. 河湖周边“四乱”监测</w:t>
      </w:r>
    </w:p>
    <w:p w14:paraId="6AA34304">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目标：监测河湖周边乱占、乱采、乱堆、乱建情况。</w:t>
      </w:r>
    </w:p>
    <w:p w14:paraId="1E6079AC">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数据与叠加分析：</w:t>
      </w:r>
    </w:p>
    <w:p w14:paraId="309EA703">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获取高分辨率遥感影像，提取河湖周边区域的变化信息（如新增建筑物、堆土、采砂点等）。</w:t>
      </w:r>
    </w:p>
    <w:p w14:paraId="7F57EBB2">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将变化区域与河湖管理范围数据（如河道管理范围、湖泊保护范围）叠加，识别“四乱”行为。</w:t>
      </w:r>
    </w:p>
    <w:p w14:paraId="1535B7EB">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结合地面调查数据，验证“四乱”行为的性质和规模。</w:t>
      </w:r>
    </w:p>
    <w:p w14:paraId="5BD3632A">
      <w:pPr>
        <w:spacing w:line="400" w:lineRule="exact"/>
        <w:ind w:firstLine="420" w:firstLineChars="200"/>
        <w:outlineLvl w:val="4"/>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3. 林地资源保护监测</w:t>
      </w:r>
    </w:p>
    <w:p w14:paraId="59712EFC">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目标：识别林地减少及非法砍伐行为。</w:t>
      </w:r>
    </w:p>
    <w:p w14:paraId="18ADDE94">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数据与叠加分析：</w:t>
      </w:r>
    </w:p>
    <w:p w14:paraId="5043B21A">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获取离任前后两个时期的林地分布数据（如遥感影像），叠加分析林地减少区域。</w:t>
      </w:r>
    </w:p>
    <w:p w14:paraId="581AE317">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将林地减少区域与林地保护区域数据（如生态红线范围）叠加，识别非法砍伐行为。</w:t>
      </w:r>
    </w:p>
    <w:p w14:paraId="38D4F103">
      <w:pPr>
        <w:spacing w:line="400" w:lineRule="exact"/>
        <w:ind w:firstLine="420" w:firstLineChars="200"/>
        <w:outlineLvl w:val="4"/>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4. 矿山资源开采合规性</w:t>
      </w:r>
    </w:p>
    <w:p w14:paraId="039D608B">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目标：识别矿山资源非法开采行为。</w:t>
      </w:r>
    </w:p>
    <w:p w14:paraId="23923EC9">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数据与叠加分析：</w:t>
      </w:r>
    </w:p>
    <w:p w14:paraId="36CEA841">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获取离任前后两个时期的矿山分布数据（如遥感影像），叠加分析新增开采区域。</w:t>
      </w:r>
    </w:p>
    <w:p w14:paraId="57867AC4">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将新增开采区域与矿山开采许可区域数据叠加，识别非法开采行为。</w:t>
      </w:r>
    </w:p>
    <w:p w14:paraId="634CBC5C">
      <w:pPr>
        <w:spacing w:line="400" w:lineRule="exact"/>
        <w:ind w:firstLine="420" w:firstLineChars="200"/>
        <w:outlineLvl w:val="4"/>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5. 自然资源综合变化监测</w:t>
      </w:r>
    </w:p>
    <w:p w14:paraId="270A5656">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目标：综合评估耕地、林地、水体等资源的整体变化。</w:t>
      </w:r>
    </w:p>
    <w:p w14:paraId="2AC27697">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数据与叠加分析：</w:t>
      </w:r>
    </w:p>
    <w:p w14:paraId="6D02A2E6">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获取离任前后两个时期的耕地、林地、水体分布数据，叠加分析各类资源的减少区域。</w:t>
      </w:r>
    </w:p>
    <w:p w14:paraId="7CCEA1D1">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将资源减少区域与保护区域数据（如基本农田、生态红线等）叠加，识别违规行为。</w:t>
      </w:r>
    </w:p>
    <w:p w14:paraId="3662C33E">
      <w:pPr>
        <w:spacing w:line="400" w:lineRule="exact"/>
        <w:ind w:firstLine="420" w:firstLineChars="200"/>
        <w:outlineLvl w:val="4"/>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6. 生态保护红线违规监测</w:t>
      </w:r>
    </w:p>
    <w:p w14:paraId="3D5EDEEF">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目标：识别生态保护红线内的违规开发行为。</w:t>
      </w:r>
    </w:p>
    <w:p w14:paraId="19B01990">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数据与叠加分析：</w:t>
      </w:r>
    </w:p>
    <w:p w14:paraId="6BFA5E75">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获取离任前后两个时期的土地利用数据，叠加分析新增开发区域。</w:t>
      </w:r>
    </w:p>
    <w:p w14:paraId="48373F42">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将新增开发区域与生态保护红线范围数据叠加，识别违规开发行为。</w:t>
      </w:r>
    </w:p>
    <w:p w14:paraId="3AB70B68">
      <w:pPr>
        <w:spacing w:line="400" w:lineRule="exact"/>
        <w:ind w:firstLine="420" w:firstLineChars="200"/>
        <w:outlineLvl w:val="4"/>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7.</w:t>
      </w:r>
      <w:r>
        <w:rPr>
          <w:rFonts w:hint="eastAsia" w:ascii="宋体" w:hAnsi="宋体" w:eastAsia="宋体" w:cs="宋体"/>
          <w:color w:val="000000" w:themeColor="text1"/>
          <w:szCs w:val="21"/>
          <w:highlight w:val="none"/>
          <w:lang w:bidi="ar"/>
          <w14:textFill>
            <w14:solidFill>
              <w14:schemeClr w14:val="tx1"/>
            </w14:solidFill>
          </w14:textFill>
        </w:rPr>
        <w:t>高标准农田建设情况监测</w:t>
      </w:r>
    </w:p>
    <w:p w14:paraId="0580CBCB">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通过整合多源数据（如遥感影像、土地利用数据、地形图等），结合空间分析、叠加分析和深度学习智能提取技术，实现了对农田建设范围、质量和土地利用变化的高效核查与精准监测。识别违规占用、建设不达标及耕地非农化等问题，并通过无人机航飞和三维建模提供直观的可视化支持。生成专题地图和疑点图斑矢量图，为审计报告提供科学依据，为高标准农田建设的规划、实施和监管提供技术支撑，助力国家粮食安全和乡村振兴战略的实施。</w:t>
      </w:r>
    </w:p>
    <w:p w14:paraId="2B20E004">
      <w:pPr>
        <w:spacing w:line="400" w:lineRule="exact"/>
        <w:ind w:firstLine="420" w:firstLineChars="200"/>
        <w:outlineLvl w:val="4"/>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8.</w:t>
      </w:r>
      <w:r>
        <w:rPr>
          <w:rFonts w:hint="eastAsia" w:ascii="宋体" w:hAnsi="宋体" w:eastAsia="宋体" w:cs="宋体"/>
          <w:color w:val="000000" w:themeColor="text1"/>
          <w:szCs w:val="21"/>
          <w:highlight w:val="none"/>
          <w:lang w:bidi="ar"/>
          <w14:textFill>
            <w14:solidFill>
              <w14:schemeClr w14:val="tx1"/>
            </w14:solidFill>
          </w14:textFill>
        </w:rPr>
        <w:t>涉及农业农村相关审计项目情况监测</w:t>
      </w:r>
    </w:p>
    <w:p w14:paraId="1F643AB9">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在涉及农业的工程项目中，地理信息技术（GIS）的应用可以为项目的规划、实施和监管提供强有力的技术支持。通过对比历史影像和现状数据，能够快速识别工程实施效果，评估农田改造、水利设施建设等项目的实际成效，为审计工作提供客观、精准的空间数据支撑，确保农业工程项目的合规性和效益最大化。</w:t>
      </w:r>
    </w:p>
    <w:p w14:paraId="73C72921">
      <w:pPr>
        <w:spacing w:line="400" w:lineRule="exact"/>
        <w:ind w:firstLine="420" w:firstLineChars="200"/>
        <w:outlineLvl w:val="4"/>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9.</w:t>
      </w:r>
      <w:r>
        <w:rPr>
          <w:rFonts w:hint="eastAsia" w:ascii="宋体" w:hAnsi="宋体" w:eastAsia="宋体" w:cs="宋体"/>
          <w:color w:val="000000" w:themeColor="text1"/>
          <w:szCs w:val="21"/>
          <w:highlight w:val="none"/>
          <w:lang w:bidi="ar"/>
          <w14:textFill>
            <w14:solidFill>
              <w14:schemeClr w14:val="tx1"/>
            </w14:solidFill>
          </w14:textFill>
        </w:rPr>
        <w:t>主权外贷和援款审计项目监测</w:t>
      </w:r>
    </w:p>
    <w:p w14:paraId="15B40763">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整合多源数据（如遥感影像、地形图、项目区域社会经济数据等），结合空间分析和叠加分析技术，实现对援建项目地理位置、建设进度和实际成效的高效核查与精准评估。识别项目区域内的土地利用变化、环境影响及潜在问题，并通过三维建模和可视化工具直观展示项目成果，结合属性数据分析，为审计人员提供科学依据，帮助评估援款使用的合规性和项目目标的达成情况，助力国际合作与可持续发展目标的实现。</w:t>
      </w:r>
    </w:p>
    <w:p w14:paraId="5B4DE0A6">
      <w:pPr>
        <w:spacing w:line="400" w:lineRule="exact"/>
        <w:ind w:firstLine="420" w:firstLineChars="200"/>
        <w:outlineLvl w:val="4"/>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val="en-US" w:eastAsia="zh-CN" w:bidi="ar"/>
          <w14:textFill>
            <w14:solidFill>
              <w14:schemeClr w14:val="tx1"/>
            </w14:solidFill>
          </w14:textFill>
        </w:rPr>
        <w:t>10.</w:t>
      </w:r>
      <w:r>
        <w:rPr>
          <w:rFonts w:hint="eastAsia" w:ascii="宋体" w:hAnsi="宋体" w:eastAsia="宋体" w:cs="宋体"/>
          <w:color w:val="000000" w:themeColor="text1"/>
          <w:szCs w:val="21"/>
          <w:highlight w:val="none"/>
          <w:lang w:bidi="ar"/>
          <w14:textFill>
            <w14:solidFill>
              <w14:schemeClr w14:val="tx1"/>
            </w14:solidFill>
          </w14:textFill>
        </w:rPr>
        <w:t>审计署、中央生态环境保护督察等揭示过的问题与历史问题整改情况</w:t>
      </w:r>
    </w:p>
    <w:p w14:paraId="40209D20">
      <w:pPr>
        <w:spacing w:line="400" w:lineRule="exact"/>
        <w:ind w:firstLine="420" w:firstLineChars="200"/>
        <w:outlineLvl w:val="9"/>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通过整合审计署和督察组公开的问题清单，结合地理信息系统（GIS）对问题点位进行空间化处理，明确每个问题的具体位置、范围和属性信息，形成空间化的“问题地图”。利用历史数据和空间叠加分析，将问题点位与生态保护红线、土地利用规划、自然保护区范围等图层进行比对，识别整改不到位或新出现的违规行为。结合数据分析工具，评估整改完成率、时效性和质量，为后续监督和决策提供科学依据。</w:t>
      </w:r>
    </w:p>
    <w:p w14:paraId="2ED0CB1E">
      <w:pPr>
        <w:spacing w:line="400" w:lineRule="exact"/>
        <w:ind w:firstLine="420" w:firstLineChars="200"/>
        <w:outlineLvl w:val="4"/>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11.</w:t>
      </w:r>
      <w:r>
        <w:rPr>
          <w:rFonts w:hint="eastAsia" w:ascii="宋体" w:hAnsi="宋体" w:cs="宋体"/>
          <w:color w:val="000000" w:themeColor="text1"/>
          <w:szCs w:val="21"/>
          <w:highlight w:val="none"/>
          <w:lang w:bidi="ar"/>
          <w14:textFill>
            <w14:solidFill>
              <w14:schemeClr w14:val="tx1"/>
            </w14:solidFill>
          </w14:textFill>
        </w:rPr>
        <w:t>其他情况核实</w:t>
      </w:r>
    </w:p>
    <w:p w14:paraId="40E0C822">
      <w:pPr>
        <w:spacing w:line="400" w:lineRule="exact"/>
        <w:ind w:firstLine="420" w:firstLineChars="20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对规划协同、地类认定冲突及项目冲突等审计部门认为其他需要核实的情况，通过专业资料和数字正射影像，进行套合比对、影像判读及甄别，发现相关问题。</w:t>
      </w:r>
    </w:p>
    <w:p w14:paraId="3C22F876">
      <w:pPr>
        <w:pStyle w:val="6"/>
        <w:spacing w:before="0" w:after="0" w:line="360" w:lineRule="auto"/>
        <w:ind w:firstLine="422" w:firstLineChars="200"/>
        <w:rPr>
          <w:rFonts w:hint="eastAsia" w:ascii="宋体" w:hAnsi="宋体" w:eastAsia="宋体"/>
          <w:color w:val="000000" w:themeColor="text1"/>
          <w:sz w:val="21"/>
          <w:szCs w:val="24"/>
          <w:highlight w:val="none"/>
          <w14:textFill>
            <w14:solidFill>
              <w14:schemeClr w14:val="tx1"/>
            </w14:solidFill>
          </w14:textFill>
        </w:rPr>
      </w:pPr>
      <w:r>
        <w:rPr>
          <w:rFonts w:hint="eastAsia" w:ascii="宋体" w:hAnsi="宋体" w:eastAsia="宋体"/>
          <w:color w:val="000000" w:themeColor="text1"/>
          <w:sz w:val="21"/>
          <w:szCs w:val="24"/>
          <w:highlight w:val="none"/>
          <w:lang w:val="en-US" w:eastAsia="zh-CN"/>
          <w14:textFill>
            <w14:solidFill>
              <w14:schemeClr w14:val="tx1"/>
            </w14:solidFill>
          </w14:textFill>
        </w:rPr>
        <w:t>3</w:t>
      </w:r>
      <w:r>
        <w:rPr>
          <w:rFonts w:hint="eastAsia" w:ascii="宋体" w:hAnsi="宋体" w:eastAsia="宋体"/>
          <w:color w:val="000000" w:themeColor="text1"/>
          <w:sz w:val="21"/>
          <w:szCs w:val="24"/>
          <w:highlight w:val="none"/>
          <w14:textFill>
            <w14:solidFill>
              <w14:schemeClr w14:val="tx1"/>
            </w14:solidFill>
          </w14:textFill>
        </w:rPr>
        <w:t>.3外业核查</w:t>
      </w:r>
    </w:p>
    <w:p w14:paraId="492A647F">
      <w:pPr>
        <w:spacing w:line="400" w:lineRule="exact"/>
        <w:ind w:firstLine="420" w:firstLineChars="200"/>
        <w:rPr>
          <w:rFonts w:ascii="宋体" w:hAnsi="宋体" w:cs="宋体"/>
          <w:color w:val="000000" w:themeColor="text1"/>
          <w:szCs w:val="2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t>对疑点图斑进行集中分析，形成取证单，并在属性表中添加坐标，制作证据附表。将附表发给被审计单位进行核查和签证。</w:t>
      </w:r>
    </w:p>
    <w:p w14:paraId="5151ADBD">
      <w:pPr>
        <w:spacing w:line="400" w:lineRule="exact"/>
        <w:ind w:firstLine="420" w:firstLineChars="200"/>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供应方</w:t>
      </w:r>
      <w:r>
        <w:rPr>
          <w:rFonts w:ascii="宋体" w:hAnsi="宋体" w:cs="宋体"/>
          <w:color w:val="000000" w:themeColor="text1"/>
          <w:szCs w:val="21"/>
          <w:highlight w:val="none"/>
          <w:lang w:bidi="ar"/>
          <w14:textFill>
            <w14:solidFill>
              <w14:schemeClr w14:val="tx1"/>
            </w14:solidFill>
          </w14:textFill>
        </w:rPr>
        <w:t>需配合审计组，根据事项重要性挑选疑点图斑进行外业调查。</w:t>
      </w:r>
    </w:p>
    <w:p w14:paraId="67C0878F">
      <w:pPr>
        <w:spacing w:line="400" w:lineRule="exact"/>
        <w:ind w:firstLine="420" w:firstLineChars="200"/>
        <w:rPr>
          <w:rFonts w:hint="eastAsia"/>
          <w:color w:val="000000" w:themeColor="text1"/>
          <w:highlight w:val="none"/>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t>对于重点审计事项、代表性强或异议较大的疑点，以及审计整改情况，应适当增加外业核查量，并在必要时进行二次分析和再核查。</w:t>
      </w:r>
    </w:p>
    <w:p w14:paraId="0570F89C">
      <w:pPr>
        <w:pStyle w:val="6"/>
        <w:spacing w:before="0" w:after="0" w:line="360" w:lineRule="auto"/>
        <w:ind w:firstLine="422" w:firstLineChars="200"/>
        <w:rPr>
          <w:rFonts w:hint="eastAsia" w:ascii="宋体" w:hAnsi="宋体" w:eastAsia="宋体"/>
          <w:color w:val="000000" w:themeColor="text1"/>
          <w:sz w:val="21"/>
          <w:szCs w:val="24"/>
          <w:highlight w:val="none"/>
          <w14:textFill>
            <w14:solidFill>
              <w14:schemeClr w14:val="tx1"/>
            </w14:solidFill>
          </w14:textFill>
        </w:rPr>
      </w:pPr>
      <w:r>
        <w:rPr>
          <w:rFonts w:hint="eastAsia" w:ascii="宋体" w:hAnsi="宋体" w:eastAsia="宋体"/>
          <w:color w:val="000000" w:themeColor="text1"/>
          <w:sz w:val="21"/>
          <w:szCs w:val="24"/>
          <w:highlight w:val="none"/>
          <w:lang w:val="en-US" w:eastAsia="zh-CN"/>
          <w14:textFill>
            <w14:solidFill>
              <w14:schemeClr w14:val="tx1"/>
            </w14:solidFill>
          </w14:textFill>
        </w:rPr>
        <w:t>3</w:t>
      </w:r>
      <w:r>
        <w:rPr>
          <w:rFonts w:hint="eastAsia" w:ascii="宋体" w:hAnsi="宋体" w:eastAsia="宋体"/>
          <w:color w:val="000000" w:themeColor="text1"/>
          <w:sz w:val="21"/>
          <w:szCs w:val="24"/>
          <w:highlight w:val="none"/>
          <w14:textFill>
            <w14:solidFill>
              <w14:schemeClr w14:val="tx1"/>
            </w14:solidFill>
          </w14:textFill>
        </w:rPr>
        <w:t>.</w:t>
      </w:r>
      <w:r>
        <w:rPr>
          <w:rFonts w:ascii="宋体" w:hAnsi="宋体" w:eastAsia="宋体"/>
          <w:color w:val="000000" w:themeColor="text1"/>
          <w:sz w:val="21"/>
          <w:szCs w:val="24"/>
          <w:highlight w:val="none"/>
          <w14:textFill>
            <w14:solidFill>
              <w14:schemeClr w14:val="tx1"/>
            </w14:solidFill>
          </w14:textFill>
        </w:rPr>
        <w:t>4成</w:t>
      </w:r>
      <w:r>
        <w:rPr>
          <w:rFonts w:hint="eastAsia" w:ascii="宋体" w:hAnsi="宋体" w:eastAsia="宋体"/>
          <w:color w:val="000000" w:themeColor="text1"/>
          <w:sz w:val="21"/>
          <w:szCs w:val="24"/>
          <w:highlight w:val="none"/>
          <w14:textFill>
            <w14:solidFill>
              <w14:schemeClr w14:val="tx1"/>
            </w14:solidFill>
          </w14:textFill>
        </w:rPr>
        <w:t>果分析</w:t>
      </w:r>
      <w:r>
        <w:rPr>
          <w:rFonts w:hint="eastAsia" w:ascii="宋体" w:hAnsi="宋体" w:eastAsia="宋体"/>
          <w:color w:val="000000" w:themeColor="text1"/>
          <w:sz w:val="21"/>
          <w:szCs w:val="24"/>
          <w:highlight w:val="none"/>
          <w14:textFill>
            <w14:solidFill>
              <w14:schemeClr w14:val="tx1"/>
            </w14:solidFill>
          </w14:textFill>
        </w:rPr>
        <w:tab/>
      </w:r>
    </w:p>
    <w:p w14:paraId="450C6BCE">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根据开展研究型审计的需要，在现有基础上，围绕审计需求、政策变化以及行业特点，创新技术分析途径，开发新数据分析模型，编写技术语言，将技术分析疑点问题转化为审计成果。</w:t>
      </w:r>
    </w:p>
    <w:p w14:paraId="5110970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所有外业核查任务完成后，应与审计组做好交接，归集所有外业核查记录、疑点图斑外业核查汇总表、审计取证单及被审计单位反馈意见、技术人员的采纳意见建议，为审计报告充分利用数据分析成果打好基础。对被审计单位提出异议较大、反馈意见较多的问题，共同进行判断、甄别或再分析、再核查。汇总数据模型，总结分析经验，形成论文、专利、案例、新闻</w:t>
      </w:r>
      <w:r>
        <w:rPr>
          <w:rFonts w:hint="eastAsia" w:ascii="宋体" w:hAnsi="宋体" w:cs="宋体"/>
          <w:b w:val="0"/>
          <w:bCs w:val="0"/>
          <w:color w:val="000000" w:themeColor="text1"/>
          <w:kern w:val="2"/>
          <w:sz w:val="21"/>
          <w:szCs w:val="21"/>
          <w:highlight w:val="none"/>
          <w:lang w:val="en-US" w:eastAsia="zh-CN" w:bidi="ar"/>
          <w14:textFill>
            <w14:solidFill>
              <w14:schemeClr w14:val="tx1"/>
            </w14:solidFill>
          </w14:textFill>
        </w:rPr>
        <w:t>报导</w:t>
      </w: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等成果。</w:t>
      </w:r>
    </w:p>
    <w:p w14:paraId="4F33BAB0">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在审计报告形成过程、后期审计成果开发阶段，审计技术服务单位均有义务配合审计组完成成果汇总、成果开发。省审计厅、审计组按要求对技术服务完成质量进行考核考评（内业考核：分析模型种类、个数等；外业考核：外业工作量、疑点核查的点位、数量等），每年度内出现3次考核低于60分(考核制度详见附件1），采购人有权终止采购合同。</w:t>
      </w:r>
    </w:p>
    <w:p w14:paraId="7ACBE7B5">
      <w:pPr>
        <w:pStyle w:val="6"/>
        <w:spacing w:before="0" w:after="0" w:line="360" w:lineRule="auto"/>
        <w:ind w:firstLine="422" w:firstLineChars="200"/>
        <w:rPr>
          <w:rFonts w:hint="eastAsia" w:ascii="宋体" w:hAnsi="宋体" w:eastAsia="宋体"/>
          <w:color w:val="000000" w:themeColor="text1"/>
          <w:sz w:val="21"/>
          <w:szCs w:val="24"/>
          <w:highlight w:val="none"/>
          <w14:textFill>
            <w14:solidFill>
              <w14:schemeClr w14:val="tx1"/>
            </w14:solidFill>
          </w14:textFill>
        </w:rPr>
      </w:pPr>
      <w:r>
        <w:rPr>
          <w:rFonts w:hint="eastAsia" w:ascii="宋体" w:hAnsi="宋体" w:eastAsia="宋体"/>
          <w:color w:val="000000" w:themeColor="text1"/>
          <w:sz w:val="21"/>
          <w:szCs w:val="24"/>
          <w:highlight w:val="none"/>
          <w:lang w:val="en-US" w:eastAsia="zh-CN"/>
          <w14:textFill>
            <w14:solidFill>
              <w14:schemeClr w14:val="tx1"/>
            </w14:solidFill>
          </w14:textFill>
        </w:rPr>
        <w:t>3</w:t>
      </w:r>
      <w:r>
        <w:rPr>
          <w:rFonts w:hint="eastAsia" w:ascii="宋体" w:hAnsi="宋体" w:eastAsia="宋体"/>
          <w:color w:val="000000" w:themeColor="text1"/>
          <w:sz w:val="21"/>
          <w:szCs w:val="24"/>
          <w:highlight w:val="none"/>
          <w14:textFill>
            <w14:solidFill>
              <w14:schemeClr w14:val="tx1"/>
            </w14:solidFill>
          </w14:textFill>
        </w:rPr>
        <w:t>.</w:t>
      </w:r>
      <w:r>
        <w:rPr>
          <w:rFonts w:ascii="宋体" w:hAnsi="宋体" w:eastAsia="宋体"/>
          <w:color w:val="000000" w:themeColor="text1"/>
          <w:sz w:val="21"/>
          <w:szCs w:val="24"/>
          <w:highlight w:val="none"/>
          <w14:textFill>
            <w14:solidFill>
              <w14:schemeClr w14:val="tx1"/>
            </w14:solidFill>
          </w14:textFill>
        </w:rPr>
        <w:t>5</w:t>
      </w:r>
      <w:r>
        <w:rPr>
          <w:rFonts w:hint="eastAsia" w:ascii="宋体" w:hAnsi="宋体" w:eastAsia="宋体"/>
          <w:color w:val="000000" w:themeColor="text1"/>
          <w:sz w:val="21"/>
          <w:szCs w:val="24"/>
          <w:highlight w:val="none"/>
          <w14:textFill>
            <w14:solidFill>
              <w14:schemeClr w14:val="tx1"/>
            </w14:solidFill>
          </w14:textFill>
        </w:rPr>
        <w:t>审计复核</w:t>
      </w:r>
    </w:p>
    <w:p w14:paraId="1579DB34">
      <w:pPr>
        <w:spacing w:line="400" w:lineRule="exact"/>
        <w:ind w:firstLine="420" w:firstLineChars="200"/>
        <w:rPr>
          <w:rFonts w:hint="eastAsia"/>
          <w:color w:val="000000" w:themeColor="text1"/>
          <w:highlight w:val="none"/>
          <w:lang w:bidi="ar"/>
          <w14:textFill>
            <w14:solidFill>
              <w14:schemeClr w14:val="tx1"/>
            </w14:solidFill>
          </w14:textFill>
        </w:rPr>
      </w:pPr>
      <w:r>
        <w:rPr>
          <w:rFonts w:ascii="宋体" w:hAnsi="宋体" w:cs="宋体"/>
          <w:color w:val="000000" w:themeColor="text1"/>
          <w:szCs w:val="21"/>
          <w:highlight w:val="none"/>
          <w:lang w:bidi="ar"/>
          <w14:textFill>
            <w14:solidFill>
              <w14:schemeClr w14:val="tx1"/>
            </w14:solidFill>
          </w14:textFill>
        </w:rPr>
        <w:t>在审计中，被审计地区负责</w:t>
      </w:r>
      <w:r>
        <w:rPr>
          <w:rFonts w:hint="eastAsia" w:ascii="宋体" w:hAnsi="宋体" w:cs="宋体"/>
          <w:color w:val="000000" w:themeColor="text1"/>
          <w:szCs w:val="21"/>
          <w:highlight w:val="none"/>
          <w:lang w:bidi="ar"/>
          <w14:textFill>
            <w14:solidFill>
              <w14:schemeClr w14:val="tx1"/>
            </w14:solidFill>
          </w14:textFill>
        </w:rPr>
        <w:t>审计问题整改</w:t>
      </w:r>
      <w:r>
        <w:rPr>
          <w:rFonts w:ascii="宋体" w:hAnsi="宋体" w:cs="宋体"/>
          <w:color w:val="000000" w:themeColor="text1"/>
          <w:szCs w:val="21"/>
          <w:highlight w:val="none"/>
          <w:lang w:bidi="ar"/>
          <w14:textFill>
            <w14:solidFill>
              <w14:schemeClr w14:val="tx1"/>
            </w14:solidFill>
          </w14:textFill>
        </w:rPr>
        <w:t>主要职责。发现违规行为时，必须及时整改，并在规定时间内完成。省审计厅将对整改效果进行验收，</w:t>
      </w:r>
      <w:r>
        <w:rPr>
          <w:rFonts w:hint="eastAsia" w:ascii="宋体" w:hAnsi="宋体" w:cs="宋体"/>
          <w:color w:val="000000" w:themeColor="text1"/>
          <w:szCs w:val="21"/>
          <w:highlight w:val="none"/>
          <w:lang w:bidi="ar"/>
          <w14:textFill>
            <w14:solidFill>
              <w14:schemeClr w14:val="tx1"/>
            </w14:solidFill>
          </w14:textFill>
        </w:rPr>
        <w:t>供应方</w:t>
      </w:r>
      <w:r>
        <w:rPr>
          <w:rFonts w:ascii="宋体" w:hAnsi="宋体" w:cs="宋体"/>
          <w:color w:val="000000" w:themeColor="text1"/>
          <w:szCs w:val="21"/>
          <w:highlight w:val="none"/>
          <w:lang w:bidi="ar"/>
          <w14:textFill>
            <w14:solidFill>
              <w14:schemeClr w14:val="tx1"/>
            </w14:solidFill>
          </w14:textFill>
        </w:rPr>
        <w:t>提供</w:t>
      </w:r>
      <w:r>
        <w:rPr>
          <w:rFonts w:hint="eastAsia" w:ascii="宋体" w:hAnsi="宋体" w:cs="宋体"/>
          <w:color w:val="000000" w:themeColor="text1"/>
          <w:szCs w:val="21"/>
          <w:highlight w:val="none"/>
          <w:lang w:bidi="ar"/>
          <w14:textFill>
            <w14:solidFill>
              <w14:schemeClr w14:val="tx1"/>
            </w14:solidFill>
          </w14:textFill>
        </w:rPr>
        <w:t>技术</w:t>
      </w:r>
      <w:r>
        <w:rPr>
          <w:rFonts w:ascii="宋体" w:hAnsi="宋体" w:cs="宋体"/>
          <w:color w:val="000000" w:themeColor="text1"/>
          <w:szCs w:val="21"/>
          <w:highlight w:val="none"/>
          <w:lang w:bidi="ar"/>
          <w14:textFill>
            <w14:solidFill>
              <w14:schemeClr w14:val="tx1"/>
            </w14:solidFill>
          </w14:textFill>
        </w:rPr>
        <w:t>支持</w:t>
      </w:r>
      <w:r>
        <w:rPr>
          <w:rFonts w:hint="eastAsia" w:ascii="宋体" w:hAnsi="宋体" w:cs="宋体"/>
          <w:color w:val="000000" w:themeColor="text1"/>
          <w:szCs w:val="21"/>
          <w:highlight w:val="none"/>
          <w:lang w:bidi="ar"/>
          <w14:textFill>
            <w14:solidFill>
              <w14:schemeClr w14:val="tx1"/>
            </w14:solidFill>
          </w14:textFill>
        </w:rPr>
        <w:t>进行复核。</w:t>
      </w:r>
    </w:p>
    <w:p w14:paraId="71FE8433">
      <w:pPr>
        <w:pStyle w:val="6"/>
        <w:spacing w:before="0" w:after="0" w:line="360" w:lineRule="auto"/>
        <w:ind w:firstLine="422" w:firstLineChars="200"/>
        <w:rPr>
          <w:rFonts w:hint="eastAsia" w:ascii="宋体" w:hAnsi="宋体" w:eastAsia="宋体" w:cs="Times New Roman"/>
          <w:b/>
          <w:bCs/>
          <w:color w:val="000000" w:themeColor="text1"/>
          <w:sz w:val="21"/>
          <w:szCs w:val="24"/>
          <w:highlight w:val="none"/>
          <w14:textFill>
            <w14:solidFill>
              <w14:schemeClr w14:val="tx1"/>
            </w14:solidFill>
          </w14:textFill>
        </w:rPr>
      </w:pPr>
      <w:r>
        <w:rPr>
          <w:rFonts w:hint="eastAsia" w:ascii="宋体" w:hAnsi="宋体" w:eastAsia="宋体" w:cs="Times New Roman"/>
          <w:b/>
          <w:bCs/>
          <w:color w:val="000000" w:themeColor="text1"/>
          <w:sz w:val="21"/>
          <w:szCs w:val="24"/>
          <w:highlight w:val="none"/>
          <w:lang w:val="en-US" w:eastAsia="zh-CN"/>
          <w14:textFill>
            <w14:solidFill>
              <w14:schemeClr w14:val="tx1"/>
            </w14:solidFill>
          </w14:textFill>
        </w:rPr>
        <w:t>4</w:t>
      </w:r>
      <w:r>
        <w:rPr>
          <w:rFonts w:hint="eastAsia" w:ascii="宋体" w:hAnsi="宋体" w:eastAsia="宋体" w:cs="Times New Roman"/>
          <w:b/>
          <w:bCs/>
          <w:color w:val="000000" w:themeColor="text1"/>
          <w:sz w:val="21"/>
          <w:szCs w:val="24"/>
          <w:highlight w:val="none"/>
          <w14:textFill>
            <w14:solidFill>
              <w14:schemeClr w14:val="tx1"/>
            </w14:solidFill>
          </w14:textFill>
        </w:rPr>
        <w:t>、技术要求</w:t>
      </w:r>
    </w:p>
    <w:p w14:paraId="55E3B9EC">
      <w:pPr>
        <w:numPr>
          <w:ilvl w:val="0"/>
          <w:numId w:val="1"/>
        </w:numPr>
        <w:spacing w:line="400" w:lineRule="exact"/>
        <w:ind w:left="0" w:firstLine="425"/>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具备地理信息技术相关资质和丰富经验，能够处理大规模自然资源数据。</w:t>
      </w:r>
    </w:p>
    <w:p w14:paraId="44E4D6E0">
      <w:pPr>
        <w:numPr>
          <w:ilvl w:val="0"/>
          <w:numId w:val="1"/>
        </w:numPr>
        <w:spacing w:line="400" w:lineRule="exact"/>
        <w:ind w:left="0" w:firstLine="425"/>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提供的数据处理和分析成果需符合国家相关标准和审计工作要求。</w:t>
      </w:r>
    </w:p>
    <w:p w14:paraId="5BCBEB77">
      <w:pPr>
        <w:numPr>
          <w:ilvl w:val="0"/>
          <w:numId w:val="1"/>
        </w:numPr>
        <w:spacing w:line="400" w:lineRule="exact"/>
        <w:ind w:left="0" w:firstLine="425"/>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具备外业核查能力，能够快速响应审计现场的核查需求。</w:t>
      </w:r>
    </w:p>
    <w:p w14:paraId="57C9AE24">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color w:val="000000" w:themeColor="text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提供的</w:t>
      </w:r>
      <w:r>
        <w:rPr>
          <w:rFonts w:ascii="宋体" w:hAnsi="宋体" w:cs="宋体"/>
          <w:color w:val="000000" w:themeColor="text1"/>
          <w:szCs w:val="21"/>
          <w:highlight w:val="none"/>
          <w:lang w:bidi="ar"/>
          <w14:textFill>
            <w14:solidFill>
              <w14:schemeClr w14:val="tx1"/>
            </w14:solidFill>
          </w14:textFill>
        </w:rPr>
        <w:t>卫星数据</w:t>
      </w:r>
      <w:r>
        <w:rPr>
          <w:rFonts w:hint="eastAsia" w:ascii="宋体" w:hAnsi="宋体" w:cs="宋体"/>
          <w:color w:val="000000" w:themeColor="text1"/>
          <w:szCs w:val="21"/>
          <w:highlight w:val="none"/>
          <w:lang w:bidi="ar"/>
          <w14:textFill>
            <w14:solidFill>
              <w14:schemeClr w14:val="tx1"/>
            </w14:solidFill>
          </w14:textFill>
        </w:rPr>
        <w:t>需</w:t>
      </w:r>
      <w:r>
        <w:rPr>
          <w:rFonts w:ascii="宋体" w:hAnsi="宋体" w:cs="宋体"/>
          <w:color w:val="000000" w:themeColor="text1"/>
          <w:szCs w:val="21"/>
          <w:highlight w:val="none"/>
          <w:lang w:bidi="ar"/>
          <w14:textFill>
            <w14:solidFill>
              <w14:schemeClr w14:val="tx1"/>
            </w14:solidFill>
          </w14:textFill>
        </w:rPr>
        <w:t>清晰、反差适中，颜色饱和且鲜明，色调一致，无明显噪声、斑点和坏线。数据应具有丰富层次，能清晰辨别与地面分辨率相适应的细小地物，满足判读需求。</w:t>
      </w:r>
    </w:p>
    <w:p w14:paraId="26C91896">
      <w:pPr>
        <w:spacing w:line="360" w:lineRule="auto"/>
        <w:ind w:firstLine="482" w:firstLineChars="200"/>
        <w:outlineLvl w:val="1"/>
        <w:rPr>
          <w:rFonts w:hint="eastAsia"/>
          <w:b/>
          <w:color w:val="000000" w:themeColor="text1"/>
          <w:sz w:val="24"/>
          <w:szCs w:val="22"/>
          <w:highlight w:val="none"/>
          <w14:textFill>
            <w14:solidFill>
              <w14:schemeClr w14:val="tx1"/>
            </w14:solidFill>
          </w14:textFill>
        </w:rPr>
      </w:pPr>
      <w:r>
        <w:rPr>
          <w:rFonts w:hint="eastAsia"/>
          <w:b/>
          <w:color w:val="000000" w:themeColor="text1"/>
          <w:sz w:val="24"/>
          <w:szCs w:val="22"/>
          <w:highlight w:val="none"/>
          <w14:textFill>
            <w14:solidFill>
              <w14:schemeClr w14:val="tx1"/>
            </w14:solidFill>
          </w14:textFill>
        </w:rPr>
        <w:t>三、服务期限</w:t>
      </w:r>
    </w:p>
    <w:p w14:paraId="0CF46919">
      <w:pPr>
        <w:spacing w:line="400" w:lineRule="exact"/>
        <w:ind w:firstLine="420" w:firstLineChars="200"/>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eastAsia="zh-CN" w:bidi="ar"/>
          <w14:textFill>
            <w14:solidFill>
              <w14:schemeClr w14:val="tx1"/>
            </w14:solidFill>
          </w14:textFill>
        </w:rPr>
        <w:t>一年，</w:t>
      </w:r>
      <w:r>
        <w:rPr>
          <w:rFonts w:ascii="宋体" w:hAnsi="宋体" w:cs="宋体"/>
          <w:color w:val="000000" w:themeColor="text1"/>
          <w:szCs w:val="21"/>
          <w:highlight w:val="none"/>
          <w:lang w:bidi="ar"/>
          <w14:textFill>
            <w14:solidFill>
              <w14:schemeClr w14:val="tx1"/>
            </w14:solidFill>
          </w14:textFill>
        </w:rPr>
        <w:t>针对</w:t>
      </w:r>
      <w:r>
        <w:rPr>
          <w:rFonts w:hint="eastAsia" w:ascii="宋体" w:hAnsi="宋体" w:cs="宋体"/>
          <w:color w:val="000000" w:themeColor="text1"/>
          <w:szCs w:val="21"/>
          <w:highlight w:val="none"/>
          <w:lang w:val="en-US" w:eastAsia="zh-CN" w:bidi="ar"/>
          <w14:textFill>
            <w14:solidFill>
              <w14:schemeClr w14:val="tx1"/>
            </w14:solidFill>
          </w14:textFill>
        </w:rPr>
        <w:t>相关</w:t>
      </w:r>
      <w:r>
        <w:rPr>
          <w:rFonts w:ascii="宋体" w:hAnsi="宋体" w:cs="宋体"/>
          <w:color w:val="000000" w:themeColor="text1"/>
          <w:szCs w:val="21"/>
          <w:highlight w:val="none"/>
          <w:lang w:bidi="ar"/>
          <w14:textFill>
            <w14:solidFill>
              <w14:schemeClr w14:val="tx1"/>
            </w14:solidFill>
          </w14:textFill>
        </w:rPr>
        <w:t>审计项目，技术服务时长将依据审计团队的实际需求</w:t>
      </w:r>
      <w:r>
        <w:rPr>
          <w:rFonts w:hint="eastAsia" w:ascii="宋体" w:hAnsi="宋体" w:cs="宋体"/>
          <w:color w:val="000000" w:themeColor="text1"/>
          <w:szCs w:val="21"/>
          <w:highlight w:val="none"/>
          <w:lang w:bidi="ar"/>
          <w14:textFill>
            <w14:solidFill>
              <w14:schemeClr w14:val="tx1"/>
            </w14:solidFill>
          </w14:textFill>
        </w:rPr>
        <w:t>决定</w:t>
      </w:r>
      <w:r>
        <w:rPr>
          <w:rFonts w:ascii="宋体" w:hAnsi="宋体" w:cs="宋体"/>
          <w:color w:val="000000" w:themeColor="text1"/>
          <w:szCs w:val="21"/>
          <w:highlight w:val="none"/>
          <w:lang w:bidi="ar"/>
          <w14:textFill>
            <w14:solidFill>
              <w14:schemeClr w14:val="tx1"/>
            </w14:solidFill>
          </w14:textFill>
        </w:rPr>
        <w:t>，以确保审计工作的高质量完成。</w:t>
      </w:r>
    </w:p>
    <w:p w14:paraId="5E3749F3">
      <w:pPr>
        <w:spacing w:line="360" w:lineRule="auto"/>
        <w:ind w:firstLine="482" w:firstLineChars="200"/>
        <w:outlineLvl w:val="1"/>
        <w:rPr>
          <w:rFonts w:hint="eastAsia"/>
          <w:b/>
          <w:color w:val="000000" w:themeColor="text1"/>
          <w:sz w:val="24"/>
          <w:szCs w:val="22"/>
          <w:highlight w:val="none"/>
          <w14:textFill>
            <w14:solidFill>
              <w14:schemeClr w14:val="tx1"/>
            </w14:solidFill>
          </w14:textFill>
        </w:rPr>
      </w:pPr>
      <w:r>
        <w:rPr>
          <w:rFonts w:hint="eastAsia"/>
          <w:b/>
          <w:color w:val="000000" w:themeColor="text1"/>
          <w:sz w:val="24"/>
          <w:szCs w:val="22"/>
          <w:highlight w:val="none"/>
          <w:lang w:val="en-US" w:eastAsia="zh-CN"/>
          <w14:textFill>
            <w14:solidFill>
              <w14:schemeClr w14:val="tx1"/>
            </w14:solidFill>
          </w14:textFill>
        </w:rPr>
        <w:t>四</w:t>
      </w:r>
      <w:r>
        <w:rPr>
          <w:rFonts w:hint="eastAsia"/>
          <w:b/>
          <w:color w:val="000000" w:themeColor="text1"/>
          <w:sz w:val="24"/>
          <w:szCs w:val="22"/>
          <w:highlight w:val="none"/>
          <w14:textFill>
            <w14:solidFill>
              <w14:schemeClr w14:val="tx1"/>
            </w14:solidFill>
          </w14:textFill>
        </w:rPr>
        <w:t>、人员要求</w:t>
      </w:r>
    </w:p>
    <w:p w14:paraId="15E6707F">
      <w:pPr>
        <w:tabs>
          <w:tab w:val="left" w:pos="420"/>
        </w:tabs>
        <w:adjustRightInd w:val="0"/>
        <w:snapToGrid w:val="0"/>
        <w:spacing w:line="480" w:lineRule="exact"/>
        <w:ind w:firstLine="420" w:firstLineChars="20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val="en-US" w:eastAsia="zh-CN" w:bidi="ar"/>
          <w14:textFill>
            <w14:solidFill>
              <w14:schemeClr w14:val="tx1"/>
            </w14:solidFill>
          </w14:textFill>
        </w:rPr>
        <w:t>1.</w:t>
      </w:r>
      <w:r>
        <w:rPr>
          <w:rFonts w:hint="eastAsia" w:ascii="宋体" w:hAnsi="宋体" w:cs="宋体"/>
          <w:color w:val="000000" w:themeColor="text1"/>
          <w:szCs w:val="21"/>
          <w:highlight w:val="none"/>
          <w:lang w:bidi="ar"/>
          <w14:textFill>
            <w14:solidFill>
              <w14:schemeClr w14:val="tx1"/>
            </w14:solidFill>
          </w14:textFill>
        </w:rPr>
        <w:t>本项目需提供具备高级工程师或注册测绘师资格技术人员2</w:t>
      </w:r>
      <w:r>
        <w:rPr>
          <w:rFonts w:hint="eastAsia" w:ascii="宋体" w:hAnsi="宋体" w:cs="宋体"/>
          <w:color w:val="000000" w:themeColor="text1"/>
          <w:szCs w:val="21"/>
          <w:highlight w:val="none"/>
          <w:lang w:eastAsia="zh-Hans" w:bidi="ar"/>
          <w14:textFill>
            <w14:solidFill>
              <w14:schemeClr w14:val="tx1"/>
            </w14:solidFill>
          </w14:textFill>
        </w:rPr>
        <w:t>人</w:t>
      </w:r>
      <w:r>
        <w:rPr>
          <w:rFonts w:hint="eastAsia" w:ascii="宋体" w:hAnsi="宋体" w:cs="宋体"/>
          <w:color w:val="000000" w:themeColor="text1"/>
          <w:szCs w:val="21"/>
          <w:highlight w:val="none"/>
          <w:lang w:bidi="ar"/>
          <w14:textFill>
            <w14:solidFill>
              <w14:schemeClr w14:val="tx1"/>
            </w14:solidFill>
          </w14:textFill>
        </w:rPr>
        <w:t>（提供人员证书彩色影印件及近 3 个月</w:t>
      </w:r>
      <w:r>
        <w:rPr>
          <w:rFonts w:hint="eastAsia" w:ascii="宋体" w:hAnsi="宋体" w:cs="宋体"/>
          <w:color w:val="000000" w:themeColor="text1"/>
          <w:szCs w:val="21"/>
          <w:highlight w:val="none"/>
          <w:lang w:eastAsia="zh-CN" w:bidi="ar"/>
          <w14:textFill>
            <w14:solidFill>
              <w14:schemeClr w14:val="tx1"/>
            </w14:solidFill>
          </w14:textFill>
        </w:rPr>
        <w:t>（</w:t>
      </w:r>
      <w:r>
        <w:rPr>
          <w:rFonts w:hint="eastAsia" w:ascii="宋体" w:hAnsi="宋体" w:cs="宋体"/>
          <w:color w:val="000000" w:themeColor="text1"/>
          <w:szCs w:val="21"/>
          <w:highlight w:val="none"/>
          <w:lang w:val="en-US" w:eastAsia="zh-CN" w:bidi="ar"/>
          <w14:textFill>
            <w14:solidFill>
              <w14:schemeClr w14:val="tx1"/>
            </w14:solidFill>
          </w14:textFill>
        </w:rPr>
        <w:t>2025年1月-2025年4月任意3个月）</w:t>
      </w:r>
      <w:r>
        <w:rPr>
          <w:rFonts w:hint="eastAsia" w:ascii="宋体" w:hAnsi="宋体" w:cs="宋体"/>
          <w:color w:val="000000" w:themeColor="text1"/>
          <w:szCs w:val="21"/>
          <w:highlight w:val="none"/>
          <w:lang w:bidi="ar"/>
          <w14:textFill>
            <w14:solidFill>
              <w14:schemeClr w14:val="tx1"/>
            </w14:solidFill>
          </w14:textFill>
        </w:rPr>
        <w:t>社保缴纳证明并加盖公章），若中途需换人，须经采购人审计组同意认可。</w:t>
      </w:r>
    </w:p>
    <w:p w14:paraId="62B336DE">
      <w:pPr>
        <w:tabs>
          <w:tab w:val="left" w:pos="420"/>
        </w:tabs>
        <w:adjustRightInd w:val="0"/>
        <w:snapToGrid w:val="0"/>
        <w:spacing w:line="480" w:lineRule="exact"/>
        <w:ind w:firstLine="420" w:firstLineChars="200"/>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pP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2.应成立专门服务于本项目的服务团队，满足该项目审计工作对</w:t>
      </w:r>
      <w:r>
        <w:rPr>
          <w:rFonts w:hint="eastAsia" w:ascii="宋体" w:hAnsi="宋体" w:cs="宋体"/>
          <w:b w:val="0"/>
          <w:bCs w:val="0"/>
          <w:color w:val="000000" w:themeColor="text1"/>
          <w:kern w:val="2"/>
          <w:sz w:val="21"/>
          <w:szCs w:val="21"/>
          <w:highlight w:val="none"/>
          <w:lang w:val="en-US" w:eastAsia="zh-CN" w:bidi="ar"/>
          <w14:textFill>
            <w14:solidFill>
              <w14:schemeClr w14:val="tx1"/>
            </w14:solidFill>
          </w14:textFill>
        </w:rPr>
        <w:t>服务</w:t>
      </w:r>
      <w:r>
        <w:rPr>
          <w:rFonts w:hint="eastAsia" w:ascii="宋体" w:hAnsi="宋体" w:eastAsia="宋体" w:cs="宋体"/>
          <w:b w:val="0"/>
          <w:bCs w:val="0"/>
          <w:color w:val="000000" w:themeColor="text1"/>
          <w:kern w:val="2"/>
          <w:sz w:val="21"/>
          <w:szCs w:val="21"/>
          <w:highlight w:val="none"/>
          <w:lang w:val="en-US" w:eastAsia="zh-CN" w:bidi="ar"/>
          <w14:textFill>
            <w14:solidFill>
              <w14:schemeClr w14:val="tx1"/>
            </w14:solidFill>
          </w14:textFill>
        </w:rPr>
        <w:t>人员数量和质量上的需求。</w:t>
      </w:r>
    </w:p>
    <w:p w14:paraId="648BCB33">
      <w:pPr>
        <w:spacing w:line="360" w:lineRule="auto"/>
        <w:ind w:firstLine="482" w:firstLineChars="200"/>
        <w:outlineLvl w:val="1"/>
        <w:rPr>
          <w:rFonts w:hint="eastAsia" w:ascii="Times New Roman" w:hAnsi="Times New Roman" w:eastAsia="宋体" w:cs="Times New Roman"/>
          <w:b/>
          <w:color w:val="000000" w:themeColor="text1"/>
          <w:sz w:val="24"/>
          <w:szCs w:val="22"/>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4"/>
          <w:szCs w:val="22"/>
          <w:highlight w:val="none"/>
          <w:lang w:val="en-US" w:eastAsia="zh-CN"/>
          <w14:textFill>
            <w14:solidFill>
              <w14:schemeClr w14:val="tx1"/>
            </w14:solidFill>
          </w14:textFill>
        </w:rPr>
        <w:t>五、履行合同的时间、地点</w:t>
      </w:r>
    </w:p>
    <w:p w14:paraId="043FC52F">
      <w:pPr>
        <w:spacing w:line="360" w:lineRule="auto"/>
        <w:ind w:firstLine="420" w:firstLineChars="200"/>
        <w:rPr>
          <w:rFonts w:hint="eastAsia" w:ascii="宋体" w:hAnsi="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服务时间：采购方指定时间</w:t>
      </w:r>
      <w:r>
        <w:rPr>
          <w:rFonts w:hint="eastAsia" w:ascii="宋体" w:hAnsi="宋体" w:cs="宋体"/>
          <w:color w:val="000000" w:themeColor="text1"/>
          <w:szCs w:val="21"/>
          <w:highlight w:val="none"/>
          <w:lang w:eastAsia="zh-CN"/>
          <w14:textFill>
            <w14:solidFill>
              <w14:schemeClr w14:val="tx1"/>
            </w14:solidFill>
          </w14:textFill>
        </w:rPr>
        <w:t>（服务期限为壹年）</w:t>
      </w:r>
    </w:p>
    <w:p w14:paraId="372AA320">
      <w:pPr>
        <w:spacing w:line="360" w:lineRule="auto"/>
        <w:ind w:firstLine="420" w:firstLineChars="200"/>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服务地点</w:t>
      </w:r>
      <w:r>
        <w:rPr>
          <w:rFonts w:hint="eastAsia" w:ascii="宋体" w:hAnsi="宋体" w:eastAsia="宋体" w:cs="宋体"/>
          <w:color w:val="000000" w:themeColor="text1"/>
          <w:szCs w:val="21"/>
          <w:highlight w:val="none"/>
          <w14:textFill>
            <w14:solidFill>
              <w14:schemeClr w14:val="tx1"/>
            </w14:solidFill>
          </w14:textFill>
        </w:rPr>
        <w:t>：</w:t>
      </w:r>
      <w:r>
        <w:rPr>
          <w:rFonts w:hint="eastAsia" w:ascii="宋体" w:hAnsi="宋体" w:eastAsia="宋体" w:cs="宋体"/>
          <w:color w:val="000000" w:themeColor="text1"/>
          <w:szCs w:val="21"/>
          <w:highlight w:val="none"/>
          <w:lang w:eastAsia="zh-CN"/>
          <w14:textFill>
            <w14:solidFill>
              <w14:schemeClr w14:val="tx1"/>
            </w14:solidFill>
          </w14:textFill>
        </w:rPr>
        <w:t>采购人指定地点</w:t>
      </w:r>
    </w:p>
    <w:p w14:paraId="55EB1DAC">
      <w:pPr>
        <w:spacing w:line="40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服务方式：</w:t>
      </w:r>
      <w:r>
        <w:rPr>
          <w:rFonts w:hint="eastAsia" w:ascii="宋体" w:hAnsi="宋体" w:eastAsia="宋体" w:cs="宋体"/>
          <w:color w:val="000000" w:themeColor="text1"/>
          <w:szCs w:val="21"/>
          <w:highlight w:val="none"/>
          <w:lang w:eastAsia="zh-CN"/>
          <w14:textFill>
            <w14:solidFill>
              <w14:schemeClr w14:val="tx1"/>
            </w14:solidFill>
          </w14:textFill>
        </w:rPr>
        <w:t>审计</w:t>
      </w:r>
      <w:r>
        <w:rPr>
          <w:rFonts w:hint="eastAsia" w:ascii="宋体" w:hAnsi="宋体" w:eastAsia="宋体" w:cs="宋体"/>
          <w:color w:val="000000" w:themeColor="text1"/>
          <w:szCs w:val="21"/>
          <w:highlight w:val="none"/>
          <w14:textFill>
            <w14:solidFill>
              <w14:schemeClr w14:val="tx1"/>
            </w14:solidFill>
          </w14:textFill>
        </w:rPr>
        <w:t>数据需要派技术人员到采购方指定地点作业，具体服务方式根据双方签订具体项目合同约定的服务方式。</w:t>
      </w:r>
    </w:p>
    <w:p w14:paraId="2F42E5C2">
      <w:pPr>
        <w:spacing w:line="360" w:lineRule="auto"/>
        <w:ind w:firstLine="482" w:firstLineChars="200"/>
        <w:outlineLvl w:val="1"/>
        <w:rPr>
          <w:rFonts w:hint="eastAsia" w:ascii="Times New Roman" w:hAnsi="Times New Roman" w:eastAsia="宋体" w:cs="Times New Roman"/>
          <w:b/>
          <w:color w:val="000000" w:themeColor="text1"/>
          <w:sz w:val="24"/>
          <w:szCs w:val="22"/>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4"/>
          <w:szCs w:val="22"/>
          <w:highlight w:val="none"/>
          <w:lang w:val="en-US" w:eastAsia="zh-CN"/>
          <w14:textFill>
            <w14:solidFill>
              <w14:schemeClr w14:val="tx1"/>
            </w14:solidFill>
          </w14:textFill>
        </w:rPr>
        <w:t>六、合同价款支付方式</w:t>
      </w:r>
    </w:p>
    <w:p w14:paraId="7ED9F3E2">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支付方式：</w:t>
      </w:r>
      <w:r>
        <w:rPr>
          <w:rFonts w:hint="eastAsia" w:ascii="宋体" w:hAnsi="宋体" w:eastAsia="宋体" w:cs="宋体"/>
          <w:color w:val="000000" w:themeColor="text1"/>
          <w:szCs w:val="21"/>
          <w:highlight w:val="none"/>
          <w:lang w:eastAsia="zh-CN"/>
          <w14:textFill>
            <w14:solidFill>
              <w14:schemeClr w14:val="tx1"/>
            </w14:solidFill>
          </w14:textFill>
        </w:rPr>
        <w:t>湖南省审计厅</w:t>
      </w:r>
      <w:r>
        <w:rPr>
          <w:rFonts w:hint="eastAsia" w:ascii="宋体" w:hAnsi="宋体" w:eastAsia="宋体" w:cs="宋体"/>
          <w:color w:val="000000" w:themeColor="text1"/>
          <w:szCs w:val="21"/>
          <w:highlight w:val="none"/>
          <w14:textFill>
            <w14:solidFill>
              <w14:schemeClr w14:val="tx1"/>
            </w14:solidFill>
          </w14:textFill>
        </w:rPr>
        <w:t xml:space="preserve">国库集中支付   </w:t>
      </w:r>
    </w:p>
    <w:p w14:paraId="6D1A4E49">
      <w:pPr>
        <w:keepNext w:val="0"/>
        <w:keepLines w:val="0"/>
        <w:pageBreakBefore w:val="0"/>
        <w:widowControl w:val="0"/>
        <w:kinsoku/>
        <w:wordWrap/>
        <w:overflowPunct/>
        <w:topLinePunct w:val="0"/>
        <w:autoSpaceDE/>
        <w:autoSpaceDN/>
        <w:bidi w:val="0"/>
        <w:adjustRightInd/>
        <w:snapToGrid/>
        <w:spacing w:line="400" w:lineRule="exact"/>
        <w:ind w:firstLine="420" w:firstLineChars="200"/>
        <w:textAlignment w:val="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付款方式：按照采购人确认的实际完成工作量以及考核结果，据实结算。备注：根据省审计厅、审计组提供的每个完成的项目考核情况支付；考核为“优秀”的支付100%，考核为“良好”的支付90%,考核为“合格”的支付80%，考核为“不合格”的支付50%。</w:t>
      </w:r>
    </w:p>
    <w:p w14:paraId="166AF44F">
      <w:pPr>
        <w:spacing w:line="360" w:lineRule="auto"/>
        <w:ind w:firstLine="482" w:firstLineChars="200"/>
        <w:outlineLvl w:val="1"/>
        <w:rPr>
          <w:rFonts w:hint="eastAsia" w:ascii="Times New Roman" w:hAnsi="Times New Roman" w:eastAsia="宋体" w:cs="Times New Roman"/>
          <w:b/>
          <w:color w:val="000000" w:themeColor="text1"/>
          <w:sz w:val="24"/>
          <w:szCs w:val="22"/>
          <w:highlight w:val="none"/>
          <w:lang w:val="en-US" w:eastAsia="zh-CN"/>
          <w14:textFill>
            <w14:solidFill>
              <w14:schemeClr w14:val="tx1"/>
            </w14:solidFill>
          </w14:textFill>
        </w:rPr>
      </w:pPr>
      <w:r>
        <w:rPr>
          <w:rFonts w:hint="eastAsia" w:ascii="Times New Roman" w:hAnsi="Times New Roman" w:eastAsia="宋体" w:cs="Times New Roman"/>
          <w:b/>
          <w:color w:val="000000" w:themeColor="text1"/>
          <w:sz w:val="24"/>
          <w:szCs w:val="22"/>
          <w:highlight w:val="none"/>
          <w:lang w:val="en-US" w:eastAsia="zh-CN"/>
          <w14:textFill>
            <w14:solidFill>
              <w14:schemeClr w14:val="tx1"/>
            </w14:solidFill>
          </w14:textFill>
        </w:rPr>
        <w:t>七、其他要求及说明</w:t>
      </w:r>
    </w:p>
    <w:p w14:paraId="4A19B6D4">
      <w:pPr>
        <w:spacing w:line="360" w:lineRule="auto"/>
        <w:ind w:firstLine="420"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1.</w:t>
      </w:r>
      <w:r>
        <w:rPr>
          <w:rFonts w:hint="eastAsia" w:ascii="宋体" w:hAnsi="宋体" w:eastAsia="宋体" w:cs="宋体"/>
          <w:color w:val="000000" w:themeColor="text1"/>
          <w:szCs w:val="21"/>
          <w:highlight w:val="none"/>
          <w14:textFill>
            <w14:solidFill>
              <w14:schemeClr w14:val="tx1"/>
            </w14:solidFill>
          </w14:textFill>
        </w:rPr>
        <w:t>本项目采用费用包干方式建设，</w:t>
      </w:r>
      <w:r>
        <w:rPr>
          <w:rFonts w:hint="eastAsia" w:ascii="宋体" w:hAnsi="宋体" w:eastAsia="宋体" w:cs="宋体"/>
          <w:color w:val="000000" w:themeColor="text1"/>
          <w:szCs w:val="21"/>
          <w:highlight w:val="none"/>
          <w:lang w:eastAsia="zh-CN"/>
          <w14:textFill>
            <w14:solidFill>
              <w14:schemeClr w14:val="tx1"/>
            </w14:solidFill>
          </w14:textFill>
        </w:rPr>
        <w:t>投标供应商</w:t>
      </w:r>
      <w:r>
        <w:rPr>
          <w:rFonts w:hint="eastAsia" w:ascii="宋体" w:hAnsi="宋体" w:eastAsia="宋体" w:cs="宋体"/>
          <w:color w:val="000000" w:themeColor="text1"/>
          <w:szCs w:val="21"/>
          <w:highlight w:val="none"/>
          <w14:textFill>
            <w14:solidFill>
              <w14:schemeClr w14:val="tx1"/>
            </w14:solidFill>
          </w14:textFill>
        </w:rPr>
        <w:t>应根据项目要求和现场情况，详细列明项目所需清单，以及人工、管理、财务等所有费用</w:t>
      </w:r>
      <w:r>
        <w:rPr>
          <w:rFonts w:hint="eastAsia" w:ascii="宋体" w:hAnsi="宋体" w:eastAsia="宋体" w:cs="宋体"/>
          <w:color w:val="000000" w:themeColor="text1"/>
          <w:szCs w:val="21"/>
          <w:highlight w:val="none"/>
          <w:lang w:eastAsia="zh-CN"/>
          <w14:textFill>
            <w14:solidFill>
              <w14:schemeClr w14:val="tx1"/>
            </w14:solidFill>
          </w14:textFill>
        </w:rPr>
        <w:t>。</w:t>
      </w:r>
      <w:r>
        <w:rPr>
          <w:rFonts w:hint="eastAsia" w:ascii="宋体" w:hAnsi="宋体" w:eastAsia="宋体" w:cs="宋体"/>
          <w:color w:val="000000" w:themeColor="text1"/>
          <w:szCs w:val="21"/>
          <w:highlight w:val="none"/>
          <w14:textFill>
            <w14:solidFill>
              <w14:schemeClr w14:val="tx1"/>
            </w14:solidFill>
          </w14:textFill>
        </w:rPr>
        <w:t>如一旦中标，在项目实施中出现任何遗漏，均由中标人免费提供，采购人不再支付任何费用。</w:t>
      </w:r>
    </w:p>
    <w:p w14:paraId="5DA5BF4E">
      <w:pPr>
        <w:spacing w:line="360" w:lineRule="auto"/>
        <w:ind w:firstLine="420" w:firstLineChars="200"/>
        <w:rPr>
          <w:rFonts w:hint="eastAsia" w:ascii="宋体" w:hAnsi="宋体" w:cs="宋体"/>
          <w:color w:val="000000" w:themeColor="text1"/>
          <w:szCs w:val="21"/>
          <w:highlight w:val="none"/>
          <w:lang w:bidi="ar"/>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2.</w:t>
      </w:r>
      <w:r>
        <w:rPr>
          <w:rFonts w:hint="eastAsia" w:ascii="宋体" w:hAnsi="宋体" w:eastAsia="宋体" w:cs="宋体"/>
          <w:color w:val="000000" w:themeColor="text1"/>
          <w:szCs w:val="21"/>
          <w:highlight w:val="none"/>
          <w:lang w:eastAsia="zh-CN"/>
          <w14:textFill>
            <w14:solidFill>
              <w14:schemeClr w14:val="tx1"/>
            </w14:solidFill>
          </w14:textFill>
        </w:rPr>
        <w:t>投标供应商</w:t>
      </w:r>
      <w:r>
        <w:rPr>
          <w:rFonts w:hint="eastAsia" w:ascii="宋体" w:hAnsi="宋体" w:eastAsia="宋体" w:cs="宋体"/>
          <w:color w:val="000000" w:themeColor="text1"/>
          <w:szCs w:val="21"/>
          <w:highlight w:val="none"/>
          <w14:textFill>
            <w14:solidFill>
              <w14:schemeClr w14:val="tx1"/>
            </w14:solidFill>
          </w14:textFill>
        </w:rPr>
        <w:t>在投标前，如需踏勘现场，有关费用自理，踏勘期间发生的意外自负。</w:t>
      </w:r>
    </w:p>
    <w:bookmarkEnd w:id="2"/>
    <w:bookmarkEnd w:id="3"/>
    <w:bookmarkEnd w:id="4"/>
    <w:bookmarkEnd w:id="5"/>
    <w:p w14:paraId="16100FAE">
      <w:pPr>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对于上述项目要求，</w:t>
      </w:r>
      <w:r>
        <w:rPr>
          <w:rFonts w:hint="eastAsia" w:ascii="宋体" w:hAnsi="宋体" w:eastAsia="宋体" w:cs="宋体"/>
          <w:b/>
          <w:bCs/>
          <w:color w:val="000000" w:themeColor="text1"/>
          <w:szCs w:val="21"/>
          <w:highlight w:val="none"/>
          <w:lang w:eastAsia="zh-CN"/>
          <w14:textFill>
            <w14:solidFill>
              <w14:schemeClr w14:val="tx1"/>
            </w14:solidFill>
          </w14:textFill>
        </w:rPr>
        <w:t>投标供应商</w:t>
      </w:r>
      <w:r>
        <w:rPr>
          <w:rFonts w:hint="eastAsia" w:ascii="宋体" w:hAnsi="宋体" w:eastAsia="宋体" w:cs="宋体"/>
          <w:b/>
          <w:bCs/>
          <w:color w:val="000000" w:themeColor="text1"/>
          <w:szCs w:val="21"/>
          <w:highlight w:val="none"/>
          <w14:textFill>
            <w14:solidFill>
              <w14:schemeClr w14:val="tx1"/>
            </w14:solidFill>
          </w14:textFill>
        </w:rPr>
        <w:t>应在响应文件中进行回应及说明。</w:t>
      </w:r>
    </w:p>
    <w:p w14:paraId="74E1FF7F">
      <w:pPr>
        <w:spacing w:before="156" w:beforeLines="50" w:after="156" w:afterLines="50"/>
        <w:rPr>
          <w:rFonts w:hint="eastAsia" w:ascii="宋体" w:hAnsi="宋体" w:eastAsia="宋体" w:cs="宋体"/>
          <w:color w:val="000000" w:themeColor="text1"/>
          <w:sz w:val="21"/>
          <w:szCs w:val="21"/>
          <w:highlight w:val="none"/>
          <w14:textFill>
            <w14:solidFill>
              <w14:schemeClr w14:val="tx1"/>
            </w14:solidFill>
          </w14:textFill>
        </w:rPr>
      </w:pPr>
    </w:p>
    <w:p w14:paraId="518B20BD">
      <w:pPr>
        <w:spacing w:before="156" w:beforeLines="50" w:after="156" w:afterLines="5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附</w:t>
      </w:r>
      <w:r>
        <w:rPr>
          <w:rFonts w:hint="eastAsia" w:ascii="宋体" w:hAnsi="宋体" w:eastAsia="宋体" w:cs="宋体"/>
          <w:color w:val="000000" w:themeColor="text1"/>
          <w:sz w:val="21"/>
          <w:szCs w:val="21"/>
          <w:highlight w:val="none"/>
          <w:lang w:eastAsia="zh-CN"/>
          <w14:textFill>
            <w14:solidFill>
              <w14:schemeClr w14:val="tx1"/>
            </w14:solidFill>
          </w14:textFill>
        </w:rPr>
        <w:t>件</w:t>
      </w:r>
      <w:r>
        <w:rPr>
          <w:rFonts w:hint="eastAsia" w:ascii="宋体" w:hAnsi="宋体" w:eastAsia="宋体" w:cs="宋体"/>
          <w:color w:val="000000" w:themeColor="text1"/>
          <w:sz w:val="21"/>
          <w:szCs w:val="21"/>
          <w:highlight w:val="none"/>
          <w:lang w:val="en-US" w:eastAsia="zh-CN"/>
          <w14:textFill>
            <w14:solidFill>
              <w14:schemeClr w14:val="tx1"/>
            </w14:solidFill>
          </w14:textFill>
        </w:rPr>
        <w:t>1</w:t>
      </w:r>
    </w:p>
    <w:p w14:paraId="1599804F">
      <w:pPr>
        <w:spacing w:before="156" w:beforeLines="50" w:after="156" w:afterLines="5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考核评分表</w:t>
      </w:r>
    </w:p>
    <w:tbl>
      <w:tblPr>
        <w:tblStyle w:val="8"/>
        <w:tblW w:w="0" w:type="auto"/>
        <w:tblInd w:w="0" w:type="dxa"/>
        <w:tblLayout w:type="fixed"/>
        <w:tblCellMar>
          <w:top w:w="0" w:type="dxa"/>
          <w:left w:w="108" w:type="dxa"/>
          <w:bottom w:w="0" w:type="dxa"/>
          <w:right w:w="108" w:type="dxa"/>
        </w:tblCellMar>
      </w:tblPr>
      <w:tblGrid>
        <w:gridCol w:w="767"/>
        <w:gridCol w:w="1344"/>
        <w:gridCol w:w="3895"/>
        <w:gridCol w:w="837"/>
        <w:gridCol w:w="837"/>
        <w:gridCol w:w="837"/>
      </w:tblGrid>
      <w:tr w14:paraId="1336CE73">
        <w:tblPrEx>
          <w:tblCellMar>
            <w:top w:w="0" w:type="dxa"/>
            <w:left w:w="108" w:type="dxa"/>
            <w:bottom w:w="0" w:type="dxa"/>
            <w:right w:w="108" w:type="dxa"/>
          </w:tblCellMar>
        </w:tblPrEx>
        <w:trPr>
          <w:trHeight w:val="680" w:hRule="atLeast"/>
        </w:trPr>
        <w:tc>
          <w:tcPr>
            <w:tcW w:w="767" w:type="dxa"/>
            <w:tcBorders>
              <w:top w:val="single" w:color="auto" w:sz="4" w:space="0"/>
              <w:left w:val="single" w:color="auto" w:sz="4" w:space="0"/>
              <w:bottom w:val="single" w:color="auto" w:sz="4" w:space="0"/>
              <w:right w:val="single" w:color="auto" w:sz="4" w:space="0"/>
            </w:tcBorders>
            <w:noWrap/>
            <w:vAlign w:val="center"/>
          </w:tcPr>
          <w:p w14:paraId="15180914">
            <w:pPr>
              <w:widowControl/>
              <w:jc w:val="center"/>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序号</w:t>
            </w:r>
          </w:p>
        </w:tc>
        <w:tc>
          <w:tcPr>
            <w:tcW w:w="1344" w:type="dxa"/>
            <w:tcBorders>
              <w:top w:val="single" w:color="auto" w:sz="4" w:space="0"/>
              <w:left w:val="nil"/>
              <w:bottom w:val="single" w:color="auto" w:sz="4" w:space="0"/>
              <w:right w:val="single" w:color="auto" w:sz="4" w:space="0"/>
            </w:tcBorders>
            <w:noWrap/>
            <w:vAlign w:val="center"/>
          </w:tcPr>
          <w:p w14:paraId="67253A04">
            <w:pPr>
              <w:widowControl/>
              <w:jc w:val="center"/>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考核内容</w:t>
            </w:r>
          </w:p>
        </w:tc>
        <w:tc>
          <w:tcPr>
            <w:tcW w:w="3895" w:type="dxa"/>
            <w:tcBorders>
              <w:top w:val="single" w:color="auto" w:sz="4" w:space="0"/>
              <w:left w:val="nil"/>
              <w:bottom w:val="single" w:color="auto" w:sz="4" w:space="0"/>
              <w:right w:val="single" w:color="auto" w:sz="4" w:space="0"/>
            </w:tcBorders>
            <w:noWrap w:val="0"/>
            <w:vAlign w:val="center"/>
          </w:tcPr>
          <w:p w14:paraId="1DCF505D">
            <w:pPr>
              <w:widowControl/>
              <w:jc w:val="center"/>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考核标准</w:t>
            </w:r>
          </w:p>
        </w:tc>
        <w:tc>
          <w:tcPr>
            <w:tcW w:w="837" w:type="dxa"/>
            <w:tcBorders>
              <w:top w:val="single" w:color="auto" w:sz="4" w:space="0"/>
              <w:left w:val="nil"/>
              <w:bottom w:val="single" w:color="auto" w:sz="4" w:space="0"/>
              <w:right w:val="single" w:color="auto" w:sz="4" w:space="0"/>
            </w:tcBorders>
            <w:noWrap/>
            <w:vAlign w:val="center"/>
          </w:tcPr>
          <w:p w14:paraId="72421654">
            <w:pPr>
              <w:widowControl/>
              <w:jc w:val="center"/>
              <w:rPr>
                <w:rFonts w:hint="eastAsia" w:ascii="宋体" w:hAnsi="宋体" w:eastAsia="宋体" w:cs="宋体"/>
                <w:b/>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color w:val="000000" w:themeColor="text1"/>
                <w:kern w:val="0"/>
                <w:sz w:val="21"/>
                <w:szCs w:val="21"/>
                <w:highlight w:val="none"/>
                <w:lang w:val="en-US" w:eastAsia="zh-CN"/>
                <w14:textFill>
                  <w14:solidFill>
                    <w14:schemeClr w14:val="tx1"/>
                  </w14:solidFill>
                </w14:textFill>
              </w:rPr>
              <w:t>备注</w:t>
            </w:r>
          </w:p>
        </w:tc>
        <w:tc>
          <w:tcPr>
            <w:tcW w:w="837" w:type="dxa"/>
            <w:tcBorders>
              <w:top w:val="single" w:color="auto" w:sz="4" w:space="0"/>
              <w:left w:val="nil"/>
              <w:bottom w:val="single" w:color="auto" w:sz="4" w:space="0"/>
              <w:right w:val="single" w:color="auto" w:sz="4" w:space="0"/>
            </w:tcBorders>
            <w:noWrap/>
            <w:vAlign w:val="center"/>
          </w:tcPr>
          <w:p w14:paraId="2AF8729E">
            <w:pPr>
              <w:widowControl/>
              <w:jc w:val="center"/>
              <w:rPr>
                <w:rFonts w:hint="eastAsia" w:ascii="宋体" w:hAnsi="宋体" w:eastAsia="宋体" w:cs="宋体"/>
                <w:b/>
                <w:color w:val="000000" w:themeColor="text1"/>
                <w:kern w:val="0"/>
                <w:sz w:val="21"/>
                <w:szCs w:val="21"/>
                <w:highlight w:val="none"/>
                <w14:textFill>
                  <w14:solidFill>
                    <w14:schemeClr w14:val="tx1"/>
                  </w14:solidFill>
                </w14:textFill>
              </w:rPr>
            </w:pPr>
            <w:r>
              <w:rPr>
                <w:rFonts w:hint="eastAsia" w:ascii="宋体" w:hAnsi="宋体" w:eastAsia="宋体" w:cs="宋体"/>
                <w:b/>
                <w:color w:val="000000" w:themeColor="text1"/>
                <w:kern w:val="0"/>
                <w:sz w:val="21"/>
                <w:szCs w:val="21"/>
                <w:highlight w:val="none"/>
                <w14:textFill>
                  <w14:solidFill>
                    <w14:schemeClr w14:val="tx1"/>
                  </w14:solidFill>
                </w14:textFill>
              </w:rPr>
              <w:t>分值</w:t>
            </w:r>
          </w:p>
        </w:tc>
        <w:tc>
          <w:tcPr>
            <w:tcW w:w="837" w:type="dxa"/>
            <w:tcBorders>
              <w:top w:val="single" w:color="auto" w:sz="4" w:space="0"/>
              <w:left w:val="nil"/>
              <w:bottom w:val="single" w:color="auto" w:sz="4" w:space="0"/>
              <w:right w:val="single" w:color="auto" w:sz="4" w:space="0"/>
            </w:tcBorders>
            <w:noWrap/>
            <w:vAlign w:val="center"/>
          </w:tcPr>
          <w:p w14:paraId="71A7F53F">
            <w:pPr>
              <w:widowControl/>
              <w:jc w:val="center"/>
              <w:rPr>
                <w:rFonts w:hint="eastAsia" w:ascii="宋体" w:hAnsi="宋体" w:eastAsia="宋体" w:cs="宋体"/>
                <w:b/>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b/>
                <w:color w:val="000000" w:themeColor="text1"/>
                <w:kern w:val="0"/>
                <w:sz w:val="21"/>
                <w:szCs w:val="21"/>
                <w:highlight w:val="none"/>
                <w:lang w:val="en-US" w:eastAsia="zh-CN"/>
                <w14:textFill>
                  <w14:solidFill>
                    <w14:schemeClr w14:val="tx1"/>
                  </w14:solidFill>
                </w14:textFill>
              </w:rPr>
              <w:t>评分</w:t>
            </w:r>
          </w:p>
        </w:tc>
      </w:tr>
      <w:tr w14:paraId="6EA996C5">
        <w:tblPrEx>
          <w:tblCellMar>
            <w:top w:w="0" w:type="dxa"/>
            <w:left w:w="108" w:type="dxa"/>
            <w:bottom w:w="0" w:type="dxa"/>
            <w:right w:w="108" w:type="dxa"/>
          </w:tblCellMar>
        </w:tblPrEx>
        <w:trPr>
          <w:trHeight w:val="680" w:hRule="atLeast"/>
        </w:trPr>
        <w:tc>
          <w:tcPr>
            <w:tcW w:w="767" w:type="dxa"/>
            <w:tcBorders>
              <w:top w:val="nil"/>
              <w:left w:val="single" w:color="auto" w:sz="4" w:space="0"/>
              <w:bottom w:val="single" w:color="auto" w:sz="4" w:space="0"/>
              <w:right w:val="single" w:color="auto" w:sz="4" w:space="0"/>
            </w:tcBorders>
            <w:noWrap/>
            <w:vAlign w:val="center"/>
          </w:tcPr>
          <w:p w14:paraId="78514892">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w:t>
            </w:r>
          </w:p>
        </w:tc>
        <w:tc>
          <w:tcPr>
            <w:tcW w:w="1344" w:type="dxa"/>
            <w:vMerge w:val="restart"/>
            <w:tcBorders>
              <w:top w:val="nil"/>
              <w:left w:val="single" w:color="auto" w:sz="4" w:space="0"/>
              <w:right w:val="single" w:color="auto" w:sz="4" w:space="0"/>
            </w:tcBorders>
            <w:noWrap/>
            <w:vAlign w:val="center"/>
          </w:tcPr>
          <w:p w14:paraId="4DFCEC9B">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组织管理</w:t>
            </w:r>
          </w:p>
        </w:tc>
        <w:tc>
          <w:tcPr>
            <w:tcW w:w="3895" w:type="dxa"/>
            <w:tcBorders>
              <w:top w:val="nil"/>
              <w:left w:val="nil"/>
              <w:bottom w:val="single" w:color="auto" w:sz="4" w:space="0"/>
              <w:right w:val="single" w:color="auto" w:sz="4" w:space="0"/>
            </w:tcBorders>
            <w:noWrap w:val="0"/>
            <w:vAlign w:val="center"/>
          </w:tcPr>
          <w:p w14:paraId="01355D8C">
            <w:pPr>
              <w:widowControl/>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设置项目管理机构，明确分管领导，配备专项技术团队</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r>
              <w:rPr>
                <w:rFonts w:hint="eastAsia" w:ascii="宋体" w:hAnsi="宋体" w:eastAsia="宋体" w:cs="宋体"/>
                <w:color w:val="000000" w:themeColor="text1"/>
                <w:kern w:val="0"/>
                <w:sz w:val="21"/>
                <w:szCs w:val="21"/>
                <w:highlight w:val="none"/>
                <w14:textFill>
                  <w14:solidFill>
                    <w14:schemeClr w14:val="tx1"/>
                  </w14:solidFill>
                </w14:textFill>
              </w:rPr>
              <w:t>建立</w:t>
            </w:r>
            <w:r>
              <w:rPr>
                <w:rFonts w:hint="eastAsia" w:ascii="宋体" w:hAnsi="宋体" w:cs="宋体"/>
                <w:color w:val="000000" w:themeColor="text1"/>
                <w:kern w:val="0"/>
                <w:sz w:val="21"/>
                <w:szCs w:val="21"/>
                <w:highlight w:val="none"/>
                <w:lang w:val="en-US" w:eastAsia="zh-CN"/>
                <w14:textFill>
                  <w14:solidFill>
                    <w14:schemeClr w14:val="tx1"/>
                  </w14:solidFill>
                </w14:textFill>
              </w:rPr>
              <w:t>项目</w:t>
            </w:r>
            <w:r>
              <w:rPr>
                <w:rFonts w:hint="eastAsia" w:ascii="宋体" w:hAnsi="宋体" w:eastAsia="宋体" w:cs="宋体"/>
                <w:color w:val="000000" w:themeColor="text1"/>
                <w:kern w:val="0"/>
                <w:sz w:val="21"/>
                <w:szCs w:val="21"/>
                <w:highlight w:val="none"/>
                <w14:textFill>
                  <w14:solidFill>
                    <w14:schemeClr w14:val="tx1"/>
                  </w14:solidFill>
                </w14:textFill>
              </w:rPr>
              <w:t>进度计划，</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各任务区负责人及时跟进主审，并汇报监测成果进度。</w:t>
            </w:r>
          </w:p>
        </w:tc>
        <w:tc>
          <w:tcPr>
            <w:tcW w:w="837" w:type="dxa"/>
            <w:tcBorders>
              <w:top w:val="nil"/>
              <w:left w:val="nil"/>
              <w:bottom w:val="single" w:color="auto" w:sz="4" w:space="0"/>
              <w:right w:val="single" w:color="auto" w:sz="4" w:space="0"/>
            </w:tcBorders>
            <w:noWrap/>
            <w:vAlign w:val="center"/>
          </w:tcPr>
          <w:p w14:paraId="0566C7F0">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837" w:type="dxa"/>
            <w:tcBorders>
              <w:top w:val="nil"/>
              <w:left w:val="nil"/>
              <w:bottom w:val="single" w:color="auto" w:sz="4" w:space="0"/>
              <w:right w:val="single" w:color="auto" w:sz="4" w:space="0"/>
            </w:tcBorders>
            <w:noWrap/>
            <w:vAlign w:val="center"/>
          </w:tcPr>
          <w:p w14:paraId="6E5F9277">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837" w:type="dxa"/>
            <w:tcBorders>
              <w:top w:val="nil"/>
              <w:left w:val="nil"/>
              <w:bottom w:val="single" w:color="auto" w:sz="4" w:space="0"/>
              <w:right w:val="single" w:color="auto" w:sz="4" w:space="0"/>
            </w:tcBorders>
            <w:noWrap/>
            <w:vAlign w:val="center"/>
          </w:tcPr>
          <w:p w14:paraId="4A64A5EF">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29A24B1B">
        <w:tblPrEx>
          <w:tblCellMar>
            <w:top w:w="0" w:type="dxa"/>
            <w:left w:w="108" w:type="dxa"/>
            <w:bottom w:w="0" w:type="dxa"/>
            <w:right w:w="108" w:type="dxa"/>
          </w:tblCellMar>
        </w:tblPrEx>
        <w:trPr>
          <w:trHeight w:val="680" w:hRule="atLeast"/>
        </w:trPr>
        <w:tc>
          <w:tcPr>
            <w:tcW w:w="767" w:type="dxa"/>
            <w:tcBorders>
              <w:top w:val="nil"/>
              <w:left w:val="single" w:color="auto" w:sz="4" w:space="0"/>
              <w:bottom w:val="single" w:color="auto" w:sz="4" w:space="0"/>
              <w:right w:val="single" w:color="auto" w:sz="4" w:space="0"/>
            </w:tcBorders>
            <w:noWrap/>
            <w:vAlign w:val="center"/>
          </w:tcPr>
          <w:p w14:paraId="2DBDC593">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w:t>
            </w:r>
          </w:p>
        </w:tc>
        <w:tc>
          <w:tcPr>
            <w:tcW w:w="1344" w:type="dxa"/>
            <w:vMerge w:val="continue"/>
            <w:tcBorders>
              <w:left w:val="single" w:color="auto" w:sz="4" w:space="0"/>
              <w:right w:val="single" w:color="auto" w:sz="4" w:space="0"/>
            </w:tcBorders>
            <w:noWrap w:val="0"/>
            <w:vAlign w:val="center"/>
          </w:tcPr>
          <w:p w14:paraId="63A73E5F">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3895" w:type="dxa"/>
            <w:tcBorders>
              <w:top w:val="nil"/>
              <w:left w:val="nil"/>
              <w:bottom w:val="single" w:color="auto" w:sz="4" w:space="0"/>
              <w:right w:val="single" w:color="auto" w:sz="4" w:space="0"/>
            </w:tcBorders>
            <w:noWrap w:val="0"/>
            <w:vAlign w:val="center"/>
          </w:tcPr>
          <w:p w14:paraId="675B83EB">
            <w:pPr>
              <w:widowControl/>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生产设备配备齐全（应包含高性能工作站、影像处理软件、地理信息处理软件等）</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p>
        </w:tc>
        <w:tc>
          <w:tcPr>
            <w:tcW w:w="837" w:type="dxa"/>
            <w:tcBorders>
              <w:top w:val="nil"/>
              <w:left w:val="nil"/>
              <w:bottom w:val="single" w:color="auto" w:sz="4" w:space="0"/>
              <w:right w:val="single" w:color="auto" w:sz="4" w:space="0"/>
            </w:tcBorders>
            <w:noWrap/>
            <w:vAlign w:val="center"/>
          </w:tcPr>
          <w:p w14:paraId="20625071">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837" w:type="dxa"/>
            <w:tcBorders>
              <w:top w:val="nil"/>
              <w:left w:val="nil"/>
              <w:bottom w:val="single" w:color="auto" w:sz="4" w:space="0"/>
              <w:right w:val="single" w:color="auto" w:sz="4" w:space="0"/>
            </w:tcBorders>
            <w:noWrap/>
            <w:vAlign w:val="center"/>
          </w:tcPr>
          <w:p w14:paraId="78F67F8F">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837" w:type="dxa"/>
            <w:tcBorders>
              <w:top w:val="nil"/>
              <w:left w:val="nil"/>
              <w:bottom w:val="single" w:color="auto" w:sz="4" w:space="0"/>
              <w:right w:val="single" w:color="auto" w:sz="4" w:space="0"/>
            </w:tcBorders>
            <w:noWrap/>
            <w:vAlign w:val="center"/>
          </w:tcPr>
          <w:p w14:paraId="08D2869B">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2011084C">
        <w:tblPrEx>
          <w:tblCellMar>
            <w:top w:w="0" w:type="dxa"/>
            <w:left w:w="108" w:type="dxa"/>
            <w:bottom w:w="0" w:type="dxa"/>
            <w:right w:w="108" w:type="dxa"/>
          </w:tblCellMar>
        </w:tblPrEx>
        <w:trPr>
          <w:trHeight w:val="680" w:hRule="atLeast"/>
        </w:trPr>
        <w:tc>
          <w:tcPr>
            <w:tcW w:w="767" w:type="dxa"/>
            <w:tcBorders>
              <w:top w:val="nil"/>
              <w:left w:val="single" w:color="auto" w:sz="4" w:space="0"/>
              <w:bottom w:val="single" w:color="auto" w:sz="4" w:space="0"/>
              <w:right w:val="single" w:color="auto" w:sz="4" w:space="0"/>
            </w:tcBorders>
            <w:noWrap/>
            <w:vAlign w:val="center"/>
          </w:tcPr>
          <w:p w14:paraId="6E0A24FA">
            <w:pPr>
              <w:widowControl/>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3</w:t>
            </w:r>
          </w:p>
        </w:tc>
        <w:tc>
          <w:tcPr>
            <w:tcW w:w="1344" w:type="dxa"/>
            <w:vMerge w:val="continue"/>
            <w:tcBorders>
              <w:left w:val="single" w:color="auto" w:sz="4" w:space="0"/>
              <w:bottom w:val="single" w:color="auto" w:sz="4" w:space="0"/>
              <w:right w:val="single" w:color="auto" w:sz="4" w:space="0"/>
            </w:tcBorders>
            <w:noWrap/>
            <w:vAlign w:val="center"/>
          </w:tcPr>
          <w:p w14:paraId="49917694">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3895" w:type="dxa"/>
            <w:tcBorders>
              <w:top w:val="nil"/>
              <w:left w:val="nil"/>
              <w:bottom w:val="single" w:color="auto" w:sz="4" w:space="0"/>
              <w:right w:val="single" w:color="auto" w:sz="4" w:space="0"/>
            </w:tcBorders>
            <w:noWrap w:val="0"/>
            <w:vAlign w:val="center"/>
          </w:tcPr>
          <w:p w14:paraId="2891012F">
            <w:pPr>
              <w:widowControl/>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服从审计组安排，与审计组同吃同住同劳动，按时上班，仪容整洁，注意维护审计形象。</w:t>
            </w:r>
          </w:p>
        </w:tc>
        <w:tc>
          <w:tcPr>
            <w:tcW w:w="837" w:type="dxa"/>
            <w:tcBorders>
              <w:top w:val="nil"/>
              <w:left w:val="nil"/>
              <w:bottom w:val="single" w:color="auto" w:sz="4" w:space="0"/>
              <w:right w:val="single" w:color="auto" w:sz="4" w:space="0"/>
            </w:tcBorders>
            <w:noWrap/>
            <w:vAlign w:val="center"/>
          </w:tcPr>
          <w:p w14:paraId="07ACD24B">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837" w:type="dxa"/>
            <w:tcBorders>
              <w:top w:val="nil"/>
              <w:left w:val="nil"/>
              <w:bottom w:val="single" w:color="auto" w:sz="4" w:space="0"/>
              <w:right w:val="single" w:color="auto" w:sz="4" w:space="0"/>
            </w:tcBorders>
            <w:noWrap/>
            <w:vAlign w:val="center"/>
          </w:tcPr>
          <w:p w14:paraId="3203F383">
            <w:pPr>
              <w:widowControl/>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c>
          <w:tcPr>
            <w:tcW w:w="837" w:type="dxa"/>
            <w:tcBorders>
              <w:top w:val="nil"/>
              <w:left w:val="nil"/>
              <w:bottom w:val="single" w:color="auto" w:sz="4" w:space="0"/>
              <w:right w:val="single" w:color="auto" w:sz="4" w:space="0"/>
            </w:tcBorders>
            <w:noWrap/>
            <w:vAlign w:val="center"/>
          </w:tcPr>
          <w:p w14:paraId="6BF1D53B">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3FBA2F17">
        <w:tblPrEx>
          <w:tblCellMar>
            <w:top w:w="0" w:type="dxa"/>
            <w:left w:w="108" w:type="dxa"/>
            <w:bottom w:w="0" w:type="dxa"/>
            <w:right w:w="108" w:type="dxa"/>
          </w:tblCellMar>
        </w:tblPrEx>
        <w:trPr>
          <w:trHeight w:val="680" w:hRule="atLeast"/>
        </w:trPr>
        <w:tc>
          <w:tcPr>
            <w:tcW w:w="767" w:type="dxa"/>
            <w:tcBorders>
              <w:top w:val="nil"/>
              <w:left w:val="single" w:color="auto" w:sz="4" w:space="0"/>
              <w:bottom w:val="single" w:color="auto" w:sz="4" w:space="0"/>
              <w:right w:val="single" w:color="auto" w:sz="4" w:space="0"/>
            </w:tcBorders>
            <w:noWrap/>
            <w:vAlign w:val="center"/>
          </w:tcPr>
          <w:p w14:paraId="2CBE99C8">
            <w:pPr>
              <w:widowControl/>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4</w:t>
            </w:r>
          </w:p>
        </w:tc>
        <w:tc>
          <w:tcPr>
            <w:tcW w:w="1344" w:type="dxa"/>
            <w:vMerge w:val="restart"/>
            <w:tcBorders>
              <w:top w:val="nil"/>
              <w:left w:val="single" w:color="auto" w:sz="4" w:space="0"/>
              <w:right w:val="single" w:color="auto" w:sz="4" w:space="0"/>
            </w:tcBorders>
            <w:noWrap/>
            <w:vAlign w:val="center"/>
          </w:tcPr>
          <w:p w14:paraId="26ABDF47">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纪律</w:t>
            </w:r>
            <w:r>
              <w:rPr>
                <w:rFonts w:hint="eastAsia" w:ascii="宋体" w:hAnsi="宋体" w:eastAsia="宋体" w:cs="宋体"/>
                <w:color w:val="000000" w:themeColor="text1"/>
                <w:kern w:val="0"/>
                <w:sz w:val="21"/>
                <w:szCs w:val="21"/>
                <w:highlight w:val="none"/>
                <w14:textFill>
                  <w14:solidFill>
                    <w14:schemeClr w14:val="tx1"/>
                  </w14:solidFill>
                </w14:textFill>
              </w:rPr>
              <w:t>安全</w:t>
            </w:r>
          </w:p>
        </w:tc>
        <w:tc>
          <w:tcPr>
            <w:tcW w:w="3895" w:type="dxa"/>
            <w:tcBorders>
              <w:top w:val="nil"/>
              <w:left w:val="nil"/>
              <w:bottom w:val="single" w:color="auto" w:sz="4" w:space="0"/>
              <w:right w:val="single" w:color="auto" w:sz="4" w:space="0"/>
            </w:tcBorders>
            <w:noWrap w:val="0"/>
            <w:vAlign w:val="center"/>
          </w:tcPr>
          <w:p w14:paraId="0E572A97">
            <w:pPr>
              <w:widowControl/>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签订保密协议、保密责任书,</w:t>
            </w:r>
            <w:r>
              <w:rPr>
                <w:rFonts w:hint="eastAsia" w:ascii="宋体" w:hAnsi="宋体" w:eastAsia="宋体" w:cs="宋体"/>
                <w:color w:val="000000" w:themeColor="text1"/>
                <w:kern w:val="0"/>
                <w:sz w:val="21"/>
                <w:szCs w:val="21"/>
                <w:highlight w:val="none"/>
                <w14:textFill>
                  <w14:solidFill>
                    <w14:schemeClr w14:val="tx1"/>
                  </w14:solidFill>
                </w14:textFill>
              </w:rPr>
              <w:t>明确分管领导，配备专职安全工作人员</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w:t>
            </w:r>
          </w:p>
        </w:tc>
        <w:tc>
          <w:tcPr>
            <w:tcW w:w="837" w:type="dxa"/>
            <w:tcBorders>
              <w:top w:val="nil"/>
              <w:left w:val="nil"/>
              <w:bottom w:val="single" w:color="auto" w:sz="4" w:space="0"/>
              <w:right w:val="single" w:color="auto" w:sz="4" w:space="0"/>
            </w:tcBorders>
            <w:noWrap/>
            <w:vAlign w:val="center"/>
          </w:tcPr>
          <w:p w14:paraId="67A00B9E">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837" w:type="dxa"/>
            <w:tcBorders>
              <w:top w:val="nil"/>
              <w:left w:val="nil"/>
              <w:bottom w:val="single" w:color="auto" w:sz="4" w:space="0"/>
              <w:right w:val="single" w:color="auto" w:sz="4" w:space="0"/>
            </w:tcBorders>
            <w:noWrap/>
            <w:vAlign w:val="center"/>
          </w:tcPr>
          <w:p w14:paraId="62E86928">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837" w:type="dxa"/>
            <w:tcBorders>
              <w:top w:val="nil"/>
              <w:left w:val="nil"/>
              <w:bottom w:val="single" w:color="auto" w:sz="4" w:space="0"/>
              <w:right w:val="single" w:color="auto" w:sz="4" w:space="0"/>
            </w:tcBorders>
            <w:noWrap/>
            <w:vAlign w:val="center"/>
          </w:tcPr>
          <w:p w14:paraId="36C07D05">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54357384">
        <w:tblPrEx>
          <w:tblCellMar>
            <w:top w:w="0" w:type="dxa"/>
            <w:left w:w="108" w:type="dxa"/>
            <w:bottom w:w="0" w:type="dxa"/>
            <w:right w:w="108" w:type="dxa"/>
          </w:tblCellMar>
        </w:tblPrEx>
        <w:trPr>
          <w:trHeight w:val="680" w:hRule="atLeast"/>
        </w:trPr>
        <w:tc>
          <w:tcPr>
            <w:tcW w:w="767" w:type="dxa"/>
            <w:tcBorders>
              <w:top w:val="nil"/>
              <w:left w:val="single" w:color="auto" w:sz="4" w:space="0"/>
              <w:bottom w:val="single" w:color="auto" w:sz="4" w:space="0"/>
              <w:right w:val="single" w:color="auto" w:sz="4" w:space="0"/>
            </w:tcBorders>
            <w:noWrap/>
            <w:vAlign w:val="center"/>
          </w:tcPr>
          <w:p w14:paraId="1AA3EAF4">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1344" w:type="dxa"/>
            <w:vMerge w:val="continue"/>
            <w:tcBorders>
              <w:left w:val="single" w:color="auto" w:sz="4" w:space="0"/>
              <w:right w:val="single" w:color="auto" w:sz="4" w:space="0"/>
            </w:tcBorders>
            <w:noWrap w:val="0"/>
            <w:vAlign w:val="center"/>
          </w:tcPr>
          <w:p w14:paraId="2D6548A8">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3895" w:type="dxa"/>
            <w:tcBorders>
              <w:top w:val="nil"/>
              <w:left w:val="nil"/>
              <w:bottom w:val="single" w:color="auto" w:sz="4" w:space="0"/>
              <w:right w:val="single" w:color="auto" w:sz="4" w:space="0"/>
            </w:tcBorders>
            <w:noWrap w:val="0"/>
            <w:vAlign w:val="center"/>
          </w:tcPr>
          <w:p w14:paraId="1CC6BB4B">
            <w:pPr>
              <w:widowControl/>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实施内外网隔离，数据生产均在内网执行，建立符合安全管理的工作环境</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p>
        </w:tc>
        <w:tc>
          <w:tcPr>
            <w:tcW w:w="837" w:type="dxa"/>
            <w:tcBorders>
              <w:top w:val="nil"/>
              <w:left w:val="nil"/>
              <w:bottom w:val="single" w:color="auto" w:sz="4" w:space="0"/>
              <w:right w:val="single" w:color="auto" w:sz="4" w:space="0"/>
            </w:tcBorders>
            <w:noWrap/>
            <w:vAlign w:val="center"/>
          </w:tcPr>
          <w:p w14:paraId="6959C9E4">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837" w:type="dxa"/>
            <w:tcBorders>
              <w:top w:val="nil"/>
              <w:left w:val="nil"/>
              <w:bottom w:val="single" w:color="auto" w:sz="4" w:space="0"/>
              <w:right w:val="single" w:color="auto" w:sz="4" w:space="0"/>
            </w:tcBorders>
            <w:noWrap/>
            <w:vAlign w:val="center"/>
          </w:tcPr>
          <w:p w14:paraId="50F6CF6B">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5</w:t>
            </w:r>
          </w:p>
        </w:tc>
        <w:tc>
          <w:tcPr>
            <w:tcW w:w="837" w:type="dxa"/>
            <w:tcBorders>
              <w:top w:val="nil"/>
              <w:left w:val="nil"/>
              <w:bottom w:val="single" w:color="auto" w:sz="4" w:space="0"/>
              <w:right w:val="single" w:color="auto" w:sz="4" w:space="0"/>
            </w:tcBorders>
            <w:noWrap/>
            <w:vAlign w:val="center"/>
          </w:tcPr>
          <w:p w14:paraId="42A43B7B">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5A93AE0A">
        <w:tblPrEx>
          <w:tblCellMar>
            <w:top w:w="0" w:type="dxa"/>
            <w:left w:w="108" w:type="dxa"/>
            <w:bottom w:w="0" w:type="dxa"/>
            <w:right w:w="108" w:type="dxa"/>
          </w:tblCellMar>
        </w:tblPrEx>
        <w:trPr>
          <w:trHeight w:val="680" w:hRule="atLeast"/>
        </w:trPr>
        <w:tc>
          <w:tcPr>
            <w:tcW w:w="767" w:type="dxa"/>
            <w:tcBorders>
              <w:top w:val="nil"/>
              <w:left w:val="single" w:color="auto" w:sz="4" w:space="0"/>
              <w:bottom w:val="single" w:color="auto" w:sz="4" w:space="0"/>
              <w:right w:val="single" w:color="auto" w:sz="4" w:space="0"/>
            </w:tcBorders>
            <w:noWrap/>
            <w:vAlign w:val="center"/>
          </w:tcPr>
          <w:p w14:paraId="122AE090">
            <w:pPr>
              <w:widowControl/>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6</w:t>
            </w:r>
          </w:p>
        </w:tc>
        <w:tc>
          <w:tcPr>
            <w:tcW w:w="1344" w:type="dxa"/>
            <w:vMerge w:val="continue"/>
            <w:tcBorders>
              <w:left w:val="single" w:color="auto" w:sz="4" w:space="0"/>
              <w:bottom w:val="single" w:color="auto" w:sz="4" w:space="0"/>
              <w:right w:val="single" w:color="auto" w:sz="4" w:space="0"/>
            </w:tcBorders>
            <w:noWrap/>
            <w:vAlign w:val="center"/>
          </w:tcPr>
          <w:p w14:paraId="123A28A0">
            <w:pPr>
              <w:widowControl/>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3895" w:type="dxa"/>
            <w:tcBorders>
              <w:top w:val="nil"/>
              <w:left w:val="nil"/>
              <w:bottom w:val="single" w:color="auto" w:sz="4" w:space="0"/>
              <w:right w:val="single" w:color="auto" w:sz="4" w:space="0"/>
            </w:tcBorders>
            <w:noWrap w:val="0"/>
            <w:vAlign w:val="center"/>
          </w:tcPr>
          <w:p w14:paraId="13A8B4EB">
            <w:pPr>
              <w:widowControl/>
              <w:tabs>
                <w:tab w:val="left" w:pos="1038"/>
              </w:tabs>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cs="宋体"/>
                <w:color w:val="000000" w:themeColor="text1"/>
                <w:kern w:val="0"/>
                <w:sz w:val="21"/>
                <w:szCs w:val="21"/>
                <w:highlight w:val="none"/>
                <w:lang w:val="en-US" w:eastAsia="zh-CN"/>
                <w14:textFill>
                  <w14:solidFill>
                    <w14:schemeClr w14:val="tx1"/>
                  </w14:solidFill>
                </w14:textFill>
              </w:rPr>
              <w:t>遵守</w:t>
            </w: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审计工作纪律、保密纪律，保障审计项目资料、技术服务成果的完整性和安全性。遵纪守法，廉洁服务，不吃拿卡要。</w:t>
            </w:r>
          </w:p>
        </w:tc>
        <w:tc>
          <w:tcPr>
            <w:tcW w:w="837" w:type="dxa"/>
            <w:tcBorders>
              <w:top w:val="nil"/>
              <w:left w:val="nil"/>
              <w:bottom w:val="single" w:color="auto" w:sz="4" w:space="0"/>
              <w:right w:val="single" w:color="auto" w:sz="4" w:space="0"/>
            </w:tcBorders>
            <w:noWrap/>
            <w:vAlign w:val="center"/>
          </w:tcPr>
          <w:p w14:paraId="3E5144EE">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837" w:type="dxa"/>
            <w:tcBorders>
              <w:top w:val="nil"/>
              <w:left w:val="nil"/>
              <w:bottom w:val="single" w:color="auto" w:sz="4" w:space="0"/>
              <w:right w:val="single" w:color="auto" w:sz="4" w:space="0"/>
            </w:tcBorders>
            <w:noWrap/>
            <w:vAlign w:val="center"/>
          </w:tcPr>
          <w:p w14:paraId="11848D46">
            <w:pPr>
              <w:widowControl/>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10</w:t>
            </w:r>
          </w:p>
        </w:tc>
        <w:tc>
          <w:tcPr>
            <w:tcW w:w="837" w:type="dxa"/>
            <w:tcBorders>
              <w:top w:val="nil"/>
              <w:left w:val="nil"/>
              <w:bottom w:val="single" w:color="auto" w:sz="4" w:space="0"/>
              <w:right w:val="single" w:color="auto" w:sz="4" w:space="0"/>
            </w:tcBorders>
            <w:noWrap/>
            <w:vAlign w:val="center"/>
          </w:tcPr>
          <w:p w14:paraId="26A86365">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38F6BADF">
        <w:tblPrEx>
          <w:tblCellMar>
            <w:top w:w="0" w:type="dxa"/>
            <w:left w:w="108" w:type="dxa"/>
            <w:bottom w:w="0" w:type="dxa"/>
            <w:right w:w="108" w:type="dxa"/>
          </w:tblCellMar>
        </w:tblPrEx>
        <w:trPr>
          <w:trHeight w:val="680" w:hRule="atLeast"/>
        </w:trPr>
        <w:tc>
          <w:tcPr>
            <w:tcW w:w="767" w:type="dxa"/>
            <w:tcBorders>
              <w:top w:val="nil"/>
              <w:left w:val="single" w:color="auto" w:sz="4" w:space="0"/>
              <w:bottom w:val="single" w:color="auto" w:sz="4" w:space="0"/>
              <w:right w:val="single" w:color="auto" w:sz="4" w:space="0"/>
            </w:tcBorders>
            <w:noWrap/>
            <w:vAlign w:val="center"/>
          </w:tcPr>
          <w:p w14:paraId="7066379C">
            <w:pPr>
              <w:widowControl/>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7</w:t>
            </w:r>
          </w:p>
        </w:tc>
        <w:tc>
          <w:tcPr>
            <w:tcW w:w="1344" w:type="dxa"/>
            <w:vMerge w:val="restart"/>
            <w:tcBorders>
              <w:top w:val="nil"/>
              <w:left w:val="single" w:color="auto" w:sz="4" w:space="0"/>
              <w:bottom w:val="single" w:color="auto" w:sz="4" w:space="0"/>
              <w:right w:val="single" w:color="auto" w:sz="4" w:space="0"/>
            </w:tcBorders>
            <w:noWrap/>
            <w:vAlign w:val="center"/>
          </w:tcPr>
          <w:p w14:paraId="2B10C159">
            <w:pPr>
              <w:widowControl/>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服务质量</w:t>
            </w:r>
          </w:p>
        </w:tc>
        <w:tc>
          <w:tcPr>
            <w:tcW w:w="3895" w:type="dxa"/>
            <w:tcBorders>
              <w:top w:val="nil"/>
              <w:left w:val="nil"/>
              <w:bottom w:val="single" w:color="auto" w:sz="4" w:space="0"/>
              <w:right w:val="single" w:color="auto" w:sz="4" w:space="0"/>
            </w:tcBorders>
            <w:noWrap w:val="0"/>
            <w:vAlign w:val="center"/>
          </w:tcPr>
          <w:p w14:paraId="0F2B659E">
            <w:pPr>
              <w:widowControl/>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按时提交分析成果且成果精准丰富，错误少、误差小，能根据审计组工作需求调整分析方向、细化分析成果，充分服务审计</w:t>
            </w:r>
            <w:r>
              <w:rPr>
                <w:rFonts w:hint="eastAsia" w:ascii="宋体" w:hAnsi="宋体" w:eastAsia="宋体" w:cs="宋体"/>
                <w:color w:val="000000" w:themeColor="text1"/>
                <w:kern w:val="0"/>
                <w:sz w:val="21"/>
                <w:szCs w:val="21"/>
                <w:highlight w:val="none"/>
                <w14:textFill>
                  <w14:solidFill>
                    <w14:schemeClr w14:val="tx1"/>
                  </w14:solidFill>
                </w14:textFill>
              </w:rPr>
              <w:t>取证过程</w:t>
            </w:r>
            <w:r>
              <w:rPr>
                <w:rFonts w:hint="eastAsia" w:ascii="宋体" w:hAnsi="宋体" w:eastAsia="宋体" w:cs="宋体"/>
                <w:color w:val="000000" w:themeColor="text1"/>
                <w:kern w:val="0"/>
                <w:sz w:val="21"/>
                <w:szCs w:val="21"/>
                <w:highlight w:val="none"/>
                <w:lang w:eastAsia="zh-CN"/>
                <w14:textFill>
                  <w14:solidFill>
                    <w14:schemeClr w14:val="tx1"/>
                  </w14:solidFill>
                </w14:textFill>
              </w:rPr>
              <w:t>。</w:t>
            </w:r>
          </w:p>
        </w:tc>
        <w:tc>
          <w:tcPr>
            <w:tcW w:w="837" w:type="dxa"/>
            <w:tcBorders>
              <w:top w:val="nil"/>
              <w:left w:val="nil"/>
              <w:bottom w:val="single" w:color="auto" w:sz="4" w:space="0"/>
              <w:right w:val="single" w:color="auto" w:sz="4" w:space="0"/>
            </w:tcBorders>
            <w:noWrap/>
            <w:vAlign w:val="center"/>
          </w:tcPr>
          <w:p w14:paraId="06EFA6A7">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837" w:type="dxa"/>
            <w:tcBorders>
              <w:top w:val="nil"/>
              <w:left w:val="nil"/>
              <w:bottom w:val="single" w:color="auto" w:sz="4" w:space="0"/>
              <w:right w:val="single" w:color="auto" w:sz="4" w:space="0"/>
            </w:tcBorders>
            <w:noWrap/>
            <w:vAlign w:val="center"/>
          </w:tcPr>
          <w:p w14:paraId="0109827A">
            <w:pPr>
              <w:widowControl/>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20</w:t>
            </w:r>
          </w:p>
        </w:tc>
        <w:tc>
          <w:tcPr>
            <w:tcW w:w="837" w:type="dxa"/>
            <w:tcBorders>
              <w:top w:val="nil"/>
              <w:left w:val="nil"/>
              <w:bottom w:val="single" w:color="auto" w:sz="4" w:space="0"/>
              <w:right w:val="single" w:color="auto" w:sz="4" w:space="0"/>
            </w:tcBorders>
            <w:noWrap/>
            <w:vAlign w:val="center"/>
          </w:tcPr>
          <w:p w14:paraId="281A0AD0">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09D3E93B">
        <w:tblPrEx>
          <w:tblCellMar>
            <w:top w:w="0" w:type="dxa"/>
            <w:left w:w="108" w:type="dxa"/>
            <w:bottom w:w="0" w:type="dxa"/>
            <w:right w:w="108" w:type="dxa"/>
          </w:tblCellMar>
        </w:tblPrEx>
        <w:trPr>
          <w:trHeight w:val="680" w:hRule="atLeast"/>
        </w:trPr>
        <w:tc>
          <w:tcPr>
            <w:tcW w:w="767" w:type="dxa"/>
            <w:tcBorders>
              <w:top w:val="nil"/>
              <w:left w:val="single" w:color="auto" w:sz="4" w:space="0"/>
              <w:bottom w:val="single" w:color="auto" w:sz="4" w:space="0"/>
              <w:right w:val="single" w:color="auto" w:sz="4" w:space="0"/>
            </w:tcBorders>
            <w:noWrap/>
            <w:vAlign w:val="center"/>
          </w:tcPr>
          <w:p w14:paraId="315E2C32">
            <w:pPr>
              <w:widowControl/>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8</w:t>
            </w:r>
          </w:p>
        </w:tc>
        <w:tc>
          <w:tcPr>
            <w:tcW w:w="1344" w:type="dxa"/>
            <w:vMerge w:val="continue"/>
            <w:tcBorders>
              <w:top w:val="nil"/>
              <w:left w:val="single" w:color="auto" w:sz="4" w:space="0"/>
              <w:bottom w:val="single" w:color="auto" w:sz="4" w:space="0"/>
              <w:right w:val="single" w:color="auto" w:sz="4" w:space="0"/>
            </w:tcBorders>
            <w:noWrap w:val="0"/>
            <w:vAlign w:val="center"/>
          </w:tcPr>
          <w:p w14:paraId="222550B6">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3895" w:type="dxa"/>
            <w:tcBorders>
              <w:top w:val="nil"/>
              <w:left w:val="nil"/>
              <w:bottom w:val="single" w:color="auto" w:sz="4" w:space="0"/>
              <w:right w:val="single" w:color="auto" w:sz="4" w:space="0"/>
            </w:tcBorders>
            <w:noWrap w:val="0"/>
            <w:vAlign w:val="center"/>
          </w:tcPr>
          <w:p w14:paraId="688F8FEE">
            <w:pPr>
              <w:widowControl/>
              <w:rPr>
                <w:rFonts w:hint="eastAsia" w:ascii="宋体" w:hAnsi="宋体" w:eastAsia="宋体" w:cs="宋体"/>
                <w:color w:val="000000" w:themeColor="text1"/>
                <w:kern w:val="0"/>
                <w:sz w:val="21"/>
                <w:szCs w:val="21"/>
                <w:highlight w:val="none"/>
                <w:lang w:val="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配合审计组按时完成工作方案规定的外业核查任务比例，对被审计单位异议较大的疑点再核查、再分析，确保审计技术分析精准、高</w:t>
            </w:r>
            <w:r>
              <w:rPr>
                <w:rFonts w:hint="eastAsia" w:ascii="宋体" w:hAnsi="宋体" w:eastAsia="宋体" w:cs="宋体"/>
                <w:color w:val="000000" w:themeColor="text1"/>
                <w:kern w:val="0"/>
                <w:sz w:val="21"/>
                <w:szCs w:val="21"/>
                <w:highlight w:val="none"/>
                <w14:textFill>
                  <w14:solidFill>
                    <w14:schemeClr w14:val="tx1"/>
                  </w14:solidFill>
                </w14:textFill>
              </w:rPr>
              <w:t>效。</w:t>
            </w:r>
          </w:p>
        </w:tc>
        <w:tc>
          <w:tcPr>
            <w:tcW w:w="837" w:type="dxa"/>
            <w:tcBorders>
              <w:top w:val="nil"/>
              <w:left w:val="nil"/>
              <w:bottom w:val="single" w:color="auto" w:sz="4" w:space="0"/>
              <w:right w:val="single" w:color="auto" w:sz="4" w:space="0"/>
            </w:tcBorders>
            <w:noWrap/>
            <w:vAlign w:val="center"/>
          </w:tcPr>
          <w:p w14:paraId="48B3F1F5">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837" w:type="dxa"/>
            <w:tcBorders>
              <w:top w:val="nil"/>
              <w:left w:val="nil"/>
              <w:bottom w:val="single" w:color="auto" w:sz="4" w:space="0"/>
              <w:right w:val="single" w:color="auto" w:sz="4" w:space="0"/>
            </w:tcBorders>
            <w:noWrap/>
            <w:vAlign w:val="center"/>
          </w:tcPr>
          <w:p w14:paraId="603E2CB4">
            <w:pPr>
              <w:widowControl/>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20</w:t>
            </w:r>
          </w:p>
        </w:tc>
        <w:tc>
          <w:tcPr>
            <w:tcW w:w="837" w:type="dxa"/>
            <w:tcBorders>
              <w:top w:val="nil"/>
              <w:left w:val="nil"/>
              <w:bottom w:val="single" w:color="auto" w:sz="4" w:space="0"/>
              <w:right w:val="single" w:color="auto" w:sz="4" w:space="0"/>
            </w:tcBorders>
            <w:noWrap/>
            <w:vAlign w:val="center"/>
          </w:tcPr>
          <w:p w14:paraId="722A2969">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r>
      <w:tr w14:paraId="44D14B9C">
        <w:tblPrEx>
          <w:tblCellMar>
            <w:top w:w="0" w:type="dxa"/>
            <w:left w:w="108" w:type="dxa"/>
            <w:bottom w:w="0" w:type="dxa"/>
            <w:right w:w="108" w:type="dxa"/>
          </w:tblCellMar>
        </w:tblPrEx>
        <w:trPr>
          <w:trHeight w:val="680" w:hRule="atLeast"/>
        </w:trPr>
        <w:tc>
          <w:tcPr>
            <w:tcW w:w="767" w:type="dxa"/>
            <w:tcBorders>
              <w:top w:val="nil"/>
              <w:left w:val="single" w:color="auto" w:sz="4" w:space="0"/>
              <w:bottom w:val="single" w:color="auto" w:sz="4" w:space="0"/>
              <w:right w:val="single" w:color="auto" w:sz="4" w:space="0"/>
            </w:tcBorders>
            <w:noWrap/>
            <w:vAlign w:val="center"/>
          </w:tcPr>
          <w:p w14:paraId="4194917F">
            <w:pPr>
              <w:widowControl/>
              <w:jc w:val="center"/>
              <w:rPr>
                <w:rFonts w:hint="eastAsia" w:ascii="宋体" w:hAnsi="宋体" w:eastAsia="宋体" w:cs="宋体"/>
                <w:color w:val="000000" w:themeColor="text1"/>
                <w:kern w:val="0"/>
                <w:sz w:val="21"/>
                <w:szCs w:val="21"/>
                <w:highlight w:val="none"/>
                <w:lang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9</w:t>
            </w:r>
          </w:p>
        </w:tc>
        <w:tc>
          <w:tcPr>
            <w:tcW w:w="1344" w:type="dxa"/>
            <w:vMerge w:val="continue"/>
            <w:tcBorders>
              <w:top w:val="nil"/>
              <w:left w:val="single" w:color="auto" w:sz="4" w:space="0"/>
              <w:bottom w:val="single" w:color="auto" w:sz="4" w:space="0"/>
              <w:right w:val="single" w:color="auto" w:sz="4" w:space="0"/>
            </w:tcBorders>
            <w:noWrap w:val="0"/>
            <w:vAlign w:val="center"/>
          </w:tcPr>
          <w:p w14:paraId="404926B8">
            <w:pPr>
              <w:widowControl/>
              <w:jc w:val="center"/>
              <w:rPr>
                <w:rFonts w:hint="eastAsia" w:ascii="宋体" w:hAnsi="宋体" w:eastAsia="宋体" w:cs="宋体"/>
                <w:color w:val="000000" w:themeColor="text1"/>
                <w:kern w:val="0"/>
                <w:sz w:val="21"/>
                <w:szCs w:val="21"/>
                <w:highlight w:val="none"/>
                <w14:textFill>
                  <w14:solidFill>
                    <w14:schemeClr w14:val="tx1"/>
                  </w14:solidFill>
                </w14:textFill>
              </w:rPr>
            </w:pPr>
          </w:p>
        </w:tc>
        <w:tc>
          <w:tcPr>
            <w:tcW w:w="3895" w:type="dxa"/>
            <w:tcBorders>
              <w:top w:val="nil"/>
              <w:left w:val="nil"/>
              <w:bottom w:val="single" w:color="auto" w:sz="4" w:space="0"/>
              <w:right w:val="single" w:color="auto" w:sz="4" w:space="0"/>
            </w:tcBorders>
            <w:noWrap w:val="0"/>
            <w:vAlign w:val="center"/>
          </w:tcPr>
          <w:p w14:paraId="17B1E1B5">
            <w:pPr>
              <w:widowControl/>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审计分析疑点成果转化率高，成果汇总表格、资料、文件完整整洁，在现场审计结束后持续配合审计组完成该项目相关审计成果开发。</w:t>
            </w:r>
          </w:p>
        </w:tc>
        <w:tc>
          <w:tcPr>
            <w:tcW w:w="837" w:type="dxa"/>
            <w:tcBorders>
              <w:top w:val="nil"/>
              <w:left w:val="nil"/>
              <w:bottom w:val="single" w:color="auto" w:sz="4" w:space="0"/>
              <w:right w:val="single" w:color="auto" w:sz="4" w:space="0"/>
            </w:tcBorders>
            <w:noWrap/>
            <w:vAlign w:val="center"/>
          </w:tcPr>
          <w:p w14:paraId="0EB8F9C8">
            <w:pPr>
              <w:widowControl/>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c>
          <w:tcPr>
            <w:tcW w:w="837" w:type="dxa"/>
            <w:tcBorders>
              <w:top w:val="nil"/>
              <w:left w:val="nil"/>
              <w:bottom w:val="single" w:color="auto" w:sz="4" w:space="0"/>
              <w:right w:val="single" w:color="auto" w:sz="4" w:space="0"/>
            </w:tcBorders>
            <w:noWrap/>
            <w:vAlign w:val="center"/>
          </w:tcPr>
          <w:p w14:paraId="644518E0">
            <w:pPr>
              <w:widowControl/>
              <w:jc w:val="center"/>
              <w:rPr>
                <w:rFonts w:hint="eastAsia" w:ascii="宋体" w:hAnsi="宋体" w:eastAsia="宋体" w:cs="宋体"/>
                <w:color w:val="000000" w:themeColor="text1"/>
                <w:kern w:val="0"/>
                <w:sz w:val="21"/>
                <w:szCs w:val="21"/>
                <w:highlight w:val="none"/>
                <w:lang w:val="en-US"/>
                <w14:textFill>
                  <w14:solidFill>
                    <w14:schemeClr w14:val="tx1"/>
                  </w14:solidFill>
                </w14:textFill>
              </w:rPr>
            </w:pPr>
            <w: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t>20</w:t>
            </w:r>
          </w:p>
        </w:tc>
        <w:tc>
          <w:tcPr>
            <w:tcW w:w="837" w:type="dxa"/>
            <w:tcBorders>
              <w:top w:val="nil"/>
              <w:left w:val="nil"/>
              <w:bottom w:val="single" w:color="auto" w:sz="4" w:space="0"/>
              <w:right w:val="single" w:color="auto" w:sz="4" w:space="0"/>
            </w:tcBorders>
            <w:noWrap/>
            <w:vAlign w:val="center"/>
          </w:tcPr>
          <w:p w14:paraId="1CBB01FF">
            <w:pPr>
              <w:widowControl/>
              <w:jc w:val="center"/>
              <w:rPr>
                <w:rFonts w:hint="eastAsia" w:ascii="宋体" w:hAnsi="宋体" w:eastAsia="宋体" w:cs="宋体"/>
                <w:color w:val="000000" w:themeColor="text1"/>
                <w:kern w:val="0"/>
                <w:sz w:val="21"/>
                <w:szCs w:val="21"/>
                <w:highlight w:val="none"/>
                <w:lang w:val="en-US" w:eastAsia="zh-CN"/>
                <w14:textFill>
                  <w14:solidFill>
                    <w14:schemeClr w14:val="tx1"/>
                  </w14:solidFill>
                </w14:textFill>
              </w:rPr>
            </w:pPr>
          </w:p>
        </w:tc>
      </w:tr>
    </w:tbl>
    <w:p w14:paraId="0BCBE3DF">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考核等级设计如下：</w:t>
      </w:r>
    </w:p>
    <w:p w14:paraId="4C1190DE">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优  秀：分值≥90</w:t>
      </w:r>
    </w:p>
    <w:p w14:paraId="313F0827">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良  好：90＞分值≥80</w:t>
      </w:r>
    </w:p>
    <w:p w14:paraId="63CA8118">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合  格：80＞分值≥60</w:t>
      </w:r>
    </w:p>
    <w:p w14:paraId="6474C6D2">
      <w:pP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不合格：分值＜60</w:t>
      </w:r>
    </w:p>
    <w:p w14:paraId="4FB59DA1"/>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AFF" w:usb1="C0007841" w:usb2="00000009" w:usb3="00000000" w:csb0="400001FF" w:csb1="FFFF0000"/>
  </w:font>
  <w:font w:name="宋体">
    <w:panose1 w:val="02010600030101010101"/>
    <w:charset w:val="2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A2AE3F"/>
    <w:multiLevelType w:val="singleLevel"/>
    <w:tmpl w:val="A3A2AE3F"/>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CE342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Body Text First Indent 2"/>
    <w:basedOn w:val="3"/>
    <w:next w:val="1"/>
    <w:qFormat/>
    <w:uiPriority w:val="0"/>
    <w:pPr>
      <w:autoSpaceDE w:val="0"/>
      <w:autoSpaceDN w:val="0"/>
      <w:adjustRightInd w:val="0"/>
      <w:ind w:firstLine="420"/>
      <w:jc w:val="left"/>
    </w:pPr>
    <w:rPr>
      <w:rFonts w:ascii="Calibri" w:hAnsi="Calibri" w:eastAsia="宋体" w:cs="Times New Roman"/>
      <w:kern w:val="0"/>
    </w:rPr>
  </w:style>
  <w:style w:type="paragraph" w:styleId="3">
    <w:name w:val="Body Text Indent"/>
    <w:basedOn w:val="1"/>
    <w:next w:val="4"/>
    <w:uiPriority w:val="0"/>
    <w:pPr>
      <w:spacing w:after="120"/>
      <w:ind w:left="420" w:leftChars="200"/>
    </w:pPr>
  </w:style>
  <w:style w:type="paragraph" w:customStyle="1" w:styleId="4">
    <w:name w:val="样式 正文文本缩进 + 首行缩进:  2 字符 行距: 1.5 倍行距"/>
    <w:basedOn w:val="3"/>
    <w:qFormat/>
    <w:uiPriority w:val="0"/>
  </w:style>
  <w:style w:type="paragraph" w:styleId="7">
    <w:name w:val="footnote text"/>
    <w:basedOn w:val="1"/>
    <w:next w:val="2"/>
    <w:qFormat/>
    <w:uiPriority w:val="0"/>
    <w:pPr>
      <w:snapToGrid w:val="0"/>
      <w:jc w:val="left"/>
    </w:pPr>
    <w:rPr>
      <w:sz w:val="18"/>
      <w:szCs w:val="18"/>
    </w:rPr>
  </w:style>
  <w:style w:type="paragraph" w:customStyle="1" w:styleId="10">
    <w:name w:val="正文 缩进2字符"/>
    <w:basedOn w:val="1"/>
    <w:qFormat/>
    <w:uiPriority w:val="0"/>
    <w:pPr>
      <w:snapToGrid w:val="0"/>
      <w:ind w:firstLine="480" w:firstLineChars="200"/>
    </w:pPr>
    <w:rPr>
      <w:rFonts w:eastAsia="宋体" w:cs="宋体"/>
      <w:szCs w:val="20"/>
    </w:rPr>
  </w:style>
  <w:style w:type="paragraph" w:customStyle="1" w:styleId="11">
    <w:name w:val="正文_0"/>
    <w:next w:val="2"/>
    <w:qFormat/>
    <w:uiPriority w:val="0"/>
    <w:pPr>
      <w:widowControl w:val="0"/>
      <w:jc w:val="both"/>
    </w:pPr>
    <w:rPr>
      <w:rFonts w:ascii="Calibri" w:hAnsi="Calibri" w:eastAsia="宋体" w:cs="Times New Roman"/>
      <w:kern w:val="2"/>
      <w:sz w:val="21"/>
      <w:szCs w:val="22"/>
      <w:lang w:val="en-US" w:eastAsia="zh-CN" w:bidi="ar-SA"/>
    </w:rPr>
  </w:style>
  <w:style w:type="table" w:customStyle="1" w:styleId="12">
    <w:name w:val="网格型_0"/>
    <w:basedOn w:val="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0</TotalTime>
  <ScaleCrop>false</ScaleCrop>
  <LinksUpToDate>false</LinksUpToDate>
  <CharactersWithSpaces>0</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2025-04-30T03:01:44Z</dcterms:created>
  <dc:creator>Administrator</dc:creator>
  <cp:lastModifiedBy>AAAA</cp:lastModifiedBy>
  <dcterms:modified xsi:type="dcterms:W3CDTF">2025-04-30T03:02:14Z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KSOTemplateDocerSaveRecord">
    <vt:lpwstr>eyJoZGlkIjoiNmI3NTliMTQ5ZTFhMTE2OTI0NWJlMjcwMzE1MDlmYjUiLCJ1c2VySWQiOiIzNjQ1NTQwNDkifQ==</vt:lpwstr>
  </property>
  <property fmtid="{D5CDD505-2E9C-101B-9397-08002B2CF9AE}" pid="4" name="ICV">
    <vt:lpwstr>3A898FD9F29A412BB3DFD96917C67626_12</vt:lpwstr>
  </property>
</Properties>
</file>