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版本号：N511126202600002420260520001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交通事故检验鉴定服务项目采购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N5111262026000024</w:t>
      </w:r>
    </w:p>
    <w:p>
      <w:pPr>
        <w:pStyle w:val="null3"/>
        <w:jc w:val="center"/>
        <w:outlineLvl w:val="2"/>
      </w:pPr>
      <w:r>
        <w:rPr>
          <w:rFonts w:ascii="仿宋_GB2312" w:hAnsi="仿宋_GB2312" w:cs="仿宋_GB2312" w:eastAsia="仿宋_GB2312"/>
          <w:sz w:val="28"/>
          <w:b/>
        </w:rPr>
        <w:t>夹江县公安局交通管理大队</w:t>
      </w:r>
    </w:p>
    <w:p>
      <w:pPr>
        <w:pStyle w:val="null3"/>
        <w:jc w:val="center"/>
        <w:outlineLvl w:val="2"/>
      </w:pPr>
      <w:r>
        <w:rPr>
          <w:rFonts w:ascii="仿宋_GB2312" w:hAnsi="仿宋_GB2312" w:cs="仿宋_GB2312" w:eastAsia="仿宋_GB2312"/>
          <w:sz w:val="28"/>
          <w:b/>
        </w:rPr>
        <w:t>四川圆收工程管理有限公司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四川圆收工程管理有限公司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夹江县公安局交通管理大队</w:t>
      </w:r>
      <w:r>
        <w:rPr>
          <w:rFonts w:ascii="仿宋_GB2312" w:hAnsi="仿宋_GB2312" w:cs="仿宋_GB2312" w:eastAsia="仿宋_GB2312"/>
        </w:rPr>
        <w:t xml:space="preserve"> 委托，拟对 </w:t>
      </w:r>
      <w:r>
        <w:rPr>
          <w:rFonts w:ascii="仿宋_GB2312" w:hAnsi="仿宋_GB2312" w:cs="仿宋_GB2312" w:eastAsia="仿宋_GB2312"/>
        </w:rPr>
        <w:t>交通事故检验鉴定服务项目采购</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乐山市夹江县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N5111262026000024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交通事故检验鉴定服务项目采购</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本项目拟采用竞争性磋商的方式确定1家供应商，为夹江县公安局交通管理大队提供交通事故检验鉴定服务项目采购，服务期为3年。</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具备司法行政管理部门（省司法厅或直辖市司法局）核发的《司法鉴定许可证》。（描述：供应商具备司法行政管理部门（省司法厅或直辖市司法局）核发的《司法鉴定许可证》。（提供相关证书复印件及证明材料加盖供应商电子印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夹江县公安局交通管理大队</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夹江县迎春南路90号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雷老师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0833-5663456</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四川圆收工程管理有限公司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四川省乐山市市中区乐山市市中区平江东街17号1幢1单元2-6楼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0833-2499922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采购包1：900,000.00元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代理服务费收费标准：按项目3年最高限价的1.2%收取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夹江县公安局交通管理大队</w:t>
      </w:r>
      <w:r>
        <w:rPr>
          <w:rFonts w:ascii="仿宋_GB2312" w:hAnsi="仿宋_GB2312" w:cs="仿宋_GB2312" w:eastAsia="仿宋_GB2312"/>
        </w:rPr>
        <w:t xml:space="preserve"> 和 </w:t>
      </w:r>
      <w:r>
        <w:rPr>
          <w:rFonts w:ascii="仿宋_GB2312" w:hAnsi="仿宋_GB2312" w:cs="仿宋_GB2312" w:eastAsia="仿宋_GB2312"/>
        </w:rPr>
        <w:t>四川圆收工程管理有限公司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夹江县公安局交通管理大队</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四川圆收工程管理有限公司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第一季度服务完成后 </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 xml:space="preserve">第二季度服务完成后 </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 xml:space="preserve">第三季度服务完成后 </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4、</w:t>
      </w:r>
      <w:r>
        <w:rPr>
          <w:rFonts w:ascii="仿宋_GB2312" w:hAnsi="仿宋_GB2312" w:cs="仿宋_GB2312" w:eastAsia="仿宋_GB2312"/>
        </w:rPr>
        <w:t xml:space="preserve"> 验收条件说明： </w:t>
      </w:r>
      <w:r>
        <w:rPr>
          <w:rFonts w:ascii="仿宋_GB2312" w:hAnsi="仿宋_GB2312" w:cs="仿宋_GB2312" w:eastAsia="仿宋_GB2312"/>
        </w:rPr>
        <w:t xml:space="preserve">第四季度服务完成后 </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以采购文件上的规定为准</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以采购文件上的规定为准</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乐市财政采【2021】8号关于沿用《乐山市政府采购项目需求论证和履约验收管理实施细则》及国家、地方和行业相关规定、磋商文件、供应商响应文件、承诺以及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夹江县公安局交通管理大队</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四川圆收工程管理有限公司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四川圆收工程管理有限公司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联系人：杨老师</w:t>
      </w:r>
    </w:p>
    <w:p>
      <w:pPr>
        <w:pStyle w:val="null3"/>
        <w:jc w:val="left"/>
      </w:pPr>
      <w:r>
        <w:rPr>
          <w:rFonts w:ascii="仿宋_GB2312" w:hAnsi="仿宋_GB2312" w:cs="仿宋_GB2312" w:eastAsia="仿宋_GB2312"/>
        </w:rPr>
        <w:t>联系电话：0833-2499922</w:t>
      </w:r>
    </w:p>
    <w:p>
      <w:pPr>
        <w:pStyle w:val="null3"/>
        <w:jc w:val="left"/>
      </w:pPr>
      <w:r>
        <w:rPr>
          <w:rFonts w:ascii="仿宋_GB2312" w:hAnsi="仿宋_GB2312" w:cs="仿宋_GB2312" w:eastAsia="仿宋_GB2312"/>
        </w:rPr>
        <w:t>地址：乐山市市中区平江东街17号</w:t>
      </w:r>
    </w:p>
    <w:p>
      <w:pPr>
        <w:pStyle w:val="null3"/>
        <w:jc w:val="left"/>
      </w:pPr>
      <w:r>
        <w:rPr>
          <w:rFonts w:ascii="仿宋_GB2312" w:hAnsi="仿宋_GB2312" w:cs="仿宋_GB2312" w:eastAsia="仿宋_GB2312"/>
        </w:rPr>
        <w:t>邮编：614000</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联系人：雷老师</w:t>
      </w:r>
    </w:p>
    <w:p>
      <w:pPr>
        <w:pStyle w:val="null3"/>
        <w:jc w:val="left"/>
      </w:pPr>
      <w:r>
        <w:rPr>
          <w:rFonts w:ascii="仿宋_GB2312" w:hAnsi="仿宋_GB2312" w:cs="仿宋_GB2312" w:eastAsia="仿宋_GB2312"/>
        </w:rPr>
        <w:t>联系电话：0833-5663456</w:t>
      </w:r>
    </w:p>
    <w:p>
      <w:pPr>
        <w:pStyle w:val="null3"/>
        <w:jc w:val="left"/>
      </w:pPr>
      <w:r>
        <w:rPr>
          <w:rFonts w:ascii="仿宋_GB2312" w:hAnsi="仿宋_GB2312" w:cs="仿宋_GB2312" w:eastAsia="仿宋_GB2312"/>
        </w:rPr>
        <w:t>地址：夹江县迎春南路90号</w:t>
      </w:r>
    </w:p>
    <w:p>
      <w:pPr>
        <w:pStyle w:val="null3"/>
        <w:jc w:val="left"/>
      </w:pPr>
      <w:r>
        <w:rPr>
          <w:rFonts w:ascii="仿宋_GB2312" w:hAnsi="仿宋_GB2312" w:cs="仿宋_GB2312" w:eastAsia="仿宋_GB2312"/>
        </w:rPr>
        <w:t>邮编：614100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900,000.00</w:t>
      </w:r>
    </w:p>
    <w:p>
      <w:pPr>
        <w:pStyle w:val="null3"/>
        <w:jc w:val="left"/>
      </w:pPr>
      <w:r>
        <w:rPr>
          <w:rFonts w:ascii="仿宋_GB2312" w:hAnsi="仿宋_GB2312" w:cs="仿宋_GB2312" w:eastAsia="仿宋_GB2312"/>
        </w:rPr>
        <w:t>采购包最高限价（元）: 582,710.00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C19010000 技术测试和分析服务</w:t>
            </w:r>
          </w:p>
        </w:tc>
        <w:tc>
          <w:tcPr>
            <w:tcW w:type="dxa" w:w="821"/>
          </w:tcPr>
          <w:p>
            <w:pPr>
              <w:pStyle w:val="null3"/>
              <w:jc w:val="left"/>
            </w:pPr>
            <w:r>
              <w:rPr>
                <w:rFonts w:ascii="仿宋_GB2312" w:hAnsi="仿宋_GB2312" w:cs="仿宋_GB2312" w:eastAsia="仿宋_GB2312"/>
              </w:rPr>
              <w:t>交通事故检验鉴定服务项目采购</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582,710.00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交通事故检验鉴定服务项目采购</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报单价折扣比率</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标的名称：交通事故检验鉴定服务项目采购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采购内容及服务要求</w:t>
            </w:r>
          </w:p>
        </w:tc>
        <w:tc>
          <w:tcPr>
            <w:tcW w:type="dxa" w:w="5814"/>
          </w:tcPr>
          <w:p>
            <w:pPr>
              <w:pStyle w:val="null3"/>
              <w:ind w:firstLine="560"/>
              <w:jc w:val="both"/>
            </w:pPr>
            <w:r>
              <w:rPr>
                <w:rFonts w:ascii="仿宋_GB2312" w:hAnsi="仿宋_GB2312" w:cs="仿宋_GB2312" w:eastAsia="仿宋_GB2312"/>
                <w:sz w:val="28"/>
              </w:rPr>
              <w:t>1.鉴定内容：主要包括安全技术状况、痕迹鉴定、车速鉴定、事故重现分析、行为方式鉴定、属性鉴定、尸体晚期鉴定（因道路交通事故尸检基本都是超过24小时）、损伤程序鉴定、体液鉴定等。</w:t>
            </w:r>
          </w:p>
          <w:p>
            <w:pPr>
              <w:pStyle w:val="null3"/>
              <w:ind w:firstLine="560"/>
              <w:jc w:val="both"/>
            </w:pPr>
            <w:r>
              <w:rPr>
                <w:rFonts w:ascii="仿宋_GB2312" w:hAnsi="仿宋_GB2312" w:cs="仿宋_GB2312" w:eastAsia="仿宋_GB2312"/>
                <w:sz w:val="28"/>
              </w:rPr>
              <w:t>2.标的预估数量、单价最高限价：</w:t>
            </w:r>
          </w:p>
          <w:tbl>
            <w:tblPr>
              <w:tblBorders>
                <w:top w:val="none" w:color="000000" w:sz="4"/>
                <w:left w:val="none" w:color="000000" w:sz="4"/>
                <w:bottom w:val="none" w:color="000000" w:sz="4"/>
                <w:right w:val="none" w:color="000000" w:sz="4"/>
                <w:insideH w:val="none"/>
                <w:insideV w:val="none"/>
              </w:tblBorders>
            </w:tblPr>
            <w:tblGrid>
              <w:gridCol w:w="498"/>
              <w:gridCol w:w="831"/>
              <w:gridCol w:w="2327"/>
              <w:gridCol w:w="956"/>
              <w:gridCol w:w="956"/>
            </w:tblGrid>
            <w:tr>
              <w:tc>
                <w:tcPr>
                  <w:tcW w:type="dxa" w:w="4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序号</w:t>
                  </w:r>
                </w:p>
              </w:tc>
              <w:tc>
                <w:tcPr>
                  <w:tcW w:type="dxa" w:w="8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类别</w:t>
                  </w:r>
                </w:p>
              </w:tc>
              <w:tc>
                <w:tcPr>
                  <w:tcW w:type="dxa" w:w="2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00"/>
                    <w:jc w:val="center"/>
                  </w:pPr>
                  <w:r>
                    <w:rPr>
                      <w:rFonts w:ascii="仿宋_GB2312" w:hAnsi="仿宋_GB2312" w:cs="仿宋_GB2312" w:eastAsia="仿宋_GB2312"/>
                      <w:sz w:val="30"/>
                    </w:rPr>
                    <w:t>服务分类</w:t>
                  </w:r>
                </w:p>
              </w:tc>
              <w:tc>
                <w:tcPr>
                  <w:tcW w:type="dxa" w:w="9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预估数量</w:t>
                  </w:r>
                </w:p>
              </w:tc>
              <w:tc>
                <w:tcPr>
                  <w:tcW w:type="dxa" w:w="9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单价最高限价（元）</w:t>
                  </w:r>
                </w:p>
              </w:tc>
            </w:tr>
            <w:tr>
              <w:tc>
                <w:tcPr>
                  <w:tcW w:type="dxa" w:w="4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安全技术状况</w:t>
                  </w:r>
                </w:p>
              </w:tc>
              <w:tc>
                <w:tcPr>
                  <w:tcW w:type="dxa" w:w="2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摩托车、电动车（二轮、三轮）、非机动车</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177辆</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350</w:t>
                  </w:r>
                </w:p>
              </w:tc>
            </w:tr>
            <w:tr>
              <w:tc>
                <w:tcPr>
                  <w:tcW w:type="dxa" w:w="498"/>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2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乘用车（</w:t>
                  </w:r>
                  <w:r>
                    <w:rPr>
                      <w:rFonts w:ascii="仿宋_GB2312" w:hAnsi="仿宋_GB2312" w:cs="仿宋_GB2312" w:eastAsia="仿宋_GB2312"/>
                      <w:sz w:val="24"/>
                    </w:rPr>
                    <w:t>9座及以下的小型客车、轿车），小型货车（总质量≤3500KG）</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100辆</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750</w:t>
                  </w:r>
                </w:p>
              </w:tc>
            </w:tr>
            <w:tr>
              <w:tc>
                <w:tcPr>
                  <w:tcW w:type="dxa" w:w="498"/>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2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大中型货车（总质量＞</w:t>
                  </w:r>
                  <w:r>
                    <w:rPr>
                      <w:rFonts w:ascii="仿宋_GB2312" w:hAnsi="仿宋_GB2312" w:cs="仿宋_GB2312" w:eastAsia="仿宋_GB2312"/>
                      <w:sz w:val="24"/>
                    </w:rPr>
                    <w:t>3500kg）</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52辆</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700</w:t>
                  </w:r>
                </w:p>
              </w:tc>
            </w:tr>
            <w:tr>
              <w:tc>
                <w:tcPr>
                  <w:tcW w:type="dxa" w:w="498"/>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2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大型客车</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2辆</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900</w:t>
                  </w:r>
                </w:p>
              </w:tc>
            </w:tr>
            <w:tr>
              <w:tc>
                <w:tcPr>
                  <w:tcW w:type="dxa" w:w="4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8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痕迹鉴定</w:t>
                  </w:r>
                </w:p>
              </w:tc>
              <w:tc>
                <w:tcPr>
                  <w:tcW w:type="dxa" w:w="2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地面痕迹、轮胎痕迹鉴定等</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1辆</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1080</w:t>
                  </w:r>
                </w:p>
              </w:tc>
            </w:tr>
            <w:tr>
              <w:tc>
                <w:tcPr>
                  <w:tcW w:type="dxa" w:w="498"/>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2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车体痕迹鉴定（包括整体分离痕迹、车辆唯一性鉴定等）</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42辆</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1100</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车速鉴定</w:t>
                  </w:r>
                </w:p>
              </w:tc>
              <w:tc>
                <w:tcPr>
                  <w:tcW w:type="dxa" w:w="2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车辆行驶速度鉴定</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89例</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1150</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事故重现分析</w:t>
                  </w:r>
                </w:p>
              </w:tc>
              <w:tc>
                <w:tcPr>
                  <w:tcW w:type="dxa" w:w="2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道路交通事故过程重现分析</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29例</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行为方式鉴定</w:t>
                  </w:r>
                </w:p>
              </w:tc>
              <w:tc>
                <w:tcPr>
                  <w:tcW w:type="dxa" w:w="2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交通事故涉案者行为方式鉴定</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1例</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2100</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属性鉴定</w:t>
                  </w:r>
                </w:p>
              </w:tc>
              <w:tc>
                <w:tcPr>
                  <w:tcW w:type="dxa" w:w="2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交通工具属性鉴定</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96例</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尸体晚期鉴定（因道路交通事故尸检基本都是超过</w:t>
                  </w:r>
                  <w:r>
                    <w:rPr>
                      <w:rFonts w:ascii="仿宋_GB2312" w:hAnsi="仿宋_GB2312" w:cs="仿宋_GB2312" w:eastAsia="仿宋_GB2312"/>
                      <w:sz w:val="24"/>
                    </w:rPr>
                    <w:t>24小时）</w:t>
                  </w:r>
                </w:p>
              </w:tc>
              <w:tc>
                <w:tcPr>
                  <w:tcW w:type="dxa" w:w="2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尸检常规鉴定</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38例</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3200</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损伤程序鉴定</w:t>
                  </w:r>
                </w:p>
              </w:tc>
              <w:tc>
                <w:tcPr>
                  <w:tcW w:type="dxa" w:w="2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人体损伤程度鉴定</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7件</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490</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体液鉴定</w:t>
                  </w:r>
                </w:p>
              </w:tc>
              <w:tc>
                <w:tcPr>
                  <w:tcW w:type="dxa" w:w="2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人体体液中的乙醇</w:t>
                  </w:r>
                  <w:r>
                    <w:rPr>
                      <w:rFonts w:ascii="仿宋_GB2312" w:hAnsi="仿宋_GB2312" w:cs="仿宋_GB2312" w:eastAsia="仿宋_GB2312"/>
                      <w:sz w:val="24"/>
                    </w:rPr>
                    <w:t>/交通违法酒驾人体体液中的乙醇</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86件</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r>
          </w:tbl>
          <w:p>
            <w:pPr>
              <w:pStyle w:val="null3"/>
              <w:ind w:firstLine="562"/>
              <w:jc w:val="both"/>
            </w:pPr>
            <w:r>
              <w:rPr>
                <w:rFonts w:ascii="仿宋_GB2312" w:hAnsi="仿宋_GB2312" w:cs="仿宋_GB2312" w:eastAsia="仿宋_GB2312"/>
                <w:sz w:val="28"/>
                <w:b/>
              </w:rPr>
              <w:t>2.服务要求</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1）供应商应当在合同期内完成采购人委托的全部检验鉴定任务，根据采购人的委托开展检验鉴定工作，并承担相应法律责任和义务；检验鉴定项目由采购人指定；</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2）检验鉴定工作应在交通事故发生地内采购人指定地点完成，如有特殊情况另行协商鉴定地点；</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3）供应商应具有采购标的完全的鉴定资质和条件，收到委托书后30日（自然日）内完成检验鉴定并出具书面检验报告、鉴定意见，由鉴定人签名，鉴定意见还应当加盖机构印章；30日内不能完成的，应立即向采购人说明情况，并协商延长鉴定时间，最长不得超过60日；</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4）供应商应为本项目配备具有良好素质的专业技术团队，参与检验鉴定的应为供应商本单位且持有有效的《司法鉴定人执业证》的人员，严禁安排非鉴定人员实施采购标的的检验鉴定工作；</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5）供应商应提供24小时全天候备勤服务，在采购人提出需派技术人员前往现场勘查的，供应商接到办案警官的电话委托后4小时内到达现场；如死亡3人以上的案件，供应商接到办案警官的电话委托后应当3小时内到达现场；</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6）供应商应按照国家相关规定、规范、标准进行独立、客观、公正检验鉴定，检材不具备鉴定条件或其它鉴定依据不足的情况，应立即向采购人说明；供应商发现采购人委托的鉴定案件中存在应当回避的情形，应当提出主动回避；</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7）供应商出具的检验报告和鉴定意见应当载明：委托人，委托日期和事项，提交的相关材料，检验、鉴定的时间，依据和结论性意见等；通过分析得出结论性意见的，应当有分析证明过程。检验报告、鉴定意见应当附有鉴定机构、鉴定人的资质证明或者其他证明文件；</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8）鉴定过程中的委托书、鉴定意见书的格式必须严格按照《司法鉴定程序通则》中的要求进行，保证鉴定程序的合法性。</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9）对送检的样本，完成鉴定后无偿保存 90 日（有法律法规或者行业标准明文规定的，按规定执行）；</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10）根据案件办理需求，要求检验鉴定人出庭作证或到案说明检验鉴定情况的，检验鉴定人员应在规定时间内到场；</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11）未在《中华人民共和国道路交通安全法》和公安《机动车类型术语和定义》（GA802）中《机动车规格术语分类表》明确定义的车辆、工具的检验、鉴定费用参照相近结构、外形、尺寸车辆的检验、鉴定费用执行；</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12）检验鉴定业务档案的整理、储存应符合《司法鉴定业务档案管理办法》的相关要求；</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13）供应商及检验鉴定人员应遵守采购人关于保密要求的规定，不得以任何方式或理由泄露涉案相关信息；</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14）根据公安机关要求，开展道路交通事故鉴定机构服务质量评价；</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15）承担其他应由检验鉴定机构履行的法定责任和义务。</w:t>
            </w:r>
          </w:p>
          <w:p>
            <w:pPr>
              <w:pStyle w:val="null3"/>
              <w:ind w:firstLine="560"/>
              <w:jc w:val="left"/>
            </w:pPr>
            <w:r>
              <w:rPr>
                <w:rFonts w:ascii="仿宋_GB2312" w:hAnsi="仿宋_GB2312" w:cs="仿宋_GB2312" w:eastAsia="仿宋_GB2312"/>
                <w:sz w:val="28"/>
              </w:rPr>
              <w:t>▲（16）具备对行驶能力的车辆（车辆包含小型车辆、货车、大型客车、摩托车）进行路试试验的能力。</w:t>
            </w:r>
          </w:p>
          <w:p>
            <w:pPr>
              <w:pStyle w:val="null3"/>
              <w:ind w:firstLine="560"/>
              <w:jc w:val="left"/>
            </w:pPr>
            <w:r>
              <w:rPr>
                <w:rFonts w:ascii="仿宋_GB2312" w:hAnsi="仿宋_GB2312" w:cs="仿宋_GB2312" w:eastAsia="仿宋_GB2312"/>
                <w:sz w:val="28"/>
              </w:rPr>
              <w:t>▲（17）利用视频类材料鉴定某段距离、时间或过程的平均行驶速度及速度变化状态的，必须有事故现场测量的照片及完整的车速计算过程。</w:t>
            </w:r>
          </w:p>
          <w:p>
            <w:pPr>
              <w:pStyle w:val="null3"/>
              <w:ind w:firstLine="560"/>
              <w:jc w:val="left"/>
            </w:pPr>
            <w:r>
              <w:rPr>
                <w:rFonts w:ascii="仿宋_GB2312" w:hAnsi="仿宋_GB2312" w:cs="仿宋_GB2312" w:eastAsia="仿宋_GB2312"/>
                <w:sz w:val="28"/>
              </w:rPr>
              <w:t>▲（18）在痕迹类鉴定过程中，必须对车辆所有的痕迹进行比对、勘验、分析、记录；如遇与人体伤情进行痕迹比对的，必须投入本单位具有法医类资质的鉴定人员参与鉴定工作，并出具相关鉴定意见且属名，鉴定人不超范围跨专业进行鉴定工作。</w:t>
            </w:r>
          </w:p>
          <w:p>
            <w:pPr>
              <w:pStyle w:val="null3"/>
              <w:ind w:firstLine="560"/>
              <w:jc w:val="left"/>
            </w:pPr>
            <w:r>
              <w:rPr>
                <w:rFonts w:ascii="仿宋_GB2312" w:hAnsi="仿宋_GB2312" w:cs="仿宋_GB2312" w:eastAsia="仿宋_GB2312"/>
                <w:sz w:val="28"/>
              </w:rPr>
              <w:t>▲（19）在综合成因类鉴定过程中，每起案件必须利用道路交通事故勘验系统进行事故现场勘验，对现场痕迹（地面痕迹、 现场物体上的痕迹、如护栏痕迹等）获取更准确的数据，出具能够标识清晰数据的实景现场图和三维数据模型，需在响应文件中提供现场痕迹比对的报告样本一份、具有能够标识清晰数据的实景现场图和三维数据模型的报告样本一份。</w:t>
            </w:r>
          </w:p>
          <w:p>
            <w:pPr>
              <w:pStyle w:val="null3"/>
              <w:ind w:firstLine="560"/>
              <w:jc w:val="left"/>
            </w:pPr>
            <w:r>
              <w:rPr>
                <w:rFonts w:ascii="仿宋_GB2312" w:hAnsi="仿宋_GB2312" w:cs="仿宋_GB2312" w:eastAsia="仿宋_GB2312"/>
                <w:sz w:val="28"/>
              </w:rPr>
              <w:t>▲（20）人体损伤程度鉴定需投入人工智能软件自动实现人体关节活动度的测量和判断，需对检验过程进行图像实时记录，供应商需在响应文件中提供关节活动度测量、计算和实时记录的图文证明材料。</w:t>
            </w:r>
          </w:p>
          <w:p>
            <w:pPr>
              <w:pStyle w:val="null3"/>
              <w:ind w:firstLine="560"/>
              <w:jc w:val="left"/>
            </w:pPr>
            <w:r>
              <w:rPr>
                <w:rFonts w:ascii="仿宋_GB2312" w:hAnsi="仿宋_GB2312" w:cs="仿宋_GB2312" w:eastAsia="仿宋_GB2312"/>
                <w:sz w:val="28"/>
              </w:rPr>
              <w:t>▲（21）血液中的乙醇含量测定鉴定需提供符合《最高人民法院 最高人民检察院公安部 司法部关于办理醉酒危险驾驶刑事案件的意见》的通知（高检发办字〔2023〕187号）中关于血液样品制备和仪器检测过程进行录音录像要求，供应商需在响应文件中提供对应截图记录一份，截图记录清晰、完整、具有可辨识度。</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22）供应商投入不少于3人在项目所属地日常化服务以满足现场查勘的需要，其中至少包括法医病理鉴定人、法医临床鉴定人、道路交通事故痕迹物证鉴定人各1名。</w:t>
            </w:r>
            <w:r>
              <w:rPr>
                <w:rFonts w:ascii="仿宋_GB2312" w:hAnsi="仿宋_GB2312" w:cs="仿宋_GB2312" w:eastAsia="仿宋_GB2312"/>
                <w:sz w:val="28"/>
                <w:b/>
              </w:rPr>
              <w:t>（提供承诺函，并盖公章）</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23）在鉴定工作开展过程中参与鉴定工作的人员必须为鉴定所本单位人员，有本单位的劳动合同，严禁委托当地修理厂、4S店、停车场、其他单位人员代替本所鉴定人实施车辆、死亡原因的检验工作， 破坏鉴定工作的公正、客观、科学性。一经查实，取消成交单位的成交资格。。</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24）对于重特大、有影响、疑难等其他道路交通事故、采购人提出需要成交供应商派技术人员前往现场勘查的，成交供应商应及时按照委托单位的要求前往开展工作并不得加收鉴定费用。</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25）在项目实施过程中的安全责任由成交供应商负全责，采购人不承担任何安全责任，也不承担如发生安全事故产生的任何责任。在路试或拆解检验过程中（含运输过程），产生的相关费用以及安全责任均由成交供应商承担。</w:t>
            </w:r>
          </w:p>
          <w:p>
            <w:pPr>
              <w:pStyle w:val="null3"/>
              <w:jc w:val="left"/>
            </w:pPr>
            <w:r>
              <w:rPr>
                <w:rFonts w:ascii="仿宋_GB2312" w:hAnsi="仿宋_GB2312" w:cs="仿宋_GB2312" w:eastAsia="仿宋_GB2312"/>
                <w:sz w:val="28"/>
                <w:b/>
              </w:rPr>
              <w:t>3.备注说明</w:t>
            </w:r>
          </w:p>
          <w:p>
            <w:pPr>
              <w:pStyle w:val="null3"/>
              <w:jc w:val="left"/>
            </w:pPr>
            <w:r>
              <w:rPr>
                <w:rFonts w:ascii="仿宋_GB2312" w:hAnsi="仿宋_GB2312" w:cs="仿宋_GB2312" w:eastAsia="仿宋_GB2312"/>
                <w:sz w:val="28"/>
                <w:b/>
              </w:rPr>
              <w:t>以上参数除标注</w:t>
            </w:r>
            <w:r>
              <w:rPr>
                <w:rFonts w:ascii="仿宋_GB2312" w:hAnsi="仿宋_GB2312" w:cs="仿宋_GB2312" w:eastAsia="仿宋_GB2312"/>
                <w:sz w:val="28"/>
                <w:b/>
              </w:rPr>
              <w:t>“▲”外，其他参数均为实质性参数。</w:t>
            </w:r>
            <w:r>
              <w:rPr>
                <w:rFonts w:ascii="仿宋_GB2312" w:hAnsi="仿宋_GB2312" w:cs="仿宋_GB2312" w:eastAsia="仿宋_GB2312"/>
                <w:sz w:val="28"/>
                <w:b/>
              </w:rPr>
              <w:t>（</w:t>
            </w:r>
            <w:r>
              <w:rPr>
                <w:rFonts w:ascii="仿宋_GB2312" w:hAnsi="仿宋_GB2312" w:cs="仿宋_GB2312" w:eastAsia="仿宋_GB2312"/>
                <w:sz w:val="28"/>
                <w:b/>
              </w:rPr>
              <w:t>供应商应当知晓此条要求，但不用在响应文件中响应此条要求。</w:t>
            </w:r>
            <w:r>
              <w:rPr>
                <w:rFonts w:ascii="仿宋_GB2312" w:hAnsi="仿宋_GB2312" w:cs="仿宋_GB2312" w:eastAsia="仿宋_GB2312"/>
                <w:sz w:val="28"/>
                <w:b/>
              </w:rPr>
              <w:t>）</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无</w:t>
            </w:r>
          </w:p>
        </w:tc>
        <w:tc>
          <w:tcPr>
            <w:tcW w:type="dxa" w:w="581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服务期限为3年，合同一年一签。</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本项目采购人将严格按照《财政部关于进一步加强政府采购需求和履约验收管理的指导意见》（财库〔2016〕205号）、乐市财政采【2021】8号关于沿用《乐山市政府采购项目需求论证和履约验收管理实施细则》及国家、地方和行业相关规定、磋商文件、供应商响应文件、承诺以及合同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1、预付款，签订合同之日起，达到付款条件起30日内，据实结算说明为支付年合同总金额的40%</w:t>
            </w:r>
          </w:p>
          <w:p>
            <w:pPr>
              <w:pStyle w:val="null3"/>
              <w:jc w:val="left"/>
            </w:pPr>
            <w:r>
              <w:rPr>
                <w:rFonts w:ascii="仿宋_GB2312" w:hAnsi="仿宋_GB2312" w:cs="仿宋_GB2312" w:eastAsia="仿宋_GB2312"/>
              </w:rPr>
              <w:t>2、进度款，项目实行按季度支付（支付时，先在预付款中进行抵扣），季度服务完成且验收合格后，成交供应商需按采购人要求提供完整资料进行结算，包括但不限于：正式发票、附清单（清单需要注明案发时间、车辆号牌、鉴定项目、办案警官、鉴定费用）、验收资料等，达到付款条件起30日内，据实结算说明为采用包干价和据实结算相结合，以一年度为一个结算周期。在一个结算周期内，若服务清单中单个鉴定项目的实际发生数量不足服务清单内所列数量时，采取据实结算，即该鉴定项目结算价=实际发生数量*中标单价。第四季度应根据实际完成量并结合全年完成量、前三个季度结算费用进行结算，当全年结算费用超过年合同价时，实行合同价包干结算。</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及成交供应商双方必须遵守采购合同并执行合同中的各项规定，保证采购合同的正常履行。任何一方违约给对方造成的直接损失均负有赔偿责任，对方均有权视情况以书面形式要求对方继续履行合同或提出解除合同。 2.如因成交供应商在履行过程中的疏忽、失职、过错等故意或者过失原因给采购人造成损失或侵害，包括但不限于采购人本身的财产损失、由此而导致的采购人对任何第三方的法律责任等，成交供应商对此均应承担相应的赔偿责任。 3.合同履行期间,若双方发生争议，可协商或由有关部门调解解决，协商或调解不成的，由当事人依法向项目所在地有管辖权的人民法院提起诉讼，维护其合法权益。</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其他要求（实质性要求）：1.安全要求：供应商为本项目派出的检验鉴定人员的安全责任由供应商承担（提供承诺函，格式自拟）。 2.其他未尽事宜在合同中约定。 3.检验鉴定在交通事故发生地（市、区）内采购人指定地点完成，特殊情况协商鉴定地点，检验鉴定项目由采购人指定。 4.其他应由成交供应商（检验鉴定机构）履行的法定义务。5.报价要求:供应商报“单价折扣比率”，结算单价=单价最高限价*单价折扣比率，报价包含员工工资、各类保险费、福利费、加班费、通讯费、管理费、税费、合理利润等完成项目所需的所有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供应商具备司法行政管理部门（省司法厅或直辖市司法局）核发的《司法鉴定许可证》。</w:t>
            </w:r>
          </w:p>
        </w:tc>
        <w:tc>
          <w:tcPr>
            <w:tcW w:type="dxa" w:w="3322"/>
          </w:tcPr>
          <w:p>
            <w:pPr>
              <w:pStyle w:val="null3"/>
              <w:jc w:val="left"/>
            </w:pPr>
            <w:r>
              <w:rPr>
                <w:rFonts w:ascii="仿宋_GB2312" w:hAnsi="仿宋_GB2312" w:cs="仿宋_GB2312" w:eastAsia="仿宋_GB2312"/>
              </w:rPr>
              <w:t>供应商具备司法行政管理部门（省司法厅或直辖市司法局）核发的《司法鉴定许可证》。（提供相关证书复印件及证明材料加盖供应商电子印章）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技术要求响应情况</w:t>
            </w:r>
          </w:p>
        </w:tc>
        <w:tc>
          <w:tcPr>
            <w:tcW w:type="dxa" w:w="3322"/>
          </w:tcPr>
          <w:p>
            <w:pPr>
              <w:pStyle w:val="null3"/>
              <w:jc w:val="left"/>
            </w:pPr>
            <w:r>
              <w:rPr>
                <w:rFonts w:ascii="仿宋_GB2312" w:hAnsi="仿宋_GB2312" w:cs="仿宋_GB2312" w:eastAsia="仿宋_GB2312"/>
              </w:rPr>
              <w:t>1、按照磋商文件第三章“3.2技术要求”逐一全部响应，标注“★”或实质性要求的内容和特别说明为实质性要求的参数为本项目实质性要求，不满足或有负偏离的作无效响应处理。2、供应商须按磋商文件技术参数要求提供证明材料（如有），证明材料作为本表附件附后，格式自拟。3、响应文件及相关的证明材料须加盖供应商电子印章。</w:t>
            </w:r>
          </w:p>
        </w:tc>
        <w:tc>
          <w:tcPr>
            <w:tcW w:type="dxa" w:w="1661"/>
          </w:tcPr>
          <w:p>
            <w:pPr>
              <w:pStyle w:val="null3"/>
              <w:jc w:val="left"/>
            </w:pPr>
            <w:r>
              <w:rPr>
                <w:rFonts w:ascii="仿宋_GB2312" w:hAnsi="仿宋_GB2312" w:cs="仿宋_GB2312" w:eastAsia="仿宋_GB2312"/>
              </w:rPr>
              <w:t>技术要求应答表.docx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商务要求及其他要求响应情况</w:t>
            </w:r>
          </w:p>
        </w:tc>
        <w:tc>
          <w:tcPr>
            <w:tcW w:type="dxa" w:w="3322"/>
          </w:tcPr>
          <w:p>
            <w:pPr>
              <w:pStyle w:val="null3"/>
              <w:jc w:val="left"/>
            </w:pPr>
            <w:r>
              <w:rPr>
                <w:rFonts w:ascii="仿宋_GB2312" w:hAnsi="仿宋_GB2312" w:cs="仿宋_GB2312" w:eastAsia="仿宋_GB2312"/>
              </w:rPr>
              <w:t>1、按照磋商文件第三章“3.3.2商务要求、3.4其他要求”逐一全部响应，标注“★”或实质性要求的内容和特别说明为实质性要求的参数为本项目实质性要求，不满足或有负偏离的作无效响应处理。 2、供应商须按磋商文件技术参数要求提供证明材料（如有），证明材料作为本表附件附后，格式自拟。3、响应文件及相关的证明材料须加盖供应商电子印章。</w:t>
            </w:r>
          </w:p>
        </w:tc>
        <w:tc>
          <w:tcPr>
            <w:tcW w:type="dxa" w:w="1661"/>
          </w:tcPr>
          <w:p>
            <w:pPr>
              <w:pStyle w:val="null3"/>
              <w:jc w:val="left"/>
            </w:pPr>
            <w:r>
              <w:rPr>
                <w:rFonts w:ascii="仿宋_GB2312" w:hAnsi="仿宋_GB2312" w:cs="仿宋_GB2312" w:eastAsia="仿宋_GB2312"/>
              </w:rPr>
              <w:t>商务要求及其他要求响应情况.docx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评审过程中供应商报价出现异常情况， 磋商小组启动异常低价响应审查后，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响应报价低于采购项目（采购包）最高限价 65 %的，即响应报价&lt;采购项目（采购包）最高限价× 65 %，供应商随响应文件一并提交相关书面说明及必要的证明材料的，在评审现场可不再重复提交。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tc>
        <w:tc>
          <w:tcPr>
            <w:tcW w:type="dxa" w:w="1661"/>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5.4.2人员配置</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详细评审84.00分</w:t>
            </w:r>
          </w:p>
          <w:p>
            <w:pPr>
              <w:pStyle w:val="null3"/>
              <w:jc w:val="left"/>
            </w:pPr>
            <w:r>
              <w:rPr>
                <w:rFonts w:ascii="仿宋_GB2312" w:hAnsi="仿宋_GB2312" w:cs="仿宋_GB2312" w:eastAsia="仿宋_GB2312"/>
              </w:rPr>
              <w:t>报价得分16.00分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1、供应商为本项目配备道路交通事故痕迹物证司法鉴定人员3人得3分；每增加1人加1.5分，本项最高得6分。 2、供应商为本项目配备的道路交通事故痕迹物证鉴定人员中，每有一位具有中级职称的得0.5分，每有一位具有高级职称的得1分，本项最高得5分。； 3、供应商为本项目配备法医病理类司法鉴定人员1人得1分，配备法医临床类司法鉴定人员1人得1分，配备法医毒物类司法鉴定人员得1分，本项最高得3分；每增加一人（增加法医病理类或法医临床类或法医毒物类人员）加1.5分，本项最高加3分。 4、供应商为本项目配备法医病理、法医临床、法医毒物3类法医类司法鉴定人员中，每有一位具有中级职称的得0.5分，每有一位具有高级职称的得1分，本项最高得5分。 注：（1）提供以上人员相应的执业证或着职称证书，同时提供在职证明盖公章佐证。以上不提供不得分。</w:t>
            </w:r>
          </w:p>
        </w:tc>
        <w:tc>
          <w:tcPr>
            <w:tcW w:type="dxa" w:w="831"/>
          </w:tcPr>
          <w:p>
            <w:pPr>
              <w:pStyle w:val="null3"/>
              <w:jc w:val="center"/>
            </w:pPr>
            <w:r>
              <w:rPr>
                <w:rFonts w:ascii="仿宋_GB2312" w:hAnsi="仿宋_GB2312" w:cs="仿宋_GB2312" w:eastAsia="仿宋_GB2312"/>
              </w:rPr>
              <w:t>22.0000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人员配置.docx</w:t>
            </w:r>
          </w:p>
        </w:tc>
      </w:tr>
      <w:tr>
        <w:tc>
          <w:tcPr>
            <w:tcW w:type="dxa" w:w="831"/>
            <w:vMerge/>
          </w:tcPr>
          <w:p/>
        </w:tc>
        <w:tc>
          <w:tcPr>
            <w:tcW w:type="dxa" w:w="1661"/>
          </w:tcPr>
          <w:p>
            <w:pPr>
              <w:pStyle w:val="null3"/>
              <w:jc w:val="left"/>
            </w:pPr>
            <w:r>
              <w:rPr>
                <w:rFonts w:ascii="仿宋_GB2312" w:hAnsi="仿宋_GB2312" w:cs="仿宋_GB2312" w:eastAsia="仿宋_GB2312"/>
              </w:rPr>
              <w:t>技术部分</w:t>
            </w:r>
          </w:p>
        </w:tc>
        <w:tc>
          <w:tcPr>
            <w:tcW w:type="dxa" w:w="2575"/>
          </w:tcPr>
          <w:p>
            <w:pPr>
              <w:pStyle w:val="null3"/>
              <w:jc w:val="left"/>
            </w:pPr>
            <w:r>
              <w:rPr>
                <w:rFonts w:ascii="仿宋_GB2312" w:hAnsi="仿宋_GB2312" w:cs="仿宋_GB2312" w:eastAsia="仿宋_GB2312"/>
              </w:rPr>
              <w:t>带“▲”标记的重要参数（共计6项）每有一项不满足扣2分。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技术要求应答表.docx</w:t>
            </w:r>
          </w:p>
        </w:tc>
      </w:tr>
      <w:tr>
        <w:tc>
          <w:tcPr>
            <w:tcW w:type="dxa" w:w="831"/>
            <w:vMerge/>
          </w:tcPr>
          <w:p/>
        </w:tc>
        <w:tc>
          <w:tcPr>
            <w:tcW w:type="dxa" w:w="1661"/>
          </w:tcPr>
          <w:p>
            <w:pPr>
              <w:pStyle w:val="null3"/>
              <w:jc w:val="left"/>
            </w:pPr>
            <w:r>
              <w:rPr>
                <w:rFonts w:ascii="仿宋_GB2312" w:hAnsi="仿宋_GB2312" w:cs="仿宋_GB2312" w:eastAsia="仿宋_GB2312"/>
              </w:rPr>
              <w:t>应急方案</w:t>
            </w:r>
          </w:p>
        </w:tc>
        <w:tc>
          <w:tcPr>
            <w:tcW w:type="dxa" w:w="2575"/>
          </w:tcPr>
          <w:p>
            <w:pPr>
              <w:pStyle w:val="null3"/>
              <w:jc w:val="left"/>
            </w:pPr>
            <w:r>
              <w:rPr>
                <w:rFonts w:ascii="仿宋_GB2312" w:hAnsi="仿宋_GB2312" w:cs="仿宋_GB2312" w:eastAsia="仿宋_GB2312"/>
              </w:rPr>
              <w:t>供应商根据本项目提供的应急方案进行评审，包含但不限于： ①应急流程及应对举报、②重特大或其它社会影响较大案件处置对策、③特殊活动时段或重大节假日或遇恶劣天气或检验鉴定设备发生故障等情形的应急保障措施等内容。 满足项目需求的得15分，每有一项缺项、漏项扣5分；方案中每有一处缺陷扣2.5分，单项内容要素扣减分值不超过5分，直到扣完为止；未提供不得分； 注：缺陷是指：方案中存在错误内容或不适用于项目实际需求或凭空编造或内容前后不一致或采用的技术明显不符合现行规范要求或引用的行业规范国家标准等存在错误或内容存在明显交叉混乱或方案明显存在仅复制评审因素标题（无具体方案阐述）或存在明显套用其他方案或脱离项目实际情况的表述或方案大标题内容和小项分析方案无关等情形或其他瑕疵和不足。</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供应商应提交的应急方案.docx</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供应商根据本项目提供的服务方案进行评审，包含但不限于： ①鉴定工作流程、②鉴定工作组织机构设置、③鉴定人员职责及分工、④鉴定结果质量控制措施、⑤鉴定结果保密管理措施、⑥检验鉴定进度保障措施、⑦检验鉴定活动重、难点分析及应对措施等内容。 满足项目需求的得35分，每有一项缺项、漏项扣5分；方案中每有一处缺陷扣2.5分，单项内容要素扣减分值不超过5分，直到扣完为止；未提供不得分； 注：缺陷是指：方案中存在错误内容或不适用于项目实际需求或凭空编造或内容前后不一致或采用的技术明显不符合现行规范要求或引用的行业规范国家标准等存在错误或内容存在明显交叉混乱或方案明显存在仅复制评审因素标题（无具体方案阐述）或存在明显套用其他方案或脱离项目实际情况的表述或方案大标题内容和小项分析方案无关等情形或其他瑕疵和不足。</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供应商应提交的服务方案.docx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交通事故检验鉴定服务项目采购</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本采购包接受大中型企业与小微企业组成联合体，对联合协议约定小微企业的合同份额占到合同总金额30%以上的，对联合体的报价给予扣除，用扣除后的价格参加评审。组成联合体的小微企业与联合体内其他企业之间存在直接控股、管理关系的，不享受价格扣除优惠政策。</w:t>
            </w:r>
          </w:p>
        </w:tc>
        <w:tc>
          <w:tcPr>
            <w:tcW w:type="dxa" w:w="831"/>
          </w:tcPr>
          <w:p>
            <w:pPr>
              <w:pStyle w:val="null3"/>
              <w:jc w:val="right"/>
            </w:pPr>
            <w:r>
              <w:rPr>
                <w:rFonts w:ascii="仿宋_GB2312" w:hAnsi="仿宋_GB2312" w:cs="仿宋_GB2312" w:eastAsia="仿宋_GB2312"/>
              </w:rPr>
              <w:t>6.00%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详见附件：供应商应提交的服务方案.docx</w:t>
      </w:r>
    </w:p>
    <w:p>
      <w:pPr>
        <w:pStyle w:val="null3"/>
        <w:ind w:firstLine="960"/>
        <w:jc w:val="left"/>
      </w:pPr>
      <w:r>
        <w:rPr>
          <w:rFonts w:ascii="仿宋_GB2312" w:hAnsi="仿宋_GB2312" w:cs="仿宋_GB2312" w:eastAsia="仿宋_GB2312"/>
        </w:rPr>
        <w:t>详见附件：供应商应提交的应急方案.docx</w:t>
      </w:r>
    </w:p>
    <w:p>
      <w:pPr>
        <w:pStyle w:val="null3"/>
        <w:ind w:firstLine="960"/>
        <w:jc w:val="left"/>
      </w:pPr>
      <w:r>
        <w:rPr>
          <w:rFonts w:ascii="仿宋_GB2312" w:hAnsi="仿宋_GB2312" w:cs="仿宋_GB2312" w:eastAsia="仿宋_GB2312"/>
        </w:rPr>
        <w:t>详见附件：商务要求及其他要求响应情况.docx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详见附件：人员配置.docx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