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152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1"/>
        <w:gridCol w:w="783"/>
        <w:gridCol w:w="1450"/>
        <w:gridCol w:w="862"/>
        <w:gridCol w:w="862"/>
        <w:gridCol w:w="1202"/>
        <w:gridCol w:w="894"/>
        <w:gridCol w:w="695"/>
        <w:gridCol w:w="931"/>
        <w:gridCol w:w="965"/>
        <w:gridCol w:w="1354"/>
        <w:gridCol w:w="1138"/>
        <w:gridCol w:w="1327"/>
        <w:gridCol w:w="1652"/>
        <w:gridCol w:w="655"/>
      </w:tblGrid>
      <w:tr w14:paraId="7DBDE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6" w:hRule="atLeast"/>
          <w:jc w:val="center"/>
        </w:trPr>
        <w:tc>
          <w:tcPr>
            <w:tcW w:w="501" w:type="dxa"/>
            <w:tcBorders>
              <w:top w:val="single" w:color="auto" w:sz="4" w:space="0"/>
              <w:left w:val="single" w:color="auto" w:sz="4" w:space="0"/>
              <w:bottom w:val="single" w:color="auto" w:sz="4" w:space="0"/>
              <w:right w:val="single" w:color="auto" w:sz="4" w:space="0"/>
            </w:tcBorders>
            <w:noWrap w:val="0"/>
            <w:vAlign w:val="center"/>
          </w:tcPr>
          <w:p w14:paraId="1F48B92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序号</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AB900B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产品名称</w:t>
            </w:r>
          </w:p>
        </w:tc>
        <w:tc>
          <w:tcPr>
            <w:tcW w:w="1450" w:type="dxa"/>
            <w:tcBorders>
              <w:top w:val="single" w:color="auto" w:sz="4" w:space="0"/>
              <w:left w:val="single" w:color="auto" w:sz="4" w:space="0"/>
              <w:bottom w:val="single" w:color="auto" w:sz="4" w:space="0"/>
              <w:right w:val="single" w:color="auto" w:sz="4" w:space="0"/>
            </w:tcBorders>
            <w:noWrap w:val="0"/>
            <w:vAlign w:val="center"/>
          </w:tcPr>
          <w:p w14:paraId="1526FA1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床旁快检试剂至少须包含试剂盒明细</w:t>
            </w:r>
          </w:p>
        </w:tc>
        <w:tc>
          <w:tcPr>
            <w:tcW w:w="862" w:type="dxa"/>
            <w:tcBorders>
              <w:top w:val="single" w:color="auto" w:sz="4" w:space="0"/>
              <w:left w:val="single" w:color="auto" w:sz="4" w:space="0"/>
              <w:bottom w:val="single" w:color="auto" w:sz="4" w:space="0"/>
              <w:right w:val="single" w:color="auto" w:sz="4" w:space="0"/>
            </w:tcBorders>
            <w:noWrap w:val="0"/>
            <w:vAlign w:val="center"/>
          </w:tcPr>
          <w:p w14:paraId="44C28AA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单位</w:t>
            </w:r>
          </w:p>
        </w:tc>
        <w:tc>
          <w:tcPr>
            <w:tcW w:w="862" w:type="dxa"/>
            <w:tcBorders>
              <w:top w:val="single" w:color="auto" w:sz="4" w:space="0"/>
              <w:left w:val="single" w:color="auto" w:sz="4" w:space="0"/>
              <w:bottom w:val="single" w:color="auto" w:sz="4" w:space="0"/>
              <w:right w:val="single" w:color="auto" w:sz="4" w:space="0"/>
            </w:tcBorders>
            <w:noWrap w:val="0"/>
            <w:vAlign w:val="center"/>
          </w:tcPr>
          <w:p w14:paraId="04042CD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数量</w:t>
            </w:r>
          </w:p>
        </w:tc>
        <w:tc>
          <w:tcPr>
            <w:tcW w:w="1202" w:type="dxa"/>
            <w:tcBorders>
              <w:top w:val="single" w:color="auto" w:sz="4" w:space="0"/>
              <w:left w:val="single" w:color="auto" w:sz="4" w:space="0"/>
              <w:bottom w:val="single" w:color="auto" w:sz="4" w:space="0"/>
              <w:right w:val="single" w:color="auto" w:sz="4" w:space="0"/>
            </w:tcBorders>
            <w:noWrap w:val="0"/>
            <w:vAlign w:val="center"/>
          </w:tcPr>
          <w:p w14:paraId="786F500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响应产品注册证名称</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7114F3E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注册/备案</w:t>
            </w:r>
          </w:p>
          <w:p w14:paraId="5D0D6F8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证号</w:t>
            </w:r>
          </w:p>
        </w:tc>
        <w:tc>
          <w:tcPr>
            <w:tcW w:w="695" w:type="dxa"/>
            <w:tcBorders>
              <w:top w:val="single" w:color="auto" w:sz="4" w:space="0"/>
              <w:left w:val="single" w:color="auto" w:sz="4" w:space="0"/>
              <w:bottom w:val="single" w:color="auto" w:sz="4" w:space="0"/>
              <w:right w:val="single" w:color="auto" w:sz="4" w:space="0"/>
            </w:tcBorders>
            <w:noWrap w:val="0"/>
            <w:vAlign w:val="center"/>
          </w:tcPr>
          <w:p w14:paraId="3B631A3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规格型号</w:t>
            </w:r>
          </w:p>
        </w:tc>
        <w:tc>
          <w:tcPr>
            <w:tcW w:w="931" w:type="dxa"/>
            <w:tcBorders>
              <w:top w:val="single" w:color="auto" w:sz="4" w:space="0"/>
              <w:left w:val="single" w:color="auto" w:sz="4" w:space="0"/>
              <w:bottom w:val="single" w:color="auto" w:sz="4" w:space="0"/>
              <w:right w:val="single" w:color="auto" w:sz="4" w:space="0"/>
            </w:tcBorders>
            <w:noWrap w:val="0"/>
            <w:vAlign w:val="center"/>
          </w:tcPr>
          <w:p w14:paraId="190AD3A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品牌</w:t>
            </w:r>
          </w:p>
        </w:tc>
        <w:tc>
          <w:tcPr>
            <w:tcW w:w="965" w:type="dxa"/>
            <w:tcBorders>
              <w:top w:val="single" w:color="auto" w:sz="4" w:space="0"/>
              <w:left w:val="single" w:color="auto" w:sz="4" w:space="0"/>
              <w:bottom w:val="single" w:color="auto" w:sz="4" w:space="0"/>
              <w:right w:val="single" w:color="auto" w:sz="4" w:space="0"/>
            </w:tcBorders>
            <w:noWrap w:val="0"/>
            <w:vAlign w:val="center"/>
          </w:tcPr>
          <w:p w14:paraId="366DF87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生产</w:t>
            </w:r>
          </w:p>
          <w:p w14:paraId="4712D8C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厂家</w:t>
            </w:r>
          </w:p>
        </w:tc>
        <w:tc>
          <w:tcPr>
            <w:tcW w:w="1354" w:type="dxa"/>
            <w:tcBorders>
              <w:top w:val="single" w:color="auto" w:sz="4" w:space="0"/>
              <w:left w:val="single" w:color="auto" w:sz="4" w:space="0"/>
              <w:bottom w:val="single" w:color="auto" w:sz="4" w:space="0"/>
              <w:right w:val="single" w:color="auto" w:sz="4" w:space="0"/>
            </w:tcBorders>
            <w:noWrap w:val="0"/>
            <w:vAlign w:val="center"/>
          </w:tcPr>
          <w:p w14:paraId="50AD595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换算成最小单位价格（元）</w:t>
            </w:r>
          </w:p>
        </w:tc>
        <w:tc>
          <w:tcPr>
            <w:tcW w:w="1138" w:type="dxa"/>
            <w:tcBorders>
              <w:top w:val="single" w:color="auto" w:sz="4" w:space="0"/>
              <w:left w:val="single" w:color="auto" w:sz="4" w:space="0"/>
              <w:bottom w:val="single" w:color="auto" w:sz="4" w:space="0"/>
              <w:right w:val="single" w:color="auto" w:sz="4" w:space="0"/>
            </w:tcBorders>
            <w:noWrap w:val="0"/>
            <w:vAlign w:val="center"/>
          </w:tcPr>
          <w:p w14:paraId="3C9DEB7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平均单价（元）</w:t>
            </w:r>
          </w:p>
        </w:tc>
        <w:tc>
          <w:tcPr>
            <w:tcW w:w="1327" w:type="dxa"/>
            <w:tcBorders>
              <w:top w:val="single" w:color="auto" w:sz="4" w:space="0"/>
              <w:left w:val="single" w:color="auto" w:sz="4" w:space="0"/>
              <w:bottom w:val="single" w:color="auto" w:sz="4" w:space="0"/>
              <w:right w:val="single" w:color="auto" w:sz="4" w:space="0"/>
            </w:tcBorders>
            <w:noWrap w:val="0"/>
            <w:vAlign w:val="center"/>
          </w:tcPr>
          <w:p w14:paraId="0E71FBA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小计（元）</w:t>
            </w:r>
          </w:p>
        </w:tc>
        <w:tc>
          <w:tcPr>
            <w:tcW w:w="1652" w:type="dxa"/>
            <w:tcBorders>
              <w:top w:val="single" w:color="auto" w:sz="4" w:space="0"/>
              <w:left w:val="single" w:color="auto" w:sz="4" w:space="0"/>
              <w:bottom w:val="single" w:color="auto" w:sz="4" w:space="0"/>
              <w:right w:val="single" w:color="auto" w:sz="4" w:space="0"/>
            </w:tcBorders>
            <w:noWrap w:val="0"/>
            <w:vAlign w:val="center"/>
          </w:tcPr>
          <w:p w14:paraId="25897CE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包装价格（元）</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57BC60D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备注</w:t>
            </w:r>
          </w:p>
        </w:tc>
      </w:tr>
      <w:tr w14:paraId="78407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501" w:type="dxa"/>
            <w:vMerge w:val="restart"/>
            <w:tcBorders>
              <w:top w:val="single" w:color="auto" w:sz="4" w:space="0"/>
              <w:left w:val="single" w:color="auto" w:sz="4" w:space="0"/>
              <w:bottom w:val="single" w:color="auto" w:sz="4" w:space="0"/>
              <w:right w:val="single" w:color="auto" w:sz="4" w:space="0"/>
            </w:tcBorders>
            <w:noWrap w:val="0"/>
            <w:vAlign w:val="center"/>
          </w:tcPr>
          <w:p w14:paraId="2808701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pPr>
            <w: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t>1</w:t>
            </w:r>
          </w:p>
        </w:tc>
        <w:tc>
          <w:tcPr>
            <w:tcW w:w="783" w:type="dxa"/>
            <w:vMerge w:val="restart"/>
            <w:tcBorders>
              <w:top w:val="single" w:color="auto" w:sz="4" w:space="0"/>
              <w:left w:val="single" w:color="auto" w:sz="4" w:space="0"/>
              <w:bottom w:val="single" w:color="auto" w:sz="4" w:space="0"/>
              <w:right w:val="single" w:color="auto" w:sz="4" w:space="0"/>
            </w:tcBorders>
            <w:noWrap w:val="0"/>
            <w:vAlign w:val="center"/>
          </w:tcPr>
          <w:p w14:paraId="41B69E2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lang w:val="en-US"/>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床旁快检试剂</w:t>
            </w:r>
          </w:p>
        </w:tc>
        <w:tc>
          <w:tcPr>
            <w:tcW w:w="1450" w:type="dxa"/>
            <w:tcBorders>
              <w:top w:val="single" w:color="auto" w:sz="4" w:space="0"/>
              <w:left w:val="single" w:color="auto" w:sz="4" w:space="0"/>
              <w:bottom w:val="single" w:color="auto" w:sz="4" w:space="0"/>
              <w:right w:val="single" w:color="auto" w:sz="4" w:space="0"/>
            </w:tcBorders>
            <w:noWrap w:val="0"/>
            <w:vAlign w:val="center"/>
          </w:tcPr>
          <w:p w14:paraId="5F76B9D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肌钙蛋白测定试剂盒</w:t>
            </w:r>
          </w:p>
        </w:tc>
        <w:tc>
          <w:tcPr>
            <w:tcW w:w="862" w:type="dxa"/>
            <w:tcBorders>
              <w:top w:val="single" w:color="auto" w:sz="4" w:space="0"/>
              <w:left w:val="single" w:color="auto" w:sz="4" w:space="0"/>
              <w:bottom w:val="single" w:color="auto" w:sz="4" w:space="0"/>
              <w:right w:val="single" w:color="auto" w:sz="4" w:space="0"/>
            </w:tcBorders>
            <w:noWrap w:val="0"/>
            <w:vAlign w:val="center"/>
          </w:tcPr>
          <w:p w14:paraId="4000D55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人次</w:t>
            </w:r>
          </w:p>
        </w:tc>
        <w:tc>
          <w:tcPr>
            <w:tcW w:w="862" w:type="dxa"/>
            <w:tcBorders>
              <w:top w:val="single" w:color="auto" w:sz="4" w:space="0"/>
              <w:left w:val="single" w:color="auto" w:sz="4" w:space="0"/>
              <w:bottom w:val="single" w:color="auto" w:sz="4" w:space="0"/>
              <w:right w:val="single" w:color="auto" w:sz="4" w:space="0"/>
            </w:tcBorders>
            <w:noWrap w:val="0"/>
            <w:vAlign w:val="center"/>
          </w:tcPr>
          <w:p w14:paraId="68477E0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pPr>
            <w: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t>3000</w:t>
            </w:r>
          </w:p>
        </w:tc>
        <w:tc>
          <w:tcPr>
            <w:tcW w:w="1202" w:type="dxa"/>
            <w:tcBorders>
              <w:top w:val="single" w:color="auto" w:sz="4" w:space="0"/>
              <w:left w:val="single" w:color="auto" w:sz="4" w:space="0"/>
              <w:bottom w:val="single" w:color="auto" w:sz="4" w:space="0"/>
              <w:right w:val="single" w:color="auto" w:sz="4" w:space="0"/>
            </w:tcBorders>
            <w:noWrap w:val="0"/>
            <w:vAlign w:val="center"/>
          </w:tcPr>
          <w:p w14:paraId="3554C5F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94" w:type="dxa"/>
            <w:tcBorders>
              <w:top w:val="single" w:color="auto" w:sz="4" w:space="0"/>
              <w:left w:val="single" w:color="auto" w:sz="4" w:space="0"/>
              <w:bottom w:val="single" w:color="auto" w:sz="4" w:space="0"/>
              <w:right w:val="single" w:color="auto" w:sz="4" w:space="0"/>
            </w:tcBorders>
            <w:noWrap w:val="0"/>
            <w:vAlign w:val="center"/>
          </w:tcPr>
          <w:p w14:paraId="7ABFD0E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1CD8275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931" w:type="dxa"/>
            <w:tcBorders>
              <w:top w:val="single" w:color="auto" w:sz="4" w:space="0"/>
              <w:left w:val="single" w:color="auto" w:sz="4" w:space="0"/>
              <w:bottom w:val="single" w:color="auto" w:sz="4" w:space="0"/>
              <w:right w:val="single" w:color="auto" w:sz="4" w:space="0"/>
            </w:tcBorders>
            <w:noWrap w:val="0"/>
            <w:vAlign w:val="center"/>
          </w:tcPr>
          <w:p w14:paraId="0CE58EFA">
            <w:pPr>
              <w:keepNext w:val="0"/>
              <w:keepLines w:val="0"/>
              <w:pageBreakBefore w:val="0"/>
              <w:kinsoku/>
              <w:wordWrap/>
              <w:overflowPunct/>
              <w:topLinePunct w:val="0"/>
              <w:autoSpaceDE/>
              <w:autoSpaceDN/>
              <w:bidi w:val="0"/>
              <w:adjustRightInd/>
              <w:snapToGrid w:val="0"/>
              <w:jc w:val="center"/>
              <w:rPr>
                <w:rFonts w:hint="eastAsia"/>
                <w:sz w:val="21"/>
                <w:szCs w:val="21"/>
                <w:lang w:val="en-US" w:eastAsia="zh-CN"/>
              </w:rPr>
            </w:pPr>
            <w: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t>-</w:t>
            </w:r>
          </w:p>
        </w:tc>
        <w:tc>
          <w:tcPr>
            <w:tcW w:w="965" w:type="dxa"/>
            <w:tcBorders>
              <w:top w:val="single" w:color="auto" w:sz="4" w:space="0"/>
              <w:left w:val="single" w:color="auto" w:sz="4" w:space="0"/>
              <w:bottom w:val="single" w:color="auto" w:sz="4" w:space="0"/>
              <w:right w:val="single" w:color="auto" w:sz="4" w:space="0"/>
            </w:tcBorders>
            <w:noWrap w:val="0"/>
            <w:vAlign w:val="center"/>
          </w:tcPr>
          <w:p w14:paraId="213F4358">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354" w:type="dxa"/>
            <w:tcBorders>
              <w:top w:val="single" w:color="auto" w:sz="4" w:space="0"/>
              <w:left w:val="single" w:color="auto" w:sz="4" w:space="0"/>
              <w:bottom w:val="single" w:color="auto" w:sz="4" w:space="0"/>
              <w:right w:val="single" w:color="auto" w:sz="4" w:space="0"/>
            </w:tcBorders>
            <w:noWrap w:val="0"/>
            <w:vAlign w:val="center"/>
          </w:tcPr>
          <w:p w14:paraId="4F09D18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auto" w:sz="4" w:space="0"/>
            </w:tcBorders>
            <w:noWrap w:val="0"/>
            <w:vAlign w:val="center"/>
          </w:tcPr>
          <w:p w14:paraId="0939FB6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327" w:type="dxa"/>
            <w:tcBorders>
              <w:top w:val="single" w:color="auto" w:sz="4" w:space="0"/>
              <w:left w:val="single" w:color="auto" w:sz="4" w:space="0"/>
              <w:bottom w:val="single" w:color="auto" w:sz="4" w:space="0"/>
              <w:right w:val="single" w:color="auto" w:sz="4" w:space="0"/>
            </w:tcBorders>
            <w:noWrap w:val="0"/>
            <w:vAlign w:val="center"/>
          </w:tcPr>
          <w:p w14:paraId="6FB09BF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652" w:type="dxa"/>
            <w:tcBorders>
              <w:top w:val="single" w:color="auto" w:sz="4" w:space="0"/>
              <w:left w:val="single" w:color="auto" w:sz="4" w:space="0"/>
              <w:bottom w:val="single" w:color="auto" w:sz="4" w:space="0"/>
              <w:right w:val="single" w:color="auto" w:sz="4" w:space="0"/>
            </w:tcBorders>
            <w:noWrap w:val="0"/>
            <w:vAlign w:val="center"/>
          </w:tcPr>
          <w:p w14:paraId="5144144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55" w:type="dxa"/>
            <w:tcBorders>
              <w:top w:val="single" w:color="auto" w:sz="4" w:space="0"/>
              <w:left w:val="single" w:color="auto" w:sz="4" w:space="0"/>
              <w:bottom w:val="single" w:color="auto" w:sz="4" w:space="0"/>
              <w:right w:val="single" w:color="auto" w:sz="4" w:space="0"/>
            </w:tcBorders>
            <w:noWrap w:val="0"/>
            <w:vAlign w:val="center"/>
          </w:tcPr>
          <w:p w14:paraId="3C7A98C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r>
      <w:tr w14:paraId="276A8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jc w:val="center"/>
        </w:trPr>
        <w:tc>
          <w:tcPr>
            <w:tcW w:w="501" w:type="dxa"/>
            <w:vMerge w:val="continue"/>
            <w:tcBorders>
              <w:top w:val="single" w:color="auto" w:sz="4" w:space="0"/>
              <w:left w:val="single" w:color="auto" w:sz="4" w:space="0"/>
              <w:bottom w:val="single" w:color="auto" w:sz="4" w:space="0"/>
              <w:right w:val="single" w:color="auto" w:sz="4" w:space="0"/>
            </w:tcBorders>
            <w:noWrap w:val="0"/>
            <w:vAlign w:val="center"/>
          </w:tcPr>
          <w:p w14:paraId="505B05E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467B739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1450" w:type="dxa"/>
            <w:tcBorders>
              <w:top w:val="single" w:color="auto" w:sz="4" w:space="0"/>
              <w:left w:val="single" w:color="auto" w:sz="4" w:space="0"/>
              <w:bottom w:val="single" w:color="auto" w:sz="4" w:space="0"/>
              <w:right w:val="single" w:color="auto" w:sz="4" w:space="0"/>
            </w:tcBorders>
            <w:noWrap w:val="0"/>
            <w:vAlign w:val="center"/>
          </w:tcPr>
          <w:p w14:paraId="2B3D766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肌酸激酶同工酶测定试剂盒</w:t>
            </w:r>
          </w:p>
        </w:tc>
        <w:tc>
          <w:tcPr>
            <w:tcW w:w="862" w:type="dxa"/>
            <w:tcBorders>
              <w:top w:val="single" w:color="auto" w:sz="4" w:space="0"/>
              <w:left w:val="single" w:color="auto" w:sz="4" w:space="0"/>
              <w:bottom w:val="single" w:color="auto" w:sz="4" w:space="0"/>
              <w:right w:val="single" w:color="auto" w:sz="4" w:space="0"/>
            </w:tcBorders>
            <w:noWrap w:val="0"/>
            <w:vAlign w:val="center"/>
          </w:tcPr>
          <w:p w14:paraId="61D8A36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人次</w:t>
            </w:r>
          </w:p>
        </w:tc>
        <w:tc>
          <w:tcPr>
            <w:tcW w:w="862" w:type="dxa"/>
            <w:tcBorders>
              <w:top w:val="single" w:color="auto" w:sz="4" w:space="0"/>
              <w:left w:val="single" w:color="auto" w:sz="4" w:space="0"/>
              <w:bottom w:val="single" w:color="auto" w:sz="4" w:space="0"/>
              <w:right w:val="single" w:color="auto" w:sz="4" w:space="0"/>
            </w:tcBorders>
            <w:noWrap w:val="0"/>
            <w:vAlign w:val="center"/>
          </w:tcPr>
          <w:p w14:paraId="1404378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pPr>
            <w: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t>3000</w:t>
            </w:r>
          </w:p>
        </w:tc>
        <w:tc>
          <w:tcPr>
            <w:tcW w:w="1202" w:type="dxa"/>
            <w:tcBorders>
              <w:top w:val="single" w:color="auto" w:sz="4" w:space="0"/>
              <w:left w:val="single" w:color="auto" w:sz="4" w:space="0"/>
              <w:bottom w:val="single" w:color="auto" w:sz="4" w:space="0"/>
              <w:right w:val="single" w:color="auto" w:sz="4" w:space="0"/>
            </w:tcBorders>
            <w:noWrap w:val="0"/>
            <w:vAlign w:val="center"/>
          </w:tcPr>
          <w:p w14:paraId="5E68353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94" w:type="dxa"/>
            <w:tcBorders>
              <w:top w:val="single" w:color="auto" w:sz="4" w:space="0"/>
              <w:left w:val="single" w:color="auto" w:sz="4" w:space="0"/>
              <w:bottom w:val="single" w:color="auto" w:sz="4" w:space="0"/>
              <w:right w:val="single" w:color="auto" w:sz="4" w:space="0"/>
            </w:tcBorders>
            <w:noWrap w:val="0"/>
            <w:vAlign w:val="center"/>
          </w:tcPr>
          <w:p w14:paraId="2EFC8D7F">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2E045EC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931" w:type="dxa"/>
            <w:tcBorders>
              <w:top w:val="single" w:color="auto" w:sz="4" w:space="0"/>
              <w:left w:val="single" w:color="auto" w:sz="4" w:space="0"/>
              <w:bottom w:val="single" w:color="auto" w:sz="4" w:space="0"/>
              <w:right w:val="single" w:color="auto" w:sz="4" w:space="0"/>
            </w:tcBorders>
            <w:noWrap w:val="0"/>
            <w:vAlign w:val="center"/>
          </w:tcPr>
          <w:p w14:paraId="554339C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t>-</w:t>
            </w:r>
          </w:p>
        </w:tc>
        <w:tc>
          <w:tcPr>
            <w:tcW w:w="965" w:type="dxa"/>
            <w:tcBorders>
              <w:top w:val="single" w:color="auto" w:sz="4" w:space="0"/>
              <w:left w:val="single" w:color="auto" w:sz="4" w:space="0"/>
              <w:bottom w:val="single" w:color="auto" w:sz="4" w:space="0"/>
              <w:right w:val="single" w:color="auto" w:sz="4" w:space="0"/>
            </w:tcBorders>
            <w:noWrap w:val="0"/>
            <w:vAlign w:val="center"/>
          </w:tcPr>
          <w:p w14:paraId="7BB22C6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354" w:type="dxa"/>
            <w:tcBorders>
              <w:top w:val="single" w:color="auto" w:sz="4" w:space="0"/>
              <w:left w:val="single" w:color="auto" w:sz="4" w:space="0"/>
              <w:bottom w:val="single" w:color="auto" w:sz="4" w:space="0"/>
              <w:right w:val="single" w:color="auto" w:sz="4" w:space="0"/>
            </w:tcBorders>
            <w:noWrap w:val="0"/>
            <w:vAlign w:val="center"/>
          </w:tcPr>
          <w:p w14:paraId="3CAE2E9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auto" w:sz="4" w:space="0"/>
            </w:tcBorders>
            <w:noWrap w:val="0"/>
            <w:vAlign w:val="center"/>
          </w:tcPr>
          <w:p w14:paraId="13B3824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327" w:type="dxa"/>
            <w:tcBorders>
              <w:top w:val="single" w:color="auto" w:sz="4" w:space="0"/>
              <w:left w:val="single" w:color="auto" w:sz="4" w:space="0"/>
              <w:bottom w:val="single" w:color="auto" w:sz="4" w:space="0"/>
              <w:right w:val="single" w:color="auto" w:sz="4" w:space="0"/>
            </w:tcBorders>
            <w:noWrap w:val="0"/>
            <w:vAlign w:val="center"/>
          </w:tcPr>
          <w:p w14:paraId="688D719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652" w:type="dxa"/>
            <w:tcBorders>
              <w:top w:val="single" w:color="auto" w:sz="4" w:space="0"/>
              <w:left w:val="single" w:color="auto" w:sz="4" w:space="0"/>
              <w:bottom w:val="single" w:color="auto" w:sz="4" w:space="0"/>
              <w:right w:val="single" w:color="auto" w:sz="4" w:space="0"/>
            </w:tcBorders>
            <w:noWrap w:val="0"/>
            <w:vAlign w:val="center"/>
          </w:tcPr>
          <w:p w14:paraId="37826410">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55" w:type="dxa"/>
            <w:tcBorders>
              <w:top w:val="single" w:color="auto" w:sz="4" w:space="0"/>
              <w:left w:val="single" w:color="auto" w:sz="4" w:space="0"/>
              <w:bottom w:val="single" w:color="auto" w:sz="4" w:space="0"/>
              <w:right w:val="single" w:color="auto" w:sz="4" w:space="0"/>
            </w:tcBorders>
            <w:noWrap w:val="0"/>
            <w:vAlign w:val="center"/>
          </w:tcPr>
          <w:p w14:paraId="4FE873B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2179E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jc w:val="center"/>
        </w:trPr>
        <w:tc>
          <w:tcPr>
            <w:tcW w:w="501" w:type="dxa"/>
            <w:vMerge w:val="continue"/>
            <w:tcBorders>
              <w:top w:val="single" w:color="auto" w:sz="4" w:space="0"/>
              <w:left w:val="single" w:color="auto" w:sz="4" w:space="0"/>
              <w:bottom w:val="single" w:color="auto" w:sz="4" w:space="0"/>
              <w:right w:val="single" w:color="auto" w:sz="4" w:space="0"/>
            </w:tcBorders>
            <w:noWrap w:val="0"/>
            <w:vAlign w:val="center"/>
          </w:tcPr>
          <w:p w14:paraId="4796BC0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783" w:type="dxa"/>
            <w:vMerge w:val="continue"/>
            <w:tcBorders>
              <w:top w:val="single" w:color="auto" w:sz="4" w:space="0"/>
              <w:left w:val="single" w:color="auto" w:sz="4" w:space="0"/>
              <w:bottom w:val="single" w:color="auto" w:sz="4" w:space="0"/>
              <w:right w:val="single" w:color="auto" w:sz="4" w:space="0"/>
            </w:tcBorders>
            <w:noWrap w:val="0"/>
            <w:vAlign w:val="center"/>
          </w:tcPr>
          <w:p w14:paraId="10C795A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p>
        </w:tc>
        <w:tc>
          <w:tcPr>
            <w:tcW w:w="1450" w:type="dxa"/>
            <w:tcBorders>
              <w:top w:val="single" w:color="auto" w:sz="4" w:space="0"/>
              <w:left w:val="single" w:color="auto" w:sz="4" w:space="0"/>
              <w:bottom w:val="single" w:color="auto" w:sz="4" w:space="0"/>
              <w:right w:val="single" w:color="auto" w:sz="4" w:space="0"/>
            </w:tcBorders>
            <w:noWrap w:val="0"/>
            <w:vAlign w:val="center"/>
          </w:tcPr>
          <w:p w14:paraId="59E82F0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肌红蛋白测定试剂盒</w:t>
            </w:r>
          </w:p>
        </w:tc>
        <w:tc>
          <w:tcPr>
            <w:tcW w:w="862" w:type="dxa"/>
            <w:tcBorders>
              <w:top w:val="single" w:color="auto" w:sz="4" w:space="0"/>
              <w:left w:val="single" w:color="auto" w:sz="4" w:space="0"/>
              <w:bottom w:val="single" w:color="auto" w:sz="4" w:space="0"/>
              <w:right w:val="single" w:color="auto" w:sz="4" w:space="0"/>
            </w:tcBorders>
            <w:noWrap w:val="0"/>
            <w:vAlign w:val="center"/>
          </w:tcPr>
          <w:p w14:paraId="0BE517B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人次</w:t>
            </w:r>
          </w:p>
        </w:tc>
        <w:tc>
          <w:tcPr>
            <w:tcW w:w="862" w:type="dxa"/>
            <w:tcBorders>
              <w:top w:val="single" w:color="auto" w:sz="4" w:space="0"/>
              <w:left w:val="single" w:color="auto" w:sz="4" w:space="0"/>
              <w:bottom w:val="single" w:color="auto" w:sz="4" w:space="0"/>
              <w:right w:val="single" w:color="auto" w:sz="4" w:space="0"/>
            </w:tcBorders>
            <w:noWrap w:val="0"/>
            <w:vAlign w:val="center"/>
          </w:tcPr>
          <w:p w14:paraId="70ECEC6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pPr>
            <w: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t>3000</w:t>
            </w:r>
          </w:p>
        </w:tc>
        <w:tc>
          <w:tcPr>
            <w:tcW w:w="1202" w:type="dxa"/>
            <w:tcBorders>
              <w:top w:val="single" w:color="auto" w:sz="4" w:space="0"/>
              <w:left w:val="single" w:color="auto" w:sz="4" w:space="0"/>
              <w:bottom w:val="single" w:color="auto" w:sz="4" w:space="0"/>
              <w:right w:val="single" w:color="auto" w:sz="4" w:space="0"/>
            </w:tcBorders>
            <w:noWrap w:val="0"/>
            <w:vAlign w:val="center"/>
          </w:tcPr>
          <w:p w14:paraId="7A6D1A9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94" w:type="dxa"/>
            <w:tcBorders>
              <w:top w:val="single" w:color="auto" w:sz="4" w:space="0"/>
              <w:left w:val="single" w:color="auto" w:sz="4" w:space="0"/>
              <w:bottom w:val="single" w:color="auto" w:sz="4" w:space="0"/>
              <w:right w:val="single" w:color="auto" w:sz="4" w:space="0"/>
            </w:tcBorders>
            <w:noWrap w:val="0"/>
            <w:vAlign w:val="center"/>
          </w:tcPr>
          <w:p w14:paraId="34FD8DC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21554283">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931" w:type="dxa"/>
            <w:tcBorders>
              <w:top w:val="single" w:color="auto" w:sz="4" w:space="0"/>
              <w:left w:val="single" w:color="auto" w:sz="4" w:space="0"/>
              <w:bottom w:val="single" w:color="auto" w:sz="4" w:space="0"/>
              <w:right w:val="single" w:color="auto" w:sz="4" w:space="0"/>
            </w:tcBorders>
            <w:noWrap w:val="0"/>
            <w:vAlign w:val="center"/>
          </w:tcPr>
          <w:p w14:paraId="0E3F5DA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t>-</w:t>
            </w:r>
          </w:p>
        </w:tc>
        <w:tc>
          <w:tcPr>
            <w:tcW w:w="965" w:type="dxa"/>
            <w:tcBorders>
              <w:top w:val="single" w:color="auto" w:sz="4" w:space="0"/>
              <w:left w:val="single" w:color="auto" w:sz="4" w:space="0"/>
              <w:bottom w:val="single" w:color="auto" w:sz="4" w:space="0"/>
              <w:right w:val="single" w:color="auto" w:sz="4" w:space="0"/>
            </w:tcBorders>
            <w:noWrap w:val="0"/>
            <w:vAlign w:val="center"/>
          </w:tcPr>
          <w:p w14:paraId="41347771">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354" w:type="dxa"/>
            <w:tcBorders>
              <w:top w:val="single" w:color="auto" w:sz="4" w:space="0"/>
              <w:left w:val="single" w:color="auto" w:sz="4" w:space="0"/>
              <w:bottom w:val="single" w:color="auto" w:sz="4" w:space="0"/>
              <w:right w:val="single" w:color="auto" w:sz="4" w:space="0"/>
            </w:tcBorders>
            <w:noWrap w:val="0"/>
            <w:vAlign w:val="center"/>
          </w:tcPr>
          <w:p w14:paraId="3DE65BA4">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auto" w:sz="4" w:space="0"/>
            </w:tcBorders>
            <w:noWrap w:val="0"/>
            <w:vAlign w:val="center"/>
          </w:tcPr>
          <w:p w14:paraId="50C9FDC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327" w:type="dxa"/>
            <w:tcBorders>
              <w:top w:val="single" w:color="auto" w:sz="4" w:space="0"/>
              <w:left w:val="single" w:color="auto" w:sz="4" w:space="0"/>
              <w:bottom w:val="single" w:color="auto" w:sz="4" w:space="0"/>
              <w:right w:val="single" w:color="auto" w:sz="4" w:space="0"/>
            </w:tcBorders>
            <w:noWrap w:val="0"/>
            <w:vAlign w:val="center"/>
          </w:tcPr>
          <w:p w14:paraId="27EA3C7A">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652" w:type="dxa"/>
            <w:tcBorders>
              <w:top w:val="single" w:color="auto" w:sz="4" w:space="0"/>
              <w:left w:val="single" w:color="auto" w:sz="4" w:space="0"/>
              <w:bottom w:val="single" w:color="auto" w:sz="4" w:space="0"/>
              <w:right w:val="single" w:color="auto" w:sz="4" w:space="0"/>
            </w:tcBorders>
            <w:noWrap w:val="0"/>
            <w:vAlign w:val="center"/>
          </w:tcPr>
          <w:p w14:paraId="69D510E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55" w:type="dxa"/>
            <w:tcBorders>
              <w:top w:val="single" w:color="auto" w:sz="4" w:space="0"/>
              <w:left w:val="single" w:color="auto" w:sz="4" w:space="0"/>
              <w:bottom w:val="single" w:color="auto" w:sz="4" w:space="0"/>
              <w:right w:val="single" w:color="auto" w:sz="4" w:space="0"/>
            </w:tcBorders>
            <w:noWrap w:val="0"/>
            <w:vAlign w:val="center"/>
          </w:tcPr>
          <w:p w14:paraId="2831563B">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26611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6" w:hRule="atLeast"/>
          <w:jc w:val="center"/>
        </w:trPr>
        <w:tc>
          <w:tcPr>
            <w:tcW w:w="501" w:type="dxa"/>
            <w:tcBorders>
              <w:top w:val="single" w:color="auto" w:sz="4" w:space="0"/>
              <w:left w:val="single" w:color="auto" w:sz="4" w:space="0"/>
              <w:bottom w:val="single" w:color="auto" w:sz="4" w:space="0"/>
              <w:right w:val="single" w:color="auto" w:sz="4" w:space="0"/>
            </w:tcBorders>
            <w:noWrap w:val="0"/>
            <w:vAlign w:val="center"/>
          </w:tcPr>
          <w:p w14:paraId="5A89AC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2</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06AD411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心肌三项检测仪</w:t>
            </w:r>
          </w:p>
        </w:tc>
        <w:tc>
          <w:tcPr>
            <w:tcW w:w="1450" w:type="dxa"/>
            <w:tcBorders>
              <w:top w:val="single" w:color="auto" w:sz="4" w:space="0"/>
              <w:left w:val="single" w:color="auto" w:sz="4" w:space="0"/>
              <w:bottom w:val="single" w:color="auto" w:sz="4" w:space="0"/>
              <w:right w:val="single" w:color="auto" w:sz="4" w:space="0"/>
            </w:tcBorders>
            <w:noWrap w:val="0"/>
            <w:vAlign w:val="center"/>
          </w:tcPr>
          <w:p w14:paraId="1E07574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心肌三项检测仪</w:t>
            </w:r>
          </w:p>
        </w:tc>
        <w:tc>
          <w:tcPr>
            <w:tcW w:w="862" w:type="dxa"/>
            <w:tcBorders>
              <w:top w:val="single" w:color="auto" w:sz="4" w:space="0"/>
              <w:left w:val="single" w:color="auto" w:sz="4" w:space="0"/>
              <w:bottom w:val="single" w:color="auto" w:sz="4" w:space="0"/>
              <w:right w:val="single" w:color="auto" w:sz="4" w:space="0"/>
            </w:tcBorders>
            <w:noWrap w:val="0"/>
            <w:vAlign w:val="center"/>
          </w:tcPr>
          <w:p w14:paraId="763E015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pPr>
            <w:r>
              <w:rPr>
                <w:rFonts w:hint="eastAsia"/>
                <w:color w:val="000000" w:themeColor="text1"/>
                <w:sz w:val="21"/>
                <w:szCs w:val="21"/>
                <w:vertAlign w:val="baseline"/>
                <w:lang w:eastAsia="zh-CN"/>
                <w14:textFill>
                  <w14:solidFill>
                    <w14:schemeClr w14:val="tx1"/>
                  </w14:solidFill>
                </w14:textFill>
              </w:rPr>
              <w:t>台</w:t>
            </w:r>
            <w:r>
              <w:rPr>
                <w:rFonts w:hint="eastAsia"/>
                <w:color w:val="000000" w:themeColor="text1"/>
                <w:sz w:val="21"/>
                <w:szCs w:val="21"/>
                <w:vertAlign w:val="baseline"/>
                <w:lang w:val="en-US" w:eastAsia="zh-CN"/>
                <w14:textFill>
                  <w14:solidFill>
                    <w14:schemeClr w14:val="tx1"/>
                  </w14:solidFill>
                </w14:textFill>
              </w:rPr>
              <w:t>/套</w:t>
            </w:r>
          </w:p>
        </w:tc>
        <w:tc>
          <w:tcPr>
            <w:tcW w:w="862" w:type="dxa"/>
            <w:tcBorders>
              <w:top w:val="single" w:color="auto" w:sz="4" w:space="0"/>
              <w:left w:val="single" w:color="auto" w:sz="4" w:space="0"/>
              <w:bottom w:val="single" w:color="auto" w:sz="4" w:space="0"/>
              <w:right w:val="single" w:color="auto" w:sz="4" w:space="0"/>
            </w:tcBorders>
            <w:noWrap w:val="0"/>
            <w:vAlign w:val="center"/>
          </w:tcPr>
          <w:p w14:paraId="057A1CC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宋体" w:hAnsi="宋体" w:eastAsia="宋体" w:cs="宋体"/>
                <w:i w:val="0"/>
                <w:iCs w:val="0"/>
                <w:color w:val="000000" w:themeColor="text1"/>
                <w:sz w:val="21"/>
                <w:szCs w:val="21"/>
                <w:u w:val="none"/>
                <w:lang w:val="en-US" w:eastAsia="zh-CN"/>
                <w14:textFill>
                  <w14:solidFill>
                    <w14:schemeClr w14:val="tx1"/>
                  </w14:solidFill>
                </w14:textFill>
              </w:rPr>
            </w:pPr>
            <w: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t>2</w:t>
            </w:r>
          </w:p>
        </w:tc>
        <w:tc>
          <w:tcPr>
            <w:tcW w:w="1202" w:type="dxa"/>
            <w:tcBorders>
              <w:top w:val="single" w:color="auto" w:sz="4" w:space="0"/>
              <w:left w:val="single" w:color="auto" w:sz="4" w:space="0"/>
              <w:bottom w:val="single" w:color="auto" w:sz="4" w:space="0"/>
              <w:right w:val="single" w:color="auto" w:sz="4" w:space="0"/>
            </w:tcBorders>
            <w:noWrap w:val="0"/>
            <w:vAlign w:val="center"/>
          </w:tcPr>
          <w:p w14:paraId="03BF11CD">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894" w:type="dxa"/>
            <w:tcBorders>
              <w:top w:val="single" w:color="auto" w:sz="4" w:space="0"/>
              <w:left w:val="single" w:color="auto" w:sz="4" w:space="0"/>
              <w:bottom w:val="single" w:color="auto" w:sz="4" w:space="0"/>
              <w:right w:val="single" w:color="auto" w:sz="4" w:space="0"/>
            </w:tcBorders>
            <w:noWrap w:val="0"/>
            <w:vAlign w:val="center"/>
          </w:tcPr>
          <w:p w14:paraId="14C8BF56">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33D9149E">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931" w:type="dxa"/>
            <w:tcBorders>
              <w:top w:val="single" w:color="auto" w:sz="4" w:space="0"/>
              <w:left w:val="single" w:color="auto" w:sz="4" w:space="0"/>
              <w:bottom w:val="single" w:color="auto" w:sz="4" w:space="0"/>
              <w:right w:val="single" w:color="auto" w:sz="4" w:space="0"/>
            </w:tcBorders>
            <w:noWrap w:val="0"/>
            <w:vAlign w:val="center"/>
          </w:tcPr>
          <w:p w14:paraId="31C9A2C9">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965" w:type="dxa"/>
            <w:tcBorders>
              <w:top w:val="single" w:color="auto" w:sz="4" w:space="0"/>
              <w:left w:val="single" w:color="auto" w:sz="4" w:space="0"/>
              <w:bottom w:val="single" w:color="auto" w:sz="4" w:space="0"/>
              <w:right w:val="single" w:color="auto" w:sz="4" w:space="0"/>
            </w:tcBorders>
            <w:noWrap w:val="0"/>
            <w:vAlign w:val="center"/>
          </w:tcPr>
          <w:p w14:paraId="1A597E5D">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354" w:type="dxa"/>
            <w:tcBorders>
              <w:top w:val="single" w:color="auto" w:sz="4" w:space="0"/>
              <w:left w:val="single" w:color="auto" w:sz="4" w:space="0"/>
              <w:bottom w:val="single" w:color="auto" w:sz="4" w:space="0"/>
              <w:right w:val="single" w:color="auto" w:sz="4" w:space="0"/>
            </w:tcBorders>
            <w:noWrap w:val="0"/>
            <w:vAlign w:val="center"/>
          </w:tcPr>
          <w:p w14:paraId="0A2288DC">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t>-</w:t>
            </w:r>
          </w:p>
        </w:tc>
        <w:tc>
          <w:tcPr>
            <w:tcW w:w="1138" w:type="dxa"/>
            <w:tcBorders>
              <w:top w:val="single" w:color="auto" w:sz="4" w:space="0"/>
              <w:left w:val="single" w:color="auto" w:sz="4" w:space="0"/>
              <w:bottom w:val="single" w:color="auto" w:sz="4" w:space="0"/>
              <w:right w:val="single" w:color="auto" w:sz="4" w:space="0"/>
            </w:tcBorders>
            <w:noWrap w:val="0"/>
            <w:vAlign w:val="center"/>
          </w:tcPr>
          <w:p w14:paraId="616F47A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sz w:val="21"/>
                <w:szCs w:val="21"/>
              </w:rPr>
            </w:pPr>
          </w:p>
        </w:tc>
        <w:tc>
          <w:tcPr>
            <w:tcW w:w="1327" w:type="dxa"/>
            <w:tcBorders>
              <w:top w:val="single" w:color="auto" w:sz="4" w:space="0"/>
              <w:left w:val="single" w:color="auto" w:sz="4" w:space="0"/>
              <w:bottom w:val="single" w:color="auto" w:sz="4" w:space="0"/>
              <w:right w:val="single" w:color="auto" w:sz="4" w:space="0"/>
            </w:tcBorders>
            <w:noWrap w:val="0"/>
            <w:vAlign w:val="center"/>
          </w:tcPr>
          <w:p w14:paraId="53796445">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1652" w:type="dxa"/>
            <w:tcBorders>
              <w:top w:val="single" w:color="auto" w:sz="4" w:space="0"/>
              <w:left w:val="single" w:color="auto" w:sz="4" w:space="0"/>
              <w:bottom w:val="single" w:color="auto" w:sz="4" w:space="0"/>
              <w:right w:val="single" w:color="auto" w:sz="4" w:space="0"/>
            </w:tcBorders>
            <w:noWrap w:val="0"/>
            <w:vAlign w:val="center"/>
          </w:tcPr>
          <w:p w14:paraId="7EFCD2BD">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pPr>
            <w: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t>-</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51D99E12">
            <w:pPr>
              <w:keepNext w:val="0"/>
              <w:keepLines w:val="0"/>
              <w:pageBreakBefore w:val="0"/>
              <w:kinsoku/>
              <w:wordWrap/>
              <w:overflowPunct/>
              <w:topLinePunct w:val="0"/>
              <w:autoSpaceDE/>
              <w:autoSpaceDN/>
              <w:bidi w:val="0"/>
              <w:adjustRightInd/>
              <w:snapToGrid w:val="0"/>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1BDA2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501" w:type="dxa"/>
            <w:tcBorders>
              <w:top w:val="single" w:color="auto" w:sz="4" w:space="0"/>
              <w:left w:val="single" w:color="auto" w:sz="4" w:space="0"/>
              <w:bottom w:val="single" w:color="auto" w:sz="4" w:space="0"/>
              <w:right w:val="single" w:color="auto" w:sz="4" w:space="0"/>
            </w:tcBorders>
            <w:noWrap w:val="0"/>
            <w:vAlign w:val="center"/>
          </w:tcPr>
          <w:p w14:paraId="17EE77A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3</w:t>
            </w:r>
          </w:p>
        </w:tc>
        <w:tc>
          <w:tcPr>
            <w:tcW w:w="14770" w:type="dxa"/>
            <w:gridSpan w:val="14"/>
            <w:tcBorders>
              <w:top w:val="single" w:color="auto" w:sz="4" w:space="0"/>
              <w:left w:val="single" w:color="auto" w:sz="4" w:space="0"/>
              <w:bottom w:val="single" w:color="auto" w:sz="4" w:space="0"/>
              <w:right w:val="single" w:color="auto" w:sz="4" w:space="0"/>
            </w:tcBorders>
            <w:noWrap w:val="0"/>
            <w:vAlign w:val="center"/>
          </w:tcPr>
          <w:p w14:paraId="535E7FA1">
            <w:pPr>
              <w:keepNext w:val="0"/>
              <w:keepLines w:val="0"/>
              <w:pageBreakBefore w:val="0"/>
              <w:kinsoku/>
              <w:wordWrap/>
              <w:overflowPunct/>
              <w:topLinePunct w:val="0"/>
              <w:autoSpaceDE/>
              <w:autoSpaceDN/>
              <w:bidi w:val="0"/>
              <w:adjustRightInd/>
              <w:snapToGrid w:val="0"/>
              <w:jc w:val="left"/>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合计：</w:t>
            </w:r>
            <w:bookmarkStart w:id="0" w:name="_GoBack"/>
            <w:bookmarkEnd w:id="0"/>
          </w:p>
        </w:tc>
      </w:tr>
    </w:tbl>
    <w:p w14:paraId="3EBCC9D9">
      <w:pPr>
        <w:keepNext w:val="0"/>
        <w:keepLines w:val="0"/>
        <w:pageBreakBefore w:val="0"/>
        <w:kinsoku/>
        <w:wordWrap/>
        <w:overflowPunct/>
        <w:topLinePunct w:val="0"/>
        <w:autoSpaceDE/>
        <w:autoSpaceDN/>
        <w:bidi w:val="0"/>
        <w:adjustRightInd/>
        <w:snapToGrid w:val="0"/>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备注：</w:t>
      </w:r>
      <w:r>
        <w:rPr>
          <w:rFonts w:hint="eastAsia" w:ascii="仿宋" w:hAnsi="仿宋" w:eastAsia="仿宋" w:cs="仿宋"/>
          <w:color w:val="000000" w:themeColor="text1"/>
          <w:sz w:val="21"/>
          <w:szCs w:val="21"/>
          <w:lang w:val="en-US" w:eastAsia="zh-CN"/>
          <w14:textFill>
            <w14:solidFill>
              <w14:schemeClr w14:val="tx1"/>
            </w14:solidFill>
          </w14:textFill>
        </w:rPr>
        <w:t>1.投标人应按“报价明细表”的格式详细报出响应总价的各个组成部分的报价。“报价明细表”各分项报价合计应当与“报价一览表”报价合计相等，且试剂耗材和设备均不能超过招标文件的采购限价。</w:t>
      </w:r>
    </w:p>
    <w:p w14:paraId="025B2789">
      <w:pPr>
        <w:keepNext w:val="0"/>
        <w:keepLines w:val="0"/>
        <w:pageBreakBefore w:val="0"/>
        <w:kinsoku/>
        <w:wordWrap/>
        <w:overflowPunct/>
        <w:topLinePunct w:val="0"/>
        <w:autoSpaceDE/>
        <w:autoSpaceDN/>
        <w:bidi w:val="0"/>
        <w:adjustRightInd/>
        <w:snapToGrid w:val="0"/>
        <w:rPr>
          <w:rFonts w:hint="eastAsia" w:ascii="仿宋" w:hAnsi="仿宋" w:eastAsia="仿宋" w:cs="仿宋"/>
          <w:color w:val="000000" w:themeColor="text1"/>
          <w:sz w:val="21"/>
          <w:szCs w:val="21"/>
          <w:lang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2.由于不同厂家完成床旁快检项目所需的主试剂和耗材各不相同，</w:t>
      </w:r>
      <w:r>
        <w:rPr>
          <w:rFonts w:hint="eastAsia" w:ascii="仿宋" w:hAnsi="仿宋" w:eastAsia="仿宋" w:cs="仿宋"/>
          <w:color w:val="000000" w:themeColor="text1"/>
          <w:sz w:val="21"/>
          <w:szCs w:val="21"/>
          <w:lang w:eastAsia="zh-CN"/>
          <w14:textFill>
            <w14:solidFill>
              <w14:schemeClr w14:val="tx1"/>
            </w14:solidFill>
          </w14:textFill>
        </w:rPr>
        <w:t>投标人应列出完成</w:t>
      </w:r>
      <w:r>
        <w:rPr>
          <w:rFonts w:hint="eastAsia" w:ascii="仿宋" w:hAnsi="仿宋" w:eastAsia="仿宋" w:cs="仿宋"/>
          <w:color w:val="000000" w:themeColor="text1"/>
          <w:sz w:val="21"/>
          <w:szCs w:val="21"/>
          <w:lang w:val="en-US" w:eastAsia="zh-CN"/>
          <w14:textFill>
            <w14:solidFill>
              <w14:schemeClr w14:val="tx1"/>
            </w14:solidFill>
          </w14:textFill>
        </w:rPr>
        <w:t>床旁快检项目</w:t>
      </w:r>
      <w:r>
        <w:rPr>
          <w:rFonts w:hint="eastAsia" w:ascii="仿宋" w:hAnsi="仿宋" w:eastAsia="仿宋" w:cs="仿宋"/>
          <w:color w:val="000000" w:themeColor="text1"/>
          <w:sz w:val="21"/>
          <w:szCs w:val="21"/>
          <w:lang w:eastAsia="zh-CN"/>
          <w14:textFill>
            <w14:solidFill>
              <w14:schemeClr w14:val="tx1"/>
            </w14:solidFill>
          </w14:textFill>
        </w:rPr>
        <w:t>所需全部</w:t>
      </w:r>
      <w:r>
        <w:rPr>
          <w:rFonts w:hint="eastAsia" w:ascii="仿宋" w:hAnsi="仿宋" w:eastAsia="仿宋" w:cs="仿宋"/>
          <w:color w:val="000000" w:themeColor="text1"/>
          <w:sz w:val="21"/>
          <w:szCs w:val="21"/>
          <w:lang w:val="en-US" w:eastAsia="zh-CN"/>
          <w14:textFill>
            <w14:solidFill>
              <w14:schemeClr w14:val="tx1"/>
            </w14:solidFill>
          </w14:textFill>
        </w:rPr>
        <w:t>试剂明细，其中应至少包含试剂技术参数第1点的试剂，</w:t>
      </w:r>
      <w:r>
        <w:rPr>
          <w:rFonts w:hint="eastAsia" w:ascii="仿宋" w:hAnsi="仿宋" w:eastAsia="仿宋" w:cs="仿宋"/>
          <w:color w:val="000000" w:themeColor="text1"/>
          <w:sz w:val="21"/>
          <w:szCs w:val="21"/>
          <w:lang w:eastAsia="zh-CN"/>
          <w14:textFill>
            <w14:solidFill>
              <w14:schemeClr w14:val="tx1"/>
            </w14:solidFill>
          </w14:textFill>
        </w:rPr>
        <w:t>未列出的视为完成该类检测不需要单独提供或是投标人以配套方式提供（相关报价已包含在列出的明细报价中），采购人后续将不再单独支付额外的相关检测费用。</w:t>
      </w:r>
    </w:p>
    <w:p w14:paraId="5ACAE4A6">
      <w:pPr>
        <w:keepNext w:val="0"/>
        <w:keepLines w:val="0"/>
        <w:pageBreakBefore w:val="0"/>
        <w:numPr>
          <w:ilvl w:val="0"/>
          <w:numId w:val="0"/>
        </w:numPr>
        <w:kinsoku/>
        <w:wordWrap/>
        <w:overflowPunct/>
        <w:topLinePunct w:val="0"/>
        <w:autoSpaceDE/>
        <w:autoSpaceDN/>
        <w:bidi w:val="0"/>
        <w:adjustRightInd/>
        <w:snapToGrid w:val="0"/>
        <w:ind w:leftChars="0"/>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3.所列设备、试剂耗材的名称和规格均做参考，投标人提供的厂家产品可能有不同名称，但其产品性能须满足采购人的实际使用要求。</w:t>
      </w:r>
    </w:p>
    <w:p w14:paraId="2AEF2B17">
      <w:pPr>
        <w:keepNext w:val="0"/>
        <w:keepLines w:val="0"/>
        <w:pageBreakBefore w:val="0"/>
        <w:numPr>
          <w:ilvl w:val="0"/>
          <w:numId w:val="0"/>
        </w:numPr>
        <w:kinsoku/>
        <w:wordWrap/>
        <w:overflowPunct/>
        <w:topLinePunct w:val="0"/>
        <w:autoSpaceDE/>
        <w:autoSpaceDN/>
        <w:bidi w:val="0"/>
        <w:adjustRightInd/>
        <w:snapToGrid w:val="0"/>
        <w:ind w:leftChars="0"/>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4.本次采购的设备和试剂名称系根据采购人初步调研了解，不同厂家生产的同效用产品名称与采购文件名称可能有区别，如果仅因产品名称不全部相同，但其产品效用、性能与采购文件要求的产品一致也予以认可。</w:t>
      </w:r>
    </w:p>
    <w:p w14:paraId="6516EE2D">
      <w:pPr>
        <w:keepNext w:val="0"/>
        <w:keepLines w:val="0"/>
        <w:pageBreakBefore w:val="0"/>
        <w:numPr>
          <w:ilvl w:val="0"/>
          <w:numId w:val="0"/>
        </w:numPr>
        <w:kinsoku/>
        <w:wordWrap/>
        <w:overflowPunct/>
        <w:topLinePunct w:val="0"/>
        <w:autoSpaceDE/>
        <w:autoSpaceDN/>
        <w:bidi w:val="0"/>
        <w:adjustRightInd/>
        <w:snapToGrid w:val="0"/>
        <w:ind w:leftChars="0"/>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5.投标人所报床旁快检试剂明细，应分别列出“响应产品注册证名称”、“规格型号”、“换算成最小单位价格（元）”和“包装价格（元）”等（详见明细报价表），以列出的明细标的物对应“换算成最小单位价格（元）”取平均值作为报价测算单价，具体报价说明如下：</w:t>
      </w:r>
    </w:p>
    <w:p w14:paraId="6936947F">
      <w:pPr>
        <w:keepNext w:val="0"/>
        <w:keepLines w:val="0"/>
        <w:pageBreakBefore w:val="0"/>
        <w:kinsoku/>
        <w:wordWrap/>
        <w:overflowPunct/>
        <w:topLinePunct w:val="0"/>
        <w:autoSpaceDE/>
        <w:autoSpaceDN/>
        <w:bidi w:val="0"/>
        <w:adjustRightInd/>
        <w:snapToGrid w:val="0"/>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5.1投标人应将明细标的物包装单价折算成“换算成最小单位价格（元）”，明细标的物对应“换算成最小单位价格（元）”价格相同的，“平均单价”的金额按“换算成最小单位价格（元）”中金额填报，平均单价×预计数量乘积之和作为评审总金额。</w:t>
      </w:r>
    </w:p>
    <w:p w14:paraId="408DD30C">
      <w:pPr>
        <w:keepNext w:val="0"/>
        <w:keepLines w:val="0"/>
        <w:pageBreakBefore w:val="0"/>
        <w:kinsoku/>
        <w:wordWrap/>
        <w:overflowPunct/>
        <w:topLinePunct w:val="0"/>
        <w:autoSpaceDE/>
        <w:autoSpaceDN/>
        <w:bidi w:val="0"/>
        <w:adjustRightInd/>
        <w:snapToGrid w:val="0"/>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5.2投标人应将明细标的物包装单价折算成“换算成最小单位价格（元）”，明细标的物对应“换算成最小单位价格（元）”价格不相同的，投标人应将不同的最小单位价格在报价明细表中“换算成最小单位价格（元）”分别列报，所报不同明细标的物平均最小单位价格在“平均单价”处列示，平均单价×预计数量的乘积之和作为评审总金额。【平均单价计算公式：（换算成最小单位价格1+换算成最小单位价格2+换算成最小单位价格3+.....）/n】若有余数保留小数点后两位。</w:t>
      </w:r>
    </w:p>
    <w:p w14:paraId="4FBA2F15">
      <w:pPr>
        <w:keepNext w:val="0"/>
        <w:keepLines w:val="0"/>
        <w:pageBreakBefore w:val="0"/>
        <w:numPr>
          <w:ilvl w:val="0"/>
          <w:numId w:val="0"/>
        </w:numPr>
        <w:kinsoku/>
        <w:wordWrap/>
        <w:overflowPunct/>
        <w:topLinePunct w:val="0"/>
        <w:autoSpaceDE/>
        <w:autoSpaceDN/>
        <w:bidi w:val="0"/>
        <w:adjustRightInd/>
        <w:snapToGrid w:val="0"/>
        <w:ind w:leftChars="0"/>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6.投标人所报明细标的物“包装价格”应与最小单位价格乘以包装规格数量的金额相同。“平均单价”和“换算成最小单位价格（元）”仅作评审用，合同签订按明细标的物及明细标的物“包装价格”签订。</w:t>
      </w:r>
    </w:p>
    <w:p w14:paraId="66698AD1">
      <w:pPr>
        <w:keepNext w:val="0"/>
        <w:keepLines w:val="0"/>
        <w:pageBreakBefore w:val="0"/>
        <w:kinsoku/>
        <w:wordWrap/>
        <w:overflowPunct/>
        <w:topLinePunct w:val="0"/>
        <w:autoSpaceDE/>
        <w:autoSpaceDN/>
        <w:bidi w:val="0"/>
        <w:adjustRightInd/>
        <w:snapToGrid w:val="0"/>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7.设备的单价报价在“平均单价”处填列，合同签订设备的单价为此表中的“平均单价”金额。此表中的“数量”说明，试剂数量为预估数量，设备数量为实质性要求数量。</w:t>
      </w:r>
    </w:p>
    <w:p w14:paraId="7C51012A">
      <w:pPr>
        <w:pStyle w:val="4"/>
        <w:keepNext w:val="0"/>
        <w:keepLines w:val="0"/>
        <w:pageBreakBefore w:val="0"/>
        <w:widowControl w:val="0"/>
        <w:kinsoku/>
        <w:wordWrap/>
        <w:overflowPunct/>
        <w:topLinePunct w:val="0"/>
        <w:autoSpaceDE/>
        <w:autoSpaceDN/>
        <w:bidi w:val="0"/>
        <w:adjustRightInd/>
        <w:snapToGrid w:val="0"/>
        <w:jc w:val="right"/>
        <w:textAlignment w:val="auto"/>
        <w:rPr>
          <w:rFonts w:hint="eastAsia" w:ascii="仿宋" w:hAnsi="仿宋" w:eastAsia="仿宋" w:cs="仿宋"/>
          <w:b/>
          <w:bCs/>
          <w:color w:val="000000" w:themeColor="text1"/>
          <w:kern w:val="2"/>
          <w:sz w:val="21"/>
          <w:szCs w:val="21"/>
          <w:lang w:val="en-US" w:eastAsia="zh-CN" w:bidi="ar-SA"/>
          <w14:textFill>
            <w14:solidFill>
              <w14:schemeClr w14:val="tx1"/>
            </w14:solidFill>
          </w14:textFill>
        </w:rPr>
      </w:pPr>
      <w:r>
        <w:rPr>
          <w:rFonts w:hint="eastAsia" w:ascii="仿宋" w:hAnsi="仿宋" w:eastAsia="仿宋" w:cs="仿宋"/>
          <w:b/>
          <w:bCs/>
          <w:color w:val="000000" w:themeColor="text1"/>
          <w:kern w:val="2"/>
          <w:sz w:val="21"/>
          <w:szCs w:val="21"/>
          <w:lang w:val="en-US" w:eastAsia="zh-CN" w:bidi="ar-SA"/>
          <w14:textFill>
            <w14:solidFill>
              <w14:schemeClr w14:val="tx1"/>
            </w14:solidFill>
          </w14:textFill>
        </w:rPr>
        <w:t>投标人名称（盖章）：</w:t>
      </w:r>
    </w:p>
    <w:p w14:paraId="7568BF3B">
      <w:pPr>
        <w:pStyle w:val="4"/>
        <w:keepNext w:val="0"/>
        <w:keepLines w:val="0"/>
        <w:pageBreakBefore w:val="0"/>
        <w:widowControl w:val="0"/>
        <w:kinsoku/>
        <w:wordWrap/>
        <w:overflowPunct/>
        <w:topLinePunct w:val="0"/>
        <w:autoSpaceDE/>
        <w:autoSpaceDN/>
        <w:bidi w:val="0"/>
        <w:adjustRightInd/>
        <w:snapToGrid w:val="0"/>
        <w:jc w:val="right"/>
        <w:textAlignment w:val="auto"/>
        <w:rPr>
          <w:rFonts w:hint="default"/>
          <w:sz w:val="21"/>
          <w:szCs w:val="21"/>
          <w:lang w:val="en-US" w:eastAsia="zh-CN"/>
        </w:rPr>
      </w:pPr>
      <w:r>
        <w:rPr>
          <w:rFonts w:hint="eastAsia" w:ascii="仿宋" w:hAnsi="仿宋" w:eastAsia="仿宋" w:cs="仿宋"/>
          <w:b/>
          <w:bCs/>
          <w:color w:val="000000" w:themeColor="text1"/>
          <w:kern w:val="2"/>
          <w:sz w:val="21"/>
          <w:szCs w:val="21"/>
          <w:lang w:val="en-US" w:eastAsia="zh-CN" w:bidi="ar-SA"/>
          <w14:textFill>
            <w14:solidFill>
              <w14:schemeClr w14:val="tx1"/>
            </w14:solidFill>
          </w14:textFill>
        </w:rPr>
        <w:t>投标日期：</w:t>
      </w:r>
    </w:p>
    <w:sectPr>
      <w:footerReference r:id="rId3" w:type="default"/>
      <w:pgSz w:w="16838" w:h="11906" w:orient="landscape"/>
      <w:pgMar w:top="567" w:right="720" w:bottom="567" w:left="567" w:header="397" w:footer="113"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1" w:fontKey="{FCDA10E7-2CF4-4053-A687-8DEB10C518F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31AD9">
    <w:pPr>
      <w:pStyle w:val="11"/>
      <w:rPr>
        <w:rFonts w:hint="default" w:ascii="Times New Roman" w:hAnsi="Times New Roman" w:eastAsia="宋体" w:cs="Times New Roman"/>
        <w:lang w:eastAsia="zh-CN"/>
      </w:rPr>
    </w:pPr>
  </w:p>
  <w:p w14:paraId="778018C0">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evenAndOddHeaders w:val="1"/>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YjIyNmJkM2IyODIyMmNiYmM5Yzg1NzRjMjhhMmQifQ=="/>
  </w:docVars>
  <w:rsids>
    <w:rsidRoot w:val="00000000"/>
    <w:rsid w:val="0136374F"/>
    <w:rsid w:val="018C0345"/>
    <w:rsid w:val="019460D1"/>
    <w:rsid w:val="01986635"/>
    <w:rsid w:val="0289179E"/>
    <w:rsid w:val="040F6AA2"/>
    <w:rsid w:val="04433290"/>
    <w:rsid w:val="055C132D"/>
    <w:rsid w:val="06016F08"/>
    <w:rsid w:val="06B70F10"/>
    <w:rsid w:val="07AE4AAE"/>
    <w:rsid w:val="08CE0793"/>
    <w:rsid w:val="09143080"/>
    <w:rsid w:val="0B1A7CC0"/>
    <w:rsid w:val="0C4234F9"/>
    <w:rsid w:val="0C510D41"/>
    <w:rsid w:val="0D9D166C"/>
    <w:rsid w:val="0E6C1E64"/>
    <w:rsid w:val="0EDA4DC1"/>
    <w:rsid w:val="0F2729AB"/>
    <w:rsid w:val="0F364A20"/>
    <w:rsid w:val="103139FC"/>
    <w:rsid w:val="10430E85"/>
    <w:rsid w:val="11050ACA"/>
    <w:rsid w:val="11BD13A5"/>
    <w:rsid w:val="11BD3153"/>
    <w:rsid w:val="121F796A"/>
    <w:rsid w:val="12767ED2"/>
    <w:rsid w:val="137B64AE"/>
    <w:rsid w:val="13ED6813"/>
    <w:rsid w:val="143D5402"/>
    <w:rsid w:val="143F7B13"/>
    <w:rsid w:val="146141DF"/>
    <w:rsid w:val="158545A1"/>
    <w:rsid w:val="159F14ED"/>
    <w:rsid w:val="160161FA"/>
    <w:rsid w:val="1666200B"/>
    <w:rsid w:val="16FD2DDE"/>
    <w:rsid w:val="17B30CB9"/>
    <w:rsid w:val="182C2255"/>
    <w:rsid w:val="183B138A"/>
    <w:rsid w:val="18BC4164"/>
    <w:rsid w:val="1ADA6B24"/>
    <w:rsid w:val="1B5A5081"/>
    <w:rsid w:val="1B94907C"/>
    <w:rsid w:val="1BFFF98C"/>
    <w:rsid w:val="1CBFDCB6"/>
    <w:rsid w:val="1D026534"/>
    <w:rsid w:val="1E4075E6"/>
    <w:rsid w:val="1ED915A5"/>
    <w:rsid w:val="1F172907"/>
    <w:rsid w:val="1F2A1F45"/>
    <w:rsid w:val="1F8C06C8"/>
    <w:rsid w:val="1F914A3E"/>
    <w:rsid w:val="1FC57645"/>
    <w:rsid w:val="1FF03A91"/>
    <w:rsid w:val="20673947"/>
    <w:rsid w:val="21BF6A73"/>
    <w:rsid w:val="21C222C2"/>
    <w:rsid w:val="22272617"/>
    <w:rsid w:val="226E6A6A"/>
    <w:rsid w:val="22D762D7"/>
    <w:rsid w:val="239F090A"/>
    <w:rsid w:val="2432515E"/>
    <w:rsid w:val="24E24F53"/>
    <w:rsid w:val="251F5DE4"/>
    <w:rsid w:val="261C6242"/>
    <w:rsid w:val="2684318F"/>
    <w:rsid w:val="26FB1A31"/>
    <w:rsid w:val="27182EAE"/>
    <w:rsid w:val="27562B89"/>
    <w:rsid w:val="280F766B"/>
    <w:rsid w:val="286D7719"/>
    <w:rsid w:val="295F5795"/>
    <w:rsid w:val="29E14AC1"/>
    <w:rsid w:val="2A6FE145"/>
    <w:rsid w:val="2A9C530F"/>
    <w:rsid w:val="2AEFAC8C"/>
    <w:rsid w:val="2B0D1D89"/>
    <w:rsid w:val="2BB43EEB"/>
    <w:rsid w:val="2BF839F9"/>
    <w:rsid w:val="2C550700"/>
    <w:rsid w:val="2CBD0A27"/>
    <w:rsid w:val="2D8F7C42"/>
    <w:rsid w:val="2DA10FA5"/>
    <w:rsid w:val="2DA51213"/>
    <w:rsid w:val="2DF2777D"/>
    <w:rsid w:val="2DFE28EC"/>
    <w:rsid w:val="2E1D4954"/>
    <w:rsid w:val="2E2162DE"/>
    <w:rsid w:val="2EA9088F"/>
    <w:rsid w:val="2EF5EA80"/>
    <w:rsid w:val="30890978"/>
    <w:rsid w:val="308E3D8C"/>
    <w:rsid w:val="318E0BD8"/>
    <w:rsid w:val="3225433D"/>
    <w:rsid w:val="32556A4E"/>
    <w:rsid w:val="34313801"/>
    <w:rsid w:val="35717AAF"/>
    <w:rsid w:val="367902C5"/>
    <w:rsid w:val="37E961A0"/>
    <w:rsid w:val="380D2CB6"/>
    <w:rsid w:val="382C3363"/>
    <w:rsid w:val="383B4C4E"/>
    <w:rsid w:val="3870241E"/>
    <w:rsid w:val="38C033A5"/>
    <w:rsid w:val="3977333A"/>
    <w:rsid w:val="398664FD"/>
    <w:rsid w:val="3A240B2A"/>
    <w:rsid w:val="3A374F94"/>
    <w:rsid w:val="3AF37A62"/>
    <w:rsid w:val="3B2714BA"/>
    <w:rsid w:val="3B3D0CDD"/>
    <w:rsid w:val="3B6F2C01"/>
    <w:rsid w:val="3C5EFF0D"/>
    <w:rsid w:val="3CD817E2"/>
    <w:rsid w:val="3FBBD957"/>
    <w:rsid w:val="3FF43934"/>
    <w:rsid w:val="40526FD9"/>
    <w:rsid w:val="40AD67D4"/>
    <w:rsid w:val="410157D6"/>
    <w:rsid w:val="41EB049F"/>
    <w:rsid w:val="427F3924"/>
    <w:rsid w:val="4311738B"/>
    <w:rsid w:val="44E71940"/>
    <w:rsid w:val="452B5D92"/>
    <w:rsid w:val="45FC4C14"/>
    <w:rsid w:val="46267326"/>
    <w:rsid w:val="466A5972"/>
    <w:rsid w:val="46A936CA"/>
    <w:rsid w:val="478A2D43"/>
    <w:rsid w:val="48D55147"/>
    <w:rsid w:val="490B427D"/>
    <w:rsid w:val="49926698"/>
    <w:rsid w:val="4A0C192F"/>
    <w:rsid w:val="4A970798"/>
    <w:rsid w:val="4ACF9A22"/>
    <w:rsid w:val="4ADD3586"/>
    <w:rsid w:val="4B050CA9"/>
    <w:rsid w:val="4B866AF8"/>
    <w:rsid w:val="4C1003D7"/>
    <w:rsid w:val="4C4B47AB"/>
    <w:rsid w:val="4CAA3CF8"/>
    <w:rsid w:val="4CC65777"/>
    <w:rsid w:val="4D0F1DAD"/>
    <w:rsid w:val="4D6620F6"/>
    <w:rsid w:val="4DB653E9"/>
    <w:rsid w:val="4EE94FAC"/>
    <w:rsid w:val="4F5A7C58"/>
    <w:rsid w:val="4F5B492F"/>
    <w:rsid w:val="4FE47521"/>
    <w:rsid w:val="50463D38"/>
    <w:rsid w:val="504D0FCF"/>
    <w:rsid w:val="512E394D"/>
    <w:rsid w:val="520E4D2A"/>
    <w:rsid w:val="527E7398"/>
    <w:rsid w:val="52D5474A"/>
    <w:rsid w:val="52FC560B"/>
    <w:rsid w:val="53010913"/>
    <w:rsid w:val="53B53DA5"/>
    <w:rsid w:val="548C26F2"/>
    <w:rsid w:val="54E12F92"/>
    <w:rsid w:val="554231B4"/>
    <w:rsid w:val="556233C2"/>
    <w:rsid w:val="55D36CA8"/>
    <w:rsid w:val="579BE137"/>
    <w:rsid w:val="5876482D"/>
    <w:rsid w:val="58F77426"/>
    <w:rsid w:val="59064EED"/>
    <w:rsid w:val="5926636B"/>
    <w:rsid w:val="593A20E1"/>
    <w:rsid w:val="5A3A2B60"/>
    <w:rsid w:val="5AEA5520"/>
    <w:rsid w:val="5B697EEF"/>
    <w:rsid w:val="5BDEA79A"/>
    <w:rsid w:val="5C8D47B8"/>
    <w:rsid w:val="5CC72C42"/>
    <w:rsid w:val="5D6972B8"/>
    <w:rsid w:val="5D7874FB"/>
    <w:rsid w:val="5DA54794"/>
    <w:rsid w:val="5DAB2CB6"/>
    <w:rsid w:val="5E1355CA"/>
    <w:rsid w:val="5FA84143"/>
    <w:rsid w:val="5FAF48F0"/>
    <w:rsid w:val="5FF6051C"/>
    <w:rsid w:val="5FF90DC7"/>
    <w:rsid w:val="603A7F78"/>
    <w:rsid w:val="60730B79"/>
    <w:rsid w:val="61FA2BD4"/>
    <w:rsid w:val="630261E5"/>
    <w:rsid w:val="632626A5"/>
    <w:rsid w:val="636A0DA9"/>
    <w:rsid w:val="63B570A8"/>
    <w:rsid w:val="6410048D"/>
    <w:rsid w:val="65053D6A"/>
    <w:rsid w:val="66162CCE"/>
    <w:rsid w:val="66D73845"/>
    <w:rsid w:val="67452B44"/>
    <w:rsid w:val="678F333A"/>
    <w:rsid w:val="67FBE84E"/>
    <w:rsid w:val="683A01CF"/>
    <w:rsid w:val="687436E1"/>
    <w:rsid w:val="693712A3"/>
    <w:rsid w:val="6A306CCC"/>
    <w:rsid w:val="6A4946F9"/>
    <w:rsid w:val="6ABE5933"/>
    <w:rsid w:val="6C6B4DFB"/>
    <w:rsid w:val="6D9E2FAE"/>
    <w:rsid w:val="6DFF1EB3"/>
    <w:rsid w:val="6E3A48D9"/>
    <w:rsid w:val="6F8F152E"/>
    <w:rsid w:val="6FA77946"/>
    <w:rsid w:val="6FCC2227"/>
    <w:rsid w:val="6FDD4657"/>
    <w:rsid w:val="6FF45D67"/>
    <w:rsid w:val="700E5893"/>
    <w:rsid w:val="701C08CB"/>
    <w:rsid w:val="7165775F"/>
    <w:rsid w:val="71E56218"/>
    <w:rsid w:val="722732C1"/>
    <w:rsid w:val="735C2B21"/>
    <w:rsid w:val="735E4547"/>
    <w:rsid w:val="743E6B6C"/>
    <w:rsid w:val="74650381"/>
    <w:rsid w:val="74992805"/>
    <w:rsid w:val="74FB0939"/>
    <w:rsid w:val="754D1541"/>
    <w:rsid w:val="76E24688"/>
    <w:rsid w:val="78313069"/>
    <w:rsid w:val="785206FA"/>
    <w:rsid w:val="78EA52B4"/>
    <w:rsid w:val="78F97604"/>
    <w:rsid w:val="79C930C8"/>
    <w:rsid w:val="79FD5421"/>
    <w:rsid w:val="7A994414"/>
    <w:rsid w:val="7AA54E1C"/>
    <w:rsid w:val="7AB636E5"/>
    <w:rsid w:val="7B0408F4"/>
    <w:rsid w:val="7BFDEC9E"/>
    <w:rsid w:val="7C442F72"/>
    <w:rsid w:val="7C817D8F"/>
    <w:rsid w:val="7C8810E0"/>
    <w:rsid w:val="7CF3B3EC"/>
    <w:rsid w:val="7CFD8278"/>
    <w:rsid w:val="7D23673D"/>
    <w:rsid w:val="7DFF1C7C"/>
    <w:rsid w:val="7E046BF4"/>
    <w:rsid w:val="7E105B54"/>
    <w:rsid w:val="7E47477C"/>
    <w:rsid w:val="7E5F29A8"/>
    <w:rsid w:val="7FC9895B"/>
    <w:rsid w:val="7FEB1CAF"/>
    <w:rsid w:val="7FFF2B31"/>
    <w:rsid w:val="A8BF2094"/>
    <w:rsid w:val="B5D98BC5"/>
    <w:rsid w:val="BB57ABD9"/>
    <w:rsid w:val="BFDFA751"/>
    <w:rsid w:val="C57CE52E"/>
    <w:rsid w:val="CB59191A"/>
    <w:rsid w:val="DB87F267"/>
    <w:rsid w:val="DBED6D2F"/>
    <w:rsid w:val="DBFB37A1"/>
    <w:rsid w:val="DF878A05"/>
    <w:rsid w:val="E33EFB51"/>
    <w:rsid w:val="EEFFC8B8"/>
    <w:rsid w:val="EFEDC9CA"/>
    <w:rsid w:val="F31F4894"/>
    <w:rsid w:val="F7FE4014"/>
    <w:rsid w:val="F96B08B1"/>
    <w:rsid w:val="FBBFAAB4"/>
    <w:rsid w:val="FD6D0255"/>
    <w:rsid w:val="FDD9B08F"/>
    <w:rsid w:val="FFAFC5D3"/>
    <w:rsid w:val="FFF724EE"/>
    <w:rsid w:val="FFFB1F4F"/>
    <w:rsid w:val="FFFF1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2" w:name="index 6"/>
    <w:lsdException w:unhideWhenUsed="0" w:uiPriority="0" w:semiHidden="0" w:name="index 7"/>
    <w:lsdException w:qFormat="1" w:unhideWhenUsed="0" w:uiPriority="99"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jc w:val="center"/>
      <w:outlineLvl w:val="1"/>
    </w:pPr>
    <w:rPr>
      <w:rFonts w:ascii="Arial" w:hAnsi="Arial" w:eastAsia="黑体"/>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index 8"/>
    <w:basedOn w:val="1"/>
    <w:next w:val="1"/>
    <w:qFormat/>
    <w:uiPriority w:val="99"/>
    <w:pPr>
      <w:ind w:left="1400" w:leftChars="1400"/>
    </w:pPr>
  </w:style>
  <w:style w:type="paragraph" w:styleId="4">
    <w:name w:val="Normal Indent"/>
    <w:basedOn w:val="1"/>
    <w:next w:val="1"/>
    <w:qFormat/>
    <w:uiPriority w:val="0"/>
    <w:pPr>
      <w:ind w:firstLine="420" w:firstLineChars="200"/>
    </w:pPr>
  </w:style>
  <w:style w:type="paragraph" w:styleId="5">
    <w:name w:val="annotation text"/>
    <w:basedOn w:val="1"/>
    <w:qFormat/>
    <w:uiPriority w:val="0"/>
    <w:pPr>
      <w:jc w:val="left"/>
    </w:pPr>
  </w:style>
  <w:style w:type="paragraph" w:styleId="6">
    <w:name w:val="index 6"/>
    <w:basedOn w:val="1"/>
    <w:next w:val="1"/>
    <w:semiHidden/>
    <w:qFormat/>
    <w:uiPriority w:val="2"/>
    <w:pPr>
      <w:ind w:left="1000" w:leftChars="1000"/>
    </w:pPr>
  </w:style>
  <w:style w:type="paragraph" w:styleId="7">
    <w:name w:val="Body Text"/>
    <w:basedOn w:val="1"/>
    <w:next w:val="8"/>
    <w:qFormat/>
    <w:uiPriority w:val="0"/>
    <w:pPr>
      <w:spacing w:after="120"/>
    </w:pPr>
  </w:style>
  <w:style w:type="paragraph" w:styleId="8">
    <w:name w:val="Body Text First Indent"/>
    <w:basedOn w:val="7"/>
    <w:next w:val="1"/>
    <w:unhideWhenUsed/>
    <w:qFormat/>
    <w:uiPriority w:val="99"/>
    <w:pPr>
      <w:ind w:firstLine="420" w:firstLineChars="100"/>
    </w:pPr>
    <w:rPr>
      <w:rFonts w:hint="eastAsia"/>
      <w:sz w:val="24"/>
      <w:szCs w:val="24"/>
    </w:rPr>
  </w:style>
  <w:style w:type="paragraph" w:styleId="9">
    <w:name w:val="Body Text Indent"/>
    <w:basedOn w:val="1"/>
    <w:qFormat/>
    <w:uiPriority w:val="0"/>
    <w:pPr>
      <w:spacing w:line="560" w:lineRule="exact"/>
      <w:ind w:firstLine="624" w:firstLineChars="200"/>
    </w:pPr>
    <w:rPr>
      <w:rFonts w:eastAsia="仿宋_GB2312"/>
      <w:spacing w:val="-4"/>
      <w:sz w:val="32"/>
    </w:rPr>
  </w:style>
  <w:style w:type="paragraph" w:styleId="10">
    <w:name w:val="Body Text Indent 2"/>
    <w:basedOn w:val="1"/>
    <w:qFormat/>
    <w:uiPriority w:val="0"/>
    <w:pPr>
      <w:spacing w:after="120" w:line="480" w:lineRule="auto"/>
      <w:ind w:left="420" w:leftChars="2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
    <w:name w:val="19"/>
    <w:basedOn w:val="16"/>
    <w:qFormat/>
    <w:uiPriority w:val="0"/>
    <w:rPr>
      <w:rFonts w:hint="default" w:ascii="Times New Roman" w:hAnsi="Times New Roman" w:eastAsia="楷体_GB2312" w:cs="楷体_GB2312"/>
      <w:sz w:val="32"/>
      <w:szCs w:val="32"/>
    </w:rPr>
  </w:style>
  <w:style w:type="table" w:customStyle="1" w:styleId="18">
    <w:name w:val="Table Normal"/>
    <w:unhideWhenUsed/>
    <w:qFormat/>
    <w:uiPriority w:val="0"/>
    <w:tblPr>
      <w:tblCellMar>
        <w:top w:w="0" w:type="dxa"/>
        <w:left w:w="0" w:type="dxa"/>
        <w:bottom w:w="0" w:type="dxa"/>
        <w:right w:w="0" w:type="dxa"/>
      </w:tblCellMar>
    </w:tblPr>
  </w:style>
  <w:style w:type="character" w:customStyle="1" w:styleId="19">
    <w:name w:val="font11"/>
    <w:basedOn w:val="16"/>
    <w:qFormat/>
    <w:uiPriority w:val="0"/>
    <w:rPr>
      <w:rFonts w:hint="eastAsia" w:ascii="宋体" w:hAnsi="宋体" w:eastAsia="宋体" w:cs="宋体"/>
      <w:color w:val="000000"/>
      <w:sz w:val="21"/>
      <w:szCs w:val="21"/>
      <w:u w:val="none"/>
    </w:rPr>
  </w:style>
  <w:style w:type="character" w:customStyle="1" w:styleId="20">
    <w:name w:val="font21"/>
    <w:basedOn w:val="16"/>
    <w:qFormat/>
    <w:uiPriority w:val="0"/>
    <w:rPr>
      <w:rFonts w:hint="eastAsia" w:ascii="仿宋" w:hAnsi="仿宋" w:eastAsia="仿宋" w:cs="仿宋"/>
      <w:color w:val="000000"/>
      <w:sz w:val="21"/>
      <w:szCs w:val="21"/>
      <w:u w:val="none"/>
    </w:rPr>
  </w:style>
  <w:style w:type="paragraph" w:customStyle="1" w:styleId="21">
    <w:name w:val="null3"/>
    <w:qFormat/>
    <w:uiPriority w:val="0"/>
    <w:rPr>
      <w:rFonts w:hint="eastAsia" w:ascii="Calibri" w:hAnsi="Calibri" w:eastAsia="宋体" w:cs="Times New Roman"/>
      <w:kern w:val="0"/>
      <w:sz w:val="20"/>
      <w:szCs w:val="20"/>
      <w:lang w:val="en-US" w:eastAsia="zh-Hans" w:bidi="ar-SA"/>
    </w:rPr>
  </w:style>
  <w:style w:type="paragraph" w:customStyle="1" w:styleId="22">
    <w:name w:val="标题 5（有编号）（绿盟科技）"/>
    <w:basedOn w:val="23"/>
    <w:next w:val="25"/>
    <w:qFormat/>
    <w:uiPriority w:val="0"/>
    <w:pPr>
      <w:keepNext/>
      <w:keepLines/>
      <w:numPr>
        <w:ilvl w:val="4"/>
        <w:numId w:val="1"/>
      </w:numPr>
      <w:tabs>
        <w:tab w:val="left" w:pos="0"/>
      </w:tabs>
      <w:spacing w:before="280" w:after="156" w:line="377" w:lineRule="auto"/>
      <w:outlineLvl w:val="4"/>
    </w:pPr>
    <w:rPr>
      <w:rFonts w:ascii="Arial" w:hAnsi="Arial" w:eastAsia="黑体"/>
      <w:b/>
      <w:kern w:val="0"/>
      <w:szCs w:val="28"/>
    </w:rPr>
  </w:style>
  <w:style w:type="paragraph" w:customStyle="1" w:styleId="23">
    <w:name w:val="正文1"/>
    <w:next w:val="24"/>
    <w:qFormat/>
    <w:uiPriority w:val="0"/>
    <w:pPr>
      <w:widowControl w:val="0"/>
      <w:jc w:val="both"/>
    </w:pPr>
    <w:rPr>
      <w:rFonts w:ascii="Calibri" w:hAnsi="Calibri" w:eastAsia="宋体" w:cs="黑体"/>
      <w:kern w:val="2"/>
      <w:sz w:val="21"/>
      <w:szCs w:val="22"/>
      <w:lang w:val="en-US" w:eastAsia="zh-CN" w:bidi="ar-SA"/>
    </w:rPr>
  </w:style>
  <w:style w:type="paragraph" w:customStyle="1" w:styleId="24">
    <w:name w:val="正文文本1"/>
    <w:basedOn w:val="23"/>
    <w:next w:val="23"/>
    <w:qFormat/>
    <w:uiPriority w:val="0"/>
    <w:pPr>
      <w:spacing w:beforeLines="0" w:afterLines="50"/>
    </w:pPr>
  </w:style>
  <w:style w:type="paragraph" w:customStyle="1" w:styleId="25">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26">
    <w:name w:val="Table Paragraph"/>
    <w:basedOn w:val="1"/>
    <w:qFormat/>
    <w:uiPriority w:val="1"/>
    <w:pPr>
      <w:autoSpaceDE w:val="0"/>
      <w:autoSpaceDN w:val="0"/>
      <w:adjustRightInd w:val="0"/>
      <w:spacing w:line="240" w:lineRule="auto"/>
      <w:jc w:val="left"/>
    </w:pPr>
    <w:rPr>
      <w:rFonts w:ascii="宋体" w:eastAsia="宋体" w:cs="宋体"/>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1169</Words>
  <Characters>1198</Characters>
  <Lines>0</Lines>
  <Paragraphs>0</Paragraphs>
  <TotalTime>0</TotalTime>
  <ScaleCrop>false</ScaleCrop>
  <LinksUpToDate>false</LinksUpToDate>
  <CharactersWithSpaces>1198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2022-07-07T16:53:00Z</dcterms:created>
  <dc:creator>ZYY</dc:creator>
  <cp:lastModifiedBy>123</cp:lastModifiedBy>
  <cp:lastPrinted>2024-10-18T10:10:00Z</cp:lastPrinted>
  <dcterms:modified xsi:type="dcterms:W3CDTF">2026-07-14T08:00:23Z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2513CC0A6CD9470CBC2EA2B813493330_13</vt:lpwstr>
  </property>
  <property fmtid="{D5CDD505-2E9C-101B-9397-08002B2CF9AE}" pid="4" name="KSOTemplateDocerSaveRecord">
    <vt:lpwstr>eyJoZGlkIjoiOGUzZjllNTUxMTJjNTg2OTVjNWIxMjk4YTJjNjhkZjgiLCJ1c2VySWQiOiI1ODI2OTQ4MjcifQ==</vt:lpwstr>
  </property>
</Properties>
</file>