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版本号：N512001202600006920260714001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床旁快检试剂和心肌三项检测仪采购项目(三次)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N5120012026000069</w:t>
      </w:r>
    </w:p>
    <w:p>
      <w:pPr>
        <w:pStyle w:val="null3"/>
        <w:jc w:val="left"/>
        <w:outlineLvl w:val="2"/>
      </w:pPr>
      <w:r>
        <w:rPr>
          <w:rFonts w:ascii="仿宋_GB2312" w:hAnsi="仿宋_GB2312" w:cs="仿宋_GB2312" w:eastAsia="仿宋_GB2312"/>
          <w:sz w:val="28"/>
          <w:b/>
        </w:rPr>
        <w:t>资阳市人民医院</w:t>
      </w:r>
    </w:p>
    <w:p>
      <w:pPr>
        <w:pStyle w:val="null3"/>
        <w:jc w:val="center"/>
        <w:outlineLvl w:val="2"/>
      </w:pPr>
      <w:r>
        <w:rPr>
          <w:rFonts w:ascii="仿宋_GB2312" w:hAnsi="仿宋_GB2312" w:cs="仿宋_GB2312" w:eastAsia="仿宋_GB2312"/>
          <w:sz w:val="28"/>
          <w:b/>
        </w:rPr>
        <w:t>四川中泽盛世项目管理有限公司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四川中泽盛世项目管理有限公司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资阳市人民医院</w:t>
      </w:r>
      <w:r>
        <w:rPr>
          <w:rFonts w:ascii="仿宋_GB2312" w:hAnsi="仿宋_GB2312" w:cs="仿宋_GB2312" w:eastAsia="仿宋_GB2312"/>
        </w:rPr>
        <w:t xml:space="preserve"> 委托，拟对 </w:t>
      </w:r>
      <w:r>
        <w:rPr>
          <w:rFonts w:ascii="仿宋_GB2312" w:hAnsi="仿宋_GB2312" w:cs="仿宋_GB2312" w:eastAsia="仿宋_GB2312"/>
        </w:rPr>
        <w:t>床旁快检试剂和心肌三项检测仪采购项目(三次)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资阳市市本级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N5120012026000069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床旁快检试剂和心肌三项检测仪采购项目(三次)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4"/>
          <w:color w:val="000000"/>
        </w:rPr>
        <w:t>本项目</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个包，</w:t>
      </w:r>
      <w:r>
        <w:rPr>
          <w:rFonts w:ascii="仿宋_GB2312" w:hAnsi="仿宋_GB2312" w:cs="仿宋_GB2312" w:eastAsia="仿宋_GB2312"/>
          <w:sz w:val="24"/>
          <w:color w:val="000000"/>
        </w:rPr>
        <w:t>含心肌三项检测仪</w:t>
      </w:r>
      <w:r>
        <w:rPr>
          <w:rFonts w:ascii="仿宋_GB2312" w:hAnsi="仿宋_GB2312" w:cs="仿宋_GB2312" w:eastAsia="仿宋_GB2312"/>
          <w:sz w:val="24"/>
          <w:color w:val="000000"/>
        </w:rPr>
        <w:t>2</w:t>
      </w:r>
      <w:r>
        <w:rPr>
          <w:rFonts w:ascii="仿宋_GB2312" w:hAnsi="仿宋_GB2312" w:cs="仿宋_GB2312" w:eastAsia="仿宋_GB2312"/>
          <w:sz w:val="24"/>
          <w:color w:val="000000"/>
        </w:rPr>
        <w:t>台，床旁快检试剂预估采购数量</w:t>
      </w:r>
      <w:r>
        <w:rPr>
          <w:rFonts w:ascii="仿宋_GB2312" w:hAnsi="仿宋_GB2312" w:cs="仿宋_GB2312" w:eastAsia="仿宋_GB2312"/>
          <w:sz w:val="24"/>
          <w:color w:val="000000"/>
        </w:rPr>
        <w:t>3000</w:t>
      </w:r>
      <w:r>
        <w:rPr>
          <w:rFonts w:ascii="仿宋_GB2312" w:hAnsi="仿宋_GB2312" w:cs="仿宋_GB2312" w:eastAsia="仿宋_GB2312"/>
          <w:sz w:val="24"/>
          <w:color w:val="000000"/>
        </w:rPr>
        <w:t>人次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若投标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投标人除外）。（描述：若投标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投标人除外）。（提供有效证明材料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资阳市人民医院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资阳市车城大道三段576号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028-26782404</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四川中泽盛世项目管理有限公司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四川省成都市金牛区成都金牛高新技术产业园区蜀西路46号1栋1单元3楼301号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文女士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028-87789977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代理服务费收费标准：以采购项目成交（中标）金额为计费基数，按照原国家计委《关于印发招标代理服务收费管理暂行办法的通知》（计价格[2002]1980 号）附件招标代理服务收费标准基础上下浮50%的招标收费费率和方式执行。由中标人（成交供应商）在领取中标（成交）通知书前向采购代理机构支付。</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资阳市人民医院</w:t>
      </w:r>
      <w:r>
        <w:rPr>
          <w:rFonts w:ascii="仿宋_GB2312" w:hAnsi="仿宋_GB2312" w:cs="仿宋_GB2312" w:eastAsia="仿宋_GB2312"/>
        </w:rPr>
        <w:t xml:space="preserve"> 和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资阳市人民医院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四川中泽盛世项目管理有限公司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按国家有关规定以及本项目招标文件的质量要求、技术指标、投标人的投标文件及承诺与本合同约定标准进行技术履约验收。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按国家有关规定以及本项目招标文件的商务要求、投标人的投标文件及承诺与本合同约定标准进行技术履约验收。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 号)、《政府采购需求管理办法》(财库 (2021) 22 号)的要求及国家行业主管部门规定的标准、方法和内容进行验收。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资阳市人民医院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四川中泽盛世项目管理有限公司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联系人：曾老师</w:t>
      </w:r>
    </w:p>
    <w:p>
      <w:pPr>
        <w:pStyle w:val="null3"/>
        <w:jc w:val="left"/>
      </w:pPr>
      <w:r>
        <w:rPr>
          <w:rFonts w:ascii="仿宋_GB2312" w:hAnsi="仿宋_GB2312" w:cs="仿宋_GB2312" w:eastAsia="仿宋_GB2312"/>
        </w:rPr>
        <w:t>联系电话：028-26782404</w:t>
      </w:r>
    </w:p>
    <w:p>
      <w:pPr>
        <w:pStyle w:val="null3"/>
        <w:jc w:val="left"/>
      </w:pPr>
      <w:r>
        <w:rPr>
          <w:rFonts w:ascii="仿宋_GB2312" w:hAnsi="仿宋_GB2312" w:cs="仿宋_GB2312" w:eastAsia="仿宋_GB2312"/>
        </w:rPr>
        <w:t>地址：资阳市车城大道三段576号</w:t>
      </w:r>
    </w:p>
    <w:p>
      <w:pPr>
        <w:pStyle w:val="null3"/>
        <w:jc w:val="left"/>
      </w:pPr>
      <w:r>
        <w:rPr>
          <w:rFonts w:ascii="仿宋_GB2312" w:hAnsi="仿宋_GB2312" w:cs="仿宋_GB2312" w:eastAsia="仿宋_GB2312"/>
        </w:rPr>
        <w:t>邮编：641300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联系人：文女士</w:t>
      </w:r>
    </w:p>
    <w:p>
      <w:pPr>
        <w:pStyle w:val="null3"/>
        <w:jc w:val="left"/>
      </w:pPr>
      <w:r>
        <w:rPr>
          <w:rFonts w:ascii="仿宋_GB2312" w:hAnsi="仿宋_GB2312" w:cs="仿宋_GB2312" w:eastAsia="仿宋_GB2312"/>
        </w:rPr>
        <w:t>联系电话：028-87789977</w:t>
      </w:r>
    </w:p>
    <w:p>
      <w:pPr>
        <w:pStyle w:val="null3"/>
        <w:jc w:val="left"/>
      </w:pPr>
      <w:r>
        <w:rPr>
          <w:rFonts w:ascii="仿宋_GB2312" w:hAnsi="仿宋_GB2312" w:cs="仿宋_GB2312" w:eastAsia="仿宋_GB2312"/>
        </w:rPr>
        <w:t>地址：四川省成都市金牛区成都金牛高新技术产业园区蜀西路46号1栋1单元3楼301号</w:t>
      </w:r>
    </w:p>
    <w:p>
      <w:pPr>
        <w:pStyle w:val="null3"/>
        <w:jc w:val="left"/>
      </w:pPr>
      <w:r>
        <w:rPr>
          <w:rFonts w:ascii="仿宋_GB2312" w:hAnsi="仿宋_GB2312" w:cs="仿宋_GB2312" w:eastAsia="仿宋_GB2312"/>
        </w:rPr>
        <w:t>邮编：610037</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258,000.00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A02321900 临床检验设备</w:t>
            </w:r>
          </w:p>
        </w:tc>
        <w:tc>
          <w:tcPr>
            <w:tcW w:type="dxa" w:w="821"/>
          </w:tcPr>
          <w:p>
            <w:pPr>
              <w:pStyle w:val="null3"/>
              <w:jc w:val="left"/>
            </w:pPr>
            <w:r>
              <w:rPr>
                <w:rFonts w:ascii="仿宋_GB2312" w:hAnsi="仿宋_GB2312" w:cs="仿宋_GB2312" w:eastAsia="仿宋_GB2312"/>
              </w:rPr>
              <w:t>心肌三项检测仪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A07029900 其他医药品</w:t>
            </w:r>
          </w:p>
        </w:tc>
        <w:tc>
          <w:tcPr>
            <w:tcW w:type="dxa" w:w="821"/>
          </w:tcPr>
          <w:p>
            <w:pPr>
              <w:pStyle w:val="null3"/>
              <w:jc w:val="left"/>
            </w:pPr>
            <w:r>
              <w:rPr>
                <w:rFonts w:ascii="仿宋_GB2312" w:hAnsi="仿宋_GB2312" w:cs="仿宋_GB2312" w:eastAsia="仿宋_GB2312"/>
              </w:rPr>
              <w:t>床旁快检试剂</w:t>
            </w:r>
          </w:p>
        </w:tc>
        <w:tc>
          <w:tcPr>
            <w:tcW w:type="dxa" w:w="821"/>
          </w:tcPr>
          <w:p>
            <w:pPr>
              <w:pStyle w:val="null3"/>
              <w:jc w:val="right"/>
            </w:pPr>
            <w:r>
              <w:rPr>
                <w:rFonts w:ascii="仿宋_GB2312" w:hAnsi="仿宋_GB2312" w:cs="仿宋_GB2312" w:eastAsia="仿宋_GB2312"/>
              </w:rPr>
              <w:t>3,000.00（套）</w:t>
            </w:r>
          </w:p>
        </w:tc>
        <w:tc>
          <w:tcPr>
            <w:tcW w:type="dxa" w:w="821"/>
          </w:tcPr>
          <w:p>
            <w:pPr>
              <w:pStyle w:val="null3"/>
              <w:jc w:val="right"/>
            </w:pPr>
            <w:r>
              <w:rPr>
                <w:rFonts w:ascii="仿宋_GB2312" w:hAnsi="仿宋_GB2312" w:cs="仿宋_GB2312" w:eastAsia="仿宋_GB2312"/>
              </w:rPr>
              <w:t>243,000.00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心肌三项检测仪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床旁快检试剂</w:t>
            </w:r>
          </w:p>
        </w:tc>
        <w:tc>
          <w:tcPr>
            <w:tcW w:type="dxa" w:w="1138"/>
          </w:tcPr>
          <w:p>
            <w:pPr>
              <w:pStyle w:val="null3"/>
              <w:jc w:val="center"/>
            </w:pPr>
            <w:r>
              <w:rPr>
                <w:rFonts w:ascii="仿宋_GB2312" w:hAnsi="仿宋_GB2312" w:cs="仿宋_GB2312" w:eastAsia="仿宋_GB2312"/>
              </w:rPr>
              <w:t>3,000.00（套）</w:t>
            </w:r>
          </w:p>
        </w:tc>
        <w:tc>
          <w:tcPr>
            <w:tcW w:type="dxa" w:w="1365"/>
          </w:tcPr>
          <w:p>
            <w:pPr>
              <w:pStyle w:val="null3"/>
              <w:jc w:val="center"/>
            </w:pPr>
            <w:r>
              <w:rPr>
                <w:rFonts w:ascii="仿宋_GB2312" w:hAnsi="仿宋_GB2312" w:cs="仿宋_GB2312" w:eastAsia="仿宋_GB2312"/>
              </w:rPr>
              <w:t>243,000.00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A02321900 临床检验设备</w:t>
            </w:r>
          </w:p>
        </w:tc>
        <w:tc>
          <w:tcPr>
            <w:tcW w:type="dxa" w:w="2492"/>
          </w:tcPr>
          <w:p>
            <w:pPr>
              <w:pStyle w:val="null3"/>
              <w:jc w:val="left"/>
            </w:pPr>
            <w:r>
              <w:rPr>
                <w:rFonts w:ascii="仿宋_GB2312" w:hAnsi="仿宋_GB2312" w:cs="仿宋_GB2312" w:eastAsia="仿宋_GB2312"/>
              </w:rPr>
              <w:t>心肌三项检测仪</w:t>
            </w:r>
          </w:p>
        </w:tc>
        <w:tc>
          <w:tcPr>
            <w:tcW w:type="dxa" w:w="2492"/>
          </w:tcPr>
          <w:p>
            <w:pPr>
              <w:pStyle w:val="null3"/>
              <w:jc w:val="left"/>
            </w:pPr>
            <w:r>
              <w:rPr>
                <w:rFonts w:ascii="仿宋_GB2312" w:hAnsi="仿宋_GB2312" w:cs="仿宋_GB2312" w:eastAsia="仿宋_GB2312"/>
              </w:rPr>
              <w:t>心肌三项检测仪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标的名称：心肌三项检测仪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spacing w:after="120"/>
              <w:ind w:firstLine="281"/>
              <w:jc w:val="both"/>
            </w:pPr>
            <w:r>
              <w:rPr>
                <w:rFonts w:ascii="仿宋_GB2312" w:hAnsi="仿宋_GB2312" w:cs="仿宋_GB2312" w:eastAsia="仿宋_GB2312"/>
                <w:sz w:val="24"/>
                <w:b/>
                <w:color w:val="000000"/>
              </w:rPr>
              <w:t>心肌三项检测仪：</w:t>
            </w:r>
            <w:r>
              <w:rPr>
                <w:rFonts w:ascii="仿宋_GB2312" w:hAnsi="仿宋_GB2312" w:cs="仿宋_GB2312" w:eastAsia="仿宋_GB2312"/>
                <w:sz w:val="24"/>
                <w:color w:val="000000"/>
              </w:rPr>
              <w:t>★</w:t>
            </w:r>
            <w:r>
              <w:rPr>
                <w:rFonts w:ascii="仿宋_GB2312" w:hAnsi="仿宋_GB2312" w:cs="仿宋_GB2312" w:eastAsia="仿宋_GB2312"/>
                <w:sz w:val="24"/>
                <w:b/>
                <w:color w:val="000000"/>
              </w:rPr>
              <w:t>2台</w:t>
            </w:r>
          </w:p>
          <w:p>
            <w:pPr>
              <w:pStyle w:val="null3"/>
              <w:ind w:firstLine="480"/>
              <w:jc w:val="both"/>
            </w:pPr>
            <w:r>
              <w:rPr>
                <w:rFonts w:ascii="仿宋_GB2312" w:hAnsi="仿宋_GB2312" w:cs="仿宋_GB2312" w:eastAsia="仿宋_GB2312"/>
                <w:sz w:val="24"/>
              </w:rPr>
              <w:t>★1.检测原理：化学发光法，采血管标本直接上机检测，无需手动二次移液。</w:t>
            </w:r>
          </w:p>
          <w:p>
            <w:pPr>
              <w:pStyle w:val="null3"/>
              <w:ind w:firstLine="480"/>
              <w:jc w:val="both"/>
            </w:pPr>
            <w:r>
              <w:rPr>
                <w:rFonts w:ascii="仿宋_GB2312" w:hAnsi="仿宋_GB2312" w:cs="仿宋_GB2312" w:eastAsia="仿宋_GB2312"/>
                <w:sz w:val="24"/>
              </w:rPr>
              <w:t>★2.检测项目：至少包括cTnI、Myo、CK-MB。</w:t>
            </w:r>
          </w:p>
          <w:p>
            <w:pPr>
              <w:pStyle w:val="null3"/>
              <w:ind w:firstLine="480"/>
              <w:jc w:val="both"/>
            </w:pPr>
            <w:r>
              <w:rPr>
                <w:rFonts w:ascii="仿宋_GB2312" w:hAnsi="仿宋_GB2312" w:cs="仿宋_GB2312" w:eastAsia="仿宋_GB2312"/>
                <w:sz w:val="24"/>
              </w:rPr>
              <w:t>3.可拓展检测项目：至少包含心衰标志物（NT-proBNP/BNP）、炎症指标（PCT、IL-6）及凝血/血栓相关指标（至少包含D-Dimer、FDP等）。</w:t>
            </w:r>
          </w:p>
          <w:p>
            <w:pPr>
              <w:pStyle w:val="null3"/>
              <w:ind w:firstLine="480"/>
              <w:jc w:val="both"/>
            </w:pPr>
            <w:r>
              <w:rPr>
                <w:rFonts w:ascii="仿宋_GB2312" w:hAnsi="仿宋_GB2312" w:cs="仿宋_GB2312" w:eastAsia="仿宋_GB2312"/>
                <w:sz w:val="24"/>
              </w:rPr>
              <w:t>★4.检测时间：从上机到出结果：≤15分钟。</w:t>
            </w:r>
          </w:p>
          <w:p>
            <w:pPr>
              <w:pStyle w:val="null3"/>
              <w:ind w:firstLine="480"/>
              <w:jc w:val="both"/>
            </w:pPr>
            <w:r>
              <w:rPr>
                <w:rFonts w:ascii="仿宋_GB2312" w:hAnsi="仿宋_GB2312" w:cs="仿宋_GB2312" w:eastAsia="仿宋_GB2312"/>
                <w:sz w:val="24"/>
              </w:rPr>
              <w:t>5.支持全血免离心直接上机检测；具备自动化进样系统。</w:t>
            </w:r>
          </w:p>
          <w:p>
            <w:pPr>
              <w:pStyle w:val="null3"/>
              <w:ind w:firstLine="480"/>
              <w:jc w:val="both"/>
            </w:pPr>
            <w:r>
              <w:rPr>
                <w:rFonts w:ascii="仿宋_GB2312" w:hAnsi="仿宋_GB2312" w:cs="仿宋_GB2312" w:eastAsia="仿宋_GB2312"/>
                <w:sz w:val="24"/>
              </w:rPr>
              <w:t>6.进样系统：支持原始采血管</w:t>
            </w:r>
          </w:p>
          <w:p>
            <w:pPr>
              <w:pStyle w:val="null3"/>
              <w:ind w:firstLine="480"/>
              <w:jc w:val="both"/>
            </w:pPr>
            <w:r>
              <w:rPr>
                <w:rFonts w:ascii="仿宋_GB2312" w:hAnsi="仿宋_GB2312" w:cs="仿宋_GB2312" w:eastAsia="仿宋_GB2312"/>
                <w:sz w:val="24"/>
              </w:rPr>
              <w:t>▲7.急诊功能：具备紧急样本优先处理功能</w:t>
            </w:r>
          </w:p>
          <w:p>
            <w:pPr>
              <w:pStyle w:val="null3"/>
              <w:ind w:firstLine="480"/>
              <w:jc w:val="both"/>
            </w:pPr>
            <w:r>
              <w:rPr>
                <w:rFonts w:ascii="仿宋_GB2312" w:hAnsi="仿宋_GB2312" w:cs="仿宋_GB2312" w:eastAsia="仿宋_GB2312"/>
                <w:sz w:val="24"/>
              </w:rPr>
              <w:t>8.试剂系统：≥6个试剂位</w:t>
            </w:r>
          </w:p>
          <w:p>
            <w:pPr>
              <w:pStyle w:val="null3"/>
              <w:ind w:firstLine="480"/>
              <w:jc w:val="both"/>
            </w:pPr>
            <w:r>
              <w:rPr>
                <w:rFonts w:ascii="仿宋_GB2312" w:hAnsi="仿宋_GB2312" w:cs="仿宋_GB2312" w:eastAsia="仿宋_GB2312"/>
                <w:sz w:val="24"/>
              </w:rPr>
              <w:t>9.临床项目的批内精密度：批内测量重复性 CV≤10%。</w:t>
            </w:r>
          </w:p>
          <w:p>
            <w:pPr>
              <w:pStyle w:val="null3"/>
              <w:ind w:firstLine="480"/>
              <w:jc w:val="both"/>
            </w:pPr>
            <w:r>
              <w:rPr>
                <w:rFonts w:ascii="仿宋_GB2312" w:hAnsi="仿宋_GB2312" w:cs="仿宋_GB2312" w:eastAsia="仿宋_GB2312"/>
                <w:sz w:val="24"/>
              </w:rPr>
              <w:t>10.单机占地面积：≤0.5m²，桌面可部署。</w:t>
            </w:r>
          </w:p>
          <w:p>
            <w:pPr>
              <w:pStyle w:val="null3"/>
              <w:ind w:firstLine="480"/>
              <w:jc w:val="both"/>
            </w:pPr>
            <w:r>
              <w:rPr>
                <w:rFonts w:ascii="仿宋_GB2312" w:hAnsi="仿宋_GB2312" w:cs="仿宋_GB2312" w:eastAsia="仿宋_GB2312"/>
                <w:sz w:val="24"/>
              </w:rPr>
              <w:t>★11.通讯功能：具备中文操作系统，预留LIS接口，设备具备跟LIS系统进行通讯连接；供应商负责该设备连HIS、LIS或其他信息系统的所有连接及接口费用。（HIS软件大版本号V1.5，软件供应商为成都信通网易医疗科技发展有限公司。LIS软件大版本号V3.4，软件供应商为成都信通网易医疗科技发展有限公司。成交后，由供应商提供系统接口清单、接口文档及其他相关技术文档。）；</w:t>
            </w:r>
          </w:p>
          <w:p>
            <w:pPr>
              <w:pStyle w:val="null3"/>
              <w:ind w:firstLine="480"/>
              <w:jc w:val="both"/>
            </w:pPr>
            <w:r>
              <w:rPr>
                <w:rFonts w:ascii="仿宋_GB2312" w:hAnsi="仿宋_GB2312" w:cs="仿宋_GB2312" w:eastAsia="仿宋_GB2312"/>
                <w:sz w:val="24"/>
              </w:rPr>
              <w:t>12.标准曲线稳定，稳定时间≥28天。</w:t>
            </w:r>
          </w:p>
          <w:p>
            <w:pPr>
              <w:pStyle w:val="null3"/>
              <w:ind w:firstLine="480"/>
              <w:jc w:val="both"/>
            </w:pPr>
            <w:r>
              <w:rPr>
                <w:rFonts w:ascii="仿宋_GB2312" w:hAnsi="仿宋_GB2312" w:cs="仿宋_GB2312" w:eastAsia="仿宋_GB2312"/>
                <w:sz w:val="24"/>
              </w:rPr>
              <w:t>13.试剂盒内包含校准品，无需额外购买。</w:t>
            </w:r>
          </w:p>
          <w:p>
            <w:pPr>
              <w:pStyle w:val="null3"/>
              <w:ind w:firstLine="480"/>
              <w:jc w:val="both"/>
            </w:pPr>
            <w:r>
              <w:rPr>
                <w:rFonts w:ascii="仿宋_GB2312" w:hAnsi="仿宋_GB2312" w:cs="仿宋_GB2312" w:eastAsia="仿宋_GB2312"/>
                <w:sz w:val="24"/>
              </w:rPr>
              <w:t>▲14.需提供质控服务，确保仪器及监测结果稳定性，质控信息可溯源，调取。相关费用包含在报价中。</w:t>
            </w:r>
          </w:p>
          <w:p>
            <w:pPr>
              <w:pStyle w:val="null3"/>
              <w:ind w:firstLine="480"/>
              <w:jc w:val="both"/>
            </w:pPr>
            <w:r>
              <w:rPr>
                <w:rFonts w:ascii="仿宋_GB2312" w:hAnsi="仿宋_GB2312" w:cs="仿宋_GB2312" w:eastAsia="仿宋_GB2312"/>
                <w:sz w:val="24"/>
              </w:rPr>
              <w:t>▲15.设备质保期内，在检测过程中，如因设备出现故障而导致检测试剂损耗，试剂损耗费用由供应商承担。</w:t>
            </w:r>
          </w:p>
        </w:tc>
      </w:tr>
    </w:tbl>
    <w:p>
      <w:pPr>
        <w:pStyle w:val="null3"/>
        <w:jc w:val="left"/>
      </w:pPr>
      <w:r>
        <w:rPr>
          <w:rFonts w:ascii="仿宋_GB2312" w:hAnsi="仿宋_GB2312" w:cs="仿宋_GB2312" w:eastAsia="仿宋_GB2312"/>
        </w:rPr>
        <w:t>标的名称：床旁快检试剂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480"/>
              <w:jc w:val="both"/>
            </w:pPr>
            <w:r>
              <w:rPr>
                <w:rFonts w:ascii="仿宋_GB2312" w:hAnsi="仿宋_GB2312" w:cs="仿宋_GB2312" w:eastAsia="仿宋_GB2312"/>
                <w:sz w:val="24"/>
              </w:rPr>
              <w:t>★1.床旁快检试剂至少须包含：肌钙蛋白测定试剂盒（化学发光法）、肌酸激酶同工酶测定试剂盒（化学发光法）、和肌红蛋白测定试剂盒(化学发光法)。</w:t>
            </w:r>
          </w:p>
          <w:p>
            <w:pPr>
              <w:pStyle w:val="null3"/>
              <w:ind w:firstLine="480"/>
              <w:jc w:val="both"/>
            </w:pPr>
            <w:r>
              <w:rPr>
                <w:rFonts w:ascii="仿宋_GB2312" w:hAnsi="仿宋_GB2312" w:cs="仿宋_GB2312" w:eastAsia="仿宋_GB2312"/>
                <w:sz w:val="24"/>
              </w:rPr>
              <w:t>2.肌钙蛋白 I 测定试剂盒（化学发光法）：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1）方法学：化学发光法。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2）用于体外定量测定，样本类型包含全血、血清、血浆。</w:t>
            </w:r>
          </w:p>
          <w:p>
            <w:pPr>
              <w:pStyle w:val="null3"/>
              <w:ind w:firstLine="480"/>
              <w:jc w:val="both"/>
            </w:pPr>
            <w:r>
              <w:rPr>
                <w:rFonts w:ascii="仿宋_GB2312" w:hAnsi="仿宋_GB2312" w:cs="仿宋_GB2312" w:eastAsia="仿宋_GB2312"/>
                <w:sz w:val="24"/>
              </w:rPr>
              <w:t>▲（3）线性范围：至少覆盖0.05ng/mL-50ng/mL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4）重复性：变异系数（CV）≤ 10.0%。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5）批间差：变异系数（CV）≤ 15.0%。</w:t>
            </w:r>
          </w:p>
          <w:p>
            <w:pPr>
              <w:pStyle w:val="null3"/>
              <w:ind w:firstLine="480"/>
              <w:jc w:val="both"/>
            </w:pPr>
            <w:r>
              <w:rPr>
                <w:rFonts w:ascii="仿宋_GB2312" w:hAnsi="仿宋_GB2312" w:cs="仿宋_GB2312" w:eastAsia="仿宋_GB2312"/>
                <w:sz w:val="24"/>
              </w:rPr>
              <w:t>3.肌酸激酶同工酶测定试剂盒（化学发光法）：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1）方法学:化学发光法。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2）用于体外定量测定，样本类型包含全血、血清、血浆。</w:t>
            </w:r>
          </w:p>
          <w:p>
            <w:pPr>
              <w:pStyle w:val="null3"/>
              <w:ind w:firstLine="480"/>
              <w:jc w:val="both"/>
            </w:pPr>
            <w:r>
              <w:rPr>
                <w:rFonts w:ascii="仿宋_GB2312" w:hAnsi="仿宋_GB2312" w:cs="仿宋_GB2312" w:eastAsia="仿宋_GB2312"/>
                <w:sz w:val="24"/>
              </w:rPr>
              <w:t>▲（3）线性范围：至少覆盖0.3ng/mL-300ng/mL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4）重复性：变异系数（CV）≤ 10.0%。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5）批间差：变异系数（CV）≤ 15.0%。</w:t>
            </w:r>
          </w:p>
          <w:p>
            <w:pPr>
              <w:pStyle w:val="null3"/>
              <w:ind w:firstLine="480"/>
              <w:jc w:val="both"/>
            </w:pPr>
            <w:r>
              <w:rPr>
                <w:rFonts w:ascii="仿宋_GB2312" w:hAnsi="仿宋_GB2312" w:cs="仿宋_GB2312" w:eastAsia="仿宋_GB2312"/>
                <w:sz w:val="24"/>
              </w:rPr>
              <w:t>4.肌红蛋白测定试剂盒(化学发光法)：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1）方法学：化学发光法。</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2）用于体外定量测定，样本类型包含全血、血清、血浆。</w:t>
            </w:r>
          </w:p>
          <w:p>
            <w:pPr>
              <w:pStyle w:val="null3"/>
              <w:ind w:firstLine="480"/>
              <w:jc w:val="both"/>
            </w:pPr>
            <w:r>
              <w:rPr>
                <w:rFonts w:ascii="仿宋_GB2312" w:hAnsi="仿宋_GB2312" w:cs="仿宋_GB2312" w:eastAsia="仿宋_GB2312"/>
                <w:sz w:val="24"/>
              </w:rPr>
              <w:t>▲（3）线性范围：至少覆盖1ng/mL-1000 ng/mL 。</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4）重复性：变异系数（CV）≤ 10%。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5）批间差：变异系数（CV）≤ 15%。</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w:t>
            </w:r>
          </w:p>
        </w:tc>
        <w:tc>
          <w:tcPr>
            <w:tcW w:type="dxa" w:w="5814"/>
          </w:tcPr>
          <w:p>
            <w:pPr>
              <w:pStyle w:val="null3"/>
              <w:jc w:val="left"/>
            </w:pPr>
            <w:r>
              <w:rPr>
                <w:rFonts w:ascii="仿宋_GB2312" w:hAnsi="仿宋_GB2312" w:cs="仿宋_GB2312" w:eastAsia="仿宋_GB2312"/>
                <w:sz w:val="21"/>
                <w:color w:val="000000"/>
              </w:rPr>
              <w:t>1、投标人提供的设备须为未使用过的合格设备，且权属清晰，不得侵害他人知识产权，并在合同签订后接到医院通知后1个月内安装调试完成。</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在质保期内应有专业技术人员或工程师对设备进行巡检维护，确保设备正常运行；在质保期内承担设备维护、维修服务，费用包含在本次报价中。</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投标人提供的试剂耗材须为原厂包装完整、未使用过的试剂耗材。</w:t>
            </w:r>
            <w:r>
              <w:rPr>
                <w:rFonts w:ascii="仿宋_GB2312" w:hAnsi="仿宋_GB2312" w:cs="仿宋_GB2312" w:eastAsia="仿宋_GB2312"/>
                <w:sz w:val="21"/>
                <w:color w:val="000000"/>
              </w:rPr>
              <w:t>如因试剂质量缺陷造成的不良后果，由</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承担责任。</w:t>
            </w:r>
          </w:p>
          <w:p>
            <w:pPr>
              <w:pStyle w:val="null3"/>
              <w:jc w:val="left"/>
            </w:pPr>
            <w:r>
              <w:rPr>
                <w:rFonts w:ascii="仿宋_GB2312" w:hAnsi="仿宋_GB2312" w:cs="仿宋_GB2312" w:eastAsia="仿宋_GB2312"/>
                <w:sz w:val="21"/>
                <w:color w:val="000000"/>
              </w:rPr>
              <w:t>4、设备质保(保修)期：≥3年。</w:t>
            </w:r>
          </w:p>
          <w:p>
            <w:pPr>
              <w:pStyle w:val="null3"/>
              <w:jc w:val="both"/>
            </w:pPr>
            <w:r>
              <w:rPr>
                <w:rFonts w:ascii="仿宋_GB2312" w:hAnsi="仿宋_GB2312" w:cs="仿宋_GB2312" w:eastAsia="仿宋_GB2312"/>
                <w:sz w:val="21"/>
                <w:color w:val="000000"/>
              </w:rPr>
              <w:t>5、试剂耗材配送要求：</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需按照采购人供货要求供货，供货</w:t>
            </w:r>
            <w:r>
              <w:rPr>
                <w:rFonts w:ascii="仿宋_GB2312" w:hAnsi="仿宋_GB2312" w:cs="仿宋_GB2312" w:eastAsia="仿宋_GB2312"/>
                <w:sz w:val="21"/>
                <w:color w:val="000000"/>
              </w:rPr>
              <w:t>时间不超过</w:t>
            </w:r>
            <w:r>
              <w:rPr>
                <w:rFonts w:ascii="仿宋_GB2312" w:hAnsi="仿宋_GB2312" w:cs="仿宋_GB2312" w:eastAsia="仿宋_GB2312"/>
                <w:sz w:val="21"/>
                <w:color w:val="000000"/>
              </w:rPr>
              <w:t>48小时，应急用体外诊断试剂须在8小时内送达，节假日照常配送。</w:t>
            </w:r>
          </w:p>
          <w:p>
            <w:pPr>
              <w:pStyle w:val="null3"/>
              <w:jc w:val="both"/>
            </w:pPr>
            <w:r>
              <w:rPr>
                <w:rFonts w:ascii="仿宋_GB2312" w:hAnsi="仿宋_GB2312" w:cs="仿宋_GB2312" w:eastAsia="仿宋_GB2312"/>
                <w:sz w:val="21"/>
                <w:color w:val="000000"/>
              </w:rPr>
              <w:t>6、属于四川医保公共服务网上服务大厅药品和医用耗材招采管理系统目录内的产品，按《四川省医药机构医用耗材集中采购实施方案》(川医保规〔2021〕10号)文件的相关规定进行。本次采购的主试剂须挂网。</w:t>
            </w:r>
          </w:p>
          <w:p>
            <w:pPr>
              <w:pStyle w:val="null3"/>
              <w:jc w:val="both"/>
            </w:pPr>
            <w:r>
              <w:rPr>
                <w:rFonts w:ascii="仿宋_GB2312" w:hAnsi="仿宋_GB2312" w:cs="仿宋_GB2312" w:eastAsia="仿宋_GB2312"/>
                <w:sz w:val="21"/>
                <w:color w:val="000000"/>
              </w:rPr>
              <w:t>7、投标人须在采购周期内按照采购人要求和发货批次供应质量符合要求的产品，并送达采购人指定地点。投标人</w:t>
            </w:r>
            <w:r>
              <w:rPr>
                <w:rFonts w:ascii="仿宋_GB2312" w:hAnsi="仿宋_GB2312" w:cs="仿宋_GB2312" w:eastAsia="仿宋_GB2312"/>
                <w:sz w:val="21"/>
                <w:color w:val="000000"/>
              </w:rPr>
              <w:t>所供试剂耗材须提供同批号的检验报告书，随货同行。</w:t>
            </w:r>
            <w:r>
              <w:rPr>
                <w:rFonts w:ascii="仿宋_GB2312" w:hAnsi="仿宋_GB2312" w:cs="仿宋_GB2312" w:eastAsia="仿宋_GB2312"/>
                <w:sz w:val="21"/>
                <w:color w:val="000000"/>
              </w:rPr>
              <w:t>采购人对不符合质量、运输温度、有效期、包装、订单数量、产品质量和双方约定的其他要求的产品，有权拒绝接收，投标人应对不符合要求的产品在</w:t>
            </w:r>
            <w:r>
              <w:rPr>
                <w:rFonts w:ascii="仿宋_GB2312" w:hAnsi="仿宋_GB2312" w:cs="仿宋_GB2312" w:eastAsia="仿宋_GB2312"/>
                <w:sz w:val="21"/>
                <w:color w:val="000000"/>
              </w:rPr>
              <w:t>3日内进行更换，不得影响采购人的检验工作。</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在履约期间，</w:t>
            </w:r>
            <w:r>
              <w:rPr>
                <w:rFonts w:ascii="仿宋_GB2312" w:hAnsi="仿宋_GB2312" w:cs="仿宋_GB2312" w:eastAsia="仿宋_GB2312"/>
                <w:sz w:val="21"/>
                <w:color w:val="000000"/>
              </w:rPr>
              <w:t>如试剂耗材遇政策性原因调整，导致合同无法履行，则合同自行终止。</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在履约期间，若因国家、部门政策调整，相应中标产品纳入国家集中采购或者带量采购范畴，则该部分合同标的自行终止，并优先按照国家集中采购、带量采购的政策执行。</w:t>
            </w:r>
          </w:p>
          <w:p>
            <w:pPr>
              <w:pStyle w:val="null3"/>
              <w:spacing w:after="120"/>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需满足采购人的SPD管理要求，接受采购人考核，至少包含试剂供货及时性、开票及时性及准确性、供货准确率、应急处理、质量合格率、资质及产品有效性、业务人员服务满意率、SPD物流运行情况方面。</w:t>
            </w:r>
            <w:r>
              <w:rPr>
                <w:rFonts w:ascii="仿宋_GB2312" w:hAnsi="仿宋_GB2312" w:cs="仿宋_GB2312" w:eastAsia="仿宋_GB2312"/>
                <w:sz w:val="21"/>
                <w:color w:val="000000"/>
              </w:rPr>
              <w:t>如</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未按采购人要求按时送货，每出现一次延迟供货，</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向采购人支付</w:t>
            </w:r>
            <w:r>
              <w:rPr>
                <w:rFonts w:ascii="仿宋_GB2312" w:hAnsi="仿宋_GB2312" w:cs="仿宋_GB2312" w:eastAsia="仿宋_GB2312"/>
                <w:sz w:val="21"/>
                <w:color w:val="000000"/>
              </w:rPr>
              <w:t>500元违约金；每出现一次开票不及时或送货单信息错误，</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向采购人支付500元违约金。若一个月内累计出现三次不能按时供货，采购人有权终止合同，并追究</w:t>
            </w:r>
            <w:r>
              <w:rPr>
                <w:rFonts w:ascii="仿宋_GB2312" w:hAnsi="仿宋_GB2312" w:cs="仿宋_GB2312" w:eastAsia="仿宋_GB2312"/>
                <w:sz w:val="21"/>
                <w:color w:val="000000"/>
              </w:rPr>
              <w:t>投标人</w:t>
            </w:r>
            <w:r>
              <w:rPr>
                <w:rFonts w:ascii="仿宋_GB2312" w:hAnsi="仿宋_GB2312" w:cs="仿宋_GB2312" w:eastAsia="仿宋_GB2312"/>
                <w:sz w:val="21"/>
                <w:color w:val="000000"/>
              </w:rPr>
              <w:t>由此造成的损失；</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采购文件中的试剂预估采购数量不是采购人的最终采购量，仅做为评标报价使用。所供试剂耗材不进行相关的具体单品或数量限制，医院按临床实际需求量采购，对最终用量不作承诺。</w:t>
            </w:r>
          </w:p>
          <w:p>
            <w:pPr>
              <w:pStyle w:val="null3"/>
              <w:jc w:val="both"/>
            </w:pPr>
            <w:r>
              <w:rPr>
                <w:rFonts w:ascii="仿宋_GB2312" w:hAnsi="仿宋_GB2312" w:cs="仿宋_GB2312" w:eastAsia="仿宋_GB2312"/>
              </w:rPr>
              <w:t>12、投标产品须符合《医疗器械注册与备案管理办法》要求并具备产品的注册证/备案。（提供有效证明材料并进行电子签章）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left"/>
            </w:pPr>
            <w:r>
              <w:rPr>
                <w:rFonts w:ascii="仿宋_GB2312" w:hAnsi="仿宋_GB2312" w:cs="仿宋_GB2312" w:eastAsia="仿宋_GB2312"/>
                <w:sz w:val="21"/>
                <w:color w:val="000000"/>
              </w:rPr>
              <w:t>1.履约期限:设备在合同签订生效后1个月内完成安装调试并能正常投入使用。试剂耗材配送期限：在合同签订生效后采购金额达到中标金额，则合同自行终止。合作期内如遇政策性原因，导致合同无法履行，则合同自行终止。</w:t>
            </w:r>
          </w:p>
          <w:p>
            <w:pPr>
              <w:pStyle w:val="null3"/>
              <w:jc w:val="left"/>
            </w:pPr>
            <w:r>
              <w:rPr>
                <w:rFonts w:ascii="仿宋_GB2312" w:hAnsi="仿宋_GB2312" w:cs="仿宋_GB2312" w:eastAsia="仿宋_GB2312"/>
                <w:sz w:val="21"/>
                <w:color w:val="000000"/>
              </w:rPr>
              <w:t>2.交货地点:资阳市人民医院。</w:t>
            </w:r>
          </w:p>
          <w:p>
            <w:pPr>
              <w:pStyle w:val="null3"/>
              <w:jc w:val="left"/>
            </w:pPr>
            <w:r>
              <w:rPr>
                <w:rFonts w:ascii="仿宋_GB2312" w:hAnsi="仿宋_GB2312" w:cs="仿宋_GB2312" w:eastAsia="仿宋_GB2312"/>
                <w:sz w:val="21"/>
                <w:color w:val="000000"/>
              </w:rPr>
              <w:t>3.货款结算方式：</w:t>
            </w:r>
          </w:p>
          <w:p>
            <w:pPr>
              <w:pStyle w:val="null3"/>
              <w:jc w:val="left"/>
            </w:pPr>
            <w:r>
              <w:rPr>
                <w:rFonts w:ascii="仿宋_GB2312" w:hAnsi="仿宋_GB2312" w:cs="仿宋_GB2312" w:eastAsia="仿宋_GB2312"/>
                <w:sz w:val="21"/>
                <w:color w:val="000000"/>
              </w:rPr>
              <w:t>3.1</w:t>
            </w:r>
            <w:r>
              <w:rPr>
                <w:rFonts w:ascii="仿宋_GB2312" w:hAnsi="仿宋_GB2312" w:cs="仿宋_GB2312" w:eastAsia="仿宋_GB2312"/>
                <w:sz w:val="21"/>
                <w:color w:val="000000"/>
              </w:rPr>
              <w:t>设备经验收合格，中标人提供合同中设备中标金额全额正式发票 ,采购人完成财务手续后 30日内支付设备中标金额的100%。</w:t>
            </w:r>
          </w:p>
          <w:p>
            <w:pPr>
              <w:pStyle w:val="null3"/>
              <w:jc w:val="left"/>
            </w:pPr>
            <w:r>
              <w:rPr>
                <w:rFonts w:ascii="仿宋_GB2312" w:hAnsi="仿宋_GB2312" w:cs="仿宋_GB2312" w:eastAsia="仿宋_GB2312"/>
                <w:sz w:val="21"/>
                <w:color w:val="000000"/>
              </w:rPr>
              <w:t>3.2试剂耗材按实结算，所投报价包含配送费、税费等一切费用，采购人不再</w:t>
            </w:r>
            <w:r>
              <w:rPr>
                <w:rFonts w:ascii="仿宋_GB2312" w:hAnsi="仿宋_GB2312" w:cs="仿宋_GB2312" w:eastAsia="仿宋_GB2312"/>
                <w:sz w:val="21"/>
                <w:color w:val="000000"/>
              </w:rPr>
              <w:t>另行支付其他费用。其中：挂网产品：以产品在四川省药械采购与医药价格监管平台截至上月全省医疗机构加权平均价、我省最高参考价、联动参考价</w:t>
            </w:r>
            <w:r>
              <w:rPr>
                <w:rFonts w:ascii="仿宋_GB2312" w:hAnsi="仿宋_GB2312" w:cs="仿宋_GB2312" w:eastAsia="仿宋_GB2312"/>
                <w:sz w:val="21"/>
                <w:color w:val="000000"/>
              </w:rPr>
              <w:t>以及本次成交价中的</w:t>
            </w:r>
            <w:r>
              <w:rPr>
                <w:rFonts w:ascii="仿宋_GB2312" w:hAnsi="仿宋_GB2312" w:cs="仿宋_GB2312" w:eastAsia="仿宋_GB2312"/>
                <w:sz w:val="21"/>
                <w:color w:val="000000"/>
              </w:rPr>
              <w:t>最低价格做为结算价格，并应符合四川省药械采购与医药价格监管平台的最新限价要求。</w:t>
            </w:r>
          </w:p>
          <w:p>
            <w:pPr>
              <w:pStyle w:val="null3"/>
              <w:jc w:val="left"/>
            </w:pPr>
            <w:r>
              <w:rPr>
                <w:rFonts w:ascii="仿宋_GB2312" w:hAnsi="仿宋_GB2312" w:cs="仿宋_GB2312" w:eastAsia="仿宋_GB2312"/>
                <w:sz w:val="21"/>
                <w:color w:val="000000"/>
              </w:rPr>
              <w:t>3.3采购人、投标人双方于每月25日后对上月购销试剂耗材进行核对，在双方核对无误后投标人出具合法有效完整的完税发票及凭证资料，并保证票物相符，采购人收到投标人相关票据完善报销手续后60日内付款。</w:t>
            </w:r>
          </w:p>
          <w:p>
            <w:pPr>
              <w:pStyle w:val="null3"/>
              <w:jc w:val="left"/>
            </w:pPr>
            <w:r>
              <w:rPr>
                <w:rFonts w:ascii="仿宋_GB2312" w:hAnsi="仿宋_GB2312" w:cs="仿宋_GB2312" w:eastAsia="仿宋_GB2312"/>
                <w:sz w:val="21"/>
                <w:color w:val="000000"/>
              </w:rPr>
              <w:t>3.4中标人须按每6个月为一个周期向采购人提供试剂耗材履约总金额情况；当合同金额执行达到60%时，中标供应商应书面通知采购人，否则造成超额配送的责任由供应商自行承担。</w:t>
            </w:r>
          </w:p>
          <w:p>
            <w:pPr>
              <w:pStyle w:val="null3"/>
              <w:spacing w:after="120"/>
              <w:jc w:val="both"/>
            </w:pPr>
            <w:r>
              <w:rPr>
                <w:rFonts w:ascii="仿宋_GB2312" w:hAnsi="仿宋_GB2312" w:cs="仿宋_GB2312" w:eastAsia="仿宋_GB2312"/>
                <w:sz w:val="21"/>
                <w:color w:val="000000"/>
              </w:rPr>
              <w:t>4.质保期：中标人为采购人配送的试剂耗材，到货时试剂耗材的有效期不得低于产品总有效期的2/3；已配送到位的近效期耗材（低于总有效期的1/3）由中标人负责调配更换，更换费用已包含在本次报价中。</w:t>
            </w:r>
          </w:p>
          <w:p>
            <w:pPr>
              <w:pStyle w:val="null3"/>
              <w:spacing w:after="120"/>
              <w:jc w:val="both"/>
            </w:pPr>
            <w:r>
              <w:rPr>
                <w:rFonts w:ascii="仿宋_GB2312" w:hAnsi="仿宋_GB2312" w:cs="仿宋_GB2312" w:eastAsia="仿宋_GB2312"/>
                <w:sz w:val="21"/>
                <w:color w:val="000000"/>
              </w:rPr>
              <w:t>5.履约验收方案：</w:t>
            </w:r>
          </w:p>
          <w:p>
            <w:pPr>
              <w:pStyle w:val="null3"/>
              <w:jc w:val="left"/>
            </w:pPr>
            <w:r>
              <w:rPr>
                <w:rFonts w:ascii="仿宋_GB2312" w:hAnsi="仿宋_GB2312" w:cs="仿宋_GB2312" w:eastAsia="仿宋_GB2312"/>
                <w:sz w:val="21"/>
                <w:color w:val="000000"/>
              </w:rPr>
              <w:t>5.1履约验收时间：供应商提出验收申请之日起 7 日内，由采购人组织验收。</w:t>
            </w:r>
          </w:p>
          <w:p>
            <w:pPr>
              <w:pStyle w:val="null3"/>
              <w:jc w:val="left"/>
            </w:pPr>
            <w:r>
              <w:rPr>
                <w:rFonts w:ascii="仿宋_GB2312" w:hAnsi="仿宋_GB2312" w:cs="仿宋_GB2312" w:eastAsia="仿宋_GB2312"/>
                <w:sz w:val="21"/>
                <w:color w:val="000000"/>
              </w:rPr>
              <w:t>5.2验收组织方式：自行验收。</w:t>
            </w:r>
          </w:p>
          <w:p>
            <w:pPr>
              <w:pStyle w:val="null3"/>
              <w:jc w:val="left"/>
            </w:pPr>
            <w:r>
              <w:rPr>
                <w:rFonts w:ascii="仿宋_GB2312" w:hAnsi="仿宋_GB2312" w:cs="仿宋_GB2312" w:eastAsia="仿宋_GB2312"/>
                <w:sz w:val="21"/>
                <w:color w:val="000000"/>
              </w:rPr>
              <w:t>5.3履约验收程序：供应商所供设备在采购人使用现场交付清点无误，且设备安装调试完毕，且设备正常工作，设备资料交接完毕后，完成验收。</w:t>
            </w:r>
          </w:p>
          <w:p>
            <w:pPr>
              <w:pStyle w:val="null3"/>
              <w:jc w:val="left"/>
            </w:pPr>
            <w:r>
              <w:rPr>
                <w:rFonts w:ascii="仿宋_GB2312" w:hAnsi="仿宋_GB2312" w:cs="仿宋_GB2312" w:eastAsia="仿宋_GB2312"/>
                <w:sz w:val="21"/>
                <w:color w:val="000000"/>
              </w:rPr>
              <w:t>5.4技术、商务履约验收内容：按国家有关规定以及本项目招标文件的质量要求、技术指标、商务要求、投标人的投标文件及承诺与本合同约定标准进行技术履约验收。</w:t>
            </w:r>
          </w:p>
          <w:p>
            <w:pPr>
              <w:pStyle w:val="null3"/>
              <w:jc w:val="left"/>
            </w:pPr>
            <w:r>
              <w:rPr>
                <w:rFonts w:ascii="仿宋_GB2312" w:hAnsi="仿宋_GB2312" w:cs="仿宋_GB2312" w:eastAsia="仿宋_GB2312"/>
                <w:sz w:val="21"/>
                <w:color w:val="000000"/>
              </w:rPr>
              <w:t>5.5其他未尽事宜将按照《财政部关于进一步加强政府采购需求和履约验收管理的指导意见》(财库(2016) 205 号)、《政府采购需求管理办法》(财库 (2021) 22 号)的要求及国家行业主管部门规定的标准、方法和内容进行验收。</w:t>
            </w:r>
          </w:p>
          <w:p>
            <w:pPr>
              <w:pStyle w:val="null3"/>
              <w:jc w:val="left"/>
            </w:pPr>
            <w:r>
              <w:rPr>
                <w:rFonts w:ascii="仿宋_GB2312" w:hAnsi="仿宋_GB2312" w:cs="仿宋_GB2312" w:eastAsia="仿宋_GB2312"/>
                <w:sz w:val="21"/>
                <w:color w:val="000000"/>
              </w:rPr>
              <w:t>5.6交货地点：资阳市人民医院。</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售后服务</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6.1为保证采购人使用投标人所供试剂耗材的检验、检测工作能顺利进行，并及时出具有效的检测报告，投标人应提供相关的售后维护、保养及技术支持和技术服务。同时提供医院设备使用人员操作培训和工程师维修、维护培训，保证设备使用人员正常操作设备各种功能，相关费用已包含在报价中。</w:t>
            </w:r>
          </w:p>
          <w:p>
            <w:pPr>
              <w:pStyle w:val="null3"/>
              <w:spacing w:after="120"/>
              <w:jc w:val="both"/>
            </w:pPr>
            <w:r>
              <w:rPr>
                <w:rFonts w:ascii="仿宋_GB2312" w:hAnsi="仿宋_GB2312" w:cs="仿宋_GB2312" w:eastAsia="仿宋_GB2312"/>
                <w:sz w:val="21"/>
                <w:color w:val="000000"/>
              </w:rPr>
              <w:t>6.2</w:t>
            </w:r>
            <w:r>
              <w:rPr>
                <w:rFonts w:ascii="仿宋_GB2312" w:hAnsi="仿宋_GB2312" w:cs="仿宋_GB2312" w:eastAsia="仿宋_GB2312"/>
                <w:sz w:val="21"/>
                <w:color w:val="000000"/>
              </w:rPr>
              <w:t>整机（含所有部件和配件）在质保期内由供应商保修。</w:t>
            </w:r>
            <w:r>
              <w:rPr>
                <w:rFonts w:ascii="仿宋_GB2312" w:hAnsi="仿宋_GB2312" w:cs="仿宋_GB2312" w:eastAsia="仿宋_GB2312"/>
                <w:sz w:val="21"/>
                <w:color w:val="000000"/>
              </w:rPr>
              <w:t>质保期内，设备故障应当在</w:t>
            </w:r>
            <w:r>
              <w:rPr>
                <w:rFonts w:ascii="仿宋_GB2312" w:hAnsi="仿宋_GB2312" w:cs="仿宋_GB2312" w:eastAsia="仿宋_GB2312"/>
                <w:sz w:val="21"/>
                <w:color w:val="000000"/>
              </w:rPr>
              <w:t>2小时内电话响应，8小时内响应到场， 48小时内完成修复。48小时不能修复使用但科室必须使用情况下，中标人须提供备用设备保证使用。</w:t>
            </w:r>
            <w:r>
              <w:rPr>
                <w:rFonts w:ascii="仿宋_GB2312" w:hAnsi="仿宋_GB2312" w:cs="仿宋_GB2312" w:eastAsia="仿宋_GB2312"/>
                <w:sz w:val="21"/>
                <w:color w:val="000000"/>
              </w:rPr>
              <w:t>供应商向采购人提供的设备生产日期须在供货前</w:t>
            </w:r>
            <w:r>
              <w:rPr>
                <w:rFonts w:ascii="仿宋_GB2312" w:hAnsi="仿宋_GB2312" w:cs="仿宋_GB2312" w:eastAsia="仿宋_GB2312"/>
                <w:sz w:val="21"/>
                <w:color w:val="000000"/>
              </w:rPr>
              <w:t>6个月内、试剂耗材均确保有效期在6个月以上，并负责近效期商品更换。</w:t>
            </w:r>
          </w:p>
          <w:p>
            <w:pPr>
              <w:pStyle w:val="null3"/>
              <w:jc w:val="both"/>
            </w:pPr>
            <w:r>
              <w:rPr>
                <w:rFonts w:ascii="仿宋_GB2312" w:hAnsi="仿宋_GB2312" w:cs="仿宋_GB2312" w:eastAsia="仿宋_GB2312"/>
                <w:sz w:val="21"/>
                <w:color w:val="000000"/>
              </w:rPr>
              <w:t>6.3设备无故障时间，按365日计算：≥95%。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.供应商开具发票的责任：</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1供应商应严格遵守《中华人民共和国发票管理办法》及相关税收法律法规的规定，合法、规范地开具发票。所开具的发票内容应真实、准确，完整反映交易实际情况，包括但不限于商品或服务的名称、规格、数量、单价及金额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2供应商应确保所开具的发票符合国家税收法规的相关要求，并对其发票的真实性、合法性和有效性承担全部责任。如因供应商开具的发票不符合规定、无法通过税务系统认证或存在其他问题，导致采购人无法正常使用发票或因此遭受任何损失的（包括但不限于用于税务抵扣、滞纳金、行政罚款等），供应商应承担全部赔偿责任。</w:t>
            </w:r>
          </w:p>
          <w:p>
            <w:pPr>
              <w:pStyle w:val="null3"/>
              <w:jc w:val="both"/>
            </w:pPr>
            <w:r>
              <w:rPr>
                <w:rFonts w:ascii="仿宋_GB2312" w:hAnsi="仿宋_GB2312" w:cs="仿宋_GB2312" w:eastAsia="仿宋_GB2312"/>
                <w:sz w:val="21"/>
              </w:rPr>
              <w:t>7.3供应商在本合同履行期间，其签约主体名称、发票开具单位及收款单位保持一致。未经采购人书面同意，供应商不得以任何理由变更发票开具单位和收款账户信息，否则视为供应商违约，采购人有权依据本合同约定追究其违约责任。</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履约要求（此项内容将按照采购文件评分表标准要求进行评分）</w:t>
            </w:r>
          </w:p>
        </w:tc>
        <w:tc>
          <w:tcPr>
            <w:tcW w:type="dxa" w:w="5814"/>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投标人提供（2023年1月1日（含）至递交投标文件截止日）类似业绩；</w:t>
            </w:r>
          </w:p>
          <w:p>
            <w:pPr>
              <w:pStyle w:val="null3"/>
              <w:jc w:val="both"/>
            </w:pPr>
            <w:r>
              <w:rPr>
                <w:rFonts w:ascii="仿宋_GB2312" w:hAnsi="仿宋_GB2312" w:cs="仿宋_GB2312" w:eastAsia="仿宋_GB2312"/>
                <w:sz w:val="21"/>
                <w:color w:val="000000"/>
              </w:rPr>
              <w:t>2、投标人提供的实施方案包括：</w:t>
            </w:r>
            <w:r>
              <w:rPr>
                <w:rFonts w:ascii="仿宋_GB2312" w:hAnsi="仿宋_GB2312" w:cs="仿宋_GB2312" w:eastAsia="仿宋_GB2312"/>
                <w:sz w:val="21"/>
                <w:color w:val="000000"/>
              </w:rPr>
              <w:t>①为本项目供货的供货人员清单；②送货流程方案及及时性保证；③供货整体流程（如物品出入库记录、装卸货、到货清查、物品签收表等）；④供货安全管理制度（含人员安全培训、 安全责任划分）；⑤如遇试剂耗材、卫生临床等安全突发事件的应急处理流程；⑥供货产品的可溯源方案；⑦投标人的采购流程及保存仓储条件；⑧投标人对服务产品的质量保障措施及出现不合格产品的处理。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设备在合同签订生效后1个月内完成安装调试并能正常投入使用。试剂耗材配送期限：在合同签订生效后采购金额达到中标金额，则合同自行终止。合作期内如遇政策性原因，导致合同无法履行，则合同自行终止。</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资阳市人民医院</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设备，设备经验收合格，中标人提供合同中设备中标金额全额正式发票 ,采购人完成财务手续后，达到付款条件起10个工作日内，据实情况为支付设备中标金额的100%</w:t>
            </w:r>
            <w:r>
              <w:br/>
            </w:r>
            <w:r>
              <w:rPr>
                <w:rFonts w:ascii="仿宋_GB2312" w:hAnsi="仿宋_GB2312" w:cs="仿宋_GB2312" w:eastAsia="仿宋_GB2312"/>
              </w:rPr>
              <w:t>2、</w:t>
            </w:r>
            <w:r>
              <w:rPr>
                <w:rFonts w:ascii="仿宋_GB2312" w:hAnsi="仿宋_GB2312" w:cs="仿宋_GB2312" w:eastAsia="仿宋_GB2312"/>
              </w:rPr>
              <w:t>试剂耗材，采购人、投标人双方于每月25日后对上月购销试剂耗材进行核对，在双方核对无误后投标人出具合法有效完整的完税发票及凭证资料，并保证票物相符，采购人收到投标人相关票据完善报销手续后，达到付款条件起60个工作日内，据实情况为据实付款。其中：挂网产品：以产品在四川省药械采购与医药价格监管平台截至上月全省医疗机构加权平均价、我省最高参考价、联动参考价以及本次成交价中的最低价格做为结算价格，并应符合四川省药械采购与医药价格监管平台的最新限价要求。中标人须按每6个月为一个周期向采购人提供试剂耗材履约总金额情况；当合同金额执行达到60%时，中标供应商应书面通知采购人，否则造成超额配送的责任由供应商自行承担。</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1.履约验收时间：供应商提出验收申请之日起 7 日内，由采购人组织验收。 2.验收组织方式：自行验收。 3.履约验收程序：供应商所供设备在采购人使用现场交付清点无误，且设备安装调试完毕，且设备正常工作，设备资料交接完毕后，完成验收。 4.技术、商务履约验收内容：按国家有关规定以及本项目招标文件的质量要求、技术指标、商务要求、投标人的投标文件及承诺与本合同约定标准进行技术履约验收。 5.其他未尽事宜将按照《财政部关于进一步加强政府采购需求和履约验收管理的指导意见》(财库(2016) 205 号)、《政府采购需求管理办法》(财库 (2021) 22 号)的要求及国家行业主管部门规定的标准、方法和内容进行验收。</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设备质保(保修)期：≥3年；为采购人配送的试剂耗材，到货时试剂耗材的有效期不得低于产品总有效期的2/3；已配送到位的近效期耗材（低于总有效期的1/3）由成交供应商负责调配更换，更换费用已包含在本次报价中。</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如因成交供应商工作人员在履行职务过程中的的疏忽、失职、过错等故意或者过失原因给采购人造成损失或侵害，包括但不限于采购人本身的财产损失、由此而导致的采购人对任何第三方的法律责任等，成交供应商对此均应承担全部的赔偿责任。在执行本项目合同中发生的或与本合同有关的争端，双方应通过友好协商解决，经协商不能达成协议时，应提交合同签订所在地仲裁委员会仲裁。仲裁裁决对双方具有约束力。除另有裁决外，仲裁费应由败诉方负担。在仲裁期间，除正在进行仲裁部分外，合同其他部分继续执行。</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1、因系统固化原因，商务要求以招标文件第三章3.3.1项商务要求为准。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还需提供：①若投标人为企业法人的，提供具有统一社会信用代码的“营业执照”复印件，未换证的提供“营业执照、税务登记证、组织机构代码证”复印件；②若投标人为事业法人的，提供具有统一社会信用代码的“法人登记证书”复印件；未换证的提交“事业法人登记证书、组织机构代码证”复印件；③若投标人为其他组织的，提供对应主管部门颁发的准许执业的证明文件或营业执照复印件；④若投标人为自然人的，提供相关“身份证明材料”。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若投标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投标人除外）。</w:t>
            </w:r>
          </w:p>
        </w:tc>
        <w:tc>
          <w:tcPr>
            <w:tcW w:type="dxa" w:w="3322"/>
          </w:tcPr>
          <w:p>
            <w:pPr>
              <w:pStyle w:val="null3"/>
              <w:jc w:val="left"/>
            </w:pPr>
            <w:r>
              <w:rPr>
                <w:rFonts w:ascii="仿宋_GB2312" w:hAnsi="仿宋_GB2312" w:cs="仿宋_GB2312" w:eastAsia="仿宋_GB2312"/>
              </w:rPr>
              <w:t>若投标产品为医疗器械的，投标人若为投标产品生产厂家，须符合《医疗器械监督管理条例》要求并提供中华人民共和国医疗器械生产许可证或生产备案凭证；投标人若为投标产品非生产厂家，须符合《医疗器械监督管理条例》要求并提供中华人民共和国医疗器械经营企业许可证或经营备案凭证（已提供包含二类备案的多证合一营业执照的投标人除外）。（提供有效证明材料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符合招标文件的商务要求。（注：3.3.1服务内容要求中的商务要求与3.3.2商务要求不一致的，以3.3.1服务内容要求中的商务要求为准）。</w:t>
            </w:r>
          </w:p>
        </w:tc>
        <w:tc>
          <w:tcPr>
            <w:tcW w:type="dxa" w:w="3322"/>
          </w:tcPr>
          <w:p>
            <w:pPr>
              <w:pStyle w:val="null3"/>
              <w:jc w:val="left"/>
            </w:pPr>
            <w:r>
              <w:rPr>
                <w:rFonts w:ascii="仿宋_GB2312" w:hAnsi="仿宋_GB2312" w:cs="仿宋_GB2312" w:eastAsia="仿宋_GB2312"/>
              </w:rPr>
              <w:t>投标人按照招标文件的商务要求进行响应</w:t>
            </w:r>
          </w:p>
        </w:tc>
        <w:tc>
          <w:tcPr>
            <w:tcW w:type="dxa" w:w="1661"/>
          </w:tcPr>
          <w:p>
            <w:pPr>
              <w:pStyle w:val="null3"/>
              <w:jc w:val="left"/>
            </w:pPr>
            <w:r>
              <w:rPr>
                <w:rFonts w:ascii="仿宋_GB2312" w:hAnsi="仿宋_GB2312" w:cs="仿宋_GB2312" w:eastAsia="仿宋_GB2312"/>
              </w:rPr>
              <w:t>投标人应提交的相关证明材料,商务要求应答表.docx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招标文件的技术、服务要求或其他要求</w:t>
            </w:r>
          </w:p>
        </w:tc>
        <w:tc>
          <w:tcPr>
            <w:tcW w:type="dxa" w:w="3322"/>
          </w:tcPr>
          <w:p>
            <w:pPr>
              <w:pStyle w:val="null3"/>
              <w:jc w:val="left"/>
            </w:pPr>
            <w:r>
              <w:rPr>
                <w:rFonts w:ascii="仿宋_GB2312" w:hAnsi="仿宋_GB2312" w:cs="仿宋_GB2312" w:eastAsia="仿宋_GB2312"/>
              </w:rPr>
              <w:t>投标人按照招标文件的技术、服务要求或其他要求进行响应</w:t>
            </w:r>
          </w:p>
        </w:tc>
        <w:tc>
          <w:tcPr>
            <w:tcW w:type="dxa" w:w="1661"/>
          </w:tcPr>
          <w:p>
            <w:pPr>
              <w:pStyle w:val="null3"/>
              <w:jc w:val="left"/>
            </w:pPr>
            <w:r>
              <w:rPr>
                <w:rFonts w:ascii="仿宋_GB2312" w:hAnsi="仿宋_GB2312" w:cs="仿宋_GB2312" w:eastAsia="仿宋_GB2312"/>
              </w:rPr>
              <w:t>投标人应提交的相关证明材料,技术、服务及其他要求应答表.docx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需要投标人提供证明材料的实质性要求</w:t>
            </w:r>
          </w:p>
        </w:tc>
        <w:tc>
          <w:tcPr>
            <w:tcW w:type="dxa" w:w="3322"/>
          </w:tcPr>
          <w:p>
            <w:pPr>
              <w:pStyle w:val="null3"/>
              <w:jc w:val="left"/>
            </w:pPr>
            <w:r>
              <w:rPr>
                <w:rFonts w:ascii="仿宋_GB2312" w:hAnsi="仿宋_GB2312" w:cs="仿宋_GB2312" w:eastAsia="仿宋_GB2312"/>
              </w:rPr>
              <w:t>投标人需按照招标文件的要求提供证明材料</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详细评审68.00分</w:t>
            </w:r>
          </w:p>
          <w:p>
            <w:pPr>
              <w:pStyle w:val="null3"/>
              <w:jc w:val="left"/>
            </w:pPr>
            <w:r>
              <w:rPr>
                <w:rFonts w:ascii="仿宋_GB2312" w:hAnsi="仿宋_GB2312" w:cs="仿宋_GB2312" w:eastAsia="仿宋_GB2312"/>
              </w:rPr>
              <w:t>报价得分32.00分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1.完全满足招标文件要求的得54分。 2.技术参数中标注“▲”参数为重要性参数共6条，一条不满足扣4分，共24分;非“▲”“★”为普通参数共20条，得分=（普通参数无偏离或正偏离的总条数/普通参数总条数）*30，共30分。 注:1、本项所述的条款数量按以下原则计算:①无子项的条款:以每项条款为1项进行计算;②有子项的条款:以末级的子项为1项进行计算。2、针对“▲”号条款的技术响应情况，如招标文件要求需提供说明书或第三方机构出具的检测报告的，投标文件应按照招标文件要求提供，若未提供说明书或第三方机构出具的检测报告则该参数将被视为不满足，若未要求提供佐证材料，投标人响应即可，未响应或负偏离将视为不满足。 3、技术参数中标注“★”条款不满足的将按照无效响应处理。</w:t>
            </w:r>
          </w:p>
        </w:tc>
        <w:tc>
          <w:tcPr>
            <w:tcW w:type="dxa" w:w="831"/>
          </w:tcPr>
          <w:p>
            <w:pPr>
              <w:pStyle w:val="null3"/>
              <w:jc w:val="center"/>
            </w:pPr>
            <w:r>
              <w:rPr>
                <w:rFonts w:ascii="仿宋_GB2312" w:hAnsi="仿宋_GB2312" w:cs="仿宋_GB2312" w:eastAsia="仿宋_GB2312"/>
              </w:rPr>
              <w:t>54.0000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根据投标人提供的类似业绩（2023年1月1日（含）至递交投标文件截止日）进行评定，每提供一个业绩得2分，最多得6分。 注：提供中标（成交）通知书或合同复印件并加盖投标人公章。提供合同的以合同签订时间为准；提供中标（成交）通知书的以中标（成交）通知书落款时间为准；同时提供中标（成交）通知书和合同复印件的以合同签订时间为准；未提供该项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投标人提供的实施方案进行综合评分，实施方案包括：①为本项目供货的供货人员清单；②送货流程方案及及时性保证；③供货整体流程（如物品出入库记录、装卸货、到货清查、物品签收表等）；④供货安全管理制度（含人员安全培训、 安全责任划分）；⑤如遇试剂耗材、卫生临床等安全突发事件的应急处理流程；⑥供货产品的可溯源方案；⑦投标人的采购流程及保存仓储条件；⑧投标人对服务产品的质量保障措施及出现不合格产品的处理。 涵盖以上内容且不存在缺陷得8分，以上方案，每缺少一项内容扣1分，每有一处内容存在缺陷扣0.5分，扣完为止。（“内容存在缺陷”是指：①本项目提供的方案中引用法律法规、规范、标准或其他规范性文件存在失效或错误；②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