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44525B9">
      <w:pPr>
        <w:ind w:firstLine="240" w:firstLineChars="100"/>
        <w:rPr>
          <w:rFonts w:hint="default" w:ascii="仿宋_GB2312" w:hAnsi="仿宋" w:eastAsia="仿宋_GB2312"/>
          <w:color w:val="000000"/>
          <w:sz w:val="24"/>
          <w:highlight w:val="none"/>
          <w:lang w:val="en-US" w:eastAsia="zh-CN"/>
        </w:rPr>
      </w:pPr>
      <w:r>
        <w:rPr>
          <w:rFonts w:hint="eastAsia" w:ascii="仿宋_GB2312" w:hAnsi="仿宋" w:eastAsia="仿宋_GB2312"/>
          <w:color w:val="000000"/>
          <w:sz w:val="24"/>
        </w:rPr>
        <w:t xml:space="preserve">                                       </w:t>
      </w:r>
      <w:r>
        <w:rPr>
          <w:rFonts w:hint="eastAsia" w:asciiTheme="majorEastAsia" w:hAnsiTheme="majorEastAsia" w:eastAsiaTheme="majorEastAsia" w:cstheme="majorEastAsia"/>
          <w:color w:val="000000"/>
          <w:sz w:val="24"/>
        </w:rPr>
        <w:t xml:space="preserve"> 合</w:t>
      </w:r>
      <w:r>
        <w:rPr>
          <w:rFonts w:hint="eastAsia" w:asciiTheme="majorEastAsia" w:hAnsiTheme="majorEastAsia" w:eastAsiaTheme="majorEastAsia" w:cstheme="majorEastAsia"/>
          <w:color w:val="000000"/>
          <w:sz w:val="24"/>
          <w:highlight w:val="none"/>
        </w:rPr>
        <w:t>同编号：</w:t>
      </w:r>
      <w:r>
        <w:rPr>
          <w:rFonts w:hint="eastAsia" w:asciiTheme="majorEastAsia" w:hAnsiTheme="majorEastAsia" w:eastAsiaTheme="majorEastAsia" w:cstheme="majorEastAsia"/>
          <w:color w:val="000000"/>
          <w:sz w:val="24"/>
          <w:highlight w:val="none"/>
          <w:lang w:eastAsia="zh-CN"/>
        </w:rPr>
        <w:t>ZB-GDXC202</w:t>
      </w:r>
      <w:r>
        <w:rPr>
          <w:rFonts w:hint="eastAsia" w:asciiTheme="majorEastAsia" w:hAnsiTheme="majorEastAsia" w:eastAsiaTheme="majorEastAsia" w:cstheme="majorEastAsia"/>
          <w:color w:val="000000"/>
          <w:sz w:val="24"/>
          <w:highlight w:val="none"/>
          <w:lang w:val="en-US" w:eastAsia="zh-CN"/>
        </w:rPr>
        <w:t>6</w:t>
      </w:r>
      <w:r>
        <w:rPr>
          <w:rFonts w:hint="eastAsia" w:asciiTheme="majorEastAsia" w:hAnsiTheme="majorEastAsia" w:eastAsiaTheme="majorEastAsia" w:cstheme="majorEastAsia"/>
          <w:color w:val="000000"/>
          <w:sz w:val="24"/>
          <w:highlight w:val="none"/>
          <w:lang w:eastAsia="zh-CN"/>
        </w:rPr>
        <w:t>-</w:t>
      </w:r>
      <w:r>
        <w:rPr>
          <w:rFonts w:hint="eastAsia" w:asciiTheme="majorEastAsia" w:hAnsiTheme="majorEastAsia" w:eastAsiaTheme="majorEastAsia" w:cstheme="majorEastAsia"/>
          <w:color w:val="000000"/>
          <w:sz w:val="24"/>
          <w:highlight w:val="none"/>
          <w:lang w:val="en-US" w:eastAsia="zh-CN"/>
        </w:rPr>
        <w:t>034</w:t>
      </w:r>
    </w:p>
    <w:p w14:paraId="6C3A043D">
      <w:pPr>
        <w:rPr>
          <w:rFonts w:ascii="宋体" w:hAnsi="宋体" w:cs="宋体"/>
          <w:kern w:val="0"/>
          <w:sz w:val="24"/>
          <w:highlight w:val="none"/>
        </w:rPr>
      </w:pPr>
    </w:p>
    <w:p w14:paraId="7D2BEB25">
      <w:pPr>
        <w:spacing w:line="300" w:lineRule="auto"/>
        <w:jc w:val="center"/>
        <w:rPr>
          <w:rFonts w:ascii="黑体" w:hAnsi="宋体" w:eastAsia="黑体"/>
          <w:b/>
          <w:color w:val="000000"/>
          <w:sz w:val="52"/>
          <w:szCs w:val="52"/>
          <w:highlight w:val="none"/>
        </w:rPr>
      </w:pPr>
    </w:p>
    <w:p w14:paraId="52F9D33E">
      <w:pPr>
        <w:spacing w:line="300" w:lineRule="auto"/>
        <w:jc w:val="center"/>
        <w:rPr>
          <w:rFonts w:ascii="黑体" w:hAnsi="宋体" w:eastAsia="黑体"/>
          <w:b/>
          <w:color w:val="000000"/>
          <w:sz w:val="52"/>
          <w:szCs w:val="52"/>
          <w:highlight w:val="none"/>
        </w:rPr>
      </w:pPr>
    </w:p>
    <w:p w14:paraId="78C21D45">
      <w:pPr>
        <w:spacing w:line="300" w:lineRule="auto"/>
        <w:jc w:val="center"/>
        <w:rPr>
          <w:rFonts w:ascii="黑体" w:hAnsi="宋体" w:eastAsia="黑体"/>
          <w:b/>
          <w:color w:val="000000"/>
          <w:sz w:val="52"/>
          <w:szCs w:val="52"/>
          <w:highlight w:val="none"/>
        </w:rPr>
      </w:pPr>
    </w:p>
    <w:p w14:paraId="47C1E7C2">
      <w:pPr>
        <w:spacing w:line="300" w:lineRule="auto"/>
        <w:jc w:val="center"/>
        <w:rPr>
          <w:rFonts w:hint="eastAsia" w:ascii="黑体" w:hAnsi="宋体" w:eastAsia="黑体"/>
          <w:b/>
          <w:color w:val="000000"/>
          <w:sz w:val="52"/>
          <w:szCs w:val="52"/>
          <w:highlight w:val="none"/>
          <w:lang w:val="en-US" w:eastAsia="zh-CN"/>
        </w:rPr>
      </w:pPr>
      <w:r>
        <w:rPr>
          <w:rFonts w:hint="eastAsia" w:ascii="黑体" w:hAnsi="宋体" w:eastAsia="黑体"/>
          <w:b/>
          <w:color w:val="000000"/>
          <w:sz w:val="52"/>
          <w:szCs w:val="52"/>
          <w:highlight w:val="none"/>
          <w:lang w:val="en-US" w:eastAsia="zh-CN"/>
        </w:rPr>
        <w:t xml:space="preserve"> </w:t>
      </w:r>
    </w:p>
    <w:p w14:paraId="1F3AE51B">
      <w:pPr>
        <w:spacing w:line="300" w:lineRule="auto"/>
        <w:jc w:val="center"/>
        <w:rPr>
          <w:rFonts w:ascii="黑体" w:hAnsi="宋体" w:eastAsia="黑体"/>
          <w:b/>
          <w:color w:val="000000"/>
          <w:sz w:val="52"/>
          <w:szCs w:val="52"/>
          <w:highlight w:val="none"/>
        </w:rPr>
      </w:pPr>
      <w:r>
        <w:rPr>
          <w:rFonts w:hint="eastAsia" w:ascii="黑体" w:hAnsi="宋体" w:eastAsia="黑体"/>
          <w:b/>
          <w:color w:val="000000"/>
          <w:sz w:val="52"/>
          <w:szCs w:val="52"/>
          <w:highlight w:val="none"/>
          <w:lang w:val="en-US" w:eastAsia="zh-CN"/>
        </w:rPr>
        <w:t xml:space="preserve">  </w:t>
      </w:r>
      <w:r>
        <w:rPr>
          <w:rFonts w:hint="eastAsia" w:ascii="黑体" w:hAnsi="宋体" w:eastAsia="黑体"/>
          <w:b/>
          <w:color w:val="000000"/>
          <w:sz w:val="52"/>
          <w:szCs w:val="52"/>
          <w:highlight w:val="none"/>
        </w:rPr>
        <w:t>政府采购项目代理合同</w:t>
      </w:r>
    </w:p>
    <w:p w14:paraId="6BE8794E">
      <w:pPr>
        <w:spacing w:line="300" w:lineRule="auto"/>
        <w:jc w:val="center"/>
        <w:rPr>
          <w:rFonts w:ascii="宋体" w:hAnsi="宋体"/>
          <w:color w:val="000000"/>
          <w:sz w:val="48"/>
          <w:szCs w:val="48"/>
          <w:highlight w:val="none"/>
        </w:rPr>
      </w:pPr>
    </w:p>
    <w:p w14:paraId="76BE115C">
      <w:pPr>
        <w:spacing w:line="300" w:lineRule="auto"/>
        <w:jc w:val="center"/>
        <w:rPr>
          <w:rFonts w:ascii="宋体" w:hAnsi="宋体"/>
          <w:color w:val="000000"/>
          <w:sz w:val="48"/>
          <w:szCs w:val="48"/>
          <w:highlight w:val="none"/>
        </w:rPr>
      </w:pPr>
    </w:p>
    <w:p w14:paraId="29B14DBA">
      <w:pPr>
        <w:spacing w:line="300" w:lineRule="auto"/>
        <w:jc w:val="both"/>
        <w:rPr>
          <w:rFonts w:ascii="宋体" w:hAnsi="宋体"/>
          <w:color w:val="000000"/>
          <w:sz w:val="48"/>
          <w:szCs w:val="48"/>
          <w:highlight w:val="none"/>
        </w:rPr>
      </w:pPr>
    </w:p>
    <w:p w14:paraId="154285CC">
      <w:pPr>
        <w:spacing w:line="300" w:lineRule="auto"/>
        <w:jc w:val="center"/>
        <w:rPr>
          <w:rFonts w:ascii="宋体" w:hAnsi="宋体"/>
          <w:color w:val="000000"/>
          <w:sz w:val="48"/>
          <w:szCs w:val="48"/>
          <w:highlight w:val="none"/>
        </w:rPr>
      </w:pPr>
    </w:p>
    <w:p w14:paraId="2EB49B58">
      <w:pPr>
        <w:spacing w:line="300" w:lineRule="auto"/>
        <w:jc w:val="both"/>
        <w:rPr>
          <w:rFonts w:ascii="宋体" w:hAnsi="宋体"/>
          <w:color w:val="000000"/>
          <w:sz w:val="48"/>
          <w:szCs w:val="48"/>
          <w:highlight w:val="none"/>
        </w:rPr>
      </w:pPr>
    </w:p>
    <w:p w14:paraId="0EDB5606">
      <w:pPr>
        <w:spacing w:line="300" w:lineRule="auto"/>
        <w:jc w:val="center"/>
        <w:rPr>
          <w:rFonts w:ascii="宋体" w:hAnsi="宋体"/>
          <w:color w:val="000000"/>
          <w:sz w:val="48"/>
          <w:szCs w:val="48"/>
          <w:highlight w:val="none"/>
        </w:rPr>
      </w:pPr>
    </w:p>
    <w:p w14:paraId="68D3E237">
      <w:pPr>
        <w:spacing w:line="300" w:lineRule="auto"/>
        <w:jc w:val="center"/>
        <w:rPr>
          <w:rFonts w:ascii="宋体" w:hAnsi="宋体"/>
          <w:b/>
          <w:color w:val="000000"/>
          <w:sz w:val="32"/>
          <w:szCs w:val="32"/>
          <w:highlight w:val="none"/>
        </w:rPr>
      </w:pPr>
      <w:r>
        <w:rPr>
          <w:rFonts w:hint="eastAsia" w:ascii="宋体" w:hAnsi="宋体"/>
          <w:b/>
          <w:color w:val="000000"/>
          <w:sz w:val="32"/>
          <w:szCs w:val="32"/>
          <w:highlight w:val="none"/>
        </w:rPr>
        <w:t>广东省政府采购工作规范标准文本</w:t>
      </w:r>
    </w:p>
    <w:p w14:paraId="59C42516">
      <w:pPr>
        <w:spacing w:line="300" w:lineRule="auto"/>
        <w:jc w:val="center"/>
        <w:rPr>
          <w:rFonts w:ascii="宋体" w:hAnsi="宋体"/>
          <w:b/>
          <w:color w:val="000000"/>
          <w:sz w:val="32"/>
          <w:szCs w:val="32"/>
          <w:highlight w:val="none"/>
        </w:rPr>
      </w:pPr>
      <w:r>
        <w:rPr>
          <w:rFonts w:hint="eastAsia" w:ascii="宋体" w:hAnsi="宋体"/>
          <w:b/>
          <w:color w:val="000000"/>
          <w:sz w:val="32"/>
          <w:szCs w:val="32"/>
          <w:highlight w:val="none"/>
        </w:rPr>
        <w:t>20</w:t>
      </w:r>
      <w:r>
        <w:rPr>
          <w:rFonts w:hint="eastAsia" w:ascii="宋体" w:hAnsi="宋体"/>
          <w:b/>
          <w:color w:val="000000"/>
          <w:sz w:val="32"/>
          <w:szCs w:val="32"/>
          <w:highlight w:val="none"/>
          <w:lang w:val="en-US" w:eastAsia="zh-CN"/>
        </w:rPr>
        <w:t>26</w:t>
      </w:r>
      <w:r>
        <w:rPr>
          <w:rFonts w:hint="eastAsia" w:ascii="宋体" w:hAnsi="宋体"/>
          <w:b/>
          <w:color w:val="000000"/>
          <w:sz w:val="32"/>
          <w:szCs w:val="32"/>
          <w:highlight w:val="none"/>
        </w:rPr>
        <w:t>年</w:t>
      </w:r>
      <w:r>
        <w:rPr>
          <w:rFonts w:hint="eastAsia" w:ascii="宋体" w:hAnsi="宋体"/>
          <w:b/>
          <w:color w:val="000000"/>
          <w:sz w:val="32"/>
          <w:szCs w:val="32"/>
          <w:highlight w:val="none"/>
          <w:lang w:val="en-US" w:eastAsia="zh-CN"/>
        </w:rPr>
        <w:t>7</w:t>
      </w:r>
      <w:r>
        <w:rPr>
          <w:rFonts w:hint="eastAsia" w:ascii="宋体" w:hAnsi="宋体"/>
          <w:b/>
          <w:color w:val="000000"/>
          <w:sz w:val="32"/>
          <w:szCs w:val="32"/>
          <w:highlight w:val="none"/>
        </w:rPr>
        <w:t>月</w:t>
      </w:r>
    </w:p>
    <w:p w14:paraId="0B65F5EB">
      <w:pPr>
        <w:keepNext/>
        <w:keepLines/>
        <w:pageBreakBefore/>
        <w:spacing w:line="300" w:lineRule="auto"/>
        <w:ind w:firstLine="561"/>
        <w:jc w:val="center"/>
        <w:rPr>
          <w:rFonts w:hint="eastAsia" w:ascii="仿宋_GB2312" w:hAnsi="仿宋" w:eastAsia="仿宋_GB2312"/>
          <w:b/>
          <w:color w:val="000000"/>
          <w:sz w:val="28"/>
          <w:szCs w:val="28"/>
          <w:highlight w:val="none"/>
        </w:rPr>
        <w:sectPr>
          <w:headerReference r:id="rId3" w:type="default"/>
          <w:footerReference r:id="rId4" w:type="default"/>
          <w:pgSz w:w="11906" w:h="16838"/>
          <w:pgMar w:top="1440" w:right="1797" w:bottom="1440" w:left="1797" w:header="851" w:footer="992" w:gutter="0"/>
          <w:pgNumType w:fmt="decimal" w:start="1"/>
          <w:cols w:space="720" w:num="1"/>
          <w:docGrid w:type="lines" w:linePitch="312" w:charSpace="0"/>
        </w:sectPr>
      </w:pPr>
    </w:p>
    <w:p w14:paraId="3EA587FE">
      <w:pPr>
        <w:keepNext/>
        <w:keepLines/>
        <w:pageBreakBefore/>
        <w:spacing w:line="300" w:lineRule="auto"/>
        <w:jc w:val="center"/>
        <w:rPr>
          <w:rFonts w:hint="eastAsia" w:asciiTheme="minorEastAsia" w:hAnsiTheme="minorEastAsia" w:eastAsiaTheme="minorEastAsia" w:cstheme="minorEastAsia"/>
          <w:b/>
          <w:color w:val="000000"/>
          <w:sz w:val="28"/>
          <w:szCs w:val="28"/>
          <w:highlight w:val="none"/>
        </w:rPr>
      </w:pPr>
      <w:r>
        <w:rPr>
          <w:rFonts w:hint="eastAsia" w:asciiTheme="minorEastAsia" w:hAnsiTheme="minorEastAsia" w:eastAsiaTheme="minorEastAsia" w:cstheme="minorEastAsia"/>
          <w:b/>
          <w:color w:val="000000"/>
          <w:sz w:val="28"/>
          <w:szCs w:val="28"/>
          <w:highlight w:val="none"/>
        </w:rPr>
        <w:t>政府采购项目委托代理协议书</w:t>
      </w:r>
    </w:p>
    <w:p w14:paraId="16DA3B5E">
      <w:pPr>
        <w:keepLines/>
        <w:widowControl/>
        <w:adjustRightInd w:val="0"/>
        <w:snapToGrid w:val="0"/>
        <w:spacing w:line="360" w:lineRule="auto"/>
        <w:jc w:val="center"/>
        <w:rPr>
          <w:rFonts w:hint="eastAsia" w:asciiTheme="minorEastAsia" w:hAnsiTheme="minorEastAsia" w:eastAsiaTheme="minorEastAsia" w:cstheme="minorEastAsia"/>
          <w:color w:val="000000"/>
          <w:sz w:val="28"/>
          <w:szCs w:val="28"/>
          <w:highlight w:val="none"/>
        </w:rPr>
      </w:pPr>
    </w:p>
    <w:p w14:paraId="2D1143E8">
      <w:pPr>
        <w:keepNext w:val="0"/>
        <w:keepLines/>
        <w:pageBreakBefore w:val="0"/>
        <w:widowControl/>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lang w:eastAsia="zh-CN"/>
        </w:rPr>
      </w:pPr>
      <w:r>
        <w:rPr>
          <w:rFonts w:hint="eastAsia" w:asciiTheme="minorEastAsia" w:hAnsiTheme="minorEastAsia" w:eastAsiaTheme="minorEastAsia" w:cstheme="minorEastAsia"/>
          <w:color w:val="000000"/>
          <w:sz w:val="24"/>
          <w:highlight w:val="none"/>
        </w:rPr>
        <w:t>甲方：</w:t>
      </w:r>
      <w:r>
        <w:rPr>
          <w:rFonts w:hint="eastAsia" w:ascii="宋体" w:hAnsi="宋体" w:cs="宋体" w:eastAsiaTheme="minorEastAsia"/>
          <w:sz w:val="24"/>
          <w:lang w:eastAsia="zh-CN"/>
        </w:rPr>
        <w:t>广东省珠江西航道事务中心珠海航道所</w:t>
      </w:r>
    </w:p>
    <w:p w14:paraId="3CE8E55E">
      <w:pPr>
        <w:keepNext w:val="0"/>
        <w:keepLines/>
        <w:pageBreakBefore w:val="0"/>
        <w:widowControl/>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lang w:eastAsia="zh-CN"/>
        </w:rPr>
      </w:pPr>
      <w:r>
        <w:rPr>
          <w:rFonts w:hint="eastAsia" w:asciiTheme="minorEastAsia" w:hAnsiTheme="minorEastAsia" w:eastAsiaTheme="minorEastAsia" w:cstheme="minorEastAsia"/>
          <w:color w:val="000000"/>
          <w:sz w:val="24"/>
          <w:highlight w:val="none"/>
          <w:lang w:eastAsia="zh-CN"/>
        </w:rPr>
        <w:t>地址：珠海市香洲区南屏镇洪湾中心渔港河堤中段</w:t>
      </w:r>
    </w:p>
    <w:p w14:paraId="6D2F1239">
      <w:pPr>
        <w:pStyle w:val="2"/>
        <w:rPr>
          <w:rFonts w:hint="eastAsia"/>
        </w:rPr>
      </w:pPr>
    </w:p>
    <w:p w14:paraId="6C598A2F">
      <w:pPr>
        <w:keepNext w:val="0"/>
        <w:keepLines/>
        <w:pageBreakBefore w:val="0"/>
        <w:widowControl/>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lang w:eastAsia="zh-CN"/>
        </w:rPr>
      </w:pPr>
      <w:r>
        <w:rPr>
          <w:rFonts w:hint="eastAsia" w:asciiTheme="minorEastAsia" w:hAnsiTheme="minorEastAsia" w:eastAsiaTheme="minorEastAsia" w:cstheme="minorEastAsia"/>
          <w:color w:val="000000"/>
          <w:sz w:val="24"/>
          <w:highlight w:val="none"/>
        </w:rPr>
        <w:t>乙方：</w:t>
      </w:r>
      <w:r>
        <w:rPr>
          <w:rFonts w:hint="eastAsia" w:asciiTheme="minorEastAsia" w:hAnsiTheme="minorEastAsia" w:eastAsiaTheme="minorEastAsia" w:cstheme="minorEastAsia"/>
          <w:bCs/>
          <w:color w:val="000000"/>
          <w:sz w:val="24"/>
          <w:highlight w:val="none"/>
          <w:lang w:eastAsia="zh-CN"/>
        </w:rPr>
        <w:t>广东兴采项目管理有限公司</w:t>
      </w:r>
    </w:p>
    <w:p w14:paraId="699CF0F9">
      <w:pPr>
        <w:keepNext w:val="0"/>
        <w:pageBreakBefore w:val="0"/>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highlight w:val="none"/>
          <w:lang w:eastAsia="zh-CN"/>
        </w:rPr>
        <w:t>地址：</w:t>
      </w:r>
      <w:r>
        <w:rPr>
          <w:rFonts w:hint="eastAsia" w:asciiTheme="minorEastAsia" w:hAnsiTheme="minorEastAsia" w:eastAsiaTheme="minorEastAsia" w:cstheme="minorEastAsia"/>
          <w:color w:val="000000"/>
          <w:sz w:val="24"/>
          <w:lang w:eastAsia="zh-CN"/>
        </w:rPr>
        <w:t>珠海市香洲区柠溪路</w:t>
      </w:r>
      <w:r>
        <w:rPr>
          <w:rFonts w:hint="eastAsia" w:asciiTheme="minorEastAsia" w:hAnsiTheme="minorEastAsia" w:eastAsiaTheme="minorEastAsia" w:cstheme="minorEastAsia"/>
          <w:color w:val="000000"/>
          <w:sz w:val="24"/>
          <w:lang w:val="en-US" w:eastAsia="zh-CN"/>
        </w:rPr>
        <w:t>158号柠溪邮政大楼二楼D区</w:t>
      </w:r>
    </w:p>
    <w:p w14:paraId="5ECCAAEF">
      <w:pPr>
        <w:pStyle w:val="2"/>
        <w:keepNext w:val="0"/>
        <w:pageBreakBefore w:val="0"/>
        <w:kinsoku/>
        <w:wordWrap/>
        <w:overflowPunct/>
        <w:topLinePunct w:val="0"/>
        <w:autoSpaceDE/>
        <w:autoSpaceDN/>
        <w:bidi w:val="0"/>
        <w:spacing w:after="0" w:afterLines="0" w:line="400" w:lineRule="exact"/>
        <w:ind w:left="0" w:leftChars="0" w:firstLine="480" w:firstLineChars="200"/>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000000"/>
          <w:sz w:val="24"/>
        </w:rPr>
        <w:t>电话：0756-</w:t>
      </w:r>
      <w:r>
        <w:rPr>
          <w:rFonts w:hint="eastAsia" w:asciiTheme="minorEastAsia" w:hAnsiTheme="minorEastAsia" w:eastAsiaTheme="minorEastAsia" w:cstheme="minorEastAsia"/>
          <w:color w:val="000000"/>
          <w:sz w:val="24"/>
          <w:lang w:val="en-US" w:eastAsia="zh-CN"/>
        </w:rPr>
        <w:t>8509858</w:t>
      </w:r>
    </w:p>
    <w:p w14:paraId="2E5B6B19">
      <w:pPr>
        <w:keepNext w:val="0"/>
        <w:pageBreakBefore w:val="0"/>
        <w:kinsoku/>
        <w:wordWrap/>
        <w:overflowPunct/>
        <w:topLinePunct w:val="0"/>
        <w:autoSpaceDE/>
        <w:autoSpaceDN/>
        <w:bidi w:val="0"/>
        <w:adjustRightInd w:val="0"/>
        <w:snapToGrid w:val="0"/>
        <w:spacing w:line="400" w:lineRule="exact"/>
        <w:ind w:left="0" w:leftChars="0" w:firstLine="470" w:firstLineChars="196"/>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开户银行：中国农业银行股份有限公司珠海银桦支行</w:t>
      </w:r>
      <w:r>
        <w:rPr>
          <w:rFonts w:hint="eastAsia" w:asciiTheme="minorEastAsia" w:hAnsiTheme="minorEastAsia" w:eastAsiaTheme="minorEastAsia" w:cstheme="minorEastAsia"/>
          <w:color w:val="000000"/>
          <w:sz w:val="24"/>
        </w:rPr>
        <w:tab/>
      </w:r>
      <w:r>
        <w:rPr>
          <w:rFonts w:hint="eastAsia" w:asciiTheme="minorEastAsia" w:hAnsiTheme="minorEastAsia" w:eastAsiaTheme="minorEastAsia" w:cstheme="minorEastAsia"/>
          <w:color w:val="000000"/>
          <w:sz w:val="24"/>
        </w:rPr>
        <w:tab/>
      </w:r>
    </w:p>
    <w:p w14:paraId="3EAFDD05">
      <w:pPr>
        <w:keepNext w:val="0"/>
        <w:pageBreakBefore w:val="0"/>
        <w:kinsoku/>
        <w:wordWrap/>
        <w:overflowPunct/>
        <w:topLinePunct w:val="0"/>
        <w:autoSpaceDE/>
        <w:autoSpaceDN/>
        <w:bidi w:val="0"/>
        <w:adjustRightInd w:val="0"/>
        <w:snapToGrid w:val="0"/>
        <w:spacing w:line="400" w:lineRule="exact"/>
        <w:ind w:left="0" w:leftChars="0" w:firstLine="470" w:firstLineChars="196"/>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rPr>
        <w:t>账号：44354201040017770</w:t>
      </w:r>
    </w:p>
    <w:p w14:paraId="5C0EC58D">
      <w:pPr>
        <w:keepNext w:val="0"/>
        <w:pageBreakBefore w:val="0"/>
        <w:kinsoku/>
        <w:wordWrap/>
        <w:overflowPunct/>
        <w:topLinePunct w:val="0"/>
        <w:autoSpaceDE/>
        <w:autoSpaceDN/>
        <w:bidi w:val="0"/>
        <w:adjustRightInd w:val="0"/>
        <w:snapToGrid w:val="0"/>
        <w:spacing w:line="400" w:lineRule="exact"/>
        <w:ind w:left="0" w:leftChars="0" w:firstLine="470" w:firstLineChars="196"/>
        <w:textAlignment w:val="auto"/>
        <w:rPr>
          <w:rFonts w:hint="eastAsia" w:asciiTheme="minorEastAsia" w:hAnsiTheme="minorEastAsia" w:eastAsiaTheme="minorEastAsia" w:cstheme="minorEastAsia"/>
          <w:color w:val="000000"/>
          <w:sz w:val="24"/>
          <w:highlight w:val="none"/>
        </w:rPr>
      </w:pPr>
    </w:p>
    <w:p w14:paraId="0061CED9">
      <w:pPr>
        <w:keepNext w:val="0"/>
        <w:pageBreakBefore w:val="0"/>
        <w:kinsoku/>
        <w:wordWrap/>
        <w:overflowPunct/>
        <w:topLinePunct w:val="0"/>
        <w:autoSpaceDE/>
        <w:autoSpaceDN/>
        <w:bidi w:val="0"/>
        <w:adjustRightInd w:val="0"/>
        <w:snapToGrid w:val="0"/>
        <w:spacing w:line="400" w:lineRule="exact"/>
        <w:ind w:left="0" w:leftChars="0" w:firstLine="470" w:firstLineChars="196"/>
        <w:textAlignment w:val="auto"/>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color w:val="000000"/>
          <w:sz w:val="24"/>
          <w:highlight w:val="none"/>
        </w:rPr>
        <w:t>根据《中华人民共和国政府采购法》和广东省实施中华人民共和国政府采购法办法，甲方自愿将本单位：</w:t>
      </w:r>
      <w:bookmarkStart w:id="0" w:name="_GoBack"/>
      <w:r>
        <w:rPr>
          <w:rFonts w:hint="eastAsia" w:asciiTheme="minorEastAsia" w:hAnsiTheme="minorEastAsia" w:eastAsiaTheme="minorEastAsia" w:cstheme="minorEastAsia"/>
          <w:color w:val="000000"/>
          <w:sz w:val="24"/>
          <w:highlight w:val="none"/>
          <w:u w:val="single"/>
          <w:lang w:eastAsia="zh-CN"/>
        </w:rPr>
        <w:t>2026年航道疏浚</w:t>
      </w:r>
      <w:bookmarkEnd w:id="0"/>
      <w:r>
        <w:rPr>
          <w:rFonts w:hint="eastAsia" w:asciiTheme="minorEastAsia" w:hAnsiTheme="minorEastAsia" w:eastAsiaTheme="minorEastAsia" w:cstheme="minorEastAsia"/>
          <w:color w:val="000000"/>
          <w:sz w:val="24"/>
          <w:highlight w:val="none"/>
          <w:u w:val="single"/>
        </w:rPr>
        <w:t>（</w:t>
      </w:r>
      <w:r>
        <w:rPr>
          <w:rFonts w:hint="eastAsia" w:asciiTheme="minorEastAsia" w:hAnsiTheme="minorEastAsia" w:eastAsiaTheme="minorEastAsia" w:cstheme="minorEastAsia"/>
          <w:color w:val="000000"/>
          <w:sz w:val="24"/>
          <w:highlight w:val="none"/>
          <w:u w:val="single"/>
          <w:lang w:val="en-US" w:eastAsia="zh-CN"/>
        </w:rPr>
        <w:t>采购</w:t>
      </w:r>
      <w:r>
        <w:rPr>
          <w:rFonts w:hint="eastAsia" w:asciiTheme="minorEastAsia" w:hAnsiTheme="minorEastAsia" w:eastAsiaTheme="minorEastAsia" w:cstheme="minorEastAsia"/>
          <w:color w:val="000000"/>
          <w:sz w:val="24"/>
          <w:highlight w:val="none"/>
          <w:u w:val="single"/>
        </w:rPr>
        <w:t>项目编号：</w:t>
      </w:r>
      <w:r>
        <w:rPr>
          <w:rFonts w:hint="eastAsia" w:asciiTheme="minorEastAsia" w:hAnsiTheme="minorEastAsia" w:eastAsiaTheme="minorEastAsia" w:cstheme="minorEastAsia"/>
          <w:color w:val="000000"/>
          <w:sz w:val="24"/>
          <w:highlight w:val="none"/>
          <w:u w:val="single"/>
          <w:lang w:eastAsia="zh-CN"/>
        </w:rPr>
        <w:t>GDXC2026FW034</w:t>
      </w:r>
      <w:r>
        <w:rPr>
          <w:rFonts w:hint="eastAsia" w:asciiTheme="minorEastAsia" w:hAnsiTheme="minorEastAsia" w:eastAsiaTheme="minorEastAsia" w:cstheme="minorEastAsia"/>
          <w:color w:val="000000"/>
          <w:sz w:val="24"/>
          <w:highlight w:val="none"/>
          <w:u w:val="single"/>
        </w:rPr>
        <w:t>）</w:t>
      </w:r>
      <w:r>
        <w:rPr>
          <w:rFonts w:hint="eastAsia" w:asciiTheme="minorEastAsia" w:hAnsiTheme="minorEastAsia" w:eastAsiaTheme="minorEastAsia" w:cstheme="minorEastAsia"/>
          <w:sz w:val="24"/>
          <w:highlight w:val="none"/>
        </w:rPr>
        <w:t>政府采购项目委托给乙方组织实施采购。乙</w:t>
      </w:r>
      <w:r>
        <w:rPr>
          <w:rFonts w:hint="eastAsia" w:asciiTheme="minorEastAsia" w:hAnsiTheme="minorEastAsia" w:eastAsiaTheme="minorEastAsia" w:cstheme="minorEastAsia"/>
          <w:color w:val="000000"/>
          <w:sz w:val="24"/>
          <w:highlight w:val="none"/>
        </w:rPr>
        <w:t xml:space="preserve">方愿意接受甲方委托，按照政府采购的有关规定，在甲方委托范围内依法组织政府采购工作。经甲乙双方协商一致，现就有关事项达成如下协议。 </w:t>
      </w:r>
    </w:p>
    <w:p w14:paraId="1FABDDE1">
      <w:pPr>
        <w:keepNext w:val="0"/>
        <w:pageBreakBefore w:val="0"/>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color w:val="000000"/>
          <w:sz w:val="24"/>
          <w:highlight w:val="none"/>
        </w:rPr>
      </w:pPr>
    </w:p>
    <w:p w14:paraId="28909D50">
      <w:pPr>
        <w:keepNext w:val="0"/>
        <w:pageBreakBefore w:val="0"/>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第一条 委托项目基本情况 </w:t>
      </w:r>
    </w:p>
    <w:p w14:paraId="22F8EBB9">
      <w:pPr>
        <w:keepNext w:val="0"/>
        <w:keepLines w:val="0"/>
        <w:pageBreakBefore w:val="0"/>
        <w:widowControl w:val="0"/>
        <w:kinsoku/>
        <w:wordWrap/>
        <w:overflowPunct/>
        <w:topLinePunct w:val="0"/>
        <w:autoSpaceDE/>
        <w:autoSpaceDN/>
        <w:bidi w:val="0"/>
        <w:adjustRightInd w:val="0"/>
        <w:snapToGrid w:val="0"/>
        <w:spacing w:line="400" w:lineRule="exact"/>
        <w:ind w:left="1799" w:leftChars="228" w:hanging="1320" w:hangingChars="550"/>
        <w:textAlignment w:val="auto"/>
        <w:rPr>
          <w:rFonts w:hint="eastAsia" w:asciiTheme="minorEastAsia" w:hAnsiTheme="minorEastAsia" w:eastAsiaTheme="minorEastAsia" w:cstheme="minorEastAsia"/>
          <w:color w:val="000000"/>
          <w:kern w:val="0"/>
          <w:sz w:val="24"/>
          <w:highlight w:val="none"/>
        </w:rPr>
      </w:pPr>
      <w:r>
        <w:rPr>
          <w:rFonts w:hint="eastAsia" w:asciiTheme="minorEastAsia" w:hAnsiTheme="minorEastAsia" w:eastAsiaTheme="minorEastAsia" w:cstheme="minorEastAsia"/>
          <w:color w:val="000000"/>
          <w:sz w:val="24"/>
          <w:highlight w:val="none"/>
        </w:rPr>
        <w:t>1.项目名称：</w:t>
      </w:r>
      <w:r>
        <w:rPr>
          <w:rFonts w:hint="eastAsia" w:asciiTheme="minorEastAsia" w:hAnsiTheme="minorEastAsia" w:eastAsiaTheme="minorEastAsia" w:cstheme="minorEastAsia"/>
          <w:color w:val="000000"/>
          <w:sz w:val="24"/>
          <w:highlight w:val="none"/>
          <w:lang w:eastAsia="zh-CN"/>
        </w:rPr>
        <w:t>2026年航道疏浚</w:t>
      </w:r>
      <w:r>
        <w:rPr>
          <w:rFonts w:hint="eastAsia" w:asciiTheme="minorEastAsia" w:hAnsiTheme="minorEastAsia" w:eastAsiaTheme="minorEastAsia" w:cstheme="minorEastAsia"/>
          <w:color w:val="000000"/>
          <w:sz w:val="24"/>
          <w:highlight w:val="none"/>
        </w:rPr>
        <w:t xml:space="preserve">       </w:t>
      </w:r>
    </w:p>
    <w:p w14:paraId="78E048F6">
      <w:pPr>
        <w:keepNext w:val="0"/>
        <w:keepLines w:val="0"/>
        <w:pageBreakBefore w:val="0"/>
        <w:widowControl w:val="0"/>
        <w:kinsoku/>
        <w:wordWrap/>
        <w:overflowPunct/>
        <w:topLinePunct w:val="0"/>
        <w:autoSpaceDE/>
        <w:autoSpaceDN/>
        <w:bidi w:val="0"/>
        <w:spacing w:line="400" w:lineRule="exact"/>
        <w:ind w:left="1919" w:leftChars="228" w:hanging="1440" w:hangingChars="600"/>
        <w:textAlignment w:val="auto"/>
        <w:rPr>
          <w:rFonts w:hint="eastAsia" w:asciiTheme="minorEastAsia" w:hAnsiTheme="minorEastAsia" w:eastAsiaTheme="minorEastAsia" w:cstheme="minorEastAsia"/>
          <w:color w:val="000000"/>
          <w:kern w:val="28"/>
          <w:sz w:val="24"/>
          <w:highlight w:val="none"/>
          <w:lang w:eastAsia="zh-CN"/>
        </w:rPr>
      </w:pPr>
      <w:r>
        <w:rPr>
          <w:rFonts w:hint="eastAsia" w:asciiTheme="minorEastAsia" w:hAnsiTheme="minorEastAsia" w:eastAsiaTheme="minorEastAsia" w:cstheme="minorEastAsia"/>
          <w:color w:val="000000"/>
          <w:sz w:val="24"/>
          <w:highlight w:val="none"/>
        </w:rPr>
        <w:t>2.项目内容：</w:t>
      </w:r>
      <w:r>
        <w:rPr>
          <w:rFonts w:hint="eastAsia" w:asciiTheme="minorEastAsia" w:hAnsiTheme="minorEastAsia" w:eastAsiaTheme="minorEastAsia" w:cstheme="minorEastAsia"/>
          <w:color w:val="000000"/>
          <w:sz w:val="24"/>
          <w:highlight w:val="none"/>
          <w:lang w:eastAsia="zh-CN"/>
        </w:rPr>
        <w:t>2026年航道疏浚</w:t>
      </w:r>
      <w:r>
        <w:rPr>
          <w:rFonts w:hint="eastAsia" w:asciiTheme="minorEastAsia" w:hAnsiTheme="minorEastAsia" w:eastAsiaTheme="minorEastAsia" w:cstheme="minorEastAsia"/>
          <w:color w:val="000000"/>
          <w:sz w:val="24"/>
          <w:highlight w:val="none"/>
        </w:rPr>
        <w:t>，具体内容详见采购需求书。</w:t>
      </w:r>
    </w:p>
    <w:p w14:paraId="21C63213">
      <w:pPr>
        <w:keepNext w:val="0"/>
        <w:keepLines w:val="0"/>
        <w:pageBreakBefore w:val="0"/>
        <w:widowControl w:val="0"/>
        <w:kinsoku/>
        <w:wordWrap/>
        <w:overflowPunct/>
        <w:topLinePunct w:val="0"/>
        <w:autoSpaceDE/>
        <w:autoSpaceDN/>
        <w:bidi w:val="0"/>
        <w:spacing w:line="400" w:lineRule="exact"/>
        <w:ind w:left="1439" w:leftChars="228" w:hanging="960" w:hangingChars="4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3.</w:t>
      </w:r>
      <w:r>
        <w:rPr>
          <w:rFonts w:hint="eastAsia" w:asciiTheme="minorEastAsia" w:hAnsiTheme="minorEastAsia" w:eastAsiaTheme="minorEastAsia" w:cstheme="minorEastAsia"/>
          <w:color w:val="000000"/>
          <w:sz w:val="24"/>
          <w:highlight w:val="none"/>
        </w:rPr>
        <w:t>预算金额：</w:t>
      </w:r>
      <w:r>
        <w:rPr>
          <w:rFonts w:hint="eastAsia" w:ascii="宋体" w:hAnsi="宋体" w:eastAsia="宋体"/>
          <w:b w:val="0"/>
          <w:bCs/>
          <w:color w:val="auto"/>
          <w:sz w:val="24"/>
          <w:szCs w:val="28"/>
          <w:lang w:eastAsia="zh-CN"/>
        </w:rPr>
        <w:t>人民币</w:t>
      </w:r>
      <w:r>
        <w:rPr>
          <w:rFonts w:hint="eastAsia" w:ascii="宋体" w:hAnsi="宋体"/>
          <w:b w:val="0"/>
          <w:bCs/>
          <w:color w:val="auto"/>
          <w:sz w:val="24"/>
          <w:szCs w:val="28"/>
          <w:lang w:val="en-US" w:eastAsia="zh-CN"/>
        </w:rPr>
        <w:t>壹仟零柒拾壹万壹仟</w:t>
      </w:r>
      <w:r>
        <w:rPr>
          <w:rFonts w:hint="eastAsia" w:ascii="宋体" w:hAnsi="宋体" w:eastAsia="宋体"/>
          <w:b w:val="0"/>
          <w:bCs/>
          <w:color w:val="auto"/>
          <w:sz w:val="24"/>
          <w:szCs w:val="28"/>
          <w:lang w:eastAsia="zh-CN"/>
        </w:rPr>
        <w:t>元整（¥10,711,000.00元）</w:t>
      </w:r>
    </w:p>
    <w:p w14:paraId="6C8FAAFD">
      <w:pPr>
        <w:keepNext w:val="0"/>
        <w:keepLines w:val="0"/>
        <w:pageBreakBefore w:val="0"/>
        <w:widowControl w:val="0"/>
        <w:kinsoku/>
        <w:wordWrap/>
        <w:overflowPunct/>
        <w:topLinePunct w:val="0"/>
        <w:autoSpaceDE/>
        <w:autoSpaceDN/>
        <w:bidi w:val="0"/>
        <w:spacing w:line="400" w:lineRule="exact"/>
        <w:ind w:left="1439" w:leftChars="228" w:hanging="960" w:hangingChars="400"/>
        <w:textAlignment w:val="auto"/>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4.采购方式：公开招标。</w:t>
      </w:r>
    </w:p>
    <w:p w14:paraId="5AE59864">
      <w:pPr>
        <w:keepNext w:val="0"/>
        <w:keepLines w:val="0"/>
        <w:pageBreakBefore w:val="0"/>
        <w:widowControl w:val="0"/>
        <w:kinsoku/>
        <w:wordWrap/>
        <w:overflowPunct/>
        <w:topLinePunct w:val="0"/>
        <w:autoSpaceDE/>
        <w:autoSpaceDN/>
        <w:bidi w:val="0"/>
        <w:spacing w:line="400" w:lineRule="exact"/>
        <w:ind w:left="0" w:leftChars="0" w:firstLine="484" w:firstLineChars="202"/>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5.评标办法：综合评分法。</w:t>
      </w:r>
      <w:r>
        <w:rPr>
          <w:rFonts w:hint="eastAsia" w:asciiTheme="minorEastAsia" w:hAnsiTheme="minorEastAsia" w:eastAsiaTheme="minorEastAsia" w:cstheme="minorEastAsia"/>
          <w:color w:val="000000"/>
          <w:kern w:val="28"/>
          <w:sz w:val="24"/>
          <w:highlight w:val="none"/>
        </w:rPr>
        <w:t xml:space="preserve">   </w:t>
      </w:r>
      <w:r>
        <w:rPr>
          <w:rFonts w:hint="eastAsia" w:asciiTheme="minorEastAsia" w:hAnsiTheme="minorEastAsia" w:eastAsiaTheme="minorEastAsia" w:cstheme="minorEastAsia"/>
          <w:color w:val="000000"/>
          <w:sz w:val="24"/>
          <w:highlight w:val="none"/>
        </w:rPr>
        <w:t xml:space="preserve">  </w:t>
      </w:r>
    </w:p>
    <w:p w14:paraId="395C50B4">
      <w:pPr>
        <w:keepNext w:val="0"/>
        <w:keepLines w:val="0"/>
        <w:pageBreakBefore w:val="0"/>
        <w:widowControl w:val="0"/>
        <w:kinsoku/>
        <w:wordWrap/>
        <w:overflowPunct/>
        <w:topLinePunct w:val="0"/>
        <w:autoSpaceDE/>
        <w:autoSpaceDN/>
        <w:bidi w:val="0"/>
        <w:spacing w:line="400" w:lineRule="exact"/>
        <w:ind w:left="0" w:leftChars="0" w:firstLine="484" w:firstLineChars="202"/>
        <w:textAlignment w:val="auto"/>
        <w:rPr>
          <w:rFonts w:hint="eastAsia" w:asciiTheme="minorEastAsia" w:hAnsiTheme="minorEastAsia" w:eastAsiaTheme="minorEastAsia" w:cstheme="minorEastAsia"/>
          <w:color w:val="000000"/>
          <w:kern w:val="28"/>
          <w:sz w:val="24"/>
          <w:highlight w:val="none"/>
        </w:rPr>
      </w:pPr>
      <w:r>
        <w:rPr>
          <w:rFonts w:hint="eastAsia" w:asciiTheme="minorEastAsia" w:hAnsiTheme="minorEastAsia" w:eastAsiaTheme="minorEastAsia" w:cstheme="minorEastAsia"/>
          <w:color w:val="000000"/>
          <w:sz w:val="24"/>
          <w:highlight w:val="none"/>
          <w:lang w:val="en-US" w:eastAsia="zh-CN"/>
        </w:rPr>
        <w:t>6.项目负责人：钟幸文。</w:t>
      </w:r>
      <w:r>
        <w:rPr>
          <w:rFonts w:hint="eastAsia" w:asciiTheme="minorEastAsia" w:hAnsiTheme="minorEastAsia" w:eastAsiaTheme="minorEastAsia" w:cstheme="minorEastAsia"/>
          <w:color w:val="000000"/>
          <w:kern w:val="28"/>
          <w:sz w:val="24"/>
          <w:highlight w:val="none"/>
        </w:rPr>
        <w:t xml:space="preserve">   </w:t>
      </w:r>
      <w:r>
        <w:rPr>
          <w:rFonts w:hint="eastAsia" w:asciiTheme="minorEastAsia" w:hAnsiTheme="minorEastAsia" w:eastAsiaTheme="minorEastAsia" w:cstheme="minorEastAsia"/>
          <w:color w:val="000000"/>
          <w:sz w:val="24"/>
          <w:highlight w:val="none"/>
        </w:rPr>
        <w:t xml:space="preserve">                 </w:t>
      </w:r>
      <w:r>
        <w:rPr>
          <w:rFonts w:hint="eastAsia" w:asciiTheme="minorEastAsia" w:hAnsiTheme="minorEastAsia" w:eastAsiaTheme="minorEastAsia" w:cstheme="minorEastAsia"/>
          <w:i/>
          <w:iCs/>
          <w:color w:val="000000"/>
          <w:sz w:val="24"/>
          <w:highlight w:val="none"/>
        </w:rPr>
        <w:t xml:space="preserve"> </w:t>
      </w:r>
      <w:r>
        <w:rPr>
          <w:rFonts w:hint="eastAsia" w:asciiTheme="minorEastAsia" w:hAnsiTheme="minorEastAsia" w:eastAsiaTheme="minorEastAsia" w:cstheme="minorEastAsia"/>
          <w:color w:val="000000"/>
          <w:sz w:val="24"/>
          <w:highlight w:val="none"/>
        </w:rPr>
        <w:t xml:space="preserve">                   </w:t>
      </w:r>
    </w:p>
    <w:p w14:paraId="331889EF">
      <w:pPr>
        <w:keepNext w:val="0"/>
        <w:pageBreakBefore w:val="0"/>
        <w:kinsoku/>
        <w:wordWrap/>
        <w:overflowPunct/>
        <w:topLinePunct w:val="0"/>
        <w:autoSpaceDE/>
        <w:autoSpaceDN/>
        <w:bidi w:val="0"/>
        <w:spacing w:line="400" w:lineRule="exact"/>
        <w:ind w:left="0" w:leftChars="0"/>
        <w:textAlignment w:val="auto"/>
        <w:rPr>
          <w:rFonts w:hint="eastAsia" w:asciiTheme="minorEastAsia" w:hAnsiTheme="minorEastAsia" w:eastAsiaTheme="minorEastAsia" w:cstheme="minorEastAsia"/>
          <w:b/>
          <w:color w:val="000000"/>
          <w:sz w:val="24"/>
          <w:highlight w:val="none"/>
        </w:rPr>
      </w:pPr>
    </w:p>
    <w:p w14:paraId="570A881D">
      <w:pPr>
        <w:keepNext w:val="0"/>
        <w:pageBreakBefore w:val="0"/>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第二条 甲方委托乙方的具体事项</w:t>
      </w:r>
    </w:p>
    <w:p w14:paraId="701EC6CE">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1.编制、发售、解释采购文件； </w:t>
      </w:r>
    </w:p>
    <w:p w14:paraId="75427271">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2.在政府采购监督管理部门指定媒体上发布采购信息公告； </w:t>
      </w:r>
    </w:p>
    <w:p w14:paraId="3FCE2721">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3.供应商资格预审（邀请招标等方式时采用）； </w:t>
      </w:r>
    </w:p>
    <w:p w14:paraId="7EEDF1A1">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4.制定评审方法、步骤、标准； </w:t>
      </w:r>
    </w:p>
    <w:p w14:paraId="296AA93C">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5.依法抽取专家组建评审委员会（</w:t>
      </w:r>
      <w:r>
        <w:rPr>
          <w:rFonts w:hint="eastAsia" w:asciiTheme="minorEastAsia" w:hAnsiTheme="minorEastAsia" w:eastAsiaTheme="minorEastAsia" w:cstheme="minorEastAsia"/>
          <w:color w:val="000000"/>
          <w:sz w:val="24"/>
          <w:highlight w:val="none"/>
          <w:lang w:eastAsia="zh-CN"/>
        </w:rPr>
        <w:t>磋商、</w:t>
      </w:r>
      <w:r>
        <w:rPr>
          <w:rFonts w:hint="eastAsia" w:asciiTheme="minorEastAsia" w:hAnsiTheme="minorEastAsia" w:eastAsiaTheme="minorEastAsia" w:cstheme="minorEastAsia"/>
          <w:color w:val="000000"/>
          <w:sz w:val="24"/>
          <w:highlight w:val="none"/>
        </w:rPr>
        <w:t xml:space="preserve">谈判、询价小组）； </w:t>
      </w:r>
    </w:p>
    <w:p w14:paraId="1BE14134">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6.邀请纪检有关部门现场监督； </w:t>
      </w:r>
    </w:p>
    <w:p w14:paraId="559E329F">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7.落实评审地点，主持评审活动，并做好评审记录； </w:t>
      </w:r>
    </w:p>
    <w:p w14:paraId="6D29A0A4">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8.组织评审工作； </w:t>
      </w:r>
    </w:p>
    <w:p w14:paraId="0654461F">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9.整理评审报告送采购人及有关部门； </w:t>
      </w:r>
    </w:p>
    <w:p w14:paraId="4B43B5D5">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10.在政府采购监督管理部门指定媒体上发布中标、成交公告，发送中标（成交）通知书； </w:t>
      </w:r>
    </w:p>
    <w:p w14:paraId="120854EA">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11.答复供应商的询问和质疑； </w:t>
      </w:r>
    </w:p>
    <w:p w14:paraId="2731F09C">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12.采购活动有关文件报送备案及存档； </w:t>
      </w:r>
    </w:p>
    <w:p w14:paraId="20B112B3">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13.组织履约联合验收事项； </w:t>
      </w:r>
    </w:p>
    <w:p w14:paraId="1B10D76F">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14.法律法规规定的其他事项。</w:t>
      </w:r>
    </w:p>
    <w:p w14:paraId="33564563">
      <w:pPr>
        <w:keepNext w:val="0"/>
        <w:pageBreakBefore w:val="0"/>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color w:val="000000"/>
          <w:sz w:val="24"/>
          <w:highlight w:val="none"/>
        </w:rPr>
      </w:pPr>
    </w:p>
    <w:p w14:paraId="56A3D601">
      <w:pPr>
        <w:keepNext w:val="0"/>
        <w:pageBreakBefore w:val="0"/>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第三条 甲方的权利和义务 </w:t>
      </w:r>
    </w:p>
    <w:p w14:paraId="0B7692CA">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1.甲方应指定一名采购人代表，代表甲方与乙方处理政府采购过程中的有关事宜。</w:t>
      </w:r>
    </w:p>
    <w:p w14:paraId="41CBB797">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2.甲方应向乙方提供委托项目的用户需求书，包括详细的技术规格、参数及要求和服务内容等书面材料。 </w:t>
      </w:r>
    </w:p>
    <w:p w14:paraId="7CCB8B0B">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3.甲方应对乙方编制的采购文件予以审核并签字确认。 </w:t>
      </w:r>
    </w:p>
    <w:p w14:paraId="12B3B298">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4.甲方有权就委托的项目提出合法、合理的要求，但不得指定供应商或指定品牌，不得提出含有倾向性、限制性或者排斥潜在供应商的要求。 </w:t>
      </w:r>
    </w:p>
    <w:p w14:paraId="043580E2">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5.甲方依据有关规定可派一名采购人代表参加评审委员会，但不得非法干预、影响评审方法的确定、评审过程和结果。 </w:t>
      </w:r>
    </w:p>
    <w:p w14:paraId="3E2AC8B3">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6.甲方有权按照评审报告中推荐的中标（成交）候选供应商顺序确定中标（成交）供应商。 </w:t>
      </w:r>
    </w:p>
    <w:p w14:paraId="46128EF2">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7.甲方有权对乙方组织的采购活动进行监督。 </w:t>
      </w:r>
    </w:p>
    <w:p w14:paraId="104B1E35">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8.甲方有义务保守采购活动中的商业秘密。 </w:t>
      </w:r>
    </w:p>
    <w:p w14:paraId="28293D01">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9.甲方应严格遵守相关法律法规和各项政府采购制度。</w:t>
      </w:r>
    </w:p>
    <w:p w14:paraId="1C8239E3">
      <w:pPr>
        <w:keepNext w:val="0"/>
        <w:pageBreakBefore w:val="0"/>
        <w:kinsoku/>
        <w:wordWrap/>
        <w:overflowPunct/>
        <w:topLinePunct w:val="0"/>
        <w:autoSpaceDE/>
        <w:autoSpaceDN/>
        <w:bidi w:val="0"/>
        <w:spacing w:line="400" w:lineRule="exact"/>
        <w:ind w:left="0" w:leftChars="0"/>
        <w:textAlignment w:val="auto"/>
        <w:rPr>
          <w:rFonts w:hint="eastAsia" w:asciiTheme="minorEastAsia" w:hAnsiTheme="minorEastAsia" w:eastAsiaTheme="minorEastAsia" w:cstheme="minorEastAsia"/>
          <w:b/>
          <w:color w:val="000000"/>
          <w:sz w:val="24"/>
          <w:highlight w:val="none"/>
        </w:rPr>
      </w:pPr>
    </w:p>
    <w:p w14:paraId="6CA4C0E8">
      <w:pPr>
        <w:keepNext w:val="0"/>
        <w:pageBreakBefore w:val="0"/>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第四条 乙方的权利和义务 </w:t>
      </w:r>
    </w:p>
    <w:p w14:paraId="78D6F88A">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1.乙方应接受甲方监督，维护甲方和供应商的合法权益。 </w:t>
      </w:r>
    </w:p>
    <w:p w14:paraId="4B68832D">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2.乙方应依据甲方要求为甲方提出科学的采购方案。 </w:t>
      </w:r>
    </w:p>
    <w:p w14:paraId="3E372E15">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3.乙方应根据甲方要求编制采购文件，并报甲方确认。 </w:t>
      </w:r>
    </w:p>
    <w:p w14:paraId="4CC47C93">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4.乙方应满足甲方的合法、合理要求，但对违法违规以及无理的要求应予拒绝。 </w:t>
      </w:r>
    </w:p>
    <w:p w14:paraId="269101B1">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5.乙方可以依据需要或根据规定，就采购文件征询有关专家或者供应商意见。 </w:t>
      </w:r>
    </w:p>
    <w:p w14:paraId="5739BA01">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6.乙方应当严格审查供应商资格条件，包括但不限于征信问题、利害关系等</w:t>
      </w:r>
    </w:p>
    <w:p w14:paraId="47A20D4F">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7</w:t>
      </w:r>
      <w:r>
        <w:rPr>
          <w:rFonts w:hint="eastAsia" w:asciiTheme="minorEastAsia" w:hAnsiTheme="minorEastAsia" w:eastAsiaTheme="minorEastAsia" w:cstheme="minorEastAsia"/>
          <w:color w:val="000000"/>
          <w:sz w:val="24"/>
          <w:highlight w:val="none"/>
        </w:rPr>
        <w:t>.乙方应当依法抽取负责任的专家组建评审委员会。</w:t>
      </w:r>
    </w:p>
    <w:p w14:paraId="632B2BCD">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8</w:t>
      </w:r>
      <w:r>
        <w:rPr>
          <w:rFonts w:hint="eastAsia" w:asciiTheme="minorEastAsia" w:hAnsiTheme="minorEastAsia" w:eastAsiaTheme="minorEastAsia" w:cstheme="minorEastAsia"/>
          <w:color w:val="000000"/>
          <w:sz w:val="24"/>
          <w:highlight w:val="none"/>
        </w:rPr>
        <w:t xml:space="preserve">.乙方应依法及时答复甲方委托范围内的供应商的询问和质疑。 </w:t>
      </w:r>
    </w:p>
    <w:p w14:paraId="281CCAC6">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9</w:t>
      </w:r>
      <w:r>
        <w:rPr>
          <w:rFonts w:hint="eastAsia" w:asciiTheme="minorEastAsia" w:hAnsiTheme="minorEastAsia" w:eastAsiaTheme="minorEastAsia" w:cstheme="minorEastAsia"/>
          <w:color w:val="000000"/>
          <w:sz w:val="24"/>
          <w:highlight w:val="none"/>
        </w:rPr>
        <w:t xml:space="preserve">.乙方应当保守采购活动中的商业秘密。 </w:t>
      </w:r>
    </w:p>
    <w:p w14:paraId="5A282345">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10</w:t>
      </w:r>
      <w:r>
        <w:rPr>
          <w:rFonts w:hint="eastAsia" w:asciiTheme="minorEastAsia" w:hAnsiTheme="minorEastAsia" w:eastAsiaTheme="minorEastAsia" w:cstheme="minorEastAsia"/>
          <w:color w:val="000000"/>
          <w:sz w:val="24"/>
          <w:highlight w:val="none"/>
        </w:rPr>
        <w:t xml:space="preserve">.乙方可依法收取采购代理服务费用。 </w:t>
      </w:r>
    </w:p>
    <w:p w14:paraId="5B2D07C7">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1</w:t>
      </w:r>
      <w:r>
        <w:rPr>
          <w:rFonts w:hint="eastAsia" w:asciiTheme="minorEastAsia" w:hAnsiTheme="minorEastAsia" w:eastAsiaTheme="minorEastAsia" w:cstheme="minorEastAsia"/>
          <w:color w:val="000000"/>
          <w:sz w:val="24"/>
          <w:highlight w:val="none"/>
          <w:lang w:val="en-US" w:eastAsia="zh-CN"/>
        </w:rPr>
        <w:t>1</w:t>
      </w:r>
      <w:r>
        <w:rPr>
          <w:rFonts w:hint="eastAsia" w:asciiTheme="minorEastAsia" w:hAnsiTheme="minorEastAsia" w:eastAsiaTheme="minorEastAsia" w:cstheme="minorEastAsia"/>
          <w:color w:val="000000"/>
          <w:sz w:val="24"/>
          <w:highlight w:val="none"/>
        </w:rPr>
        <w:t>.乙方应严格遵守相关法律法规和各项政府采购制度。</w:t>
      </w:r>
    </w:p>
    <w:p w14:paraId="01CABFCC">
      <w:pPr>
        <w:keepNext w:val="0"/>
        <w:pageBreakBefore w:val="0"/>
        <w:kinsoku/>
        <w:wordWrap/>
        <w:overflowPunct/>
        <w:topLinePunct w:val="0"/>
        <w:autoSpaceDE/>
        <w:autoSpaceDN/>
        <w:bidi w:val="0"/>
        <w:spacing w:line="400" w:lineRule="exact"/>
        <w:ind w:left="0" w:leftChars="0"/>
        <w:textAlignment w:val="auto"/>
        <w:rPr>
          <w:rFonts w:hint="eastAsia" w:asciiTheme="minorEastAsia" w:hAnsiTheme="minorEastAsia" w:eastAsiaTheme="minorEastAsia" w:cstheme="minorEastAsia"/>
          <w:b/>
          <w:color w:val="000000"/>
          <w:sz w:val="24"/>
          <w:highlight w:val="none"/>
        </w:rPr>
      </w:pPr>
    </w:p>
    <w:p w14:paraId="645AAB46">
      <w:pPr>
        <w:keepNext w:val="0"/>
        <w:pageBreakBefore w:val="0"/>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第五条 委托协议的变更和终止 </w:t>
      </w:r>
    </w:p>
    <w:p w14:paraId="356EDCC9">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甲乙双方在协商一致的情况下，可以在采购法和</w:t>
      </w:r>
      <w:r>
        <w:rPr>
          <w:rFonts w:hint="eastAsia" w:asciiTheme="minorEastAsia" w:hAnsiTheme="minorEastAsia" w:eastAsiaTheme="minorEastAsia" w:cstheme="minorEastAsia"/>
          <w:color w:val="000000"/>
          <w:sz w:val="24"/>
          <w:highlight w:val="none"/>
          <w:lang w:eastAsia="zh-CN"/>
        </w:rPr>
        <w:t>民法典</w:t>
      </w:r>
      <w:r>
        <w:rPr>
          <w:rFonts w:hint="eastAsia" w:asciiTheme="minorEastAsia" w:hAnsiTheme="minorEastAsia" w:eastAsiaTheme="minorEastAsia" w:cstheme="minorEastAsia"/>
          <w:color w:val="000000"/>
          <w:sz w:val="24"/>
          <w:highlight w:val="none"/>
        </w:rPr>
        <w:t>许可范围内对委托协议内容做出变更，如作出变更的应当签订补充协议；如发生了不可抗力或重大变故等原因，致使采购项目发生更改或取消的，应签订补充协议或终止本协议。</w:t>
      </w:r>
    </w:p>
    <w:p w14:paraId="40128ED8">
      <w:pPr>
        <w:keepNext w:val="0"/>
        <w:pageBreakBefore w:val="0"/>
        <w:kinsoku/>
        <w:wordWrap/>
        <w:overflowPunct/>
        <w:topLinePunct w:val="0"/>
        <w:autoSpaceDE/>
        <w:autoSpaceDN/>
        <w:bidi w:val="0"/>
        <w:spacing w:line="400" w:lineRule="exact"/>
        <w:ind w:left="0" w:leftChars="0"/>
        <w:textAlignment w:val="auto"/>
        <w:rPr>
          <w:rFonts w:hint="eastAsia" w:asciiTheme="minorEastAsia" w:hAnsiTheme="minorEastAsia" w:eastAsiaTheme="minorEastAsia" w:cstheme="minorEastAsia"/>
          <w:b/>
          <w:color w:val="000000"/>
          <w:sz w:val="24"/>
          <w:highlight w:val="none"/>
        </w:rPr>
      </w:pPr>
    </w:p>
    <w:p w14:paraId="5F3DB701">
      <w:pPr>
        <w:keepNext w:val="0"/>
        <w:pageBreakBefore w:val="0"/>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第六条 有关费用 </w:t>
      </w:r>
    </w:p>
    <w:p w14:paraId="7E65B7B1">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17365D"/>
          <w:sz w:val="24"/>
          <w:highlight w:val="none"/>
        </w:rPr>
      </w:pPr>
      <w:r>
        <w:rPr>
          <w:rFonts w:hint="eastAsia" w:asciiTheme="minorEastAsia" w:hAnsiTheme="minorEastAsia" w:eastAsiaTheme="minorEastAsia" w:cstheme="minorEastAsia"/>
          <w:color w:val="000000"/>
          <w:sz w:val="24"/>
          <w:highlight w:val="none"/>
          <w:lang w:val="zh-CN"/>
        </w:rPr>
        <w:t>1.乙方承担组织项目采购活动的全部费用,采购活动中产生的采购评审专家劳务报酬支出按照《广东省财政厅关于修订广东省政府采购评审专家劳务报酬标准的通知》（粤财采购〔2020〕17号）要求进行支付。</w:t>
      </w:r>
      <w:r>
        <w:rPr>
          <w:rFonts w:hint="eastAsia" w:asciiTheme="minorEastAsia" w:hAnsiTheme="minorEastAsia" w:eastAsiaTheme="minorEastAsia" w:cstheme="minorEastAsia"/>
          <w:color w:val="17365D"/>
          <w:sz w:val="24"/>
          <w:highlight w:val="none"/>
        </w:rPr>
        <w:t xml:space="preserve"> </w:t>
      </w:r>
    </w:p>
    <w:p w14:paraId="5E91CD10">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2.乙方按照有关规定向中标（成交）供应商收取服务费</w:t>
      </w:r>
      <w:r>
        <w:rPr>
          <w:rFonts w:hint="eastAsia" w:asciiTheme="minorEastAsia" w:hAnsiTheme="minorEastAsia" w:eastAsiaTheme="minorEastAsia" w:cstheme="minorEastAsia"/>
          <w:color w:val="000000"/>
          <w:sz w:val="24"/>
          <w:highlight w:val="none"/>
          <w:lang w:eastAsia="zh-CN"/>
        </w:rPr>
        <w:t>，具体收费</w:t>
      </w:r>
      <w:r>
        <w:rPr>
          <w:rFonts w:hint="eastAsia" w:asciiTheme="minorEastAsia" w:hAnsiTheme="minorEastAsia" w:eastAsiaTheme="minorEastAsia" w:cstheme="minorEastAsia"/>
          <w:color w:val="000000"/>
          <w:sz w:val="24"/>
          <w:highlight w:val="none"/>
          <w:lang w:val="zh-CN" w:eastAsia="zh-CN"/>
        </w:rPr>
        <w:t>标准</w:t>
      </w:r>
      <w:r>
        <w:rPr>
          <w:rFonts w:hint="eastAsia" w:asciiTheme="minorEastAsia" w:hAnsiTheme="minorEastAsia" w:eastAsiaTheme="minorEastAsia" w:cstheme="minorEastAsia"/>
          <w:color w:val="000000"/>
          <w:sz w:val="24"/>
          <w:highlight w:val="none"/>
          <w:lang w:val="zh-CN"/>
        </w:rPr>
        <w:t>详见采购文件约定</w:t>
      </w:r>
      <w:r>
        <w:rPr>
          <w:rFonts w:hint="eastAsia" w:asciiTheme="minorEastAsia" w:hAnsiTheme="minorEastAsia" w:eastAsiaTheme="minorEastAsia" w:cstheme="minorEastAsia"/>
          <w:color w:val="000000"/>
          <w:sz w:val="24"/>
          <w:highlight w:val="none"/>
        </w:rPr>
        <w:t>。</w:t>
      </w:r>
    </w:p>
    <w:p w14:paraId="492A0696">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highlight w:val="none"/>
        </w:rPr>
      </w:pPr>
    </w:p>
    <w:p w14:paraId="4D3F020A">
      <w:pPr>
        <w:keepNext w:val="0"/>
        <w:pageBreakBefore w:val="0"/>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第七条 违约责任 </w:t>
      </w:r>
    </w:p>
    <w:p w14:paraId="7B284D8C">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甲乙双方应遵守有关法律、法规、规章的规定和本协议的约定，否则，将承担相应的法律责任。因违约造成经济损失的，由违约方承担。 </w:t>
      </w:r>
    </w:p>
    <w:p w14:paraId="2605DE4C">
      <w:pPr>
        <w:keepNext w:val="0"/>
        <w:pageBreakBefore w:val="0"/>
        <w:kinsoku/>
        <w:wordWrap/>
        <w:overflowPunct/>
        <w:topLinePunct w:val="0"/>
        <w:autoSpaceDE/>
        <w:autoSpaceDN/>
        <w:bidi w:val="0"/>
        <w:spacing w:line="400" w:lineRule="exact"/>
        <w:ind w:left="0" w:leftChars="0"/>
        <w:textAlignment w:val="auto"/>
        <w:rPr>
          <w:rFonts w:hint="eastAsia" w:asciiTheme="minorEastAsia" w:hAnsiTheme="minorEastAsia" w:eastAsiaTheme="minorEastAsia" w:cstheme="minorEastAsia"/>
          <w:b/>
          <w:color w:val="000000"/>
          <w:sz w:val="24"/>
        </w:rPr>
      </w:pPr>
    </w:p>
    <w:p w14:paraId="2E3D29F8">
      <w:pPr>
        <w:keepNext w:val="0"/>
        <w:pageBreakBefore w:val="0"/>
        <w:kinsoku/>
        <w:wordWrap/>
        <w:overflowPunct/>
        <w:topLinePunct w:val="0"/>
        <w:autoSpaceDE/>
        <w:autoSpaceDN/>
        <w:bidi w:val="0"/>
        <w:spacing w:line="400" w:lineRule="exact"/>
        <w:ind w:left="0" w:leftChars="0" w:firstLine="482" w:firstLineChars="200"/>
        <w:textAlignment w:val="auto"/>
        <w:rPr>
          <w:rFonts w:hint="eastAsia" w:asciiTheme="minorEastAsia" w:hAnsiTheme="minorEastAsia" w:eastAsiaTheme="minorEastAsia" w:cstheme="minorEastAsia"/>
          <w:b/>
          <w:color w:val="000000"/>
          <w:sz w:val="24"/>
        </w:rPr>
      </w:pPr>
      <w:r>
        <w:rPr>
          <w:rFonts w:hint="eastAsia" w:asciiTheme="minorEastAsia" w:hAnsiTheme="minorEastAsia" w:eastAsiaTheme="minorEastAsia" w:cstheme="minorEastAsia"/>
          <w:b/>
          <w:color w:val="000000"/>
          <w:sz w:val="24"/>
        </w:rPr>
        <w:t xml:space="preserve">第八条、其他 </w:t>
      </w:r>
    </w:p>
    <w:p w14:paraId="3C7052C4">
      <w:pPr>
        <w:keepNext w:val="0"/>
        <w:pageBreakBefore w:val="0"/>
        <w:kinsoku/>
        <w:wordWrap/>
        <w:overflowPunct/>
        <w:topLinePunct w:val="0"/>
        <w:autoSpaceDE/>
        <w:autoSpaceDN/>
        <w:bidi w:val="0"/>
        <w:spacing w:line="400" w:lineRule="exact"/>
        <w:ind w:left="0" w:leftChars="0"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1.本协议自甲乙双方盖章签字之日起生效。本协议一式</w:t>
      </w:r>
      <w:r>
        <w:rPr>
          <w:rFonts w:hint="eastAsia" w:asciiTheme="minorEastAsia" w:hAnsiTheme="minorEastAsia" w:eastAsiaTheme="minorEastAsia" w:cstheme="minorEastAsia"/>
          <w:color w:val="000000"/>
          <w:sz w:val="24"/>
          <w:lang w:eastAsia="zh-CN"/>
        </w:rPr>
        <w:t>肆</w:t>
      </w:r>
      <w:r>
        <w:rPr>
          <w:rFonts w:hint="eastAsia" w:asciiTheme="minorEastAsia" w:hAnsiTheme="minorEastAsia" w:eastAsiaTheme="minorEastAsia" w:cstheme="minorEastAsia"/>
          <w:color w:val="000000"/>
          <w:sz w:val="24"/>
        </w:rPr>
        <w:t>份，甲</w:t>
      </w:r>
      <w:r>
        <w:rPr>
          <w:rFonts w:hint="eastAsia" w:asciiTheme="minorEastAsia" w:hAnsiTheme="minorEastAsia" w:eastAsiaTheme="minorEastAsia" w:cstheme="minorEastAsia"/>
          <w:color w:val="000000"/>
          <w:sz w:val="24"/>
          <w:lang w:eastAsia="zh-CN"/>
        </w:rPr>
        <w:t>方执</w:t>
      </w:r>
      <w:r>
        <w:rPr>
          <w:rFonts w:hint="eastAsia" w:asciiTheme="minorEastAsia" w:hAnsiTheme="minorEastAsia" w:eastAsiaTheme="minorEastAsia" w:cstheme="minorEastAsia"/>
          <w:color w:val="000000"/>
          <w:sz w:val="24"/>
        </w:rPr>
        <w:t>贰</w:t>
      </w:r>
      <w:r>
        <w:rPr>
          <w:rFonts w:hint="eastAsia" w:asciiTheme="minorEastAsia" w:hAnsiTheme="minorEastAsia" w:eastAsiaTheme="minorEastAsia" w:cstheme="minorEastAsia"/>
          <w:color w:val="000000"/>
          <w:sz w:val="24"/>
          <w:lang w:eastAsia="zh-CN"/>
        </w:rPr>
        <w:t>份，</w:t>
      </w:r>
      <w:r>
        <w:rPr>
          <w:rFonts w:hint="eastAsia" w:asciiTheme="minorEastAsia" w:hAnsiTheme="minorEastAsia" w:eastAsiaTheme="minorEastAsia" w:cstheme="minorEastAsia"/>
          <w:color w:val="000000"/>
          <w:sz w:val="24"/>
        </w:rPr>
        <w:t xml:space="preserve">乙方执贰份。 </w:t>
      </w:r>
    </w:p>
    <w:p w14:paraId="29DA579B">
      <w:pPr>
        <w:spacing w:line="30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2.其他未尽事宜由双方协商后解决。 </w:t>
      </w:r>
    </w:p>
    <w:p w14:paraId="588B7ABE">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eastAsia" w:asciiTheme="minorEastAsia" w:hAnsiTheme="minorEastAsia" w:eastAsiaTheme="minorEastAsia" w:cstheme="minorEastAsia"/>
          <w:sz w:val="32"/>
          <w:szCs w:val="32"/>
          <w:lang w:eastAsia="zh-CN" w:bidi="ar"/>
        </w:rPr>
      </w:pPr>
    </w:p>
    <w:p w14:paraId="1E432E11">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left"/>
        <w:textAlignment w:val="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eastAsia="zh-CN" w:bidi="ar"/>
        </w:rPr>
        <w:t>甲方（盖章）</w:t>
      </w:r>
      <w:r>
        <w:rPr>
          <w:rFonts w:hint="eastAsia" w:asciiTheme="minorEastAsia" w:hAnsiTheme="minorEastAsia" w:eastAsiaTheme="minorEastAsia" w:cstheme="minorEastAsia"/>
          <w:sz w:val="24"/>
          <w:szCs w:val="24"/>
          <w:lang w:bidi="ar"/>
        </w:rPr>
        <w:t xml:space="preserve">： </w:t>
      </w:r>
      <w:r>
        <w:rPr>
          <w:rFonts w:hint="eastAsia" w:asciiTheme="minorEastAsia" w:hAnsiTheme="minorEastAsia" w:eastAsiaTheme="minorEastAsia" w:cstheme="minorEastAsia"/>
          <w:sz w:val="24"/>
          <w:szCs w:val="24"/>
          <w:lang w:val="en-US" w:eastAsia="zh-CN" w:bidi="ar"/>
        </w:rPr>
        <w:t xml:space="preserve">                        </w:t>
      </w:r>
      <w:r>
        <w:rPr>
          <w:rFonts w:hint="eastAsia" w:asciiTheme="minorEastAsia" w:hAnsiTheme="minorEastAsia" w:eastAsiaTheme="minorEastAsia" w:cstheme="minorEastAsia"/>
          <w:sz w:val="24"/>
          <w:szCs w:val="24"/>
          <w:lang w:eastAsia="zh-CN" w:bidi="ar"/>
        </w:rPr>
        <w:t>乙方（盖章）</w:t>
      </w:r>
      <w:r>
        <w:rPr>
          <w:rFonts w:hint="eastAsia" w:asciiTheme="minorEastAsia" w:hAnsiTheme="minorEastAsia" w:eastAsiaTheme="minorEastAsia" w:cstheme="minorEastAsia"/>
          <w:sz w:val="24"/>
          <w:szCs w:val="24"/>
          <w:lang w:bidi="ar"/>
        </w:rPr>
        <w:t>：</w:t>
      </w:r>
    </w:p>
    <w:p w14:paraId="3C976538">
      <w:pPr>
        <w:keepNext w:val="0"/>
        <w:keepLines w:val="0"/>
        <w:pageBreakBefore w:val="0"/>
        <w:widowControl w:val="0"/>
        <w:kinsoku/>
        <w:wordWrap/>
        <w:overflowPunct/>
        <w:topLinePunct w:val="0"/>
        <w:autoSpaceDE/>
        <w:autoSpaceDN/>
        <w:bidi w:val="0"/>
        <w:adjustRightInd/>
        <w:snapToGrid/>
        <w:spacing w:line="540" w:lineRule="exact"/>
        <w:ind w:firstLine="480" w:firstLineChars="200"/>
        <w:jc w:val="left"/>
        <w:textAlignment w:val="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代表签字：</w:t>
      </w:r>
      <w:r>
        <w:rPr>
          <w:rFonts w:hint="eastAsia" w:asciiTheme="minorEastAsia" w:hAnsiTheme="minorEastAsia" w:eastAsiaTheme="minorEastAsia" w:cstheme="minorEastAsia"/>
          <w:sz w:val="24"/>
          <w:szCs w:val="24"/>
          <w:lang w:val="en-US" w:eastAsia="zh-CN" w:bidi="ar"/>
        </w:rPr>
        <w:t xml:space="preserve">                             </w:t>
      </w:r>
      <w:r>
        <w:rPr>
          <w:rFonts w:hint="eastAsia" w:asciiTheme="minorEastAsia" w:hAnsiTheme="minorEastAsia" w:eastAsiaTheme="minorEastAsia" w:cstheme="minorEastAsia"/>
          <w:sz w:val="24"/>
          <w:szCs w:val="24"/>
          <w:lang w:bidi="ar"/>
        </w:rPr>
        <w:t>代表签字：</w:t>
      </w:r>
    </w:p>
    <w:p w14:paraId="23A3FB8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jc w:val="both"/>
        <w:textAlignment w:val="auto"/>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eastAsia="zh-CN" w:bidi="ar"/>
        </w:rPr>
        <w:t>日期：</w:t>
      </w:r>
      <w:r>
        <w:rPr>
          <w:rFonts w:hint="eastAsia" w:asciiTheme="minorEastAsia" w:hAnsiTheme="minorEastAsia" w:eastAsiaTheme="minorEastAsia" w:cstheme="minorEastAsia"/>
          <w:sz w:val="24"/>
          <w:szCs w:val="24"/>
          <w:lang w:val="en-US" w:eastAsia="zh-CN" w:bidi="ar"/>
        </w:rPr>
        <w:t xml:space="preserve">2026年7月   日                 </w:t>
      </w:r>
      <w:r>
        <w:rPr>
          <w:rFonts w:hint="eastAsia" w:asciiTheme="minorEastAsia" w:hAnsiTheme="minorEastAsia" w:eastAsiaTheme="minorEastAsia" w:cstheme="minorEastAsia"/>
          <w:sz w:val="24"/>
          <w:szCs w:val="24"/>
          <w:lang w:eastAsia="zh-CN" w:bidi="ar"/>
        </w:rPr>
        <w:t>日期：</w:t>
      </w:r>
      <w:r>
        <w:rPr>
          <w:rFonts w:hint="eastAsia" w:asciiTheme="minorEastAsia" w:hAnsiTheme="minorEastAsia" w:eastAsiaTheme="minorEastAsia" w:cstheme="minorEastAsia"/>
          <w:sz w:val="24"/>
          <w:szCs w:val="24"/>
          <w:lang w:val="en-US" w:eastAsia="zh-CN" w:bidi="ar"/>
        </w:rPr>
        <w:t xml:space="preserve">2026年7月   日  </w:t>
      </w:r>
    </w:p>
    <w:p w14:paraId="66B863D4">
      <w:pPr>
        <w:spacing w:line="480" w:lineRule="auto"/>
        <w:ind w:firstLine="480" w:firstLineChars="200"/>
        <w:rPr>
          <w:rFonts w:hint="eastAsia" w:ascii="仿宋_GB2312" w:hAnsi="仿宋" w:eastAsia="仿宋_GB2312"/>
          <w:color w:val="000000"/>
          <w:sz w:val="24"/>
        </w:rPr>
      </w:pPr>
    </w:p>
    <w:sectPr>
      <w:footerReference r:id="rId5" w:type="default"/>
      <w:pgSz w:w="11906" w:h="16838"/>
      <w:pgMar w:top="1440" w:right="1701" w:bottom="1440" w:left="1701" w:header="851" w:footer="992" w:gutter="0"/>
      <w:pgNumType w:fmt="decimal" w:start="2"/>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EFFED">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D143E60">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5D143E60">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DC22F">
    <w:pPr>
      <w:pStyle w:val="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354A6D">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1C354A6D">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292E1">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attachedTemplate r:id="rId1"/>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zMDU4Zjc1ZWQzZTcyOTIwMTVkMGI4NTc1ZjM5ZjEifQ=="/>
  </w:docVars>
  <w:rsids>
    <w:rsidRoot w:val="00ED5B01"/>
    <w:rsid w:val="000063DF"/>
    <w:rsid w:val="00013984"/>
    <w:rsid w:val="00020F8A"/>
    <w:rsid w:val="0004389D"/>
    <w:rsid w:val="000452CB"/>
    <w:rsid w:val="00053BD0"/>
    <w:rsid w:val="00055E31"/>
    <w:rsid w:val="00060055"/>
    <w:rsid w:val="00065A78"/>
    <w:rsid w:val="00091F77"/>
    <w:rsid w:val="0011262D"/>
    <w:rsid w:val="0012703D"/>
    <w:rsid w:val="00152DEA"/>
    <w:rsid w:val="00165565"/>
    <w:rsid w:val="00180325"/>
    <w:rsid w:val="001C428B"/>
    <w:rsid w:val="001C57FE"/>
    <w:rsid w:val="001D5F09"/>
    <w:rsid w:val="001E175D"/>
    <w:rsid w:val="001E4C7D"/>
    <w:rsid w:val="001E4EBB"/>
    <w:rsid w:val="001F359B"/>
    <w:rsid w:val="002677F5"/>
    <w:rsid w:val="002B1B8B"/>
    <w:rsid w:val="002E1955"/>
    <w:rsid w:val="002F7925"/>
    <w:rsid w:val="00333DDB"/>
    <w:rsid w:val="0033662F"/>
    <w:rsid w:val="00346C30"/>
    <w:rsid w:val="003606CD"/>
    <w:rsid w:val="0036077F"/>
    <w:rsid w:val="0036429C"/>
    <w:rsid w:val="00374CA4"/>
    <w:rsid w:val="00387F61"/>
    <w:rsid w:val="003B18D0"/>
    <w:rsid w:val="003B34F6"/>
    <w:rsid w:val="003B77CC"/>
    <w:rsid w:val="003C0547"/>
    <w:rsid w:val="003C05EB"/>
    <w:rsid w:val="003C5CCA"/>
    <w:rsid w:val="0040709F"/>
    <w:rsid w:val="0043100E"/>
    <w:rsid w:val="00441BCC"/>
    <w:rsid w:val="00444553"/>
    <w:rsid w:val="00445CA2"/>
    <w:rsid w:val="00457A03"/>
    <w:rsid w:val="00464102"/>
    <w:rsid w:val="00482D62"/>
    <w:rsid w:val="00495E4D"/>
    <w:rsid w:val="004B5A8D"/>
    <w:rsid w:val="004D2717"/>
    <w:rsid w:val="004F2A98"/>
    <w:rsid w:val="0050216E"/>
    <w:rsid w:val="0051057A"/>
    <w:rsid w:val="00511210"/>
    <w:rsid w:val="005572A3"/>
    <w:rsid w:val="005720CF"/>
    <w:rsid w:val="00592C00"/>
    <w:rsid w:val="005A1E35"/>
    <w:rsid w:val="005A559B"/>
    <w:rsid w:val="005C535A"/>
    <w:rsid w:val="005D55D2"/>
    <w:rsid w:val="005D591F"/>
    <w:rsid w:val="005E3896"/>
    <w:rsid w:val="005F0142"/>
    <w:rsid w:val="005F3674"/>
    <w:rsid w:val="00626224"/>
    <w:rsid w:val="00642B1E"/>
    <w:rsid w:val="00670A19"/>
    <w:rsid w:val="00696592"/>
    <w:rsid w:val="0069754C"/>
    <w:rsid w:val="00706551"/>
    <w:rsid w:val="00716831"/>
    <w:rsid w:val="0075527C"/>
    <w:rsid w:val="00785A29"/>
    <w:rsid w:val="007B28E9"/>
    <w:rsid w:val="007B742D"/>
    <w:rsid w:val="007C1F0A"/>
    <w:rsid w:val="007E1518"/>
    <w:rsid w:val="007E3220"/>
    <w:rsid w:val="007E4847"/>
    <w:rsid w:val="00813129"/>
    <w:rsid w:val="00840862"/>
    <w:rsid w:val="00864108"/>
    <w:rsid w:val="008A01FD"/>
    <w:rsid w:val="008A516F"/>
    <w:rsid w:val="008C085E"/>
    <w:rsid w:val="008C20FD"/>
    <w:rsid w:val="008D13F0"/>
    <w:rsid w:val="009132C1"/>
    <w:rsid w:val="00946F47"/>
    <w:rsid w:val="009A6659"/>
    <w:rsid w:val="009C2B93"/>
    <w:rsid w:val="009E5440"/>
    <w:rsid w:val="009F38D0"/>
    <w:rsid w:val="009F3C22"/>
    <w:rsid w:val="00A06674"/>
    <w:rsid w:val="00A130D0"/>
    <w:rsid w:val="00A3102D"/>
    <w:rsid w:val="00A341FC"/>
    <w:rsid w:val="00A42702"/>
    <w:rsid w:val="00A54062"/>
    <w:rsid w:val="00A84F21"/>
    <w:rsid w:val="00AB1D26"/>
    <w:rsid w:val="00AE31E8"/>
    <w:rsid w:val="00AF094B"/>
    <w:rsid w:val="00AF1307"/>
    <w:rsid w:val="00AF3200"/>
    <w:rsid w:val="00AF4CFA"/>
    <w:rsid w:val="00AF579C"/>
    <w:rsid w:val="00B127E1"/>
    <w:rsid w:val="00B1303A"/>
    <w:rsid w:val="00B13523"/>
    <w:rsid w:val="00B27B0C"/>
    <w:rsid w:val="00B34629"/>
    <w:rsid w:val="00B3510A"/>
    <w:rsid w:val="00B4002D"/>
    <w:rsid w:val="00B40B92"/>
    <w:rsid w:val="00B54E4F"/>
    <w:rsid w:val="00B616ED"/>
    <w:rsid w:val="00B71BE2"/>
    <w:rsid w:val="00B76278"/>
    <w:rsid w:val="00B8470A"/>
    <w:rsid w:val="00B94FDA"/>
    <w:rsid w:val="00BB7C72"/>
    <w:rsid w:val="00BD7DDA"/>
    <w:rsid w:val="00BE4A55"/>
    <w:rsid w:val="00BF0A47"/>
    <w:rsid w:val="00C056E8"/>
    <w:rsid w:val="00C16DDA"/>
    <w:rsid w:val="00C31277"/>
    <w:rsid w:val="00C36E80"/>
    <w:rsid w:val="00C73B8B"/>
    <w:rsid w:val="00C93F61"/>
    <w:rsid w:val="00CB2A01"/>
    <w:rsid w:val="00CF6B14"/>
    <w:rsid w:val="00D35BD9"/>
    <w:rsid w:val="00D51618"/>
    <w:rsid w:val="00D54FD9"/>
    <w:rsid w:val="00DC1077"/>
    <w:rsid w:val="00DC65EE"/>
    <w:rsid w:val="00DD2269"/>
    <w:rsid w:val="00DD6B4D"/>
    <w:rsid w:val="00E0355A"/>
    <w:rsid w:val="00E116E9"/>
    <w:rsid w:val="00E25C71"/>
    <w:rsid w:val="00E308DA"/>
    <w:rsid w:val="00E363AF"/>
    <w:rsid w:val="00E4727C"/>
    <w:rsid w:val="00E730F6"/>
    <w:rsid w:val="00E86032"/>
    <w:rsid w:val="00EC1A53"/>
    <w:rsid w:val="00EC4E12"/>
    <w:rsid w:val="00ED5B01"/>
    <w:rsid w:val="00EF77E8"/>
    <w:rsid w:val="00F0212A"/>
    <w:rsid w:val="00F20646"/>
    <w:rsid w:val="00F35C05"/>
    <w:rsid w:val="00F50A8C"/>
    <w:rsid w:val="00F60E18"/>
    <w:rsid w:val="00F66644"/>
    <w:rsid w:val="00F94D0C"/>
    <w:rsid w:val="00FA6E6D"/>
    <w:rsid w:val="00FC1131"/>
    <w:rsid w:val="00FC2264"/>
    <w:rsid w:val="00FF10C7"/>
    <w:rsid w:val="010B4656"/>
    <w:rsid w:val="01DB0A9B"/>
    <w:rsid w:val="01DD669F"/>
    <w:rsid w:val="06C36519"/>
    <w:rsid w:val="072A3636"/>
    <w:rsid w:val="07371681"/>
    <w:rsid w:val="084D1B0B"/>
    <w:rsid w:val="086115B6"/>
    <w:rsid w:val="09575BBC"/>
    <w:rsid w:val="09AE3789"/>
    <w:rsid w:val="0C0671F4"/>
    <w:rsid w:val="0C0847DA"/>
    <w:rsid w:val="0CC24827"/>
    <w:rsid w:val="0CFD4ED4"/>
    <w:rsid w:val="0D16164E"/>
    <w:rsid w:val="0D510CCF"/>
    <w:rsid w:val="0D887E96"/>
    <w:rsid w:val="10D44824"/>
    <w:rsid w:val="11BD64CA"/>
    <w:rsid w:val="11F85BDE"/>
    <w:rsid w:val="133F0C46"/>
    <w:rsid w:val="16C0311D"/>
    <w:rsid w:val="19ED130B"/>
    <w:rsid w:val="1A1D135C"/>
    <w:rsid w:val="1A22681F"/>
    <w:rsid w:val="1A2645A7"/>
    <w:rsid w:val="1DB80F63"/>
    <w:rsid w:val="1E4A2708"/>
    <w:rsid w:val="1E8F3B27"/>
    <w:rsid w:val="1EFE71CA"/>
    <w:rsid w:val="201E0780"/>
    <w:rsid w:val="20BF7580"/>
    <w:rsid w:val="238012D7"/>
    <w:rsid w:val="251E26F2"/>
    <w:rsid w:val="265A5483"/>
    <w:rsid w:val="277224DC"/>
    <w:rsid w:val="27A22014"/>
    <w:rsid w:val="298D49B2"/>
    <w:rsid w:val="2A0311A6"/>
    <w:rsid w:val="2A9A4B81"/>
    <w:rsid w:val="2C5908B0"/>
    <w:rsid w:val="2CC53709"/>
    <w:rsid w:val="2D11017C"/>
    <w:rsid w:val="2D1418B0"/>
    <w:rsid w:val="2D694E62"/>
    <w:rsid w:val="2F157F2C"/>
    <w:rsid w:val="2F367D3B"/>
    <w:rsid w:val="2FBF6CC7"/>
    <w:rsid w:val="2FCC60EE"/>
    <w:rsid w:val="3079397F"/>
    <w:rsid w:val="310E741C"/>
    <w:rsid w:val="313E04FB"/>
    <w:rsid w:val="316C658C"/>
    <w:rsid w:val="32E26FAE"/>
    <w:rsid w:val="33953D53"/>
    <w:rsid w:val="34810975"/>
    <w:rsid w:val="353B77E2"/>
    <w:rsid w:val="36601824"/>
    <w:rsid w:val="36985883"/>
    <w:rsid w:val="3737181C"/>
    <w:rsid w:val="37E31D41"/>
    <w:rsid w:val="38F0228E"/>
    <w:rsid w:val="396530E2"/>
    <w:rsid w:val="3B665C8B"/>
    <w:rsid w:val="3BBA27A2"/>
    <w:rsid w:val="3BCF572C"/>
    <w:rsid w:val="3C094170"/>
    <w:rsid w:val="3EE50461"/>
    <w:rsid w:val="3F2E5824"/>
    <w:rsid w:val="3FE92E12"/>
    <w:rsid w:val="41F540C0"/>
    <w:rsid w:val="43AF2347"/>
    <w:rsid w:val="441F0E3B"/>
    <w:rsid w:val="455F303A"/>
    <w:rsid w:val="45970285"/>
    <w:rsid w:val="45B2492D"/>
    <w:rsid w:val="4ACC05C3"/>
    <w:rsid w:val="4B33465B"/>
    <w:rsid w:val="4B750636"/>
    <w:rsid w:val="4C3F1EEE"/>
    <w:rsid w:val="4C6A0EB1"/>
    <w:rsid w:val="4D9C52F4"/>
    <w:rsid w:val="4E011625"/>
    <w:rsid w:val="507D1435"/>
    <w:rsid w:val="51801667"/>
    <w:rsid w:val="53B50E31"/>
    <w:rsid w:val="53B9647C"/>
    <w:rsid w:val="53E929B1"/>
    <w:rsid w:val="54277476"/>
    <w:rsid w:val="543A65E3"/>
    <w:rsid w:val="565B25D1"/>
    <w:rsid w:val="56A4407C"/>
    <w:rsid w:val="56B62BD2"/>
    <w:rsid w:val="56C56126"/>
    <w:rsid w:val="592E2FA7"/>
    <w:rsid w:val="5BA9448C"/>
    <w:rsid w:val="5EF07C91"/>
    <w:rsid w:val="5EFFE28A"/>
    <w:rsid w:val="5F313E05"/>
    <w:rsid w:val="5FAE5FD7"/>
    <w:rsid w:val="603566E5"/>
    <w:rsid w:val="60866D48"/>
    <w:rsid w:val="613A2117"/>
    <w:rsid w:val="62B17737"/>
    <w:rsid w:val="644E6F79"/>
    <w:rsid w:val="648123E4"/>
    <w:rsid w:val="654456A2"/>
    <w:rsid w:val="67D3395B"/>
    <w:rsid w:val="68285169"/>
    <w:rsid w:val="68FD799F"/>
    <w:rsid w:val="691C5524"/>
    <w:rsid w:val="6AAB3760"/>
    <w:rsid w:val="6BC12069"/>
    <w:rsid w:val="6CA33181"/>
    <w:rsid w:val="6E6A70F9"/>
    <w:rsid w:val="6EC02869"/>
    <w:rsid w:val="717635ED"/>
    <w:rsid w:val="71FB58ED"/>
    <w:rsid w:val="72585B3C"/>
    <w:rsid w:val="732D7107"/>
    <w:rsid w:val="74F87A8F"/>
    <w:rsid w:val="757D5A04"/>
    <w:rsid w:val="76E65F94"/>
    <w:rsid w:val="77C70D5D"/>
    <w:rsid w:val="783737AD"/>
    <w:rsid w:val="7B720C07"/>
    <w:rsid w:val="7BBFCD7B"/>
    <w:rsid w:val="7EB22C6B"/>
    <w:rsid w:val="7EF301D4"/>
    <w:rsid w:val="7F6E35D2"/>
    <w:rsid w:val="7FD515B0"/>
    <w:rsid w:val="8DFF2629"/>
    <w:rsid w:val="9E7BDC46"/>
    <w:rsid w:val="AF7E5425"/>
    <w:rsid w:val="BFFEC259"/>
    <w:rsid w:val="DFFF9687"/>
    <w:rsid w:val="EDFC0E1A"/>
    <w:rsid w:val="F7DB11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First Indent"/>
    <w:basedOn w:val="3"/>
    <w:autoRedefine/>
    <w:qFormat/>
    <w:uiPriority w:val="0"/>
    <w:pPr>
      <w:spacing w:after="120" w:afterLines="0" w:line="240" w:lineRule="auto"/>
      <w:ind w:firstLine="420" w:firstLineChars="100"/>
    </w:pPr>
    <w:rPr>
      <w:rFonts w:ascii="Times New Roman" w:hAnsi="Times New Roman"/>
      <w:sz w:val="21"/>
    </w:rPr>
  </w:style>
  <w:style w:type="paragraph" w:styleId="3">
    <w:name w:val="Body Text"/>
    <w:basedOn w:val="1"/>
    <w:next w:val="1"/>
    <w:autoRedefine/>
    <w:qFormat/>
    <w:uiPriority w:val="0"/>
    <w:pPr>
      <w:spacing w:line="360" w:lineRule="auto"/>
    </w:pPr>
    <w:rPr>
      <w:rFonts w:ascii="宋体" w:hAnsi="宋体"/>
      <w:sz w:val="28"/>
    </w:rPr>
  </w:style>
  <w:style w:type="paragraph" w:styleId="4">
    <w:name w:val="Body Text Indent"/>
    <w:basedOn w:val="1"/>
    <w:next w:val="1"/>
    <w:autoRedefine/>
    <w:qFormat/>
    <w:uiPriority w:val="0"/>
    <w:pPr>
      <w:ind w:firstLine="830" w:firstLineChars="352"/>
    </w:pPr>
    <w:rPr>
      <w:rFonts w:ascii="仿宋_GB2312" w:eastAsia="仿宋_GB2312"/>
      <w:sz w:val="32"/>
      <w:szCs w:val="20"/>
    </w:rPr>
  </w:style>
  <w:style w:type="paragraph" w:styleId="5">
    <w:name w:val="Balloon Text"/>
    <w:basedOn w:val="1"/>
    <w:link w:val="12"/>
    <w:autoRedefine/>
    <w:unhideWhenUsed/>
    <w:qFormat/>
    <w:uiPriority w:val="99"/>
    <w:rPr>
      <w:sz w:val="18"/>
      <w:szCs w:val="18"/>
    </w:rPr>
  </w:style>
  <w:style w:type="paragraph" w:styleId="6">
    <w:name w:val="footer"/>
    <w:basedOn w:val="1"/>
    <w:link w:val="13"/>
    <w:autoRedefine/>
    <w:qFormat/>
    <w:uiPriority w:val="99"/>
    <w:pPr>
      <w:tabs>
        <w:tab w:val="center" w:pos="4153"/>
        <w:tab w:val="right" w:pos="8306"/>
      </w:tabs>
      <w:snapToGrid w:val="0"/>
      <w:jc w:val="left"/>
    </w:pPr>
    <w:rPr>
      <w:sz w:val="18"/>
      <w:szCs w:val="18"/>
    </w:rPr>
  </w:style>
  <w:style w:type="paragraph" w:styleId="7">
    <w:name w:val="header"/>
    <w:basedOn w:val="1"/>
    <w:link w:val="14"/>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4"/>
    <w:autoRedefine/>
    <w:unhideWhenUsed/>
    <w:qFormat/>
    <w:uiPriority w:val="99"/>
    <w:pPr>
      <w:ind w:firstLine="420" w:firstLineChars="200"/>
    </w:pPr>
  </w:style>
  <w:style w:type="character" w:styleId="11">
    <w:name w:val="page number"/>
    <w:basedOn w:val="10"/>
    <w:autoRedefine/>
    <w:qFormat/>
    <w:uiPriority w:val="0"/>
  </w:style>
  <w:style w:type="character" w:customStyle="1" w:styleId="12">
    <w:name w:val="批注框文本 Char"/>
    <w:basedOn w:val="10"/>
    <w:link w:val="5"/>
    <w:autoRedefine/>
    <w:semiHidden/>
    <w:qFormat/>
    <w:uiPriority w:val="99"/>
    <w:rPr>
      <w:rFonts w:ascii="Times New Roman" w:hAnsi="Times New Roman"/>
      <w:kern w:val="2"/>
      <w:sz w:val="18"/>
      <w:szCs w:val="18"/>
    </w:rPr>
  </w:style>
  <w:style w:type="character" w:customStyle="1" w:styleId="13">
    <w:name w:val="页脚 Char"/>
    <w:basedOn w:val="10"/>
    <w:link w:val="6"/>
    <w:autoRedefine/>
    <w:qFormat/>
    <w:uiPriority w:val="99"/>
    <w:rPr>
      <w:rFonts w:ascii="Times New Roman" w:hAnsi="Times New Roman"/>
      <w:kern w:val="2"/>
      <w:sz w:val="18"/>
      <w:szCs w:val="18"/>
    </w:rPr>
  </w:style>
  <w:style w:type="character" w:customStyle="1" w:styleId="14">
    <w:name w:val="页眉 Char"/>
    <w:basedOn w:val="10"/>
    <w:link w:val="7"/>
    <w:autoRedefine/>
    <w:qFormat/>
    <w:uiPriority w:val="0"/>
    <w:rPr>
      <w:rFonts w:ascii="Times New Roman" w:hAnsi="Times New Roman"/>
      <w:kern w:val="2"/>
      <w:sz w:val="18"/>
      <w:szCs w:val="18"/>
    </w:rPr>
  </w:style>
  <w:style w:type="character" w:customStyle="1" w:styleId="15">
    <w:name w:val="container"/>
    <w:basedOn w:val="10"/>
    <w:autoRedefine/>
    <w:qFormat/>
    <w:uiPriority w:val="0"/>
  </w:style>
  <w:style w:type="character" w:customStyle="1" w:styleId="16">
    <w:name w:val="页脚 Char Char"/>
    <w:basedOn w:val="10"/>
    <w:autoRedefine/>
    <w:qFormat/>
    <w:uiPriority w:val="0"/>
    <w:rPr>
      <w:rFonts w:ascii="Times New Roman" w:hAnsi="Times New Roman"/>
      <w:kern w:val="2"/>
      <w:sz w:val="18"/>
      <w:szCs w:val="18"/>
    </w:rPr>
  </w:style>
  <w:style w:type="character" w:customStyle="1" w:styleId="17">
    <w:name w:val="HTML Markup"/>
    <w:autoRedefine/>
    <w:qFormat/>
    <w:uiPriority w:val="0"/>
    <w:rPr>
      <w:vanish/>
      <w:color w:val="FF0000"/>
    </w:rPr>
  </w:style>
  <w:style w:type="paragraph" w:customStyle="1" w:styleId="18">
    <w:name w:val="Char Char2"/>
    <w:basedOn w:val="1"/>
    <w:autoRedefine/>
    <w:qFormat/>
    <w:uiPriority w:val="0"/>
    <w:rPr>
      <w:rFonts w:ascii="宋体" w:hAnsi="宋体"/>
      <w:b/>
      <w:sz w:val="28"/>
      <w:szCs w:val="28"/>
    </w:rPr>
  </w:style>
  <w:style w:type="paragraph" w:customStyle="1" w:styleId="19">
    <w:name w:val="列出段落1"/>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zhjw\D:\&#23436;&#24037;&#39033;&#30446;\&#31532;&#19968;&#30475;&#23432;&#25152;\&#25919;&#24220;&#37319;&#36141;&#20195;&#29702;&#21512;&#21516;&#65288;&#26368;&#32456;&#29256;4&#20221;&#65289;.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政府采购代理合同（最终版4份）</Template>
  <Company>微软中国</Company>
  <Pages>4</Pages>
  <Words>1756</Words>
  <Characters>1894</Characters>
  <Lines>14</Lines>
  <Paragraphs>4</Paragraphs>
  <TotalTime>0</TotalTime>
  <ScaleCrop>false</ScaleCrop>
  <LinksUpToDate>false</LinksUpToDate>
  <CharactersWithSpaces>2117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2016-09-20T07:52:00Z</dcterms:created>
  <dc:creator>jyzx120</dc:creator>
  <cp:lastModifiedBy>DAIL</cp:lastModifiedBy>
  <cp:lastPrinted>2022-08-09T08:07:00Z</cp:lastPrinted>
  <dcterms:modified xsi:type="dcterms:W3CDTF">2026-07-06T02:45:17Z</dcterms:modified>
  <dc:title>政府采购项目代理合同</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7B781E9CF6544C389F13661DFE2B5ACD_13</vt:lpwstr>
  </property>
  <property fmtid="{D5CDD505-2E9C-101B-9397-08002B2CF9AE}" pid="4" name="KSOTemplateDocerSaveRecord">
    <vt:lpwstr>eyJoZGlkIjoiMTMzMDU4Zjc1ZWQzZTcyOTIwMTVkMGI4NTc1ZjM5ZjEiLCJ1c2VySWQiOiIzNjk4NDc5MTYifQ==</vt:lpwstr>
  </property>
</Properties>
</file>