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097E4">
      <w:pPr>
        <w:spacing w:line="540" w:lineRule="exact"/>
        <w:rPr>
          <w:rFonts w:hint="eastAsia" w:ascii="宋体" w:hAnsi="宋体" w:eastAsia="宋体" w:cs="宋体"/>
          <w:color w:val="auto"/>
          <w:sz w:val="28"/>
          <w:szCs w:val="28"/>
          <w:highlight w:val="none"/>
        </w:rPr>
      </w:pPr>
    </w:p>
    <w:p w14:paraId="50309EDA">
      <w:pPr>
        <w:jc w:val="center"/>
        <w:rPr>
          <w:rFonts w:hint="eastAsia" w:ascii="宋体" w:hAnsi="宋体" w:cs="宋体"/>
          <w:b/>
          <w:bCs/>
          <w:color w:val="auto"/>
          <w:sz w:val="44"/>
          <w:szCs w:val="44"/>
          <w:highlight w:val="none"/>
          <w:lang w:eastAsia="zh-CN"/>
        </w:rPr>
      </w:pPr>
      <w:bookmarkStart w:id="0" w:name="OLE_LINK2"/>
      <w:bookmarkStart w:id="1" w:name="OLE_LINK3"/>
      <w:r>
        <w:rPr>
          <w:rFonts w:hint="eastAsia" w:ascii="宋体" w:hAnsi="宋体" w:cs="宋体"/>
          <w:b/>
          <w:bCs/>
          <w:color w:val="auto"/>
          <w:sz w:val="44"/>
          <w:szCs w:val="44"/>
          <w:highlight w:val="none"/>
          <w:lang w:eastAsia="zh-CN"/>
        </w:rPr>
        <w:t>昭阳区2025年小型水库大坝安全监测设施建设项目</w:t>
      </w:r>
    </w:p>
    <w:p w14:paraId="3EB51D9C">
      <w:pPr>
        <w:jc w:val="center"/>
        <w:rPr>
          <w:rFonts w:hint="eastAsia" w:ascii="宋体" w:hAnsi="宋体" w:eastAsia="宋体" w:cs="宋体"/>
          <w:b w:val="0"/>
          <w:bCs/>
          <w:color w:val="auto"/>
          <w:sz w:val="24"/>
          <w:szCs w:val="24"/>
          <w:highlight w:val="none"/>
          <w:lang w:eastAsia="zh-CN"/>
        </w:rPr>
      </w:pPr>
    </w:p>
    <w:p w14:paraId="6E88BB5B">
      <w:pPr>
        <w:jc w:val="center"/>
        <w:rPr>
          <w:rFonts w:hint="default" w:ascii="宋体" w:hAnsi="宋体" w:eastAsia="宋体" w:cs="宋体"/>
          <w:b w:val="0"/>
          <w:bCs/>
          <w:color w:val="auto"/>
          <w:sz w:val="24"/>
          <w:szCs w:val="24"/>
          <w:highlight w:val="none"/>
          <w:lang w:val="en-US" w:eastAsia="zh-CN"/>
        </w:rPr>
      </w:pPr>
    </w:p>
    <w:p w14:paraId="2336175A">
      <w:pPr>
        <w:spacing w:line="460" w:lineRule="exact"/>
        <w:rPr>
          <w:rFonts w:hint="eastAsia" w:ascii="宋体" w:hAnsi="宋体" w:eastAsia="宋体" w:cs="宋体"/>
          <w:b/>
          <w:color w:val="auto"/>
          <w:sz w:val="28"/>
          <w:szCs w:val="28"/>
          <w:highlight w:val="none"/>
        </w:rPr>
      </w:pPr>
    </w:p>
    <w:p w14:paraId="4D92C0BB">
      <w:pPr>
        <w:spacing w:line="460" w:lineRule="exact"/>
        <w:rPr>
          <w:rFonts w:hint="eastAsia" w:ascii="宋体" w:hAnsi="宋体" w:eastAsia="宋体" w:cs="宋体"/>
          <w:color w:val="auto"/>
          <w:szCs w:val="21"/>
          <w:highlight w:val="none"/>
        </w:rPr>
      </w:pPr>
    </w:p>
    <w:p w14:paraId="523FE612">
      <w:pPr>
        <w:spacing w:line="460" w:lineRule="exact"/>
        <w:rPr>
          <w:rFonts w:hint="eastAsia" w:ascii="宋体" w:hAnsi="宋体" w:eastAsia="宋体" w:cs="宋体"/>
          <w:color w:val="auto"/>
          <w:szCs w:val="21"/>
          <w:highlight w:val="none"/>
        </w:rPr>
      </w:pPr>
    </w:p>
    <w:p w14:paraId="2DA43C95">
      <w:pPr>
        <w:spacing w:line="460" w:lineRule="exact"/>
        <w:rPr>
          <w:rFonts w:hint="eastAsia" w:ascii="宋体" w:hAnsi="宋体" w:eastAsia="宋体" w:cs="宋体"/>
          <w:color w:val="auto"/>
          <w:szCs w:val="21"/>
          <w:highlight w:val="none"/>
        </w:rPr>
      </w:pPr>
    </w:p>
    <w:p w14:paraId="73095FB3">
      <w:pPr>
        <w:spacing w:line="460" w:lineRule="exact"/>
        <w:rPr>
          <w:rFonts w:hint="eastAsia" w:ascii="宋体" w:hAnsi="宋体" w:eastAsia="宋体" w:cs="宋体"/>
          <w:color w:val="auto"/>
          <w:szCs w:val="21"/>
          <w:highlight w:val="none"/>
        </w:rPr>
      </w:pPr>
      <w:r>
        <w:rPr>
          <w:rFonts w:hint="eastAsia" w:ascii="宋体" w:hAnsi="宋体" w:eastAsia="宋体" w:cs="宋体"/>
          <w:b/>
          <w:bCs/>
          <w:color w:val="auto"/>
          <w:sz w:val="44"/>
          <w:szCs w:val="44"/>
          <w:highlight w:val="none"/>
          <w:lang w:eastAsia="zh-CN"/>
        </w:rPr>
        <w:drawing>
          <wp:anchor distT="0" distB="0" distL="114935" distR="114935" simplePos="0" relativeHeight="251660288" behindDoc="1" locked="0" layoutInCell="1" allowOverlap="1">
            <wp:simplePos x="0" y="0"/>
            <wp:positionH relativeFrom="column">
              <wp:posOffset>786765</wp:posOffset>
            </wp:positionH>
            <wp:positionV relativeFrom="paragraph">
              <wp:posOffset>39370</wp:posOffset>
            </wp:positionV>
            <wp:extent cx="4457700" cy="2592705"/>
            <wp:effectExtent l="0" t="0" r="7620" b="0"/>
            <wp:wrapNone/>
            <wp:docPr id="3" name="图片 3" descr="1669691593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69691593377(1)"/>
                    <pic:cNvPicPr>
                      <a:picLocks noChangeAspect="1"/>
                    </pic:cNvPicPr>
                  </pic:nvPicPr>
                  <pic:blipFill>
                    <a:blip r:embed="rId23"/>
                    <a:stretch>
                      <a:fillRect/>
                    </a:stretch>
                  </pic:blipFill>
                  <pic:spPr>
                    <a:xfrm>
                      <a:off x="0" y="0"/>
                      <a:ext cx="4457700" cy="2592705"/>
                    </a:xfrm>
                    <a:prstGeom prst="rect">
                      <a:avLst/>
                    </a:prstGeom>
                  </pic:spPr>
                </pic:pic>
              </a:graphicData>
            </a:graphic>
          </wp:anchor>
        </w:drawing>
      </w:r>
    </w:p>
    <w:p w14:paraId="12AE98F6">
      <w:pPr>
        <w:spacing w:line="540" w:lineRule="exact"/>
        <w:rPr>
          <w:rFonts w:hint="eastAsia" w:ascii="宋体" w:hAnsi="宋体" w:eastAsia="宋体" w:cs="宋体"/>
          <w:color w:val="auto"/>
          <w:szCs w:val="21"/>
          <w:highlight w:val="none"/>
        </w:rPr>
      </w:pPr>
    </w:p>
    <w:p w14:paraId="4E2D60BD">
      <w:p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160807D1">
      <w:pPr>
        <w:jc w:val="center"/>
        <w:rPr>
          <w:rFonts w:hint="eastAsia" w:ascii="宋体" w:hAnsi="宋体" w:eastAsia="宋体" w:cs="宋体"/>
          <w:b/>
          <w:color w:val="auto"/>
          <w:sz w:val="72"/>
          <w:szCs w:val="72"/>
          <w:highlight w:val="none"/>
        </w:rPr>
      </w:pPr>
    </w:p>
    <w:bookmarkEnd w:id="0"/>
    <w:bookmarkEnd w:id="1"/>
    <w:p w14:paraId="3FDABC99">
      <w:pPr>
        <w:spacing w:line="540" w:lineRule="exact"/>
        <w:ind w:firstLine="437"/>
        <w:rPr>
          <w:rFonts w:hint="eastAsia" w:ascii="宋体" w:hAnsi="宋体" w:eastAsia="宋体" w:cs="宋体"/>
          <w:color w:val="auto"/>
          <w:szCs w:val="21"/>
          <w:highlight w:val="none"/>
        </w:rPr>
      </w:pPr>
    </w:p>
    <w:p w14:paraId="176DF65E">
      <w:pPr>
        <w:spacing w:line="540" w:lineRule="exact"/>
        <w:ind w:firstLine="437"/>
        <w:rPr>
          <w:rFonts w:hint="eastAsia" w:ascii="宋体" w:hAnsi="宋体" w:eastAsia="宋体" w:cs="宋体"/>
          <w:color w:val="auto"/>
          <w:szCs w:val="21"/>
          <w:highlight w:val="none"/>
        </w:rPr>
      </w:pPr>
    </w:p>
    <w:p w14:paraId="1AF5785C">
      <w:pPr>
        <w:spacing w:line="540" w:lineRule="exact"/>
        <w:ind w:firstLine="437"/>
        <w:rPr>
          <w:rFonts w:hint="eastAsia" w:ascii="宋体" w:hAnsi="宋体" w:eastAsia="宋体" w:cs="宋体"/>
          <w:color w:val="auto"/>
          <w:szCs w:val="21"/>
          <w:highlight w:val="none"/>
        </w:rPr>
      </w:pPr>
    </w:p>
    <w:p w14:paraId="61FAB202">
      <w:pPr>
        <w:spacing w:line="540" w:lineRule="exact"/>
        <w:ind w:firstLine="437"/>
        <w:rPr>
          <w:rFonts w:hint="eastAsia" w:ascii="宋体" w:hAnsi="宋体" w:eastAsia="宋体" w:cs="宋体"/>
          <w:color w:val="auto"/>
          <w:szCs w:val="21"/>
          <w:highlight w:val="none"/>
        </w:rPr>
      </w:pPr>
    </w:p>
    <w:p w14:paraId="02458A1F">
      <w:pPr>
        <w:spacing w:line="540" w:lineRule="exact"/>
        <w:ind w:firstLine="437"/>
        <w:rPr>
          <w:rFonts w:hint="eastAsia" w:ascii="宋体" w:hAnsi="宋体" w:eastAsia="宋体" w:cs="宋体"/>
          <w:color w:val="auto"/>
          <w:szCs w:val="21"/>
          <w:highlight w:val="none"/>
        </w:rPr>
      </w:pPr>
    </w:p>
    <w:p w14:paraId="3E6E707D">
      <w:pPr>
        <w:spacing w:line="540" w:lineRule="exact"/>
        <w:ind w:firstLine="437"/>
        <w:rPr>
          <w:rFonts w:hint="eastAsia" w:ascii="宋体" w:hAnsi="宋体" w:eastAsia="宋体" w:cs="宋体"/>
          <w:color w:val="auto"/>
          <w:szCs w:val="21"/>
          <w:highlight w:val="none"/>
        </w:rPr>
      </w:pPr>
    </w:p>
    <w:p w14:paraId="145A5345">
      <w:pPr>
        <w:keepNext w:val="0"/>
        <w:keepLines w:val="0"/>
        <w:pageBreakBefore w:val="0"/>
        <w:widowControl/>
        <w:kinsoku/>
        <w:wordWrap/>
        <w:overflowPunct/>
        <w:topLinePunct w:val="0"/>
        <w:autoSpaceDE/>
        <w:autoSpaceDN/>
        <w:bidi w:val="0"/>
        <w:adjustRightInd w:val="0"/>
        <w:snapToGrid w:val="0"/>
        <w:spacing w:line="360" w:lineRule="auto"/>
        <w:ind w:left="0" w:leftChars="0" w:firstLine="999" w:firstLineChars="333"/>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val="en-US" w:eastAsia="zh-CN"/>
        </w:rPr>
        <w:t>项目名称：</w:t>
      </w:r>
      <w:r>
        <w:rPr>
          <w:rFonts w:hint="eastAsia" w:ascii="宋体" w:hAnsi="宋体" w:eastAsia="宋体" w:cs="宋体"/>
          <w:color w:val="auto"/>
          <w:sz w:val="30"/>
          <w:szCs w:val="30"/>
          <w:highlight w:val="none"/>
          <w:lang w:eastAsia="zh-CN"/>
        </w:rPr>
        <w:t>昭阳区2025年小型水库大坝安全监测设施建设项目</w:t>
      </w:r>
    </w:p>
    <w:p w14:paraId="3A293EB8">
      <w:pPr>
        <w:keepNext w:val="0"/>
        <w:keepLines w:val="0"/>
        <w:pageBreakBefore w:val="0"/>
        <w:widowControl/>
        <w:kinsoku/>
        <w:wordWrap/>
        <w:overflowPunct/>
        <w:topLinePunct w:val="0"/>
        <w:autoSpaceDE/>
        <w:autoSpaceDN/>
        <w:bidi w:val="0"/>
        <w:adjustRightInd w:val="0"/>
        <w:snapToGrid w:val="0"/>
        <w:spacing w:line="360" w:lineRule="auto"/>
        <w:ind w:left="0" w:leftChars="0" w:firstLine="999" w:firstLineChars="333"/>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项目编号：FY（招标）ZT202</w:t>
      </w:r>
      <w:r>
        <w:rPr>
          <w:rFonts w:hint="eastAsia" w:ascii="宋体" w:hAnsi="宋体" w:eastAsia="宋体" w:cs="宋体"/>
          <w:color w:val="auto"/>
          <w:sz w:val="30"/>
          <w:szCs w:val="30"/>
          <w:highlight w:val="none"/>
          <w:lang w:val="en-US" w:eastAsia="zh-CN"/>
        </w:rPr>
        <w:t>5</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051</w:t>
      </w:r>
    </w:p>
    <w:p w14:paraId="479B7910">
      <w:pPr>
        <w:keepNext w:val="0"/>
        <w:keepLines w:val="0"/>
        <w:pageBreakBefore w:val="0"/>
        <w:widowControl/>
        <w:kinsoku/>
        <w:wordWrap/>
        <w:overflowPunct/>
        <w:topLinePunct w:val="0"/>
        <w:autoSpaceDE/>
        <w:autoSpaceDN/>
        <w:bidi w:val="0"/>
        <w:adjustRightInd w:val="0"/>
        <w:snapToGrid w:val="0"/>
        <w:spacing w:line="360" w:lineRule="auto"/>
        <w:ind w:left="0" w:leftChars="0" w:firstLine="999" w:firstLineChars="333"/>
        <w:textAlignment w:val="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 购 人:</w:t>
      </w:r>
      <w:r>
        <w:rPr>
          <w:rFonts w:hint="eastAsia" w:ascii="宋体" w:hAnsi="宋体" w:eastAsia="宋体" w:cs="宋体"/>
          <w:color w:val="auto"/>
          <w:sz w:val="30"/>
          <w:szCs w:val="30"/>
          <w:highlight w:val="none"/>
          <w:lang w:eastAsia="zh-CN"/>
        </w:rPr>
        <w:t>昭通市昭阳区水务局</w:t>
      </w:r>
    </w:p>
    <w:p w14:paraId="41A332DD">
      <w:pPr>
        <w:keepNext w:val="0"/>
        <w:keepLines w:val="0"/>
        <w:pageBreakBefore w:val="0"/>
        <w:widowControl/>
        <w:kinsoku/>
        <w:wordWrap/>
        <w:overflowPunct/>
        <w:topLinePunct w:val="0"/>
        <w:autoSpaceDE/>
        <w:autoSpaceDN/>
        <w:bidi w:val="0"/>
        <w:adjustRightInd w:val="0"/>
        <w:snapToGrid w:val="0"/>
        <w:spacing w:line="360" w:lineRule="auto"/>
        <w:ind w:left="0" w:leftChars="0" w:firstLine="999" w:firstLineChars="333"/>
        <w:textAlignment w:val="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采购代理机构:</w:t>
      </w:r>
      <w:r>
        <w:rPr>
          <w:rFonts w:hint="eastAsia" w:ascii="宋体" w:hAnsi="宋体" w:eastAsia="宋体" w:cs="宋体"/>
          <w:color w:val="auto"/>
          <w:sz w:val="30"/>
          <w:szCs w:val="30"/>
          <w:highlight w:val="none"/>
          <w:lang w:eastAsia="zh-CN"/>
        </w:rPr>
        <w:t>云南烽越项目管理咨询有限公司</w:t>
      </w:r>
    </w:p>
    <w:p w14:paraId="5E1FB70D">
      <w:pPr>
        <w:keepNext w:val="0"/>
        <w:keepLines w:val="0"/>
        <w:pageBreakBefore w:val="0"/>
        <w:widowControl/>
        <w:kinsoku/>
        <w:wordWrap/>
        <w:overflowPunct/>
        <w:topLinePunct w:val="0"/>
        <w:autoSpaceDE/>
        <w:autoSpaceDN/>
        <w:bidi w:val="0"/>
        <w:adjustRightInd w:val="0"/>
        <w:snapToGrid w:val="0"/>
        <w:spacing w:line="360" w:lineRule="auto"/>
        <w:ind w:left="0" w:leftChars="0" w:firstLine="999" w:firstLineChars="333"/>
        <w:jc w:val="center"/>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202</w:t>
      </w:r>
      <w:r>
        <w:rPr>
          <w:rFonts w:hint="eastAsia" w:ascii="宋体" w:hAnsi="宋体" w:cs="宋体"/>
          <w:color w:val="auto"/>
          <w:sz w:val="30"/>
          <w:szCs w:val="30"/>
          <w:highlight w:val="none"/>
          <w:lang w:val="en-US" w:eastAsia="zh-CN"/>
        </w:rPr>
        <w:t>5</w:t>
      </w:r>
      <w:r>
        <w:rPr>
          <w:rFonts w:hint="eastAsia" w:ascii="宋体" w:hAnsi="宋体" w:eastAsia="宋体" w:cs="宋体"/>
          <w:color w:val="auto"/>
          <w:sz w:val="30"/>
          <w:szCs w:val="30"/>
          <w:highlight w:val="none"/>
        </w:rPr>
        <w:t>年</w:t>
      </w:r>
      <w:r>
        <w:rPr>
          <w:rFonts w:hint="eastAsia" w:ascii="宋体" w:hAnsi="宋体" w:eastAsia="宋体" w:cs="宋体"/>
          <w:color w:val="auto"/>
          <w:sz w:val="30"/>
          <w:szCs w:val="30"/>
          <w:highlight w:val="none"/>
          <w:lang w:val="en-US" w:eastAsia="zh-CN"/>
        </w:rPr>
        <w:t>0</w:t>
      </w:r>
      <w:r>
        <w:rPr>
          <w:rFonts w:hint="eastAsia" w:ascii="宋体" w:hAnsi="宋体" w:cs="宋体"/>
          <w:color w:val="auto"/>
          <w:sz w:val="30"/>
          <w:szCs w:val="30"/>
          <w:highlight w:val="none"/>
          <w:lang w:val="en-US" w:eastAsia="zh-CN"/>
        </w:rPr>
        <w:t>9</w:t>
      </w:r>
      <w:r>
        <w:rPr>
          <w:rFonts w:hint="eastAsia" w:ascii="宋体" w:hAnsi="宋体" w:eastAsia="宋体" w:cs="宋体"/>
          <w:color w:val="auto"/>
          <w:sz w:val="30"/>
          <w:szCs w:val="30"/>
          <w:highlight w:val="none"/>
        </w:rPr>
        <w:t>月</w:t>
      </w:r>
    </w:p>
    <w:p w14:paraId="1E4C147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kern w:val="11"/>
          <w:sz w:val="32"/>
          <w:szCs w:val="32"/>
          <w:highlight w:val="none"/>
        </w:rPr>
        <w:sectPr>
          <w:headerReference r:id="rId3" w:type="default"/>
          <w:footerReference r:id="rId4" w:type="default"/>
          <w:pgSz w:w="11906" w:h="16838"/>
          <w:pgMar w:top="1418" w:right="1247" w:bottom="1418" w:left="1247" w:header="851" w:footer="992" w:gutter="0"/>
          <w:pgNumType w:fmt="decimal"/>
          <w:cols w:space="720" w:num="1"/>
          <w:docGrid w:linePitch="312" w:charSpace="0"/>
        </w:sectPr>
      </w:pPr>
    </w:p>
    <w:p w14:paraId="5DF0E81B">
      <w:pPr>
        <w:pStyle w:val="2"/>
        <w:bidi w:val="0"/>
        <w:jc w:val="center"/>
        <w:rPr>
          <w:rFonts w:hint="eastAsia"/>
          <w:color w:val="auto"/>
          <w:sz w:val="36"/>
          <w:szCs w:val="36"/>
          <w:highlight w:val="none"/>
        </w:rPr>
      </w:pPr>
      <w:r>
        <w:rPr>
          <w:rFonts w:hint="eastAsia"/>
          <w:color w:val="auto"/>
          <w:sz w:val="36"/>
          <w:szCs w:val="36"/>
          <w:highlight w:val="none"/>
        </w:rPr>
        <w:t>目  录</w:t>
      </w:r>
    </w:p>
    <w:p w14:paraId="0BCF49E2">
      <w:pPr>
        <w:pStyle w:val="38"/>
        <w:tabs>
          <w:tab w:val="right" w:leader="dot" w:pos="9412"/>
          <w:tab w:val="clear" w:pos="9402"/>
        </w:tabs>
        <w:spacing w:line="480" w:lineRule="auto"/>
        <w:rPr>
          <w:b w:val="0"/>
          <w:bCs/>
          <w:color w:val="auto"/>
          <w:sz w:val="24"/>
          <w:szCs w:val="24"/>
          <w:highlight w:val="none"/>
        </w:rPr>
      </w:pPr>
      <w:r>
        <w:rPr>
          <w:rFonts w:hint="eastAsia" w:ascii="宋体" w:hAnsi="宋体" w:eastAsia="宋体" w:cs="宋体"/>
          <w:b w:val="0"/>
          <w:bCs w:val="0"/>
          <w:color w:val="auto"/>
          <w:sz w:val="24"/>
          <w:szCs w:val="24"/>
          <w:highlight w:val="none"/>
        </w:rPr>
        <w:fldChar w:fldCharType="begin"/>
      </w:r>
      <w:r>
        <w:rPr>
          <w:rStyle w:val="64"/>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_Toc25307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第一章 竞争性磋商</w:t>
      </w:r>
      <w:r>
        <w:rPr>
          <w:rFonts w:hint="eastAsia" w:ascii="宋体" w:hAnsi="宋体" w:eastAsia="宋体" w:cs="宋体"/>
          <w:b w:val="0"/>
          <w:bCs/>
          <w:color w:val="auto"/>
          <w:sz w:val="24"/>
          <w:szCs w:val="24"/>
          <w:highlight w:val="none"/>
          <w:lang w:val="en-US" w:eastAsia="zh-CN"/>
        </w:rPr>
        <w:t>公告</w:t>
      </w:r>
      <w:r>
        <w:rPr>
          <w:b w:val="0"/>
          <w:bCs/>
          <w:color w:val="auto"/>
          <w:sz w:val="24"/>
          <w:szCs w:val="24"/>
          <w:highlight w:val="none"/>
        </w:rPr>
        <w:tab/>
      </w:r>
      <w:r>
        <w:rPr>
          <w:rFonts w:hint="eastAsia"/>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fldChar w:fldCharType="end"/>
      </w:r>
    </w:p>
    <w:p w14:paraId="20FFAAEA">
      <w:pPr>
        <w:pStyle w:val="38"/>
        <w:tabs>
          <w:tab w:val="right" w:leader="dot" w:pos="9412"/>
          <w:tab w:val="clear" w:pos="9402"/>
        </w:tabs>
        <w:spacing w:line="480" w:lineRule="auto"/>
        <w:rPr>
          <w:b w:val="0"/>
          <w:bCs/>
          <w:color w:val="auto"/>
          <w:sz w:val="24"/>
          <w:szCs w:val="24"/>
          <w:highlight w:val="none"/>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_Toc21186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第二章 供应商须知</w:t>
      </w:r>
      <w:r>
        <w:rPr>
          <w:b w:val="0"/>
          <w:bCs/>
          <w:color w:val="auto"/>
          <w:sz w:val="24"/>
          <w:szCs w:val="24"/>
          <w:highlight w:val="none"/>
        </w:rPr>
        <w:tab/>
      </w:r>
      <w:r>
        <w:rPr>
          <w:rFonts w:hint="eastAsia"/>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fldChar w:fldCharType="end"/>
      </w:r>
    </w:p>
    <w:p w14:paraId="2F858E1D">
      <w:pPr>
        <w:pStyle w:val="38"/>
        <w:tabs>
          <w:tab w:val="right" w:leader="dot" w:pos="9412"/>
          <w:tab w:val="clear" w:pos="9402"/>
        </w:tabs>
        <w:spacing w:line="480" w:lineRule="auto"/>
        <w:rPr>
          <w:b w:val="0"/>
          <w:bCs/>
          <w:color w:val="auto"/>
          <w:sz w:val="24"/>
          <w:szCs w:val="24"/>
          <w:highlight w:val="none"/>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_Toc5137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第三章 评审办法</w:t>
      </w:r>
      <w:r>
        <w:rPr>
          <w:b w:val="0"/>
          <w:bCs/>
          <w:color w:val="auto"/>
          <w:sz w:val="24"/>
          <w:szCs w:val="24"/>
          <w:highlight w:val="none"/>
        </w:rPr>
        <w:tab/>
      </w:r>
      <w:r>
        <w:rPr>
          <w:b w:val="0"/>
          <w:bCs/>
          <w:color w:val="auto"/>
          <w:sz w:val="24"/>
          <w:szCs w:val="24"/>
          <w:highlight w:val="none"/>
        </w:rPr>
        <w:fldChar w:fldCharType="begin"/>
      </w:r>
      <w:r>
        <w:rPr>
          <w:b w:val="0"/>
          <w:bCs/>
          <w:color w:val="auto"/>
          <w:sz w:val="24"/>
          <w:szCs w:val="24"/>
          <w:highlight w:val="none"/>
        </w:rPr>
        <w:instrText xml:space="preserve"> PAGEREF _Toc5137 \h </w:instrText>
      </w:r>
      <w:r>
        <w:rPr>
          <w:b w:val="0"/>
          <w:bCs/>
          <w:color w:val="auto"/>
          <w:sz w:val="24"/>
          <w:szCs w:val="24"/>
          <w:highlight w:val="none"/>
        </w:rPr>
        <w:fldChar w:fldCharType="separate"/>
      </w:r>
      <w:r>
        <w:rPr>
          <w:b w:val="0"/>
          <w:bCs/>
          <w:color w:val="auto"/>
          <w:sz w:val="24"/>
          <w:szCs w:val="24"/>
          <w:highlight w:val="none"/>
        </w:rPr>
        <w:t>1</w:t>
      </w:r>
      <w:r>
        <w:rPr>
          <w:rFonts w:hint="eastAsia"/>
          <w:b w:val="0"/>
          <w:bCs/>
          <w:color w:val="auto"/>
          <w:sz w:val="24"/>
          <w:szCs w:val="24"/>
          <w:highlight w:val="none"/>
          <w:lang w:val="en-US" w:eastAsia="zh-CN"/>
        </w:rPr>
        <w:t>5</w:t>
      </w:r>
      <w:r>
        <w:rPr>
          <w:b w:val="0"/>
          <w:bCs/>
          <w:color w:val="auto"/>
          <w:sz w:val="24"/>
          <w:szCs w:val="24"/>
          <w:highlight w:val="none"/>
        </w:rPr>
        <w:fldChar w:fldCharType="end"/>
      </w:r>
      <w:r>
        <w:rPr>
          <w:rFonts w:hint="eastAsia" w:ascii="宋体" w:hAnsi="宋体" w:eastAsia="宋体" w:cs="宋体"/>
          <w:b w:val="0"/>
          <w:bCs/>
          <w:color w:val="auto"/>
          <w:sz w:val="24"/>
          <w:szCs w:val="24"/>
          <w:highlight w:val="none"/>
        </w:rPr>
        <w:fldChar w:fldCharType="end"/>
      </w:r>
    </w:p>
    <w:p w14:paraId="4A2B0597">
      <w:pPr>
        <w:pStyle w:val="38"/>
        <w:tabs>
          <w:tab w:val="right" w:leader="dot" w:pos="9412"/>
          <w:tab w:val="clear" w:pos="9402"/>
        </w:tabs>
        <w:spacing w:line="480" w:lineRule="auto"/>
        <w:rPr>
          <w:b w:val="0"/>
          <w:bCs/>
          <w:color w:val="auto"/>
          <w:sz w:val="24"/>
          <w:szCs w:val="24"/>
          <w:highlight w:val="none"/>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_Toc20053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第四章</w:t>
      </w:r>
      <w:r>
        <w:rPr>
          <w:rFonts w:hint="eastAsia" w:ascii="宋体" w:hAnsi="宋体" w:eastAsia="宋体" w:cs="宋体"/>
          <w:b w:val="0"/>
          <w:bCs/>
          <w:color w:val="auto"/>
          <w:sz w:val="24"/>
          <w:szCs w:val="24"/>
          <w:highlight w:val="none"/>
          <w:lang w:eastAsia="zh-CN"/>
        </w:rPr>
        <w:t xml:space="preserve"> </w:t>
      </w:r>
      <w:r>
        <w:rPr>
          <w:rFonts w:hint="eastAsia" w:ascii="宋体" w:hAnsi="宋体" w:eastAsia="宋体" w:cs="宋体"/>
          <w:b w:val="0"/>
          <w:bCs/>
          <w:color w:val="auto"/>
          <w:sz w:val="24"/>
          <w:szCs w:val="24"/>
          <w:highlight w:val="none"/>
        </w:rPr>
        <w:t>合同主要条款及格式</w:t>
      </w:r>
      <w:r>
        <w:rPr>
          <w:b w:val="0"/>
          <w:bCs/>
          <w:color w:val="auto"/>
          <w:sz w:val="24"/>
          <w:szCs w:val="24"/>
          <w:highlight w:val="none"/>
        </w:rPr>
        <w:tab/>
      </w:r>
      <w:r>
        <w:rPr>
          <w:b w:val="0"/>
          <w:bCs/>
          <w:color w:val="auto"/>
          <w:sz w:val="24"/>
          <w:szCs w:val="24"/>
          <w:highlight w:val="none"/>
        </w:rPr>
        <w:fldChar w:fldCharType="begin"/>
      </w:r>
      <w:r>
        <w:rPr>
          <w:b w:val="0"/>
          <w:bCs/>
          <w:color w:val="auto"/>
          <w:sz w:val="24"/>
          <w:szCs w:val="24"/>
          <w:highlight w:val="none"/>
        </w:rPr>
        <w:instrText xml:space="preserve"> PAGEREF _Toc20053 \h </w:instrText>
      </w:r>
      <w:r>
        <w:rPr>
          <w:b w:val="0"/>
          <w:bCs/>
          <w:color w:val="auto"/>
          <w:sz w:val="24"/>
          <w:szCs w:val="24"/>
          <w:highlight w:val="none"/>
        </w:rPr>
        <w:fldChar w:fldCharType="separate"/>
      </w:r>
      <w:r>
        <w:rPr>
          <w:b w:val="0"/>
          <w:bCs/>
          <w:color w:val="auto"/>
          <w:sz w:val="24"/>
          <w:szCs w:val="24"/>
          <w:highlight w:val="none"/>
        </w:rPr>
        <w:t>2</w:t>
      </w:r>
      <w:r>
        <w:rPr>
          <w:rFonts w:hint="eastAsia"/>
          <w:b w:val="0"/>
          <w:bCs/>
          <w:color w:val="auto"/>
          <w:sz w:val="24"/>
          <w:szCs w:val="24"/>
          <w:highlight w:val="none"/>
          <w:lang w:val="en-US" w:eastAsia="zh-CN"/>
        </w:rPr>
        <w:t>1</w:t>
      </w:r>
      <w:r>
        <w:rPr>
          <w:b w:val="0"/>
          <w:bCs/>
          <w:color w:val="auto"/>
          <w:sz w:val="24"/>
          <w:szCs w:val="24"/>
          <w:highlight w:val="none"/>
        </w:rPr>
        <w:fldChar w:fldCharType="end"/>
      </w:r>
      <w:r>
        <w:rPr>
          <w:rFonts w:hint="eastAsia" w:ascii="宋体" w:hAnsi="宋体" w:eastAsia="宋体" w:cs="宋体"/>
          <w:b w:val="0"/>
          <w:bCs/>
          <w:color w:val="auto"/>
          <w:sz w:val="24"/>
          <w:szCs w:val="24"/>
          <w:highlight w:val="none"/>
        </w:rPr>
        <w:fldChar w:fldCharType="end"/>
      </w:r>
    </w:p>
    <w:p w14:paraId="1BF749B0">
      <w:pPr>
        <w:pStyle w:val="38"/>
        <w:tabs>
          <w:tab w:val="right" w:leader="dot" w:pos="9412"/>
          <w:tab w:val="clear" w:pos="9402"/>
        </w:tabs>
        <w:spacing w:line="480" w:lineRule="auto"/>
        <w:rPr>
          <w:b w:val="0"/>
          <w:bCs/>
          <w:color w:val="auto"/>
          <w:sz w:val="24"/>
          <w:szCs w:val="24"/>
          <w:highlight w:val="none"/>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_Toc32038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lang w:val="en-US" w:eastAsia="zh-CN"/>
        </w:rPr>
        <w:t xml:space="preserve">第五章 </w:t>
      </w:r>
      <w:r>
        <w:rPr>
          <w:rFonts w:hint="eastAsia" w:ascii="宋体" w:hAnsi="宋体" w:cs="宋体"/>
          <w:b w:val="0"/>
          <w:bCs/>
          <w:color w:val="auto"/>
          <w:sz w:val="24"/>
          <w:szCs w:val="24"/>
          <w:highlight w:val="none"/>
          <w:lang w:val="en-US" w:eastAsia="zh-CN"/>
        </w:rPr>
        <w:t>采购需求</w:t>
      </w:r>
      <w:r>
        <w:rPr>
          <w:b w:val="0"/>
          <w:bCs/>
          <w:color w:val="auto"/>
          <w:sz w:val="24"/>
          <w:szCs w:val="24"/>
          <w:highlight w:val="none"/>
        </w:rPr>
        <w:tab/>
      </w:r>
      <w:r>
        <w:rPr>
          <w:b w:val="0"/>
          <w:bCs/>
          <w:color w:val="auto"/>
          <w:sz w:val="24"/>
          <w:szCs w:val="24"/>
          <w:highlight w:val="none"/>
        </w:rPr>
        <w:fldChar w:fldCharType="begin"/>
      </w:r>
      <w:r>
        <w:rPr>
          <w:b w:val="0"/>
          <w:bCs/>
          <w:color w:val="auto"/>
          <w:sz w:val="24"/>
          <w:szCs w:val="24"/>
          <w:highlight w:val="none"/>
        </w:rPr>
        <w:instrText xml:space="preserve"> PAGEREF _Toc32038 \h </w:instrText>
      </w:r>
      <w:r>
        <w:rPr>
          <w:b w:val="0"/>
          <w:bCs/>
          <w:color w:val="auto"/>
          <w:sz w:val="24"/>
          <w:szCs w:val="24"/>
          <w:highlight w:val="none"/>
        </w:rPr>
        <w:fldChar w:fldCharType="separate"/>
      </w:r>
      <w:r>
        <w:rPr>
          <w:rFonts w:hint="eastAsia"/>
          <w:b w:val="0"/>
          <w:bCs/>
          <w:color w:val="auto"/>
          <w:sz w:val="24"/>
          <w:szCs w:val="24"/>
          <w:highlight w:val="none"/>
          <w:lang w:val="en-US" w:eastAsia="zh-CN"/>
        </w:rPr>
        <w:t>29</w:t>
      </w:r>
      <w:r>
        <w:rPr>
          <w:b w:val="0"/>
          <w:bCs/>
          <w:color w:val="auto"/>
          <w:sz w:val="24"/>
          <w:szCs w:val="24"/>
          <w:highlight w:val="none"/>
        </w:rPr>
        <w:fldChar w:fldCharType="end"/>
      </w:r>
      <w:r>
        <w:rPr>
          <w:rFonts w:hint="eastAsia" w:ascii="宋体" w:hAnsi="宋体" w:eastAsia="宋体" w:cs="宋体"/>
          <w:b w:val="0"/>
          <w:bCs/>
          <w:color w:val="auto"/>
          <w:sz w:val="24"/>
          <w:szCs w:val="24"/>
          <w:highlight w:val="none"/>
        </w:rPr>
        <w:fldChar w:fldCharType="end"/>
      </w:r>
    </w:p>
    <w:p w14:paraId="1E330D1C">
      <w:pPr>
        <w:pStyle w:val="38"/>
        <w:tabs>
          <w:tab w:val="right" w:leader="dot" w:pos="9412"/>
          <w:tab w:val="clear" w:pos="9402"/>
        </w:tabs>
        <w:spacing w:line="480" w:lineRule="auto"/>
        <w:rPr>
          <w:color w:val="auto"/>
          <w:highlight w:val="none"/>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\l _Toc11079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iCs/>
          <w:color w:val="auto"/>
          <w:sz w:val="24"/>
          <w:szCs w:val="24"/>
          <w:highlight w:val="none"/>
        </w:rPr>
        <w:t>第</w:t>
      </w:r>
      <w:r>
        <w:rPr>
          <w:rFonts w:hint="eastAsia" w:ascii="宋体" w:hAnsi="宋体" w:eastAsia="宋体" w:cs="宋体"/>
          <w:b w:val="0"/>
          <w:bCs/>
          <w:iCs/>
          <w:color w:val="auto"/>
          <w:sz w:val="24"/>
          <w:szCs w:val="24"/>
          <w:highlight w:val="none"/>
          <w:lang w:eastAsia="zh-CN"/>
        </w:rPr>
        <w:t>六</w:t>
      </w:r>
      <w:r>
        <w:rPr>
          <w:rFonts w:hint="eastAsia" w:ascii="宋体" w:hAnsi="宋体" w:eastAsia="宋体" w:cs="宋体"/>
          <w:b w:val="0"/>
          <w:bCs/>
          <w:iCs/>
          <w:color w:val="auto"/>
          <w:sz w:val="24"/>
          <w:szCs w:val="24"/>
          <w:highlight w:val="none"/>
        </w:rPr>
        <w:t>章  响应文件格式</w:t>
      </w:r>
      <w:r>
        <w:rPr>
          <w:b w:val="0"/>
          <w:bCs/>
          <w:color w:val="auto"/>
          <w:sz w:val="24"/>
          <w:szCs w:val="24"/>
          <w:highlight w:val="none"/>
        </w:rPr>
        <w:tab/>
      </w:r>
      <w:r>
        <w:rPr>
          <w:b w:val="0"/>
          <w:bCs/>
          <w:color w:val="auto"/>
          <w:sz w:val="24"/>
          <w:szCs w:val="24"/>
          <w:highlight w:val="none"/>
        </w:rPr>
        <w:fldChar w:fldCharType="begin"/>
      </w:r>
      <w:r>
        <w:rPr>
          <w:b w:val="0"/>
          <w:bCs/>
          <w:color w:val="auto"/>
          <w:sz w:val="24"/>
          <w:szCs w:val="24"/>
          <w:highlight w:val="none"/>
        </w:rPr>
        <w:instrText xml:space="preserve"> PAGEREF _Toc11079 \h </w:instrText>
      </w:r>
      <w:r>
        <w:rPr>
          <w:b w:val="0"/>
          <w:bCs/>
          <w:color w:val="auto"/>
          <w:sz w:val="24"/>
          <w:szCs w:val="24"/>
          <w:highlight w:val="none"/>
        </w:rPr>
        <w:fldChar w:fldCharType="separate"/>
      </w:r>
      <w:r>
        <w:rPr>
          <w:rFonts w:hint="eastAsia"/>
          <w:b w:val="0"/>
          <w:bCs/>
          <w:color w:val="auto"/>
          <w:sz w:val="24"/>
          <w:szCs w:val="24"/>
          <w:highlight w:val="none"/>
          <w:lang w:val="en-US" w:eastAsia="zh-CN"/>
        </w:rPr>
        <w:t>49</w:t>
      </w:r>
      <w:r>
        <w:rPr>
          <w:b w:val="0"/>
          <w:bCs/>
          <w:color w:val="auto"/>
          <w:sz w:val="24"/>
          <w:szCs w:val="24"/>
          <w:highlight w:val="none"/>
        </w:rPr>
        <w:fldChar w:fldCharType="end"/>
      </w:r>
      <w:r>
        <w:rPr>
          <w:rFonts w:hint="eastAsia" w:ascii="宋体" w:hAnsi="宋体" w:eastAsia="宋体" w:cs="宋体"/>
          <w:b w:val="0"/>
          <w:bCs/>
          <w:color w:val="auto"/>
          <w:sz w:val="24"/>
          <w:szCs w:val="24"/>
          <w:highlight w:val="none"/>
        </w:rPr>
        <w:fldChar w:fldCharType="end"/>
      </w:r>
    </w:p>
    <w:p w14:paraId="4AE8117D">
      <w:pPr>
        <w:pStyle w:val="49"/>
        <w:tabs>
          <w:tab w:val="right" w:leader="dot" w:pos="9412"/>
        </w:tabs>
        <w:rPr>
          <w:color w:val="auto"/>
          <w:highlight w:val="none"/>
        </w:rPr>
      </w:pPr>
    </w:p>
    <w:p w14:paraId="553850B5">
      <w:pPr>
        <w:spacing w:line="360" w:lineRule="auto"/>
        <w:rPr>
          <w:rFonts w:hint="eastAsia" w:ascii="宋体" w:hAnsi="宋体" w:eastAsia="宋体" w:cs="宋体"/>
          <w:color w:val="auto"/>
          <w:sz w:val="21"/>
          <w:szCs w:val="21"/>
          <w:highlight w:val="none"/>
        </w:rPr>
        <w:sectPr>
          <w:headerReference r:id="rId5" w:type="default"/>
          <w:footerReference r:id="rId6" w:type="default"/>
          <w:pgSz w:w="11906" w:h="16838"/>
          <w:pgMar w:top="1418" w:right="1247" w:bottom="1418" w:left="1247" w:header="851" w:footer="964" w:gutter="0"/>
          <w:pgNumType w:start="1"/>
          <w:cols w:space="720" w:num="1"/>
          <w:docGrid w:linePitch="312" w:charSpace="0"/>
        </w:sectPr>
      </w:pPr>
      <w:r>
        <w:rPr>
          <w:rFonts w:hint="eastAsia" w:ascii="宋体" w:hAnsi="宋体" w:eastAsia="宋体" w:cs="宋体"/>
          <w:bCs/>
          <w:color w:val="auto"/>
          <w:szCs w:val="24"/>
          <w:highlight w:val="none"/>
        </w:rPr>
        <w:fldChar w:fldCharType="end"/>
      </w:r>
    </w:p>
    <w:p w14:paraId="217D3100">
      <w:pPr>
        <w:pStyle w:val="2"/>
        <w:spacing w:line="360" w:lineRule="auto"/>
        <w:jc w:val="center"/>
        <w:rPr>
          <w:rFonts w:hint="eastAsia" w:ascii="宋体" w:hAnsi="宋体" w:eastAsia="宋体" w:cs="宋体"/>
          <w:color w:val="auto"/>
          <w:sz w:val="32"/>
          <w:szCs w:val="32"/>
          <w:highlight w:val="none"/>
          <w:lang w:eastAsia="zh-CN"/>
        </w:rPr>
      </w:pPr>
      <w:bookmarkStart w:id="2" w:name="_Toc305846479"/>
      <w:bookmarkStart w:id="3" w:name="_Toc25307"/>
      <w:r>
        <w:rPr>
          <w:rFonts w:hint="eastAsia" w:ascii="宋体" w:hAnsi="宋体" w:eastAsia="宋体" w:cs="宋体"/>
          <w:color w:val="auto"/>
          <w:sz w:val="32"/>
          <w:szCs w:val="32"/>
          <w:highlight w:val="none"/>
        </w:rPr>
        <w:t xml:space="preserve">第一章 </w:t>
      </w:r>
      <w:bookmarkEnd w:id="2"/>
      <w:r>
        <w:rPr>
          <w:rFonts w:hint="eastAsia" w:ascii="宋体" w:hAnsi="宋体" w:eastAsia="宋体" w:cs="宋体"/>
          <w:color w:val="auto"/>
          <w:sz w:val="32"/>
          <w:szCs w:val="32"/>
          <w:highlight w:val="none"/>
        </w:rPr>
        <w:t>竞争性磋商</w:t>
      </w:r>
      <w:r>
        <w:rPr>
          <w:rFonts w:hint="eastAsia" w:ascii="宋体" w:hAnsi="宋体" w:eastAsia="宋体" w:cs="宋体"/>
          <w:color w:val="auto"/>
          <w:sz w:val="32"/>
          <w:szCs w:val="32"/>
          <w:highlight w:val="none"/>
          <w:lang w:val="en-US" w:eastAsia="zh-CN"/>
        </w:rPr>
        <w:t>公告</w:t>
      </w:r>
      <w:bookmarkEnd w:id="3"/>
    </w:p>
    <w:p w14:paraId="433CB814">
      <w:pPr>
        <w:pStyle w:val="2"/>
        <w:pageBreakBefore w:val="0"/>
        <w:widowControl w:val="0"/>
        <w:tabs>
          <w:tab w:val="left" w:pos="0"/>
        </w:tabs>
        <w:kinsoku/>
        <w:wordWrap/>
        <w:overflowPunct/>
        <w:topLinePunct w:val="0"/>
        <w:autoSpaceDE w:val="0"/>
        <w:autoSpaceDN w:val="0"/>
        <w:bidi w:val="0"/>
        <w:adjustRightInd w:val="0"/>
        <w:snapToGrid w:val="0"/>
        <w:spacing w:before="0" w:after="0" w:line="36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val="en-US" w:eastAsia="zh-CN"/>
        </w:rPr>
        <w:t>昭阳区2025年小型水库大坝安全监测设施建设项目</w:t>
      </w:r>
      <w:r>
        <w:rPr>
          <w:rFonts w:hint="eastAsia" w:ascii="宋体" w:hAnsi="宋体" w:eastAsia="宋体" w:cs="宋体"/>
          <w:b/>
          <w:bCs/>
          <w:color w:val="auto"/>
          <w:sz w:val="32"/>
          <w:szCs w:val="32"/>
          <w:highlight w:val="none"/>
        </w:rPr>
        <w:t>竞争性磋商</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公告</w:t>
      </w:r>
    </w:p>
    <w:p w14:paraId="39FCD133">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i w:val="0"/>
          <w:iCs w:val="0"/>
          <w:color w:val="auto"/>
          <w:highlight w:val="none"/>
        </w:rPr>
      </w:pPr>
    </w:p>
    <w:p w14:paraId="127A5D1B">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项目概况</w:t>
      </w:r>
    </w:p>
    <w:p w14:paraId="44EE54F9">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u w:val="single"/>
          <w:lang w:val="en-US" w:eastAsia="zh-CN"/>
        </w:rPr>
        <w:t>昭阳区2025年小型水库大坝安全监测设施建设项目</w:t>
      </w:r>
      <w:r>
        <w:rPr>
          <w:rFonts w:hint="eastAsia" w:ascii="宋体" w:hAnsi="宋体" w:eastAsia="宋体" w:cs="宋体"/>
          <w:i w:val="0"/>
          <w:iCs w:val="0"/>
          <w:color w:val="auto"/>
          <w:sz w:val="24"/>
          <w:szCs w:val="24"/>
          <w:highlight w:val="none"/>
        </w:rPr>
        <w:t>的潜在供应商应在</w:t>
      </w:r>
      <w:r>
        <w:rPr>
          <w:rFonts w:hint="eastAsia" w:ascii="宋体" w:hAnsi="宋体" w:cs="宋体"/>
          <w:color w:val="auto"/>
          <w:sz w:val="24"/>
          <w:highlight w:val="none"/>
          <w:u w:val="single"/>
        </w:rPr>
        <w:t>政采云平台（https://www.zcygov.cn/）</w:t>
      </w:r>
      <w:r>
        <w:rPr>
          <w:rFonts w:hint="eastAsia" w:ascii="宋体" w:hAnsi="宋体" w:cs="宋体"/>
          <w:color w:val="auto"/>
          <w:sz w:val="24"/>
          <w:highlight w:val="none"/>
          <w:u w:val="none"/>
          <w:lang w:val="en-US" w:eastAsia="zh-CN"/>
        </w:rPr>
        <w:t>报名</w:t>
      </w:r>
      <w:r>
        <w:rPr>
          <w:rFonts w:hint="eastAsia" w:ascii="宋体" w:hAnsi="宋体" w:eastAsia="宋体" w:cs="宋体"/>
          <w:i w:val="0"/>
          <w:iCs w:val="0"/>
          <w:color w:val="auto"/>
          <w:sz w:val="24"/>
          <w:szCs w:val="24"/>
          <w:highlight w:val="none"/>
        </w:rPr>
        <w:t>获取采购文件，并于</w:t>
      </w:r>
      <w:r>
        <w:rPr>
          <w:rFonts w:hint="eastAsia" w:ascii="宋体" w:hAnsi="宋体" w:eastAsia="宋体" w:cs="宋体"/>
          <w:i w:val="0"/>
          <w:iCs w:val="0"/>
          <w:color w:val="auto"/>
          <w:sz w:val="24"/>
          <w:szCs w:val="24"/>
          <w:highlight w:val="none"/>
          <w:u w:val="single"/>
          <w:lang w:val="en-US" w:eastAsia="zh-CN"/>
        </w:rPr>
        <w:t>202</w:t>
      </w:r>
      <w:r>
        <w:rPr>
          <w:rFonts w:hint="eastAsia" w:ascii="宋体" w:hAnsi="宋体" w:cs="宋体"/>
          <w:i w:val="0"/>
          <w:iCs w:val="0"/>
          <w:color w:val="auto"/>
          <w:sz w:val="24"/>
          <w:szCs w:val="24"/>
          <w:highlight w:val="none"/>
          <w:u w:val="single"/>
          <w:lang w:val="en-US" w:eastAsia="zh-CN"/>
        </w:rPr>
        <w:t>5</w:t>
      </w:r>
      <w:r>
        <w:rPr>
          <w:rFonts w:hint="eastAsia" w:ascii="宋体" w:hAnsi="宋体" w:eastAsia="宋体" w:cs="宋体"/>
          <w:bCs/>
          <w:i w:val="0"/>
          <w:iCs w:val="0"/>
          <w:color w:val="auto"/>
          <w:sz w:val="24"/>
          <w:szCs w:val="24"/>
          <w:highlight w:val="none"/>
          <w:u w:val="single"/>
        </w:rPr>
        <w:t>年</w:t>
      </w:r>
      <w:r>
        <w:rPr>
          <w:rFonts w:hint="eastAsia" w:ascii="宋体" w:hAnsi="宋体" w:cs="宋体"/>
          <w:bCs/>
          <w:i w:val="0"/>
          <w:iCs w:val="0"/>
          <w:color w:val="auto"/>
          <w:sz w:val="24"/>
          <w:szCs w:val="24"/>
          <w:highlight w:val="none"/>
          <w:u w:val="single"/>
          <w:lang w:val="en-US" w:eastAsia="zh-CN"/>
        </w:rPr>
        <w:t>10</w:t>
      </w:r>
      <w:r>
        <w:rPr>
          <w:rFonts w:hint="eastAsia" w:ascii="宋体" w:hAnsi="宋体" w:eastAsia="宋体" w:cs="宋体"/>
          <w:bCs/>
          <w:i w:val="0"/>
          <w:iCs w:val="0"/>
          <w:color w:val="auto"/>
          <w:sz w:val="24"/>
          <w:szCs w:val="24"/>
          <w:highlight w:val="none"/>
          <w:u w:val="single"/>
        </w:rPr>
        <w:t>月</w:t>
      </w:r>
      <w:r>
        <w:rPr>
          <w:rFonts w:hint="eastAsia" w:ascii="宋体" w:hAnsi="宋体" w:cs="宋体"/>
          <w:bCs/>
          <w:i w:val="0"/>
          <w:iCs w:val="0"/>
          <w:color w:val="auto"/>
          <w:sz w:val="24"/>
          <w:szCs w:val="24"/>
          <w:highlight w:val="none"/>
          <w:u w:val="single"/>
          <w:lang w:val="en-US" w:eastAsia="zh-CN"/>
        </w:rPr>
        <w:t>14</w:t>
      </w:r>
      <w:r>
        <w:rPr>
          <w:rFonts w:hint="eastAsia" w:ascii="宋体" w:hAnsi="宋体" w:eastAsia="宋体" w:cs="宋体"/>
          <w:bCs/>
          <w:i w:val="0"/>
          <w:iCs w:val="0"/>
          <w:color w:val="auto"/>
          <w:sz w:val="24"/>
          <w:szCs w:val="24"/>
          <w:highlight w:val="none"/>
          <w:u w:val="single"/>
        </w:rPr>
        <w:t>日</w:t>
      </w:r>
      <w:r>
        <w:rPr>
          <w:rFonts w:hint="eastAsia" w:ascii="宋体" w:hAnsi="宋体" w:eastAsia="宋体" w:cs="宋体"/>
          <w:bCs/>
          <w:i w:val="0"/>
          <w:iCs w:val="0"/>
          <w:color w:val="auto"/>
          <w:sz w:val="24"/>
          <w:szCs w:val="24"/>
          <w:highlight w:val="none"/>
          <w:u w:val="single"/>
          <w:lang w:val="en-US" w:eastAsia="zh-CN"/>
        </w:rPr>
        <w:t>09</w:t>
      </w:r>
      <w:r>
        <w:rPr>
          <w:rFonts w:hint="eastAsia" w:ascii="宋体" w:hAnsi="宋体" w:eastAsia="宋体" w:cs="宋体"/>
          <w:bCs/>
          <w:i w:val="0"/>
          <w:iCs w:val="0"/>
          <w:color w:val="auto"/>
          <w:sz w:val="24"/>
          <w:szCs w:val="24"/>
          <w:highlight w:val="none"/>
          <w:u w:val="single"/>
        </w:rPr>
        <w:t>点</w:t>
      </w:r>
      <w:r>
        <w:rPr>
          <w:rFonts w:hint="eastAsia" w:ascii="宋体" w:hAnsi="宋体" w:eastAsia="宋体" w:cs="宋体"/>
          <w:bCs/>
          <w:i w:val="0"/>
          <w:iCs w:val="0"/>
          <w:color w:val="auto"/>
          <w:sz w:val="24"/>
          <w:szCs w:val="24"/>
          <w:highlight w:val="none"/>
          <w:u w:val="single"/>
          <w:lang w:val="en-US" w:eastAsia="zh-CN"/>
        </w:rPr>
        <w:t>30</w:t>
      </w:r>
      <w:r>
        <w:rPr>
          <w:rFonts w:hint="eastAsia" w:ascii="宋体" w:hAnsi="宋体" w:eastAsia="宋体" w:cs="宋体"/>
          <w:bCs/>
          <w:i w:val="0"/>
          <w:iCs w:val="0"/>
          <w:color w:val="auto"/>
          <w:sz w:val="24"/>
          <w:szCs w:val="24"/>
          <w:highlight w:val="none"/>
          <w:u w:val="single"/>
        </w:rPr>
        <w:t>分</w:t>
      </w:r>
      <w:r>
        <w:rPr>
          <w:rFonts w:hint="eastAsia" w:ascii="宋体" w:hAnsi="宋体" w:eastAsia="宋体" w:cs="宋体"/>
          <w:bCs/>
          <w:i w:val="0"/>
          <w:iCs w:val="0"/>
          <w:color w:val="auto"/>
          <w:sz w:val="24"/>
          <w:szCs w:val="24"/>
          <w:highlight w:val="none"/>
        </w:rPr>
        <w:t>（北京时间）前提交响应文件</w:t>
      </w:r>
      <w:r>
        <w:rPr>
          <w:rFonts w:hint="eastAsia" w:ascii="宋体" w:hAnsi="宋体" w:eastAsia="宋体" w:cs="宋体"/>
          <w:i w:val="0"/>
          <w:iCs w:val="0"/>
          <w:color w:val="auto"/>
          <w:sz w:val="24"/>
          <w:szCs w:val="24"/>
          <w:highlight w:val="none"/>
        </w:rPr>
        <w:t>。</w:t>
      </w:r>
    </w:p>
    <w:p w14:paraId="55F27567">
      <w:pPr>
        <w:pStyle w:val="3"/>
        <w:pageBreakBefore w:val="0"/>
        <w:widowControl w:val="0"/>
        <w:kinsoku/>
        <w:wordWrap/>
        <w:overflowPunct/>
        <w:topLinePunct w:val="0"/>
        <w:autoSpaceDE/>
        <w:autoSpaceDN/>
        <w:bidi w:val="0"/>
        <w:adjustRightInd w:val="0"/>
        <w:snapToGrid w:val="0"/>
        <w:spacing w:before="0" w:after="0" w:line="360" w:lineRule="auto"/>
        <w:ind w:left="0" w:leftChars="0"/>
        <w:textAlignment w:val="auto"/>
        <w:rPr>
          <w:rFonts w:hint="eastAsia" w:ascii="宋体" w:hAnsi="宋体" w:eastAsia="宋体" w:cs="宋体"/>
          <w:b/>
          <w:bCs w:val="0"/>
          <w:i w:val="0"/>
          <w:iCs w:val="0"/>
          <w:color w:val="auto"/>
          <w:sz w:val="24"/>
          <w:szCs w:val="24"/>
          <w:highlight w:val="none"/>
        </w:rPr>
      </w:pPr>
      <w:bookmarkStart w:id="4" w:name="_Toc35393798"/>
      <w:bookmarkStart w:id="5" w:name="_Toc28359089"/>
      <w:bookmarkStart w:id="6" w:name="_Toc35393629"/>
      <w:bookmarkStart w:id="7" w:name="_Toc28359012"/>
      <w:r>
        <w:rPr>
          <w:rFonts w:hint="eastAsia" w:ascii="宋体" w:hAnsi="宋体" w:eastAsia="宋体" w:cs="宋体"/>
          <w:b/>
          <w:bCs w:val="0"/>
          <w:i w:val="0"/>
          <w:iCs w:val="0"/>
          <w:color w:val="auto"/>
          <w:sz w:val="24"/>
          <w:szCs w:val="24"/>
          <w:highlight w:val="none"/>
        </w:rPr>
        <w:t>一、项目基本情况</w:t>
      </w:r>
      <w:bookmarkEnd w:id="4"/>
      <w:bookmarkEnd w:id="5"/>
      <w:bookmarkEnd w:id="6"/>
      <w:bookmarkEnd w:id="7"/>
    </w:p>
    <w:p w14:paraId="066377B3">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项目编号：</w:t>
      </w:r>
      <w:r>
        <w:rPr>
          <w:rFonts w:hint="eastAsia" w:ascii="宋体" w:hAnsi="宋体" w:cs="宋体"/>
          <w:b w:val="0"/>
          <w:bCs/>
          <w:color w:val="auto"/>
          <w:sz w:val="24"/>
          <w:szCs w:val="24"/>
          <w:highlight w:val="none"/>
          <w:lang w:eastAsia="zh-CN"/>
        </w:rPr>
        <w:t>FY（招标）ZT202</w:t>
      </w:r>
      <w:r>
        <w:rPr>
          <w:rFonts w:hint="eastAsia" w:ascii="宋体" w:hAnsi="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051</w:t>
      </w:r>
      <w:r>
        <w:rPr>
          <w:rFonts w:hint="eastAsia" w:ascii="宋体" w:hAnsi="宋体" w:cs="宋体"/>
          <w:b w:val="0"/>
          <w:bCs/>
          <w:color w:val="auto"/>
          <w:sz w:val="24"/>
          <w:szCs w:val="24"/>
          <w:highlight w:val="none"/>
          <w:lang w:val="en-US" w:eastAsia="zh-CN"/>
        </w:rPr>
        <w:t xml:space="preserve"> </w:t>
      </w:r>
    </w:p>
    <w:p w14:paraId="20DA5B44">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cs="宋体"/>
          <w:i w:val="0"/>
          <w:iCs w:val="0"/>
          <w:color w:val="auto"/>
          <w:sz w:val="24"/>
          <w:szCs w:val="24"/>
          <w:highlight w:val="none"/>
          <w:lang w:val="en-US" w:eastAsia="zh-CN"/>
        </w:rPr>
        <w:t>1.2</w:t>
      </w:r>
      <w:r>
        <w:rPr>
          <w:rFonts w:hint="eastAsia" w:ascii="宋体" w:hAnsi="宋体" w:eastAsia="宋体" w:cs="宋体"/>
          <w:i w:val="0"/>
          <w:iCs w:val="0"/>
          <w:color w:val="auto"/>
          <w:sz w:val="24"/>
          <w:szCs w:val="24"/>
          <w:highlight w:val="none"/>
        </w:rPr>
        <w:t>项目名称：</w:t>
      </w:r>
      <w:r>
        <w:rPr>
          <w:rFonts w:hint="eastAsia" w:ascii="宋体" w:hAnsi="宋体" w:cs="宋体"/>
          <w:i w:val="0"/>
          <w:iCs w:val="0"/>
          <w:color w:val="auto"/>
          <w:sz w:val="24"/>
          <w:szCs w:val="24"/>
          <w:highlight w:val="none"/>
          <w:lang w:val="en-US" w:eastAsia="zh-CN"/>
        </w:rPr>
        <w:t>昭阳区2025年小型水库大坝安全监测设施建设项目</w:t>
      </w:r>
    </w:p>
    <w:p w14:paraId="4A8EAF8C">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采购方式：竞争性</w:t>
      </w:r>
      <w:r>
        <w:rPr>
          <w:rFonts w:hint="eastAsia" w:ascii="宋体" w:hAnsi="宋体" w:eastAsia="宋体" w:cs="宋体"/>
          <w:i w:val="0"/>
          <w:iCs w:val="0"/>
          <w:color w:val="auto"/>
          <w:sz w:val="24"/>
          <w:szCs w:val="24"/>
          <w:highlight w:val="none"/>
          <w:lang w:val="en-US" w:eastAsia="zh-CN"/>
        </w:rPr>
        <w:t>磋商</w:t>
      </w:r>
    </w:p>
    <w:p w14:paraId="0A1914A9">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1.4</w:t>
      </w:r>
      <w:r>
        <w:rPr>
          <w:rFonts w:hint="eastAsia" w:ascii="宋体" w:hAnsi="宋体" w:eastAsia="宋体" w:cs="宋体"/>
          <w:i w:val="0"/>
          <w:iCs w:val="0"/>
          <w:color w:val="auto"/>
          <w:sz w:val="24"/>
          <w:szCs w:val="24"/>
          <w:highlight w:val="none"/>
        </w:rPr>
        <w:t>预算金额：</w:t>
      </w:r>
      <w:r>
        <w:rPr>
          <w:rFonts w:hint="eastAsia" w:ascii="宋体" w:hAnsi="宋体" w:cs="宋体"/>
          <w:i w:val="0"/>
          <w:iCs w:val="0"/>
          <w:color w:val="auto"/>
          <w:sz w:val="24"/>
          <w:szCs w:val="24"/>
          <w:highlight w:val="none"/>
          <w:lang w:val="en-US" w:eastAsia="zh-CN"/>
        </w:rPr>
        <w:t>130.97万元</w:t>
      </w:r>
    </w:p>
    <w:p w14:paraId="7CB8D981">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1.5</w:t>
      </w:r>
      <w:r>
        <w:rPr>
          <w:rFonts w:hint="eastAsia" w:ascii="宋体" w:hAnsi="宋体" w:eastAsia="宋体" w:cs="宋体"/>
          <w:i w:val="0"/>
          <w:iCs w:val="0"/>
          <w:color w:val="auto"/>
          <w:sz w:val="24"/>
          <w:szCs w:val="24"/>
          <w:highlight w:val="none"/>
        </w:rPr>
        <w:t>最高限价（如有）：</w:t>
      </w:r>
      <w:r>
        <w:rPr>
          <w:rFonts w:hint="eastAsia" w:ascii="宋体" w:hAnsi="宋体" w:cs="宋体"/>
          <w:i w:val="0"/>
          <w:iCs w:val="0"/>
          <w:color w:val="auto"/>
          <w:sz w:val="24"/>
          <w:szCs w:val="24"/>
          <w:highlight w:val="none"/>
          <w:lang w:val="en-US" w:eastAsia="zh-CN"/>
        </w:rPr>
        <w:t>130.97万元</w:t>
      </w:r>
    </w:p>
    <w:p w14:paraId="06FF7B4F">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1.6采购需求：本次采购内容</w:t>
      </w:r>
      <w:r>
        <w:rPr>
          <w:rFonts w:hint="eastAsia" w:ascii="宋体" w:hAnsi="宋体" w:eastAsia="宋体" w:cs="宋体"/>
          <w:i w:val="0"/>
          <w:iCs w:val="0"/>
          <w:color w:val="auto"/>
          <w:sz w:val="24"/>
          <w:szCs w:val="24"/>
          <w:highlight w:val="none"/>
        </w:rPr>
        <w:t>按照功能主要划分为以下几个部分：安全监测监测站、数据传输、监测平台、数据共享推送（省市平台或者其他业务平台）</w:t>
      </w:r>
      <w:r>
        <w:rPr>
          <w:rFonts w:hint="eastAsia" w:ascii="宋体" w:hAnsi="宋体" w:eastAsia="宋体" w:cs="宋体"/>
          <w:i w:val="0"/>
          <w:iCs w:val="0"/>
          <w:color w:val="auto"/>
          <w:sz w:val="24"/>
          <w:szCs w:val="24"/>
          <w:highlight w:val="none"/>
          <w:lang w:val="en-US" w:eastAsia="zh-CN"/>
        </w:rPr>
        <w:t>的</w:t>
      </w:r>
      <w:r>
        <w:rPr>
          <w:rFonts w:hint="eastAsia" w:ascii="宋体" w:hAnsi="宋体" w:cs="宋体"/>
          <w:i w:val="0"/>
          <w:iCs w:val="0"/>
          <w:color w:val="auto"/>
          <w:sz w:val="24"/>
          <w:szCs w:val="24"/>
          <w:highlight w:val="none"/>
          <w:lang w:val="en-US" w:eastAsia="zh-CN"/>
        </w:rPr>
        <w:t>设施设备采购、安装及测试</w:t>
      </w:r>
      <w:r>
        <w:rPr>
          <w:rFonts w:hint="eastAsia" w:ascii="宋体" w:hAnsi="宋体" w:cs="宋体"/>
          <w:i w:val="0"/>
          <w:iCs w:val="0"/>
          <w:color w:val="auto"/>
          <w:sz w:val="24"/>
          <w:szCs w:val="24"/>
          <w:highlight w:val="none"/>
          <w:lang w:val="en-US" w:eastAsia="zh-CN"/>
        </w:rPr>
        <w:t>并按采购人要求接入指定平台</w:t>
      </w:r>
      <w:r>
        <w:rPr>
          <w:rFonts w:hint="eastAsia" w:ascii="宋体" w:hAnsi="宋体" w:cs="宋体"/>
          <w:i w:val="0"/>
          <w:iCs w:val="0"/>
          <w:color w:val="auto"/>
          <w:sz w:val="24"/>
          <w:szCs w:val="24"/>
          <w:highlight w:val="none"/>
          <w:lang w:val="en-US" w:eastAsia="zh-CN"/>
        </w:rPr>
        <w:t>等工作</w:t>
      </w:r>
      <w:r>
        <w:rPr>
          <w:rFonts w:hint="eastAsia" w:ascii="宋体" w:hAnsi="宋体" w:cs="宋体"/>
          <w:color w:val="auto"/>
          <w:sz w:val="24"/>
          <w:szCs w:val="24"/>
          <w:highlight w:val="none"/>
          <w:lang w:val="en-US" w:eastAsia="zh-CN"/>
        </w:rPr>
        <w:t>。</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none"/>
          <w:lang w:val="en-US" w:eastAsia="zh-CN"/>
        </w:rPr>
        <w:t>具体详见：竞争性磋商文件第五章</w:t>
      </w:r>
      <w:r>
        <w:rPr>
          <w:rFonts w:hint="eastAsia" w:ascii="宋体" w:hAnsi="宋体" w:cs="宋体"/>
          <w:i w:val="0"/>
          <w:iCs w:val="0"/>
          <w:color w:val="auto"/>
          <w:sz w:val="24"/>
          <w:szCs w:val="24"/>
          <w:highlight w:val="none"/>
          <w:u w:val="none"/>
          <w:lang w:val="en-US" w:eastAsia="zh-CN"/>
        </w:rPr>
        <w:t>“采购需求”</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eastAsia="zh-CN"/>
        </w:rPr>
        <w:t>；</w:t>
      </w:r>
    </w:p>
    <w:p w14:paraId="426B8305">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1.7合同履约期：</w:t>
      </w:r>
      <w:r>
        <w:rPr>
          <w:rFonts w:hint="eastAsia" w:ascii="宋体" w:hAnsi="宋体" w:cs="宋体"/>
          <w:i w:val="0"/>
          <w:iCs w:val="0"/>
          <w:color w:val="auto"/>
          <w:sz w:val="24"/>
          <w:szCs w:val="24"/>
          <w:highlight w:val="none"/>
          <w:lang w:val="en-US" w:eastAsia="zh-CN"/>
        </w:rPr>
        <w:t>计划工期60日历天（即：项目所有内容的交付、安装、调试、试运行，并按采购人要求接入指定平台）；服务期：</w:t>
      </w:r>
      <w:r>
        <w:rPr>
          <w:rFonts w:hint="eastAsia" w:ascii="宋体" w:hAnsi="宋体" w:cs="宋体"/>
          <w:b w:val="0"/>
          <w:bCs w:val="0"/>
          <w:color w:val="auto"/>
          <w:sz w:val="24"/>
          <w:szCs w:val="24"/>
          <w:highlight w:val="none"/>
          <w:lang w:val="en-US" w:eastAsia="zh-CN" w:bidi="ar-SA"/>
        </w:rPr>
        <w:t>自项目验收合格之日起3年；</w:t>
      </w:r>
    </w:p>
    <w:p w14:paraId="31523289">
      <w:pPr>
        <w:pStyle w:val="54"/>
        <w:keepNext w:val="0"/>
        <w:keepLines w:val="0"/>
        <w:widowControl/>
        <w:suppressLineNumbers w:val="0"/>
        <w:spacing w:before="0" w:beforeAutospacing="0" w:after="0" w:afterAutospacing="0" w:line="360" w:lineRule="auto"/>
        <w:ind w:right="-400" w:rightChars="-20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1.8项目实施地点：</w:t>
      </w:r>
      <w:r>
        <w:rPr>
          <w:rFonts w:hint="default" w:ascii="宋体" w:hAnsi="宋体" w:eastAsia="宋体" w:cs="宋体"/>
          <w:color w:val="auto"/>
          <w:sz w:val="24"/>
          <w:szCs w:val="24"/>
          <w:highlight w:val="none"/>
          <w:lang w:val="en-US" w:eastAsia="zh-CN"/>
        </w:rPr>
        <w:t>采购人指定地点</w:t>
      </w:r>
      <w:r>
        <w:rPr>
          <w:rFonts w:hint="eastAsia" w:ascii="宋体" w:hAnsi="宋体" w:eastAsia="宋体" w:cs="宋体"/>
          <w:color w:val="auto"/>
          <w:sz w:val="24"/>
          <w:szCs w:val="24"/>
          <w:highlight w:val="none"/>
          <w:lang w:val="en-US" w:eastAsia="zh-CN"/>
        </w:rPr>
        <w:t>；</w:t>
      </w:r>
    </w:p>
    <w:p w14:paraId="4A3627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质量标准：</w:t>
      </w:r>
      <w:r>
        <w:rPr>
          <w:rFonts w:hint="eastAsia" w:ascii="宋体" w:hAnsi="宋体" w:cs="宋体"/>
          <w:color w:val="auto"/>
          <w:sz w:val="24"/>
          <w:szCs w:val="24"/>
          <w:highlight w:val="none"/>
          <w:lang w:val="en-US" w:eastAsia="zh-CN"/>
        </w:rPr>
        <w:t>符合国家、行业现行相关技术规范、标准，设备安装调试完毕且试运行后，相关功能满足招标人的要求</w:t>
      </w:r>
      <w:r>
        <w:rPr>
          <w:rFonts w:hint="eastAsia" w:ascii="宋体" w:hAnsi="宋体" w:eastAsia="宋体" w:cs="宋体"/>
          <w:color w:val="auto"/>
          <w:sz w:val="24"/>
          <w:szCs w:val="24"/>
          <w:highlight w:val="none"/>
        </w:rPr>
        <w:t>；</w:t>
      </w:r>
    </w:p>
    <w:p w14:paraId="3E285BCB">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1.10</w:t>
      </w:r>
      <w:r>
        <w:rPr>
          <w:rFonts w:hint="eastAsia" w:ascii="宋体" w:hAnsi="宋体" w:eastAsia="宋体" w:cs="宋体"/>
          <w:i w:val="0"/>
          <w:iCs w:val="0"/>
          <w:color w:val="auto"/>
          <w:sz w:val="24"/>
          <w:szCs w:val="24"/>
          <w:highlight w:val="none"/>
        </w:rPr>
        <w:t>本项目</w:t>
      </w:r>
      <w:r>
        <w:rPr>
          <w:rFonts w:hint="eastAsia" w:ascii="宋体" w:hAnsi="宋体" w:eastAsia="宋体" w:cs="宋体"/>
          <w:i w:val="0"/>
          <w:iCs w:val="0"/>
          <w:color w:val="auto"/>
          <w:sz w:val="24"/>
          <w:szCs w:val="24"/>
          <w:highlight w:val="none"/>
          <w:lang w:val="en-US" w:eastAsia="zh-CN"/>
        </w:rPr>
        <w:t>不</w:t>
      </w:r>
      <w:r>
        <w:rPr>
          <w:rFonts w:hint="eastAsia" w:ascii="宋体" w:hAnsi="宋体" w:eastAsia="宋体" w:cs="宋体"/>
          <w:i w:val="0"/>
          <w:iCs w:val="0"/>
          <w:color w:val="auto"/>
          <w:sz w:val="24"/>
          <w:szCs w:val="24"/>
          <w:highlight w:val="none"/>
        </w:rPr>
        <w:t>接受联合体。</w:t>
      </w:r>
    </w:p>
    <w:p w14:paraId="1B2C369D">
      <w:pPr>
        <w:pStyle w:val="3"/>
        <w:pageBreakBefore w:val="0"/>
        <w:widowControl w:val="0"/>
        <w:kinsoku/>
        <w:wordWrap/>
        <w:overflowPunct/>
        <w:topLinePunct w:val="0"/>
        <w:autoSpaceDE/>
        <w:autoSpaceDN/>
        <w:bidi w:val="0"/>
        <w:adjustRightInd w:val="0"/>
        <w:snapToGrid w:val="0"/>
        <w:spacing w:before="0" w:after="0" w:line="360" w:lineRule="auto"/>
        <w:ind w:left="0" w:leftChars="0"/>
        <w:textAlignment w:val="auto"/>
        <w:rPr>
          <w:rFonts w:hint="eastAsia" w:ascii="宋体" w:hAnsi="宋体" w:eastAsia="宋体" w:cs="宋体"/>
          <w:b/>
          <w:bCs w:val="0"/>
          <w:i w:val="0"/>
          <w:iCs w:val="0"/>
          <w:color w:val="auto"/>
          <w:sz w:val="24"/>
          <w:szCs w:val="24"/>
          <w:highlight w:val="none"/>
        </w:rPr>
      </w:pPr>
      <w:bookmarkStart w:id="8" w:name="_Toc35393799"/>
      <w:bookmarkStart w:id="9" w:name="_Toc28359090"/>
      <w:bookmarkStart w:id="10" w:name="_Toc35393630"/>
      <w:bookmarkStart w:id="11" w:name="_Toc28359013"/>
      <w:r>
        <w:rPr>
          <w:rFonts w:hint="eastAsia" w:ascii="宋体" w:hAnsi="宋体" w:eastAsia="宋体" w:cs="宋体"/>
          <w:b/>
          <w:bCs w:val="0"/>
          <w:i w:val="0"/>
          <w:iCs w:val="0"/>
          <w:color w:val="auto"/>
          <w:sz w:val="24"/>
          <w:szCs w:val="24"/>
          <w:highlight w:val="none"/>
        </w:rPr>
        <w:t>二、</w:t>
      </w:r>
      <w:r>
        <w:rPr>
          <w:rFonts w:hint="eastAsia" w:ascii="宋体" w:hAnsi="宋体" w:eastAsia="宋体" w:cs="宋体"/>
          <w:b/>
          <w:bCs w:val="0"/>
          <w:i w:val="0"/>
          <w:iCs w:val="0"/>
          <w:color w:val="auto"/>
          <w:sz w:val="24"/>
          <w:szCs w:val="24"/>
          <w:highlight w:val="none"/>
          <w:lang w:val="en-US" w:eastAsia="zh-CN"/>
        </w:rPr>
        <w:t>供应商</w:t>
      </w:r>
      <w:r>
        <w:rPr>
          <w:rFonts w:hint="eastAsia" w:ascii="宋体" w:hAnsi="宋体" w:eastAsia="宋体" w:cs="宋体"/>
          <w:b/>
          <w:bCs w:val="0"/>
          <w:i w:val="0"/>
          <w:iCs w:val="0"/>
          <w:color w:val="auto"/>
          <w:sz w:val="24"/>
          <w:szCs w:val="24"/>
          <w:highlight w:val="none"/>
        </w:rPr>
        <w:t>资格要求：</w:t>
      </w:r>
      <w:bookmarkEnd w:id="8"/>
      <w:bookmarkEnd w:id="9"/>
      <w:bookmarkEnd w:id="10"/>
      <w:bookmarkEnd w:id="11"/>
    </w:p>
    <w:p w14:paraId="2B485867">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cs="宋体"/>
          <w:i w:val="0"/>
          <w:iCs w:val="0"/>
          <w:color w:val="auto"/>
          <w:sz w:val="24"/>
          <w:szCs w:val="24"/>
          <w:highlight w:val="none"/>
          <w:lang w:val="en-US" w:eastAsia="zh-CN"/>
        </w:rPr>
        <w:t>2.1</w:t>
      </w:r>
      <w:r>
        <w:rPr>
          <w:rFonts w:hint="eastAsia" w:ascii="宋体" w:hAnsi="宋体" w:eastAsia="宋体" w:cs="宋体"/>
          <w:i w:val="0"/>
          <w:iCs w:val="0"/>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rPr>
        <w:t xml:space="preserve">提供下列材料： </w:t>
      </w:r>
    </w:p>
    <w:p w14:paraId="0BA4306C">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（一）法人或者其他组织的营业执照等证明文件；</w:t>
      </w:r>
    </w:p>
    <w:p w14:paraId="2BC83975">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（二）财务状况报告，依法缴纳税收和社会保障资金的相关材料；</w:t>
      </w:r>
    </w:p>
    <w:p w14:paraId="6FF68237">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（三）具备履行合同所必需的设备和专业技术能力的证明材料；</w:t>
      </w:r>
    </w:p>
    <w:p w14:paraId="3539600A">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（四）参加政府采购活动前3年内在经营活动中没有重大违法记录的书面声明；</w:t>
      </w:r>
    </w:p>
    <w:p w14:paraId="251E4382">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（五）具备法律、行政法规规定的其他条件的证明材料。 </w:t>
      </w:r>
    </w:p>
    <w:p w14:paraId="45913FC6">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.2供应商应具备经国家工商行政管理部门登记注册的独立企业（事业）法人资格</w:t>
      </w:r>
      <w:r>
        <w:rPr>
          <w:rFonts w:hint="eastAsia" w:ascii="宋体" w:hAnsi="宋体" w:eastAsia="宋体" w:cs="宋体"/>
          <w:color w:val="auto"/>
          <w:sz w:val="24"/>
          <w:szCs w:val="24"/>
          <w:highlight w:val="none"/>
          <w:lang w:val="en-US" w:eastAsia="zh-CN"/>
        </w:rPr>
        <w:t>或其他组织</w:t>
      </w:r>
      <w:r>
        <w:rPr>
          <w:rFonts w:hint="eastAsia" w:ascii="宋体" w:hAnsi="宋体" w:eastAsia="宋体" w:cs="宋体"/>
          <w:color w:val="auto"/>
          <w:sz w:val="24"/>
          <w:szCs w:val="24"/>
          <w:highlight w:val="none"/>
        </w:rPr>
        <w:t>，具备有效的营业执照或事业单位法人证书。</w:t>
      </w:r>
    </w:p>
    <w:p w14:paraId="5FF41E54">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供应商财务状况良好，提供近三年（20</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任意年度</w:t>
      </w:r>
      <w:r>
        <w:rPr>
          <w:rFonts w:hint="eastAsia" w:ascii="宋体" w:hAnsi="宋体" w:eastAsia="宋体" w:cs="宋体"/>
          <w:color w:val="auto"/>
          <w:sz w:val="24"/>
          <w:szCs w:val="24"/>
          <w:highlight w:val="none"/>
          <w:lang w:eastAsia="zh-CN"/>
        </w:rPr>
        <w:t>财务报表</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第三方</w:t>
      </w:r>
      <w:r>
        <w:rPr>
          <w:rFonts w:hint="eastAsia" w:ascii="宋体" w:hAnsi="宋体" w:eastAsia="宋体" w:cs="宋体"/>
          <w:color w:val="auto"/>
          <w:sz w:val="24"/>
          <w:szCs w:val="24"/>
          <w:highlight w:val="none"/>
        </w:rPr>
        <w:t>机构审计的审计报告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若2025年1月以后成立公司提供财务管理制度及情况说明</w:t>
      </w:r>
      <w:r>
        <w:rPr>
          <w:rFonts w:hint="eastAsia" w:ascii="宋体" w:hAnsi="宋体" w:eastAsia="宋体" w:cs="宋体"/>
          <w:color w:val="auto"/>
          <w:sz w:val="24"/>
          <w:szCs w:val="24"/>
          <w:highlight w:val="none"/>
        </w:rPr>
        <w:t>。</w:t>
      </w:r>
    </w:p>
    <w:p w14:paraId="6E43EB1C">
      <w:pPr>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信誉要求：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信用良好，未被列入失信被执行人、重大税收违法失信主体、政府采购严重违法失信行为记录名单内，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须提供承诺函，最终以采购人及采购代理机构在开标时查询《信用中国》网站的结果为准</w:t>
      </w:r>
      <w:r>
        <w:rPr>
          <w:rFonts w:hint="eastAsia" w:ascii="宋体" w:hAnsi="宋体" w:eastAsia="宋体" w:cs="宋体"/>
          <w:color w:val="auto"/>
          <w:sz w:val="24"/>
          <w:szCs w:val="24"/>
          <w:highlight w:val="none"/>
          <w:lang w:eastAsia="zh-CN"/>
        </w:rPr>
        <w:t>。</w:t>
      </w:r>
    </w:p>
    <w:p w14:paraId="57BB10C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cs="宋体"/>
          <w:color w:val="auto"/>
          <w:sz w:val="24"/>
          <w:szCs w:val="24"/>
          <w:highlight w:val="none"/>
          <w:lang w:val="en-US" w:eastAsia="zh-CN"/>
        </w:rPr>
        <w:t>2.5</w:t>
      </w:r>
      <w:bookmarkStart w:id="12" w:name="_Toc28359014"/>
      <w:bookmarkStart w:id="13" w:name="_Toc28359091"/>
      <w:r>
        <w:rPr>
          <w:rFonts w:hint="eastAsia" w:ascii="宋体" w:hAnsi="宋体" w:eastAsia="宋体" w:cs="宋体"/>
          <w:i w:val="0"/>
          <w:iCs w:val="0"/>
          <w:color w:val="auto"/>
          <w:sz w:val="24"/>
          <w:szCs w:val="24"/>
          <w:highlight w:val="none"/>
        </w:rPr>
        <w:t>落实政府采购政策需满足的资格要求：</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本项目不专门面向中小企业预留采购份额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对</w:t>
      </w:r>
      <w:r>
        <w:rPr>
          <w:rFonts w:hint="eastAsia" w:ascii="宋体" w:hAnsi="宋体" w:eastAsia="宋体" w:cs="宋体"/>
          <w:i w:val="0"/>
          <w:iCs w:val="0"/>
          <w:color w:val="auto"/>
          <w:sz w:val="24"/>
          <w:szCs w:val="24"/>
          <w:highlight w:val="none"/>
        </w:rPr>
        <w:t>小型、微型企业或监狱企业</w:t>
      </w:r>
      <w:r>
        <w:rPr>
          <w:rFonts w:hint="eastAsia" w:ascii="宋体" w:hAnsi="宋体" w:eastAsia="宋体" w:cs="宋体"/>
          <w:i w:val="0"/>
          <w:iCs w:val="0"/>
          <w:color w:val="auto"/>
          <w:sz w:val="24"/>
          <w:szCs w:val="24"/>
          <w:highlight w:val="none"/>
          <w:lang w:val="en-US" w:eastAsia="zh-CN"/>
        </w:rPr>
        <w:t>参与</w:t>
      </w:r>
      <w:r>
        <w:rPr>
          <w:rFonts w:hint="eastAsia" w:ascii="宋体" w:hAnsi="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lang w:val="en-US" w:eastAsia="zh-CN"/>
        </w:rPr>
        <w:t>采购给予小微企业投标报价</w:t>
      </w:r>
      <w:r>
        <w:rPr>
          <w:rFonts w:hint="eastAsia" w:ascii="宋体" w:hAnsi="宋体" w:cs="宋体"/>
          <w:i w:val="0"/>
          <w:iCs w:val="0"/>
          <w:color w:val="auto"/>
          <w:sz w:val="24"/>
          <w:szCs w:val="24"/>
          <w:highlight w:val="none"/>
          <w:lang w:val="en-US" w:eastAsia="zh-CN"/>
        </w:rPr>
        <w:t>10</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扣除</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用扣除后的价格参与评审。（</w:t>
      </w:r>
      <w:r>
        <w:rPr>
          <w:rFonts w:hint="eastAsia" w:ascii="宋体" w:hAnsi="宋体" w:eastAsia="宋体" w:cs="宋体"/>
          <w:i w:val="0"/>
          <w:iCs w:val="0"/>
          <w:color w:val="auto"/>
          <w:sz w:val="24"/>
          <w:szCs w:val="24"/>
          <w:highlight w:val="none"/>
          <w:lang w:val="en-US" w:eastAsia="zh-CN"/>
        </w:rPr>
        <w:t>提供中小</w:t>
      </w:r>
      <w:r>
        <w:rPr>
          <w:rFonts w:hint="eastAsia" w:ascii="宋体" w:hAnsi="宋体" w:eastAsia="宋体" w:cs="宋体"/>
          <w:i w:val="0"/>
          <w:iCs w:val="0"/>
          <w:color w:val="auto"/>
          <w:sz w:val="24"/>
          <w:szCs w:val="24"/>
          <w:highlight w:val="none"/>
        </w:rPr>
        <w:t xml:space="preserve">企业声明函） </w:t>
      </w:r>
    </w:p>
    <w:p w14:paraId="4BE9C46B">
      <w:p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注：</w:t>
      </w:r>
      <w:r>
        <w:rPr>
          <w:rFonts w:hint="eastAsia" w:ascii="宋体" w:hAnsi="宋体" w:eastAsia="宋体" w:cs="宋体"/>
          <w:i w:val="0"/>
          <w:iCs w:val="0"/>
          <w:color w:val="auto"/>
          <w:sz w:val="24"/>
          <w:szCs w:val="24"/>
          <w:highlight w:val="none"/>
          <w:lang w:val="en-US" w:eastAsia="zh-CN"/>
        </w:rPr>
        <w:t>“采购项目中，供应商提供的货物（服务）既有小微企业制造货物</w:t>
      </w:r>
      <w:r>
        <w:rPr>
          <w:rFonts w:hint="eastAsia" w:ascii="宋体" w:hAnsi="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lang w:val="en-US" w:eastAsia="zh-CN"/>
        </w:rPr>
        <w:t>，也有中、大型企业制造货物</w:t>
      </w:r>
      <w:r>
        <w:rPr>
          <w:rFonts w:hint="eastAsia" w:ascii="宋体" w:hAnsi="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lang w:val="en-US" w:eastAsia="zh-CN"/>
        </w:rPr>
        <w:t>的，不享受本办法规定的中小企业扶持政策”</w:t>
      </w:r>
      <w:r>
        <w:rPr>
          <w:rFonts w:hint="eastAsia" w:ascii="宋体" w:hAnsi="宋体" w:eastAsia="宋体" w:cs="宋体"/>
          <w:i w:val="0"/>
          <w:iCs w:val="0"/>
          <w:color w:val="auto"/>
          <w:sz w:val="24"/>
          <w:szCs w:val="24"/>
          <w:highlight w:val="none"/>
        </w:rPr>
        <w:t>。</w:t>
      </w:r>
    </w:p>
    <w:p w14:paraId="48A4F884">
      <w:pPr>
        <w:spacing w:line="360" w:lineRule="auto"/>
        <w:ind w:firstLine="480" w:firstLineChars="200"/>
        <w:rPr>
          <w:rFonts w:hint="eastAsia" w:ascii="宋体" w:hAnsi="宋体" w:eastAsia="宋体" w:cs="宋体"/>
          <w:i w:val="0"/>
          <w:iCs w:val="0"/>
          <w:color w:val="auto"/>
          <w:sz w:val="24"/>
          <w:szCs w:val="24"/>
          <w:highlight w:val="none"/>
        </w:rPr>
      </w:pPr>
      <w:bookmarkStart w:id="14" w:name="_Toc35393631"/>
      <w:bookmarkStart w:id="15" w:name="_Toc35393800"/>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单位负责人为同一人或者存在直接控股、管理关系的不同</w:t>
      </w:r>
      <w:r>
        <w:rPr>
          <w:rFonts w:hint="eastAsia" w:ascii="宋体" w:hAnsi="宋体" w:cs="宋体"/>
          <w:i w:val="0"/>
          <w:iCs w:val="0"/>
          <w:color w:val="auto"/>
          <w:sz w:val="24"/>
          <w:szCs w:val="24"/>
          <w:highlight w:val="none"/>
          <w:lang w:eastAsia="zh-CN"/>
        </w:rPr>
        <w:t>供应商</w:t>
      </w:r>
      <w:r>
        <w:rPr>
          <w:rFonts w:hint="eastAsia" w:ascii="宋体" w:hAnsi="宋体" w:eastAsia="宋体" w:cs="宋体"/>
          <w:i w:val="0"/>
          <w:iCs w:val="0"/>
          <w:color w:val="auto"/>
          <w:sz w:val="24"/>
          <w:szCs w:val="24"/>
          <w:highlight w:val="none"/>
        </w:rPr>
        <w:t>，不得参加同一招标项目包的政府采购活动</w:t>
      </w:r>
      <w:r>
        <w:rPr>
          <w:rFonts w:hint="eastAsia" w:ascii="宋体" w:hAnsi="宋体" w:cs="宋体"/>
          <w:i w:val="0"/>
          <w:iCs w:val="0"/>
          <w:color w:val="auto"/>
          <w:sz w:val="24"/>
          <w:szCs w:val="24"/>
          <w:highlight w:val="none"/>
          <w:lang w:eastAsia="zh-CN"/>
        </w:rPr>
        <w:t>（</w:t>
      </w:r>
      <w:r>
        <w:rPr>
          <w:rFonts w:hint="eastAsia" w:ascii="宋体" w:hAnsi="宋体" w:cs="宋体"/>
          <w:i w:val="0"/>
          <w:iCs w:val="0"/>
          <w:color w:val="auto"/>
          <w:sz w:val="24"/>
          <w:szCs w:val="24"/>
          <w:highlight w:val="none"/>
          <w:lang w:val="en-US" w:eastAsia="zh-CN"/>
        </w:rPr>
        <w:t>提供承诺函</w:t>
      </w:r>
      <w:r>
        <w:rPr>
          <w:rFonts w:hint="eastAsia" w:ascii="宋体" w:hAnsi="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w:t>
      </w:r>
    </w:p>
    <w:p w14:paraId="7A99EA15">
      <w:pPr>
        <w:spacing w:line="360" w:lineRule="auto"/>
        <w:ind w:firstLine="480" w:firstLineChars="200"/>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为本项目提供整体设计、规范编制或者项目管理、监理、检测等服务的供应商，不</w:t>
      </w:r>
      <w:r>
        <w:rPr>
          <w:rFonts w:hint="eastAsia" w:ascii="宋体" w:hAnsi="宋体" w:eastAsia="宋体" w:cs="宋体"/>
          <w:i w:val="0"/>
          <w:iCs w:val="0"/>
          <w:color w:val="auto"/>
          <w:sz w:val="24"/>
          <w:szCs w:val="24"/>
          <w:highlight w:val="none"/>
          <w:lang w:val="en-US" w:eastAsia="zh-CN"/>
        </w:rPr>
        <w:t>得再参加本项目投标（提供承诺函）。</w:t>
      </w:r>
    </w:p>
    <w:p w14:paraId="5767A239">
      <w:p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2.8本项目的特定资格要求：无</w:t>
      </w:r>
    </w:p>
    <w:p w14:paraId="00B5207E">
      <w:pPr>
        <w:pStyle w:val="3"/>
        <w:pageBreakBefore w:val="0"/>
        <w:widowControl w:val="0"/>
        <w:kinsoku/>
        <w:wordWrap/>
        <w:overflowPunct/>
        <w:topLinePunct w:val="0"/>
        <w:autoSpaceDE/>
        <w:autoSpaceDN/>
        <w:bidi w:val="0"/>
        <w:adjustRightInd w:val="0"/>
        <w:snapToGrid w:val="0"/>
        <w:spacing w:before="0" w:after="0" w:line="360" w:lineRule="auto"/>
        <w:ind w:left="0" w:leftChars="0"/>
        <w:textAlignment w:val="auto"/>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rPr>
        <w:t>三、</w:t>
      </w:r>
      <w:r>
        <w:rPr>
          <w:rFonts w:hint="eastAsia" w:ascii="宋体" w:hAnsi="宋体" w:eastAsia="宋体" w:cs="宋体"/>
          <w:b/>
          <w:bCs w:val="0"/>
          <w:i w:val="0"/>
          <w:iCs w:val="0"/>
          <w:color w:val="auto"/>
          <w:sz w:val="24"/>
          <w:szCs w:val="24"/>
          <w:highlight w:val="none"/>
          <w:lang w:val="en-US" w:eastAsia="zh-CN"/>
        </w:rPr>
        <w:t>磋商</w:t>
      </w:r>
      <w:r>
        <w:rPr>
          <w:rFonts w:hint="eastAsia" w:ascii="宋体" w:hAnsi="宋体" w:eastAsia="宋体" w:cs="宋体"/>
          <w:b/>
          <w:bCs w:val="0"/>
          <w:i w:val="0"/>
          <w:iCs w:val="0"/>
          <w:color w:val="auto"/>
          <w:sz w:val="24"/>
          <w:szCs w:val="24"/>
          <w:highlight w:val="none"/>
        </w:rPr>
        <w:t>文件获取</w:t>
      </w:r>
      <w:bookmarkEnd w:id="12"/>
      <w:bookmarkEnd w:id="13"/>
      <w:bookmarkEnd w:id="14"/>
      <w:bookmarkEnd w:id="15"/>
    </w:p>
    <w:p w14:paraId="10FFF60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1.时间:20</w:t>
      </w: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en-US" w:eastAsia="zh-CN" w:bidi="ar-SA"/>
        </w:rPr>
        <w:t>年</w:t>
      </w:r>
      <w:r>
        <w:rPr>
          <w:rFonts w:hint="eastAsia" w:ascii="宋体" w:hAnsi="宋体" w:cs="宋体"/>
          <w:b w:val="0"/>
          <w:bCs/>
          <w:color w:val="auto"/>
          <w:kern w:val="2"/>
          <w:sz w:val="24"/>
          <w:szCs w:val="24"/>
          <w:highlight w:val="none"/>
          <w:lang w:val="en-US" w:eastAsia="zh-CN" w:bidi="ar-SA"/>
        </w:rPr>
        <w:t>09</w:t>
      </w:r>
      <w:r>
        <w:rPr>
          <w:rFonts w:hint="eastAsia" w:ascii="宋体" w:hAnsi="宋体" w:eastAsia="宋体" w:cs="宋体"/>
          <w:b w:val="0"/>
          <w:bCs/>
          <w:color w:val="auto"/>
          <w:kern w:val="2"/>
          <w:sz w:val="24"/>
          <w:szCs w:val="24"/>
          <w:highlight w:val="none"/>
          <w:lang w:val="en-US" w:eastAsia="zh-CN" w:bidi="ar-SA"/>
        </w:rPr>
        <w:t>月</w:t>
      </w:r>
      <w:r>
        <w:rPr>
          <w:rFonts w:hint="eastAsia" w:ascii="宋体" w:hAnsi="宋体" w:cs="宋体"/>
          <w:b w:val="0"/>
          <w:bCs/>
          <w:color w:val="auto"/>
          <w:kern w:val="2"/>
          <w:sz w:val="24"/>
          <w:szCs w:val="24"/>
          <w:highlight w:val="none"/>
          <w:lang w:val="en-US" w:eastAsia="zh-CN" w:bidi="ar-SA"/>
        </w:rPr>
        <w:t>26</w:t>
      </w:r>
      <w:r>
        <w:rPr>
          <w:rFonts w:hint="eastAsia" w:ascii="宋体" w:hAnsi="宋体" w:eastAsia="宋体" w:cs="宋体"/>
          <w:b w:val="0"/>
          <w:bCs/>
          <w:color w:val="auto"/>
          <w:kern w:val="2"/>
          <w:sz w:val="24"/>
          <w:szCs w:val="24"/>
          <w:highlight w:val="none"/>
          <w:lang w:val="en-US" w:eastAsia="zh-CN" w:bidi="ar-SA"/>
        </w:rPr>
        <w:t>日至202</w:t>
      </w:r>
      <w:r>
        <w:rPr>
          <w:rFonts w:hint="eastAsia" w:ascii="宋体" w:hAnsi="宋体"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en-US" w:eastAsia="zh-CN" w:bidi="ar-SA"/>
        </w:rPr>
        <w:t>年</w:t>
      </w:r>
      <w:r>
        <w:rPr>
          <w:rFonts w:hint="eastAsia" w:ascii="宋体" w:hAnsi="宋体" w:cs="宋体"/>
          <w:b w:val="0"/>
          <w:bCs/>
          <w:color w:val="auto"/>
          <w:kern w:val="2"/>
          <w:sz w:val="24"/>
          <w:szCs w:val="24"/>
          <w:highlight w:val="none"/>
          <w:lang w:val="en-US" w:eastAsia="zh-CN" w:bidi="ar-SA"/>
        </w:rPr>
        <w:t>10</w:t>
      </w:r>
      <w:r>
        <w:rPr>
          <w:rFonts w:hint="eastAsia" w:ascii="宋体" w:hAnsi="宋体" w:eastAsia="宋体" w:cs="宋体"/>
          <w:b w:val="0"/>
          <w:bCs/>
          <w:color w:val="auto"/>
          <w:kern w:val="2"/>
          <w:sz w:val="24"/>
          <w:szCs w:val="24"/>
          <w:highlight w:val="none"/>
          <w:lang w:val="en-US" w:eastAsia="zh-CN" w:bidi="ar-SA"/>
        </w:rPr>
        <w:t>月</w:t>
      </w:r>
      <w:r>
        <w:rPr>
          <w:rFonts w:hint="eastAsia" w:ascii="宋体" w:hAnsi="宋体" w:cs="宋体"/>
          <w:b w:val="0"/>
          <w:bCs/>
          <w:color w:val="auto"/>
          <w:kern w:val="2"/>
          <w:sz w:val="24"/>
          <w:szCs w:val="24"/>
          <w:highlight w:val="none"/>
          <w:lang w:val="en-US" w:eastAsia="zh-CN" w:bidi="ar-SA"/>
        </w:rPr>
        <w:t>9</w:t>
      </w:r>
      <w:r>
        <w:rPr>
          <w:rFonts w:hint="eastAsia" w:ascii="宋体" w:hAnsi="宋体" w:eastAsia="宋体" w:cs="宋体"/>
          <w:b w:val="0"/>
          <w:bCs/>
          <w:color w:val="auto"/>
          <w:kern w:val="2"/>
          <w:sz w:val="24"/>
          <w:szCs w:val="24"/>
          <w:highlight w:val="none"/>
          <w:lang w:val="en-US" w:eastAsia="zh-CN" w:bidi="ar-SA"/>
        </w:rPr>
        <w:t>日，每</w:t>
      </w:r>
      <w:r>
        <w:rPr>
          <w:rFonts w:hint="eastAsia" w:ascii="宋体" w:hAnsi="宋体" w:eastAsia="宋体" w:cs="宋体"/>
          <w:b w:val="0"/>
          <w:bCs/>
          <w:color w:val="auto"/>
          <w:kern w:val="2"/>
          <w:sz w:val="24"/>
          <w:szCs w:val="24"/>
          <w:highlight w:val="none"/>
          <w:lang w:val="en-US" w:eastAsia="zh-CN" w:bidi="ar-SA"/>
        </w:rPr>
        <w:t>天 0</w:t>
      </w:r>
      <w:r>
        <w:rPr>
          <w:rFonts w:hint="eastAsia" w:ascii="宋体" w:hAnsi="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en-US" w:eastAsia="zh-CN" w:bidi="ar-SA"/>
        </w:rPr>
        <w:t>:00 至 23:59（北京时间）。</w:t>
      </w:r>
    </w:p>
    <w:p w14:paraId="1437CA3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2.地点：“政采云”平台（http：//www.zcygov.cn/）（操作路径：登录“政采云”平台-项目采购-获取采购文件 -找到本项目-点击“申请获取采购文件”）。</w:t>
      </w:r>
    </w:p>
    <w:p w14:paraId="6484590B">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3.方式：</w:t>
      </w:r>
    </w:p>
    <w:p w14:paraId="4F86576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（1）凡有意参加投标者，须在政采云平台办理数字证书（CA)，CA申领链接：</w:t>
      </w:r>
      <w:r>
        <w:rPr>
          <w:rFonts w:hint="eastAsia" w:ascii="宋体" w:hAnsi="宋体" w:eastAsia="宋体" w:cs="宋体"/>
          <w:b w:val="0"/>
          <w:bCs/>
          <w:color w:val="auto"/>
          <w:kern w:val="2"/>
          <w:sz w:val="24"/>
          <w:szCs w:val="24"/>
          <w:highlight w:val="none"/>
          <w:lang w:val="en-US" w:eastAsia="zh-CN" w:bidi="ar-SA"/>
        </w:rPr>
        <w:fldChar w:fldCharType="begin"/>
      </w:r>
      <w:r>
        <w:rPr>
          <w:rFonts w:hint="eastAsia" w:ascii="宋体" w:hAnsi="宋体" w:eastAsia="宋体" w:cs="宋体"/>
          <w:b w:val="0"/>
          <w:bCs/>
          <w:color w:val="auto"/>
          <w:kern w:val="2"/>
          <w:sz w:val="24"/>
          <w:szCs w:val="24"/>
          <w:highlight w:val="none"/>
          <w:lang w:val="en-US" w:eastAsia="zh-CN" w:bidi="ar-SA"/>
        </w:rPr>
        <w:instrText xml:space="preserve"> HYPERLINK "https://middle.zcygov.cn/ca/apply/list?_app_=zcy.sys,并在政采云绑定数字证书（CA）后在网上获取采购文件及其他采购资料，数字证书（CA）详见其办理流程。" </w:instrText>
      </w:r>
      <w:r>
        <w:rPr>
          <w:rFonts w:hint="eastAsia" w:ascii="宋体" w:hAnsi="宋体" w:eastAsia="宋体" w:cs="宋体"/>
          <w:b w:val="0"/>
          <w:bCs/>
          <w:color w:val="auto"/>
          <w:kern w:val="2"/>
          <w:sz w:val="24"/>
          <w:szCs w:val="24"/>
          <w:highlight w:val="none"/>
          <w:lang w:val="en-US" w:eastAsia="zh-CN" w:bidi="ar-SA"/>
        </w:rPr>
        <w:fldChar w:fldCharType="separate"/>
      </w:r>
      <w:r>
        <w:rPr>
          <w:rFonts w:hint="eastAsia" w:ascii="宋体" w:hAnsi="宋体" w:eastAsia="宋体" w:cs="宋体"/>
          <w:b w:val="0"/>
          <w:bCs/>
          <w:color w:val="auto"/>
          <w:kern w:val="2"/>
          <w:sz w:val="24"/>
          <w:szCs w:val="24"/>
          <w:highlight w:val="none"/>
          <w:lang w:val="en-US" w:eastAsia="zh-CN" w:bidi="ar-SA"/>
        </w:rPr>
        <w:t>https://middle.zcygov.cn/ca/apply/list?_app_=zcy.sys,并在政采云绑定数字证书（CA）后在网上获取采购文件及其他采购资料，数字证书（CA）详见其办理流程。</w:t>
      </w:r>
      <w:r>
        <w:rPr>
          <w:rFonts w:hint="eastAsia" w:ascii="宋体" w:hAnsi="宋体" w:eastAsia="宋体" w:cs="宋体"/>
          <w:b w:val="0"/>
          <w:bCs/>
          <w:color w:val="auto"/>
          <w:kern w:val="2"/>
          <w:sz w:val="24"/>
          <w:szCs w:val="24"/>
          <w:highlight w:val="none"/>
          <w:lang w:val="en-US" w:eastAsia="zh-CN" w:bidi="ar-SA"/>
        </w:rPr>
        <w:fldChar w:fldCharType="end"/>
      </w:r>
    </w:p>
    <w:p w14:paraId="43CD29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（2）凡有意参加投标（磋商或谈判）者，注册政采云平台账号并登录办理数字证书（CA），若供应商未办理数字证书（CA）的，可选择办理云南壹证通CA。CA申领链接：</w:t>
      </w:r>
      <w:r>
        <w:rPr>
          <w:rFonts w:hint="eastAsia" w:ascii="宋体" w:hAnsi="宋体" w:eastAsia="宋体" w:cs="宋体"/>
          <w:b w:val="0"/>
          <w:bCs/>
          <w:color w:val="auto"/>
          <w:kern w:val="2"/>
          <w:sz w:val="24"/>
          <w:szCs w:val="24"/>
          <w:highlight w:val="none"/>
          <w:lang w:val="en-US" w:eastAsia="zh-CN" w:bidi="ar-SA"/>
        </w:rPr>
        <w:fldChar w:fldCharType="begin"/>
      </w:r>
      <w:r>
        <w:rPr>
          <w:rFonts w:hint="eastAsia" w:ascii="宋体" w:hAnsi="宋体" w:eastAsia="宋体" w:cs="宋体"/>
          <w:b w:val="0"/>
          <w:bCs/>
          <w:color w:val="auto"/>
          <w:kern w:val="2"/>
          <w:sz w:val="24"/>
          <w:szCs w:val="24"/>
          <w:highlight w:val="none"/>
          <w:lang w:val="en-US" w:eastAsia="zh-CN" w:bidi="ar-SA"/>
        </w:rPr>
        <w:instrText xml:space="preserve"> HYPERLINK "http://yzt.ynsmartcert.cn/cms/yztynjcjs3.html" </w:instrText>
      </w:r>
      <w:r>
        <w:rPr>
          <w:rFonts w:hint="eastAsia" w:ascii="宋体" w:hAnsi="宋体" w:eastAsia="宋体" w:cs="宋体"/>
          <w:b w:val="0"/>
          <w:bCs/>
          <w:color w:val="auto"/>
          <w:kern w:val="2"/>
          <w:sz w:val="24"/>
          <w:szCs w:val="24"/>
          <w:highlight w:val="none"/>
          <w:lang w:val="en-US" w:eastAsia="zh-CN" w:bidi="ar-SA"/>
        </w:rPr>
        <w:fldChar w:fldCharType="separate"/>
      </w:r>
      <w:r>
        <w:rPr>
          <w:rFonts w:hint="eastAsia" w:ascii="宋体" w:hAnsi="宋体" w:eastAsia="宋体" w:cs="宋体"/>
          <w:b w:val="0"/>
          <w:bCs/>
          <w:color w:val="auto"/>
          <w:kern w:val="2"/>
          <w:sz w:val="24"/>
          <w:szCs w:val="24"/>
          <w:highlight w:val="none"/>
          <w:lang w:val="en-US" w:eastAsia="zh-CN" w:bidi="ar-SA"/>
        </w:rPr>
        <w:t>http://yzt.ynsmartcert.cn/cms/yztynjcjs3.html</w:t>
      </w:r>
      <w:r>
        <w:rPr>
          <w:rFonts w:hint="eastAsia" w:ascii="宋体" w:hAnsi="宋体" w:eastAsia="宋体" w:cs="宋体"/>
          <w:b w:val="0"/>
          <w:bCs/>
          <w:color w:val="auto"/>
          <w:kern w:val="2"/>
          <w:sz w:val="24"/>
          <w:szCs w:val="24"/>
          <w:highlight w:val="none"/>
          <w:lang w:val="en-US" w:eastAsia="zh-CN" w:bidi="ar-SA"/>
        </w:rPr>
        <w:fldChar w:fldCharType="end"/>
      </w:r>
      <w:r>
        <w:rPr>
          <w:rFonts w:hint="eastAsia" w:ascii="宋体" w:hAnsi="宋体" w:eastAsia="宋体" w:cs="宋体"/>
          <w:b w:val="0"/>
          <w:bCs/>
          <w:color w:val="auto"/>
          <w:kern w:val="2"/>
          <w:sz w:val="24"/>
          <w:szCs w:val="24"/>
          <w:highlight w:val="none"/>
          <w:lang w:val="en-US" w:eastAsia="zh-CN" w:bidi="ar-SA"/>
        </w:rPr>
        <w:t>云南壹证通CA 可支持线上、线下办理方式，并提供7*24小时全天候客户服务支持，客服热线400-004-0628（紧急CA办理电话：19988166369）政府采购云平台支持多家CA服务商，供应商可自行选择。</w:t>
      </w:r>
    </w:p>
    <w:p w14:paraId="3047E99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（3）数字证书（CA）申领完成之后进入政采云平台，企业账号与CA进行绑定，凭CA进行项目报名并免费下载</w:t>
      </w:r>
      <w:r>
        <w:rPr>
          <w:rFonts w:hint="eastAsia" w:ascii="宋体" w:hAnsi="宋体" w:cs="宋体"/>
          <w:b w:val="0"/>
          <w:bCs/>
          <w:color w:val="auto"/>
          <w:kern w:val="2"/>
          <w:sz w:val="24"/>
          <w:szCs w:val="24"/>
          <w:highlight w:val="none"/>
          <w:lang w:val="en-US" w:eastAsia="zh-CN" w:bidi="ar-SA"/>
        </w:rPr>
        <w:t>竞争性磋商文件</w:t>
      </w:r>
      <w:r>
        <w:rPr>
          <w:rFonts w:hint="eastAsia" w:ascii="宋体" w:hAnsi="宋体" w:eastAsia="宋体" w:cs="宋体"/>
          <w:b w:val="0"/>
          <w:bCs/>
          <w:color w:val="auto"/>
          <w:kern w:val="2"/>
          <w:sz w:val="24"/>
          <w:szCs w:val="24"/>
          <w:highlight w:val="none"/>
          <w:lang w:val="en-US" w:eastAsia="zh-CN" w:bidi="ar-SA"/>
        </w:rPr>
        <w:t>。</w:t>
      </w:r>
    </w:p>
    <w:p w14:paraId="7512188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（4）按上述要求获取文件的供应商视为已合法获取本项目采购文件，具备本项目的投标竞争性磋商资格。</w:t>
      </w:r>
    </w:p>
    <w:p w14:paraId="7B82FE3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（5）如有问题可拨打政采云客户服务热线95763进行咨询，数字证书（CA）问题可咨询24小时技术支持热线400-004-0628（紧急办理可拨：19988166369）。</w:t>
      </w:r>
    </w:p>
    <w:p w14:paraId="0220F4B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注：供应商如已在云南 CA办理过企业数字证书（CA）的，直接绑定即可，无需重复办理。云南省外供应商在政采云平台办理的其他CA可直接使用，无需重复办理。</w:t>
      </w:r>
    </w:p>
    <w:p w14:paraId="6CCA0BA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4.按上述要求获取文件的供应商视为合法获取了本项目采购文件，具备本项目的投标资格。</w:t>
      </w:r>
    </w:p>
    <w:p w14:paraId="344234B5">
      <w:pPr>
        <w:pStyle w:val="409"/>
        <w:keepNext w:val="0"/>
        <w:keepLines w:val="0"/>
        <w:pageBreakBefore w:val="0"/>
        <w:kinsoku/>
        <w:wordWrap/>
        <w:overflowPunct/>
        <w:topLinePunct w:val="0"/>
        <w:autoSpaceDE/>
        <w:autoSpaceDN/>
        <w:bidi w:val="0"/>
        <w:adjustRightInd w:val="0"/>
        <w:snapToGrid w:val="0"/>
        <w:spacing w:line="360" w:lineRule="auto"/>
        <w:ind w:left="60" w:leftChars="0" w:hanging="60" w:hangingChars="25"/>
        <w:textAlignment w:val="auto"/>
        <w:rPr>
          <w:rFonts w:hint="eastAsia" w:ascii="宋体" w:hAnsi="宋体" w:eastAsia="宋体"/>
          <w:color w:val="auto"/>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5.竞争性磋商文件费用:0元/份。</w:t>
      </w:r>
    </w:p>
    <w:p w14:paraId="6603A2CD">
      <w:pPr>
        <w:keepNext w:val="0"/>
        <w:keepLines w:val="0"/>
        <w:pageBreakBefore w:val="0"/>
        <w:kinsoku/>
        <w:wordWrap/>
        <w:overflowPunct/>
        <w:topLinePunct w:val="0"/>
        <w:autoSpaceDE/>
        <w:autoSpaceDN/>
        <w:bidi w:val="0"/>
        <w:adjustRightInd w:val="0"/>
        <w:snapToGrid w:val="0"/>
        <w:spacing w:line="360" w:lineRule="auto"/>
        <w:ind w:left="0" w:leftChars="0"/>
        <w:rPr>
          <w:rFonts w:ascii="宋体" w:hAnsi="宋体" w:cs="宋体"/>
          <w:b/>
          <w:bCs/>
          <w:color w:val="auto"/>
          <w:sz w:val="24"/>
          <w:szCs w:val="24"/>
          <w:highlight w:val="none"/>
        </w:rPr>
      </w:pPr>
      <w:r>
        <w:rPr>
          <w:rFonts w:hint="eastAsia" w:ascii="宋体" w:hAnsi="宋体" w:cs="宋体"/>
          <w:b/>
          <w:bCs/>
          <w:color w:val="auto"/>
          <w:sz w:val="24"/>
          <w:szCs w:val="24"/>
          <w:highlight w:val="none"/>
        </w:rPr>
        <w:t>四</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响应文件的递交：</w:t>
      </w:r>
    </w:p>
    <w:p w14:paraId="5B65038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响应文件递交截止时</w:t>
      </w:r>
      <w:r>
        <w:rPr>
          <w:rFonts w:hint="eastAsia" w:ascii="宋体" w:hAnsi="宋体" w:eastAsia="宋体" w:cs="宋体"/>
          <w:color w:val="auto"/>
          <w:sz w:val="24"/>
          <w:szCs w:val="24"/>
          <w:highlight w:val="none"/>
        </w:rPr>
        <w:t>间：</w:t>
      </w:r>
      <w:r>
        <w:rPr>
          <w:rFonts w:hint="eastAsia" w:ascii="宋体" w:hAnsi="宋体" w:eastAsia="宋体" w:cs="宋体"/>
          <w:color w:val="auto"/>
          <w:sz w:val="24"/>
          <w:szCs w:val="24"/>
          <w:highlight w:val="none"/>
          <w:u w:val="none"/>
        </w:rPr>
        <w:t>202</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14</w:t>
      </w:r>
      <w:r>
        <w:rPr>
          <w:rFonts w:hint="eastAsia" w:ascii="宋体" w:hAnsi="宋体" w:eastAsia="宋体" w:cs="宋体"/>
          <w:color w:val="auto"/>
          <w:sz w:val="24"/>
          <w:szCs w:val="24"/>
          <w:highlight w:val="none"/>
          <w:u w:val="none"/>
        </w:rPr>
        <w:t>日09时30分</w:t>
      </w:r>
      <w:r>
        <w:rPr>
          <w:rFonts w:hint="eastAsia" w:ascii="宋体" w:hAnsi="宋体" w:eastAsia="宋体" w:cs="宋体"/>
          <w:color w:val="auto"/>
          <w:sz w:val="24"/>
          <w:szCs w:val="24"/>
          <w:highlight w:val="none"/>
        </w:rPr>
        <w:t>(北京时间)。</w:t>
      </w:r>
    </w:p>
    <w:p w14:paraId="441077E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响应文件递交地点：</w:t>
      </w:r>
      <w:r>
        <w:rPr>
          <w:rFonts w:hint="eastAsia" w:ascii="宋体" w:hAnsi="宋体" w:eastAsia="宋体" w:cs="宋体"/>
          <w:color w:val="auto"/>
          <w:sz w:val="24"/>
          <w:szCs w:val="24"/>
          <w:highlight w:val="none"/>
          <w:lang w:val="en-US" w:eastAsia="zh-CN"/>
        </w:rPr>
        <w:t>供应商应按照本项目磋商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r>
        <w:rPr>
          <w:rFonts w:hint="eastAsia" w:ascii="宋体" w:hAnsi="宋体" w:eastAsia="宋体" w:cs="宋体"/>
          <w:color w:val="auto"/>
          <w:sz w:val="24"/>
          <w:szCs w:val="24"/>
          <w:highlight w:val="none"/>
        </w:rPr>
        <w:t>。</w:t>
      </w:r>
    </w:p>
    <w:p w14:paraId="51E7698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3.逾期上传的或者未按照要求上传的响应文件，</w:t>
      </w:r>
      <w:r>
        <w:rPr>
          <w:rFonts w:hint="eastAsia" w:ascii="宋体" w:hAnsi="宋体" w:eastAsia="宋体" w:cs="宋体"/>
          <w:color w:val="auto"/>
          <w:sz w:val="24"/>
          <w:szCs w:val="24"/>
          <w:highlight w:val="none"/>
        </w:rPr>
        <w:t>采购人不予受理。</w:t>
      </w:r>
    </w:p>
    <w:p w14:paraId="3984F955">
      <w:pPr>
        <w:pStyle w:val="22"/>
        <w:keepNext w:val="0"/>
        <w:keepLines w:val="0"/>
        <w:pageBreakBefore w:val="0"/>
        <w:kinsoku/>
        <w:wordWrap/>
        <w:overflowPunct/>
        <w:topLinePunct w:val="0"/>
        <w:autoSpaceDE/>
        <w:autoSpaceDN/>
        <w:bidi w:val="0"/>
        <w:adjustRightInd w:val="0"/>
        <w:snapToGrid w:val="0"/>
        <w:spacing w:after="0" w:afterLines="0" w:line="360" w:lineRule="auto"/>
        <w:ind w:left="0" w:leftChars="0"/>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bidi="ar-SA"/>
        </w:rPr>
        <w:t>其他补充事宜</w:t>
      </w:r>
    </w:p>
    <w:p w14:paraId="037C3D1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 xml:space="preserve">1.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06D89C3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 xml:space="preserve">CA数字证书服务热线 </w:t>
      </w:r>
    </w:p>
    <w:p w14:paraId="59D0A4D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汇信CA：0571-88350735</w:t>
      </w:r>
    </w:p>
    <w:p w14:paraId="6AB524E8">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云南CA:4006727666</w:t>
      </w:r>
    </w:p>
    <w:p w14:paraId="7CB2E25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云南壹证通：4000040628</w:t>
      </w:r>
    </w:p>
    <w:p w14:paraId="4CC4FEE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福建CA：0591-87760022</w:t>
      </w:r>
    </w:p>
    <w:p w14:paraId="14C18E14">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3.办理 CA 数字证书，供应商登录云南省省级政府采购电子交易平台查阅操作指南—入驻与配置—CA管理。使用操作指南，按照程序要求办理。</w:t>
      </w:r>
    </w:p>
    <w:p w14:paraId="6F70D688">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lang w:eastAsia="zh-CN"/>
        </w:rPr>
        <w:t>发布公告的媒介</w:t>
      </w:r>
    </w:p>
    <w:p w14:paraId="4E5E1D3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本次竞争性磋商公告在云南省政府采购网（http：//www.yngp.com/）</w:t>
      </w:r>
      <w:r>
        <w:rPr>
          <w:rFonts w:hint="eastAsia" w:ascii="宋体" w:hAnsi="宋体" w:eastAsia="宋体" w:cs="宋体"/>
          <w:color w:val="auto"/>
          <w:sz w:val="24"/>
          <w:szCs w:val="24"/>
          <w:highlight w:val="none"/>
          <w:lang w:eastAsia="zh-CN"/>
        </w:rPr>
        <w:t>、</w:t>
      </w:r>
      <w:r>
        <w:rPr>
          <w:rFonts w:hint="eastAsia" w:ascii="宋体" w:hAnsi="宋体" w:eastAsia="宋体" w:cs="宋体"/>
          <w:iCs/>
          <w:color w:val="auto"/>
          <w:sz w:val="24"/>
          <w:szCs w:val="24"/>
          <w:highlight w:val="none"/>
          <w:lang w:eastAsia="zh-CN"/>
        </w:rPr>
        <w:t>“政采云”平台 （http：//www.zcygov.cn</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上同时</w:t>
      </w:r>
      <w:r>
        <w:rPr>
          <w:rFonts w:hint="eastAsia" w:ascii="宋体" w:hAnsi="宋体" w:eastAsia="宋体" w:cs="宋体"/>
          <w:color w:val="auto"/>
          <w:sz w:val="24"/>
          <w:szCs w:val="24"/>
          <w:highlight w:val="none"/>
        </w:rPr>
        <w:t>发布，其他网站或媒体转载的公告及公告内容信息，采购人及采购代理机构不承担任何责任</w:t>
      </w:r>
      <w:r>
        <w:rPr>
          <w:rFonts w:hint="eastAsia" w:ascii="宋体" w:hAnsi="宋体"/>
          <w:color w:val="auto"/>
          <w:sz w:val="24"/>
          <w:szCs w:val="24"/>
          <w:highlight w:val="none"/>
          <w:lang w:val="en-US" w:eastAsia="zh-CN"/>
        </w:rPr>
        <w:t>。</w:t>
      </w:r>
    </w:p>
    <w:p w14:paraId="18A17A91">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i w:val="0"/>
          <w:iCs w:val="0"/>
          <w:color w:val="auto"/>
          <w:sz w:val="24"/>
          <w:szCs w:val="24"/>
          <w:highlight w:val="none"/>
        </w:rPr>
      </w:pPr>
      <w:bookmarkStart w:id="16" w:name="_Toc28359018"/>
      <w:bookmarkStart w:id="17" w:name="_Toc35393636"/>
      <w:bookmarkStart w:id="18" w:name="_Toc35393805"/>
      <w:bookmarkStart w:id="19" w:name="_Toc28359095"/>
      <w:r>
        <w:rPr>
          <w:rFonts w:hint="eastAsia" w:ascii="宋体" w:hAnsi="宋体" w:cs="宋体"/>
          <w:b/>
          <w:bCs w:val="0"/>
          <w:i w:val="0"/>
          <w:iCs w:val="0"/>
          <w:color w:val="auto"/>
          <w:sz w:val="24"/>
          <w:szCs w:val="24"/>
          <w:highlight w:val="none"/>
          <w:lang w:val="en-US" w:eastAsia="zh-CN"/>
        </w:rPr>
        <w:t>七</w:t>
      </w:r>
      <w:r>
        <w:rPr>
          <w:rFonts w:hint="eastAsia" w:ascii="宋体" w:hAnsi="宋体" w:eastAsia="宋体" w:cs="宋体"/>
          <w:b/>
          <w:bCs w:val="0"/>
          <w:i w:val="0"/>
          <w:iCs w:val="0"/>
          <w:color w:val="auto"/>
          <w:sz w:val="24"/>
          <w:szCs w:val="24"/>
          <w:highlight w:val="none"/>
        </w:rPr>
        <w:t>、凡对本次采购提出询问，请按以下方式联系</w:t>
      </w:r>
      <w:bookmarkEnd w:id="16"/>
      <w:bookmarkEnd w:id="17"/>
      <w:bookmarkEnd w:id="18"/>
      <w:bookmarkEnd w:id="19"/>
      <w:bookmarkStart w:id="20" w:name="_Toc28359096"/>
      <w:bookmarkStart w:id="21" w:name="_Toc35393806"/>
      <w:bookmarkStart w:id="22" w:name="_Toc28359019"/>
      <w:bookmarkStart w:id="23" w:name="_Toc35393637"/>
    </w:p>
    <w:bookmarkEnd w:id="20"/>
    <w:bookmarkEnd w:id="21"/>
    <w:bookmarkEnd w:id="22"/>
    <w:bookmarkEnd w:id="23"/>
    <w:p w14:paraId="365E288A">
      <w:pPr>
        <w:pStyle w:val="3"/>
        <w:adjustRightInd w:val="0"/>
        <w:snapToGrid w:val="0"/>
        <w:spacing w:before="0" w:after="0" w:line="360" w:lineRule="auto"/>
        <w:ind w:firstLine="480" w:firstLineChars="200"/>
        <w:rPr>
          <w:rFonts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1.采购人信息</w:t>
      </w:r>
    </w:p>
    <w:p w14:paraId="6BFC0311">
      <w:pPr>
        <w:adjustRightInd w:val="0"/>
        <w:snapToGrid w:val="0"/>
        <w:spacing w:line="360" w:lineRule="auto"/>
        <w:ind w:firstLine="480" w:firstLineChars="200"/>
        <w:jc w:val="left"/>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rPr>
        <w:t>采购</w:t>
      </w:r>
      <w:r>
        <w:rPr>
          <w:rFonts w:hint="eastAsia" w:ascii="宋体" w:hAnsi="宋体" w:cs="宋体"/>
          <w:color w:val="auto"/>
          <w:sz w:val="24"/>
          <w:szCs w:val="24"/>
          <w:highlight w:val="none"/>
          <w:u w:val="none"/>
        </w:rPr>
        <w:t>人：</w:t>
      </w:r>
      <w:r>
        <w:rPr>
          <w:rFonts w:hint="eastAsia" w:ascii="宋体" w:hAnsi="宋体" w:cs="宋体"/>
          <w:color w:val="auto"/>
          <w:sz w:val="24"/>
          <w:szCs w:val="24"/>
          <w:highlight w:val="none"/>
          <w:u w:val="none"/>
          <w:lang w:val="en-US" w:eastAsia="zh-CN"/>
        </w:rPr>
        <w:t>昭通市昭阳区水务局</w:t>
      </w:r>
    </w:p>
    <w:p w14:paraId="3FAE1A78">
      <w:pPr>
        <w:adjustRightInd w:val="0"/>
        <w:snapToGrid w:val="0"/>
        <w:spacing w:line="360" w:lineRule="auto"/>
        <w:ind w:firstLine="480" w:firstLineChars="200"/>
        <w:jc w:val="left"/>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地</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址：</w:t>
      </w:r>
      <w:r>
        <w:rPr>
          <w:rFonts w:hint="eastAsia" w:ascii="宋体" w:hAnsi="宋体" w:cs="宋体"/>
          <w:color w:val="auto"/>
          <w:sz w:val="24"/>
          <w:szCs w:val="24"/>
          <w:highlight w:val="none"/>
          <w:u w:val="none"/>
          <w:lang w:eastAsia="zh-CN"/>
        </w:rPr>
        <w:t>云南省昭通市昭阳区环城西路</w:t>
      </w:r>
    </w:p>
    <w:p w14:paraId="41D6ACE4">
      <w:pPr>
        <w:adjustRightInd w:val="0"/>
        <w:snapToGrid w:val="0"/>
        <w:spacing w:line="360" w:lineRule="auto"/>
        <w:ind w:firstLine="480" w:firstLineChars="200"/>
        <w:jc w:val="left"/>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联系方式：戚焦/0870-2132896</w:t>
      </w:r>
    </w:p>
    <w:p w14:paraId="7504F485">
      <w:pPr>
        <w:adjustRightInd w:val="0"/>
        <w:snapToGrid w:val="0"/>
        <w:spacing w:line="360" w:lineRule="auto"/>
        <w:ind w:firstLine="480" w:firstLineChars="200"/>
        <w:jc w:val="left"/>
        <w:rPr>
          <w:rFonts w:ascii="宋体" w:hAnsi="宋体" w:cs="宋体"/>
          <w:color w:val="auto"/>
          <w:sz w:val="24"/>
          <w:szCs w:val="24"/>
          <w:highlight w:val="none"/>
          <w:u w:val="none"/>
        </w:rPr>
      </w:pPr>
      <w:r>
        <w:rPr>
          <w:rFonts w:hint="eastAsia" w:ascii="宋体" w:hAnsi="宋体" w:cs="宋体"/>
          <w:color w:val="auto"/>
          <w:sz w:val="24"/>
          <w:szCs w:val="24"/>
          <w:highlight w:val="none"/>
          <w:u w:val="none"/>
        </w:rPr>
        <w:t>2.采购代理机构信息</w:t>
      </w:r>
    </w:p>
    <w:p w14:paraId="618D3331">
      <w:pPr>
        <w:adjustRightInd w:val="0"/>
        <w:snapToGrid w:val="0"/>
        <w:spacing w:line="360" w:lineRule="auto"/>
        <w:ind w:firstLine="480" w:firstLineChars="20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rPr>
        <w:t>名称：</w:t>
      </w:r>
      <w:r>
        <w:rPr>
          <w:rFonts w:hint="eastAsia" w:ascii="宋体" w:hAnsi="宋体" w:cs="宋体"/>
          <w:color w:val="auto"/>
          <w:sz w:val="24"/>
          <w:szCs w:val="24"/>
          <w:highlight w:val="none"/>
          <w:u w:val="none"/>
          <w:lang w:val="en-US" w:eastAsia="zh-CN"/>
        </w:rPr>
        <w:t>云南烽越项目管理咨询有限公司</w:t>
      </w:r>
    </w:p>
    <w:p w14:paraId="39D4945A">
      <w:pPr>
        <w:adjustRightInd w:val="0"/>
        <w:snapToGrid w:val="0"/>
        <w:spacing w:line="360" w:lineRule="auto"/>
        <w:ind w:firstLine="480" w:firstLineChars="20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地址：云南省昭通市昭阳区凤凰街道远大广场12 幢804室</w:t>
      </w:r>
    </w:p>
    <w:p w14:paraId="06C85BBB">
      <w:pPr>
        <w:adjustRightInd w:val="0"/>
        <w:snapToGrid w:val="0"/>
        <w:spacing w:line="360" w:lineRule="auto"/>
        <w:ind w:firstLine="480" w:firstLineChars="20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联系人：李丹、孙黎叶</w:t>
      </w:r>
    </w:p>
    <w:p w14:paraId="5648ED4E">
      <w:pPr>
        <w:adjustRightInd w:val="0"/>
        <w:snapToGrid w:val="0"/>
        <w:spacing w:line="360" w:lineRule="auto"/>
        <w:ind w:firstLine="480" w:firstLineChars="20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rPr>
        <w:t>联系电话：0870-28</w:t>
      </w:r>
      <w:r>
        <w:rPr>
          <w:rFonts w:hint="eastAsia" w:ascii="宋体" w:hAnsi="宋体" w:cs="宋体"/>
          <w:color w:val="auto"/>
          <w:sz w:val="24"/>
          <w:szCs w:val="24"/>
          <w:highlight w:val="none"/>
          <w:u w:val="none"/>
          <w:lang w:val="en-US" w:eastAsia="zh-CN"/>
        </w:rPr>
        <w:t>34168</w:t>
      </w:r>
    </w:p>
    <w:p w14:paraId="0A58EDA0">
      <w:pPr>
        <w:adjustRightInd w:val="0"/>
        <w:snapToGrid w:val="0"/>
        <w:spacing w:line="360" w:lineRule="auto"/>
        <w:ind w:firstLine="480" w:firstLineChars="20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电子邮箱：</w:t>
      </w:r>
      <w:r>
        <w:rPr>
          <w:rFonts w:hint="eastAsia" w:ascii="宋体" w:hAnsi="宋体" w:cs="宋体"/>
          <w:color w:val="auto"/>
          <w:sz w:val="24"/>
          <w:szCs w:val="24"/>
          <w:highlight w:val="none"/>
          <w:u w:val="none"/>
        </w:rPr>
        <w:fldChar w:fldCharType="begin"/>
      </w:r>
      <w:r>
        <w:rPr>
          <w:rFonts w:hint="eastAsia" w:ascii="宋体" w:hAnsi="宋体" w:cs="宋体"/>
          <w:color w:val="auto"/>
          <w:sz w:val="24"/>
          <w:szCs w:val="24"/>
          <w:highlight w:val="none"/>
          <w:u w:val="none"/>
        </w:rPr>
        <w:instrText xml:space="preserve"> HYPERLINK "mailto:ynjczbzt@163.com" </w:instrText>
      </w:r>
      <w:r>
        <w:rPr>
          <w:rFonts w:hint="eastAsia" w:ascii="宋体" w:hAnsi="宋体" w:cs="宋体"/>
          <w:color w:val="auto"/>
          <w:sz w:val="24"/>
          <w:szCs w:val="24"/>
          <w:highlight w:val="none"/>
          <w:u w:val="none"/>
        </w:rPr>
        <w:fldChar w:fldCharType="separate"/>
      </w:r>
      <w:r>
        <w:rPr>
          <w:rFonts w:hint="eastAsia" w:ascii="宋体" w:hAnsi="宋体" w:cs="宋体"/>
          <w:color w:val="auto"/>
          <w:sz w:val="24"/>
          <w:szCs w:val="24"/>
          <w:highlight w:val="none"/>
          <w:u w:val="none"/>
          <w:lang w:eastAsia="zh-CN"/>
        </w:rPr>
        <w:t>ynfyxmgl@163.com</w:t>
      </w:r>
      <w:r>
        <w:rPr>
          <w:rFonts w:hint="eastAsia" w:ascii="宋体" w:hAnsi="宋体" w:cs="宋体"/>
          <w:color w:val="auto"/>
          <w:sz w:val="24"/>
          <w:szCs w:val="24"/>
          <w:highlight w:val="none"/>
          <w:u w:val="none"/>
        </w:rPr>
        <w:fldChar w:fldCharType="end"/>
      </w:r>
    </w:p>
    <w:p w14:paraId="7C5D91EE">
      <w:pPr>
        <w:adjustRightInd w:val="0"/>
        <w:snapToGrid w:val="0"/>
        <w:spacing w:line="360" w:lineRule="auto"/>
        <w:ind w:firstLine="480" w:firstLineChars="200"/>
        <w:rPr>
          <w:rFonts w:ascii="宋体" w:hAnsi="宋体" w:cs="宋体"/>
          <w:color w:val="auto"/>
          <w:sz w:val="24"/>
          <w:szCs w:val="24"/>
          <w:highlight w:val="none"/>
          <w:u w:val="none"/>
        </w:rPr>
      </w:pPr>
      <w:r>
        <w:rPr>
          <w:rFonts w:hint="eastAsia" w:ascii="宋体" w:hAnsi="宋体" w:cs="宋体"/>
          <w:color w:val="auto"/>
          <w:sz w:val="24"/>
          <w:szCs w:val="24"/>
          <w:highlight w:val="none"/>
          <w:u w:val="none"/>
        </w:rPr>
        <w:t>3.项目联系方式</w:t>
      </w:r>
    </w:p>
    <w:p w14:paraId="07FD02C0">
      <w:pPr>
        <w:pStyle w:val="31"/>
        <w:adjustRightInd w:val="0"/>
        <w:snapToGrid w:val="0"/>
        <w:spacing w:line="360" w:lineRule="auto"/>
        <w:ind w:firstLine="480" w:firstLineChars="200"/>
        <w:rPr>
          <w:rFonts w:hint="default" w:hAnsi="宋体" w:cs="宋体"/>
          <w:color w:val="auto"/>
          <w:sz w:val="24"/>
          <w:szCs w:val="24"/>
          <w:highlight w:val="none"/>
          <w:u w:val="none"/>
          <w:lang w:val="en-US"/>
        </w:rPr>
      </w:pPr>
      <w:r>
        <w:rPr>
          <w:rFonts w:hint="eastAsia" w:hAnsi="宋体" w:cs="宋体"/>
          <w:color w:val="auto"/>
          <w:sz w:val="24"/>
          <w:szCs w:val="24"/>
          <w:highlight w:val="none"/>
          <w:u w:val="none"/>
        </w:rPr>
        <w:t>项目联系人：</w:t>
      </w:r>
      <w:r>
        <w:rPr>
          <w:rFonts w:hint="eastAsia" w:ascii="宋体" w:hAnsi="宋体" w:cs="宋体"/>
          <w:color w:val="auto"/>
          <w:sz w:val="24"/>
          <w:szCs w:val="24"/>
          <w:highlight w:val="none"/>
          <w:u w:val="none"/>
          <w:lang w:val="en-US" w:eastAsia="zh-CN"/>
        </w:rPr>
        <w:t>李丹、孙黎叶</w:t>
      </w:r>
    </w:p>
    <w:p w14:paraId="1377E333">
      <w:pPr>
        <w:spacing w:line="360" w:lineRule="auto"/>
        <w:ind w:firstLine="480" w:firstLineChars="200"/>
        <w:jc w:val="both"/>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rPr>
        <w:t>电　话：</w:t>
      </w:r>
      <w:r>
        <w:rPr>
          <w:rFonts w:hint="eastAsia" w:ascii="宋体" w:hAnsi="宋体" w:cs="宋体"/>
          <w:color w:val="auto"/>
          <w:sz w:val="24"/>
          <w:szCs w:val="24"/>
          <w:highlight w:val="none"/>
          <w:u w:val="none"/>
          <w:lang w:val="en-US" w:eastAsia="zh-CN"/>
        </w:rPr>
        <w:t>0870-2834168</w:t>
      </w:r>
    </w:p>
    <w:p w14:paraId="69EA80A7">
      <w:pPr>
        <w:pStyle w:val="2"/>
        <w:adjustRightInd w:val="0"/>
        <w:snapToGrid w:val="0"/>
        <w:spacing w:before="0" w:after="0" w:line="360" w:lineRule="auto"/>
        <w:jc w:val="center"/>
        <w:rPr>
          <w:rFonts w:hint="eastAsia" w:ascii="宋体" w:hAnsi="宋体" w:eastAsia="宋体" w:cs="宋体"/>
          <w:color w:val="auto"/>
          <w:sz w:val="30"/>
          <w:szCs w:val="30"/>
          <w:highlight w:val="none"/>
        </w:rPr>
        <w:sectPr>
          <w:footerReference r:id="rId7" w:type="default"/>
          <w:pgSz w:w="11906" w:h="16838"/>
          <w:pgMar w:top="1418" w:right="1247" w:bottom="1418" w:left="1247" w:header="851" w:footer="992" w:gutter="0"/>
          <w:pgNumType w:fmt="decimal"/>
          <w:cols w:space="720" w:num="1"/>
          <w:docGrid w:linePitch="312" w:charSpace="0"/>
        </w:sectPr>
      </w:pPr>
      <w:bookmarkStart w:id="24" w:name="_Toc21186"/>
    </w:p>
    <w:p w14:paraId="79A6D17C">
      <w:pPr>
        <w:pStyle w:val="2"/>
        <w:adjustRightInd w:val="0"/>
        <w:snapToGrid w:val="0"/>
        <w:spacing w:before="0" w:after="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供应商须知</w:t>
      </w:r>
      <w:bookmarkEnd w:id="24"/>
    </w:p>
    <w:p w14:paraId="10B5379D">
      <w:pPr>
        <w:pStyle w:val="22"/>
        <w:spacing w:after="7" w:line="360" w:lineRule="auto"/>
        <w:ind w:right="528" w:firstLine="480" w:firstLineChars="200"/>
        <w:rPr>
          <w:rFonts w:ascii="Times New Roman" w:hAnsi="Times New Roman" w:cs="Times New Roman"/>
          <w:color w:val="auto"/>
          <w:sz w:val="24"/>
          <w:szCs w:val="24"/>
          <w:highlight w:val="none"/>
          <w:lang w:eastAsia="zh-CN"/>
        </w:rPr>
      </w:pPr>
      <w:bookmarkStart w:id="25" w:name="_Toc179715693"/>
      <w:bookmarkStart w:id="26" w:name="_Toc144974404"/>
      <w:bookmarkStart w:id="27" w:name="_Toc152047200"/>
      <w:r>
        <w:rPr>
          <w:rFonts w:ascii="Times New Roman" w:hAnsi="Times New Roman" w:cs="Times New Roman"/>
          <w:color w:val="auto"/>
          <w:sz w:val="24"/>
          <w:szCs w:val="24"/>
          <w:highlight w:val="none"/>
          <w:lang w:eastAsia="zh-CN"/>
        </w:rPr>
        <w:t>本表是对供应商须知的具体补充和修改，如有矛盾，均以本资料表为准。标记</w:t>
      </w:r>
      <w:r>
        <w:rPr>
          <w:rFonts w:hint="eastAsia"/>
          <w:color w:val="auto"/>
          <w:sz w:val="24"/>
          <w:szCs w:val="24"/>
          <w:highlight w:val="none"/>
          <w:lang w:eastAsia="zh-CN"/>
        </w:rPr>
        <w:t>“</w:t>
      </w:r>
      <w:r>
        <w:rPr>
          <w:rFonts w:ascii="Times New Roman" w:hAnsi="Times New Roman" w:eastAsia="Arial Narrow" w:cs="Times New Roman"/>
          <w:color w:val="auto"/>
          <w:spacing w:val="-1"/>
          <w:w w:val="115"/>
          <w:sz w:val="24"/>
          <w:szCs w:val="24"/>
          <w:highlight w:val="none"/>
          <w:lang w:eastAsia="zh-CN"/>
        </w:rPr>
        <w:t>■</w:t>
      </w:r>
      <w:r>
        <w:rPr>
          <w:rFonts w:hint="eastAsia"/>
          <w:color w:val="auto"/>
          <w:sz w:val="24"/>
          <w:szCs w:val="24"/>
          <w:highlight w:val="none"/>
          <w:lang w:eastAsia="zh-CN"/>
        </w:rPr>
        <w:t>”</w:t>
      </w:r>
      <w:r>
        <w:rPr>
          <w:rFonts w:ascii="Times New Roman" w:hAnsi="Times New Roman" w:cs="Times New Roman"/>
          <w:color w:val="auto"/>
          <w:sz w:val="24"/>
          <w:szCs w:val="24"/>
          <w:highlight w:val="none"/>
          <w:lang w:eastAsia="zh-CN"/>
        </w:rPr>
        <w:t>的选项意为适用于本项目，标记</w:t>
      </w:r>
      <w:r>
        <w:rPr>
          <w:rFonts w:hint="eastAsia"/>
          <w:color w:val="auto"/>
          <w:sz w:val="24"/>
          <w:szCs w:val="24"/>
          <w:highlight w:val="none"/>
          <w:lang w:eastAsia="zh-CN"/>
        </w:rPr>
        <w:t>“</w:t>
      </w:r>
      <w:r>
        <w:rPr>
          <w:rFonts w:ascii="Times New Roman" w:hAnsi="Times New Roman" w:eastAsia="Arial Narrow" w:cs="Times New Roman"/>
          <w:color w:val="auto"/>
          <w:spacing w:val="-1"/>
          <w:w w:val="120"/>
          <w:sz w:val="24"/>
          <w:szCs w:val="24"/>
          <w:highlight w:val="none"/>
          <w:lang w:eastAsia="zh-CN"/>
        </w:rPr>
        <w:t>□</w:t>
      </w:r>
      <w:r>
        <w:rPr>
          <w:rFonts w:hint="eastAsia"/>
          <w:color w:val="auto"/>
          <w:sz w:val="24"/>
          <w:szCs w:val="24"/>
          <w:highlight w:val="none"/>
          <w:lang w:eastAsia="zh-CN"/>
        </w:rPr>
        <w:t>”</w:t>
      </w:r>
      <w:r>
        <w:rPr>
          <w:rFonts w:ascii="Times New Roman" w:hAnsi="Times New Roman" w:cs="Times New Roman"/>
          <w:color w:val="auto"/>
          <w:sz w:val="24"/>
          <w:szCs w:val="24"/>
          <w:highlight w:val="none"/>
          <w:lang w:eastAsia="zh-CN"/>
        </w:rPr>
        <w:t>的选项意为不适用于本项目。</w:t>
      </w:r>
    </w:p>
    <w:tbl>
      <w:tblPr>
        <w:tblStyle w:val="486"/>
        <w:tblW w:w="9533"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7"/>
        <w:gridCol w:w="1701"/>
        <w:gridCol w:w="6635"/>
      </w:tblGrid>
      <w:tr w14:paraId="4981A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23FB3D91">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701" w:type="dxa"/>
            <w:vAlign w:val="center"/>
          </w:tcPr>
          <w:p w14:paraId="67CC8730">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条目</w:t>
            </w:r>
          </w:p>
        </w:tc>
        <w:tc>
          <w:tcPr>
            <w:tcW w:w="6635" w:type="dxa"/>
            <w:vAlign w:val="center"/>
          </w:tcPr>
          <w:p w14:paraId="55ED2DF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内容</w:t>
            </w:r>
          </w:p>
        </w:tc>
      </w:tr>
      <w:tr w14:paraId="68785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3E775CE6">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1701" w:type="dxa"/>
            <w:vAlign w:val="center"/>
          </w:tcPr>
          <w:p w14:paraId="17F99E49">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635" w:type="dxa"/>
            <w:vAlign w:val="center"/>
          </w:tcPr>
          <w:p w14:paraId="5E576FC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项目属性：</w:t>
            </w:r>
          </w:p>
          <w:p w14:paraId="0A863B06">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服务</w:t>
            </w:r>
          </w:p>
          <w:p w14:paraId="1857C54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□货物：单一产品或核心产品为：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，核心产品相关内容参照财政部87号令有关规定执行。</w:t>
            </w:r>
          </w:p>
          <w:p w14:paraId="7C59D5D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工程</w:t>
            </w:r>
          </w:p>
        </w:tc>
      </w:tr>
      <w:tr w14:paraId="5E9F4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restart"/>
            <w:vAlign w:val="center"/>
          </w:tcPr>
          <w:p w14:paraId="191B66F6">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701" w:type="dxa"/>
            <w:vAlign w:val="center"/>
          </w:tcPr>
          <w:p w14:paraId="2213FEE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635" w:type="dxa"/>
            <w:vAlign w:val="center"/>
          </w:tcPr>
          <w:p w14:paraId="2AE453B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☑不组织</w:t>
            </w:r>
          </w:p>
          <w:p w14:paraId="05B98DC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□组织，考察时间：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年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月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日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点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分</w:t>
            </w:r>
          </w:p>
          <w:p w14:paraId="55C3012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tc>
      </w:tr>
      <w:tr w14:paraId="41783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continue"/>
            <w:tcBorders>
              <w:top w:val="nil"/>
            </w:tcBorders>
            <w:vAlign w:val="center"/>
          </w:tcPr>
          <w:p w14:paraId="3079CA9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701" w:type="dxa"/>
            <w:vAlign w:val="center"/>
          </w:tcPr>
          <w:p w14:paraId="6C854B5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6635" w:type="dxa"/>
            <w:vAlign w:val="center"/>
          </w:tcPr>
          <w:p w14:paraId="46962AA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☑不召开</w:t>
            </w:r>
          </w:p>
          <w:p w14:paraId="1F3613E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□召开，召开时间：</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年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月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日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点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分</w:t>
            </w:r>
          </w:p>
          <w:p w14:paraId="2C3A2A0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召开地点： </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w:t>
            </w:r>
          </w:p>
        </w:tc>
      </w:tr>
      <w:tr w14:paraId="33D59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tcBorders>
              <w:top w:val="nil"/>
            </w:tcBorders>
            <w:vAlign w:val="center"/>
          </w:tcPr>
          <w:p w14:paraId="63C9EF87">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p>
        </w:tc>
        <w:tc>
          <w:tcPr>
            <w:tcW w:w="1701" w:type="dxa"/>
            <w:vAlign w:val="center"/>
          </w:tcPr>
          <w:p w14:paraId="2C185CE8">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签字或盖章要求</w:t>
            </w:r>
          </w:p>
        </w:tc>
        <w:tc>
          <w:tcPr>
            <w:tcW w:w="6635" w:type="dxa"/>
            <w:vAlign w:val="center"/>
          </w:tcPr>
          <w:p w14:paraId="6A2954B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（1）响应文件应按竞争性磋商文件格式部分要求，由供应商的法定代表人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或其委托代理人签字或盖章，并加盖单位公章。没有按竞争性磋商文件要求签字或盖章的响应文件将被拒绝；</w:t>
            </w:r>
          </w:p>
          <w:p w14:paraId="6432B57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（2）由委托代理人签字或盖章的，响应文件中应附有法定代表人的授权委托书，其授权委托书必须由法定代表人及委托代理人签字；</w:t>
            </w:r>
          </w:p>
        </w:tc>
      </w:tr>
      <w:tr w14:paraId="2F9F5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6" w:hRule="atLeast"/>
        </w:trPr>
        <w:tc>
          <w:tcPr>
            <w:tcW w:w="1197" w:type="dxa"/>
            <w:vAlign w:val="center"/>
          </w:tcPr>
          <w:p w14:paraId="4919A6B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p>
        </w:tc>
        <w:tc>
          <w:tcPr>
            <w:tcW w:w="1701" w:type="dxa"/>
            <w:vAlign w:val="center"/>
          </w:tcPr>
          <w:p w14:paraId="4245E58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w:t>
            </w:r>
            <w:r>
              <w:rPr>
                <w:rFonts w:hint="eastAsia" w:ascii="宋体" w:hAnsi="宋体" w:eastAsia="宋体" w:cs="宋体"/>
                <w:color w:val="auto"/>
                <w:sz w:val="24"/>
                <w:szCs w:val="24"/>
                <w:highlight w:val="none"/>
                <w:lang w:val="en-US" w:eastAsia="zh-CN"/>
              </w:rPr>
              <w:t>名称及</w:t>
            </w:r>
            <w:r>
              <w:rPr>
                <w:rFonts w:hint="eastAsia" w:ascii="宋体" w:hAnsi="宋体" w:eastAsia="宋体" w:cs="宋体"/>
                <w:color w:val="auto"/>
                <w:sz w:val="24"/>
                <w:szCs w:val="24"/>
                <w:highlight w:val="none"/>
              </w:rPr>
              <w:t>所属行业</w:t>
            </w:r>
          </w:p>
        </w:tc>
        <w:tc>
          <w:tcPr>
            <w:tcW w:w="6635" w:type="dxa"/>
            <w:vAlign w:val="top"/>
          </w:tcPr>
          <w:tbl>
            <w:tblPr>
              <w:tblStyle w:val="486"/>
              <w:tblpPr w:leftFromText="180" w:rightFromText="180" w:vertAnchor="text" w:horzAnchor="page" w:tblpX="218" w:tblpY="565"/>
              <w:tblOverlap w:val="never"/>
              <w:tblW w:w="6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7"/>
              <w:gridCol w:w="2560"/>
              <w:gridCol w:w="2961"/>
            </w:tblGrid>
            <w:tr w14:paraId="751DB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697" w:type="dxa"/>
                </w:tcPr>
                <w:p w14:paraId="61F3BD45">
                  <w:pPr>
                    <w:pStyle w:val="338"/>
                    <w:spacing w:before="72"/>
                    <w:ind w:left="124"/>
                    <w:rPr>
                      <w:color w:val="auto"/>
                      <w:sz w:val="24"/>
                      <w:highlight w:val="none"/>
                    </w:rPr>
                  </w:pPr>
                  <w:r>
                    <w:rPr>
                      <w:color w:val="auto"/>
                      <w:sz w:val="24"/>
                      <w:highlight w:val="none"/>
                    </w:rPr>
                    <w:t>包号</w:t>
                  </w:r>
                </w:p>
              </w:tc>
              <w:tc>
                <w:tcPr>
                  <w:tcW w:w="2560" w:type="dxa"/>
                </w:tcPr>
                <w:p w14:paraId="44A5DF97">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标的名称</w:t>
                  </w:r>
                </w:p>
              </w:tc>
              <w:tc>
                <w:tcPr>
                  <w:tcW w:w="2961" w:type="dxa"/>
                </w:tcPr>
                <w:p w14:paraId="5C48DFDF">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中小企业划分标准所属行业</w:t>
                  </w:r>
                </w:p>
              </w:tc>
            </w:tr>
            <w:tr w14:paraId="7D929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697" w:type="dxa"/>
                  <w:vAlign w:val="center"/>
                </w:tcPr>
                <w:p w14:paraId="519F15F5">
                  <w:pPr>
                    <w:pStyle w:val="338"/>
                    <w:jc w:val="center"/>
                    <w:rPr>
                      <w:rFonts w:hint="default" w:ascii="Times New Roman"/>
                      <w:color w:val="auto"/>
                      <w:highlight w:val="none"/>
                      <w:lang w:val="en-US" w:eastAsia="zh-CN"/>
                    </w:rPr>
                  </w:pPr>
                  <w:r>
                    <w:rPr>
                      <w:rFonts w:hint="eastAsia" w:ascii="Times New Roman"/>
                      <w:color w:val="auto"/>
                      <w:highlight w:val="none"/>
                      <w:lang w:val="en-US" w:eastAsia="zh-CN"/>
                    </w:rPr>
                    <w:t>1</w:t>
                  </w:r>
                </w:p>
              </w:tc>
              <w:tc>
                <w:tcPr>
                  <w:tcW w:w="2560" w:type="dxa"/>
                  <w:vAlign w:val="center"/>
                </w:tcPr>
                <w:p w14:paraId="376453D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昭阳区2025年小型水库大坝安全监测设施建设项目</w:t>
                  </w:r>
                </w:p>
              </w:tc>
              <w:tc>
                <w:tcPr>
                  <w:tcW w:w="2961" w:type="dxa"/>
                  <w:vAlign w:val="center"/>
                </w:tcPr>
                <w:p w14:paraId="2B49382C">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软件和信息技术</w:t>
                  </w:r>
                </w:p>
              </w:tc>
            </w:tr>
          </w:tbl>
          <w:p w14:paraId="3223AC47">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本项目采购标的对应的中小企业划分标准所属行业：</w:t>
            </w:r>
          </w:p>
        </w:tc>
      </w:tr>
      <w:tr w14:paraId="2B95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0473037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p>
        </w:tc>
        <w:tc>
          <w:tcPr>
            <w:tcW w:w="1701" w:type="dxa"/>
            <w:vAlign w:val="center"/>
          </w:tcPr>
          <w:p w14:paraId="334C1C7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6635" w:type="dxa"/>
            <w:vAlign w:val="center"/>
          </w:tcPr>
          <w:p w14:paraId="2F06613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报价的特殊规定：</w:t>
            </w:r>
          </w:p>
          <w:p w14:paraId="67DD3F0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☑无</w:t>
            </w:r>
          </w:p>
          <w:p w14:paraId="2C598EB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□有，具体情形：</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p>
        </w:tc>
      </w:tr>
      <w:tr w14:paraId="74EE2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32E5642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c>
          <w:tcPr>
            <w:tcW w:w="1701" w:type="dxa"/>
            <w:vMerge w:val="restart"/>
            <w:vAlign w:val="center"/>
          </w:tcPr>
          <w:p w14:paraId="4B3F5E4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6635" w:type="dxa"/>
            <w:vAlign w:val="center"/>
          </w:tcPr>
          <w:p w14:paraId="20F6C58E">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val="zh-TW" w:eastAsia="zh-TW"/>
              </w:rPr>
              <w:t>保证金的提交方式：支票、汇票、本票、</w:t>
            </w:r>
            <w:r>
              <w:rPr>
                <w:rFonts w:hint="eastAsia" w:ascii="宋体" w:hAnsi="宋体" w:eastAsia="宋体" w:cs="宋体"/>
                <w:color w:val="auto"/>
                <w:sz w:val="24"/>
                <w:szCs w:val="24"/>
                <w:highlight w:val="none"/>
                <w:lang w:val="en-US" w:eastAsia="zh-CN"/>
              </w:rPr>
              <w:t>银行</w:t>
            </w:r>
            <w:r>
              <w:rPr>
                <w:rFonts w:hint="eastAsia" w:ascii="宋体" w:hAnsi="宋体" w:eastAsia="宋体" w:cs="宋体"/>
                <w:color w:val="auto"/>
                <w:sz w:val="24"/>
                <w:szCs w:val="24"/>
                <w:highlight w:val="none"/>
                <w:lang w:val="zh-TW" w:eastAsia="zh-TW"/>
              </w:rPr>
              <w:t>保函、</w:t>
            </w:r>
            <w:r>
              <w:rPr>
                <w:rFonts w:hint="eastAsia" w:ascii="宋体" w:hAnsi="宋体" w:eastAsia="宋体" w:cs="宋体"/>
                <w:color w:val="auto"/>
                <w:sz w:val="24"/>
                <w:szCs w:val="24"/>
                <w:highlight w:val="none"/>
                <w:lang w:val="en-US" w:eastAsia="zh-CN"/>
              </w:rPr>
              <w:t>保证保险、</w:t>
            </w:r>
            <w:r>
              <w:rPr>
                <w:rFonts w:hint="eastAsia" w:ascii="宋体" w:hAnsi="宋体" w:eastAsia="宋体" w:cs="宋体"/>
                <w:color w:val="auto"/>
                <w:sz w:val="24"/>
                <w:szCs w:val="24"/>
                <w:highlight w:val="none"/>
                <w:lang w:val="zh-TW" w:eastAsia="zh-TW"/>
              </w:rPr>
              <w:t>银行转账</w:t>
            </w:r>
            <w:r>
              <w:rPr>
                <w:rFonts w:hint="eastAsia" w:ascii="宋体" w:hAnsi="宋体" w:eastAsia="宋体" w:cs="宋体"/>
                <w:color w:val="auto"/>
                <w:sz w:val="24"/>
                <w:szCs w:val="24"/>
                <w:highlight w:val="none"/>
                <w:lang w:val="en-US" w:eastAsia="zh-CN"/>
              </w:rPr>
              <w:t>等非现金形式，银行转账必须从本单位基本账户转出。</w:t>
            </w:r>
          </w:p>
          <w:p w14:paraId="6D4FD013">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各</w:t>
            </w:r>
            <w:r>
              <w:rPr>
                <w:rFonts w:hint="eastAsia" w:ascii="宋体" w:hAnsi="宋体" w:eastAsia="宋体" w:cs="宋体"/>
                <w:color w:val="auto"/>
                <w:sz w:val="24"/>
                <w:szCs w:val="24"/>
                <w:highlight w:val="none"/>
                <w:lang w:val="en-US" w:eastAsia="zh-CN"/>
              </w:rPr>
              <w:t>供应商磋商</w:t>
            </w:r>
            <w:r>
              <w:rPr>
                <w:rFonts w:hint="eastAsia" w:ascii="宋体" w:hAnsi="宋体" w:eastAsia="宋体" w:cs="宋体"/>
                <w:color w:val="auto"/>
                <w:sz w:val="24"/>
                <w:szCs w:val="24"/>
                <w:highlight w:val="none"/>
                <w:lang w:eastAsia="zh-CN"/>
              </w:rPr>
              <w:t>保证金</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lang w:eastAsia="zh-CN"/>
              </w:rPr>
              <w:t>必须从其公司基本账户的</w:t>
            </w:r>
            <w:r>
              <w:rPr>
                <w:rFonts w:hint="eastAsia" w:ascii="宋体" w:hAnsi="宋体" w:cs="宋体"/>
                <w:color w:val="auto"/>
                <w:sz w:val="24"/>
                <w:szCs w:val="24"/>
                <w:highlight w:val="none"/>
                <w:lang w:val="en-US" w:eastAsia="zh-CN"/>
              </w:rPr>
              <w:t>转出</w:t>
            </w:r>
            <w:r>
              <w:rPr>
                <w:rFonts w:hint="eastAsia" w:ascii="宋体" w:hAnsi="宋体" w:eastAsia="宋体" w:cs="宋体"/>
                <w:color w:val="auto"/>
                <w:sz w:val="24"/>
                <w:szCs w:val="24"/>
                <w:highlight w:val="none"/>
                <w:lang w:eastAsia="zh-CN"/>
              </w:rPr>
              <w:t>，必须在交纳截止时间前到账，交纳截止时间为</w:t>
            </w: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eastAsia="zh-CN"/>
              </w:rPr>
              <w:t>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保证金交纳信息如下：</w:t>
            </w:r>
          </w:p>
          <w:p w14:paraId="3DBCF93D">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账户名称：云南烽越项目管理咨询有限公司</w:t>
            </w:r>
          </w:p>
          <w:p w14:paraId="52123325">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开户行：交通银行昭通昭阳支行</w:t>
            </w:r>
          </w:p>
          <w:p w14:paraId="4C5ACBB1">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账号：536899991013000077542</w:t>
            </w:r>
          </w:p>
          <w:p w14:paraId="55EC7268">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保证金金额：</w:t>
            </w:r>
            <w:r>
              <w:rPr>
                <w:rFonts w:hint="eastAsia" w:ascii="宋体" w:hAnsi="宋体" w:cs="宋体"/>
                <w:color w:val="auto"/>
                <w:sz w:val="24"/>
                <w:szCs w:val="24"/>
                <w:highlight w:val="none"/>
                <w:lang w:val="en-US" w:eastAsia="zh-CN"/>
              </w:rPr>
              <w:t>壹万元整</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000.00</w:t>
            </w:r>
            <w:r>
              <w:rPr>
                <w:rFonts w:hint="eastAsia" w:ascii="宋体" w:hAnsi="宋体" w:eastAsia="宋体" w:cs="宋体"/>
                <w:color w:val="auto"/>
                <w:sz w:val="24"/>
                <w:szCs w:val="24"/>
                <w:highlight w:val="none"/>
                <w:lang w:eastAsia="zh-CN"/>
              </w:rPr>
              <w:t>元）</w:t>
            </w:r>
          </w:p>
          <w:p w14:paraId="684CEAC4">
            <w:pPr>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缴存保证金，</w:t>
            </w:r>
            <w:r>
              <w:rPr>
                <w:rFonts w:hint="eastAsia" w:ascii="宋体" w:hAnsi="宋体" w:eastAsia="宋体" w:cs="宋体"/>
                <w:color w:val="auto"/>
                <w:sz w:val="24"/>
                <w:szCs w:val="24"/>
                <w:highlight w:val="none"/>
                <w:lang w:val="en-US" w:eastAsia="zh-CN"/>
              </w:rPr>
              <w:t>备注需</w:t>
            </w:r>
            <w:r>
              <w:rPr>
                <w:rFonts w:hint="eastAsia" w:ascii="宋体" w:hAnsi="宋体" w:eastAsia="宋体" w:cs="宋体"/>
                <w:color w:val="auto"/>
                <w:sz w:val="24"/>
                <w:szCs w:val="24"/>
                <w:highlight w:val="none"/>
                <w:lang w:eastAsia="zh-CN"/>
              </w:rPr>
              <w:t>填写项目名称</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lang w:eastAsia="zh-CN"/>
              </w:rPr>
              <w:t>项目编号并严格按规定交纳</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保证金，</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文件中装订各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转账回执（如因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原因未按规定交纳</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保证金导致</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无效，责任自负）。</w:t>
            </w:r>
          </w:p>
          <w:p w14:paraId="604060D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三、磋商</w:t>
            </w:r>
            <w:r>
              <w:rPr>
                <w:rFonts w:hint="eastAsia" w:ascii="宋体" w:hAnsi="宋体" w:cs="宋体"/>
                <w:color w:val="auto"/>
                <w:sz w:val="24"/>
                <w:szCs w:val="24"/>
                <w:highlight w:val="none"/>
                <w:lang w:val="en-US" w:eastAsia="zh-CN"/>
              </w:rPr>
              <w:t>保证金</w:t>
            </w:r>
            <w:r>
              <w:rPr>
                <w:rFonts w:hint="eastAsia" w:ascii="宋体" w:hAnsi="宋体" w:eastAsia="宋体" w:cs="宋体"/>
                <w:color w:val="auto"/>
                <w:sz w:val="24"/>
                <w:szCs w:val="24"/>
                <w:highlight w:val="none"/>
                <w:lang w:val="en-US" w:eastAsia="zh-CN"/>
              </w:rPr>
              <w:t>退还：</w:t>
            </w:r>
          </w:p>
          <w:p w14:paraId="55582BA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1.退还时间：</w:t>
            </w:r>
          </w:p>
          <w:p w14:paraId="0781C4C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的保证金，应在</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与</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签订合同后五个工作日内退还；其余供应商的保证金，在结果公示（中标结果公示）结束无异议后五个工作日内退还。</w:t>
            </w:r>
          </w:p>
          <w:p w14:paraId="5D4BE0F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招标失败或取消招标的，在流标公示结束后五个工作日内退还。</w:t>
            </w:r>
          </w:p>
          <w:p w14:paraId="60C6A47E">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2.退还程序：</w:t>
            </w:r>
          </w:p>
          <w:p w14:paraId="71E30F0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（1）非</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保证金退还：</w:t>
            </w:r>
          </w:p>
          <w:p w14:paraId="4571A77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非</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持汇款凭证及开户许可证提交退还。</w:t>
            </w:r>
          </w:p>
          <w:p w14:paraId="2F183F9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保证金退还：</w:t>
            </w:r>
          </w:p>
          <w:p w14:paraId="007F2B7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的磋商保证金退还应由</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和与</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签订合同后收款单位提交退还申请，在接到提交的</w:t>
            </w:r>
            <w:r>
              <w:rPr>
                <w:rFonts w:hint="eastAsia" w:ascii="宋体" w:hAnsi="宋体" w:cs="宋体"/>
                <w:color w:val="auto"/>
                <w:sz w:val="24"/>
                <w:szCs w:val="24"/>
                <w:highlight w:val="none"/>
                <w:lang w:val="en-US" w:eastAsia="zh-CN"/>
              </w:rPr>
              <w:t>中标（成交）人</w:t>
            </w:r>
            <w:r>
              <w:rPr>
                <w:rFonts w:hint="eastAsia" w:ascii="宋体" w:hAnsi="宋体" w:eastAsia="宋体" w:cs="宋体"/>
                <w:color w:val="auto"/>
                <w:sz w:val="24"/>
                <w:szCs w:val="24"/>
                <w:highlight w:val="none"/>
                <w:lang w:val="en-US" w:eastAsia="zh-CN"/>
              </w:rPr>
              <w:t>保证金退还申请后5日内退还。</w:t>
            </w:r>
          </w:p>
          <w:p w14:paraId="51C94E7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四、采用保证保险的，按下列规定办理：</w:t>
            </w:r>
          </w:p>
          <w:p w14:paraId="31AE113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（1）购买保证保险的，必须在项目投标保证金缴纳截止时间前购买保证保险。并提供保证保险购买凭证（原件）并把复印件装订在响应文件中。</w:t>
            </w:r>
          </w:p>
          <w:p w14:paraId="06816F5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（2）1.当供应商未能按照招</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要求履行投标义务而导致采购（招标）人受到损失时，由保险公司按照保险合同对采购（招标）人的损失承担代偿责任。2.供应商在支付投标保证金保险费时，必须使用基本账号资金支付购买，未从基本账户转出支付保费造成经济纠纷的应由企业自行承担。3.在投标保证保险中，供应商为投保人，采购（招标）人为被保险人。</w:t>
            </w:r>
          </w:p>
          <w:p w14:paraId="2CF6025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五、采用银行保函方式缴纳的，按下列 规定办理</w:t>
            </w:r>
          </w:p>
          <w:p w14:paraId="0B220E3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（1）银行保函申请人必须是供应商，受益人必须是</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，应为具备合法资质的金融机构开具的银行保函，银行保函必须正确填写受益人和申请人的全称，并与磋商文件规定的名称一致，以免造成投标无效。</w:t>
            </w:r>
          </w:p>
          <w:p w14:paraId="6F710AD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六、必须在规定的投标截止时间前购买保证保险/保函。未按时到账的保证金视为未缴纳。</w:t>
            </w:r>
          </w:p>
        </w:tc>
      </w:tr>
      <w:tr w14:paraId="2A4E4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197" w:type="dxa"/>
            <w:vAlign w:val="center"/>
          </w:tcPr>
          <w:p w14:paraId="6CE709BF">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p>
        </w:tc>
        <w:tc>
          <w:tcPr>
            <w:tcW w:w="1701" w:type="dxa"/>
            <w:vMerge w:val="continue"/>
            <w:tcBorders>
              <w:top w:val="nil"/>
            </w:tcBorders>
            <w:vAlign w:val="center"/>
          </w:tcPr>
          <w:p w14:paraId="4F31A22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6635" w:type="dxa"/>
            <w:vAlign w:val="center"/>
          </w:tcPr>
          <w:p w14:paraId="507E137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磋商保证金不予退还的其他情形：</w:t>
            </w:r>
          </w:p>
          <w:p w14:paraId="52B73F7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□无</w:t>
            </w:r>
          </w:p>
          <w:p w14:paraId="4B1C066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☑有，具体情形：</w:t>
            </w:r>
            <w:r>
              <w:rPr>
                <w:rFonts w:hint="eastAsia" w:ascii="宋体" w:hAnsi="宋体" w:eastAsia="宋体" w:cs="宋体"/>
                <w:color w:val="auto"/>
                <w:sz w:val="24"/>
                <w:szCs w:val="24"/>
                <w:highlight w:val="none"/>
                <w:lang w:val="en-US" w:eastAsia="zh-CN"/>
              </w:rPr>
              <w:t>供应商出现下列响应保证金不予退还情形的，采购人或者采购代理机构将向本级财政部门报告有关情况，并建议将其列入政府采购不良行为记录名单：</w:t>
            </w:r>
          </w:p>
          <w:p w14:paraId="30F91AD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（1）供应商在响应文件提交截止时间后撤回响应文件的；</w:t>
            </w:r>
          </w:p>
          <w:p w14:paraId="17B5760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（2）供应商在响应文件中提供虚假材料的；</w:t>
            </w:r>
          </w:p>
          <w:p w14:paraId="3D11FDE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（3）除因不可抗力或采购文件认可的情形以外，成交人不与采购人签订合同的；</w:t>
            </w:r>
          </w:p>
          <w:p w14:paraId="47BAED2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（4）供应商与采购人、其他</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或者采购代理机构恶意串通的；</w:t>
            </w:r>
          </w:p>
          <w:p w14:paraId="3A71FA7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（5）采购文件规定的其他情形。</w:t>
            </w:r>
          </w:p>
          <w:p w14:paraId="58B9964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（6）财务室联系人及联系电话：0870-2125225</w:t>
            </w:r>
            <w:r>
              <w:rPr>
                <w:rFonts w:hint="eastAsia" w:ascii="宋体" w:hAnsi="宋体" w:eastAsia="宋体" w:cs="宋体"/>
                <w:color w:val="auto"/>
                <w:sz w:val="24"/>
                <w:szCs w:val="24"/>
                <w:highlight w:val="none"/>
                <w:lang w:eastAsia="zh-CN"/>
              </w:rPr>
              <w:t>。</w:t>
            </w:r>
          </w:p>
        </w:tc>
      </w:tr>
      <w:tr w14:paraId="703A5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7233513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p>
        </w:tc>
        <w:tc>
          <w:tcPr>
            <w:tcW w:w="1701" w:type="dxa"/>
            <w:vAlign w:val="center"/>
          </w:tcPr>
          <w:p w14:paraId="0DDC985F">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6635" w:type="dxa"/>
            <w:vAlign w:val="center"/>
          </w:tcPr>
          <w:p w14:paraId="257D67E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自响应文件提交截止之日起算 </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lang w:eastAsia="zh-CN"/>
              </w:rPr>
              <w:t>日历天。</w:t>
            </w:r>
          </w:p>
        </w:tc>
      </w:tr>
      <w:tr w14:paraId="35200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6C430D3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1701" w:type="dxa"/>
            <w:vAlign w:val="center"/>
          </w:tcPr>
          <w:p w14:paraId="684D745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响应文件的签署、盖章</w:t>
            </w:r>
          </w:p>
        </w:tc>
        <w:tc>
          <w:tcPr>
            <w:tcW w:w="6635" w:type="dxa"/>
            <w:vAlign w:val="center"/>
          </w:tcPr>
          <w:p w14:paraId="4BA21EC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响应文件的签盖章的其他要求：</w:t>
            </w:r>
          </w:p>
          <w:p w14:paraId="3F38351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□无</w:t>
            </w:r>
          </w:p>
          <w:p w14:paraId="49E839A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☑有，具体要求：</w:t>
            </w:r>
            <w:r>
              <w:rPr>
                <w:rFonts w:hint="eastAsia" w:ascii="宋体" w:hAnsi="宋体" w:eastAsia="宋体" w:cs="宋体"/>
                <w:color w:val="auto"/>
                <w:sz w:val="24"/>
                <w:szCs w:val="24"/>
                <w:highlight w:val="none"/>
              </w:rPr>
              <w:t>（1）响应文件应按竞争性磋商文件格式部分要求，由供应商的法定代表人或其委托代理人签字或盖章，并加盖单位公章。没有按竞争性磋商文件要求签字或盖章的响应文件将被拒绝；</w:t>
            </w:r>
          </w:p>
          <w:p w14:paraId="3BC2E1B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（2）由委托代理人签字或盖章的，响应文件中应附有法定代表人的授权委托书，其授权委托书必须由法定代表人及委托代理人签字；</w:t>
            </w:r>
          </w:p>
        </w:tc>
      </w:tr>
      <w:tr w14:paraId="5B900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544B4084">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p>
        </w:tc>
        <w:tc>
          <w:tcPr>
            <w:tcW w:w="1701" w:type="dxa"/>
            <w:vAlign w:val="center"/>
          </w:tcPr>
          <w:p w14:paraId="3B2A696B">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确定成交供</w:t>
            </w:r>
          </w:p>
          <w:p w14:paraId="207BBB4D">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应商</w:t>
            </w:r>
          </w:p>
        </w:tc>
        <w:tc>
          <w:tcPr>
            <w:tcW w:w="6635" w:type="dxa"/>
            <w:vAlign w:val="center"/>
          </w:tcPr>
          <w:p w14:paraId="205A351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采购人是否授权磋商小组直接确定成交供应商：</w:t>
            </w:r>
          </w:p>
          <w:p w14:paraId="5ADA3C4E">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□否</w:t>
            </w:r>
          </w:p>
          <w:p w14:paraId="37A24A0B">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w:t>
            </w:r>
          </w:p>
          <w:p w14:paraId="6525E49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成交候选人并列的，按照以下方式确定成交供应商：</w:t>
            </w:r>
            <w:r>
              <w:rPr>
                <w:rFonts w:hint="eastAsia" w:ascii="宋体" w:hAnsi="宋体" w:eastAsia="宋体" w:cs="宋体"/>
                <w:b/>
                <w:bCs/>
                <w:color w:val="auto"/>
                <w:sz w:val="24"/>
                <w:szCs w:val="24"/>
                <w:highlight w:val="none"/>
                <w:u w:val="single"/>
                <w:lang w:val="en-US" w:eastAsia="zh-CN"/>
              </w:rPr>
              <w:t>按技术部分评分高优先</w:t>
            </w:r>
            <w:r>
              <w:rPr>
                <w:rFonts w:hint="eastAsia" w:ascii="宋体" w:hAnsi="宋体" w:eastAsia="宋体" w:cs="宋体"/>
                <w:color w:val="auto"/>
                <w:sz w:val="24"/>
                <w:szCs w:val="24"/>
                <w:highlight w:val="none"/>
                <w:lang w:val="en-US" w:eastAsia="zh-CN"/>
              </w:rPr>
              <w:t>、若技术得分一致的，按商务部分得分由高到低推荐</w:t>
            </w:r>
            <w:r>
              <w:rPr>
                <w:rFonts w:hint="eastAsia" w:ascii="宋体" w:hAnsi="宋体" w:eastAsia="宋体" w:cs="宋体"/>
                <w:color w:val="auto"/>
                <w:sz w:val="24"/>
                <w:szCs w:val="24"/>
                <w:highlight w:val="none"/>
                <w:lang w:eastAsia="zh-CN"/>
              </w:rPr>
              <w:t>。</w:t>
            </w:r>
          </w:p>
        </w:tc>
      </w:tr>
      <w:tr w14:paraId="1C808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706DF7C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11</w:t>
            </w:r>
          </w:p>
        </w:tc>
        <w:tc>
          <w:tcPr>
            <w:tcW w:w="1701" w:type="dxa"/>
            <w:vAlign w:val="center"/>
          </w:tcPr>
          <w:p w14:paraId="63698136">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6635" w:type="dxa"/>
            <w:vAlign w:val="center"/>
          </w:tcPr>
          <w:p w14:paraId="4B5C701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☑不允许</w:t>
            </w:r>
          </w:p>
        </w:tc>
      </w:tr>
      <w:tr w14:paraId="466D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75C924F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p>
        </w:tc>
        <w:tc>
          <w:tcPr>
            <w:tcW w:w="1701" w:type="dxa"/>
            <w:vAlign w:val="center"/>
          </w:tcPr>
          <w:p w14:paraId="4038BFFB">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635" w:type="dxa"/>
          </w:tcPr>
          <w:p w14:paraId="3F8742C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lang w:val="en-US" w:eastAsia="zh-CN"/>
              </w:rPr>
              <w:t>邮件或纸质版送达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tc>
      </w:tr>
      <w:tr w14:paraId="53F14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6E2416F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13</w:t>
            </w:r>
          </w:p>
        </w:tc>
        <w:tc>
          <w:tcPr>
            <w:tcW w:w="1701" w:type="dxa"/>
            <w:vAlign w:val="center"/>
          </w:tcPr>
          <w:p w14:paraId="468D8911">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6635" w:type="dxa"/>
          </w:tcPr>
          <w:p w14:paraId="59AD4FB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接收询问和质疑的联系方式</w:t>
            </w:r>
          </w:p>
          <w:p w14:paraId="474343A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联系部门：</w:t>
            </w:r>
            <w:r>
              <w:rPr>
                <w:rFonts w:hint="eastAsia" w:ascii="宋体" w:hAnsi="宋体" w:eastAsia="宋体" w:cs="宋体"/>
                <w:color w:val="auto"/>
                <w:sz w:val="24"/>
                <w:szCs w:val="24"/>
                <w:highlight w:val="none"/>
                <w:u w:val="single"/>
                <w:lang w:val="en-US" w:eastAsia="zh-CN"/>
              </w:rPr>
              <w:t>云南</w:t>
            </w:r>
            <w:r>
              <w:rPr>
                <w:rFonts w:hint="eastAsia" w:ascii="宋体" w:hAnsi="宋体" w:cs="宋体"/>
                <w:color w:val="auto"/>
                <w:sz w:val="24"/>
                <w:szCs w:val="24"/>
                <w:highlight w:val="none"/>
                <w:u w:val="single"/>
                <w:lang w:val="en-US" w:eastAsia="zh-CN"/>
              </w:rPr>
              <w:t>烽越项目管理咨询有限公司</w:t>
            </w:r>
            <w:r>
              <w:rPr>
                <w:rFonts w:hint="eastAsia" w:ascii="宋体" w:hAnsi="宋体" w:eastAsia="宋体" w:cs="宋体"/>
                <w:color w:val="auto"/>
                <w:sz w:val="24"/>
                <w:szCs w:val="24"/>
                <w:highlight w:val="none"/>
                <w:lang w:eastAsia="zh-CN"/>
              </w:rPr>
              <w:t>；</w:t>
            </w:r>
          </w:p>
          <w:p w14:paraId="7641A7B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u w:val="single"/>
                <w:lang w:val="en-US" w:eastAsia="zh-CN"/>
              </w:rPr>
              <w:t>0870-28</w:t>
            </w:r>
            <w:r>
              <w:rPr>
                <w:rFonts w:hint="eastAsia" w:ascii="宋体" w:hAnsi="宋体" w:cs="宋体"/>
                <w:color w:val="auto"/>
                <w:sz w:val="24"/>
                <w:szCs w:val="24"/>
                <w:highlight w:val="none"/>
                <w:u w:val="single"/>
                <w:lang w:val="en-US" w:eastAsia="zh-CN"/>
              </w:rPr>
              <w:t>34168</w:t>
            </w:r>
            <w:r>
              <w:rPr>
                <w:rFonts w:hint="eastAsia" w:ascii="宋体" w:hAnsi="宋体" w:eastAsia="宋体" w:cs="宋体"/>
                <w:color w:val="auto"/>
                <w:sz w:val="24"/>
                <w:szCs w:val="24"/>
                <w:highlight w:val="none"/>
                <w:lang w:eastAsia="zh-CN"/>
              </w:rPr>
              <w:t>；</w:t>
            </w:r>
          </w:p>
          <w:p w14:paraId="59DD647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通讯地址：</w:t>
            </w:r>
            <w:r>
              <w:rPr>
                <w:rFonts w:hint="eastAsia" w:ascii="宋体" w:hAnsi="宋体" w:eastAsia="宋体" w:cs="宋体"/>
                <w:color w:val="auto"/>
                <w:sz w:val="24"/>
                <w:szCs w:val="24"/>
                <w:highlight w:val="none"/>
                <w:u w:val="single"/>
                <w:lang w:eastAsia="zh-CN"/>
              </w:rPr>
              <w:t>昭通市昭阳区迎宾大道59号附16号12幢</w:t>
            </w:r>
            <w:r>
              <w:rPr>
                <w:rFonts w:hint="eastAsia" w:ascii="宋体" w:hAnsi="宋体" w:cs="宋体"/>
                <w:color w:val="auto"/>
                <w:sz w:val="24"/>
                <w:szCs w:val="24"/>
                <w:highlight w:val="none"/>
                <w:u w:val="single"/>
                <w:lang w:val="en-US" w:eastAsia="zh-CN"/>
              </w:rPr>
              <w:t>804</w:t>
            </w:r>
            <w:r>
              <w:rPr>
                <w:rFonts w:hint="eastAsia" w:ascii="宋体" w:hAnsi="宋体" w:eastAsia="宋体" w:cs="宋体"/>
                <w:color w:val="auto"/>
                <w:sz w:val="24"/>
                <w:szCs w:val="24"/>
                <w:highlight w:val="none"/>
                <w:u w:val="single"/>
                <w:lang w:eastAsia="zh-CN"/>
              </w:rPr>
              <w:t>室（远大广场）</w:t>
            </w:r>
            <w:r>
              <w:rPr>
                <w:rFonts w:hint="eastAsia" w:ascii="宋体" w:hAnsi="宋体" w:eastAsia="宋体" w:cs="宋体"/>
                <w:color w:val="auto"/>
                <w:sz w:val="24"/>
                <w:szCs w:val="24"/>
                <w:highlight w:val="none"/>
                <w:lang w:eastAsia="zh-CN"/>
              </w:rPr>
              <w:t>。</w:t>
            </w:r>
          </w:p>
        </w:tc>
      </w:tr>
      <w:tr w14:paraId="41017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73C8EC54">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14</w:t>
            </w:r>
          </w:p>
        </w:tc>
        <w:tc>
          <w:tcPr>
            <w:tcW w:w="1701" w:type="dxa"/>
            <w:vAlign w:val="center"/>
          </w:tcPr>
          <w:p w14:paraId="632756B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6635" w:type="dxa"/>
          </w:tcPr>
          <w:p w14:paraId="2C9C84D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收费对象：</w:t>
            </w:r>
          </w:p>
          <w:p w14:paraId="0FF5149D">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w:t>
            </w:r>
          </w:p>
          <w:p w14:paraId="7FB6110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w:t>
            </w:r>
          </w:p>
          <w:p w14:paraId="7DA583B9">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收费标准和金额：</w:t>
            </w:r>
            <w:r>
              <w:rPr>
                <w:rFonts w:hint="eastAsia" w:ascii="宋体" w:hAnsi="宋体" w:eastAsia="宋体" w:cs="宋体"/>
                <w:color w:val="auto"/>
                <w:sz w:val="24"/>
                <w:highlight w:val="none"/>
                <w:u w:val="single"/>
                <w:lang w:eastAsia="zh-CN"/>
              </w:rPr>
              <w:t>根据相关文件规定，经采购人与招标代理机构协商并结合市场情况，</w:t>
            </w:r>
            <w:r>
              <w:rPr>
                <w:rFonts w:hint="eastAsia" w:ascii="宋体" w:hAnsi="宋体" w:eastAsia="宋体" w:cs="宋体"/>
                <w:color w:val="auto"/>
                <w:sz w:val="24"/>
                <w:highlight w:val="none"/>
                <w:u w:val="single"/>
                <w:lang w:val="en-US" w:eastAsia="zh-CN"/>
              </w:rPr>
              <w:t>以中标价为计算基数，按照《</w:t>
            </w:r>
            <w:r>
              <w:rPr>
                <w:rFonts w:hint="eastAsia" w:ascii="宋体" w:hAnsi="宋体" w:eastAsia="宋体" w:cs="宋体"/>
                <w:color w:val="auto"/>
                <w:sz w:val="24"/>
                <w:highlight w:val="none"/>
                <w:u w:val="single"/>
              </w:rPr>
              <w:t>云南省招标代理服务收费指导标准</w:t>
            </w:r>
            <w:r>
              <w:rPr>
                <w:rFonts w:hint="eastAsia" w:ascii="宋体" w:hAnsi="宋体" w:eastAsia="宋体" w:cs="宋体"/>
                <w:color w:val="auto"/>
                <w:sz w:val="24"/>
                <w:highlight w:val="none"/>
                <w:u w:val="single"/>
                <w:lang w:val="en-US" w:eastAsia="zh-CN"/>
              </w:rPr>
              <w:t>》试行计价收取</w:t>
            </w:r>
            <w:r>
              <w:rPr>
                <w:rFonts w:hint="eastAsia" w:ascii="宋体" w:hAnsi="宋体" w:eastAsia="宋体" w:cs="宋体"/>
                <w:color w:val="auto"/>
                <w:sz w:val="24"/>
                <w:highlight w:val="none"/>
                <w:u w:val="single"/>
                <w:lang w:eastAsia="zh-CN"/>
              </w:rPr>
              <w:t>；缴纳时间：</w:t>
            </w:r>
            <w:r>
              <w:rPr>
                <w:rFonts w:hint="eastAsia" w:ascii="宋体" w:hAnsi="宋体" w:eastAsia="宋体" w:cs="宋体"/>
                <w:color w:val="auto"/>
                <w:sz w:val="24"/>
                <w:highlight w:val="none"/>
                <w:u w:val="single"/>
                <w:lang w:val="en-US" w:eastAsia="zh-CN"/>
              </w:rPr>
              <w:t>中标人一次性支付给代理机构</w:t>
            </w:r>
            <w:r>
              <w:rPr>
                <w:rFonts w:hint="eastAsia" w:ascii="宋体" w:hAnsi="宋体" w:eastAsia="宋体" w:cs="宋体"/>
                <w:color w:val="auto"/>
                <w:sz w:val="24"/>
                <w:szCs w:val="24"/>
                <w:highlight w:val="none"/>
                <w:lang w:eastAsia="zh-CN"/>
              </w:rPr>
              <w:t>。</w:t>
            </w:r>
          </w:p>
        </w:tc>
      </w:tr>
      <w:tr w14:paraId="5873D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30AE520B">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p>
        </w:tc>
        <w:tc>
          <w:tcPr>
            <w:tcW w:w="1701" w:type="dxa"/>
            <w:vAlign w:val="center"/>
          </w:tcPr>
          <w:p w14:paraId="6EF9045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信用信息查询</w:t>
            </w:r>
          </w:p>
        </w:tc>
        <w:tc>
          <w:tcPr>
            <w:tcW w:w="6635" w:type="dxa"/>
            <w:vAlign w:val="center"/>
          </w:tcPr>
          <w:p w14:paraId="1F09BB8A">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（1）信用信息查询渠道及截止时间：采购代理机构将在 </w:t>
            </w:r>
            <w:r>
              <w:rPr>
                <w:rFonts w:hint="eastAsia" w:ascii="宋体" w:hAnsi="宋体" w:eastAsia="宋体" w:cs="宋体"/>
                <w:color w:val="auto"/>
                <w:sz w:val="24"/>
                <w:szCs w:val="24"/>
                <w:highlight w:val="none"/>
                <w:lang w:val="en-US" w:eastAsia="zh-CN"/>
              </w:rPr>
              <w:t>开标时</w:t>
            </w:r>
            <w:r>
              <w:rPr>
                <w:rFonts w:hint="eastAsia" w:ascii="宋体" w:hAnsi="宋体" w:eastAsia="宋体" w:cs="宋体"/>
                <w:color w:val="auto"/>
                <w:sz w:val="24"/>
                <w:szCs w:val="24"/>
                <w:highlight w:val="none"/>
              </w:rPr>
              <w:t>通过“信用中国”网站(www.creditchina.gov.cn)、中国政府采购网(www.ccgp.gov.cn)渠道查询供应商接受资格审查时的信用记录。</w:t>
            </w:r>
          </w:p>
          <w:p w14:paraId="5A9538C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1639629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（3）信用信息的使用规则：经查询列入失信被执行人名单或者重大税收违法案件当事人名单或者政府采购严重违法失信行为记录名单的供应商将被拒绝参与政府采购活动。</w:t>
            </w:r>
          </w:p>
          <w:p w14:paraId="6BB4A0B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3408F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61263AD9">
            <w:pPr>
              <w:adjustRightInd w:val="0"/>
              <w:snapToGrid w:val="0"/>
              <w:spacing w:line="360" w:lineRule="auto"/>
              <w:ind w:left="240" w:leftChars="0" w:hanging="240" w:hangingChars="100"/>
              <w:jc w:val="center"/>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4"/>
                <w:szCs w:val="24"/>
                <w:highlight w:val="none"/>
                <w:lang w:val="en-US" w:eastAsia="zh-CN"/>
              </w:rPr>
              <w:t>16</w:t>
            </w:r>
          </w:p>
        </w:tc>
        <w:tc>
          <w:tcPr>
            <w:tcW w:w="1701" w:type="dxa"/>
            <w:vAlign w:val="center"/>
          </w:tcPr>
          <w:p w14:paraId="52523DA6">
            <w:pPr>
              <w:adjustRightInd w:val="0"/>
              <w:snapToGrid w:val="0"/>
              <w:spacing w:line="360" w:lineRule="auto"/>
              <w:jc w:val="center"/>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rPr>
              <w:t>成交公示</w:t>
            </w:r>
          </w:p>
        </w:tc>
        <w:tc>
          <w:tcPr>
            <w:tcW w:w="6635" w:type="dxa"/>
            <w:vAlign w:val="center"/>
          </w:tcPr>
          <w:p w14:paraId="3F51948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在本招标项目招标公告发布的同一媒介予以公示，公示期不少于1个工作日。</w:t>
            </w:r>
          </w:p>
        </w:tc>
      </w:tr>
      <w:tr w14:paraId="6D487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5E2EF2F1">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c>
          <w:tcPr>
            <w:tcW w:w="1701" w:type="dxa"/>
            <w:vAlign w:val="center"/>
          </w:tcPr>
          <w:p w14:paraId="2206D968">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质疑</w:t>
            </w:r>
          </w:p>
        </w:tc>
        <w:tc>
          <w:tcPr>
            <w:tcW w:w="6635" w:type="dxa"/>
            <w:vAlign w:val="center"/>
          </w:tcPr>
          <w:p w14:paraId="4A9FFD0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提供的质疑书应符合中华人民共和国财政部令第 94 号--政府采购质疑和投诉 办法的规定。 </w:t>
            </w:r>
          </w:p>
          <w:p w14:paraId="51812E5F">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过程和中标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使自己的权益受到损害的，应当在知道或者应知其权益受到损害之日起七个工作日内，以书面形式向采购人、采购代理机构提出质疑。质疑内容不得含有虚假、恶意成分。当事人对自己提出的主张，有责任提供证据， 提出质疑时应同时提交相关证据材料和注明事实的确切来源。</w:t>
            </w:r>
          </w:p>
          <w:p w14:paraId="5049FEC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质疑的提出：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在法定质疑期内一次性提出针对同一采购程序环节的质疑。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对同一采购程序环节的质疑必须一次性提出，采购代理机构、采购人不多次接受同一采购程序环节的质疑。</w:t>
            </w:r>
          </w:p>
          <w:p w14:paraId="0E648D1A">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质疑送达方式：以书面形式的原件送达代理机构接收质疑联系人处。</w:t>
            </w:r>
          </w:p>
          <w:p w14:paraId="3D8859E5">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：提出质疑的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以下简称质疑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应当是参与所质疑项目采购活动的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74F513A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文件的，可以对该文件提出质疑。</w:t>
            </w:r>
          </w:p>
        </w:tc>
      </w:tr>
    </w:tbl>
    <w:p w14:paraId="6903622C">
      <w:pPr>
        <w:rPr>
          <w:rFonts w:hint="eastAsia" w:ascii="宋体" w:hAnsi="宋体" w:eastAsia="宋体" w:cs="宋体"/>
          <w:color w:val="auto"/>
          <w:highlight w:val="none"/>
        </w:rPr>
      </w:pPr>
    </w:p>
    <w:p w14:paraId="6AD23B57">
      <w:pPr>
        <w:rPr>
          <w:rFonts w:hint="eastAsia" w:ascii="宋体" w:hAnsi="宋体" w:eastAsia="宋体" w:cs="宋体"/>
          <w:color w:val="auto"/>
          <w:highlight w:val="none"/>
        </w:rPr>
      </w:pPr>
      <w:bookmarkStart w:id="28" w:name="_Toc16853"/>
      <w:bookmarkStart w:id="29" w:name="_Toc14353"/>
      <w:bookmarkStart w:id="30" w:name="_Toc7574"/>
      <w:r>
        <w:rPr>
          <w:rFonts w:hint="eastAsia" w:ascii="宋体" w:hAnsi="宋体" w:eastAsia="宋体" w:cs="宋体"/>
          <w:color w:val="auto"/>
          <w:highlight w:val="none"/>
        </w:rPr>
        <w:br w:type="page"/>
      </w:r>
    </w:p>
    <w:p w14:paraId="36354553">
      <w:pPr>
        <w:pStyle w:val="3"/>
        <w:spacing w:line="360" w:lineRule="auto"/>
        <w:jc w:val="center"/>
        <w:rPr>
          <w:rFonts w:hint="eastAsia" w:ascii="宋体" w:hAnsi="宋体" w:eastAsia="宋体" w:cs="宋体"/>
          <w:color w:val="auto"/>
          <w:highlight w:val="none"/>
        </w:rPr>
      </w:pPr>
      <w:bookmarkStart w:id="31" w:name="_Toc11814"/>
      <w:r>
        <w:rPr>
          <w:rFonts w:hint="eastAsia" w:ascii="宋体" w:hAnsi="宋体" w:eastAsia="宋体" w:cs="宋体"/>
          <w:color w:val="auto"/>
          <w:highlight w:val="none"/>
        </w:rPr>
        <w:t>1. 总则</w:t>
      </w:r>
      <w:bookmarkEnd w:id="25"/>
      <w:bookmarkEnd w:id="26"/>
      <w:bookmarkEnd w:id="27"/>
      <w:bookmarkEnd w:id="28"/>
      <w:bookmarkEnd w:id="29"/>
      <w:bookmarkEnd w:id="30"/>
      <w:bookmarkEnd w:id="31"/>
    </w:p>
    <w:p w14:paraId="2616F870">
      <w:pPr>
        <w:pStyle w:val="274"/>
        <w:spacing w:line="360" w:lineRule="auto"/>
        <w:rPr>
          <w:rFonts w:hint="eastAsia" w:ascii="宋体" w:hAnsi="宋体" w:eastAsia="宋体" w:cs="宋体"/>
          <w:color w:val="auto"/>
          <w:sz w:val="24"/>
          <w:szCs w:val="24"/>
          <w:highlight w:val="none"/>
        </w:rPr>
      </w:pPr>
      <w:bookmarkStart w:id="32" w:name="_Toc179715694"/>
      <w:bookmarkStart w:id="33" w:name="_Toc144974405"/>
      <w:bookmarkStart w:id="34" w:name="_Toc152047201"/>
      <w:r>
        <w:rPr>
          <w:rFonts w:hint="eastAsia" w:ascii="宋体" w:hAnsi="宋体" w:eastAsia="宋体" w:cs="宋体"/>
          <w:color w:val="auto"/>
          <w:sz w:val="24"/>
          <w:szCs w:val="24"/>
          <w:highlight w:val="none"/>
        </w:rPr>
        <w:t>1.1 项目概况</w:t>
      </w:r>
      <w:bookmarkEnd w:id="32"/>
      <w:bookmarkEnd w:id="33"/>
      <w:bookmarkEnd w:id="34"/>
    </w:p>
    <w:p w14:paraId="577E56C2">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1.1.1 本项目采购人：见供应商须知前附表。</w:t>
      </w:r>
    </w:p>
    <w:p w14:paraId="0C2E31F2">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 本项目采购代理机构：见供应商须知前附表。</w:t>
      </w:r>
    </w:p>
    <w:p w14:paraId="3723BB27">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1.1.3 本项目名称：见供应商须知前附表。</w:t>
      </w:r>
    </w:p>
    <w:p w14:paraId="3B6915A4">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 本项目地点：见供应商须知前附表。</w:t>
      </w:r>
    </w:p>
    <w:p w14:paraId="70795078">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1.1.5 本项目的资金来源：见供应商须知前附表。</w:t>
      </w:r>
    </w:p>
    <w:p w14:paraId="1872A2C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1.1.6 本项目的出资比例：见供应商须知前附表。</w:t>
      </w:r>
    </w:p>
    <w:p w14:paraId="765CF59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1.1.7 本项目的资金落实情况：见供应商须知前附表。</w:t>
      </w:r>
    </w:p>
    <w:p w14:paraId="50CF493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1.1.8 本次</w:t>
      </w:r>
      <w:r>
        <w:rPr>
          <w:rFonts w:hint="eastAsia" w:ascii="宋体" w:hAnsi="宋体" w:cs="宋体"/>
          <w:color w:val="auto"/>
          <w:kern w:val="2"/>
          <w:sz w:val="24"/>
          <w:szCs w:val="24"/>
          <w:highlight w:val="none"/>
          <w:lang w:val="en-US" w:eastAsia="zh-CN"/>
        </w:rPr>
        <w:t>采购需求</w:t>
      </w:r>
      <w:r>
        <w:rPr>
          <w:rFonts w:hint="eastAsia" w:ascii="宋体" w:hAnsi="宋体" w:eastAsia="宋体" w:cs="宋体"/>
          <w:color w:val="auto"/>
          <w:kern w:val="2"/>
          <w:sz w:val="24"/>
          <w:szCs w:val="24"/>
          <w:highlight w:val="none"/>
        </w:rPr>
        <w:t>：</w:t>
      </w:r>
      <w:bookmarkStart w:id="35" w:name="OLE_LINK8"/>
      <w:bookmarkStart w:id="36" w:name="OLE_LINK7"/>
      <w:r>
        <w:rPr>
          <w:rFonts w:hint="eastAsia" w:ascii="宋体" w:hAnsi="宋体" w:eastAsia="宋体" w:cs="宋体"/>
          <w:color w:val="auto"/>
          <w:kern w:val="2"/>
          <w:sz w:val="24"/>
          <w:szCs w:val="24"/>
          <w:highlight w:val="none"/>
        </w:rPr>
        <w:t>见供应商须知前附表</w:t>
      </w:r>
      <w:bookmarkEnd w:id="35"/>
      <w:bookmarkEnd w:id="36"/>
      <w:r>
        <w:rPr>
          <w:rFonts w:hint="eastAsia" w:ascii="宋体" w:hAnsi="宋体" w:eastAsia="宋体" w:cs="宋体"/>
          <w:color w:val="auto"/>
          <w:kern w:val="2"/>
          <w:sz w:val="24"/>
          <w:szCs w:val="24"/>
          <w:highlight w:val="none"/>
        </w:rPr>
        <w:t>。</w:t>
      </w:r>
    </w:p>
    <w:p w14:paraId="701CB31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1.1.9本项目的</w:t>
      </w:r>
      <w:r>
        <w:rPr>
          <w:rFonts w:hint="eastAsia" w:ascii="宋体" w:hAnsi="宋体" w:cs="宋体"/>
          <w:color w:val="auto"/>
          <w:kern w:val="2"/>
          <w:sz w:val="24"/>
          <w:szCs w:val="24"/>
          <w:highlight w:val="none"/>
          <w:lang w:val="en-US" w:eastAsia="zh-CN"/>
        </w:rPr>
        <w:t>质量标准</w:t>
      </w:r>
      <w:r>
        <w:rPr>
          <w:rFonts w:hint="eastAsia" w:ascii="宋体" w:hAnsi="宋体" w:eastAsia="宋体" w:cs="宋体"/>
          <w:color w:val="auto"/>
          <w:kern w:val="2"/>
          <w:sz w:val="24"/>
          <w:szCs w:val="24"/>
          <w:highlight w:val="none"/>
        </w:rPr>
        <w:t>：见供应商须知前附表。</w:t>
      </w:r>
    </w:p>
    <w:p w14:paraId="3F821F4C">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1.1.10本项目的标段划分：见供应商须知前附表。</w:t>
      </w:r>
    </w:p>
    <w:p w14:paraId="22829344">
      <w:pPr>
        <w:pStyle w:val="274"/>
        <w:spacing w:line="360" w:lineRule="auto"/>
        <w:rPr>
          <w:rFonts w:hint="eastAsia" w:ascii="宋体" w:hAnsi="宋体" w:eastAsia="宋体" w:cs="宋体"/>
          <w:color w:val="auto"/>
          <w:sz w:val="24"/>
          <w:szCs w:val="24"/>
          <w:highlight w:val="none"/>
        </w:rPr>
      </w:pPr>
      <w:bookmarkStart w:id="37" w:name="_Toc179715697"/>
      <w:bookmarkStart w:id="38" w:name="_Toc152047204"/>
      <w:bookmarkStart w:id="39" w:name="_Toc144974408"/>
      <w:r>
        <w:rPr>
          <w:rFonts w:hint="eastAsia" w:ascii="宋体" w:hAnsi="宋体" w:eastAsia="宋体" w:cs="宋体"/>
          <w:color w:val="auto"/>
          <w:sz w:val="24"/>
          <w:szCs w:val="24"/>
          <w:highlight w:val="none"/>
        </w:rPr>
        <w:t>1.2 供应商资格要求</w:t>
      </w:r>
      <w:bookmarkEnd w:id="37"/>
      <w:bookmarkEnd w:id="38"/>
      <w:bookmarkEnd w:id="39"/>
    </w:p>
    <w:p w14:paraId="2F433E78">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 供应商应具备承担本项目的资质条件、能力和信誉，详见竞争性磋商公告。</w:t>
      </w:r>
    </w:p>
    <w:p w14:paraId="545A335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1.2.2本项目不接受联合体。</w:t>
      </w:r>
    </w:p>
    <w:p w14:paraId="38C87865">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1.2.3 供应商不得存在下列情形之一：</w:t>
      </w:r>
    </w:p>
    <w:p w14:paraId="2B8CADE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（1）为采购人不具有独立法人资格的附属机构（单位）；</w:t>
      </w:r>
    </w:p>
    <w:p w14:paraId="45931AF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（2）为本项目提供采购代理服务的；</w:t>
      </w:r>
    </w:p>
    <w:p w14:paraId="15323204">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（3）被责令停业的；</w:t>
      </w:r>
    </w:p>
    <w:p w14:paraId="6098DEE3">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（4）被暂停或取消磋商资格的；</w:t>
      </w:r>
    </w:p>
    <w:p w14:paraId="115B034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（5）财产被接管或冻结的；</w:t>
      </w:r>
    </w:p>
    <w:p w14:paraId="11DC6C68">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（6）在最近三年内有骗取成交或严重违约或重大服务质量问题的。</w:t>
      </w:r>
    </w:p>
    <w:p w14:paraId="14B3E971">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（7）法定代表人为同一个人的两个及两个以上法人母公司、全资子公司及其控股公司，不得同时参加本项目竞争性磋商活动。</w:t>
      </w:r>
    </w:p>
    <w:p w14:paraId="1F919004">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费用承担</w:t>
      </w:r>
    </w:p>
    <w:p w14:paraId="19AF0BFA">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1.3.1供应商准备和参加竞争性磋商活动发生的费用自理。</w:t>
      </w:r>
    </w:p>
    <w:p w14:paraId="56666579">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1.3.2本项目招标代理服务费，费用在成交确认书发出时由成交人一次性缴纳给本项目的采购代理机构。</w:t>
      </w:r>
    </w:p>
    <w:p w14:paraId="05CB0960">
      <w:pPr>
        <w:pStyle w:val="274"/>
        <w:adjustRightInd w:val="0"/>
        <w:snapToGrid w:val="0"/>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szCs w:val="24"/>
          <w:highlight w:val="none"/>
          <w:lang w:val="en-US" w:eastAsia="zh-CN"/>
        </w:rPr>
        <w:t>供应商</w:t>
      </w:r>
      <w:r>
        <w:rPr>
          <w:rFonts w:hint="eastAsia" w:ascii="宋体" w:hAnsi="宋体" w:eastAsia="宋体" w:cs="宋体"/>
          <w:color w:val="auto"/>
          <w:szCs w:val="24"/>
          <w:highlight w:val="none"/>
        </w:rPr>
        <w:t>应承担招标活动自身所发生的费用，成交人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中标人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应承担招标代理费、专家评审费等其他相关费用。招标代理费参照国家发展和改革委员会“计价格（2002）1980号文《招标代理服务收费管理暂行办法》”和国家发展改革委员会“发改办价格[2003]857号《关于招标代理服务收费有关问题的通知》”中</w:t>
      </w:r>
      <w:r>
        <w:rPr>
          <w:rFonts w:hint="eastAsia" w:ascii="宋体" w:hAnsi="宋体" w:eastAsia="宋体" w:cs="宋体"/>
          <w:color w:val="auto"/>
          <w:szCs w:val="24"/>
          <w:highlight w:val="none"/>
          <w:lang w:val="en-US" w:eastAsia="zh-CN"/>
        </w:rPr>
        <w:t>工程</w:t>
      </w:r>
      <w:r>
        <w:rPr>
          <w:rFonts w:hint="eastAsia" w:ascii="宋体" w:hAnsi="宋体" w:eastAsia="宋体" w:cs="宋体"/>
          <w:color w:val="auto"/>
          <w:szCs w:val="24"/>
          <w:highlight w:val="none"/>
        </w:rPr>
        <w:t>类收费标准向成交人收取。</w:t>
      </w:r>
    </w:p>
    <w:p w14:paraId="290A0E9C">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踏勘现场</w:t>
      </w:r>
    </w:p>
    <w:p w14:paraId="0DE446B6">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1.4.1 本项目不组织勘察现场。</w:t>
      </w:r>
    </w:p>
    <w:p w14:paraId="54F24A52">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1.4.2 供应商踏勘现场发生的费用自理。</w:t>
      </w:r>
    </w:p>
    <w:p w14:paraId="3051C0AA">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1.4.3 除采购人的原因外，供应商自行负责在踏勘现场中所发生的人员伤亡和财产损失。</w:t>
      </w:r>
    </w:p>
    <w:p w14:paraId="6828FE4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1.4.4 采购人在踏勘现场中介绍的场地和相关的周边环境情况，供应商在编制响应文件时参考，采购人不对供应商据此作出的判断和决策负责。</w:t>
      </w:r>
    </w:p>
    <w:p w14:paraId="6FEAD6A0">
      <w:pPr>
        <w:pStyle w:val="3"/>
        <w:spacing w:line="360" w:lineRule="auto"/>
        <w:jc w:val="center"/>
        <w:rPr>
          <w:rFonts w:hint="eastAsia" w:ascii="宋体" w:hAnsi="宋体" w:eastAsia="宋体" w:cs="宋体"/>
          <w:color w:val="auto"/>
          <w:sz w:val="24"/>
          <w:szCs w:val="24"/>
          <w:highlight w:val="none"/>
        </w:rPr>
      </w:pPr>
      <w:bookmarkStart w:id="40" w:name="_Toc10499"/>
      <w:bookmarkStart w:id="41" w:name="_Toc32620"/>
      <w:bookmarkStart w:id="42" w:name="_Toc20527"/>
      <w:bookmarkStart w:id="43" w:name="_Toc144974411"/>
      <w:bookmarkStart w:id="44" w:name="_Toc8031"/>
      <w:bookmarkStart w:id="45" w:name="_Toc152047207"/>
      <w:bookmarkStart w:id="46" w:name="_Toc179715700"/>
      <w:r>
        <w:rPr>
          <w:rFonts w:hint="eastAsia" w:ascii="宋体" w:hAnsi="宋体" w:eastAsia="宋体" w:cs="宋体"/>
          <w:color w:val="auto"/>
          <w:sz w:val="24"/>
          <w:szCs w:val="24"/>
          <w:highlight w:val="none"/>
        </w:rPr>
        <w:t>2. 竞争性磋商文件</w:t>
      </w:r>
      <w:bookmarkEnd w:id="40"/>
      <w:bookmarkEnd w:id="41"/>
      <w:bookmarkEnd w:id="42"/>
      <w:bookmarkEnd w:id="43"/>
      <w:bookmarkEnd w:id="44"/>
      <w:bookmarkEnd w:id="45"/>
      <w:bookmarkEnd w:id="46"/>
    </w:p>
    <w:p w14:paraId="702B48AD">
      <w:pPr>
        <w:pStyle w:val="274"/>
        <w:spacing w:line="360" w:lineRule="auto"/>
        <w:rPr>
          <w:rFonts w:hint="eastAsia" w:ascii="宋体" w:hAnsi="宋体" w:eastAsia="宋体" w:cs="宋体"/>
          <w:color w:val="auto"/>
          <w:sz w:val="24"/>
          <w:szCs w:val="24"/>
          <w:highlight w:val="none"/>
        </w:rPr>
      </w:pPr>
      <w:bookmarkStart w:id="47" w:name="_Toc144974412"/>
      <w:bookmarkStart w:id="48" w:name="_Toc179715701"/>
      <w:bookmarkStart w:id="49" w:name="_Toc152047208"/>
      <w:r>
        <w:rPr>
          <w:rFonts w:hint="eastAsia" w:ascii="宋体" w:hAnsi="宋体" w:eastAsia="宋体" w:cs="宋体"/>
          <w:color w:val="auto"/>
          <w:sz w:val="24"/>
          <w:szCs w:val="24"/>
          <w:highlight w:val="none"/>
        </w:rPr>
        <w:t>2.1 竞争性磋商文件的组成</w:t>
      </w:r>
      <w:bookmarkEnd w:id="47"/>
      <w:bookmarkEnd w:id="48"/>
      <w:bookmarkEnd w:id="49"/>
    </w:p>
    <w:p w14:paraId="01B3EFB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2.1.1竞争性磋商文件的组成：</w:t>
      </w:r>
    </w:p>
    <w:p w14:paraId="1B37687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第一章 竞争性磋商公告</w:t>
      </w:r>
    </w:p>
    <w:p w14:paraId="5FA4A669">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第二章 供应商须知</w:t>
      </w:r>
    </w:p>
    <w:p w14:paraId="38C472DE">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第三章</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评审办法</w:t>
      </w:r>
    </w:p>
    <w:p w14:paraId="51E8F36B">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第四章 合同条款及格式</w:t>
      </w:r>
    </w:p>
    <w:p w14:paraId="171BB4AF">
      <w:pPr>
        <w:widowControl w:val="0"/>
        <w:spacing w:line="360" w:lineRule="auto"/>
        <w:ind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第五章</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lang w:eastAsia="zh-CN"/>
        </w:rPr>
        <w:t>技术参数及要求</w:t>
      </w:r>
    </w:p>
    <w:p w14:paraId="5F0570A1">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第六章 响应文件格式</w:t>
      </w:r>
    </w:p>
    <w:p w14:paraId="7F1DA461">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2.1.2构成竞争性磋商文件的其他材料：对竞争性磋商文件所作的澄清、修改，构成竞争性磋商文件的组成部分。</w:t>
      </w:r>
    </w:p>
    <w:p w14:paraId="091CA01D">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2.1.3供应商获取竞争性磋商文件后，应仔细检查竞争性磋商文件的所有内容，如有残缺或附件不全，应及时向采购人提出。</w:t>
      </w:r>
    </w:p>
    <w:p w14:paraId="1CA99311">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竞争性磋商文件的澄清及修改</w:t>
      </w:r>
    </w:p>
    <w:p w14:paraId="11EE0812">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2.2.1 供应商应仔细阅读和检查竞争性磋商文件的全部内容。如有疑问，应在递交响应文件的截止时间前3个工作日以书面形式（包括信函、电报、传真等可以有形地表现所载内容的形式，下同），要求采购人对竞争性磋商文件予以澄清。书面形式送</w:t>
      </w:r>
      <w:r>
        <w:rPr>
          <w:rFonts w:hint="eastAsia" w:ascii="宋体" w:hAnsi="宋体" w:eastAsia="宋体" w:cs="宋体"/>
          <w:b/>
          <w:bCs/>
          <w:color w:val="auto"/>
          <w:kern w:val="2"/>
          <w:sz w:val="24"/>
          <w:szCs w:val="24"/>
          <w:highlight w:val="none"/>
        </w:rPr>
        <w:t>至</w:t>
      </w:r>
      <w:r>
        <w:rPr>
          <w:rFonts w:hint="eastAsia" w:ascii="宋体" w:hAnsi="宋体" w:cs="宋体"/>
          <w:b/>
          <w:bCs/>
          <w:color w:val="auto"/>
          <w:sz w:val="24"/>
          <w:szCs w:val="24"/>
          <w:highlight w:val="none"/>
          <w:lang w:eastAsia="zh-CN"/>
        </w:rPr>
        <w:t>云南省昭通市昭阳区凤凰街道远大广场12 幢804室</w:t>
      </w:r>
      <w:r>
        <w:rPr>
          <w:rFonts w:hint="eastAsia" w:ascii="宋体" w:hAnsi="宋体" w:eastAsia="宋体" w:cs="宋体"/>
          <w:color w:val="auto"/>
          <w:kern w:val="2"/>
          <w:sz w:val="24"/>
          <w:szCs w:val="24"/>
          <w:highlight w:val="none"/>
        </w:rPr>
        <w:t>。并将电子文件发至：</w:t>
      </w:r>
      <w:r>
        <w:rPr>
          <w:rFonts w:hint="eastAsia" w:ascii="宋体" w:hAnsi="宋体" w:eastAsia="宋体" w:cs="宋体"/>
          <w:b/>
          <w:bCs/>
          <w:color w:val="auto"/>
          <w:kern w:val="2"/>
          <w:sz w:val="24"/>
          <w:szCs w:val="24"/>
          <w:highlight w:val="none"/>
          <w:lang w:eastAsia="zh-CN"/>
        </w:rPr>
        <w:t>ynfyxmgl@163.com</w:t>
      </w:r>
      <w:r>
        <w:rPr>
          <w:rFonts w:hint="eastAsia" w:ascii="宋体" w:hAnsi="宋体" w:eastAsia="宋体" w:cs="宋体"/>
          <w:color w:val="auto"/>
          <w:kern w:val="2"/>
          <w:sz w:val="24"/>
          <w:szCs w:val="24"/>
          <w:highlight w:val="none"/>
        </w:rPr>
        <w:t>。</w:t>
      </w:r>
    </w:p>
    <w:p w14:paraId="07668D40">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2.2.2提交首次响应文件截止之日前，采购人可以对已发出的磋商文件进行必要的澄清或者修改，澄清或者修改的内容作为磋商文件的组成部分。澄清或者修改的内容可能影响响应文件编制的，采购人应当在提交首次响应文件截止时间5日前，以书面形式通知所有获取磋商文件的供应商，不足5日的，应当顺延提交首次响应文件截止时间。</w:t>
      </w:r>
    </w:p>
    <w:p w14:paraId="2C34E9C1">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2.2.3竞争性磋商文件的澄清或者修改将以书面形式发给所有购买竞争性磋商文件的供应商，但不指明澄清问题的来源。</w:t>
      </w:r>
    </w:p>
    <w:p w14:paraId="1D2E7C95">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2.2.4供应商在收到澄清或修改内容后，应在以书面形式通知采购人，确认已收到该文件。</w:t>
      </w:r>
    </w:p>
    <w:p w14:paraId="67D750CA">
      <w:pPr>
        <w:pStyle w:val="3"/>
        <w:spacing w:line="360" w:lineRule="auto"/>
        <w:jc w:val="center"/>
        <w:rPr>
          <w:rFonts w:hint="eastAsia" w:ascii="宋体" w:hAnsi="宋体" w:eastAsia="宋体" w:cs="宋体"/>
          <w:color w:val="auto"/>
          <w:sz w:val="24"/>
          <w:szCs w:val="24"/>
          <w:highlight w:val="none"/>
        </w:rPr>
      </w:pPr>
      <w:bookmarkStart w:id="50" w:name="_Toc144974415"/>
      <w:bookmarkStart w:id="51" w:name="_Toc179715704"/>
      <w:bookmarkStart w:id="52" w:name="_Toc152047211"/>
      <w:bookmarkStart w:id="53" w:name="_Toc29561"/>
      <w:bookmarkStart w:id="54" w:name="_Toc28481"/>
      <w:bookmarkStart w:id="55" w:name="_Toc3653"/>
      <w:bookmarkStart w:id="56" w:name="_Toc32634"/>
      <w:r>
        <w:rPr>
          <w:rFonts w:hint="eastAsia" w:ascii="宋体" w:hAnsi="宋体" w:eastAsia="宋体" w:cs="宋体"/>
          <w:color w:val="auto"/>
          <w:sz w:val="24"/>
          <w:szCs w:val="24"/>
          <w:highlight w:val="none"/>
        </w:rPr>
        <w:t xml:space="preserve">3. </w:t>
      </w:r>
      <w:bookmarkEnd w:id="50"/>
      <w:bookmarkEnd w:id="51"/>
      <w:bookmarkEnd w:id="52"/>
      <w:r>
        <w:rPr>
          <w:rFonts w:hint="eastAsia" w:ascii="宋体" w:hAnsi="宋体" w:eastAsia="宋体" w:cs="宋体"/>
          <w:color w:val="auto"/>
          <w:sz w:val="24"/>
          <w:szCs w:val="24"/>
          <w:highlight w:val="none"/>
        </w:rPr>
        <w:t>响应文件</w:t>
      </w:r>
      <w:bookmarkEnd w:id="53"/>
      <w:bookmarkEnd w:id="54"/>
      <w:bookmarkEnd w:id="55"/>
      <w:bookmarkEnd w:id="56"/>
    </w:p>
    <w:p w14:paraId="0111003D">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响应文件的组成</w:t>
      </w:r>
    </w:p>
    <w:p w14:paraId="3F9FCE6C">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3.1.1响应文件由</w:t>
      </w:r>
      <w:r>
        <w:rPr>
          <w:rFonts w:hint="eastAsia" w:ascii="宋体" w:hAnsi="宋体" w:cs="宋体"/>
          <w:color w:val="auto"/>
          <w:kern w:val="2"/>
          <w:sz w:val="24"/>
          <w:szCs w:val="24"/>
          <w:highlight w:val="none"/>
          <w:lang w:val="en-US" w:eastAsia="zh-CN"/>
        </w:rPr>
        <w:t>资格审查部分</w:t>
      </w:r>
      <w:r>
        <w:rPr>
          <w:rFonts w:hint="eastAsia" w:ascii="宋体" w:hAnsi="宋体" w:cs="宋体"/>
          <w:color w:val="auto"/>
          <w:kern w:val="2"/>
          <w:sz w:val="24"/>
          <w:szCs w:val="24"/>
          <w:highlight w:val="none"/>
        </w:rPr>
        <w:t>、商务部分、技术部分</w:t>
      </w:r>
      <w:r>
        <w:rPr>
          <w:rFonts w:hint="eastAsia" w:ascii="宋体" w:hAnsi="宋体" w:cs="宋体"/>
          <w:color w:val="auto"/>
          <w:kern w:val="2"/>
          <w:sz w:val="24"/>
          <w:szCs w:val="24"/>
          <w:highlight w:val="none"/>
          <w:lang w:val="en-US" w:eastAsia="zh-CN"/>
        </w:rPr>
        <w:t>三</w:t>
      </w:r>
      <w:r>
        <w:rPr>
          <w:rFonts w:hint="eastAsia" w:ascii="宋体" w:hAnsi="宋体" w:cs="宋体"/>
          <w:color w:val="auto"/>
          <w:kern w:val="2"/>
          <w:sz w:val="24"/>
          <w:szCs w:val="24"/>
          <w:highlight w:val="none"/>
        </w:rPr>
        <w:t>部分组成。</w:t>
      </w:r>
    </w:p>
    <w:p w14:paraId="208E466E">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磋商报价</w:t>
      </w:r>
    </w:p>
    <w:p w14:paraId="0B80280E">
      <w:pPr>
        <w:widowControl w:val="0"/>
        <w:spacing w:line="360" w:lineRule="auto"/>
        <w:ind w:firstLine="480" w:firstLineChars="200"/>
        <w:jc w:val="both"/>
        <w:rPr>
          <w:rFonts w:hint="eastAsia" w:ascii="宋体" w:hAnsi="宋体" w:cs="宋体"/>
          <w:b/>
          <w:color w:val="auto"/>
          <w:sz w:val="24"/>
          <w:szCs w:val="24"/>
          <w:highlight w:val="none"/>
          <w:lang w:val="en-US" w:eastAsia="zh-CN"/>
        </w:rPr>
      </w:pPr>
      <w:r>
        <w:rPr>
          <w:rFonts w:hint="eastAsia" w:ascii="宋体" w:hAnsi="宋体" w:eastAsia="宋体" w:cs="宋体"/>
          <w:color w:val="auto"/>
          <w:kern w:val="2"/>
          <w:sz w:val="24"/>
          <w:szCs w:val="24"/>
          <w:highlight w:val="none"/>
        </w:rPr>
        <w:t>3.2.1</w:t>
      </w:r>
      <w:r>
        <w:rPr>
          <w:rFonts w:hint="eastAsia" w:ascii="宋体" w:hAnsi="宋体" w:eastAsia="宋体" w:cs="宋体"/>
          <w:b/>
          <w:color w:val="auto"/>
          <w:kern w:val="2"/>
          <w:sz w:val="24"/>
          <w:szCs w:val="24"/>
          <w:highlight w:val="none"/>
        </w:rPr>
        <w:t>本项目设</w:t>
      </w:r>
      <w:r>
        <w:rPr>
          <w:rFonts w:hint="eastAsia" w:ascii="宋体" w:hAnsi="宋体" w:eastAsia="宋体" w:cs="宋体"/>
          <w:b/>
          <w:color w:val="auto"/>
          <w:sz w:val="24"/>
          <w:szCs w:val="24"/>
          <w:highlight w:val="none"/>
        </w:rPr>
        <w:t>最高限价</w:t>
      </w:r>
      <w:r>
        <w:rPr>
          <w:rFonts w:hint="eastAsia" w:ascii="宋体" w:hAnsi="宋体" w:eastAsia="宋体" w:cs="宋体"/>
          <w:b/>
          <w:color w:val="auto"/>
          <w:kern w:val="2"/>
          <w:sz w:val="24"/>
          <w:szCs w:val="24"/>
          <w:highlight w:val="none"/>
        </w:rPr>
        <w:t>，</w:t>
      </w:r>
      <w:r>
        <w:rPr>
          <w:rFonts w:hint="eastAsia" w:ascii="宋体" w:hAnsi="宋体" w:eastAsia="宋体" w:cs="宋体"/>
          <w:b/>
          <w:color w:val="auto"/>
          <w:sz w:val="24"/>
          <w:szCs w:val="24"/>
          <w:highlight w:val="none"/>
        </w:rPr>
        <w:t>最高限价</w:t>
      </w:r>
      <w:r>
        <w:rPr>
          <w:rFonts w:hint="eastAsia" w:ascii="宋体" w:hAnsi="宋体" w:eastAsia="宋体" w:cs="宋体"/>
          <w:b/>
          <w:color w:val="auto"/>
          <w:kern w:val="2"/>
          <w:sz w:val="24"/>
          <w:szCs w:val="24"/>
          <w:highlight w:val="none"/>
        </w:rPr>
        <w:t>金额详见本磋商文件供应商须知前附表。</w:t>
      </w:r>
      <w:r>
        <w:rPr>
          <w:rFonts w:hint="eastAsia" w:ascii="宋体" w:hAnsi="宋体" w:eastAsia="宋体" w:cs="宋体"/>
          <w:b/>
          <w:color w:val="auto"/>
          <w:sz w:val="24"/>
          <w:szCs w:val="24"/>
          <w:highlight w:val="none"/>
        </w:rPr>
        <w:t>供应商报价不得超过本项目最高限价，</w:t>
      </w:r>
      <w:r>
        <w:rPr>
          <w:rFonts w:hint="eastAsia" w:ascii="宋体" w:hAnsi="宋体" w:eastAsia="宋体" w:cs="宋体"/>
          <w:b/>
          <w:color w:val="auto"/>
          <w:sz w:val="24"/>
          <w:szCs w:val="24"/>
          <w:highlight w:val="none"/>
          <w:lang w:val="en-US" w:eastAsia="zh-CN"/>
        </w:rPr>
        <w:t>否则将视为无效报价</w:t>
      </w:r>
      <w:r>
        <w:rPr>
          <w:rFonts w:hint="eastAsia" w:ascii="宋体" w:hAnsi="宋体" w:cs="宋体"/>
          <w:b/>
          <w:color w:val="auto"/>
          <w:sz w:val="24"/>
          <w:szCs w:val="24"/>
          <w:highlight w:val="none"/>
          <w:lang w:val="en-US" w:eastAsia="zh-CN"/>
        </w:rPr>
        <w:t>。</w:t>
      </w:r>
    </w:p>
    <w:p w14:paraId="1EC881DD">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3.2.2磋商报价说明及要求</w:t>
      </w:r>
    </w:p>
    <w:p w14:paraId="300D54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磋商的报价及合同所有款项的支付均以人民币计算。磋商报价为供应商人在响应文件中提出的支付金额的综合单价。</w:t>
      </w:r>
    </w:p>
    <w:p w14:paraId="16DA85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3.2.3供应商的磋商报价，应是完成本项目所列磋商范围及</w:t>
      </w:r>
      <w:r>
        <w:rPr>
          <w:rFonts w:hint="eastAsia" w:ascii="宋体" w:hAnsi="宋体" w:cs="宋体"/>
          <w:color w:val="auto"/>
          <w:sz w:val="24"/>
          <w:szCs w:val="24"/>
          <w:highlight w:val="none"/>
          <w:lang w:val="en-US" w:eastAsia="zh-CN"/>
        </w:rPr>
        <w:t>工期</w:t>
      </w:r>
      <w:r>
        <w:rPr>
          <w:rFonts w:hint="eastAsia" w:ascii="宋体" w:hAnsi="宋体" w:eastAsia="宋体" w:cs="宋体"/>
          <w:color w:val="auto"/>
          <w:sz w:val="24"/>
          <w:szCs w:val="24"/>
          <w:highlight w:val="none"/>
        </w:rPr>
        <w:t>内的全部，供应商不得以任何理由予以重复作为供应商计算单价的依据。</w:t>
      </w:r>
    </w:p>
    <w:p w14:paraId="71DB4046">
      <w:pPr>
        <w:widowControl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本项目的磋商报价应包括供应商完成本项目采购范围工作的全费用综合总价，磋商报价包括但不限于的费用（以下所述均为含税价）为：成交供应商员工工资（含国家规定应为职工缴纳的相关保险费、食宿费和国家规定的相关福利费及个人所得税）、管理费、法定节假日加班费、</w:t>
      </w:r>
      <w:r>
        <w:rPr>
          <w:rFonts w:hint="eastAsia" w:ascii="宋体" w:hAnsi="宋体" w:cs="宋体"/>
          <w:color w:val="auto"/>
          <w:sz w:val="24"/>
          <w:szCs w:val="24"/>
          <w:highlight w:val="none"/>
          <w:lang w:val="en-US" w:eastAsia="zh-CN"/>
        </w:rPr>
        <w:t>建设周期拟投入</w:t>
      </w:r>
      <w:r>
        <w:rPr>
          <w:rFonts w:hint="eastAsia" w:ascii="宋体" w:hAnsi="宋体" w:eastAsia="宋体" w:cs="宋体"/>
          <w:color w:val="auto"/>
          <w:sz w:val="24"/>
          <w:szCs w:val="24"/>
          <w:highlight w:val="none"/>
        </w:rPr>
        <w:t>人员的人身意外伤害保险费及工伤、疾病死亡所产生的经济赔偿责任的风险金、拟派本项目团队人员的工作服装费用、企业的合理费（含管理费、利润、规费和税金）等一切与本项目相关的全部承包费用。该报价应符合国内行情并能保证供应商完成履行合同所需的一切工作。合同一旦签订，此合同价格在合同执行期间将不因市场价格的变化而调整。</w:t>
      </w:r>
    </w:p>
    <w:p w14:paraId="668B94E1">
      <w:pPr>
        <w:widowControl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本次磋商进行两次报价，首轮报价为磋商文件中的报价，经过首轮磋商后，参加磋商的供应商在规定的时间内提交密封的第二次报价，第二次报价将作为最终报价进行比较与评审，也是最终的合同价。</w:t>
      </w:r>
    </w:p>
    <w:p w14:paraId="4857B114">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磋商有效期</w:t>
      </w:r>
    </w:p>
    <w:p w14:paraId="7BA555E5">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在供应商须知前附表规定的磋商有效期内，供应商不得要求撤销或修改其响应文件。</w:t>
      </w:r>
    </w:p>
    <w:p w14:paraId="632FD31F">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出现特殊情况需要延长磋商有效期的，采购人以书面形式通知所有供应商延长磋商有效期。供应商同意延长的，不得要求或被允许修改或撤销其响应文件；供应商拒绝延长的，其响应文件失效。</w:t>
      </w:r>
    </w:p>
    <w:p w14:paraId="3C95F45D">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响应文件的编制</w:t>
      </w:r>
    </w:p>
    <w:p w14:paraId="0CE9147D">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3.4.1供应商应当按照磋商文件的要求编制响应文件，并对其提交的响应文件的真实性、合法性承担法律责任。</w:t>
      </w:r>
    </w:p>
    <w:p w14:paraId="061BD234">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响应文件应按第六章“响应文件格式”进行编写，如有必要，可以增加附页，作为响应文件的组成部分。</w:t>
      </w:r>
    </w:p>
    <w:p w14:paraId="3F5C783A">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w:t>
      </w:r>
    </w:p>
    <w:p w14:paraId="279788D4">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3.4.4响应文件正本和副本的封面上应清楚地标记“正本”或“副本”的字样。当副本和正本不一致时，以正本为准。</w:t>
      </w:r>
    </w:p>
    <w:p w14:paraId="1B4B58CF">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3.4.5响应文件的正本与副本应分别装订成册，并编制目录，具体装订要求见供应商须知前附表规定。</w:t>
      </w:r>
    </w:p>
    <w:p w14:paraId="58F989E5">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响应文件的密封和标记</w:t>
      </w:r>
    </w:p>
    <w:p w14:paraId="6E0B8821">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响应文件的正本与副本应密封完好，并在封套的封口处加盖供应商公章或密封章。</w:t>
      </w:r>
    </w:p>
    <w:p w14:paraId="17839D5C">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响应文件的封</w:t>
      </w:r>
      <w:r>
        <w:rPr>
          <w:rFonts w:hint="eastAsia" w:ascii="宋体" w:hAnsi="宋体" w:eastAsia="宋体" w:cs="宋体"/>
          <w:color w:val="auto"/>
          <w:sz w:val="24"/>
          <w:szCs w:val="24"/>
          <w:highlight w:val="none"/>
          <w:lang w:val="en-US" w:eastAsia="zh-CN"/>
        </w:rPr>
        <w:t>面</w:t>
      </w:r>
      <w:r>
        <w:rPr>
          <w:rFonts w:hint="eastAsia" w:ascii="宋体" w:hAnsi="宋体" w:eastAsia="宋体" w:cs="宋体"/>
          <w:color w:val="auto"/>
          <w:sz w:val="24"/>
          <w:szCs w:val="24"/>
          <w:highlight w:val="none"/>
        </w:rPr>
        <w:t>上应清楚地标记“正本”或“副本”字样，封套上应写明的其他内容见供应商须知前附表。</w:t>
      </w:r>
    </w:p>
    <w:p w14:paraId="024DE010">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3.5.3响应文件电子版密封：见供应商须知前附表。</w:t>
      </w:r>
    </w:p>
    <w:p w14:paraId="6F5B4124">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响应文件的递交</w:t>
      </w:r>
    </w:p>
    <w:p w14:paraId="7E969D59">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供应商应在供应商须知前附表规定的截止时间前递交响应文件。</w:t>
      </w:r>
    </w:p>
    <w:p w14:paraId="62C5EFA8">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供应商递交响应文件的地点：见供应商须知前附表。</w:t>
      </w:r>
    </w:p>
    <w:p w14:paraId="3B8C124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除供应商须知前附表另有规定外，供应商所递交的响应文件不予退还。</w:t>
      </w:r>
    </w:p>
    <w:p w14:paraId="50F224F0">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3.6.4逾期送达的或者未送达指定地点的响应文件为无效文件，采购人不予受理。</w:t>
      </w:r>
    </w:p>
    <w:p w14:paraId="1D29BF6D">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响应文件的修改与撤回</w:t>
      </w:r>
    </w:p>
    <w:p w14:paraId="7281C4D1">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51CB8EF0">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供应商修改或撤回已递交响应文件的书面通知应按照本章第3.4.2项的要求签字或盖章。</w:t>
      </w:r>
    </w:p>
    <w:p w14:paraId="6BE51003">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3.7.3修改的响应文件应按照本章第3.4条、第3.5条、第3.6条规定进行编制、密封、标记和递交，并标明“修改”字样。</w:t>
      </w:r>
    </w:p>
    <w:p w14:paraId="4D6814D9">
      <w:pPr>
        <w:pStyle w:val="3"/>
        <w:spacing w:line="360" w:lineRule="auto"/>
        <w:jc w:val="center"/>
        <w:rPr>
          <w:rFonts w:hint="eastAsia" w:ascii="宋体" w:hAnsi="宋体" w:eastAsia="宋体" w:cs="宋体"/>
          <w:color w:val="auto"/>
          <w:sz w:val="24"/>
          <w:szCs w:val="24"/>
          <w:highlight w:val="none"/>
        </w:rPr>
      </w:pPr>
      <w:bookmarkStart w:id="57" w:name="_Toc6943"/>
      <w:bookmarkStart w:id="58" w:name="_Toc14542"/>
      <w:bookmarkStart w:id="59" w:name="_Toc10763"/>
      <w:bookmarkStart w:id="60" w:name="_Toc18215"/>
      <w:r>
        <w:rPr>
          <w:rFonts w:hint="eastAsia" w:ascii="宋体" w:hAnsi="宋体" w:eastAsia="宋体" w:cs="宋体"/>
          <w:color w:val="auto"/>
          <w:sz w:val="24"/>
          <w:szCs w:val="24"/>
          <w:highlight w:val="none"/>
        </w:rPr>
        <w:t>4. 磋商</w:t>
      </w:r>
      <w:bookmarkEnd w:id="57"/>
      <w:bookmarkEnd w:id="58"/>
      <w:bookmarkEnd w:id="59"/>
      <w:bookmarkEnd w:id="60"/>
    </w:p>
    <w:p w14:paraId="4843275B">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磋商小组</w:t>
      </w:r>
    </w:p>
    <w:p w14:paraId="3A73CA79">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采购人按照供应商须知前附表的规定组建磋商小组。</w:t>
      </w:r>
    </w:p>
    <w:p w14:paraId="6CF81D50">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4.1.2磋商小组成员以及与评审工作有关的人员不得泄露评审情况以及评审过程中获悉的国家秘密、商业秘密。</w:t>
      </w:r>
    </w:p>
    <w:p w14:paraId="3215DC3D">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磋商时间和地点</w:t>
      </w:r>
    </w:p>
    <w:p w14:paraId="217BF40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磋商小组所有成员应当在供应商须知前附表规定的时间地点集中与单一供应商分别进行磋商。</w:t>
      </w:r>
    </w:p>
    <w:p w14:paraId="53D5A09B">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磋商程序</w:t>
      </w:r>
    </w:p>
    <w:p w14:paraId="30279F4C">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4.3.1响应文件递交截止时间之后，采购人监督人员或公证员随机开启各响应文件。</w:t>
      </w:r>
    </w:p>
    <w:p w14:paraId="51E2305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4.3.2磋商小组对各响应文件进行初步评审（通过初步评审的响应文件才能进入详细评审及磋商）。</w:t>
      </w:r>
    </w:p>
    <w:p w14:paraId="25686913">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4.3.3磋商小组对进入详细评审的响应文件审定技术部分和商务部分。</w:t>
      </w:r>
    </w:p>
    <w:p w14:paraId="2049DD69">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4.3.4磋商小组按抽取的磋商顺序分别与供应商就响应文件的具体内容进行磋商及澄清。</w:t>
      </w:r>
    </w:p>
    <w:p w14:paraId="594F2C9C">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4.3.5供应商在规定时间内以书面形式递交磋商承诺及最终报价。</w:t>
      </w:r>
    </w:p>
    <w:p w14:paraId="4747864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4.3.6磋商小组根据各竞争性磋商申请单位的《响应文件》、《磋商承诺》及《最终报价表》进行评审，按照综合评估打分法根据供应商最终得分由高到低推荐成交候选供应商，并向采购人提交“推荐候选供应商名单”。</w:t>
      </w:r>
    </w:p>
    <w:p w14:paraId="6DD14F61">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磋商内容的变动</w:t>
      </w:r>
    </w:p>
    <w:p w14:paraId="583E2D05">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4.4.1在磋商过程中，磋商小组可以根据磋商文件和磋商情况实质性变动采购需求中的技术</w:t>
      </w:r>
      <w:r>
        <w:rPr>
          <w:rFonts w:hint="eastAsia" w:ascii="宋体" w:hAnsi="宋体" w:cs="宋体"/>
          <w:color w:val="auto"/>
          <w:sz w:val="24"/>
          <w:szCs w:val="24"/>
          <w:highlight w:val="none"/>
          <w:lang w:val="en-US" w:eastAsia="zh-CN"/>
        </w:rPr>
        <w:t>标准</w:t>
      </w:r>
      <w:r>
        <w:rPr>
          <w:rFonts w:hint="eastAsia" w:ascii="宋体" w:hAnsi="宋体" w:eastAsia="宋体" w:cs="宋体"/>
          <w:color w:val="auto"/>
          <w:sz w:val="24"/>
          <w:szCs w:val="24"/>
          <w:highlight w:val="none"/>
        </w:rPr>
        <w:t>要求，但不得变动磋商文件中的其他内容。实质性变动的内容，须经采购人代表确认。</w:t>
      </w:r>
    </w:p>
    <w:p w14:paraId="2CC6772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4.4.2对磋商文件作出的实质性变动是磋商文件的有效组成部分，磋商小组应当及时以书面形式同时通知所有参加磋商的供应商。</w:t>
      </w:r>
    </w:p>
    <w:p w14:paraId="74A5F3D4">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4.4.3供应商应当按照磋商文件的变动情况和磋商小组的要求重新提交响应文件，并由其法定代表人或授权代表签字或者加盖公章。由授权代表签字的，应当附法定代表人授权书。</w:t>
      </w:r>
    </w:p>
    <w:p w14:paraId="5D0AC4B1">
      <w:pPr>
        <w:pStyle w:val="3"/>
        <w:spacing w:line="360" w:lineRule="auto"/>
        <w:jc w:val="center"/>
        <w:rPr>
          <w:rFonts w:hint="eastAsia" w:ascii="宋体" w:hAnsi="宋体" w:eastAsia="宋体" w:cs="宋体"/>
          <w:color w:val="auto"/>
          <w:sz w:val="24"/>
          <w:szCs w:val="24"/>
          <w:highlight w:val="none"/>
        </w:rPr>
      </w:pPr>
      <w:bookmarkStart w:id="61" w:name="_Toc8492"/>
      <w:bookmarkStart w:id="62" w:name="_Toc1501"/>
      <w:bookmarkStart w:id="63" w:name="_Toc28614"/>
      <w:bookmarkStart w:id="64" w:name="_Toc8662"/>
      <w:r>
        <w:rPr>
          <w:rFonts w:hint="eastAsia" w:ascii="宋体" w:hAnsi="宋体" w:eastAsia="宋体" w:cs="宋体"/>
          <w:color w:val="auto"/>
          <w:sz w:val="24"/>
          <w:szCs w:val="24"/>
          <w:highlight w:val="none"/>
        </w:rPr>
        <w:t>5. 合同授予</w:t>
      </w:r>
      <w:bookmarkEnd w:id="61"/>
      <w:bookmarkEnd w:id="62"/>
      <w:bookmarkEnd w:id="63"/>
      <w:bookmarkEnd w:id="64"/>
    </w:p>
    <w:p w14:paraId="2C1BB592">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成交供应商确定方式</w:t>
      </w:r>
    </w:p>
    <w:p w14:paraId="693F0E32">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除供应商须知前附表规定磋商小组直接确定成交供应商外，采购人应当在收到评审报告后5个工作日内，从评审报告提出的成交候选供应商中确定成交供应商。</w:t>
      </w:r>
    </w:p>
    <w:p w14:paraId="213988D7">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成交通知</w:t>
      </w:r>
    </w:p>
    <w:p w14:paraId="0D42A70F">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成交结果公示期结束无异议后2个工作日内，向成交供应商发出成交通知书。</w:t>
      </w:r>
    </w:p>
    <w:p w14:paraId="6901EBBC">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签订合同</w:t>
      </w:r>
    </w:p>
    <w:p w14:paraId="26571CEE">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采购人和成交供应商应当自成交通知书发出之日起30日内，按照磋商文件、成交供应商的响应文件以及磋商时递交的磋商承诺和最终报价订立书面合同。成交供应商无正当理由拒签合同的，采购人取消其成交资格，并对给采购人造成的损失予以赔偿。</w:t>
      </w:r>
    </w:p>
    <w:p w14:paraId="718DF971">
      <w:pPr>
        <w:spacing w:line="360" w:lineRule="auto"/>
        <w:ind w:firstLine="540" w:firstLineChars="225"/>
        <w:rPr>
          <w:rFonts w:hint="eastAsia" w:ascii="宋体" w:hAnsi="宋体" w:eastAsia="宋体" w:cs="宋体"/>
          <w:color w:val="auto"/>
          <w:sz w:val="36"/>
          <w:szCs w:val="36"/>
          <w:highlight w:val="none"/>
        </w:rPr>
        <w:sectPr>
          <w:pgSz w:w="11906" w:h="16838"/>
          <w:pgMar w:top="1418" w:right="1247" w:bottom="1418" w:left="1247" w:header="851" w:footer="992" w:gutter="0"/>
          <w:pgNumType w:fmt="decimal"/>
          <w:cols w:space="720" w:num="1"/>
          <w:docGrid w:linePitch="312" w:charSpace="0"/>
        </w:sect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.2成交供应商拒绝签订采购合同的，采购人可与第二推荐成交候选供应商签订采购合同，以此类推，也可以重新开展采购活动。拒绝签订采购合同的成交供应商不得参加对该项目重新开展的采购活动。</w:t>
      </w:r>
      <w:bookmarkStart w:id="65" w:name="_Toc302769230"/>
    </w:p>
    <w:p w14:paraId="1A5DD7BD">
      <w:pPr>
        <w:pStyle w:val="2"/>
        <w:spacing w:line="240" w:lineRule="auto"/>
        <w:jc w:val="center"/>
        <w:rPr>
          <w:rFonts w:hint="eastAsia" w:ascii="宋体" w:hAnsi="宋体" w:eastAsia="宋体" w:cs="宋体"/>
          <w:color w:val="auto"/>
          <w:sz w:val="32"/>
          <w:szCs w:val="32"/>
          <w:highlight w:val="none"/>
        </w:rPr>
      </w:pPr>
      <w:bookmarkStart w:id="66" w:name="_Toc5137"/>
      <w:r>
        <w:rPr>
          <w:rFonts w:hint="eastAsia" w:ascii="宋体" w:hAnsi="宋体" w:eastAsia="宋体" w:cs="宋体"/>
          <w:color w:val="auto"/>
          <w:sz w:val="32"/>
          <w:szCs w:val="32"/>
          <w:highlight w:val="none"/>
        </w:rPr>
        <w:t>第三章 评审办法</w:t>
      </w:r>
      <w:bookmarkEnd w:id="65"/>
      <w:bookmarkEnd w:id="66"/>
    </w:p>
    <w:p w14:paraId="041075D8">
      <w:pPr>
        <w:pStyle w:val="3"/>
        <w:spacing w:line="240" w:lineRule="auto"/>
        <w:jc w:val="center"/>
        <w:rPr>
          <w:rFonts w:hint="eastAsia" w:ascii="宋体" w:hAnsi="宋体" w:eastAsia="宋体" w:cs="宋体"/>
          <w:color w:val="auto"/>
          <w:sz w:val="24"/>
          <w:szCs w:val="24"/>
          <w:highlight w:val="none"/>
        </w:rPr>
      </w:pPr>
      <w:bookmarkStart w:id="67" w:name="_Toc13590"/>
      <w:bookmarkStart w:id="68" w:name="_Toc8141"/>
      <w:bookmarkStart w:id="69" w:name="_Toc18424"/>
      <w:bookmarkStart w:id="70" w:name="_Toc14724"/>
      <w:bookmarkStart w:id="71" w:name="_Toc302769231"/>
      <w:r>
        <w:rPr>
          <w:rFonts w:hint="eastAsia" w:ascii="宋体" w:hAnsi="宋体" w:eastAsia="宋体" w:cs="宋体"/>
          <w:color w:val="auto"/>
          <w:sz w:val="24"/>
          <w:szCs w:val="24"/>
          <w:highlight w:val="none"/>
        </w:rPr>
        <w:t>评审办法前附表</w:t>
      </w:r>
      <w:bookmarkEnd w:id="67"/>
      <w:bookmarkEnd w:id="68"/>
      <w:bookmarkEnd w:id="69"/>
      <w:bookmarkEnd w:id="70"/>
      <w:bookmarkEnd w:id="71"/>
    </w:p>
    <w:tbl>
      <w:tblPr>
        <w:tblStyle w:val="56"/>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8"/>
        <w:gridCol w:w="2227"/>
        <w:gridCol w:w="5663"/>
      </w:tblGrid>
      <w:tr w14:paraId="4904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948" w:type="dxa"/>
            <w:noWrap w:val="0"/>
            <w:vAlign w:val="center"/>
          </w:tcPr>
          <w:p w14:paraId="535880BB">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w:t>
            </w:r>
          </w:p>
        </w:tc>
        <w:tc>
          <w:tcPr>
            <w:tcW w:w="2227" w:type="dxa"/>
            <w:noWrap w:val="0"/>
            <w:vAlign w:val="center"/>
          </w:tcPr>
          <w:p w14:paraId="3D4043E8">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5663" w:type="dxa"/>
            <w:noWrap w:val="0"/>
            <w:vAlign w:val="center"/>
          </w:tcPr>
          <w:p w14:paraId="1EB18D12">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6E38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948" w:type="dxa"/>
            <w:vMerge w:val="restart"/>
            <w:noWrap w:val="0"/>
            <w:vAlign w:val="center"/>
          </w:tcPr>
          <w:p w14:paraId="005CD451">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初步评审标准</w:t>
            </w:r>
          </w:p>
        </w:tc>
        <w:tc>
          <w:tcPr>
            <w:tcW w:w="2227" w:type="dxa"/>
            <w:noWrap w:val="0"/>
            <w:vAlign w:val="center"/>
          </w:tcPr>
          <w:p w14:paraId="26C5C235">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资格要求</w:t>
            </w:r>
          </w:p>
        </w:tc>
        <w:tc>
          <w:tcPr>
            <w:tcW w:w="5663" w:type="dxa"/>
            <w:noWrap w:val="0"/>
            <w:vAlign w:val="center"/>
          </w:tcPr>
          <w:p w14:paraId="0E32816B">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满足《竞争性磋商文件》磋商公告中第二条供应商需具备的资格要求</w:t>
            </w:r>
          </w:p>
        </w:tc>
      </w:tr>
      <w:tr w14:paraId="43B6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948" w:type="dxa"/>
            <w:vMerge w:val="continue"/>
            <w:noWrap w:val="0"/>
            <w:vAlign w:val="center"/>
          </w:tcPr>
          <w:p w14:paraId="25E3EFFF">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1AEC2C5B">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5663" w:type="dxa"/>
            <w:noWrap w:val="0"/>
            <w:vAlign w:val="center"/>
          </w:tcPr>
          <w:p w14:paraId="4F14B9F2">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与营业执照一致</w:t>
            </w:r>
          </w:p>
        </w:tc>
      </w:tr>
      <w:tr w14:paraId="535F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948" w:type="dxa"/>
            <w:vMerge w:val="continue"/>
            <w:noWrap w:val="0"/>
            <w:vAlign w:val="center"/>
          </w:tcPr>
          <w:p w14:paraId="5B6A1ED9">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56898429">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响应文件签字盖章</w:t>
            </w:r>
          </w:p>
        </w:tc>
        <w:tc>
          <w:tcPr>
            <w:tcW w:w="5663" w:type="dxa"/>
            <w:noWrap w:val="0"/>
            <w:vAlign w:val="center"/>
          </w:tcPr>
          <w:p w14:paraId="4454C2C5">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竞争性磋商文件格式中要求有供应商法定代表人或其委托代理人签字或盖章并加盖单位章的内容符合要求</w:t>
            </w:r>
          </w:p>
        </w:tc>
      </w:tr>
      <w:tr w14:paraId="6848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48" w:type="dxa"/>
            <w:vMerge w:val="continue"/>
            <w:noWrap w:val="0"/>
            <w:vAlign w:val="center"/>
          </w:tcPr>
          <w:p w14:paraId="34D627DE">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7F272620">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tc>
        <w:tc>
          <w:tcPr>
            <w:tcW w:w="5663" w:type="dxa"/>
            <w:noWrap w:val="0"/>
            <w:vAlign w:val="center"/>
          </w:tcPr>
          <w:p w14:paraId="46DC00FC">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符合第六章“响应文件格式”的要求</w:t>
            </w:r>
          </w:p>
        </w:tc>
      </w:tr>
      <w:tr w14:paraId="16810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1948" w:type="dxa"/>
            <w:vMerge w:val="continue"/>
            <w:noWrap w:val="0"/>
            <w:vAlign w:val="center"/>
          </w:tcPr>
          <w:p w14:paraId="6AD28D71">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7BBDD58F">
            <w:pPr>
              <w:pStyle w:val="54"/>
              <w:widowControl w:val="0"/>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法定代表人身份证明或附有法定代表人身份证明的授权委托书</w:t>
            </w:r>
          </w:p>
        </w:tc>
        <w:tc>
          <w:tcPr>
            <w:tcW w:w="5663" w:type="dxa"/>
            <w:noWrap w:val="0"/>
            <w:vAlign w:val="center"/>
          </w:tcPr>
          <w:p w14:paraId="32BB93EF">
            <w:p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按规定格式填写。</w:t>
            </w:r>
          </w:p>
        </w:tc>
      </w:tr>
      <w:tr w14:paraId="4D10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948" w:type="dxa"/>
            <w:vMerge w:val="continue"/>
            <w:noWrap w:val="0"/>
            <w:vAlign w:val="center"/>
          </w:tcPr>
          <w:p w14:paraId="60EC637E">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25845FAF">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法定代表人或授权委托代理人居民身份证</w:t>
            </w:r>
          </w:p>
        </w:tc>
        <w:tc>
          <w:tcPr>
            <w:tcW w:w="5663" w:type="dxa"/>
            <w:noWrap w:val="0"/>
            <w:vAlign w:val="center"/>
          </w:tcPr>
          <w:p w14:paraId="6C687C04">
            <w:pPr>
              <w:autoSpaceDE w:val="0"/>
              <w:autoSpaceDN w:val="0"/>
              <w:adjustRightInd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具备有效证件</w:t>
            </w:r>
            <w:r>
              <w:rPr>
                <w:rFonts w:hint="eastAsia" w:ascii="宋体" w:hAnsi="宋体" w:cs="宋体"/>
                <w:color w:val="auto"/>
                <w:sz w:val="24"/>
                <w:szCs w:val="24"/>
                <w:highlight w:val="none"/>
                <w:lang w:eastAsia="zh-CN"/>
              </w:rPr>
              <w:t>。</w:t>
            </w:r>
          </w:p>
        </w:tc>
      </w:tr>
      <w:tr w14:paraId="7D9C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948" w:type="dxa"/>
            <w:vMerge w:val="continue"/>
            <w:noWrap w:val="0"/>
            <w:vAlign w:val="center"/>
          </w:tcPr>
          <w:p w14:paraId="795B0ED6">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4824DB3B">
            <w:pPr>
              <w:pStyle w:val="54"/>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磋商价格</w:t>
            </w:r>
          </w:p>
        </w:tc>
        <w:tc>
          <w:tcPr>
            <w:tcW w:w="5663" w:type="dxa"/>
            <w:noWrap w:val="0"/>
            <w:vAlign w:val="center"/>
          </w:tcPr>
          <w:p w14:paraId="3E11E23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供应商磋商报价方式满足竞争性磋商文件要求，且不高于规定的</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w:t>
            </w:r>
          </w:p>
        </w:tc>
      </w:tr>
      <w:tr w14:paraId="099B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948" w:type="dxa"/>
            <w:vMerge w:val="continue"/>
            <w:noWrap w:val="0"/>
            <w:vAlign w:val="center"/>
          </w:tcPr>
          <w:p w14:paraId="2D2F6994">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5CB23B83">
            <w:pPr>
              <w:pStyle w:val="54"/>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rPr>
              <w:t>有效期</w:t>
            </w:r>
          </w:p>
        </w:tc>
        <w:tc>
          <w:tcPr>
            <w:tcW w:w="5663" w:type="dxa"/>
            <w:noWrap w:val="0"/>
            <w:vAlign w:val="center"/>
          </w:tcPr>
          <w:p w14:paraId="468E6CE8">
            <w:pPr>
              <w:pStyle w:val="54"/>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有效期满足竞争性磋商文件要求</w:t>
            </w:r>
          </w:p>
        </w:tc>
      </w:tr>
      <w:tr w14:paraId="091D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948" w:type="dxa"/>
            <w:vMerge w:val="continue"/>
            <w:noWrap w:val="0"/>
            <w:vAlign w:val="center"/>
          </w:tcPr>
          <w:p w14:paraId="377C7C90">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2227" w:type="dxa"/>
            <w:noWrap w:val="0"/>
            <w:vAlign w:val="center"/>
          </w:tcPr>
          <w:p w14:paraId="17C6A1DF">
            <w:pPr>
              <w:pStyle w:val="54"/>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磋商保证金</w:t>
            </w:r>
          </w:p>
        </w:tc>
        <w:tc>
          <w:tcPr>
            <w:tcW w:w="5663" w:type="dxa"/>
            <w:noWrap w:val="0"/>
            <w:vAlign w:val="center"/>
          </w:tcPr>
          <w:p w14:paraId="0DB32047">
            <w:pPr>
              <w:pStyle w:val="54"/>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满足竞争性磋商文件要求</w:t>
            </w:r>
          </w:p>
        </w:tc>
      </w:tr>
      <w:tr w14:paraId="7F64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948" w:type="dxa"/>
            <w:vMerge w:val="continue"/>
            <w:noWrap w:val="0"/>
            <w:vAlign w:val="center"/>
          </w:tcPr>
          <w:p w14:paraId="366F5CF3">
            <w:pPr>
              <w:autoSpaceDE w:val="0"/>
              <w:autoSpaceDN w:val="0"/>
              <w:adjustRightInd w:val="0"/>
              <w:spacing w:line="360" w:lineRule="auto"/>
              <w:jc w:val="center"/>
              <w:rPr>
                <w:rFonts w:hint="eastAsia" w:ascii="宋体" w:hAnsi="宋体" w:eastAsia="宋体" w:cs="宋体"/>
                <w:color w:val="auto"/>
                <w:sz w:val="24"/>
                <w:szCs w:val="24"/>
                <w:highlight w:val="none"/>
              </w:rPr>
            </w:pPr>
            <w:bookmarkStart w:id="72" w:name="_Toc19424"/>
            <w:bookmarkStart w:id="73" w:name="_Toc302769233"/>
            <w:bookmarkStart w:id="74" w:name="_Toc186513209"/>
            <w:bookmarkStart w:id="75" w:name="_Toc5437"/>
          </w:p>
        </w:tc>
        <w:tc>
          <w:tcPr>
            <w:tcW w:w="2227" w:type="dxa"/>
            <w:noWrap w:val="0"/>
            <w:vAlign w:val="center"/>
          </w:tcPr>
          <w:p w14:paraId="00054D90">
            <w:pPr>
              <w:pStyle w:val="54"/>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其他实质性</w:t>
            </w:r>
            <w:r>
              <w:rPr>
                <w:rFonts w:hint="eastAsia" w:ascii="宋体" w:hAnsi="宋体" w:eastAsia="宋体" w:cs="宋体"/>
                <w:color w:val="auto"/>
                <w:kern w:val="2"/>
                <w:sz w:val="24"/>
                <w:szCs w:val="24"/>
                <w:highlight w:val="none"/>
              </w:rPr>
              <w:t>要求</w:t>
            </w:r>
          </w:p>
        </w:tc>
        <w:tc>
          <w:tcPr>
            <w:tcW w:w="5663" w:type="dxa"/>
            <w:noWrap w:val="0"/>
            <w:vAlign w:val="center"/>
          </w:tcPr>
          <w:p w14:paraId="0FC02B5B">
            <w:pPr>
              <w:pStyle w:val="54"/>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满足竞争性磋商文件要求</w:t>
            </w:r>
          </w:p>
        </w:tc>
      </w:tr>
    </w:tbl>
    <w:p w14:paraId="345D4842">
      <w:pPr>
        <w:pStyle w:val="3"/>
        <w:jc w:val="both"/>
        <w:rPr>
          <w:rFonts w:hint="eastAsia" w:ascii="宋体" w:hAnsi="宋体" w:eastAsia="宋体" w:cs="宋体"/>
          <w:color w:val="auto"/>
          <w:highlight w:val="none"/>
        </w:rPr>
        <w:sectPr>
          <w:pgSz w:w="11910" w:h="16850"/>
          <w:pgMar w:top="1440" w:right="1247" w:bottom="1440" w:left="1247" w:header="850" w:footer="992" w:gutter="0"/>
          <w:pgNumType w:fmt="decimal"/>
          <w:cols w:space="720" w:num="1"/>
        </w:sectPr>
      </w:pPr>
    </w:p>
    <w:p w14:paraId="67256922">
      <w:pPr>
        <w:pStyle w:val="3"/>
        <w:spacing w:line="360" w:lineRule="auto"/>
        <w:jc w:val="center"/>
        <w:rPr>
          <w:rFonts w:hint="eastAsia" w:ascii="宋体" w:hAnsi="宋体" w:eastAsia="宋体" w:cs="宋体"/>
          <w:color w:val="auto"/>
          <w:sz w:val="24"/>
          <w:szCs w:val="24"/>
          <w:highlight w:val="none"/>
        </w:rPr>
      </w:pPr>
      <w:bookmarkStart w:id="76" w:name="_Toc20756"/>
      <w:bookmarkStart w:id="77" w:name="_Toc820"/>
      <w:r>
        <w:rPr>
          <w:rFonts w:hint="eastAsia" w:ascii="宋体" w:hAnsi="宋体" w:eastAsia="宋体" w:cs="宋体"/>
          <w:color w:val="auto"/>
          <w:sz w:val="24"/>
          <w:szCs w:val="24"/>
          <w:highlight w:val="none"/>
        </w:rPr>
        <w:t>1.评审方法</w:t>
      </w:r>
      <w:bookmarkEnd w:id="72"/>
      <w:bookmarkEnd w:id="73"/>
      <w:bookmarkEnd w:id="74"/>
      <w:bookmarkEnd w:id="75"/>
      <w:bookmarkEnd w:id="76"/>
      <w:bookmarkEnd w:id="77"/>
    </w:p>
    <w:p w14:paraId="2F75ACF2">
      <w:pPr>
        <w:spacing w:line="360" w:lineRule="auto"/>
        <w:ind w:firstLine="480" w:firstLineChars="200"/>
        <w:rPr>
          <w:rFonts w:hint="eastAsia" w:ascii="宋体" w:hAnsi="宋体" w:eastAsia="宋体" w:cs="宋体"/>
          <w:color w:val="auto"/>
          <w:sz w:val="24"/>
          <w:szCs w:val="24"/>
          <w:highlight w:val="none"/>
        </w:rPr>
      </w:pPr>
      <w:bookmarkStart w:id="78" w:name="_Toc302769234"/>
      <w:r>
        <w:rPr>
          <w:rFonts w:hint="eastAsia" w:ascii="宋体" w:hAnsi="宋体" w:eastAsia="宋体" w:cs="宋体"/>
          <w:color w:val="auto"/>
          <w:sz w:val="24"/>
          <w:szCs w:val="24"/>
          <w:highlight w:val="none"/>
        </w:rPr>
        <w:t>本竞争性磋商项目</w:t>
      </w:r>
      <w:bookmarkEnd w:id="78"/>
      <w:bookmarkStart w:id="79" w:name="_Toc302769235"/>
      <w:r>
        <w:rPr>
          <w:rFonts w:hint="eastAsia" w:ascii="宋体" w:hAnsi="宋体" w:eastAsia="宋体" w:cs="宋体"/>
          <w:color w:val="auto"/>
          <w:sz w:val="24"/>
          <w:szCs w:val="24"/>
          <w:highlight w:val="none"/>
        </w:rPr>
        <w:t>采用综合评估打分法进行评审，磋商小组对满足竞争性磋商文件实质性要求的《响应文件》、《承诺》及《最终报价表》按照本章规定的评分标准进行打分，根据供应商最终得分由高到低的顺序推荐成交候选供应商。</w:t>
      </w:r>
    </w:p>
    <w:bookmarkEnd w:id="79"/>
    <w:p w14:paraId="3A7FCE5E">
      <w:pPr>
        <w:pStyle w:val="3"/>
        <w:spacing w:line="360" w:lineRule="auto"/>
        <w:jc w:val="center"/>
        <w:rPr>
          <w:rFonts w:hint="eastAsia" w:ascii="宋体" w:hAnsi="宋体" w:eastAsia="宋体" w:cs="宋体"/>
          <w:color w:val="auto"/>
          <w:sz w:val="24"/>
          <w:szCs w:val="24"/>
          <w:highlight w:val="none"/>
        </w:rPr>
      </w:pPr>
      <w:bookmarkStart w:id="80" w:name="_Toc28498"/>
      <w:bookmarkStart w:id="81" w:name="_Toc302769236"/>
      <w:bookmarkStart w:id="82" w:name="_Toc3209"/>
      <w:bookmarkStart w:id="83" w:name="_Toc186513210"/>
      <w:bookmarkStart w:id="84" w:name="_Toc9471"/>
      <w:bookmarkStart w:id="85" w:name="_Toc6843"/>
      <w:r>
        <w:rPr>
          <w:rFonts w:hint="eastAsia" w:ascii="宋体" w:hAnsi="宋体" w:eastAsia="宋体" w:cs="宋体"/>
          <w:color w:val="auto"/>
          <w:sz w:val="24"/>
          <w:szCs w:val="24"/>
          <w:highlight w:val="none"/>
        </w:rPr>
        <w:t>2.评审标准</w:t>
      </w:r>
      <w:bookmarkEnd w:id="80"/>
      <w:bookmarkEnd w:id="81"/>
      <w:bookmarkEnd w:id="82"/>
      <w:bookmarkEnd w:id="83"/>
      <w:bookmarkEnd w:id="84"/>
      <w:bookmarkEnd w:id="85"/>
      <w:bookmarkStart w:id="86" w:name="_Toc186513211"/>
    </w:p>
    <w:p w14:paraId="7F0DB42C">
      <w:pPr>
        <w:pStyle w:val="274"/>
        <w:spacing w:line="360" w:lineRule="auto"/>
        <w:rPr>
          <w:rFonts w:hint="eastAsia" w:ascii="宋体" w:hAnsi="宋体" w:eastAsia="宋体" w:cs="宋体"/>
          <w:color w:val="auto"/>
          <w:sz w:val="24"/>
          <w:szCs w:val="24"/>
          <w:highlight w:val="none"/>
        </w:rPr>
      </w:pPr>
      <w:bookmarkStart w:id="87" w:name="_Toc302769237"/>
      <w:r>
        <w:rPr>
          <w:rFonts w:hint="eastAsia" w:ascii="宋体" w:hAnsi="宋体" w:eastAsia="宋体" w:cs="宋体"/>
          <w:color w:val="auto"/>
          <w:sz w:val="24"/>
          <w:szCs w:val="24"/>
          <w:highlight w:val="none"/>
        </w:rPr>
        <w:t>2.1初步评审标准</w:t>
      </w:r>
      <w:bookmarkEnd w:id="86"/>
      <w:bookmarkEnd w:id="87"/>
    </w:p>
    <w:p w14:paraId="32EFB8C3">
      <w:pPr>
        <w:spacing w:line="360" w:lineRule="auto"/>
        <w:ind w:firstLine="480" w:firstLineChars="200"/>
        <w:rPr>
          <w:rFonts w:hint="eastAsia" w:ascii="宋体" w:hAnsi="宋体" w:eastAsia="宋体" w:cs="宋体"/>
          <w:color w:val="auto"/>
          <w:sz w:val="24"/>
          <w:szCs w:val="24"/>
          <w:highlight w:val="none"/>
        </w:rPr>
      </w:pPr>
      <w:bookmarkStart w:id="88" w:name="_Toc302769238"/>
      <w:r>
        <w:rPr>
          <w:rFonts w:hint="eastAsia" w:ascii="宋体" w:hAnsi="宋体" w:eastAsia="宋体" w:cs="宋体"/>
          <w:color w:val="auto"/>
          <w:sz w:val="24"/>
          <w:szCs w:val="24"/>
          <w:highlight w:val="none"/>
        </w:rPr>
        <w:t>2.1.1</w:t>
      </w:r>
      <w:bookmarkEnd w:id="88"/>
      <w:r>
        <w:rPr>
          <w:rFonts w:hint="eastAsia" w:ascii="宋体" w:hAnsi="宋体" w:eastAsia="宋体" w:cs="宋体"/>
          <w:color w:val="auto"/>
          <w:sz w:val="24"/>
          <w:szCs w:val="24"/>
          <w:highlight w:val="none"/>
        </w:rPr>
        <w:t>磋商小组根据本章前附表中规定的评审因素和评审标准，对供应商的响应文件进行初步评审，并记录评审结果。有一项不符合评审标准的，响应文件按无效处理，不再进行详细评审及磋商。</w:t>
      </w:r>
    </w:p>
    <w:p w14:paraId="33E22E4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磋商报价有算术错误的，磋商小组按以下原则对磋商报价进行修正，修正的价格经供应商书面确认后具有约束力。供应商不接受修正价格的，响应文件按无效处理。</w:t>
      </w:r>
    </w:p>
    <w:p w14:paraId="2ECE3A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（1）磋商报价大小写金额不一致的，以大写金额为准；</w:t>
      </w:r>
    </w:p>
    <w:p w14:paraId="463712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（2）总价金额与按单价汇总金额不一致的，以单价金额计算结果为准；</w:t>
      </w:r>
    </w:p>
    <w:p w14:paraId="7C1C57B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（3）单价金额小数点有明显错位的，应以总价为准，并修改单价；</w:t>
      </w:r>
    </w:p>
    <w:p w14:paraId="63C232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（4）对不同文字文本响应文件的解释发生异议的，以中文文本为准。</w:t>
      </w:r>
    </w:p>
    <w:p w14:paraId="1C47478D">
      <w:pPr>
        <w:pStyle w:val="274"/>
        <w:spacing w:line="360" w:lineRule="auto"/>
        <w:rPr>
          <w:rFonts w:hint="eastAsia" w:ascii="宋体" w:hAnsi="宋体" w:eastAsia="宋体" w:cs="宋体"/>
          <w:color w:val="auto"/>
          <w:sz w:val="24"/>
          <w:szCs w:val="24"/>
          <w:highlight w:val="none"/>
        </w:rPr>
      </w:pPr>
      <w:bookmarkStart w:id="89" w:name="_Toc186513212"/>
      <w:bookmarkStart w:id="90" w:name="_Toc302769241"/>
      <w:r>
        <w:rPr>
          <w:rFonts w:hint="eastAsia" w:ascii="宋体" w:hAnsi="宋体" w:eastAsia="宋体" w:cs="宋体"/>
          <w:color w:val="auto"/>
          <w:sz w:val="24"/>
          <w:szCs w:val="24"/>
          <w:highlight w:val="none"/>
        </w:rPr>
        <w:t>2.2</w:t>
      </w:r>
      <w:bookmarkEnd w:id="89"/>
      <w:bookmarkEnd w:id="90"/>
      <w:r>
        <w:rPr>
          <w:rFonts w:hint="eastAsia" w:ascii="宋体" w:hAnsi="宋体" w:eastAsia="宋体" w:cs="宋体"/>
          <w:color w:val="auto"/>
          <w:sz w:val="24"/>
          <w:szCs w:val="24"/>
          <w:highlight w:val="none"/>
        </w:rPr>
        <w:t>详细评审标准</w:t>
      </w:r>
    </w:p>
    <w:p w14:paraId="0C054813">
      <w:pPr>
        <w:spacing w:line="360" w:lineRule="auto"/>
        <w:ind w:firstLine="480" w:firstLineChars="200"/>
        <w:rPr>
          <w:rFonts w:hint="eastAsia" w:ascii="宋体" w:hAnsi="宋体" w:eastAsia="宋体" w:cs="宋体"/>
          <w:color w:val="auto"/>
          <w:sz w:val="24"/>
          <w:szCs w:val="24"/>
          <w:highlight w:val="none"/>
        </w:rPr>
      </w:pPr>
      <w:bookmarkStart w:id="91" w:name="_Toc186513213"/>
      <w:r>
        <w:rPr>
          <w:rFonts w:hint="eastAsia" w:ascii="宋体" w:hAnsi="宋体" w:eastAsia="宋体" w:cs="宋体"/>
          <w:color w:val="auto"/>
          <w:sz w:val="24"/>
          <w:szCs w:val="24"/>
          <w:highlight w:val="none"/>
        </w:rPr>
        <w:t>只有通过了初步评审、被判定为合格的供应商可进入详细评审及磋商。</w:t>
      </w:r>
    </w:p>
    <w:p w14:paraId="1886F5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磋商小组就响应文件的具体内容与供应商进行磋商，并根据磋商结果按照详细评审标准进行打分。</w:t>
      </w:r>
    </w:p>
    <w:p w14:paraId="7AC5D4C5">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2.2.1分值构成</w:t>
      </w:r>
    </w:p>
    <w:p w14:paraId="1BF5E51B">
      <w:pPr>
        <w:spacing w:line="360" w:lineRule="auto"/>
        <w:ind w:firstLine="324" w:firstLineChars="1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磋商小组对供应商的响应文件的技术、商务部分分别按照评审方法打分后，再按下列公式计算出供应商的最后得分： </w:t>
      </w:r>
    </w:p>
    <w:p w14:paraId="0DA65CE0">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Z=S +J</w:t>
      </w:r>
    </w:p>
    <w:p w14:paraId="71C28F33">
      <w:pPr>
        <w:spacing w:line="360" w:lineRule="auto"/>
        <w:ind w:firstLine="808" w:firstLineChars="3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Z为供应商最终得分；</w:t>
      </w:r>
    </w:p>
    <w:p w14:paraId="5CAB9379">
      <w:pPr>
        <w:spacing w:line="360" w:lineRule="auto"/>
        <w:ind w:firstLine="808" w:firstLineChars="3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S为供应商商务部分得分；</w:t>
      </w:r>
    </w:p>
    <w:p w14:paraId="74205793">
      <w:pPr>
        <w:spacing w:line="360" w:lineRule="auto"/>
        <w:ind w:firstLine="808" w:firstLineChars="3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J为供应商技术部分得分；</w:t>
      </w:r>
    </w:p>
    <w:p w14:paraId="3627CCAA">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2.2.2技术部分评审评分</w:t>
      </w:r>
    </w:p>
    <w:p w14:paraId="2628F768">
      <w:pPr>
        <w:spacing w:line="360" w:lineRule="auto"/>
        <w:ind w:firstLine="324" w:firstLineChars="1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按照规定的分值设定、评分标准，对技术部分进行评审和评分，按分档进行打分。</w:t>
      </w:r>
    </w:p>
    <w:p w14:paraId="50E30687">
      <w:pPr>
        <w:spacing w:line="360" w:lineRule="auto"/>
        <w:ind w:firstLine="325" w:firstLineChars="13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技术部分评审评分（满分</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rPr>
        <w:t>0分）</w:t>
      </w:r>
    </w:p>
    <w:p w14:paraId="36AA66C4">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1.主要设备技术参数响应评审（满10分）</w:t>
      </w:r>
    </w:p>
    <w:p w14:paraId="519416E9">
      <w:pPr>
        <w:tabs>
          <w:tab w:val="left" w:pos="360"/>
          <w:tab w:val="left" w:pos="43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根据响应文件中主要设备的技术参数响应情况进行评分，供应商的技术参数完全满足磋商文件第五章《项目需求及技术要求》中主要设备技术参数要求的得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分，否则不得分，本项评分以“技术偏离表”及提供的技术支持资料为依据。</w:t>
      </w:r>
    </w:p>
    <w:p w14:paraId="21A52CAD">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若中标单位在项目实施过程中提供的服务无法满足采购人需求，或提供的主要设备技术参数无法满足磋商文件要求，采购人有权终止合同，若涉及虚假应标，由中标供应商承担全部责任（包括但不限于赔偿损失、采购人上报主管部门后由财政主管部门列入失信黑名单、涉及违法的由相关部门处理等）</w:t>
      </w:r>
      <w:r>
        <w:rPr>
          <w:rFonts w:hint="eastAsia" w:ascii="宋体" w:hAnsi="宋体" w:eastAsia="宋体" w:cs="宋体"/>
          <w:color w:val="auto"/>
          <w:sz w:val="24"/>
          <w:szCs w:val="24"/>
          <w:highlight w:val="none"/>
        </w:rPr>
        <w:t>。</w:t>
      </w:r>
    </w:p>
    <w:p w14:paraId="5F5444B0">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2.项目实施方案评审（满分30分）</w:t>
      </w:r>
    </w:p>
    <w:p w14:paraId="6DB61007">
      <w:pPr>
        <w:tabs>
          <w:tab w:val="left" w:pos="360"/>
          <w:tab w:val="left" w:pos="43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根据供应商提供的项目实施方案进行评审，内容至少包括：</w:t>
      </w:r>
      <w:r>
        <w:rPr>
          <w:rFonts w:hint="eastAsia" w:ascii="宋体" w:hAnsi="宋体" w:eastAsia="宋体" w:cs="宋体"/>
          <w:b/>
          <w:bCs/>
          <w:color w:val="auto"/>
          <w:sz w:val="24"/>
          <w:szCs w:val="24"/>
          <w:highlight w:val="none"/>
          <w:lang w:eastAsia="zh-CN"/>
        </w:rPr>
        <w:t>①大坝安全监测系统总体搭建方案；②实施方案（设备选型方案、货物组织运输方案、现场施工组织方案、系统集成与对接方案、调试、试运行、组织验收方案等）；③进度计划及施工保障措施（包含但不限于：施工进度安排、保证施工工期措施、工期违约责任承诺及处罚）；④安全管理体系与措施（安全施工目标；安全保证措施；安全方面应急预案）；⑤培训方案</w:t>
      </w:r>
      <w:r>
        <w:rPr>
          <w:rFonts w:hint="eastAsia" w:ascii="宋体" w:hAnsi="宋体" w:eastAsia="宋体" w:cs="宋体"/>
          <w:color w:val="auto"/>
          <w:sz w:val="24"/>
          <w:szCs w:val="24"/>
          <w:highlight w:val="none"/>
          <w:lang w:eastAsia="zh-CN"/>
        </w:rPr>
        <w:t>。</w:t>
      </w:r>
    </w:p>
    <w:p w14:paraId="5F5B3D64">
      <w:pPr>
        <w:tabs>
          <w:tab w:val="left" w:pos="360"/>
          <w:tab w:val="left" w:pos="43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针对上述内容要点进行打分，提供的内容全面，思路清晰、准确、完整，方案编制合理、可行性强的得满分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分；每缺少一项内容或者存在明显重大错漏的扣</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分，有一项内容不完整或有缺陷或与项目不匹配的扣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分，本项分值扣完为止。</w:t>
      </w:r>
    </w:p>
    <w:p w14:paraId="4C4E79C9">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p w14:paraId="72B5956E">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3.运维服务方案评审（满分20分）</w:t>
      </w:r>
    </w:p>
    <w:p w14:paraId="294BE35B">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根据供应商所提交的运维服务方案进行评审，内容至少包括：</w:t>
      </w:r>
      <w:r>
        <w:rPr>
          <w:rFonts w:hint="eastAsia" w:ascii="宋体" w:hAnsi="宋体" w:eastAsia="宋体" w:cs="宋体"/>
          <w:b/>
          <w:bCs/>
          <w:color w:val="auto"/>
          <w:sz w:val="24"/>
          <w:szCs w:val="24"/>
          <w:highlight w:val="none"/>
          <w:lang w:val="en-US" w:eastAsia="zh-CN"/>
        </w:rPr>
        <w:t>①售后服务体系及运维服务承诺；②运维技术团队配置；③设施维护方案；</w:t>
      </w:r>
      <w:r>
        <w:rPr>
          <w:rFonts w:hint="eastAsia" w:ascii="宋体" w:hAnsi="宋体" w:eastAsia="宋体" w:cs="宋体"/>
          <w:b/>
          <w:bCs/>
          <w:color w:val="auto"/>
          <w:sz w:val="24"/>
          <w:szCs w:val="24"/>
          <w:highlight w:val="none"/>
          <w:lang w:eastAsia="zh-CN"/>
        </w:rPr>
        <w:t>④</w:t>
      </w:r>
      <w:r>
        <w:rPr>
          <w:rFonts w:hint="eastAsia" w:ascii="宋体" w:hAnsi="宋体" w:eastAsia="宋体" w:cs="宋体"/>
          <w:b/>
          <w:bCs/>
          <w:color w:val="auto"/>
          <w:sz w:val="24"/>
          <w:szCs w:val="24"/>
          <w:highlight w:val="none"/>
          <w:lang w:val="en-US" w:eastAsia="zh-CN"/>
        </w:rPr>
        <w:t>定期巡检方案（日常巡检、汛期巡检）</w:t>
      </w:r>
      <w:r>
        <w:rPr>
          <w:rFonts w:hint="eastAsia" w:ascii="宋体" w:hAnsi="宋体" w:eastAsia="宋体" w:cs="宋体"/>
          <w:color w:val="auto"/>
          <w:sz w:val="24"/>
          <w:szCs w:val="24"/>
          <w:highlight w:val="none"/>
          <w:lang w:val="en-US" w:eastAsia="zh-CN"/>
        </w:rPr>
        <w:t>。</w:t>
      </w:r>
    </w:p>
    <w:p w14:paraId="25F0D7B0">
      <w:pPr>
        <w:tabs>
          <w:tab w:val="left" w:pos="360"/>
          <w:tab w:val="left" w:pos="43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针对上述内容要点进行打分，提供的内容全面，思路清晰、准确、完整，承诺符合要求，方案编制合理、可行性强的得满分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分；每缺少一项内容或者存在明显重大错漏的扣</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分，有一项内容叙述不完整或有缺陷或与项目不匹配的扣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分，本项分值扣完为止。</w:t>
      </w:r>
    </w:p>
    <w:p w14:paraId="6CB01D87">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p w14:paraId="3B7F56D0">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质量保证体系及保证措施（</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1491511A">
      <w:pPr>
        <w:tabs>
          <w:tab w:val="left" w:pos="360"/>
          <w:tab w:val="left" w:pos="43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第一个档次（</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分）：质量承诺满足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且有具体的违约责任承诺，质量保证措施严格按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要求的技术</w:t>
      </w:r>
      <w:r>
        <w:rPr>
          <w:rFonts w:hint="eastAsia" w:ascii="宋体" w:hAnsi="宋体" w:cs="宋体"/>
          <w:color w:val="auto"/>
          <w:sz w:val="24"/>
          <w:szCs w:val="24"/>
          <w:highlight w:val="none"/>
          <w:lang w:val="en-US" w:eastAsia="zh-CN"/>
        </w:rPr>
        <w:t>参数及要求</w:t>
      </w:r>
      <w:r>
        <w:rPr>
          <w:rFonts w:hint="eastAsia" w:ascii="宋体" w:hAnsi="宋体" w:eastAsia="宋体" w:cs="宋体"/>
          <w:color w:val="auto"/>
          <w:sz w:val="24"/>
          <w:szCs w:val="24"/>
          <w:highlight w:val="none"/>
        </w:rPr>
        <w:t>编制且针对性好的；</w:t>
      </w:r>
    </w:p>
    <w:p w14:paraId="071667E2">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第二个档次（</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分）：质量承诺满足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且有具体的违约责任承诺，质量保证措施达到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要求的技术</w:t>
      </w:r>
      <w:r>
        <w:rPr>
          <w:rFonts w:hint="eastAsia" w:ascii="宋体" w:hAnsi="宋体" w:cs="宋体"/>
          <w:color w:val="auto"/>
          <w:sz w:val="24"/>
          <w:szCs w:val="24"/>
          <w:highlight w:val="none"/>
          <w:lang w:val="en-US" w:eastAsia="zh-CN"/>
        </w:rPr>
        <w:t>参数及要求</w:t>
      </w:r>
      <w:r>
        <w:rPr>
          <w:rFonts w:hint="eastAsia" w:ascii="宋体" w:hAnsi="宋体" w:eastAsia="宋体" w:cs="宋体"/>
          <w:color w:val="auto"/>
          <w:sz w:val="24"/>
          <w:szCs w:val="24"/>
          <w:highlight w:val="none"/>
        </w:rPr>
        <w:t>但针对性一般的；</w:t>
      </w:r>
    </w:p>
    <w:p w14:paraId="6854CA9A">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个档次（</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分）：质量承诺满足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但违约责任承诺不具体，质量保证措施基本达到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要求的技术</w:t>
      </w:r>
      <w:r>
        <w:rPr>
          <w:rFonts w:hint="eastAsia" w:ascii="宋体" w:hAnsi="宋体" w:cs="宋体"/>
          <w:color w:val="auto"/>
          <w:sz w:val="24"/>
          <w:szCs w:val="24"/>
          <w:highlight w:val="none"/>
          <w:lang w:val="en-US" w:eastAsia="zh-CN"/>
        </w:rPr>
        <w:t>参数及要求</w:t>
      </w:r>
      <w:r>
        <w:rPr>
          <w:rFonts w:hint="eastAsia" w:ascii="宋体" w:hAnsi="宋体" w:eastAsia="宋体" w:cs="宋体"/>
          <w:color w:val="auto"/>
          <w:sz w:val="24"/>
          <w:szCs w:val="24"/>
          <w:highlight w:val="none"/>
        </w:rPr>
        <w:t>但有重大缺陷或错漏的。</w:t>
      </w:r>
    </w:p>
    <w:p w14:paraId="2F8039B6">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对质量无承诺或质量承诺不满足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的，为重大偏差应按规定作废标处理。</w:t>
      </w:r>
    </w:p>
    <w:p w14:paraId="69280109">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5.人员配置方案评审</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64852184">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根据供应商所提交的人员配置方案进行评审：</w:t>
      </w:r>
    </w:p>
    <w:p w14:paraId="32AC1566">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10分）：机构和岗位设置合理，拟派往本项目的项目组人员配备科学、齐全，优于磋商文件要求。设有对应的专职管理人员且管理经验丰富，应急处理能力强，能制定详细的员工培训计划、方案。各岗位工作人员有明确、具体、切实可行的工作安排，针对性强，且其健康状况、工作经验等满足招标人要求；</w:t>
      </w:r>
    </w:p>
    <w:p w14:paraId="1B8B9A59">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8分）：机构和岗位设置基本合理，拟派往本项目的项目组人员配备科学，满足磋商文件要求。设有对应的专职管理人员，管理经验相对丰富，应急处理能力较强，能制定较为详细的员工培训计划、方案。各岗位工作人员安排合理,且其健康状况、工作经验等基本能满足招标人要求；</w:t>
      </w:r>
    </w:p>
    <w:p w14:paraId="5F53307D">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6分）：机构和岗位设置不合理，拟派往本项目的项目组人员配备基本满足磋商文件要求。设有对应的专职管理人员，但管理经验及应急处理能力一般，所制定的员工培训计划、方案一般。各岗位工作人员安排合理或存在欠缺，其健康状况、工作经验等基本能满足招标人要求或有欠缺；</w:t>
      </w:r>
    </w:p>
    <w:p w14:paraId="5FEF2D88">
      <w:pPr>
        <w:tabs>
          <w:tab w:val="left" w:pos="360"/>
          <w:tab w:val="left" w:pos="432"/>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第三档次（4分）：机构和岗位设置不合理，专职管理人员配置不满足磋商文件要求，其他各岗位工作人员安排不合理或不满足要求；</w:t>
      </w:r>
    </w:p>
    <w:p w14:paraId="399A0901">
      <w:pPr>
        <w:tabs>
          <w:tab w:val="left" w:pos="360"/>
          <w:tab w:val="left" w:pos="43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第四档次（0 分） ：未提供本项内容的不得分。</w:t>
      </w:r>
      <w:r>
        <w:rPr>
          <w:rFonts w:hint="eastAsia" w:ascii="宋体" w:hAnsi="宋体" w:eastAsia="宋体" w:cs="宋体"/>
          <w:color w:val="auto"/>
          <w:sz w:val="24"/>
          <w:szCs w:val="24"/>
          <w:highlight w:val="none"/>
        </w:rPr>
        <w:t>。</w:t>
      </w:r>
    </w:p>
    <w:p w14:paraId="7361F434">
      <w:pPr>
        <w:tabs>
          <w:tab w:val="left" w:pos="360"/>
          <w:tab w:val="left" w:pos="43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7.应急管理方案</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0813C1D0">
      <w:pPr>
        <w:keepNext w:val="0"/>
        <w:keepLines w:val="0"/>
        <w:pageBreakBefore w:val="0"/>
        <w:widowControl w:val="0"/>
        <w:tabs>
          <w:tab w:val="left" w:pos="360"/>
          <w:tab w:val="left" w:pos="432"/>
        </w:tabs>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eastAsia" w:ascii="宋体" w:hAnsi="宋体" w:eastAsia="宋体" w:cs="宋体"/>
          <w:b w:val="0"/>
          <w:bCs w:val="0"/>
          <w:color w:val="auto"/>
          <w:sz w:val="24"/>
          <w:szCs w:val="24"/>
          <w:highlight w:val="none"/>
          <w:lang w:val="en-US" w:eastAsia="zh-CN"/>
        </w:rPr>
      </w:pPr>
      <w:bookmarkStart w:id="192" w:name="_GoBack"/>
      <w:r>
        <w:rPr>
          <w:rFonts w:hint="eastAsia" w:ascii="宋体" w:hAnsi="宋体" w:eastAsia="宋体" w:cs="宋体"/>
          <w:b w:val="0"/>
          <w:bCs w:val="0"/>
          <w:color w:val="auto"/>
          <w:sz w:val="24"/>
          <w:szCs w:val="24"/>
          <w:highlight w:val="none"/>
          <w:lang w:val="en-US" w:eastAsia="zh-CN"/>
        </w:rPr>
        <w:t>①针对大坝安全监测重大、紧急场景的应急保障及突发处置措施进行评审：</w:t>
      </w:r>
    </w:p>
    <w:p w14:paraId="3386C1BB">
      <w:pPr>
        <w:keepNext w:val="0"/>
        <w:keepLines w:val="0"/>
        <w:pageBreakBefore w:val="0"/>
        <w:widowControl w:val="0"/>
        <w:tabs>
          <w:tab w:val="left" w:pos="360"/>
          <w:tab w:val="left" w:pos="432"/>
        </w:tabs>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应急保障方案适配本项目重大、紧急场景，突发处置措施具体可行，两项内容描述完整、逻辑合理，具备可行性的，10分。</w:t>
      </w:r>
    </w:p>
    <w:p w14:paraId="1762E0A5">
      <w:pPr>
        <w:keepNext w:val="0"/>
        <w:keepLines w:val="0"/>
        <w:pageBreakBefore w:val="0"/>
        <w:widowControl w:val="0"/>
        <w:tabs>
          <w:tab w:val="left" w:pos="360"/>
          <w:tab w:val="left" w:pos="432"/>
        </w:tabs>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扣分规则：应急保障或突发处置措施任一项描述不完整、不合理的，每项扣2分；任一项内容缺项漏项的，每项扣3分，扣完为止。</w:t>
      </w:r>
    </w:p>
    <w:p w14:paraId="454978DA">
      <w:pPr>
        <w:keepNext w:val="0"/>
        <w:keepLines w:val="0"/>
        <w:pageBreakBefore w:val="0"/>
        <w:widowControl w:val="0"/>
        <w:tabs>
          <w:tab w:val="left" w:pos="360"/>
          <w:tab w:val="left" w:pos="432"/>
        </w:tabs>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②未提供应急、突发处置预案的，不得分。</w:t>
      </w:r>
    </w:p>
    <w:bookmarkEnd w:id="192"/>
    <w:p w14:paraId="5EEC21BB">
      <w:pPr>
        <w:tabs>
          <w:tab w:val="left" w:pos="360"/>
          <w:tab w:val="left" w:pos="432"/>
        </w:tabs>
        <w:spacing w:line="360" w:lineRule="auto"/>
        <w:ind w:firstLine="480" w:firstLineChars="200"/>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2.3商务部分评审评分</w:t>
      </w:r>
    </w:p>
    <w:p w14:paraId="28713387">
      <w:pPr>
        <w:spacing w:line="360" w:lineRule="auto"/>
        <w:ind w:firstLine="324" w:firstLineChars="1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按照规定的分值设定、评分标准，对商务部分进行评审和评分。商务部分的报价以最终报价为准。</w:t>
      </w:r>
    </w:p>
    <w:p w14:paraId="5FD92323">
      <w:pPr>
        <w:spacing w:line="360" w:lineRule="auto"/>
        <w:ind w:firstLine="325" w:firstLineChars="13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商务部分评审评分（满分</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p w14:paraId="1A0E0B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磋商基准价：满足竞争性磋商文件要求的有效磋商报价的最低价。</w:t>
      </w:r>
    </w:p>
    <w:p w14:paraId="720B9E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有效报价等于磋商基准价的得满分。</w:t>
      </w:r>
    </w:p>
    <w:p w14:paraId="7F1120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计算公式：磋商报价得分=（磋商基准价/最后磋商报价）*价格权重*100</w:t>
      </w:r>
    </w:p>
    <w:p w14:paraId="6DA4341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《中小企业划型标准规定》（工信部联企业〔2011〕300号）、《政府采购促进中小企业发展管理办法》(财库[2020]46号)的规定、《财政部关于进一步加大政府采购支持中小企业力度的通知》（财库〔2022〕19号）</w:t>
      </w:r>
      <w:r>
        <w:rPr>
          <w:rFonts w:hint="eastAsia" w:ascii="宋体" w:hAnsi="宋体" w:eastAsia="宋体" w:cs="宋体"/>
          <w:color w:val="auto"/>
          <w:sz w:val="24"/>
          <w:szCs w:val="24"/>
          <w:highlight w:val="none"/>
        </w:rPr>
        <w:t>，参谈供应商被认定为小型、微型企业或监狱企业（监狱企业提供符合规定的工信部门出具的相关证明材料为准）且</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rPr>
        <w:t>为小型、微型企业或监狱企业的，对小微型企业或监狱企业报价给予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%的扣除，即：评标报价=投标总报价×（</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工程采购给予小微企业投标报价</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扣除</w:t>
      </w:r>
      <w:r>
        <w:rPr>
          <w:rFonts w:hint="eastAsia" w:ascii="宋体" w:hAnsi="宋体" w:eastAsia="宋体" w:cs="宋体"/>
          <w:color w:val="auto"/>
          <w:sz w:val="24"/>
          <w:szCs w:val="24"/>
          <w:highlight w:val="none"/>
        </w:rPr>
        <w:t xml:space="preserve">后的价格为评标价。 </w:t>
      </w:r>
    </w:p>
    <w:p w14:paraId="137A14B9">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政策优惠：小型、微型企业或监狱企业</w:t>
      </w:r>
      <w:r>
        <w:rPr>
          <w:rFonts w:hint="eastAsia" w:ascii="宋体" w:hAnsi="宋体" w:cs="宋体"/>
          <w:b/>
          <w:bCs/>
          <w:color w:val="auto"/>
          <w:sz w:val="24"/>
          <w:szCs w:val="24"/>
          <w:highlight w:val="none"/>
          <w:lang w:val="en-US" w:eastAsia="zh-CN"/>
        </w:rPr>
        <w:t>参与本项目采购给予小微企业投标报价10%</w:t>
      </w:r>
      <w:r>
        <w:rPr>
          <w:rFonts w:hint="eastAsia" w:ascii="宋体" w:hAnsi="宋体" w:cs="宋体"/>
          <w:b/>
          <w:bCs/>
          <w:color w:val="auto"/>
          <w:sz w:val="24"/>
          <w:szCs w:val="24"/>
          <w:highlight w:val="none"/>
        </w:rPr>
        <w:t>扣除</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用扣除后的价格参与评审。（</w:t>
      </w:r>
      <w:r>
        <w:rPr>
          <w:rFonts w:hint="eastAsia" w:ascii="宋体" w:hAnsi="宋体" w:cs="宋体"/>
          <w:b/>
          <w:bCs/>
          <w:color w:val="auto"/>
          <w:sz w:val="24"/>
          <w:szCs w:val="24"/>
          <w:highlight w:val="none"/>
          <w:lang w:val="en-US" w:eastAsia="zh-CN"/>
        </w:rPr>
        <w:t>提供中小</w:t>
      </w:r>
      <w:r>
        <w:rPr>
          <w:rFonts w:hint="eastAsia" w:ascii="宋体" w:hAnsi="宋体" w:cs="宋体"/>
          <w:b/>
          <w:bCs/>
          <w:color w:val="auto"/>
          <w:sz w:val="24"/>
          <w:szCs w:val="24"/>
          <w:highlight w:val="none"/>
        </w:rPr>
        <w:t xml:space="preserve">企业声明函） </w:t>
      </w:r>
    </w:p>
    <w:p w14:paraId="6DA84CB5">
      <w:pPr>
        <w:pStyle w:val="22"/>
        <w:rPr>
          <w:rFonts w:hint="eastAsia"/>
          <w:color w:val="auto"/>
          <w:highlight w:val="none"/>
        </w:rPr>
      </w:pPr>
      <w:r>
        <w:rPr>
          <w:rFonts w:hint="eastAsia" w:ascii="宋体" w:hAnsi="宋体" w:cs="宋体"/>
          <w:b/>
          <w:bCs/>
          <w:color w:val="auto"/>
          <w:sz w:val="24"/>
          <w:szCs w:val="24"/>
          <w:highlight w:val="none"/>
        </w:rPr>
        <w:t>注：</w:t>
      </w:r>
      <w:r>
        <w:rPr>
          <w:rFonts w:hint="eastAsia" w:ascii="宋体" w:hAnsi="宋体" w:cs="宋体"/>
          <w:b/>
          <w:bCs/>
          <w:color w:val="auto"/>
          <w:sz w:val="24"/>
          <w:szCs w:val="24"/>
          <w:highlight w:val="none"/>
          <w:lang w:val="en-US" w:eastAsia="zh-CN"/>
        </w:rPr>
        <w:t>“在货物（服务）采购项目中，供应商提供的货物（服务）既有小微企业制造货物，也有中、大型企业制造货物的，不享受本办法规定的中小企业扶持政策”</w:t>
      </w:r>
      <w:r>
        <w:rPr>
          <w:rFonts w:hint="eastAsia" w:ascii="宋体" w:hAnsi="宋体" w:cs="宋体"/>
          <w:b/>
          <w:bCs/>
          <w:color w:val="auto"/>
          <w:sz w:val="24"/>
          <w:szCs w:val="24"/>
          <w:highlight w:val="none"/>
        </w:rPr>
        <w:t>。</w:t>
      </w:r>
    </w:p>
    <w:bookmarkEnd w:id="91"/>
    <w:p w14:paraId="39190355">
      <w:pPr>
        <w:pStyle w:val="5"/>
        <w:spacing w:line="360" w:lineRule="auto"/>
        <w:rPr>
          <w:rFonts w:hint="eastAsia" w:ascii="宋体" w:hAnsi="宋体" w:eastAsia="宋体" w:cs="宋体"/>
          <w:color w:val="auto"/>
          <w:sz w:val="24"/>
          <w:szCs w:val="24"/>
          <w:highlight w:val="none"/>
        </w:rPr>
      </w:pPr>
      <w:bookmarkStart w:id="92" w:name="_Toc302769264"/>
      <w:bookmarkStart w:id="93" w:name="_Toc186513216"/>
      <w:r>
        <w:rPr>
          <w:rFonts w:hint="eastAsia" w:ascii="宋体" w:hAnsi="宋体" w:eastAsia="宋体" w:cs="宋体"/>
          <w:color w:val="auto"/>
          <w:sz w:val="24"/>
          <w:szCs w:val="24"/>
          <w:highlight w:val="none"/>
        </w:rPr>
        <w:t>2.2.4汇总评分结果</w:t>
      </w:r>
    </w:p>
    <w:p w14:paraId="60908A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（1）磋商小组应对各供应商响应文件进行评审，并按竞争性磋商文件规定分值评分。</w:t>
      </w:r>
    </w:p>
    <w:p w14:paraId="555C9EC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（2）技术部分评分中，各磋商小组应自主评分并签字确认。各分档评分中间不得插入小数。</w:t>
      </w:r>
    </w:p>
    <w:p w14:paraId="7DBB93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（3）统计分数原则：计算平均分值为供应商技术部分得分（保留小数点后两位）。</w:t>
      </w:r>
    </w:p>
    <w:p w14:paraId="6DCE8BD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（4）详细评审工作全部结束后，汇总各个磋商小组成员的详细评审评分结果，并按照详细评审最终得分由高至低的次序对供应商进行排序。综合得分相同的，按技术部分评审</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得分由高到低的顺序排列；技术部分评审</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得分仍相同的，磋商小组成员以记名投票的方式，按少数服从多数的原则确定其得分相同供应商的排名顺序。</w:t>
      </w:r>
    </w:p>
    <w:p w14:paraId="769FD608">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2.2.5响应文件的澄清和补正</w:t>
      </w:r>
      <w:bookmarkEnd w:id="92"/>
      <w:bookmarkEnd w:id="93"/>
    </w:p>
    <w:p w14:paraId="0458969E">
      <w:pPr>
        <w:spacing w:line="360" w:lineRule="auto"/>
        <w:ind w:firstLine="480" w:firstLineChars="200"/>
        <w:rPr>
          <w:rFonts w:hint="eastAsia" w:ascii="宋体" w:hAnsi="宋体" w:eastAsia="宋体" w:cs="宋体"/>
          <w:color w:val="auto"/>
          <w:sz w:val="24"/>
          <w:szCs w:val="24"/>
          <w:highlight w:val="none"/>
        </w:rPr>
      </w:pPr>
      <w:bookmarkStart w:id="94" w:name="_Toc186513217"/>
      <w:r>
        <w:rPr>
          <w:rFonts w:hint="eastAsia" w:ascii="宋体" w:hAnsi="宋体" w:eastAsia="宋体" w:cs="宋体"/>
          <w:color w:val="auto"/>
          <w:sz w:val="24"/>
          <w:szCs w:val="24"/>
          <w:highlight w:val="none"/>
        </w:rPr>
        <w:t>（1）磋商过程中，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38794E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（2）供应商的澄清、说明或者更正应当由法定代表人或其授权代表签字或者加盖公章。由授权代表签字的，应当附法定代表人授权书。</w:t>
      </w:r>
    </w:p>
    <w:p w14:paraId="34AC8CC7">
      <w:pPr>
        <w:spacing w:line="360" w:lineRule="auto"/>
        <w:ind w:firstLine="480" w:firstLineChars="200"/>
        <w:rPr>
          <w:rFonts w:hint="eastAsia" w:ascii="宋体" w:hAnsi="宋体" w:eastAsia="宋体" w:cs="宋体"/>
          <w:color w:val="auto"/>
          <w:sz w:val="24"/>
          <w:szCs w:val="24"/>
          <w:highlight w:val="none"/>
        </w:rPr>
      </w:pPr>
      <w:bookmarkStart w:id="95" w:name="_Toc302769267"/>
      <w:r>
        <w:rPr>
          <w:rFonts w:hint="eastAsia" w:ascii="宋体" w:hAnsi="宋体" w:eastAsia="宋体" w:cs="宋体"/>
          <w:color w:val="auto"/>
          <w:sz w:val="24"/>
          <w:szCs w:val="24"/>
          <w:highlight w:val="none"/>
        </w:rPr>
        <w:t>（3）磋商小组对供应商提交的澄清、说明或补正有疑问的，可以要求供应商进一步澄清、说明或补正，直至满足磋商小组的要求。</w:t>
      </w:r>
      <w:bookmarkEnd w:id="95"/>
    </w:p>
    <w:p w14:paraId="46E827CC">
      <w:pPr>
        <w:pStyle w:val="5"/>
        <w:spacing w:line="360" w:lineRule="auto"/>
        <w:rPr>
          <w:rFonts w:hint="eastAsia" w:ascii="宋体" w:hAnsi="宋体" w:eastAsia="宋体" w:cs="宋体"/>
          <w:color w:val="auto"/>
          <w:sz w:val="24"/>
          <w:szCs w:val="24"/>
          <w:highlight w:val="none"/>
        </w:rPr>
      </w:pPr>
      <w:bookmarkStart w:id="96" w:name="_Toc302769268"/>
      <w:r>
        <w:rPr>
          <w:rFonts w:hint="eastAsia" w:ascii="宋体" w:hAnsi="宋体" w:eastAsia="宋体" w:cs="宋体"/>
          <w:color w:val="auto"/>
          <w:sz w:val="24"/>
          <w:szCs w:val="24"/>
          <w:highlight w:val="none"/>
        </w:rPr>
        <w:t>2.2.6评审结果</w:t>
      </w:r>
      <w:bookmarkEnd w:id="94"/>
      <w:bookmarkEnd w:id="96"/>
    </w:p>
    <w:p w14:paraId="4A59E269">
      <w:pPr>
        <w:spacing w:line="360" w:lineRule="auto"/>
        <w:ind w:firstLine="480" w:firstLineChars="200"/>
        <w:rPr>
          <w:rFonts w:hint="eastAsia" w:ascii="宋体" w:hAnsi="宋体" w:eastAsia="宋体" w:cs="宋体"/>
          <w:color w:val="auto"/>
          <w:sz w:val="24"/>
          <w:szCs w:val="24"/>
          <w:highlight w:val="none"/>
        </w:rPr>
      </w:pPr>
      <w:bookmarkStart w:id="97" w:name="_Toc302769269"/>
      <w:r>
        <w:rPr>
          <w:rFonts w:hint="eastAsia" w:ascii="宋体" w:hAnsi="宋体" w:eastAsia="宋体" w:cs="宋体"/>
          <w:color w:val="auto"/>
          <w:sz w:val="24"/>
          <w:szCs w:val="24"/>
          <w:highlight w:val="none"/>
        </w:rPr>
        <w:t>（1）除“供应商须知”前附表授权直接确定成交供应商外，磋商小组从质量和</w:t>
      </w:r>
      <w:r>
        <w:rPr>
          <w:rFonts w:hint="eastAsia" w:ascii="宋体" w:hAnsi="宋体" w:cs="宋体"/>
          <w:color w:val="auto"/>
          <w:sz w:val="24"/>
          <w:szCs w:val="24"/>
          <w:highlight w:val="none"/>
          <w:lang w:val="en-US" w:eastAsia="zh-CN"/>
        </w:rPr>
        <w:t>响应成都</w:t>
      </w:r>
      <w:r>
        <w:rPr>
          <w:rFonts w:hint="eastAsia" w:ascii="宋体" w:hAnsi="宋体" w:eastAsia="宋体" w:cs="宋体"/>
          <w:color w:val="auto"/>
          <w:sz w:val="24"/>
          <w:szCs w:val="24"/>
          <w:highlight w:val="none"/>
        </w:rPr>
        <w:t>均能满足竞争性磋商文件实质性响应要求的供应商中，按照综合评估打分法，根据供应商最终得分由高到低的顺序推荐成交候选</w:t>
      </w:r>
      <w:bookmarkEnd w:id="97"/>
      <w:r>
        <w:rPr>
          <w:rFonts w:hint="eastAsia" w:ascii="宋体" w:hAnsi="宋体" w:eastAsia="宋体" w:cs="宋体"/>
          <w:color w:val="auto"/>
          <w:sz w:val="24"/>
          <w:szCs w:val="24"/>
          <w:highlight w:val="none"/>
        </w:rPr>
        <w:t>供应商。</w:t>
      </w:r>
    </w:p>
    <w:p w14:paraId="773F8D95">
      <w:pPr>
        <w:spacing w:line="360" w:lineRule="auto"/>
        <w:ind w:firstLine="480" w:firstLineChars="200"/>
        <w:rPr>
          <w:rFonts w:hint="eastAsia" w:ascii="宋体" w:hAnsi="宋体" w:eastAsia="宋体" w:cs="宋体"/>
          <w:color w:val="auto"/>
          <w:sz w:val="24"/>
          <w:szCs w:val="24"/>
          <w:highlight w:val="none"/>
        </w:rPr>
      </w:pPr>
      <w:bookmarkStart w:id="98" w:name="_Toc302769270"/>
      <w:r>
        <w:rPr>
          <w:rFonts w:hint="eastAsia" w:ascii="宋体" w:hAnsi="宋体" w:eastAsia="宋体" w:cs="宋体"/>
          <w:color w:val="auto"/>
          <w:sz w:val="24"/>
          <w:szCs w:val="24"/>
          <w:highlight w:val="none"/>
        </w:rPr>
        <w:t>（2）磋商小组完成磋商及评审后，</w:t>
      </w:r>
      <w:bookmarkEnd w:id="98"/>
      <w:r>
        <w:rPr>
          <w:rFonts w:hint="eastAsia" w:ascii="宋体" w:hAnsi="宋体" w:eastAsia="宋体" w:cs="宋体"/>
          <w:color w:val="auto"/>
          <w:sz w:val="24"/>
          <w:szCs w:val="24"/>
          <w:highlight w:val="none"/>
        </w:rPr>
        <w:t>应当根据评审记录和评审结果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E3B9388">
      <w:pPr>
        <w:pStyle w:val="2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2.3特殊情况的处置程序</w:t>
      </w:r>
    </w:p>
    <w:p w14:paraId="48D2B0F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2.3.1磋商过程中如遇特殊问题，由磋商小组根据有关法律、法规研究决定。</w:t>
      </w:r>
    </w:p>
    <w:p w14:paraId="0F2387C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2.3.2在任何评审环节中，需磋商小组就某项定性的评审结论做出表决的，由磋商小组全体成员按照少数服从多数的原则，以记名投票方式表决。</w:t>
      </w:r>
    </w:p>
    <w:p w14:paraId="7B0B1FC5">
      <w:pPr>
        <w:spacing w:line="360" w:lineRule="auto"/>
        <w:rPr>
          <w:rFonts w:hint="eastAsia" w:ascii="宋体" w:hAnsi="宋体" w:eastAsia="宋体" w:cs="宋体"/>
          <w:color w:val="auto"/>
          <w:sz w:val="24"/>
          <w:szCs w:val="24"/>
          <w:highlight w:val="none"/>
        </w:rPr>
      </w:pPr>
    </w:p>
    <w:p w14:paraId="679F85B9">
      <w:pPr>
        <w:pStyle w:val="2"/>
        <w:spacing w:line="60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bookmarkStart w:id="99" w:name="_Toc20053"/>
      <w:bookmarkStart w:id="100" w:name="_Toc115429313"/>
      <w:bookmarkStart w:id="101" w:name="_Toc451722440"/>
      <w:bookmarkStart w:id="102" w:name="_Toc224831738"/>
      <w:bookmarkStart w:id="103" w:name="_Toc323920606"/>
      <w:r>
        <w:rPr>
          <w:rFonts w:hint="eastAsia" w:ascii="宋体" w:hAnsi="宋体" w:eastAsia="宋体" w:cs="宋体"/>
          <w:color w:val="auto"/>
          <w:sz w:val="36"/>
          <w:szCs w:val="36"/>
          <w:highlight w:val="none"/>
        </w:rPr>
        <w:t>第四章</w:t>
      </w:r>
      <w:r>
        <w:rPr>
          <w:rFonts w:hint="eastAsia" w:ascii="宋体" w:hAnsi="宋体" w:eastAsia="宋体" w:cs="宋体"/>
          <w:color w:val="auto"/>
          <w:sz w:val="36"/>
          <w:szCs w:val="36"/>
          <w:highlight w:val="none"/>
          <w:lang w:eastAsia="zh-CN"/>
        </w:rPr>
        <w:t xml:space="preserve"> </w:t>
      </w:r>
      <w:r>
        <w:rPr>
          <w:rFonts w:hint="eastAsia" w:ascii="宋体" w:hAnsi="宋体" w:eastAsia="宋体" w:cs="宋体"/>
          <w:color w:val="auto"/>
          <w:sz w:val="36"/>
          <w:szCs w:val="36"/>
          <w:highlight w:val="none"/>
        </w:rPr>
        <w:t>合同主要条款及格式</w:t>
      </w:r>
      <w:bookmarkEnd w:id="99"/>
    </w:p>
    <w:p w14:paraId="75CF31F5">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注：仅供参考，除响应合同条款及磋商文件约定的实质性条款外，具体的内容及相关事项，由采购人与成交供应商具体协商签订。</w:t>
      </w:r>
    </w:p>
    <w:p w14:paraId="2875C24B">
      <w:pPr>
        <w:spacing w:before="139" w:line="360" w:lineRule="auto"/>
        <w:ind w:left="1098"/>
        <w:rPr>
          <w:rFonts w:hint="eastAsia" w:ascii="宋体" w:hAnsi="宋体" w:eastAsia="宋体" w:cs="宋体"/>
          <w:b/>
          <w:color w:val="auto"/>
          <w:sz w:val="24"/>
          <w:szCs w:val="24"/>
          <w:highlight w:val="none"/>
        </w:rPr>
      </w:pPr>
      <w:r>
        <w:rPr>
          <w:rFonts w:hint="eastAsia" w:ascii="宋体" w:hAnsi="宋体" w:eastAsia="宋体" w:cs="宋体"/>
          <w:b/>
          <w:color w:val="auto"/>
          <w:w w:val="99"/>
          <w:sz w:val="24"/>
          <w:szCs w:val="24"/>
          <w:highlight w:val="none"/>
        </w:rPr>
        <w:t xml:space="preserve"> </w:t>
      </w:r>
    </w:p>
    <w:p w14:paraId="432D2291">
      <w:pPr>
        <w:spacing w:before="100" w:line="360" w:lineRule="auto"/>
        <w:jc w:val="center"/>
        <w:outlineLvl w:val="1"/>
        <w:rPr>
          <w:rFonts w:ascii="宋体" w:hAnsi="宋体" w:cs="宋体"/>
          <w:b/>
          <w:spacing w:val="8"/>
          <w:sz w:val="31"/>
          <w:szCs w:val="31"/>
          <w:highlight w:val="none"/>
        </w:rPr>
      </w:pPr>
      <w:r>
        <w:rPr>
          <w:rFonts w:hint="eastAsia" w:ascii="宋体" w:hAnsi="宋体" w:cs="宋体"/>
          <w:b/>
          <w:spacing w:val="8"/>
          <w:sz w:val="32"/>
          <w:szCs w:val="32"/>
          <w:highlight w:val="none"/>
        </w:rPr>
        <w:t xml:space="preserve">第一章 </w:t>
      </w:r>
      <w:r>
        <w:rPr>
          <w:rFonts w:ascii="宋体" w:hAnsi="宋体" w:cs="宋体"/>
          <w:b/>
          <w:spacing w:val="8"/>
          <w:sz w:val="32"/>
          <w:szCs w:val="32"/>
          <w:highlight w:val="none"/>
        </w:rPr>
        <w:t xml:space="preserve"> 合同协议书</w:t>
      </w:r>
    </w:p>
    <w:p w14:paraId="785AB1AC">
      <w:pPr>
        <w:shd w:val="clear" w:color="auto" w:fill="FFFFFF"/>
        <w:spacing w:line="360" w:lineRule="auto"/>
        <w:rPr>
          <w:rFonts w:ascii="宋体" w:hAnsi="宋体" w:cs="宋体"/>
          <w:b/>
          <w:bCs/>
          <w:sz w:val="24"/>
          <w:szCs w:val="24"/>
          <w:highlight w:val="none"/>
        </w:rPr>
      </w:pPr>
      <w:r>
        <w:rPr>
          <w:rFonts w:hint="eastAsia" w:ascii="宋体" w:hAnsi="宋体" w:cs="宋体"/>
          <w:b/>
          <w:bCs/>
          <w:sz w:val="24"/>
          <w:szCs w:val="24"/>
          <w:highlight w:val="none"/>
        </w:rPr>
        <w:t>甲方：</w:t>
      </w:r>
      <w:r>
        <w:rPr>
          <w:rFonts w:hint="eastAsia" w:ascii="宋体" w:hAnsi="宋体" w:cs="宋体"/>
          <w:b/>
          <w:bCs/>
          <w:sz w:val="24"/>
          <w:szCs w:val="24"/>
          <w:highlight w:val="none"/>
          <w:u w:val="single"/>
        </w:rPr>
        <w:t xml:space="preserve">                               </w:t>
      </w:r>
    </w:p>
    <w:p w14:paraId="72E84983">
      <w:pPr>
        <w:shd w:val="clear" w:color="auto" w:fill="FFFFFF"/>
        <w:spacing w:line="360" w:lineRule="auto"/>
        <w:rPr>
          <w:rFonts w:ascii="宋体" w:hAnsi="宋体" w:cs="宋体"/>
          <w:b/>
          <w:bCs/>
          <w:sz w:val="24"/>
          <w:szCs w:val="24"/>
          <w:highlight w:val="none"/>
        </w:rPr>
      </w:pPr>
      <w:r>
        <w:rPr>
          <w:rFonts w:hint="eastAsia" w:ascii="宋体" w:hAnsi="宋体" w:cs="宋体"/>
          <w:b/>
          <w:bCs/>
          <w:sz w:val="24"/>
          <w:szCs w:val="24"/>
          <w:highlight w:val="none"/>
        </w:rPr>
        <w:t>乙方：</w:t>
      </w:r>
      <w:r>
        <w:rPr>
          <w:rFonts w:hint="eastAsia" w:ascii="宋体" w:hAnsi="宋体" w:cs="宋体"/>
          <w:b/>
          <w:bCs/>
          <w:sz w:val="24"/>
          <w:szCs w:val="24"/>
          <w:highlight w:val="none"/>
          <w:u w:val="single"/>
        </w:rPr>
        <w:t xml:space="preserve">                               </w:t>
      </w:r>
    </w:p>
    <w:p w14:paraId="0B8760F1">
      <w:pPr>
        <w:spacing w:line="360" w:lineRule="auto"/>
        <w:ind w:firstLine="480" w:firstLineChars="200"/>
        <w:rPr>
          <w:rFonts w:ascii="宋体" w:hAnsi="宋体" w:cs="宋体"/>
          <w:kern w:val="21"/>
          <w:sz w:val="24"/>
          <w:szCs w:val="24"/>
          <w:highlight w:val="none"/>
        </w:rPr>
      </w:pPr>
      <w:r>
        <w:rPr>
          <w:rFonts w:hint="eastAsia" w:ascii="宋体" w:hAnsi="宋体" w:cs="宋体"/>
          <w:kern w:val="21"/>
          <w:sz w:val="24"/>
          <w:szCs w:val="24"/>
          <w:highlight w:val="none"/>
        </w:rPr>
        <w:t>根据《中华人民共和国政府采购法》《中华人民共和国民法典》等有关法律法规规定，</w:t>
      </w:r>
      <w:r>
        <w:rPr>
          <w:rFonts w:hint="eastAsia" w:ascii="宋体" w:hAnsi="宋体" w:cs="宋体"/>
          <w:b/>
          <w:kern w:val="21"/>
          <w:sz w:val="24"/>
          <w:szCs w:val="24"/>
          <w:highlight w:val="none"/>
          <w:u w:val="single"/>
          <w:lang w:val="en-US" w:eastAsia="zh-CN"/>
        </w:rPr>
        <w:t xml:space="preserve">     </w:t>
      </w:r>
      <w:r>
        <w:rPr>
          <w:rFonts w:hint="eastAsia" w:ascii="宋体" w:hAnsi="宋体" w:cs="宋体"/>
          <w:kern w:val="21"/>
          <w:sz w:val="24"/>
          <w:szCs w:val="24"/>
          <w:highlight w:val="none"/>
        </w:rPr>
        <w:t>（</w:t>
      </w:r>
      <w:r>
        <w:rPr>
          <w:rFonts w:hint="eastAsia" w:ascii="宋体" w:hAnsi="宋体" w:cs="宋体"/>
          <w:kern w:val="21"/>
          <w:sz w:val="24"/>
          <w:szCs w:val="24"/>
          <w:highlight w:val="none"/>
          <w:lang w:eastAsia="zh-CN"/>
        </w:rPr>
        <w:t>采购人</w:t>
      </w:r>
      <w:r>
        <w:rPr>
          <w:rFonts w:hint="eastAsia" w:ascii="宋体" w:hAnsi="宋体" w:cs="宋体"/>
          <w:kern w:val="21"/>
          <w:sz w:val="24"/>
          <w:szCs w:val="24"/>
          <w:highlight w:val="none"/>
        </w:rPr>
        <w:t>名称）（以下简称：“甲方”）通过</w:t>
      </w:r>
      <w:r>
        <w:rPr>
          <w:rFonts w:hint="eastAsia" w:ascii="宋体" w:hAnsi="宋体" w:cs="宋体"/>
          <w:kern w:val="21"/>
          <w:sz w:val="24"/>
          <w:szCs w:val="24"/>
          <w:highlight w:val="none"/>
          <w:u w:val="single"/>
        </w:rPr>
        <w:t xml:space="preserve"> </w:t>
      </w:r>
      <w:r>
        <w:rPr>
          <w:rFonts w:hint="eastAsia" w:ascii="宋体" w:hAnsi="宋体" w:cs="宋体"/>
          <w:b/>
          <w:kern w:val="21"/>
          <w:sz w:val="24"/>
          <w:szCs w:val="24"/>
          <w:highlight w:val="none"/>
          <w:u w:val="single"/>
          <w:lang w:val="en-US" w:eastAsia="zh-CN"/>
        </w:rPr>
        <w:t xml:space="preserve">     </w:t>
      </w:r>
      <w:r>
        <w:rPr>
          <w:rFonts w:hint="eastAsia" w:ascii="宋体" w:hAnsi="宋体" w:cs="宋体"/>
          <w:kern w:val="21"/>
          <w:sz w:val="24"/>
          <w:szCs w:val="24"/>
          <w:highlight w:val="none"/>
        </w:rPr>
        <w:t>采购（采购方式）确定</w:t>
      </w:r>
      <w:r>
        <w:rPr>
          <w:rFonts w:hint="eastAsia" w:ascii="宋体" w:hAnsi="宋体" w:cs="宋体"/>
          <w:kern w:val="21"/>
          <w:sz w:val="24"/>
          <w:szCs w:val="24"/>
          <w:highlight w:val="none"/>
          <w:u w:val="single"/>
        </w:rPr>
        <w:t xml:space="preserve">               </w:t>
      </w:r>
      <w:r>
        <w:rPr>
          <w:rFonts w:hint="eastAsia" w:ascii="宋体" w:hAnsi="宋体" w:cs="宋体"/>
          <w:kern w:val="21"/>
          <w:sz w:val="24"/>
          <w:szCs w:val="24"/>
          <w:highlight w:val="none"/>
        </w:rPr>
        <w:t xml:space="preserve"> （供应商名称）（以下简称：“乙方”）为</w:t>
      </w:r>
      <w:r>
        <w:rPr>
          <w:rFonts w:hint="eastAsia" w:ascii="宋体" w:hAnsi="宋体" w:cs="宋体"/>
          <w:b/>
          <w:bCs/>
          <w:kern w:val="21"/>
          <w:sz w:val="24"/>
          <w:szCs w:val="24"/>
          <w:highlight w:val="none"/>
          <w:u w:val="single"/>
          <w:lang w:val="en-US" w:eastAsia="zh-CN"/>
        </w:rPr>
        <w:t xml:space="preserve">            </w:t>
      </w:r>
      <w:r>
        <w:rPr>
          <w:rFonts w:hint="eastAsia" w:ascii="宋体" w:hAnsi="宋体" w:cs="宋体"/>
          <w:bCs/>
          <w:kern w:val="21"/>
          <w:sz w:val="24"/>
          <w:szCs w:val="24"/>
          <w:highlight w:val="none"/>
        </w:rPr>
        <w:t>（</w:t>
      </w:r>
      <w:r>
        <w:rPr>
          <w:rFonts w:hint="eastAsia" w:ascii="宋体" w:hAnsi="宋体" w:cs="宋体"/>
          <w:kern w:val="21"/>
          <w:sz w:val="24"/>
          <w:szCs w:val="24"/>
          <w:highlight w:val="none"/>
          <w:lang w:eastAsia="zh-CN"/>
        </w:rPr>
        <w:t>标段</w:t>
      </w:r>
      <w:r>
        <w:rPr>
          <w:rFonts w:hint="eastAsia" w:ascii="宋体" w:hAnsi="宋体" w:cs="宋体"/>
          <w:kern w:val="21"/>
          <w:sz w:val="24"/>
          <w:szCs w:val="24"/>
          <w:highlight w:val="none"/>
        </w:rPr>
        <w:t>名称）的中标供应商。甲乙双方协商一致同意签署《</w:t>
      </w:r>
      <w:r>
        <w:rPr>
          <w:rFonts w:hint="eastAsia" w:ascii="宋体" w:hAnsi="宋体" w:cs="宋体"/>
          <w:b/>
          <w:kern w:val="21"/>
          <w:sz w:val="24"/>
          <w:szCs w:val="24"/>
          <w:highlight w:val="none"/>
          <w:u w:val="single"/>
          <w:lang w:val="en-US" w:eastAsia="zh-CN"/>
        </w:rPr>
        <w:t xml:space="preserve">            合同</w:t>
      </w:r>
      <w:r>
        <w:rPr>
          <w:rFonts w:hint="eastAsia" w:ascii="宋体" w:hAnsi="宋体" w:cs="宋体"/>
          <w:kern w:val="21"/>
          <w:sz w:val="24"/>
          <w:szCs w:val="24"/>
          <w:highlight w:val="none"/>
        </w:rPr>
        <w:t>》，以下简称：“合同”）。</w:t>
      </w:r>
    </w:p>
    <w:p w14:paraId="4857097A">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第一条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本协议书与下列文件一起构成合同文件，下列文件与合同具有同等法律效力：</w:t>
      </w:r>
    </w:p>
    <w:p w14:paraId="483C21AC">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（1)合同协议书及其补充合同；</w:t>
      </w:r>
    </w:p>
    <w:p w14:paraId="665CDAE4">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（2)中标</w:t>
      </w:r>
      <w:r>
        <w:rPr>
          <w:rFonts w:hint="eastAsia" w:ascii="宋体" w:hAnsi="宋体" w:cs="宋体"/>
          <w:spacing w:val="6"/>
          <w:sz w:val="24"/>
          <w:szCs w:val="24"/>
          <w:highlight w:val="none"/>
          <w:lang w:eastAsia="zh-CN"/>
        </w:rPr>
        <w:t>（</w:t>
      </w:r>
      <w:r>
        <w:rPr>
          <w:rFonts w:hint="eastAsia" w:ascii="宋体" w:hAnsi="宋体" w:cs="宋体"/>
          <w:spacing w:val="6"/>
          <w:sz w:val="24"/>
          <w:szCs w:val="24"/>
          <w:highlight w:val="none"/>
          <w:lang w:val="en-US" w:eastAsia="zh-CN"/>
        </w:rPr>
        <w:t>成交</w:t>
      </w:r>
      <w:r>
        <w:rPr>
          <w:rFonts w:hint="eastAsia" w:ascii="宋体" w:hAnsi="宋体" w:cs="宋体"/>
          <w:spacing w:val="6"/>
          <w:sz w:val="24"/>
          <w:szCs w:val="24"/>
          <w:highlight w:val="none"/>
          <w:lang w:eastAsia="zh-CN"/>
        </w:rPr>
        <w:t>）</w:t>
      </w:r>
      <w:r>
        <w:rPr>
          <w:rFonts w:hint="eastAsia" w:ascii="宋体" w:hAnsi="宋体" w:cs="宋体"/>
          <w:spacing w:val="6"/>
          <w:sz w:val="24"/>
          <w:szCs w:val="24"/>
          <w:highlight w:val="none"/>
        </w:rPr>
        <w:t>通知书；</w:t>
      </w:r>
    </w:p>
    <w:p w14:paraId="508D17B7">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w:t>
      </w:r>
      <w:r>
        <w:rPr>
          <w:rFonts w:hint="eastAsia" w:ascii="宋体" w:hAnsi="宋体" w:cs="宋体"/>
          <w:spacing w:val="6"/>
          <w:sz w:val="24"/>
          <w:szCs w:val="24"/>
          <w:highlight w:val="none"/>
          <w:lang w:val="en-US" w:eastAsia="zh-CN"/>
        </w:rPr>
        <w:t>磋商</w:t>
      </w:r>
      <w:r>
        <w:rPr>
          <w:rFonts w:hint="eastAsia" w:ascii="宋体" w:hAnsi="宋体" w:cs="宋体"/>
          <w:spacing w:val="6"/>
          <w:sz w:val="24"/>
          <w:szCs w:val="24"/>
          <w:highlight w:val="none"/>
        </w:rPr>
        <w:t>文件及其附件、答疑纪要等；</w:t>
      </w:r>
    </w:p>
    <w:p w14:paraId="1F26349D">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（4)</w:t>
      </w:r>
      <w:r>
        <w:rPr>
          <w:rFonts w:hint="eastAsia" w:ascii="宋体" w:hAnsi="宋体" w:cs="宋体"/>
          <w:spacing w:val="6"/>
          <w:sz w:val="24"/>
          <w:szCs w:val="24"/>
          <w:highlight w:val="none"/>
          <w:lang w:val="en-US" w:eastAsia="zh-CN"/>
        </w:rPr>
        <w:t>响应</w:t>
      </w:r>
      <w:r>
        <w:rPr>
          <w:rFonts w:hint="eastAsia" w:ascii="宋体" w:hAnsi="宋体" w:cs="宋体"/>
          <w:spacing w:val="6"/>
          <w:sz w:val="24"/>
          <w:szCs w:val="24"/>
          <w:highlight w:val="none"/>
        </w:rPr>
        <w:t>文件及其附件（包括询标回复与有关承诺）；</w:t>
      </w:r>
    </w:p>
    <w:p w14:paraId="7CC6D359">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（5)本合同专用合同条款；</w:t>
      </w:r>
    </w:p>
    <w:p w14:paraId="35EDFB35">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（6)本合同通用合同条款；</w:t>
      </w:r>
    </w:p>
    <w:p w14:paraId="682F0C50">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（7)标准、规范和技术说明及有关技术文件；</w:t>
      </w:r>
    </w:p>
    <w:p w14:paraId="3A25A073">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上述文件互相补充和解释，如有不明确或不一致之处，以合同约定次序在先者为准。(如受托人提供服务偏离于投标文件规格，以合同约定条款为依据)</w:t>
      </w:r>
    </w:p>
    <w:p w14:paraId="0BC08848">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第二条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项目内容、服务方式、进度要求以及最终成果</w:t>
      </w:r>
    </w:p>
    <w:p w14:paraId="38E206BF">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1、项目服务内容：</w:t>
      </w:r>
      <w:r>
        <w:rPr>
          <w:rFonts w:hint="eastAsia" w:ascii="宋体" w:hAnsi="宋体" w:cs="宋体"/>
          <w:spacing w:val="6"/>
          <w:sz w:val="24"/>
          <w:szCs w:val="24"/>
          <w:highlight w:val="none"/>
          <w:lang w:val="en-US" w:eastAsia="zh-CN"/>
        </w:rPr>
        <w:t>本次采购内容</w:t>
      </w:r>
      <w:r>
        <w:rPr>
          <w:rFonts w:hint="eastAsia" w:ascii="宋体" w:hAnsi="宋体" w:cs="宋体"/>
          <w:spacing w:val="6"/>
          <w:sz w:val="24"/>
          <w:szCs w:val="24"/>
          <w:highlight w:val="none"/>
        </w:rPr>
        <w:t>按照功能主要划分为以下几个部分：安全监测监测站、数据传输、监测平台、数据共享推送（省市平台或者其他业务平台）</w:t>
      </w:r>
      <w:r>
        <w:rPr>
          <w:rFonts w:hint="eastAsia" w:ascii="宋体" w:hAnsi="宋体" w:cs="宋体"/>
          <w:spacing w:val="6"/>
          <w:sz w:val="24"/>
          <w:szCs w:val="24"/>
          <w:highlight w:val="none"/>
          <w:lang w:val="en-US" w:eastAsia="zh-CN"/>
        </w:rPr>
        <w:t>的设施设备采购、安装及测试并按采购人要求接入指定平台等工作。</w:t>
      </w:r>
    </w:p>
    <w:p w14:paraId="056CBB86">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2、服务地点：</w:t>
      </w:r>
      <w:r>
        <w:rPr>
          <w:rFonts w:hint="eastAsia" w:ascii="宋体" w:hAnsi="宋体" w:cs="宋体"/>
          <w:spacing w:val="6"/>
          <w:sz w:val="24"/>
          <w:szCs w:val="24"/>
          <w:highlight w:val="none"/>
          <w:u w:val="single"/>
          <w:lang w:val="en-US" w:eastAsia="zh-CN"/>
        </w:rPr>
        <w:t xml:space="preserve">        </w:t>
      </w:r>
      <w:r>
        <w:rPr>
          <w:rFonts w:hint="eastAsia" w:ascii="宋体" w:hAnsi="宋体" w:cs="宋体"/>
          <w:spacing w:val="6"/>
          <w:sz w:val="24"/>
          <w:szCs w:val="24"/>
          <w:highlight w:val="none"/>
        </w:rPr>
        <w:t>。</w:t>
      </w:r>
    </w:p>
    <w:p w14:paraId="322755D8">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3、服务方式：</w:t>
      </w:r>
      <w:r>
        <w:rPr>
          <w:rFonts w:hint="eastAsia" w:ascii="宋体" w:hAnsi="宋体" w:cs="宋体"/>
          <w:spacing w:val="6"/>
          <w:sz w:val="24"/>
          <w:szCs w:val="24"/>
          <w:highlight w:val="none"/>
          <w:u w:val="single"/>
        </w:rPr>
        <w:t>包工包料</w:t>
      </w:r>
      <w:r>
        <w:rPr>
          <w:rFonts w:hint="eastAsia" w:ascii="宋体" w:hAnsi="宋体" w:cs="宋体"/>
          <w:spacing w:val="6"/>
          <w:sz w:val="24"/>
          <w:szCs w:val="24"/>
          <w:highlight w:val="none"/>
        </w:rPr>
        <w:t>。</w:t>
      </w:r>
    </w:p>
    <w:p w14:paraId="5A2A5189">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4、</w:t>
      </w:r>
      <w:r>
        <w:rPr>
          <w:rFonts w:hint="eastAsia" w:ascii="宋体" w:hAnsi="宋体" w:cs="宋体"/>
          <w:spacing w:val="6"/>
          <w:sz w:val="24"/>
          <w:szCs w:val="24"/>
          <w:highlight w:val="none"/>
          <w:lang w:val="en-US" w:eastAsia="zh-CN"/>
        </w:rPr>
        <w:t>合同履约期：</w:t>
      </w:r>
      <w:r>
        <w:rPr>
          <w:rFonts w:hint="eastAsia" w:ascii="宋体" w:hAnsi="宋体" w:cs="宋体"/>
          <w:spacing w:val="6"/>
          <w:sz w:val="24"/>
          <w:szCs w:val="24"/>
          <w:highlight w:val="none"/>
          <w:u w:val="single"/>
          <w:lang w:val="en-US" w:eastAsia="zh-CN"/>
        </w:rPr>
        <w:t>计划工期60日历天（即：项目所有内容的交付、安装、调试、试运行，并按采购人要求接入指定平台）</w:t>
      </w:r>
      <w:r>
        <w:rPr>
          <w:rFonts w:hint="eastAsia" w:ascii="宋体" w:hAnsi="宋体" w:cs="宋体"/>
          <w:spacing w:val="6"/>
          <w:sz w:val="24"/>
          <w:szCs w:val="24"/>
          <w:highlight w:val="none"/>
          <w:u w:val="single"/>
        </w:rPr>
        <w:t>。</w:t>
      </w:r>
    </w:p>
    <w:p w14:paraId="0ED71C92">
      <w:pPr>
        <w:spacing w:line="360" w:lineRule="auto"/>
        <w:ind w:firstLine="504" w:firstLineChars="200"/>
        <w:rPr>
          <w:rFonts w:hint="eastAsia" w:ascii="宋体" w:hAnsi="宋体" w:cs="宋体"/>
          <w:spacing w:val="6"/>
          <w:sz w:val="24"/>
          <w:szCs w:val="24"/>
          <w:highlight w:val="none"/>
        </w:rPr>
      </w:pPr>
      <w:r>
        <w:rPr>
          <w:rFonts w:hint="eastAsia" w:ascii="宋体" w:hAnsi="宋体" w:cs="宋体"/>
          <w:spacing w:val="6"/>
          <w:sz w:val="24"/>
          <w:szCs w:val="24"/>
          <w:highlight w:val="none"/>
        </w:rPr>
        <w:t>5、质保期：</w:t>
      </w:r>
      <w:r>
        <w:rPr>
          <w:rFonts w:hint="eastAsia" w:ascii="宋体" w:hAnsi="宋体" w:cs="宋体"/>
          <w:spacing w:val="6"/>
          <w:sz w:val="24"/>
          <w:szCs w:val="24"/>
          <w:highlight w:val="none"/>
          <w:u w:val="single"/>
        </w:rPr>
        <w:t>质保3年（含3年质保费用），从验收合格之日起计算。</w:t>
      </w:r>
    </w:p>
    <w:p w14:paraId="5CD03704">
      <w:pPr>
        <w:spacing w:line="360" w:lineRule="auto"/>
        <w:ind w:firstLine="504" w:firstLineChars="200"/>
        <w:rPr>
          <w:rFonts w:ascii="宋体" w:hAnsi="宋体" w:cs="宋体"/>
          <w:spacing w:val="6"/>
          <w:sz w:val="24"/>
          <w:szCs w:val="24"/>
          <w:highlight w:val="none"/>
          <w:u w:val="single"/>
        </w:rPr>
      </w:pPr>
      <w:r>
        <w:rPr>
          <w:rFonts w:hint="eastAsia" w:ascii="宋体" w:hAnsi="宋体" w:cs="宋体"/>
          <w:spacing w:val="6"/>
          <w:sz w:val="24"/>
          <w:szCs w:val="24"/>
          <w:highlight w:val="none"/>
          <w:lang w:val="en-US" w:eastAsia="zh-CN"/>
        </w:rPr>
        <w:t>6、</w:t>
      </w:r>
      <w:r>
        <w:rPr>
          <w:rFonts w:hint="eastAsia" w:ascii="宋体" w:hAnsi="宋体" w:cs="宋体"/>
          <w:spacing w:val="6"/>
          <w:sz w:val="24"/>
          <w:szCs w:val="24"/>
          <w:highlight w:val="none"/>
        </w:rPr>
        <w:t>运维期：</w:t>
      </w:r>
      <w:r>
        <w:rPr>
          <w:rFonts w:hint="eastAsia" w:ascii="宋体" w:hAnsi="宋体" w:cs="宋体"/>
          <w:spacing w:val="6"/>
          <w:sz w:val="24"/>
          <w:szCs w:val="24"/>
          <w:highlight w:val="none"/>
          <w:u w:val="single"/>
        </w:rPr>
        <w:t>现场运维3年（含3年运维、网络及通信费）。</w:t>
      </w:r>
    </w:p>
    <w:p w14:paraId="3E0D0AF8">
      <w:pPr>
        <w:spacing w:line="360" w:lineRule="auto"/>
        <w:ind w:firstLine="504" w:firstLineChars="200"/>
        <w:rPr>
          <w:rFonts w:ascii="宋体" w:hAnsi="宋体" w:cs="宋体"/>
          <w:spacing w:val="6"/>
          <w:sz w:val="24"/>
          <w:szCs w:val="24"/>
          <w:highlight w:val="none"/>
          <w:u w:val="single"/>
        </w:rPr>
      </w:pPr>
      <w:r>
        <w:rPr>
          <w:rFonts w:hint="eastAsia" w:ascii="宋体" w:hAnsi="宋体" w:cs="宋体"/>
          <w:spacing w:val="6"/>
          <w:sz w:val="24"/>
          <w:szCs w:val="24"/>
          <w:highlight w:val="none"/>
          <w:lang w:val="en-US" w:eastAsia="zh-CN"/>
        </w:rPr>
        <w:t>7</w:t>
      </w:r>
      <w:r>
        <w:rPr>
          <w:rFonts w:hint="eastAsia" w:ascii="宋体" w:hAnsi="宋体" w:cs="宋体"/>
          <w:spacing w:val="6"/>
          <w:sz w:val="24"/>
          <w:szCs w:val="24"/>
          <w:highlight w:val="none"/>
        </w:rPr>
        <w:t>、服务质量标准：</w:t>
      </w:r>
      <w:r>
        <w:rPr>
          <w:rFonts w:hint="eastAsia" w:ascii="宋体" w:hAnsi="宋体" w:cs="宋体"/>
          <w:spacing w:val="6"/>
          <w:sz w:val="24"/>
          <w:szCs w:val="24"/>
          <w:highlight w:val="none"/>
          <w:u w:val="single"/>
          <w:lang w:val="en-US" w:eastAsia="zh-CN"/>
        </w:rPr>
        <w:t>符合国家、行业现行相关技术规范、标准，设备安装调试完毕且试运行后，相关功能满足采购人的要求</w:t>
      </w:r>
      <w:r>
        <w:rPr>
          <w:rFonts w:hint="eastAsia" w:ascii="宋体" w:hAnsi="宋体" w:cs="宋体"/>
          <w:spacing w:val="6"/>
          <w:sz w:val="24"/>
          <w:szCs w:val="24"/>
          <w:highlight w:val="none"/>
          <w:u w:val="single"/>
        </w:rPr>
        <w:t>。</w:t>
      </w:r>
    </w:p>
    <w:p w14:paraId="0109CA23">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第三条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双方的权利和义务</w:t>
      </w:r>
    </w:p>
    <w:p w14:paraId="2B44DF8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（一）甲方的权利和义务</w:t>
      </w:r>
    </w:p>
    <w:p w14:paraId="4C2EBC2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1.负责合同签订后项目的配合、协调工作（如与乙方的具体联系和衔接）；</w:t>
      </w:r>
    </w:p>
    <w:p w14:paraId="41FF94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2.负责提供设备所必需的场地和环境；</w:t>
      </w:r>
    </w:p>
    <w:p w14:paraId="0DB6253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3.负责组织成立验收小组对设备或项目进行验收并签署验收报告；</w:t>
      </w:r>
    </w:p>
    <w:p w14:paraId="4A5F5DF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4.按合同规定享有乙方提供的设备或项目服务。</w:t>
      </w:r>
    </w:p>
    <w:p w14:paraId="5F84A90E">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5</w:t>
      </w:r>
      <w:r>
        <w:rPr>
          <w:rFonts w:ascii="宋体" w:hAnsi="宋体" w:cs="宋体"/>
          <w:spacing w:val="6"/>
          <w:sz w:val="24"/>
          <w:szCs w:val="24"/>
          <w:highlight w:val="none"/>
        </w:rPr>
        <w:t>.</w:t>
      </w:r>
      <w:r>
        <w:rPr>
          <w:rFonts w:hint="eastAsia" w:ascii="宋体" w:hAnsi="宋体" w:cs="宋体"/>
          <w:spacing w:val="6"/>
          <w:sz w:val="24"/>
          <w:szCs w:val="24"/>
          <w:highlight w:val="none"/>
        </w:rPr>
        <w:t>按照合同约定支付乙方进度款。</w:t>
      </w:r>
    </w:p>
    <w:p w14:paraId="00D4D3AD">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6</w:t>
      </w:r>
      <w:r>
        <w:rPr>
          <w:rFonts w:ascii="宋体" w:hAnsi="宋体" w:cs="宋体"/>
          <w:spacing w:val="6"/>
          <w:sz w:val="24"/>
          <w:szCs w:val="24"/>
          <w:highlight w:val="none"/>
        </w:rPr>
        <w:t>.</w:t>
      </w:r>
      <w:r>
        <w:rPr>
          <w:rFonts w:hint="eastAsia" w:ascii="宋体" w:hAnsi="宋体" w:cs="宋体"/>
          <w:spacing w:val="6"/>
          <w:sz w:val="24"/>
          <w:szCs w:val="24"/>
          <w:highlight w:val="none"/>
        </w:rPr>
        <w:t>为乙方提供自己掌握的技术资料或其他支持。</w:t>
      </w:r>
    </w:p>
    <w:p w14:paraId="1157F8E0">
      <w:pPr>
        <w:spacing w:line="360" w:lineRule="auto"/>
        <w:ind w:firstLine="200"/>
        <w:rPr>
          <w:rFonts w:ascii="宋体" w:hAnsi="宋体" w:cs="宋体"/>
          <w:sz w:val="24"/>
          <w:szCs w:val="24"/>
          <w:highlight w:val="none"/>
        </w:rPr>
      </w:pPr>
      <w:r>
        <w:rPr>
          <w:rFonts w:hint="eastAsia" w:ascii="宋体" w:hAnsi="宋体" w:cs="宋体"/>
          <w:sz w:val="24"/>
          <w:szCs w:val="24"/>
          <w:highlight w:val="none"/>
        </w:rPr>
        <w:t>（二）乙方的权利和义务</w:t>
      </w:r>
    </w:p>
    <w:p w14:paraId="4B6C3F0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1.乙方保证按本合同条款负责完成甲方项目，并保证提供的货物是全新、符合招标文件规定、具有国家有关部门注册并符合国家质量检测标准和产品出厂标准的货物； </w:t>
      </w:r>
    </w:p>
    <w:p w14:paraId="2D21A79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2.保证甲方在合同设备或项目（有配套软件的还包括软件产品）使用期间不受第三方提出侵犯其专利权、商标权和工业设计权的起诉；</w:t>
      </w:r>
    </w:p>
    <w:p w14:paraId="63BAA99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3.严格遵守投标、技术澄清、商务谈判、中标所承诺的一切规定和条款；</w:t>
      </w:r>
    </w:p>
    <w:p w14:paraId="5CDF514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4.参与甲方共同进行设备和项目的验收。</w:t>
      </w:r>
    </w:p>
    <w:p w14:paraId="70EFFA59">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第四条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合同费用及支付方式</w:t>
      </w:r>
    </w:p>
    <w:p w14:paraId="5D75C0EA">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1、合同总金额：小写：¥</w:t>
      </w:r>
      <w:r>
        <w:rPr>
          <w:rFonts w:hint="eastAsia" w:ascii="宋体" w:hAnsi="宋体" w:cs="宋体"/>
          <w:spacing w:val="6"/>
          <w:sz w:val="24"/>
          <w:szCs w:val="24"/>
          <w:highlight w:val="none"/>
          <w:u w:val="single"/>
        </w:rPr>
        <w:t xml:space="preserve"> </w:t>
      </w:r>
      <w:r>
        <w:rPr>
          <w:rFonts w:ascii="宋体" w:hAnsi="宋体" w:cs="宋体"/>
          <w:spacing w:val="6"/>
          <w:sz w:val="24"/>
          <w:szCs w:val="24"/>
          <w:highlight w:val="none"/>
          <w:u w:val="single"/>
        </w:rPr>
        <w:t xml:space="preserve">       </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rPr>
        <w:t>元（大写：</w:t>
      </w:r>
      <w:r>
        <w:rPr>
          <w:rFonts w:hint="eastAsia" w:ascii="宋体" w:hAnsi="宋体" w:cs="宋体"/>
          <w:spacing w:val="6"/>
          <w:sz w:val="24"/>
          <w:szCs w:val="24"/>
          <w:highlight w:val="none"/>
          <w:u w:val="single"/>
        </w:rPr>
        <w:t xml:space="preserve"> </w:t>
      </w:r>
      <w:r>
        <w:rPr>
          <w:rFonts w:ascii="宋体" w:hAnsi="宋体" w:cs="宋体"/>
          <w:spacing w:val="6"/>
          <w:sz w:val="24"/>
          <w:szCs w:val="24"/>
          <w:highlight w:val="none"/>
          <w:u w:val="single"/>
        </w:rPr>
        <w:t xml:space="preserve">           </w:t>
      </w:r>
      <w:r>
        <w:rPr>
          <w:rFonts w:hint="eastAsia" w:ascii="宋体" w:hAnsi="宋体" w:cs="宋体"/>
          <w:spacing w:val="6"/>
          <w:sz w:val="24"/>
          <w:szCs w:val="24"/>
          <w:highlight w:val="none"/>
        </w:rPr>
        <w:t>），以上价格包含但不限于产品价格、运费、保险、税收、安装、调试、培训、技术服务、质保、通讯、运维、市场价格变化的风险费用、利润、招标代理服务费等所有费用以及安装时所需的配件等配套设施费用，该报价应考虑市场风险、政策性风险、汇率风险等因素，并能保证投标人完成履行合同所需的全部工作，此价格在合同签订后将不作调整。</w:t>
      </w:r>
    </w:p>
    <w:p w14:paraId="229D2615">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2、支付方式：</w:t>
      </w:r>
      <w:r>
        <w:rPr>
          <w:rFonts w:hint="eastAsia" w:ascii="宋体" w:hAnsi="宋体" w:cs="宋体"/>
          <w:spacing w:val="6"/>
          <w:sz w:val="24"/>
          <w:szCs w:val="24"/>
          <w:highlight w:val="none"/>
          <w:u w:val="single"/>
        </w:rPr>
        <w:t>本项目不支付预付款，根据项目进度及财政资金匹配情况支付进度款。由于本项目资金来源为财政资金，如果由于财政资金暂时无法匹配到位，导致无法按时支付进度款，不应视为</w:t>
      </w:r>
      <w:r>
        <w:rPr>
          <w:rFonts w:hint="eastAsia" w:ascii="宋体" w:hAnsi="宋体" w:cs="宋体"/>
          <w:spacing w:val="6"/>
          <w:sz w:val="24"/>
          <w:szCs w:val="24"/>
          <w:highlight w:val="none"/>
          <w:u w:val="single"/>
          <w:lang w:eastAsia="zh-CN"/>
        </w:rPr>
        <w:t>采购人</w:t>
      </w:r>
      <w:r>
        <w:rPr>
          <w:rFonts w:hint="eastAsia" w:ascii="宋体" w:hAnsi="宋体" w:cs="宋体"/>
          <w:spacing w:val="6"/>
          <w:sz w:val="24"/>
          <w:szCs w:val="24"/>
          <w:highlight w:val="none"/>
          <w:u w:val="single"/>
        </w:rPr>
        <w:t>合同支付违约，中标单位不得据此向</w:t>
      </w:r>
      <w:r>
        <w:rPr>
          <w:rFonts w:hint="eastAsia" w:ascii="宋体" w:hAnsi="宋体" w:cs="宋体"/>
          <w:spacing w:val="6"/>
          <w:sz w:val="24"/>
          <w:szCs w:val="24"/>
          <w:highlight w:val="none"/>
          <w:u w:val="single"/>
          <w:lang w:eastAsia="zh-CN"/>
        </w:rPr>
        <w:t>采购人</w:t>
      </w:r>
      <w:r>
        <w:rPr>
          <w:rFonts w:hint="eastAsia" w:ascii="宋体" w:hAnsi="宋体" w:cs="宋体"/>
          <w:spacing w:val="6"/>
          <w:sz w:val="24"/>
          <w:szCs w:val="24"/>
          <w:highlight w:val="none"/>
          <w:u w:val="single"/>
        </w:rPr>
        <w:t>提出索赔。具体付款方式签订合同时双方协商约定。</w:t>
      </w:r>
    </w:p>
    <w:p w14:paraId="07FDF647">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．支付方式：银行转账或电汇。</w:t>
      </w:r>
    </w:p>
    <w:p w14:paraId="01C6EFAD">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rPr>
        <w:t>．乙方指定按以下账户名称、开户银行和账号进行结算和支付：</w:t>
      </w:r>
    </w:p>
    <w:p w14:paraId="1F8EAAF0">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开户名称：</w:t>
      </w:r>
      <w:r>
        <w:rPr>
          <w:rFonts w:hint="eastAsia" w:ascii="宋体" w:hAnsi="宋体" w:cs="宋体"/>
          <w:sz w:val="24"/>
          <w:szCs w:val="24"/>
          <w:highlight w:val="none"/>
          <w:u w:val="single"/>
        </w:rPr>
        <w:t xml:space="preserve">                    </w:t>
      </w:r>
    </w:p>
    <w:p w14:paraId="5854C41D">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开户银行：</w:t>
      </w:r>
      <w:r>
        <w:rPr>
          <w:rFonts w:hint="eastAsia" w:ascii="宋体" w:hAnsi="宋体" w:cs="宋体"/>
          <w:sz w:val="24"/>
          <w:szCs w:val="24"/>
          <w:highlight w:val="none"/>
          <w:u w:val="single"/>
        </w:rPr>
        <w:t xml:space="preserve">                    </w:t>
      </w:r>
    </w:p>
    <w:p w14:paraId="7A0611F2">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 xml:space="preserve">账 </w:t>
      </w:r>
      <w:r>
        <w:rPr>
          <w:rFonts w:ascii="宋体" w:hAnsi="宋体" w:cs="宋体"/>
          <w:sz w:val="24"/>
          <w:szCs w:val="24"/>
          <w:highlight w:val="none"/>
        </w:rPr>
        <w:t xml:space="preserve">   </w:t>
      </w:r>
      <w:r>
        <w:rPr>
          <w:rFonts w:hint="eastAsia" w:ascii="宋体" w:hAnsi="宋体" w:cs="宋体"/>
          <w:sz w:val="24"/>
          <w:szCs w:val="24"/>
          <w:highlight w:val="none"/>
        </w:rPr>
        <w:t>号：</w:t>
      </w:r>
      <w:r>
        <w:rPr>
          <w:rFonts w:hint="eastAsia" w:ascii="宋体" w:hAnsi="宋体" w:cs="宋体"/>
          <w:sz w:val="24"/>
          <w:szCs w:val="24"/>
          <w:highlight w:val="none"/>
          <w:u w:val="single"/>
        </w:rPr>
        <w:t xml:space="preserve">                       </w:t>
      </w:r>
    </w:p>
    <w:p w14:paraId="777B905E">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5</w:t>
      </w:r>
      <w:r>
        <w:rPr>
          <w:rFonts w:hint="eastAsia" w:ascii="宋体" w:hAnsi="宋体" w:cs="宋体"/>
          <w:sz w:val="24"/>
          <w:szCs w:val="24"/>
          <w:highlight w:val="none"/>
        </w:rPr>
        <w:t>．乙方账户名称、开户银行和银行账号均以本合同提供的为准，如有变更，变更一方应在合同规定的相关付款期限截止前10个工作日内，以法定代表人或其授权代表签字、加盖单位公章和财务专用章的书面文件通知另一方。</w:t>
      </w:r>
    </w:p>
    <w:p w14:paraId="2253E02D">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6</w:t>
      </w:r>
      <w:r>
        <w:rPr>
          <w:rFonts w:hint="eastAsia" w:ascii="宋体" w:hAnsi="宋体" w:cs="微软雅黑"/>
          <w:sz w:val="24"/>
          <w:szCs w:val="24"/>
          <w:highlight w:val="none"/>
        </w:rPr>
        <w:t>．开票要求：乙方根据甲方要求开具符合国家规定的发票。</w:t>
      </w:r>
    </w:p>
    <w:p w14:paraId="32B61E6D">
      <w:pPr>
        <w:spacing w:line="360" w:lineRule="auto"/>
        <w:ind w:firstLine="504" w:firstLineChars="200"/>
        <w:rPr>
          <w:rFonts w:ascii="宋体" w:hAnsi="宋体" w:cs="宋体"/>
          <w:spacing w:val="6"/>
          <w:sz w:val="24"/>
          <w:szCs w:val="24"/>
          <w:highlight w:val="none"/>
        </w:rPr>
      </w:pPr>
      <w:r>
        <w:rPr>
          <w:rFonts w:ascii="宋体" w:hAnsi="宋体" w:cs="宋体"/>
          <w:spacing w:val="6"/>
          <w:sz w:val="24"/>
          <w:szCs w:val="24"/>
          <w:highlight w:val="none"/>
        </w:rPr>
        <w:t>7、履约担保</w:t>
      </w:r>
    </w:p>
    <w:p w14:paraId="3B45D7C2">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乙方应按合同规定的格式和专用合同条款规定的金额，在正式签订合同前向甲方缴纳履约保证金。</w:t>
      </w:r>
    </w:p>
    <w:p w14:paraId="4E7DC2C2">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履约担保的形式：</w:t>
      </w:r>
      <w:r>
        <w:rPr>
          <w:rFonts w:hint="eastAsia" w:ascii="宋体" w:hAnsi="宋体" w:cs="宋体"/>
          <w:spacing w:val="6"/>
          <w:sz w:val="24"/>
          <w:szCs w:val="24"/>
          <w:highlight w:val="none"/>
          <w:u w:val="single"/>
        </w:rPr>
        <w:t xml:space="preserve">     </w:t>
      </w:r>
    </w:p>
    <w:p w14:paraId="303F92AC">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履约保证金额：合同总价款的</w:t>
      </w:r>
      <w:r>
        <w:rPr>
          <w:rFonts w:hint="eastAsia" w:ascii="宋体" w:hAnsi="宋体" w:cs="宋体"/>
          <w:spacing w:val="6"/>
          <w:sz w:val="24"/>
          <w:szCs w:val="24"/>
          <w:highlight w:val="none"/>
          <w:u w:val="single"/>
          <w:lang w:val="en-US" w:eastAsia="zh-CN"/>
        </w:rPr>
        <w:t xml:space="preserve">   </w:t>
      </w:r>
      <w:r>
        <w:rPr>
          <w:rFonts w:ascii="宋体" w:hAnsi="宋体" w:cs="宋体"/>
          <w:spacing w:val="6"/>
          <w:sz w:val="24"/>
          <w:szCs w:val="24"/>
          <w:highlight w:val="none"/>
          <w:u w:val="single"/>
        </w:rPr>
        <w:t>%</w:t>
      </w:r>
      <w:r>
        <w:rPr>
          <w:rFonts w:hint="eastAsia" w:ascii="宋体" w:hAnsi="宋体" w:cs="宋体"/>
          <w:spacing w:val="6"/>
          <w:sz w:val="24"/>
          <w:szCs w:val="24"/>
          <w:highlight w:val="none"/>
        </w:rPr>
        <w:t>。</w:t>
      </w:r>
    </w:p>
    <w:p w14:paraId="0FE8FE40">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履约保证金的收退：乙方须在合同签订前向甲方提交足额的履约保证金；项目质保期及运维完成后，无违约责任，履约保证金按甲方要求退还。</w:t>
      </w:r>
    </w:p>
    <w:p w14:paraId="7AF1749F">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第五条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保密协定</w:t>
      </w:r>
    </w:p>
    <w:p w14:paraId="1303908B">
      <w:pPr>
        <w:spacing w:line="360" w:lineRule="auto"/>
        <w:ind w:firstLine="480" w:firstLineChars="200"/>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1.</w:t>
      </w:r>
      <w:r>
        <w:rPr>
          <w:rFonts w:hint="eastAsia" w:ascii="宋体" w:hAnsi="宋体" w:cs="宋体"/>
          <w:sz w:val="24"/>
          <w:szCs w:val="24"/>
          <w:highlight w:val="none"/>
        </w:rPr>
        <w:t>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r>
        <w:rPr>
          <w:rFonts w:hint="eastAsia" w:ascii="宋体" w:hAnsi="宋体" w:cs="宋体"/>
          <w:sz w:val="24"/>
          <w:szCs w:val="24"/>
          <w:highlight w:val="none"/>
          <w:shd w:val="clear" w:color="auto" w:fill="FFFFFF"/>
        </w:rPr>
        <w:t>。</w:t>
      </w:r>
    </w:p>
    <w:p w14:paraId="0220511C">
      <w:pPr>
        <w:spacing w:line="360" w:lineRule="auto"/>
        <w:ind w:firstLine="480" w:firstLineChars="200"/>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2.未经乙方事先书面同意，甲方不得将由乙方为本合同提供的条文、规格、计划、图纸、模型、样品或资料提供给与本合同无关的任何第三方，不得将其用于履行本合同之外的其他用途。即使向与履行本合同有关的人员提供，也应注意保密并限于履行合同所必需的范围。</w:t>
      </w:r>
    </w:p>
    <w:p w14:paraId="59E940E0">
      <w:pPr>
        <w:spacing w:line="360" w:lineRule="auto"/>
        <w:ind w:firstLine="480" w:firstLineChars="200"/>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3.除了合同本身之外，上款所列举的任何物件均是乙方的财产。如果乙方有要求，甲方在完成合同后应将这些物件及全部复制件还给乙方。</w:t>
      </w:r>
    </w:p>
    <w:p w14:paraId="641D83A3">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第六条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项目验收</w:t>
      </w:r>
    </w:p>
    <w:p w14:paraId="0E58C10F">
      <w:pPr>
        <w:spacing w:line="360" w:lineRule="auto"/>
        <w:ind w:firstLine="480" w:firstLineChars="200"/>
        <w:rPr>
          <w:rFonts w:ascii="宋体" w:hAnsi="宋体" w:eastAsia="等线" w:cs="微软雅黑"/>
          <w:sz w:val="24"/>
          <w:szCs w:val="24"/>
          <w:highlight w:val="none"/>
          <w:shd w:val="clear" w:color="auto" w:fill="FFFFFF"/>
        </w:rPr>
      </w:pPr>
      <w:bookmarkStart w:id="104" w:name="_Hlk204242374"/>
      <w:r>
        <w:rPr>
          <w:rFonts w:hint="eastAsia" w:ascii="宋体" w:hAnsi="宋体" w:cs="微软雅黑"/>
          <w:sz w:val="24"/>
          <w:szCs w:val="24"/>
          <w:highlight w:val="none"/>
          <w:shd w:val="clear" w:color="auto" w:fill="FFFFFF"/>
        </w:rPr>
        <w:t>1</w:t>
      </w:r>
      <w:r>
        <w:rPr>
          <w:rFonts w:ascii="宋体" w:hAnsi="宋体" w:cs="微软雅黑"/>
          <w:sz w:val="24"/>
          <w:szCs w:val="24"/>
          <w:highlight w:val="none"/>
          <w:shd w:val="clear" w:color="auto" w:fill="FFFFFF"/>
        </w:rPr>
        <w:t>.</w:t>
      </w:r>
      <w:r>
        <w:rPr>
          <w:rFonts w:hint="eastAsia" w:ascii="宋体" w:hAnsi="宋体" w:cs="微软雅黑"/>
          <w:sz w:val="24"/>
          <w:szCs w:val="24"/>
          <w:highlight w:val="none"/>
          <w:shd w:val="clear" w:color="auto" w:fill="FFFFFF"/>
        </w:rPr>
        <w:t>验收依据</w:t>
      </w:r>
      <w:r>
        <w:rPr>
          <w:rFonts w:hint="eastAsia" w:ascii="宋体" w:hAnsi="宋体" w:eastAsia="等线" w:cs="微软雅黑"/>
          <w:sz w:val="24"/>
          <w:szCs w:val="24"/>
          <w:highlight w:val="none"/>
          <w:shd w:val="clear" w:color="auto" w:fill="FFFFFF"/>
        </w:rPr>
        <w:t>：</w:t>
      </w:r>
      <w:r>
        <w:rPr>
          <w:rFonts w:hint="eastAsia" w:ascii="宋体" w:hAnsi="宋体" w:cs="微软雅黑"/>
          <w:sz w:val="24"/>
          <w:szCs w:val="24"/>
          <w:highlight w:val="none"/>
          <w:shd w:val="clear" w:color="auto" w:fill="FFFFFF"/>
        </w:rPr>
        <w:t>本项目验收严格遵循《水利信息化项目验收规范》（</w:t>
      </w:r>
      <w:r>
        <w:rPr>
          <w:rFonts w:ascii="宋体" w:hAnsi="宋体" w:cs="微软雅黑"/>
          <w:sz w:val="24"/>
          <w:szCs w:val="24"/>
          <w:highlight w:val="none"/>
          <w:shd w:val="clear" w:color="auto" w:fill="FFFFFF"/>
        </w:rPr>
        <w:t>SL 588</w:t>
      </w:r>
      <w:r>
        <w:rPr>
          <w:rFonts w:hint="eastAsia" w:ascii="宋体" w:hAnsi="宋体" w:cs="微软雅黑"/>
          <w:sz w:val="24"/>
          <w:szCs w:val="24"/>
          <w:highlight w:val="none"/>
          <w:shd w:val="clear" w:color="auto" w:fill="FFFFFF"/>
        </w:rPr>
        <w:t>）的要求，同时结合双方签订的合同约定等内容进行。</w:t>
      </w:r>
    </w:p>
    <w:p w14:paraId="01AA9C25">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2</w:t>
      </w:r>
      <w:r>
        <w:rPr>
          <w:rFonts w:ascii="宋体" w:hAnsi="宋体" w:cs="微软雅黑"/>
          <w:sz w:val="24"/>
          <w:szCs w:val="24"/>
          <w:highlight w:val="none"/>
          <w:shd w:val="clear" w:color="auto" w:fill="FFFFFF"/>
        </w:rPr>
        <w:t>.</w:t>
      </w:r>
      <w:r>
        <w:rPr>
          <w:rFonts w:hint="eastAsia" w:ascii="宋体" w:hAnsi="宋体" w:cs="微软雅黑"/>
          <w:sz w:val="24"/>
          <w:szCs w:val="24"/>
          <w:highlight w:val="none"/>
          <w:shd w:val="clear" w:color="auto" w:fill="FFFFFF"/>
        </w:rPr>
        <w:t>验收总体安排</w:t>
      </w:r>
    </w:p>
    <w:p w14:paraId="08576959">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（1）验收形式：采用实地考核验收的形式，对乙方提交的工作成果进行全面检验。</w:t>
      </w:r>
    </w:p>
    <w:p w14:paraId="5BA390FF">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（2）验收时间：乙方完成合同约定实施内容后，向甲方提交竣工验收申请，甲方在收到申请后的</w:t>
      </w:r>
      <w:r>
        <w:rPr>
          <w:rFonts w:ascii="宋体" w:hAnsi="宋体" w:cs="微软雅黑"/>
          <w:sz w:val="24"/>
          <w:szCs w:val="24"/>
          <w:highlight w:val="none"/>
          <w:shd w:val="clear" w:color="auto" w:fill="FFFFFF"/>
        </w:rPr>
        <w:t>30</w:t>
      </w:r>
      <w:r>
        <w:rPr>
          <w:rFonts w:hint="eastAsia" w:ascii="宋体" w:hAnsi="宋体" w:cs="微软雅黑"/>
          <w:sz w:val="24"/>
          <w:szCs w:val="24"/>
          <w:highlight w:val="none"/>
          <w:shd w:val="clear" w:color="auto" w:fill="FFFFFF"/>
        </w:rPr>
        <w:t>天内组织验收。</w:t>
      </w:r>
    </w:p>
    <w:p w14:paraId="6A812B40">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（3）验收及交验地点：验收地点为项目所在地；交验时，乙方需将完整配套的设备送到甲方指定的地点（由甲方具体指定）。</w:t>
      </w:r>
    </w:p>
    <w:p w14:paraId="7B86D2A2">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3</w:t>
      </w:r>
      <w:r>
        <w:rPr>
          <w:rFonts w:ascii="宋体" w:hAnsi="宋体" w:cs="微软雅黑"/>
          <w:sz w:val="24"/>
          <w:szCs w:val="24"/>
          <w:highlight w:val="none"/>
          <w:shd w:val="clear" w:color="auto" w:fill="FFFFFF"/>
        </w:rPr>
        <w:t>.</w:t>
      </w:r>
      <w:r>
        <w:rPr>
          <w:rFonts w:hint="eastAsia" w:ascii="宋体" w:hAnsi="宋体" w:cs="微软雅黑"/>
          <w:sz w:val="24"/>
          <w:szCs w:val="24"/>
          <w:highlight w:val="none"/>
          <w:shd w:val="clear" w:color="auto" w:fill="FFFFFF"/>
        </w:rPr>
        <w:t>各阶段验收内容及标准</w:t>
      </w:r>
    </w:p>
    <w:p w14:paraId="7753D347">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（1）设备交付与开箱初验</w:t>
      </w:r>
    </w:p>
    <w:p w14:paraId="7041201C">
      <w:pPr>
        <w:spacing w:line="360" w:lineRule="auto"/>
        <w:ind w:firstLine="480" w:firstLineChars="200"/>
        <w:rPr>
          <w:rFonts w:ascii="宋体" w:hAnsi="宋体"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乙方负责将设备送至甲方指定地点后，甲乙双方共同进行开箱初验。</w:t>
      </w:r>
    </w:p>
    <w:p w14:paraId="5A4F0F81">
      <w:pPr>
        <w:spacing w:line="360" w:lineRule="auto"/>
        <w:ind w:firstLine="480" w:firstLineChars="200"/>
        <w:rPr>
          <w:rFonts w:ascii="MS Gothic" w:hAnsi="MS Gothic" w:eastAsia="等线" w:cs="MS Gothic"/>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乙方需随设备向甲方交付货物必需的合格证、设备相关资料（如操作手册、使用指南、服务手册等）及配备的用件、工具等，资料应齐全、规范、准确。</w:t>
      </w:r>
    </w:p>
    <w:p w14:paraId="58EEF02A">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③</w:t>
      </w:r>
      <w:r>
        <w:rPr>
          <w:rFonts w:hint="eastAsia" w:ascii="宋体" w:hAnsi="宋体" w:cs="微软雅黑"/>
          <w:sz w:val="24"/>
          <w:szCs w:val="24"/>
          <w:highlight w:val="none"/>
          <w:shd w:val="clear" w:color="auto" w:fill="FFFFFF"/>
        </w:rPr>
        <w:t>开箱测试过程中，若发现不合格的设备，乙方必须予以更换，确保交付的设备符合合同约定的质量标准。</w:t>
      </w:r>
    </w:p>
    <w:p w14:paraId="43D385CC">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（2）安装及测试验收</w:t>
      </w:r>
    </w:p>
    <w:p w14:paraId="3DA9416E">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乙方需按合同规范要求完成设备的安装及测试工作。安装应符合相关技术标准和设计要求，设备安装位置正确、牢固，各连接部位紧密，无松动、渗漏等问题；线路铺设整齐、规范，防护措施到位，接地良好。</w:t>
      </w:r>
    </w:p>
    <w:p w14:paraId="60CE9629">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测试过程中，需验证设备的各项功能是否正常，如数据采集的准确性、传输的稳定性等，确保设备满足合同技术要求。</w:t>
      </w:r>
    </w:p>
    <w:p w14:paraId="3F0B90DB">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（3）过程验收</w:t>
      </w:r>
    </w:p>
    <w:p w14:paraId="7BA2B572">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在项目实施过程中，甲方将对乙方的施工进度、施工质量、安全管理等方面进行过程验收。</w:t>
      </w:r>
    </w:p>
    <w:p w14:paraId="65B5321E">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检查施工记录是否完整、准确，是否按照相关规范进行施工，对发现的问题乙方需及时整改。</w:t>
      </w:r>
    </w:p>
    <w:p w14:paraId="34275691">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（4）子系统验收</w:t>
      </w:r>
    </w:p>
    <w:p w14:paraId="61BD5BAC">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雨水情</w:t>
      </w:r>
      <w:r>
        <w:rPr>
          <w:rFonts w:hint="eastAsia" w:ascii="宋体" w:hAnsi="宋体" w:cs="微软雅黑"/>
          <w:sz w:val="24"/>
          <w:szCs w:val="24"/>
          <w:highlight w:val="none"/>
          <w:shd w:val="clear" w:color="auto" w:fill="FFFFFF"/>
          <w:lang w:val="en-US" w:eastAsia="zh-CN"/>
        </w:rPr>
        <w:t>测报</w:t>
      </w:r>
      <w:r>
        <w:rPr>
          <w:rFonts w:hint="eastAsia" w:ascii="宋体" w:hAnsi="宋体" w:cs="微软雅黑"/>
          <w:sz w:val="24"/>
          <w:szCs w:val="24"/>
          <w:highlight w:val="none"/>
          <w:shd w:val="clear" w:color="auto" w:fill="FFFFFF"/>
        </w:rPr>
        <w:t>设施可能包含多个子系统，如雨量监测子系统、水位监测子系统、数据传输子系统等，需分别对各子系统进行验收。</w:t>
      </w:r>
    </w:p>
    <w:p w14:paraId="402DEC24">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每个子系统的功能、性能需达到设计要求和相关技术标准，子系统之间的衔接应顺畅、协调。</w:t>
      </w:r>
    </w:p>
    <w:p w14:paraId="7478A85E">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w:t>
      </w:r>
      <w:r>
        <w:rPr>
          <w:rFonts w:ascii="宋体" w:hAnsi="宋体" w:cs="微软雅黑"/>
          <w:sz w:val="24"/>
          <w:szCs w:val="24"/>
          <w:highlight w:val="none"/>
          <w:shd w:val="clear" w:color="auto" w:fill="FFFFFF"/>
        </w:rPr>
        <w:t>5</w:t>
      </w:r>
      <w:r>
        <w:rPr>
          <w:rFonts w:hint="eastAsia" w:ascii="宋体" w:hAnsi="宋体" w:cs="微软雅黑"/>
          <w:sz w:val="24"/>
          <w:szCs w:val="24"/>
          <w:highlight w:val="none"/>
          <w:shd w:val="clear" w:color="auto" w:fill="FFFFFF"/>
        </w:rPr>
        <w:t>）合同完工验收</w:t>
      </w:r>
    </w:p>
    <w:p w14:paraId="693CF6E7">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当乙方完成合同约定的全部实施内容，且各子系统验收合格后，进行合同完工验收。</w:t>
      </w:r>
    </w:p>
    <w:p w14:paraId="43F05EA3">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检查项目是否按照合同约定的范围、内容和质量标准完成，各项资料是否齐全、规范。</w:t>
      </w:r>
    </w:p>
    <w:p w14:paraId="0D960E16">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w:t>
      </w:r>
      <w:r>
        <w:rPr>
          <w:rFonts w:ascii="宋体" w:hAnsi="宋体" w:cs="微软雅黑"/>
          <w:sz w:val="24"/>
          <w:szCs w:val="24"/>
          <w:highlight w:val="none"/>
          <w:shd w:val="clear" w:color="auto" w:fill="FFFFFF"/>
        </w:rPr>
        <w:t>6</w:t>
      </w:r>
      <w:r>
        <w:rPr>
          <w:rFonts w:hint="eastAsia" w:ascii="宋体" w:hAnsi="宋体" w:cs="微软雅黑"/>
          <w:sz w:val="24"/>
          <w:szCs w:val="24"/>
          <w:highlight w:val="none"/>
          <w:shd w:val="clear" w:color="auto" w:fill="FFFFFF"/>
        </w:rPr>
        <w:t>）试运行</w:t>
      </w:r>
    </w:p>
    <w:p w14:paraId="1D2D4A43">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合同完工验收合格后，进入试运行阶段。试运行期间，设备应连续稳定运行，各项功能正常，数据采集、传输、处理等符合要求。</w:t>
      </w:r>
    </w:p>
    <w:p w14:paraId="084B833B">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试运行过程中，乙方需对设备运行情况进行密切监测，及时处理出现的问题，并形成试运行报告。</w:t>
      </w:r>
    </w:p>
    <w:p w14:paraId="262A17D8">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w:t>
      </w:r>
      <w:r>
        <w:rPr>
          <w:rFonts w:ascii="宋体" w:hAnsi="宋体" w:cs="微软雅黑"/>
          <w:sz w:val="24"/>
          <w:szCs w:val="24"/>
          <w:highlight w:val="none"/>
          <w:shd w:val="clear" w:color="auto" w:fill="FFFFFF"/>
        </w:rPr>
        <w:t>7</w:t>
      </w:r>
      <w:r>
        <w:rPr>
          <w:rFonts w:hint="eastAsia" w:ascii="宋体" w:hAnsi="宋体" w:cs="微软雅黑"/>
          <w:sz w:val="24"/>
          <w:szCs w:val="24"/>
          <w:highlight w:val="none"/>
          <w:shd w:val="clear" w:color="auto" w:fill="FFFFFF"/>
        </w:rPr>
        <w:t>）专项验收</w:t>
      </w:r>
    </w:p>
    <w:p w14:paraId="29E81E63">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根据项目特点和相关规定，可能需要进行专项验收，如防雷接地专项验收、数据安全专项验收等。</w:t>
      </w:r>
    </w:p>
    <w:p w14:paraId="27E871B8">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专项验收需由专业机构或人员进行，验收结果应符合相关专项标准和要求。</w:t>
      </w:r>
    </w:p>
    <w:p w14:paraId="6BCF3D7A">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w:t>
      </w:r>
      <w:r>
        <w:rPr>
          <w:rFonts w:ascii="宋体" w:hAnsi="宋体" w:cs="微软雅黑"/>
          <w:sz w:val="24"/>
          <w:szCs w:val="24"/>
          <w:highlight w:val="none"/>
          <w:shd w:val="clear" w:color="auto" w:fill="FFFFFF"/>
        </w:rPr>
        <w:t>8</w:t>
      </w:r>
      <w:r>
        <w:rPr>
          <w:rFonts w:hint="eastAsia" w:ascii="宋体" w:hAnsi="宋体" w:cs="微软雅黑"/>
          <w:sz w:val="24"/>
          <w:szCs w:val="24"/>
          <w:highlight w:val="none"/>
          <w:shd w:val="clear" w:color="auto" w:fill="FFFFFF"/>
        </w:rPr>
        <w:t>）竣工验收</w:t>
      </w:r>
    </w:p>
    <w:p w14:paraId="678C0B21">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①</w:t>
      </w:r>
      <w:r>
        <w:rPr>
          <w:rFonts w:hint="eastAsia" w:ascii="宋体" w:hAnsi="宋体" w:cs="微软雅黑"/>
          <w:sz w:val="24"/>
          <w:szCs w:val="24"/>
          <w:highlight w:val="none"/>
          <w:shd w:val="clear" w:color="auto" w:fill="FFFFFF"/>
        </w:rPr>
        <w:t>试运行合格且专项验收通过后，进行竣工验收。甲方组织相关单位和人员组成验收组，对项目进行全面验收。</w:t>
      </w:r>
    </w:p>
    <w:p w14:paraId="6302685C">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宋体"/>
          <w:sz w:val="24"/>
          <w:szCs w:val="24"/>
          <w:highlight w:val="none"/>
          <w:shd w:val="clear" w:color="auto" w:fill="FFFFFF"/>
        </w:rPr>
        <w:t>②</w:t>
      </w:r>
      <w:r>
        <w:rPr>
          <w:rFonts w:hint="eastAsia" w:ascii="宋体" w:hAnsi="宋体" w:cs="微软雅黑"/>
          <w:sz w:val="24"/>
          <w:szCs w:val="24"/>
          <w:highlight w:val="none"/>
          <w:shd w:val="clear" w:color="auto" w:fill="FFFFFF"/>
        </w:rPr>
        <w:t>验收组需对项目的建设内容、工程质量、设备性能、资料完整性等方面进行综合评估，形成竣工验收意见。若验收合格，出具竣工验收鉴定书；若存在问题，乙方需限期整改，整改完成后重新组织验收。</w:t>
      </w:r>
    </w:p>
    <w:p w14:paraId="58CD62D4">
      <w:pPr>
        <w:spacing w:line="360" w:lineRule="auto"/>
        <w:ind w:firstLine="480" w:firstLineChars="200"/>
        <w:rPr>
          <w:rFonts w:ascii="宋体" w:hAnsi="宋体" w:eastAsia="等线" w:cs="微软雅黑"/>
          <w:sz w:val="24"/>
          <w:szCs w:val="24"/>
          <w:highlight w:val="none"/>
          <w:shd w:val="clear" w:color="auto" w:fill="FFFFFF"/>
        </w:rPr>
      </w:pPr>
      <w:r>
        <w:rPr>
          <w:rFonts w:hint="eastAsia" w:ascii="宋体" w:hAnsi="宋体" w:cs="微软雅黑"/>
          <w:sz w:val="24"/>
          <w:szCs w:val="24"/>
          <w:highlight w:val="none"/>
          <w:shd w:val="clear" w:color="auto" w:fill="FFFFFF"/>
        </w:rPr>
        <w:t>4</w:t>
      </w:r>
      <w:r>
        <w:rPr>
          <w:rFonts w:ascii="宋体" w:hAnsi="宋体" w:cs="微软雅黑"/>
          <w:sz w:val="24"/>
          <w:szCs w:val="24"/>
          <w:highlight w:val="none"/>
          <w:shd w:val="clear" w:color="auto" w:fill="FFFFFF"/>
        </w:rPr>
        <w:t>.</w:t>
      </w:r>
      <w:r>
        <w:rPr>
          <w:rFonts w:hint="eastAsia" w:ascii="宋体" w:hAnsi="宋体" w:cs="微软雅黑"/>
          <w:sz w:val="24"/>
          <w:szCs w:val="24"/>
          <w:highlight w:val="none"/>
          <w:shd w:val="clear" w:color="auto" w:fill="FFFFFF"/>
        </w:rPr>
        <w:t>质量保证期要求</w:t>
      </w:r>
    </w:p>
    <w:p w14:paraId="0916C0DE">
      <w:pPr>
        <w:spacing w:line="360" w:lineRule="auto"/>
        <w:ind w:firstLine="480" w:firstLineChars="200"/>
        <w:rPr>
          <w:rFonts w:ascii="宋体" w:hAnsi="宋体" w:cs="微软雅黑"/>
          <w:sz w:val="24"/>
          <w:szCs w:val="24"/>
          <w:highlight w:val="none"/>
          <w:shd w:val="clear" w:color="auto" w:fill="FFFFFF"/>
        </w:rPr>
      </w:pPr>
      <w:r>
        <w:rPr>
          <w:rFonts w:hint="eastAsia" w:ascii="宋体" w:hAnsi="宋体" w:cs="微软雅黑"/>
          <w:sz w:val="24"/>
          <w:szCs w:val="24"/>
          <w:highlight w:val="none"/>
          <w:shd w:val="clear" w:color="auto" w:fill="FFFFFF"/>
        </w:rPr>
        <w:t>在设备最终验收后的质量保证期内，乙方应对由于设计、工艺或者材料的缺陷而发生的任何不足或故障负责，及时进行维修或更换，费用由乙方承担，确保设备正常运行。</w:t>
      </w:r>
      <w:bookmarkEnd w:id="104"/>
    </w:p>
    <w:p w14:paraId="7B634E13">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第七条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合同变更</w:t>
      </w:r>
    </w:p>
    <w:p w14:paraId="78FC7A94">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本合同的变更必须由双方协商一致，并以书面形式确定，而且需变更合同实质性内容的，应先征得采购监督管理部门的同意，并送其备案。</w:t>
      </w:r>
    </w:p>
    <w:p w14:paraId="75FBC5A6">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第八条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合同补充</w:t>
      </w:r>
    </w:p>
    <w:p w14:paraId="0D1C2B03">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在本项目设施建设过程中，发生或出现具有全局性或重要意义的事件或事态，并可能影响本项目最终成果的准确性和指导性，甲方和乙方双方经协商后可签署补充协议、修改相关内容，补充协议与本合同约定条款具有同等效力。但补充协议条款需变更合同实质性内容的，应先征得采购监督管理部门的同意，并送其备案。</w:t>
      </w:r>
    </w:p>
    <w:p w14:paraId="188F050C">
      <w:pPr>
        <w:spacing w:line="360" w:lineRule="auto"/>
        <w:ind w:firstLine="506" w:firstLineChars="200"/>
        <w:rPr>
          <w:rFonts w:ascii="宋体" w:hAnsi="宋体" w:cs="宋体"/>
          <w:sz w:val="24"/>
          <w:szCs w:val="24"/>
          <w:highlight w:val="none"/>
        </w:rPr>
      </w:pPr>
      <w:r>
        <w:rPr>
          <w:rFonts w:hint="eastAsia" w:ascii="宋体" w:hAnsi="宋体" w:cs="宋体"/>
          <w:b/>
          <w:bCs/>
          <w:spacing w:val="6"/>
          <w:sz w:val="24"/>
          <w:szCs w:val="24"/>
          <w:highlight w:val="none"/>
        </w:rPr>
        <w:t xml:space="preserve">第九条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合同解除</w:t>
      </w:r>
    </w:p>
    <w:p w14:paraId="0B08EEC9">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双方约定，出现下列情形之一，致使本合同的履行成为不必要或不可能的，一方或双方有权解除本合同：</w:t>
      </w:r>
    </w:p>
    <w:p w14:paraId="4BCFA2EF">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w:t>
      </w:r>
      <w:r>
        <w:rPr>
          <w:rFonts w:ascii="宋体" w:hAnsi="宋体" w:cs="宋体"/>
          <w:spacing w:val="6"/>
          <w:sz w:val="24"/>
          <w:szCs w:val="24"/>
          <w:highlight w:val="none"/>
        </w:rPr>
        <w:t>.</w:t>
      </w:r>
      <w:r>
        <w:rPr>
          <w:rFonts w:hint="eastAsia" w:ascii="宋体" w:hAnsi="宋体" w:cs="宋体"/>
          <w:spacing w:val="6"/>
          <w:sz w:val="24"/>
          <w:szCs w:val="24"/>
          <w:highlight w:val="none"/>
        </w:rPr>
        <w:t>双方已全面、适当履行本合同约定的全部权利与义务，合同目的已实现；</w:t>
      </w:r>
    </w:p>
    <w:p w14:paraId="29784216">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w:t>
      </w:r>
      <w:r>
        <w:rPr>
          <w:rFonts w:ascii="宋体" w:hAnsi="宋体" w:cs="宋体"/>
          <w:spacing w:val="6"/>
          <w:sz w:val="24"/>
          <w:szCs w:val="24"/>
          <w:highlight w:val="none"/>
        </w:rPr>
        <w:t>.</w:t>
      </w:r>
      <w:r>
        <w:rPr>
          <w:rFonts w:hint="eastAsia" w:ascii="宋体" w:hAnsi="宋体" w:cs="宋体"/>
          <w:spacing w:val="6"/>
          <w:sz w:val="24"/>
          <w:szCs w:val="24"/>
          <w:highlight w:val="none"/>
        </w:rPr>
        <w:t>双方经平等协商一致，就解除本合同达成书面协议；</w:t>
      </w:r>
    </w:p>
    <w:p w14:paraId="28F3A98B">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w:t>
      </w:r>
      <w:r>
        <w:rPr>
          <w:rFonts w:ascii="宋体" w:hAnsi="宋体" w:cs="宋体"/>
          <w:spacing w:val="6"/>
          <w:sz w:val="24"/>
          <w:szCs w:val="24"/>
          <w:highlight w:val="none"/>
        </w:rPr>
        <w:t>.</w:t>
      </w:r>
      <w:r>
        <w:rPr>
          <w:rFonts w:hint="eastAsia" w:ascii="宋体" w:hAnsi="宋体" w:cs="宋体"/>
          <w:spacing w:val="6"/>
          <w:sz w:val="24"/>
          <w:szCs w:val="24"/>
          <w:highlight w:val="none"/>
        </w:rPr>
        <w:t>因发生不可抗力（包括但不限于战争、地震、水灾、火灾、疫情及其他传染病、政府发布的禁令</w:t>
      </w:r>
      <w:r>
        <w:rPr>
          <w:rFonts w:ascii="宋体" w:hAnsi="宋体" w:cs="宋体"/>
          <w:spacing w:val="6"/>
          <w:sz w:val="24"/>
          <w:szCs w:val="24"/>
          <w:highlight w:val="none"/>
        </w:rPr>
        <w:t>/</w:t>
      </w:r>
      <w:r>
        <w:rPr>
          <w:rFonts w:hint="eastAsia" w:ascii="宋体" w:hAnsi="宋体" w:cs="宋体"/>
          <w:spacing w:val="6"/>
          <w:sz w:val="24"/>
          <w:szCs w:val="24"/>
          <w:highlight w:val="none"/>
        </w:rPr>
        <w:t>限制令、极端天气等不能预见、不能避免且不能克服的客观情况），导致本合同主要义务无法履行，且该影响持续超过</w:t>
      </w:r>
      <w:r>
        <w:rPr>
          <w:rFonts w:ascii="宋体" w:hAnsi="宋体" w:cs="宋体"/>
          <w:spacing w:val="6"/>
          <w:sz w:val="24"/>
          <w:szCs w:val="24"/>
          <w:highlight w:val="none"/>
        </w:rPr>
        <w:t>10</w:t>
      </w:r>
      <w:r>
        <w:rPr>
          <w:rFonts w:hint="eastAsia" w:ascii="宋体" w:hAnsi="宋体" w:cs="宋体"/>
          <w:spacing w:val="6"/>
          <w:sz w:val="24"/>
          <w:szCs w:val="24"/>
          <w:highlight w:val="none"/>
        </w:rPr>
        <w:t>日；</w:t>
      </w:r>
    </w:p>
    <w:p w14:paraId="1581BDD1">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4</w:t>
      </w:r>
      <w:r>
        <w:rPr>
          <w:rFonts w:ascii="宋体" w:hAnsi="宋体" w:cs="宋体"/>
          <w:spacing w:val="6"/>
          <w:sz w:val="24"/>
          <w:szCs w:val="24"/>
          <w:highlight w:val="none"/>
        </w:rPr>
        <w:t>.</w:t>
      </w:r>
      <w:r>
        <w:rPr>
          <w:rFonts w:hint="eastAsia" w:ascii="宋体" w:hAnsi="宋体" w:cs="宋体"/>
          <w:spacing w:val="6"/>
          <w:sz w:val="24"/>
          <w:szCs w:val="24"/>
          <w:highlight w:val="none"/>
        </w:rPr>
        <w:t>一方严重违约（如逾期履行主要义务超过</w:t>
      </w:r>
      <w:r>
        <w:rPr>
          <w:rFonts w:ascii="宋体" w:hAnsi="宋体" w:cs="宋体"/>
          <w:spacing w:val="6"/>
          <w:sz w:val="24"/>
          <w:szCs w:val="24"/>
          <w:highlight w:val="none"/>
        </w:rPr>
        <w:t>10</w:t>
      </w:r>
      <w:r>
        <w:rPr>
          <w:rFonts w:hint="eastAsia" w:ascii="宋体" w:hAnsi="宋体" w:cs="宋体"/>
          <w:spacing w:val="6"/>
          <w:sz w:val="24"/>
          <w:szCs w:val="24"/>
          <w:highlight w:val="none"/>
        </w:rPr>
        <w:t>日、明确表示不履行合同等），经守约方书面催告后7日内仍未纠正的，守约方有权单方解除合同。</w:t>
      </w:r>
    </w:p>
    <w:p w14:paraId="25732B53">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第十条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违约责任</w:t>
      </w:r>
    </w:p>
    <w:p w14:paraId="0527720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发生不可抗力事实外，乙方逾期交付的，每逾期1天，乙方应向甲方支付逾期部分货款总额的5‰的滞纳金。如乙方逾期交货达30天以上的（含本数），乙方应向甲方支付合同价款30%的违约金，同时甲方有权选择解除合同，解除合同的通知自到达乙方时生效。</w:t>
      </w:r>
    </w:p>
    <w:p w14:paraId="5050DF0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甲方无正当理由拒收、拒付价款的，甲方应按本合同约定接收设备、支付价款外，还应向乙方支付合同总价5‰的违约金。</w:t>
      </w:r>
    </w:p>
    <w:p w14:paraId="0D9A942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甲方有权拒付合同价格以外的任何费用；乙方有权拒绝合同整体范围以外的条件。</w:t>
      </w:r>
    </w:p>
    <w:p w14:paraId="7549EDA5">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 xml:space="preserve">第十一条 </w:t>
      </w:r>
      <w:r>
        <w:rPr>
          <w:rFonts w:ascii="宋体" w:hAnsi="宋体" w:cs="宋体"/>
          <w:b/>
          <w:sz w:val="24"/>
          <w:szCs w:val="24"/>
          <w:highlight w:val="none"/>
        </w:rPr>
        <w:t xml:space="preserve"> </w:t>
      </w:r>
      <w:r>
        <w:rPr>
          <w:rFonts w:hint="eastAsia" w:ascii="宋体" w:hAnsi="宋体" w:cs="宋体"/>
          <w:b/>
          <w:sz w:val="24"/>
          <w:szCs w:val="24"/>
          <w:highlight w:val="none"/>
        </w:rPr>
        <w:t>不可抗力</w:t>
      </w:r>
    </w:p>
    <w:p w14:paraId="28B98C7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p>
    <w:p w14:paraId="04E363C3">
      <w:pPr>
        <w:spacing w:line="360" w:lineRule="auto"/>
        <w:ind w:firstLine="439" w:firstLineChars="182"/>
        <w:rPr>
          <w:rFonts w:ascii="宋体" w:hAnsi="宋体" w:cs="宋体"/>
          <w:b/>
          <w:sz w:val="24"/>
          <w:szCs w:val="24"/>
          <w:highlight w:val="none"/>
        </w:rPr>
      </w:pPr>
      <w:r>
        <w:rPr>
          <w:rFonts w:hint="eastAsia" w:ascii="宋体" w:hAnsi="宋体" w:cs="宋体"/>
          <w:b/>
          <w:sz w:val="24"/>
          <w:szCs w:val="24"/>
          <w:highlight w:val="none"/>
        </w:rPr>
        <w:t xml:space="preserve">第十二条 </w:t>
      </w:r>
      <w:r>
        <w:rPr>
          <w:rFonts w:ascii="宋体" w:hAnsi="宋体" w:cs="宋体"/>
          <w:b/>
          <w:sz w:val="24"/>
          <w:szCs w:val="24"/>
          <w:highlight w:val="none"/>
        </w:rPr>
        <w:t xml:space="preserve"> </w:t>
      </w:r>
      <w:r>
        <w:rPr>
          <w:rFonts w:hint="eastAsia" w:ascii="宋体" w:hAnsi="宋体" w:cs="宋体"/>
          <w:b/>
          <w:sz w:val="24"/>
          <w:szCs w:val="24"/>
          <w:highlight w:val="none"/>
        </w:rPr>
        <w:t>争端的解决</w:t>
      </w:r>
    </w:p>
    <w:p w14:paraId="3633D88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甲乙双方在履行合同过程中发生纠纷，应及时向有关监督管理部门反映，以便相关部门进行协调或处理；或按以下方式处理：（请在□内打√，其余打×）</w:t>
      </w:r>
    </w:p>
    <w:p w14:paraId="03E71D5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向合同签订地仲裁委员会申请仲裁</w:t>
      </w:r>
      <w:r>
        <w:rPr>
          <w:rFonts w:hint="eastAsia" w:ascii="宋体" w:hAnsi="宋体" w:cs="宋体"/>
          <w:sz w:val="24"/>
          <w:szCs w:val="24"/>
          <w:highlight w:val="none"/>
        </w:rPr>
        <w:sym w:font="Wingdings 2" w:char="00A3"/>
      </w:r>
      <w:r>
        <w:rPr>
          <w:rFonts w:hint="eastAsia" w:ascii="宋体" w:hAnsi="宋体" w:cs="宋体"/>
          <w:sz w:val="24"/>
          <w:szCs w:val="24"/>
          <w:highlight w:val="none"/>
        </w:rPr>
        <w:t>；</w:t>
      </w:r>
    </w:p>
    <w:p w14:paraId="64B30738">
      <w:pPr>
        <w:spacing w:line="360" w:lineRule="auto"/>
        <w:ind w:firstLine="436" w:firstLineChars="182"/>
        <w:rPr>
          <w:rFonts w:ascii="宋体" w:hAnsi="宋体" w:cs="宋体"/>
          <w:sz w:val="24"/>
          <w:szCs w:val="24"/>
          <w:highlight w:val="none"/>
        </w:rPr>
      </w:pPr>
      <w:r>
        <w:rPr>
          <w:rFonts w:hint="eastAsia" w:ascii="宋体" w:hAnsi="宋体" w:cs="宋体"/>
          <w:sz w:val="24"/>
          <w:szCs w:val="24"/>
          <w:highlight w:val="none"/>
        </w:rPr>
        <w:t>向合同签订地人民法院管辖提起诉讼</w:t>
      </w:r>
      <w:r>
        <w:rPr>
          <w:rFonts w:hint="eastAsia" w:ascii="宋体" w:hAnsi="宋体" w:cs="宋体"/>
          <w:sz w:val="24"/>
          <w:szCs w:val="24"/>
          <w:highlight w:val="none"/>
        </w:rPr>
        <w:sym w:font="Wingdings 2" w:char="0052"/>
      </w:r>
      <w:r>
        <w:rPr>
          <w:rFonts w:hint="eastAsia" w:ascii="宋体" w:hAnsi="宋体" w:cs="宋体"/>
          <w:sz w:val="24"/>
          <w:szCs w:val="24"/>
          <w:highlight w:val="none"/>
        </w:rPr>
        <w:t>。</w:t>
      </w:r>
    </w:p>
    <w:p w14:paraId="5CBF226F">
      <w:pPr>
        <w:spacing w:line="360" w:lineRule="auto"/>
        <w:ind w:firstLine="439" w:firstLineChars="182"/>
        <w:rPr>
          <w:rFonts w:ascii="宋体" w:hAnsi="宋体" w:cs="宋体"/>
          <w:b/>
          <w:sz w:val="24"/>
          <w:szCs w:val="24"/>
          <w:highlight w:val="none"/>
        </w:rPr>
      </w:pPr>
      <w:r>
        <w:rPr>
          <w:rFonts w:hint="eastAsia" w:ascii="宋体" w:hAnsi="宋体" w:cs="宋体"/>
          <w:b/>
          <w:sz w:val="24"/>
          <w:szCs w:val="24"/>
          <w:highlight w:val="none"/>
        </w:rPr>
        <w:t xml:space="preserve">第十三条 </w:t>
      </w:r>
      <w:r>
        <w:rPr>
          <w:rFonts w:ascii="宋体" w:hAnsi="宋体" w:cs="宋体"/>
          <w:b/>
          <w:sz w:val="24"/>
          <w:szCs w:val="24"/>
          <w:highlight w:val="none"/>
        </w:rPr>
        <w:t xml:space="preserve"> </w:t>
      </w:r>
      <w:r>
        <w:rPr>
          <w:rFonts w:hint="eastAsia" w:ascii="宋体" w:hAnsi="宋体" w:cs="宋体"/>
          <w:b/>
          <w:sz w:val="24"/>
          <w:szCs w:val="24"/>
          <w:highlight w:val="none"/>
        </w:rPr>
        <w:t>未尽事宜</w:t>
      </w:r>
    </w:p>
    <w:p w14:paraId="2EC251DF">
      <w:pPr>
        <w:spacing w:line="360" w:lineRule="auto"/>
        <w:ind w:firstLine="436" w:firstLineChars="182"/>
        <w:rPr>
          <w:rFonts w:ascii="宋体" w:hAnsi="宋体" w:cs="宋体"/>
          <w:sz w:val="24"/>
          <w:szCs w:val="24"/>
          <w:highlight w:val="none"/>
        </w:rPr>
      </w:pPr>
      <w:r>
        <w:rPr>
          <w:rFonts w:hint="eastAsia" w:ascii="宋体" w:hAnsi="宋体" w:cs="宋体"/>
          <w:sz w:val="24"/>
          <w:szCs w:val="24"/>
          <w:highlight w:val="none"/>
        </w:rPr>
        <w:t>本合同其他未尽事宜，按《中华人民共和国政府采购法》《中华人民共和国民法典》有关规定处理。</w:t>
      </w:r>
    </w:p>
    <w:p w14:paraId="0629290E">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第十四条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争议的解决</w:t>
      </w:r>
    </w:p>
    <w:p w14:paraId="70E7A22C">
      <w:pPr>
        <w:spacing w:line="360" w:lineRule="auto"/>
        <w:ind w:firstLine="480" w:firstLineChars="200"/>
        <w:rPr>
          <w:rFonts w:ascii="宋体" w:hAnsi="宋体" w:cs="宋体"/>
          <w:sz w:val="24"/>
          <w:szCs w:val="24"/>
          <w:highlight w:val="none"/>
        </w:rPr>
      </w:pPr>
      <w:r>
        <w:rPr>
          <w:rFonts w:hint="eastAsia" w:ascii="宋体" w:hAnsi="宋体" w:cs="微软雅黑"/>
          <w:sz w:val="24"/>
          <w:szCs w:val="24"/>
          <w:highlight w:val="none"/>
        </w:rPr>
        <w:t>因履行本合同引起的或与本合同有关的争议，甲、乙双方应首先通过友好协商解决，如果协商不能解决争议，向合同签订地有管辖权的人民法院提起诉讼。违约方承担包括但不限于，诉讼费、保全费、执行费、鉴定费、律师费、差旅费等为维权而发生的所以费用。</w:t>
      </w:r>
    </w:p>
    <w:p w14:paraId="7350A0CC">
      <w:pPr>
        <w:spacing w:line="360" w:lineRule="auto"/>
        <w:ind w:firstLine="506" w:firstLineChars="200"/>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第十五条 </w:t>
      </w:r>
      <w:r>
        <w:rPr>
          <w:rFonts w:ascii="宋体" w:hAnsi="宋体" w:cs="宋体"/>
          <w:b/>
          <w:bCs/>
          <w:spacing w:val="6"/>
          <w:sz w:val="24"/>
          <w:szCs w:val="24"/>
          <w:highlight w:val="none"/>
        </w:rPr>
        <w:t xml:space="preserve"> </w:t>
      </w:r>
      <w:r>
        <w:rPr>
          <w:rFonts w:hint="eastAsia" w:ascii="宋体" w:hAnsi="宋体" w:cs="宋体"/>
          <w:b/>
          <w:bCs/>
          <w:spacing w:val="6"/>
          <w:sz w:val="24"/>
          <w:szCs w:val="24"/>
          <w:highlight w:val="none"/>
        </w:rPr>
        <w:t>合同生效及其他</w:t>
      </w:r>
    </w:p>
    <w:p w14:paraId="323C244B">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1、本合同自双方签字盖章之日起生效。</w:t>
      </w:r>
    </w:p>
    <w:p w14:paraId="7E7DDEC7">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2、本合同一式</w:t>
      </w:r>
      <w:r>
        <w:rPr>
          <w:rFonts w:hint="eastAsia" w:ascii="宋体" w:hAnsi="宋体" w:cs="宋体"/>
          <w:spacing w:val="6"/>
          <w:sz w:val="24"/>
          <w:szCs w:val="24"/>
          <w:highlight w:val="none"/>
          <w:u w:val="single"/>
        </w:rPr>
        <w:t xml:space="preserve"> </w:t>
      </w:r>
      <w:r>
        <w:rPr>
          <w:rFonts w:ascii="宋体" w:hAnsi="宋体" w:cs="宋体"/>
          <w:spacing w:val="6"/>
          <w:sz w:val="24"/>
          <w:szCs w:val="24"/>
          <w:highlight w:val="none"/>
          <w:u w:val="single"/>
        </w:rPr>
        <w:t xml:space="preserve">   </w:t>
      </w:r>
      <w:r>
        <w:rPr>
          <w:rFonts w:hint="eastAsia" w:ascii="宋体" w:hAnsi="宋体" w:cs="宋体"/>
          <w:spacing w:val="6"/>
          <w:sz w:val="24"/>
          <w:szCs w:val="24"/>
          <w:highlight w:val="none"/>
        </w:rPr>
        <w:t>份，甲方</w:t>
      </w:r>
      <w:r>
        <w:rPr>
          <w:rFonts w:hint="eastAsia" w:ascii="宋体" w:hAnsi="宋体" w:cs="宋体"/>
          <w:spacing w:val="6"/>
          <w:sz w:val="24"/>
          <w:szCs w:val="24"/>
          <w:highlight w:val="none"/>
          <w:u w:val="single"/>
        </w:rPr>
        <w:t xml:space="preserve"> </w:t>
      </w:r>
      <w:r>
        <w:rPr>
          <w:rFonts w:ascii="宋体" w:hAnsi="宋体" w:cs="宋体"/>
          <w:spacing w:val="6"/>
          <w:sz w:val="24"/>
          <w:szCs w:val="24"/>
          <w:highlight w:val="none"/>
          <w:u w:val="single"/>
        </w:rPr>
        <w:t xml:space="preserve">   </w:t>
      </w:r>
      <w:r>
        <w:rPr>
          <w:rFonts w:hint="eastAsia" w:ascii="宋体" w:hAnsi="宋体" w:cs="宋体"/>
          <w:spacing w:val="6"/>
          <w:sz w:val="24"/>
          <w:szCs w:val="24"/>
          <w:highlight w:val="none"/>
        </w:rPr>
        <w:t>份，乙方</w:t>
      </w:r>
      <w:r>
        <w:rPr>
          <w:rFonts w:hint="eastAsia" w:ascii="宋体" w:hAnsi="宋体" w:cs="宋体"/>
          <w:spacing w:val="6"/>
          <w:sz w:val="24"/>
          <w:szCs w:val="24"/>
          <w:highlight w:val="none"/>
          <w:u w:val="single"/>
        </w:rPr>
        <w:t xml:space="preserve"> </w:t>
      </w:r>
      <w:r>
        <w:rPr>
          <w:rFonts w:ascii="宋体" w:hAnsi="宋体" w:cs="宋体"/>
          <w:spacing w:val="6"/>
          <w:sz w:val="24"/>
          <w:szCs w:val="24"/>
          <w:highlight w:val="none"/>
          <w:u w:val="single"/>
        </w:rPr>
        <w:t xml:space="preserve">   </w:t>
      </w:r>
      <w:r>
        <w:rPr>
          <w:rFonts w:hint="eastAsia" w:ascii="宋体" w:hAnsi="宋体" w:cs="宋体"/>
          <w:spacing w:val="6"/>
          <w:sz w:val="24"/>
          <w:szCs w:val="24"/>
          <w:highlight w:val="none"/>
        </w:rPr>
        <w:t>份，均具有同等法律效力。</w:t>
      </w:r>
    </w:p>
    <w:p w14:paraId="51938858">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3、本合同应按照中华人民共和国的现行法律进行解释。</w:t>
      </w:r>
    </w:p>
    <w:p w14:paraId="19180663">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4、因甲方原因需增加或减少服务时，以甲方书面通知为准，价格按所报的投标文件执行，合同总价款随之做相应的调整，所增加附件与本合同具有同等法律效力。</w:t>
      </w:r>
    </w:p>
    <w:p w14:paraId="33666C0D">
      <w:pPr>
        <w:spacing w:before="100" w:line="360" w:lineRule="auto"/>
        <w:jc w:val="center"/>
        <w:outlineLvl w:val="1"/>
        <w:rPr>
          <w:rFonts w:hint="eastAsia" w:ascii="宋体" w:hAnsi="宋体" w:cs="宋体"/>
          <w:b/>
          <w:spacing w:val="8"/>
          <w:sz w:val="24"/>
          <w:szCs w:val="24"/>
          <w:highlight w:val="none"/>
        </w:rPr>
        <w:sectPr>
          <w:headerReference r:id="rId8" w:type="first"/>
          <w:footerReference r:id="rId9" w:type="default"/>
          <w:pgSz w:w="11906" w:h="16838"/>
          <w:pgMar w:top="1440" w:right="1247" w:bottom="1440" w:left="1247" w:header="851" w:footer="1020" w:gutter="0"/>
          <w:pgNumType w:fmt="decimal"/>
          <w:cols w:space="720" w:num="1"/>
          <w:docGrid w:linePitch="312" w:charSpace="0"/>
        </w:sectPr>
      </w:pPr>
    </w:p>
    <w:p w14:paraId="48B1F2F7">
      <w:pPr>
        <w:spacing w:before="100" w:line="360" w:lineRule="auto"/>
        <w:jc w:val="center"/>
        <w:outlineLvl w:val="1"/>
        <w:rPr>
          <w:rFonts w:ascii="宋体" w:hAnsi="宋体" w:cs="宋体"/>
          <w:b/>
          <w:spacing w:val="8"/>
          <w:sz w:val="24"/>
          <w:szCs w:val="24"/>
          <w:highlight w:val="none"/>
        </w:rPr>
      </w:pPr>
      <w:r>
        <w:rPr>
          <w:rFonts w:hint="eastAsia" w:ascii="宋体" w:hAnsi="宋体" w:cs="宋体"/>
          <w:b/>
          <w:spacing w:val="8"/>
          <w:sz w:val="24"/>
          <w:szCs w:val="24"/>
          <w:highlight w:val="none"/>
        </w:rPr>
        <w:t xml:space="preserve">第二章 </w:t>
      </w:r>
      <w:r>
        <w:rPr>
          <w:rFonts w:ascii="宋体" w:hAnsi="宋体" w:cs="宋体"/>
          <w:b/>
          <w:spacing w:val="8"/>
          <w:sz w:val="24"/>
          <w:szCs w:val="24"/>
          <w:highlight w:val="none"/>
        </w:rPr>
        <w:t xml:space="preserve"> 通用合同条款</w:t>
      </w:r>
    </w:p>
    <w:p w14:paraId="22B009CE">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词语定义、适用语言和法律、法规</w:t>
      </w:r>
    </w:p>
    <w:p w14:paraId="479D3010">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第一条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下列名词和用语，除上下文另有规定外具有如下含义。</w:t>
      </w:r>
    </w:p>
    <w:p w14:paraId="2B528054">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w:t>
      </w:r>
      <w:r>
        <w:rPr>
          <w:rFonts w:ascii="宋体" w:hAnsi="宋体" w:cs="宋体"/>
          <w:spacing w:val="6"/>
          <w:sz w:val="24"/>
          <w:szCs w:val="24"/>
          <w:highlight w:val="none"/>
        </w:rPr>
        <w:t>“</w:t>
      </w:r>
      <w:r>
        <w:rPr>
          <w:rFonts w:hint="eastAsia" w:ascii="宋体" w:hAnsi="宋体" w:cs="宋体"/>
          <w:spacing w:val="6"/>
          <w:sz w:val="24"/>
          <w:szCs w:val="24"/>
          <w:highlight w:val="none"/>
        </w:rPr>
        <w:t>委托人”是指委托服务业务和聘用服务单位的一方，以及其合法继承人。</w:t>
      </w:r>
    </w:p>
    <w:p w14:paraId="304F7A03">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w:t>
      </w:r>
      <w:r>
        <w:rPr>
          <w:rFonts w:ascii="宋体" w:hAnsi="宋体" w:cs="宋体"/>
          <w:spacing w:val="6"/>
          <w:sz w:val="24"/>
          <w:szCs w:val="24"/>
          <w:highlight w:val="none"/>
        </w:rPr>
        <w:t>“</w:t>
      </w:r>
      <w:r>
        <w:rPr>
          <w:rFonts w:hint="eastAsia" w:ascii="宋体" w:hAnsi="宋体" w:cs="宋体"/>
          <w:spacing w:val="6"/>
          <w:sz w:val="24"/>
          <w:szCs w:val="24"/>
          <w:highlight w:val="none"/>
        </w:rPr>
        <w:t>受托人”是指承担服务业务和服务责任的一方，以及其合法继承人。</w:t>
      </w:r>
    </w:p>
    <w:p w14:paraId="2DD8ED45">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w:t>
      </w:r>
      <w:r>
        <w:rPr>
          <w:rFonts w:ascii="宋体" w:hAnsi="宋体" w:cs="宋体"/>
          <w:spacing w:val="6"/>
          <w:sz w:val="24"/>
          <w:szCs w:val="24"/>
          <w:highlight w:val="none"/>
        </w:rPr>
        <w:t>“</w:t>
      </w:r>
      <w:r>
        <w:rPr>
          <w:rFonts w:hint="eastAsia" w:ascii="宋体" w:hAnsi="宋体" w:cs="宋体"/>
          <w:spacing w:val="6"/>
          <w:sz w:val="24"/>
          <w:szCs w:val="24"/>
          <w:highlight w:val="none"/>
        </w:rPr>
        <w:t>第三人”是指除委托人、受托人以外与本服务业务有关的当事人。</w:t>
      </w:r>
    </w:p>
    <w:p w14:paraId="6D6810AB">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4、</w:t>
      </w:r>
      <w:r>
        <w:rPr>
          <w:rFonts w:ascii="宋体" w:hAnsi="宋体" w:cs="宋体"/>
          <w:spacing w:val="6"/>
          <w:sz w:val="24"/>
          <w:szCs w:val="24"/>
          <w:highlight w:val="none"/>
        </w:rPr>
        <w:t>“</w:t>
      </w:r>
      <w:r>
        <w:rPr>
          <w:rFonts w:hint="eastAsia" w:ascii="宋体" w:hAnsi="宋体" w:cs="宋体"/>
          <w:spacing w:val="6"/>
          <w:sz w:val="24"/>
          <w:szCs w:val="24"/>
          <w:highlight w:val="none"/>
        </w:rPr>
        <w:t>日”是指任何一天零时至第二天零时的时间段。</w:t>
      </w:r>
    </w:p>
    <w:p w14:paraId="02AA51F9">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服务合同适用的是中国的法律、法规，以及专用条件中议定的部门规章、项目所在地的地方法规、地方规章。</w:t>
      </w:r>
    </w:p>
    <w:p w14:paraId="632F7B89">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第三条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服务合同的书写、解释和说明，以汉语为主导语言。当不同语言文本发生不同解释时，以汉语合同文本为准。</w:t>
      </w:r>
    </w:p>
    <w:p w14:paraId="65040C2F">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受托人的义务</w:t>
      </w:r>
    </w:p>
    <w:p w14:paraId="22781084">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第四条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按照约定及时向甲方提供与服务业务有关的资料，包括但不限于服务的资质证书及承担本合同业务的专业人员名单、服务工作计划等，并按合同专用条件中约定的范围实施服务业务。</w:t>
      </w:r>
    </w:p>
    <w:p w14:paraId="1F5022EC">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第五条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受托人在履行本合同期间，向委托人提供的服务包括正常服务、附加服务和额外服务。</w:t>
      </w:r>
    </w:p>
    <w:p w14:paraId="483BE15F">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1、“正常服务”是指双方在专用条件中约定的服务工作；</w:t>
      </w:r>
    </w:p>
    <w:p w14:paraId="4DC08F34">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2、“附加服务”是指在“正常服务”以外，经双方书面协议确定的附加服务；</w:t>
      </w:r>
    </w:p>
    <w:p w14:paraId="0F09D762">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3、“额外服务”是指不属于“正常服务”和“附加服务”，但根据合同标准条件第十三条、第二十条和第二十二条的规定，受托人应增加的额外工作量。</w:t>
      </w:r>
    </w:p>
    <w:p w14:paraId="40232D15">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第六条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在履行合同期间或合同规定期限内，不得泄露与本合同规定业务活动有关的保密资料。</w:t>
      </w:r>
    </w:p>
    <w:p w14:paraId="42A5AB0B">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委托人的义务</w:t>
      </w:r>
    </w:p>
    <w:p w14:paraId="7AD34342">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第七条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委托人应负责与本服务业务有关的第三人的协调，为受托人工作提供外部条件。</w:t>
      </w:r>
    </w:p>
    <w:p w14:paraId="2304F422">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第八条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委托人应当在约定的时间内，免费向受托人提供与本项目服务业务有关的自己掌握的资料。</w:t>
      </w:r>
    </w:p>
    <w:p w14:paraId="264ABEDD">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第九条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委托人应当在约定的时间内就受托人书面提交并要求做出答复的事宜做出书面答复。受托人要求第三人提供有关资料时，委托人应负责转达及资料转送。</w:t>
      </w:r>
    </w:p>
    <w:p w14:paraId="57442DAC">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委托人应当授权胜任本服务业务的代表，负责与受托人联系。</w:t>
      </w:r>
    </w:p>
    <w:p w14:paraId="21B3BCB1">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受托人的权利</w:t>
      </w:r>
    </w:p>
    <w:p w14:paraId="5E15BA46">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第十一条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委托人在委托的服务业务范围内，授予受托人以下权利：</w:t>
      </w:r>
    </w:p>
    <w:p w14:paraId="3D862DF2">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1、受托人在服务过程中，如委托人提供的资料不明确时可向委托人提出书面报告。</w:t>
      </w:r>
    </w:p>
    <w:p w14:paraId="213A746E">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2、受托人在服务过程中，有权对第三人提出与本服务业务有关的问题进行核对或查问。</w:t>
      </w:r>
    </w:p>
    <w:p w14:paraId="24825C93">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3、受托人在服务过程中，有到项目现场勘察的权利。</w:t>
      </w:r>
    </w:p>
    <w:p w14:paraId="06C284AB">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委托人的权利</w:t>
      </w:r>
    </w:p>
    <w:p w14:paraId="53CA8D23">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第十二条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委托人有下列权利：</w:t>
      </w:r>
    </w:p>
    <w:p w14:paraId="1AE68287">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1、委托人有权向受托人询问工作进展情况及相关的内容。</w:t>
      </w:r>
    </w:p>
    <w:p w14:paraId="7E2F2B3E">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2、委托人有权阐述对具体问题的意见和建议。</w:t>
      </w:r>
    </w:p>
    <w:p w14:paraId="5056BB05">
      <w:pPr>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3、当委托人认定服务专业人员不按服务合同履行其职责，或与第三人串通给委托人造成经济损失的，委托人有权要求更换服务专业人员，直至终止合同并要求受托人承担相应的赔偿责任。</w:t>
      </w:r>
    </w:p>
    <w:p w14:paraId="2D36A16B">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受托人的责任</w:t>
      </w:r>
    </w:p>
    <w:p w14:paraId="2163BC1D">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第十三条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受托人的责任期即服务合同有效期（包括质量保证期）。如因非受托人的责任造成进度的推迟或延误而超过约定的日期，双方应进一步约定相应延长合同有效期。</w:t>
      </w:r>
    </w:p>
    <w:p w14:paraId="2604BD50">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第十四条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受托人责任期内，应当履行服务合同中约定的义务，因受托人的单方过失造成的经济损失，应当向委托人进行赔偿。累计赔偿总额为实际损失金额。</w:t>
      </w:r>
    </w:p>
    <w:p w14:paraId="4767579A">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第十五条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受托人对委托人或第三人所提出的问题不能及时核对或答复，导致合同不能全部或部分履行，受托人应承担相应违约责任。</w:t>
      </w:r>
    </w:p>
    <w:p w14:paraId="4CA9B82D">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第十六条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受托人违约时承担包括但不限于诉讼费、保全费、鉴定费、执行费、差旅费、律师费等为维权而发生的所以费用。</w:t>
      </w:r>
    </w:p>
    <w:p w14:paraId="1E2B6077">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委托人的责任</w:t>
      </w:r>
    </w:p>
    <w:p w14:paraId="1C7A0112">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第十七条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委托人应当履行服务合同约定的义务，如有违反则应当承担违约责任，赔偿给受托人造成的损失。</w:t>
      </w:r>
    </w:p>
    <w:p w14:paraId="162A3167">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第十八条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委托人如果向受托人提出赔偿或其他要求不能成立时，则应补偿由于该赔偿或其他要求所导致受托人的各种费用的支出。</w:t>
      </w:r>
    </w:p>
    <w:p w14:paraId="564D367D">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合同生效，变更与终止</w:t>
      </w:r>
    </w:p>
    <w:p w14:paraId="6F8881A5">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第十九条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本合同自双方签字盖章之日起生效。</w:t>
      </w:r>
    </w:p>
    <w:p w14:paraId="7F75127C">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由于委托人的原因使受托人工作受到阻碍或延误以致增加了工作量或持续时间，则受托人应当将此情况与可能产生的影响及时书面通知委托人。由此增加的工作量视为额外服务，完成服务工作的时间应当相应延长，并得到额外的酬金。</w:t>
      </w:r>
    </w:p>
    <w:p w14:paraId="76F13B93">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第二十一条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当事人一方要求变更或解除合同时，则应当在14日前通知对方；因变更或解除合同使一方遭受损失的，应由责任方负责赔偿。</w:t>
      </w:r>
    </w:p>
    <w:p w14:paraId="156CBE15">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第二十二条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受托人由于非自身原因暂停或终止执行服务业务， 由此而增加的恢复执行服务业务的工作，应视为额外服务，有权得到额外的时间和酬金。</w:t>
      </w:r>
    </w:p>
    <w:p w14:paraId="26D32ED5">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第二十三条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变更或解除合同的通知或协议应当采取书面形式，新的协议未达成之前，原合同仍然有效。</w:t>
      </w:r>
    </w:p>
    <w:p w14:paraId="434B1EDA">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服务业务的酬金</w:t>
      </w:r>
    </w:p>
    <w:p w14:paraId="39CD55AC">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第二十四条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正常的服务业务，附加工作和额外工作的酬金，按照服务合同专用条件约定的方法计取，并按约定的时间和数额支付。</w:t>
      </w:r>
    </w:p>
    <w:p w14:paraId="7267B96B">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第二十五条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如果委托人在规定的支付期限内未支付服务酬金， 自规定支付之日起，应当向受托人补偿应支付的酬金利息。利息额按规定支付期限最后一 日银行活期贷款利率计算。</w:t>
      </w:r>
    </w:p>
    <w:p w14:paraId="504C8402">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第二十六条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如果委托人对受托人提交的支付申请书中酬金或部分酬金项目提出异议，应 当在收到支付申请书两日内向受托人发出异议的通知，但甲方不得拖延其无异议酬金项目的支付。</w:t>
      </w:r>
    </w:p>
    <w:p w14:paraId="726D3CF5">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第二十七条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支付服务酬金所采取的货币币种为人民币、汇率为中国人民银行公布的汇率。</w:t>
      </w:r>
    </w:p>
    <w:p w14:paraId="57D98343">
      <w:pPr>
        <w:spacing w:line="360" w:lineRule="auto"/>
        <w:jc w:val="center"/>
        <w:rPr>
          <w:rFonts w:ascii="宋体" w:hAnsi="宋体" w:cs="宋体"/>
          <w:b/>
          <w:bCs/>
          <w:spacing w:val="8"/>
          <w:sz w:val="24"/>
          <w:szCs w:val="24"/>
          <w:highlight w:val="none"/>
        </w:rPr>
      </w:pPr>
      <w:r>
        <w:rPr>
          <w:rFonts w:ascii="宋体" w:hAnsi="宋体" w:cs="宋体"/>
          <w:b/>
          <w:bCs/>
          <w:spacing w:val="8"/>
          <w:sz w:val="24"/>
          <w:szCs w:val="24"/>
          <w:highlight w:val="none"/>
        </w:rPr>
        <w:t>其他</w:t>
      </w:r>
    </w:p>
    <w:p w14:paraId="0112F813">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第二十八条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因服务业务的需要，受托人在合同约定外的外出考察，经委托人同意，其所需费用由委托人负责。</w:t>
      </w:r>
    </w:p>
    <w:p w14:paraId="00164EA6">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第二十九条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受托人如需外聘专家协助，在委托的服务业务范围内其费用由受托人承担；在委托的服务业务范围以外经委托人认可其费用由委托人承担。</w:t>
      </w:r>
    </w:p>
    <w:p w14:paraId="0410410E">
      <w:pPr>
        <w:spacing w:line="360" w:lineRule="auto"/>
        <w:ind w:firstLine="506" w:firstLineChars="200"/>
        <w:rPr>
          <w:rFonts w:ascii="宋体" w:hAnsi="宋体" w:cs="宋体"/>
          <w:spacing w:val="6"/>
          <w:sz w:val="24"/>
          <w:szCs w:val="24"/>
          <w:highlight w:val="none"/>
        </w:rPr>
      </w:pPr>
      <w:r>
        <w:rPr>
          <w:rFonts w:hint="eastAsia" w:ascii="宋体" w:hAnsi="宋体" w:cs="宋体"/>
          <w:b/>
          <w:spacing w:val="6"/>
          <w:sz w:val="24"/>
          <w:szCs w:val="24"/>
          <w:highlight w:val="none"/>
        </w:rPr>
        <w:t xml:space="preserve">第三十条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未经对方的书面同意，各方均不得转让合同约定的权利和义务。</w:t>
      </w:r>
    </w:p>
    <w:p w14:paraId="755A9046">
      <w:pPr>
        <w:spacing w:line="360" w:lineRule="auto"/>
        <w:ind w:firstLine="506" w:firstLineChars="200"/>
        <w:rPr>
          <w:rFonts w:hint="eastAsia" w:ascii="宋体" w:hAnsi="宋体" w:eastAsia="宋体" w:cs="宋体"/>
          <w:color w:val="auto"/>
          <w:sz w:val="24"/>
          <w:szCs w:val="24"/>
          <w:highlight w:val="none"/>
        </w:rPr>
      </w:pPr>
      <w:r>
        <w:rPr>
          <w:rFonts w:hint="eastAsia" w:ascii="宋体" w:hAnsi="宋体" w:cs="宋体"/>
          <w:b/>
          <w:spacing w:val="6"/>
          <w:sz w:val="24"/>
          <w:szCs w:val="24"/>
          <w:highlight w:val="none"/>
        </w:rPr>
        <w:t xml:space="preserve">第三十一条 </w:t>
      </w:r>
      <w:r>
        <w:rPr>
          <w:rFonts w:ascii="宋体" w:hAnsi="宋体" w:cs="宋体"/>
          <w:b/>
          <w:spacing w:val="6"/>
          <w:sz w:val="24"/>
          <w:szCs w:val="24"/>
          <w:highlight w:val="none"/>
        </w:rPr>
        <w:t xml:space="preserve"> </w:t>
      </w:r>
      <w:r>
        <w:rPr>
          <w:rFonts w:hint="eastAsia" w:ascii="宋体" w:hAnsi="宋体" w:cs="宋体"/>
          <w:spacing w:val="6"/>
          <w:sz w:val="24"/>
          <w:szCs w:val="24"/>
          <w:highlight w:val="none"/>
        </w:rPr>
        <w:t>除委托人书面同意外，受托人及服务专业人员不应接受服务合同约定以外</w:t>
      </w:r>
      <w:r>
        <w:rPr>
          <w:rFonts w:hint="eastAsia" w:ascii="宋体" w:hAnsi="宋体" w:cs="宋体"/>
          <w:spacing w:val="6"/>
          <w:highlight w:val="none"/>
        </w:rPr>
        <w:t>的与服务项目有关的任何报酬。受托人不得参与可能与合同规定的与甲方利益相冲突的任何活动。</w:t>
      </w:r>
    </w:p>
    <w:p w14:paraId="50DD6963">
      <w:pPr>
        <w:pStyle w:val="2"/>
        <w:adjustRightInd w:val="0"/>
        <w:snapToGrid w:val="0"/>
        <w:spacing w:before="0" w:after="0" w:line="360" w:lineRule="auto"/>
        <w:jc w:val="center"/>
        <w:rPr>
          <w:rFonts w:hint="eastAsia" w:ascii="宋体" w:hAnsi="宋体" w:eastAsia="宋体" w:cs="宋体"/>
          <w:color w:val="auto"/>
          <w:highlight w:val="none"/>
          <w:lang w:val="en-US" w:eastAsia="zh-CN"/>
        </w:rPr>
        <w:sectPr>
          <w:headerReference r:id="rId10" w:type="first"/>
          <w:footerReference r:id="rId11" w:type="default"/>
          <w:pgSz w:w="11906" w:h="16838"/>
          <w:pgMar w:top="1440" w:right="1247" w:bottom="1440" w:left="1247" w:header="851" w:footer="1020" w:gutter="0"/>
          <w:pgNumType w:fmt="decimal"/>
          <w:cols w:space="720" w:num="1"/>
          <w:docGrid w:linePitch="312" w:charSpace="0"/>
        </w:sectPr>
      </w:pPr>
    </w:p>
    <w:p w14:paraId="74CDA328">
      <w:pPr>
        <w:pStyle w:val="2"/>
        <w:adjustRightInd w:val="0"/>
        <w:snapToGrid w:val="0"/>
        <w:spacing w:before="0" w:after="0" w:line="360" w:lineRule="auto"/>
        <w:jc w:val="center"/>
        <w:rPr>
          <w:rFonts w:hint="eastAsia" w:ascii="宋体" w:hAnsi="宋体" w:eastAsia="宋体" w:cs="宋体"/>
          <w:color w:val="auto"/>
          <w:sz w:val="32"/>
          <w:szCs w:val="32"/>
          <w:highlight w:val="none"/>
          <w:lang w:val="en-US" w:eastAsia="zh-CN"/>
        </w:rPr>
      </w:pPr>
      <w:bookmarkStart w:id="105" w:name="_Toc32038"/>
      <w:r>
        <w:rPr>
          <w:rFonts w:hint="eastAsia" w:ascii="宋体" w:hAnsi="宋体" w:eastAsia="宋体" w:cs="宋体"/>
          <w:color w:val="auto"/>
          <w:sz w:val="32"/>
          <w:szCs w:val="32"/>
          <w:highlight w:val="none"/>
          <w:lang w:val="en-US" w:eastAsia="zh-CN"/>
        </w:rPr>
        <w:t xml:space="preserve">第五章 </w:t>
      </w:r>
      <w:bookmarkEnd w:id="105"/>
      <w:r>
        <w:rPr>
          <w:rFonts w:hint="eastAsia" w:ascii="宋体" w:hAnsi="宋体" w:cs="宋体"/>
          <w:color w:val="auto"/>
          <w:sz w:val="32"/>
          <w:szCs w:val="32"/>
          <w:highlight w:val="none"/>
          <w:lang w:val="en-US" w:eastAsia="zh-CN"/>
        </w:rPr>
        <w:t>采购需求</w:t>
      </w:r>
    </w:p>
    <w:p w14:paraId="7D1CCCDE">
      <w:pPr>
        <w:pStyle w:val="24"/>
        <w:rPr>
          <w:rFonts w:hint="eastAsia" w:ascii="宋体" w:hAnsi="宋体" w:eastAsia="宋体" w:cs="宋体"/>
          <w:color w:val="auto"/>
          <w:highlight w:val="none"/>
          <w:lang w:val="en-US" w:eastAsia="zh-CN"/>
        </w:rPr>
      </w:pPr>
    </w:p>
    <w:p w14:paraId="3E8D08F3">
      <w:pPr>
        <w:adjustRightInd w:val="0"/>
        <w:spacing w:line="360" w:lineRule="auto"/>
        <w:ind w:firstLine="480" w:firstLineChars="200"/>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1、项目预算总价</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color w:val="auto"/>
          <w:sz w:val="24"/>
          <w:szCs w:val="24"/>
          <w:highlight w:val="none"/>
        </w:rPr>
        <w:t>最高限价</w:t>
      </w:r>
      <w:r>
        <w:rPr>
          <w:rFonts w:hint="eastAsia" w:ascii="宋体" w:hAnsi="宋体" w:eastAsia="宋体" w:cs="宋体"/>
          <w:b/>
          <w:bCs/>
          <w:color w:val="auto"/>
          <w:sz w:val="24"/>
          <w:szCs w:val="24"/>
          <w:highlight w:val="none"/>
          <w:lang w:val="en-US" w:eastAsia="zh-CN"/>
        </w:rPr>
        <w:t>）：130.97</w:t>
      </w:r>
      <w:r>
        <w:rPr>
          <w:rFonts w:hint="eastAsia" w:ascii="宋体" w:hAnsi="宋体" w:cs="宋体"/>
          <w:b/>
          <w:bCs/>
          <w:color w:val="auto"/>
          <w:sz w:val="24"/>
          <w:szCs w:val="24"/>
          <w:highlight w:val="none"/>
          <w:lang w:val="en-US" w:eastAsia="zh-CN"/>
        </w:rPr>
        <w:t>万元</w:t>
      </w:r>
      <w:r>
        <w:rPr>
          <w:rFonts w:hint="eastAsia" w:ascii="宋体" w:hAnsi="宋体" w:eastAsia="宋体" w:cs="宋体"/>
          <w:b/>
          <w:bCs/>
          <w:color w:val="auto"/>
          <w:sz w:val="24"/>
          <w:szCs w:val="24"/>
          <w:highlight w:val="none"/>
          <w:lang w:val="en-US" w:eastAsia="zh-CN"/>
        </w:rPr>
        <w:t>（人民币：</w:t>
      </w:r>
      <w:r>
        <w:rPr>
          <w:rFonts w:hint="eastAsia" w:ascii="宋体" w:hAnsi="宋体" w:cs="宋体"/>
          <w:b/>
          <w:bCs/>
          <w:color w:val="auto"/>
          <w:sz w:val="24"/>
          <w:szCs w:val="24"/>
          <w:highlight w:val="none"/>
          <w:lang w:val="en-US" w:eastAsia="zh-CN"/>
        </w:rPr>
        <w:t>壹佰叁拾万零玖仟柒佰元整</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；报价不得超过最高限价，否则将视为无效报价。</w:t>
      </w:r>
    </w:p>
    <w:p w14:paraId="76D7A8B4">
      <w:pPr>
        <w:pageBreakBefore w:val="0"/>
        <w:kinsoku/>
        <w:wordWrap/>
        <w:overflowPunct/>
        <w:topLinePunct w:val="0"/>
        <w:autoSpaceDN/>
        <w:bidi w:val="0"/>
        <w:adjustRightInd w:val="0"/>
        <w:snapToGrid w:val="0"/>
        <w:spacing w:line="360" w:lineRule="auto"/>
        <w:ind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sz w:val="24"/>
          <w:szCs w:val="24"/>
          <w:highlight w:val="none"/>
          <w:lang w:val="en-US" w:eastAsia="zh-CN"/>
        </w:rPr>
        <w:t>2、质量标准：</w:t>
      </w:r>
      <w:r>
        <w:rPr>
          <w:rFonts w:hint="eastAsia" w:ascii="宋体" w:hAnsi="宋体" w:cs="宋体"/>
          <w:b w:val="0"/>
          <w:bCs w:val="0"/>
          <w:color w:val="auto"/>
          <w:sz w:val="24"/>
          <w:szCs w:val="24"/>
          <w:highlight w:val="none"/>
          <w:lang w:val="en-US" w:eastAsia="zh-CN"/>
        </w:rPr>
        <w:t>符合国家、行业现行相关技术规范、标准，设备安装调试完毕且试运行后，相关功能满足招标人的要求</w:t>
      </w:r>
      <w:r>
        <w:rPr>
          <w:rFonts w:hint="eastAsia" w:ascii="宋体" w:hAnsi="宋体" w:eastAsia="宋体" w:cs="宋体"/>
          <w:b w:val="0"/>
          <w:bCs w:val="0"/>
          <w:color w:val="auto"/>
          <w:sz w:val="24"/>
          <w:szCs w:val="24"/>
          <w:highlight w:val="none"/>
          <w:lang w:val="en-US" w:eastAsia="zh-CN"/>
        </w:rPr>
        <w:t>；</w:t>
      </w:r>
    </w:p>
    <w:p w14:paraId="4F953EB4">
      <w:pPr>
        <w:numPr>
          <w:ilvl w:val="0"/>
          <w:numId w:val="0"/>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3、供应商</w:t>
      </w:r>
      <w:r>
        <w:rPr>
          <w:rFonts w:hint="eastAsia" w:ascii="宋体" w:hAnsi="宋体" w:eastAsia="宋体" w:cs="宋体"/>
          <w:b w:val="0"/>
          <w:bCs w:val="0"/>
          <w:color w:val="auto"/>
          <w:sz w:val="24"/>
          <w:szCs w:val="24"/>
          <w:highlight w:val="none"/>
        </w:rPr>
        <w:t>对竞争性</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文件第</w:t>
      </w:r>
      <w:r>
        <w:rPr>
          <w:rFonts w:hint="eastAsia" w:ascii="宋体" w:hAnsi="宋体" w:eastAsia="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rPr>
        <w:t>章</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采购需求</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rPr>
        <w:t>中的</w:t>
      </w:r>
      <w:r>
        <w:rPr>
          <w:rFonts w:hint="eastAsia" w:ascii="宋体" w:hAnsi="宋体" w:eastAsia="宋体" w:cs="宋体"/>
          <w:b w:val="0"/>
          <w:bCs w:val="0"/>
          <w:color w:val="auto"/>
          <w:sz w:val="24"/>
          <w:szCs w:val="24"/>
          <w:highlight w:val="none"/>
          <w:lang w:val="en-US" w:eastAsia="zh-CN"/>
        </w:rPr>
        <w:t>参数</w:t>
      </w:r>
      <w:r>
        <w:rPr>
          <w:rFonts w:hint="eastAsia" w:ascii="宋体" w:hAnsi="宋体" w:eastAsia="宋体" w:cs="宋体"/>
          <w:b w:val="0"/>
          <w:bCs w:val="0"/>
          <w:color w:val="auto"/>
          <w:sz w:val="24"/>
          <w:szCs w:val="24"/>
          <w:highlight w:val="none"/>
        </w:rPr>
        <w:t>要求作出全面、真实的反映。</w:t>
      </w:r>
    </w:p>
    <w:p w14:paraId="3BA12E4F">
      <w:pPr>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4.供应商必须对所投包内所有参数进行完整报价，不得缺漏，否则按不实质性响应竞争性磋商文件要求处理。</w:t>
      </w:r>
    </w:p>
    <w:p w14:paraId="79F86E06">
      <w:pPr>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5.付款方式：由采购人和成交供应商在合同中另行约定。</w:t>
      </w:r>
    </w:p>
    <w:p w14:paraId="324A8D50">
      <w:pPr>
        <w:numPr>
          <w:ilvl w:val="0"/>
          <w:numId w:val="0"/>
        </w:numPr>
        <w:spacing w:line="360" w:lineRule="auto"/>
        <w:ind w:firstLine="480" w:firstLineChars="200"/>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项目清单中的参数</w:t>
      </w:r>
      <w:r>
        <w:rPr>
          <w:rFonts w:hint="eastAsia" w:ascii="宋体" w:hAnsi="宋体" w:cs="宋体"/>
          <w:bCs/>
          <w:color w:val="auto"/>
          <w:sz w:val="24"/>
          <w:szCs w:val="24"/>
          <w:highlight w:val="none"/>
          <w:lang w:val="en-US" w:eastAsia="zh-CN"/>
        </w:rPr>
        <w:t>指标</w:t>
      </w:r>
      <w:r>
        <w:rPr>
          <w:rFonts w:hint="eastAsia" w:ascii="宋体" w:hAnsi="宋体" w:eastAsia="宋体" w:cs="宋体"/>
          <w:bCs/>
          <w:color w:val="auto"/>
          <w:sz w:val="24"/>
          <w:szCs w:val="24"/>
          <w:highlight w:val="none"/>
        </w:rPr>
        <w:t>均为参考，</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可投同档次或以上的其他品牌。</w:t>
      </w:r>
    </w:p>
    <w:p w14:paraId="1A52874C">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lang w:val="en-US" w:eastAsia="zh-CN"/>
        </w:rPr>
        <w:t>服务内容</w:t>
      </w:r>
      <w:r>
        <w:rPr>
          <w:rFonts w:hint="eastAsia" w:ascii="宋体" w:hAnsi="宋体" w:cs="宋体"/>
          <w:b w:val="0"/>
          <w:bCs w:val="0"/>
          <w:color w:val="auto"/>
          <w:sz w:val="24"/>
          <w:szCs w:val="24"/>
          <w:highlight w:val="none"/>
          <w:lang w:val="en-US" w:eastAsia="zh-CN"/>
        </w:rPr>
        <w:t>：小型水库安全监测设施</w:t>
      </w:r>
      <w:r>
        <w:rPr>
          <w:rFonts w:hint="eastAsia" w:ascii="宋体" w:hAnsi="宋体" w:cs="宋体"/>
          <w:b w:val="0"/>
          <w:bCs w:val="0"/>
          <w:color w:val="auto"/>
          <w:sz w:val="24"/>
          <w:szCs w:val="24"/>
          <w:highlight w:val="none"/>
          <w:lang w:val="en-US" w:eastAsia="zh-CN"/>
        </w:rPr>
        <w:t>服务</w:t>
      </w:r>
      <w:r>
        <w:rPr>
          <w:rFonts w:hint="eastAsia" w:ascii="宋体" w:hAnsi="宋体" w:cs="宋体"/>
          <w:b w:val="0"/>
          <w:bCs w:val="0"/>
          <w:color w:val="auto"/>
          <w:sz w:val="24"/>
          <w:szCs w:val="24"/>
          <w:highlight w:val="none"/>
          <w:lang w:val="en-US" w:eastAsia="zh-CN"/>
        </w:rPr>
        <w:t>内容按照功能主要划分为以下几个部分：安全监测监测站、数据传输、监测平台、数据共享推送（省市平台或者其他业务平台）等。</w:t>
      </w:r>
    </w:p>
    <w:p w14:paraId="139C56BD">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（1）安全监测监测设施建设</w:t>
      </w:r>
    </w:p>
    <w:p w14:paraId="5DC051FA">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埋设安装变形标点、测压管（渗压计）等仪器设备，对大坝变形、渗流渗压、渗流量等进行监测。</w:t>
      </w:r>
    </w:p>
    <w:p w14:paraId="0577033B">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（2）数据传输</w:t>
      </w:r>
    </w:p>
    <w:p w14:paraId="122ECCB3">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通过一体化采集终端根据现场网络条件（4G\5G、NB-loT或网桥、北斗卫星），对大坝监测数据等信息实时传输，发现异常可通过短信等方式进行告警。</w:t>
      </w:r>
    </w:p>
    <w:p w14:paraId="1A148A7F">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（3）监测平台数据对接</w:t>
      </w:r>
    </w:p>
    <w:p w14:paraId="70FAB019">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监测平台用于管理降水量、库水位、渗流量、渗流压力、视频图像等监测数据，以及水库大坝基础信息、监测设施考证信息、巡视检查信息、用户信息等，分账号进行分级使用。将各监测要素信息按照开放协议传输至省级水库安全监测运行智慧管理平台。本项目不再新建监测平台，监测数据接入原有昭通市水务局监测平台。</w:t>
      </w:r>
    </w:p>
    <w:p w14:paraId="4C5700EB">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（4）数据共享推送</w:t>
      </w:r>
    </w:p>
    <w:p w14:paraId="665AD7D6">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监测平台信息共享应当与山洪灾害监测预警、水利一张图等水利业务应用系统实现实时数据衔接，新建监测设备数据传输需可接入省级平台。</w:t>
      </w:r>
    </w:p>
    <w:p w14:paraId="662AB4FC">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p>
    <w:p w14:paraId="59020945">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云南省昭阳区2025年度小型水库安全监测设施建设统计表</w:t>
      </w:r>
    </w:p>
    <w:tbl>
      <w:tblPr>
        <w:tblStyle w:val="5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579"/>
        <w:gridCol w:w="1055"/>
        <w:gridCol w:w="2952"/>
        <w:gridCol w:w="1055"/>
        <w:gridCol w:w="795"/>
        <w:gridCol w:w="1063"/>
      </w:tblGrid>
      <w:tr w14:paraId="31D43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Merge w:val="restart"/>
            <w:vAlign w:val="center"/>
          </w:tcPr>
          <w:p w14:paraId="0325B009">
            <w:pPr>
              <w:jc w:val="center"/>
              <w:rPr>
                <w:rFonts w:hint="eastAsia" w:asciiTheme="minorEastAsia" w:hAnsiTheme="minorEastAsia" w:eastAsiaTheme="minorEastAsia" w:cstheme="minorEastAsia"/>
                <w:color w:val="auto"/>
                <w:sz w:val="24"/>
                <w:szCs w:val="24"/>
                <w:highlight w:val="none"/>
                <w:lang w:val="en-US" w:eastAsia="zh-CN"/>
              </w:rPr>
            </w:pPr>
            <w:bookmarkStart w:id="106" w:name="_Hlk136430950"/>
            <w:r>
              <w:rPr>
                <w:rFonts w:hint="eastAsia" w:asciiTheme="minorEastAsia" w:hAnsiTheme="minorEastAsia" w:eastAsiaTheme="minorEastAsia" w:cstheme="minorEastAsia"/>
                <w:color w:val="auto"/>
                <w:sz w:val="24"/>
                <w:szCs w:val="24"/>
                <w:highlight w:val="none"/>
                <w:lang w:val="en-US" w:eastAsia="zh-CN"/>
              </w:rPr>
              <w:t>序号</w:t>
            </w:r>
          </w:p>
        </w:tc>
        <w:tc>
          <w:tcPr>
            <w:tcW w:w="1453" w:type="dxa"/>
            <w:vMerge w:val="restart"/>
            <w:vAlign w:val="center"/>
          </w:tcPr>
          <w:p w14:paraId="023C86B5">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水库名称</w:t>
            </w:r>
          </w:p>
        </w:tc>
        <w:tc>
          <w:tcPr>
            <w:tcW w:w="971" w:type="dxa"/>
            <w:vMerge w:val="restart"/>
            <w:vAlign w:val="center"/>
          </w:tcPr>
          <w:p w14:paraId="30CB83E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单位</w:t>
            </w:r>
          </w:p>
        </w:tc>
        <w:tc>
          <w:tcPr>
            <w:tcW w:w="5398" w:type="dxa"/>
            <w:gridSpan w:val="4"/>
            <w:vAlign w:val="center"/>
          </w:tcPr>
          <w:p w14:paraId="17D3D26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安全监测设施</w:t>
            </w:r>
          </w:p>
        </w:tc>
      </w:tr>
      <w:tr w14:paraId="2E64C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Merge w:val="continue"/>
            <w:tcBorders>
              <w:top w:val="nil"/>
            </w:tcBorders>
            <w:vAlign w:val="center"/>
          </w:tcPr>
          <w:p w14:paraId="41DBB565">
            <w:pPr>
              <w:jc w:val="center"/>
              <w:rPr>
                <w:rFonts w:hint="eastAsia" w:asciiTheme="minorEastAsia" w:hAnsiTheme="minorEastAsia" w:eastAsiaTheme="minorEastAsia" w:cstheme="minorEastAsia"/>
                <w:color w:val="auto"/>
                <w:sz w:val="24"/>
                <w:szCs w:val="24"/>
                <w:highlight w:val="none"/>
                <w:lang w:val="en-US" w:eastAsia="zh-CN"/>
              </w:rPr>
            </w:pPr>
          </w:p>
        </w:tc>
        <w:tc>
          <w:tcPr>
            <w:tcW w:w="1453" w:type="dxa"/>
            <w:vMerge w:val="continue"/>
            <w:tcBorders>
              <w:top w:val="nil"/>
            </w:tcBorders>
            <w:vAlign w:val="center"/>
          </w:tcPr>
          <w:p w14:paraId="6C96C16E">
            <w:pPr>
              <w:jc w:val="center"/>
              <w:rPr>
                <w:rFonts w:hint="eastAsia" w:asciiTheme="minorEastAsia" w:hAnsiTheme="minorEastAsia" w:eastAsiaTheme="minorEastAsia" w:cstheme="minorEastAsia"/>
                <w:color w:val="auto"/>
                <w:sz w:val="24"/>
                <w:szCs w:val="24"/>
                <w:highlight w:val="none"/>
                <w:lang w:val="en-US" w:eastAsia="zh-CN"/>
              </w:rPr>
            </w:pPr>
          </w:p>
        </w:tc>
        <w:tc>
          <w:tcPr>
            <w:tcW w:w="971" w:type="dxa"/>
            <w:vMerge w:val="continue"/>
            <w:vAlign w:val="center"/>
          </w:tcPr>
          <w:p w14:paraId="7E67A336">
            <w:pPr>
              <w:jc w:val="center"/>
              <w:rPr>
                <w:rFonts w:hint="eastAsia" w:asciiTheme="minorEastAsia" w:hAnsiTheme="minorEastAsia" w:eastAsiaTheme="minorEastAsia" w:cstheme="minorEastAsia"/>
                <w:color w:val="auto"/>
                <w:sz w:val="24"/>
                <w:szCs w:val="24"/>
                <w:highlight w:val="none"/>
                <w:lang w:val="en-US" w:eastAsia="zh-CN"/>
              </w:rPr>
            </w:pPr>
          </w:p>
        </w:tc>
        <w:tc>
          <w:tcPr>
            <w:tcW w:w="2717" w:type="dxa"/>
            <w:vAlign w:val="center"/>
          </w:tcPr>
          <w:p w14:paraId="3B46D66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GNSS表面位移监测（套）</w:t>
            </w:r>
          </w:p>
        </w:tc>
        <w:tc>
          <w:tcPr>
            <w:tcW w:w="971" w:type="dxa"/>
            <w:vAlign w:val="center"/>
          </w:tcPr>
          <w:p w14:paraId="0D417E9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位移基站</w:t>
            </w:r>
          </w:p>
        </w:tc>
        <w:tc>
          <w:tcPr>
            <w:tcW w:w="732" w:type="dxa"/>
            <w:vAlign w:val="center"/>
          </w:tcPr>
          <w:p w14:paraId="4034940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渗压计</w:t>
            </w:r>
          </w:p>
        </w:tc>
        <w:tc>
          <w:tcPr>
            <w:tcW w:w="978" w:type="dxa"/>
            <w:vAlign w:val="center"/>
          </w:tcPr>
          <w:p w14:paraId="671C180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量水堰计</w:t>
            </w:r>
          </w:p>
        </w:tc>
      </w:tr>
      <w:tr w14:paraId="71EE8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7933B77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453" w:type="dxa"/>
            <w:vAlign w:val="center"/>
          </w:tcPr>
          <w:p w14:paraId="768D6C3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放羊冲水库</w:t>
            </w:r>
          </w:p>
        </w:tc>
        <w:tc>
          <w:tcPr>
            <w:tcW w:w="971" w:type="dxa"/>
            <w:vAlign w:val="center"/>
          </w:tcPr>
          <w:p w14:paraId="226D0DE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7FDB07D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1" w:type="dxa"/>
            <w:vAlign w:val="center"/>
          </w:tcPr>
          <w:p w14:paraId="2F23CE3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vAlign w:val="center"/>
          </w:tcPr>
          <w:p w14:paraId="36D0A6F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8" w:type="dxa"/>
            <w:vAlign w:val="center"/>
          </w:tcPr>
          <w:p w14:paraId="2AA881F5">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433DD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06D470F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453" w:type="dxa"/>
            <w:vAlign w:val="center"/>
          </w:tcPr>
          <w:p w14:paraId="31B0605A">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肖家冲水库</w:t>
            </w:r>
          </w:p>
        </w:tc>
        <w:tc>
          <w:tcPr>
            <w:tcW w:w="971" w:type="dxa"/>
            <w:vAlign w:val="center"/>
          </w:tcPr>
          <w:p w14:paraId="4949684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606C3A2A">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1" w:type="dxa"/>
            <w:vAlign w:val="center"/>
          </w:tcPr>
          <w:p w14:paraId="732FB21D">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vAlign w:val="center"/>
          </w:tcPr>
          <w:p w14:paraId="1F5E835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8" w:type="dxa"/>
            <w:vAlign w:val="center"/>
          </w:tcPr>
          <w:p w14:paraId="65874D7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6F2F1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91" w:type="dxa"/>
            <w:vAlign w:val="center"/>
          </w:tcPr>
          <w:p w14:paraId="4C65EA6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453" w:type="dxa"/>
            <w:vAlign w:val="center"/>
          </w:tcPr>
          <w:p w14:paraId="4A9B7A4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凉水井水库</w:t>
            </w:r>
          </w:p>
        </w:tc>
        <w:tc>
          <w:tcPr>
            <w:tcW w:w="971" w:type="dxa"/>
            <w:vAlign w:val="center"/>
          </w:tcPr>
          <w:p w14:paraId="006360F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74893AE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vAlign w:val="center"/>
          </w:tcPr>
          <w:p w14:paraId="4A2A016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vAlign w:val="center"/>
          </w:tcPr>
          <w:p w14:paraId="02ACAC2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026792C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79BA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5613848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1453" w:type="dxa"/>
            <w:vAlign w:val="center"/>
          </w:tcPr>
          <w:p w14:paraId="5747CBF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横梁子水库</w:t>
            </w:r>
          </w:p>
        </w:tc>
        <w:tc>
          <w:tcPr>
            <w:tcW w:w="971" w:type="dxa"/>
            <w:shd w:val="clear" w:color="auto" w:fill="auto"/>
            <w:vAlign w:val="center"/>
          </w:tcPr>
          <w:p w14:paraId="6FAA1D4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69C8B67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4F71D3C5">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vAlign w:val="center"/>
          </w:tcPr>
          <w:p w14:paraId="35E7437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4F06FDB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210E1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3003CD0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1453" w:type="dxa"/>
            <w:vAlign w:val="center"/>
          </w:tcPr>
          <w:p w14:paraId="777ABB0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小坡脚水库</w:t>
            </w:r>
          </w:p>
        </w:tc>
        <w:tc>
          <w:tcPr>
            <w:tcW w:w="971" w:type="dxa"/>
            <w:shd w:val="clear" w:color="auto" w:fill="auto"/>
            <w:vAlign w:val="center"/>
          </w:tcPr>
          <w:p w14:paraId="1DF0802A">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5606199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3FB2CE5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0EC758B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7F07E17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7F9A2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10F7F21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1453" w:type="dxa"/>
            <w:vAlign w:val="center"/>
          </w:tcPr>
          <w:p w14:paraId="7B3ABD7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娃娃坝水库</w:t>
            </w:r>
          </w:p>
        </w:tc>
        <w:tc>
          <w:tcPr>
            <w:tcW w:w="971" w:type="dxa"/>
            <w:shd w:val="clear" w:color="auto" w:fill="auto"/>
            <w:vAlign w:val="center"/>
          </w:tcPr>
          <w:p w14:paraId="3CEFF2B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2D6BC5C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3E67B38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4C489F6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0737EE4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29B06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7F42E6B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p>
        </w:tc>
        <w:tc>
          <w:tcPr>
            <w:tcW w:w="1453" w:type="dxa"/>
            <w:vAlign w:val="center"/>
          </w:tcPr>
          <w:p w14:paraId="0BCA3BE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桃树井水库</w:t>
            </w:r>
          </w:p>
        </w:tc>
        <w:tc>
          <w:tcPr>
            <w:tcW w:w="971" w:type="dxa"/>
            <w:shd w:val="clear" w:color="auto" w:fill="auto"/>
            <w:vAlign w:val="center"/>
          </w:tcPr>
          <w:p w14:paraId="52459B5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0CAA2EE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7309165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3EE9999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202A3DC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7D79E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1A2A53A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c>
          <w:tcPr>
            <w:tcW w:w="1453" w:type="dxa"/>
            <w:vAlign w:val="center"/>
          </w:tcPr>
          <w:p w14:paraId="2C926F3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景风水库</w:t>
            </w:r>
          </w:p>
        </w:tc>
        <w:tc>
          <w:tcPr>
            <w:tcW w:w="971" w:type="dxa"/>
            <w:shd w:val="clear" w:color="auto" w:fill="auto"/>
            <w:vAlign w:val="center"/>
          </w:tcPr>
          <w:p w14:paraId="61A722F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60CF34A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1" w:type="dxa"/>
            <w:shd w:val="clear" w:color="auto" w:fill="auto"/>
            <w:vAlign w:val="center"/>
          </w:tcPr>
          <w:p w14:paraId="0E074B6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1759F29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78" w:type="dxa"/>
            <w:shd w:val="clear" w:color="auto" w:fill="auto"/>
            <w:vAlign w:val="center"/>
          </w:tcPr>
          <w:p w14:paraId="152E53CD">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7D976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5EB9B72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c>
          <w:tcPr>
            <w:tcW w:w="1453" w:type="dxa"/>
            <w:vAlign w:val="center"/>
          </w:tcPr>
          <w:p w14:paraId="0304B3B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小坝塘水库</w:t>
            </w:r>
          </w:p>
        </w:tc>
        <w:tc>
          <w:tcPr>
            <w:tcW w:w="971" w:type="dxa"/>
            <w:shd w:val="clear" w:color="auto" w:fill="auto"/>
            <w:vAlign w:val="center"/>
          </w:tcPr>
          <w:p w14:paraId="5C3F6F4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4D04EE6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7716AC6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402A327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46353F6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564E7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7B20C6F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1453" w:type="dxa"/>
            <w:vAlign w:val="center"/>
          </w:tcPr>
          <w:p w14:paraId="6D33B57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碗花厂水库</w:t>
            </w:r>
          </w:p>
        </w:tc>
        <w:tc>
          <w:tcPr>
            <w:tcW w:w="971" w:type="dxa"/>
            <w:shd w:val="clear" w:color="auto" w:fill="auto"/>
            <w:vAlign w:val="center"/>
          </w:tcPr>
          <w:p w14:paraId="10177BC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5DEE1C5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281F92B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3DCBF00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757EE7C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043E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75BBAFC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w:t>
            </w:r>
          </w:p>
        </w:tc>
        <w:tc>
          <w:tcPr>
            <w:tcW w:w="1453" w:type="dxa"/>
            <w:vAlign w:val="center"/>
          </w:tcPr>
          <w:p w14:paraId="0075097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红日一级水库</w:t>
            </w:r>
          </w:p>
        </w:tc>
        <w:tc>
          <w:tcPr>
            <w:tcW w:w="971" w:type="dxa"/>
            <w:shd w:val="clear" w:color="auto" w:fill="auto"/>
            <w:vAlign w:val="center"/>
          </w:tcPr>
          <w:p w14:paraId="6171A30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1506CB8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24D565D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6E5784E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309C390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1B2FA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16A1D11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c>
          <w:tcPr>
            <w:tcW w:w="1453" w:type="dxa"/>
            <w:vAlign w:val="center"/>
          </w:tcPr>
          <w:p w14:paraId="0DBAF04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徐家冲水库</w:t>
            </w:r>
          </w:p>
        </w:tc>
        <w:tc>
          <w:tcPr>
            <w:tcW w:w="971" w:type="dxa"/>
            <w:shd w:val="clear" w:color="auto" w:fill="auto"/>
            <w:vAlign w:val="center"/>
          </w:tcPr>
          <w:p w14:paraId="5F8E48E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024E0AC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128694C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6DBCCA45">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687A43F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10A8A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48D886A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1453" w:type="dxa"/>
            <w:vAlign w:val="center"/>
          </w:tcPr>
          <w:p w14:paraId="68CCA6E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螃蟹冲水库</w:t>
            </w:r>
          </w:p>
        </w:tc>
        <w:tc>
          <w:tcPr>
            <w:tcW w:w="971" w:type="dxa"/>
            <w:shd w:val="clear" w:color="auto" w:fill="auto"/>
            <w:vAlign w:val="center"/>
          </w:tcPr>
          <w:p w14:paraId="1B97BFC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vAlign w:val="center"/>
          </w:tcPr>
          <w:p w14:paraId="74A73AF7">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317816C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07DCF13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1B13B0E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6C853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10C09FF0">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w:t>
            </w:r>
          </w:p>
        </w:tc>
        <w:tc>
          <w:tcPr>
            <w:tcW w:w="1453" w:type="dxa"/>
            <w:vAlign w:val="center"/>
          </w:tcPr>
          <w:p w14:paraId="6C61F2EA">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红日二级水库</w:t>
            </w:r>
          </w:p>
        </w:tc>
        <w:tc>
          <w:tcPr>
            <w:tcW w:w="971" w:type="dxa"/>
            <w:shd w:val="clear" w:color="auto" w:fill="auto"/>
            <w:vAlign w:val="center"/>
          </w:tcPr>
          <w:p w14:paraId="35BCF9F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shd w:val="clear" w:color="auto" w:fill="auto"/>
            <w:vAlign w:val="center"/>
          </w:tcPr>
          <w:p w14:paraId="1939FBA5">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2F0D173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316F40A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70B5477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002C8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91" w:type="dxa"/>
            <w:vAlign w:val="center"/>
          </w:tcPr>
          <w:p w14:paraId="140F309E">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w:t>
            </w:r>
          </w:p>
        </w:tc>
        <w:tc>
          <w:tcPr>
            <w:tcW w:w="1453" w:type="dxa"/>
            <w:vAlign w:val="center"/>
          </w:tcPr>
          <w:p w14:paraId="415ADB6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严家湾水库</w:t>
            </w:r>
          </w:p>
        </w:tc>
        <w:tc>
          <w:tcPr>
            <w:tcW w:w="971" w:type="dxa"/>
            <w:shd w:val="clear" w:color="auto" w:fill="auto"/>
            <w:vAlign w:val="center"/>
          </w:tcPr>
          <w:p w14:paraId="76ABC4D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点（个）</w:t>
            </w:r>
          </w:p>
        </w:tc>
        <w:tc>
          <w:tcPr>
            <w:tcW w:w="2717" w:type="dxa"/>
            <w:shd w:val="clear" w:color="auto" w:fill="auto"/>
            <w:vAlign w:val="center"/>
          </w:tcPr>
          <w:p w14:paraId="0925027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1" w:type="dxa"/>
            <w:shd w:val="clear" w:color="auto" w:fill="auto"/>
            <w:vAlign w:val="center"/>
          </w:tcPr>
          <w:p w14:paraId="570275FA">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732" w:type="dxa"/>
            <w:shd w:val="clear" w:color="auto" w:fill="auto"/>
            <w:vAlign w:val="center"/>
          </w:tcPr>
          <w:p w14:paraId="54B3363F">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78" w:type="dxa"/>
            <w:shd w:val="clear" w:color="auto" w:fill="auto"/>
            <w:vAlign w:val="center"/>
          </w:tcPr>
          <w:p w14:paraId="5CB50D6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r>
      <w:tr w14:paraId="6B339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944" w:type="dxa"/>
            <w:gridSpan w:val="2"/>
            <w:shd w:val="clear" w:color="auto" w:fill="auto"/>
            <w:vAlign w:val="center"/>
          </w:tcPr>
          <w:p w14:paraId="3117DA56">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w:t>
            </w:r>
          </w:p>
        </w:tc>
        <w:tc>
          <w:tcPr>
            <w:tcW w:w="971" w:type="dxa"/>
            <w:shd w:val="clear" w:color="auto" w:fill="auto"/>
            <w:vAlign w:val="center"/>
          </w:tcPr>
          <w:p w14:paraId="3CF82418">
            <w:pPr>
              <w:jc w:val="center"/>
              <w:rPr>
                <w:rFonts w:hint="eastAsia" w:asciiTheme="minorEastAsia" w:hAnsiTheme="minorEastAsia" w:eastAsiaTheme="minorEastAsia" w:cstheme="minorEastAsia"/>
                <w:color w:val="auto"/>
                <w:sz w:val="24"/>
                <w:szCs w:val="24"/>
                <w:highlight w:val="none"/>
                <w:lang w:val="en-US" w:eastAsia="zh-CN"/>
              </w:rPr>
            </w:pPr>
          </w:p>
        </w:tc>
        <w:tc>
          <w:tcPr>
            <w:tcW w:w="2717" w:type="dxa"/>
            <w:shd w:val="clear" w:color="auto" w:fill="auto"/>
            <w:vAlign w:val="center"/>
          </w:tcPr>
          <w:p w14:paraId="16F7382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w:t>
            </w:r>
          </w:p>
        </w:tc>
        <w:tc>
          <w:tcPr>
            <w:tcW w:w="971" w:type="dxa"/>
            <w:shd w:val="clear" w:color="auto" w:fill="auto"/>
            <w:vAlign w:val="center"/>
          </w:tcPr>
          <w:p w14:paraId="329FC7D2">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w:t>
            </w:r>
          </w:p>
        </w:tc>
        <w:tc>
          <w:tcPr>
            <w:tcW w:w="732" w:type="dxa"/>
            <w:shd w:val="clear" w:color="auto" w:fill="auto"/>
            <w:vAlign w:val="center"/>
          </w:tcPr>
          <w:p w14:paraId="0ABF6CC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w:t>
            </w:r>
          </w:p>
        </w:tc>
        <w:tc>
          <w:tcPr>
            <w:tcW w:w="978" w:type="dxa"/>
            <w:shd w:val="clear" w:color="auto" w:fill="auto"/>
            <w:vAlign w:val="center"/>
          </w:tcPr>
          <w:p w14:paraId="76B0922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w:t>
            </w:r>
          </w:p>
        </w:tc>
      </w:tr>
      <w:bookmarkEnd w:id="106"/>
    </w:tbl>
    <w:p w14:paraId="68901CB9">
      <w:pPr>
        <w:keepNext w:val="0"/>
        <w:keepLines w:val="0"/>
        <w:widowControl/>
        <w:suppressLineNumbers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p>
    <w:p w14:paraId="578A574E">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w:t>
      </w:r>
    </w:p>
    <w:p w14:paraId="63CC128C">
      <w:pPr>
        <w:numPr>
          <w:ilvl w:val="0"/>
          <w:numId w:val="0"/>
        </w:numPr>
        <w:spacing w:line="360" w:lineRule="auto"/>
        <w:ind w:firstLine="480" w:firstLineChars="200"/>
        <w:rPr>
          <w:rFonts w:hint="eastAsia" w:ascii="宋体" w:hAnsi="宋体" w:eastAsia="宋体" w:cs="宋体"/>
          <w:color w:val="auto"/>
          <w:kern w:val="0"/>
          <w:sz w:val="24"/>
          <w:szCs w:val="24"/>
          <w:highlight w:val="none"/>
          <w:lang w:val="en-US" w:eastAsia="zh-CN" w:bidi="ar"/>
        </w:rPr>
        <w:sectPr>
          <w:pgSz w:w="11907" w:h="16839"/>
          <w:pgMar w:top="1439" w:right="1440" w:bottom="1440" w:left="1440" w:header="850" w:footer="992" w:gutter="0"/>
          <w:cols w:space="720" w:num="1"/>
        </w:sectPr>
      </w:pPr>
      <w:r>
        <w:rPr>
          <w:rFonts w:hint="eastAsia" w:ascii="宋体" w:hAnsi="宋体" w:eastAsia="宋体" w:cs="宋体"/>
          <w:color w:val="auto"/>
          <w:kern w:val="0"/>
          <w:sz w:val="24"/>
          <w:szCs w:val="24"/>
          <w:highlight w:val="none"/>
          <w:lang w:val="en-US" w:eastAsia="zh-CN" w:bidi="ar"/>
        </w:rPr>
        <w:t>本项目涉及到的</w:t>
      </w:r>
      <w:r>
        <w:rPr>
          <w:rFonts w:hint="eastAsia" w:ascii="宋体" w:hAnsi="宋体" w:cs="宋体"/>
          <w:color w:val="auto"/>
          <w:kern w:val="0"/>
          <w:sz w:val="24"/>
          <w:szCs w:val="24"/>
          <w:highlight w:val="none"/>
          <w:lang w:val="en-US" w:eastAsia="zh-CN" w:bidi="ar"/>
        </w:rPr>
        <w:t>15座</w:t>
      </w:r>
      <w:r>
        <w:rPr>
          <w:rFonts w:hint="eastAsia" w:ascii="宋体" w:hAnsi="宋体" w:eastAsia="宋体" w:cs="宋体"/>
          <w:color w:val="auto"/>
          <w:kern w:val="0"/>
          <w:sz w:val="24"/>
          <w:szCs w:val="24"/>
          <w:highlight w:val="none"/>
          <w:lang w:val="en-US" w:eastAsia="zh-CN" w:bidi="ar"/>
        </w:rPr>
        <w:t>水库建设内容如下：</w:t>
      </w:r>
    </w:p>
    <w:bookmarkEnd w:id="100"/>
    <w:bookmarkEnd w:id="101"/>
    <w:bookmarkEnd w:id="102"/>
    <w:bookmarkEnd w:id="103"/>
    <w:p w14:paraId="38D2CACC">
      <w:pPr>
        <w:pStyle w:val="5"/>
        <w:bidi w:val="0"/>
        <w:rPr>
          <w:color w:val="auto"/>
          <w:highlight w:val="none"/>
        </w:rPr>
      </w:pPr>
      <w:bookmarkStart w:id="107" w:name="_Toc11079"/>
      <w:r>
        <w:rPr>
          <w:rFonts w:hint="eastAsia"/>
          <w:color w:val="auto"/>
          <w:highlight w:val="none"/>
        </w:rPr>
        <w:t>放羊冲水库</w:t>
      </w:r>
    </w:p>
    <w:tbl>
      <w:tblPr>
        <w:tblStyle w:val="5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7"/>
        <w:gridCol w:w="3556"/>
        <w:gridCol w:w="6543"/>
        <w:gridCol w:w="878"/>
        <w:gridCol w:w="817"/>
        <w:gridCol w:w="1563"/>
      </w:tblGrid>
      <w:tr w14:paraId="23E9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14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ED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C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0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58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9D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00F59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B8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51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06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CD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6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34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1CB13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93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C2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25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C6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40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88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0E829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53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B7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EE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测量范围：0-350kpa，坝体选择2</w:t>
            </w:r>
            <w:r>
              <w:rPr>
                <w:rStyle w:val="149"/>
                <w:color w:val="auto"/>
                <w:sz w:val="21"/>
                <w:szCs w:val="21"/>
                <w:highlight w:val="none"/>
                <w:lang w:val="en-US" w:eastAsia="zh-CN" w:bidi="ar"/>
              </w:rPr>
              <w:t>个断面，每个断面</w:t>
            </w:r>
            <w:r>
              <w:rPr>
                <w:rStyle w:val="177"/>
                <w:rFonts w:eastAsia="宋体"/>
                <w:color w:val="auto"/>
                <w:sz w:val="21"/>
                <w:szCs w:val="21"/>
                <w:highlight w:val="none"/>
                <w:lang w:val="en-US" w:eastAsia="zh-CN" w:bidi="ar"/>
              </w:rPr>
              <w:t>3</w:t>
            </w:r>
            <w:r>
              <w:rPr>
                <w:rStyle w:val="149"/>
                <w:color w:val="auto"/>
                <w:sz w:val="21"/>
                <w:szCs w:val="21"/>
                <w:highlight w:val="none"/>
                <w:lang w:val="en-US" w:eastAsia="zh-CN" w:bidi="ar"/>
              </w:rPr>
              <w:t>支</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809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8C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94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1AA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7C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DB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坝坡钻孔（含内置花管制安）</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EC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测压管，花管采用DN50不锈钢管</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DD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81.25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FE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EB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EC47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35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86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65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17B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E56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CB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6382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08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0E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E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EB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F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B3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7BEA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9C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F8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70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92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97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05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9F9F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5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A56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ED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32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7D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1C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341A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D8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D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31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23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54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E5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B403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F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1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D8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r>
              <w:rPr>
                <w:rStyle w:val="149"/>
                <w:color w:val="auto"/>
                <w:sz w:val="21"/>
                <w:szCs w:val="21"/>
                <w:highlight w:val="none"/>
                <w:lang w:val="en-US" w:eastAsia="zh-CN" w:bidi="ar"/>
              </w:rPr>
              <w:t>通道</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42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0D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12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0F4BF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99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DD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27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27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2F0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DC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323E9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E1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90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D5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00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47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B4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C8D6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3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93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F6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BB3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A0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8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A477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4A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85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D3B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88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0B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66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8FC8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8D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1A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66A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6A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1E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81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A436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37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1.14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15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2D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C8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E4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32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11AC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6B4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7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AC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E2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8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76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E075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76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7C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68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03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71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7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包含1套基站，6个表面变形监测点</w:t>
            </w:r>
          </w:p>
        </w:tc>
      </w:tr>
      <w:tr w14:paraId="00518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F0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w:t>
            </w:r>
            <w:r>
              <w:rPr>
                <w:rFonts w:hint="default" w:ascii="Times New Roman" w:hAnsi="Times New Roman" w:eastAsia="宋体" w:cs="Times New Roman"/>
                <w:i w:val="0"/>
                <w:iCs w:val="0"/>
                <w:color w:val="auto"/>
                <w:kern w:val="0"/>
                <w:sz w:val="22"/>
                <w:szCs w:val="22"/>
                <w:highlight w:val="none"/>
                <w:u w:val="none"/>
                <w:lang w:val="en-US" w:eastAsia="zh-CN" w:bidi="ar"/>
              </w:rPr>
              <w:t>.</w:t>
            </w:r>
            <w:r>
              <w:rPr>
                <w:rFonts w:hint="eastAsia" w:ascii="Times New Roman" w:hAnsi="Times New Roman" w:eastAsia="宋体" w:cs="Times New Roman"/>
                <w:i w:val="0"/>
                <w:iCs w:val="0"/>
                <w:color w:val="auto"/>
                <w:kern w:val="0"/>
                <w:sz w:val="22"/>
                <w:szCs w:val="22"/>
                <w:highlight w:val="none"/>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70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86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F4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043415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0E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938C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3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2.3</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9A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7D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6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1555F5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DD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7191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89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79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21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95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5EA8D2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5A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75A4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35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93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E7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B7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D1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40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43EFF00F">
      <w:pPr>
        <w:ind w:firstLine="0" w:firstLineChars="0"/>
        <w:rPr>
          <w:color w:val="auto"/>
          <w:highlight w:val="none"/>
        </w:rPr>
      </w:pPr>
    </w:p>
    <w:p w14:paraId="785C4C27">
      <w:pPr>
        <w:pStyle w:val="5"/>
        <w:rPr>
          <w:color w:val="auto"/>
          <w:highlight w:val="none"/>
        </w:rPr>
      </w:pPr>
      <w:r>
        <w:rPr>
          <w:rFonts w:hint="eastAsia"/>
          <w:color w:val="auto"/>
          <w:highlight w:val="none"/>
        </w:rPr>
        <w:t>肖家冲水库</w:t>
      </w:r>
    </w:p>
    <w:tbl>
      <w:tblPr>
        <w:tblStyle w:val="5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8"/>
        <w:gridCol w:w="3571"/>
        <w:gridCol w:w="6573"/>
        <w:gridCol w:w="818"/>
        <w:gridCol w:w="818"/>
        <w:gridCol w:w="1568"/>
      </w:tblGrid>
      <w:tr w14:paraId="1E3E5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9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5C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9E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C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B9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5E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3EFDC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87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DD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A3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462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EC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2B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31C13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BB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0B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94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05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A3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1FC07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B0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111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8A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测量范围：0-350kpa，坝体选择2个断面，每个断面</w:t>
            </w:r>
            <w:r>
              <w:rPr>
                <w:rFonts w:hint="default" w:ascii="Times New Roman" w:hAnsi="Times New Roman" w:eastAsia="宋体" w:cs="Times New Roman"/>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支</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5F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99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22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DE33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72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6C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坝坡钻孔（含内置花管制安）</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21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测压管，花管采用DN50不锈钢管</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23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97.5</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BF9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68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6C31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A0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02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6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93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31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0D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66BF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C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3B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C3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2F2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B2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76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C4C5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80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81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C6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A1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2A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C49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4F66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C6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C8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23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29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AE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8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C0F0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9E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AE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7B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FD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3BE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AA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516E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2A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A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A9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r>
              <w:rPr>
                <w:rFonts w:hint="eastAsia" w:ascii="宋体" w:hAnsi="宋体" w:eastAsia="宋体" w:cs="宋体"/>
                <w:i w:val="0"/>
                <w:iCs w:val="0"/>
                <w:color w:val="auto"/>
                <w:kern w:val="0"/>
                <w:sz w:val="21"/>
                <w:szCs w:val="21"/>
                <w:highlight w:val="none"/>
                <w:u w:val="none"/>
                <w:lang w:val="en-US" w:eastAsia="zh-CN" w:bidi="ar"/>
              </w:rPr>
              <w:t>通道</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CE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D7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5AA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22F1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6A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48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2E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EB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E2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80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2AE8C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43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E5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9F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76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E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FB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7264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56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C7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48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E1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39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9A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18F2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2E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14C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3D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A5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A0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6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FB7E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36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F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6B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1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EF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53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082C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D3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1.14 </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23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065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69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B2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09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714A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A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F2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FC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783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54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A4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A1E5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4D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8B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80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E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A9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2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包含1套基站，6个表面变形监测点</w:t>
            </w:r>
          </w:p>
        </w:tc>
      </w:tr>
      <w:tr w14:paraId="6A32C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17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w:t>
            </w:r>
            <w:r>
              <w:rPr>
                <w:rFonts w:hint="default" w:ascii="Times New Roman" w:hAnsi="Times New Roman" w:eastAsia="宋体" w:cs="Times New Roman"/>
                <w:i w:val="0"/>
                <w:iCs w:val="0"/>
                <w:color w:val="auto"/>
                <w:kern w:val="0"/>
                <w:sz w:val="22"/>
                <w:szCs w:val="22"/>
                <w:highlight w:val="none"/>
                <w:u w:val="none"/>
                <w:lang w:val="en-US" w:eastAsia="zh-CN" w:bidi="ar"/>
              </w:rPr>
              <w:t>.</w:t>
            </w:r>
            <w:r>
              <w:rPr>
                <w:rFonts w:hint="eastAsia" w:ascii="Times New Roman" w:hAnsi="Times New Roman" w:eastAsia="宋体" w:cs="Times New Roman"/>
                <w:i w:val="0"/>
                <w:iCs w:val="0"/>
                <w:color w:val="auto"/>
                <w:kern w:val="0"/>
                <w:sz w:val="22"/>
                <w:szCs w:val="22"/>
                <w:highlight w:val="none"/>
                <w:u w:val="none"/>
                <w:lang w:val="en-US" w:eastAsia="zh-CN" w:bidi="ar"/>
              </w:rPr>
              <w:t>2</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AB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74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1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top"/>
          </w:tcPr>
          <w:p w14:paraId="635D18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A6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9C3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10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2.3</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03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0B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62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top"/>
          </w:tcPr>
          <w:p w14:paraId="66DCD8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A64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021D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614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2.4</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98E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BA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BF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top"/>
          </w:tcPr>
          <w:p w14:paraId="09BB36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15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564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5C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2.5</w:t>
            </w:r>
          </w:p>
        </w:tc>
        <w:tc>
          <w:tcPr>
            <w:tcW w:w="2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38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16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6D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27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E4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7740D7FF">
      <w:pPr>
        <w:ind w:firstLine="480"/>
        <w:rPr>
          <w:color w:val="auto"/>
          <w:highlight w:val="none"/>
        </w:rPr>
      </w:pPr>
    </w:p>
    <w:p w14:paraId="24989E2C">
      <w:pPr>
        <w:pStyle w:val="5"/>
        <w:rPr>
          <w:color w:val="auto"/>
          <w:highlight w:val="none"/>
        </w:rPr>
      </w:pPr>
      <w:r>
        <w:rPr>
          <w:rFonts w:hint="eastAsia"/>
          <w:color w:val="auto"/>
          <w:highlight w:val="none"/>
        </w:rPr>
        <w:t>凉水井水库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6ACF3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26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71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A4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A7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B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81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0922C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2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1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F86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6A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E3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64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19B2D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CF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51A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F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5C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2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9A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3F65D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D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DE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3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28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84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1E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15AE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B3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20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18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12C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00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46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A1AA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44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DA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7E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D8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BA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4F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7001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90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6E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22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E5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2D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4A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704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6E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6A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3F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61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68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9C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4D69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20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E8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3E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0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3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D4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F9A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55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E5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CFB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63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4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77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6306C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E0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80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E4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1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D9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94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69AB5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957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BC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6E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B1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5F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66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E2E9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44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40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59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AB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E0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9A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9159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5B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2C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3D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D8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8A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35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61D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3F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01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82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4E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C9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18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3E29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5D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D7C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6A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9B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8D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8B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87C4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42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0B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F6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58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95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C7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E606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18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1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96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F7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B82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B0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2A116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82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F7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60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70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51C4C5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A7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3284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07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9E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5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06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55B70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8B2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D5A8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11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B4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0E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2D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4ECC1E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9D4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353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3D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C8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98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1C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E9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1F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1E2975D3">
      <w:pPr>
        <w:ind w:firstLine="480"/>
        <w:rPr>
          <w:color w:val="auto"/>
          <w:highlight w:val="none"/>
        </w:rPr>
      </w:pPr>
    </w:p>
    <w:p w14:paraId="3799D873">
      <w:pPr>
        <w:pStyle w:val="5"/>
        <w:rPr>
          <w:color w:val="auto"/>
          <w:highlight w:val="none"/>
        </w:rPr>
      </w:pPr>
      <w:r>
        <w:rPr>
          <w:rFonts w:hint="eastAsia"/>
          <w:color w:val="auto"/>
          <w:highlight w:val="none"/>
        </w:rPr>
        <w:t>横梁子水库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74A4C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AA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00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6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7E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03F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23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3608A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2F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F1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7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6C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8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B8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192AD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30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B1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2E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59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23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6A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59345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01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5C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8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54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B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4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878C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88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C0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D0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16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10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2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E362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7D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29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7C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45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F0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03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47EA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7F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A36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01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41B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92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89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3D26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0F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83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86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85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87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BC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C4B3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98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A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13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02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C3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1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5C0E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FD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CE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53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68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08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34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042E0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94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F8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76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F5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F4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DC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1A30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53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45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31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2C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23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F52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4546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A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D1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1A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4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50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3A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A5F8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FF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28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36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33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03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20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B6C7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67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6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81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A4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C3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57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D81A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F0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AA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4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29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7C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CD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ED41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F1D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83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D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4A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12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9E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96B9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0D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17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1A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9B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23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4F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0AA96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5A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2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D8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F6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4C3FB1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73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B6D6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2E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E1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649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C01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924F9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DE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2678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DF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87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58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69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EAF2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34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26D7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4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2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9D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8F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FF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7B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13B0A970">
      <w:pPr>
        <w:ind w:firstLine="480"/>
        <w:rPr>
          <w:color w:val="auto"/>
          <w:highlight w:val="none"/>
        </w:rPr>
      </w:pPr>
    </w:p>
    <w:p w14:paraId="7E6BD6F9">
      <w:pPr>
        <w:pStyle w:val="5"/>
        <w:rPr>
          <w:color w:val="auto"/>
          <w:highlight w:val="none"/>
        </w:rPr>
      </w:pPr>
      <w:r>
        <w:rPr>
          <w:rFonts w:hint="eastAsia"/>
          <w:color w:val="auto"/>
          <w:highlight w:val="none"/>
        </w:rPr>
        <w:t>小坡脚水库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0232C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27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F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94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BA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6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097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4E28C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EB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8C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4D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39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B7E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C2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234D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36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F8D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C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AD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92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9C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00689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D4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0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3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38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7F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D8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9E6C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4F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E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B5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B0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DF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5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8B85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F1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87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F9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E3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7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0B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60B4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14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06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A7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A7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B3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79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3164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2B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B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3D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A9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C3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5C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F313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E2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54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4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3A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55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6E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2E3F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DF3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4C2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1A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94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56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29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5DD23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F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5C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51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04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0D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D2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7CA3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51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5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58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440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31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B0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EAE1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31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17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F2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11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DC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50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B46F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F3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0B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C3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76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53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96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1CE4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8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15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80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2B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11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69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DAB6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ED5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A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D5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D7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A2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7E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F9FF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B7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6B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C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252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FE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02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9285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C5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60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13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E4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D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BA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5D217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B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EA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8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F6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1C3206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F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294C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3B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33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FF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8C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4BFA5E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F8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576C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96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C2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17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01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481F4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8A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3836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2F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D11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84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E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F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A9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6D9677CC">
      <w:pPr>
        <w:ind w:firstLine="480"/>
        <w:rPr>
          <w:color w:val="auto"/>
          <w:highlight w:val="none"/>
        </w:rPr>
      </w:pPr>
    </w:p>
    <w:p w14:paraId="6CBF7A40">
      <w:pPr>
        <w:pStyle w:val="5"/>
        <w:rPr>
          <w:color w:val="auto"/>
          <w:highlight w:val="none"/>
        </w:rPr>
      </w:pPr>
      <w:r>
        <w:rPr>
          <w:rFonts w:hint="eastAsia"/>
          <w:color w:val="auto"/>
          <w:highlight w:val="none"/>
        </w:rPr>
        <w:t>娃娃坝水库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3F4B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78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39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14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B0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F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23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78C8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8F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5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A0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68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1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57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15082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649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23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09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FA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23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0D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6FBA4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C4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1C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E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B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79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0D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03FA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07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DA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C7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26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B4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66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B20C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01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69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65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AC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B0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741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44DA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86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95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73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7F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B4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09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79F8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0A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C4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D5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0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2B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44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348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3EA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24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48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D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28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E0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182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CA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F8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B9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39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88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7E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42307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E8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FF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48F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F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4C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CD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41472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42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7B0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8A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C0E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4C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6A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BA7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19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5B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D4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7E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89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AB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4E5B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0A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7A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BD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760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A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EC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3FEF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0E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B1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A5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D4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D6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6E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EAF6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D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11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AE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BA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89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94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F15B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64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D9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B3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DB7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39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DD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7A4C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4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2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E8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E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50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A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0CEAA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C5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CD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FD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62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8C5CD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A5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ACC9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1D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2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D6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B5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467859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F45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633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55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A8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13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09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0DEF41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D2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5278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66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AB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B6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516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0C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2C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79E6AF71">
      <w:pPr>
        <w:ind w:firstLine="480"/>
        <w:rPr>
          <w:color w:val="auto"/>
          <w:highlight w:val="none"/>
        </w:rPr>
      </w:pPr>
    </w:p>
    <w:p w14:paraId="08E21FA8">
      <w:pPr>
        <w:pStyle w:val="5"/>
        <w:rPr>
          <w:color w:val="auto"/>
          <w:highlight w:val="none"/>
        </w:rPr>
      </w:pPr>
      <w:r>
        <w:rPr>
          <w:rFonts w:hint="eastAsia"/>
          <w:color w:val="auto"/>
          <w:highlight w:val="none"/>
        </w:rPr>
        <w:t>桃树井水库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6A2BA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42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E0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41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E6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C9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618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6AF12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A2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A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2D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07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1A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2A7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5A66D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8E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00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E7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E0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B0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0C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2BAB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F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72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9B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8B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64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5D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4305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B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64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6E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30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0B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BB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DC9D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D6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9F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1C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07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1F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D0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9DC7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65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B0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9B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8E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98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35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7000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58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60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B4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BA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2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F6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2AFF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63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9E2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F4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91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B7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87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B424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85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0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03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76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9E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0F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53A34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BE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92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9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30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0B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C7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175E9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DD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BA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86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D0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9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61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69D4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13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B9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D6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FE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73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CF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9F10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6C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2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1B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36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7F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01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448C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80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0C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C6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A1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5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009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FFA5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63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1C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3D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4A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83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B6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80BB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ED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26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A0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9E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98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34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4D4B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E4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3B7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86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2C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C1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3E6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2DF2B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F2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E56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C0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FE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F4CB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363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A6B8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1E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F5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D1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38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EBC0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0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D2A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52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2E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CB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0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0A2550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79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A27E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7D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D9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36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693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8E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FBF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623BD8E9">
      <w:pPr>
        <w:ind w:firstLine="480"/>
        <w:rPr>
          <w:color w:val="auto"/>
          <w:highlight w:val="none"/>
        </w:rPr>
      </w:pPr>
    </w:p>
    <w:p w14:paraId="5DC79FFB">
      <w:pPr>
        <w:pStyle w:val="5"/>
        <w:rPr>
          <w:color w:val="auto"/>
          <w:highlight w:val="none"/>
        </w:rPr>
      </w:pPr>
      <w:r>
        <w:rPr>
          <w:rFonts w:hint="eastAsia"/>
          <w:color w:val="auto"/>
          <w:highlight w:val="none"/>
        </w:rPr>
        <w:t>景风水库</w:t>
      </w:r>
    </w:p>
    <w:tbl>
      <w:tblPr>
        <w:tblStyle w:val="5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7"/>
        <w:gridCol w:w="3554"/>
        <w:gridCol w:w="6539"/>
        <w:gridCol w:w="878"/>
        <w:gridCol w:w="817"/>
        <w:gridCol w:w="1563"/>
      </w:tblGrid>
      <w:tr w14:paraId="2EC18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21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86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F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0C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D1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C0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75350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45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77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B5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5A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17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0F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41895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FD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6C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E3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1F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6D0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C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6F0F5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64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5A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37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测量范围：0-350kpa，坝体选择2个断面，每个断面</w:t>
            </w:r>
            <w:r>
              <w:rPr>
                <w:rFonts w:hint="default" w:ascii="Times New Roman" w:hAnsi="Times New Roman" w:eastAsia="宋体" w:cs="Times New Roman"/>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支</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3C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B7D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09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64D8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87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9F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坝坡钻孔（含内置花管制安）</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22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测压管，花管采用DN50不锈钢管</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AB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35.75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1C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E3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F5C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10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E4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08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70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9F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90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C55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A0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03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53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16C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72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2C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E7E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1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6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BB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F8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C4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5D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96D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AB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8E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8C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FB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AA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DD8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7D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73D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9AB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1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89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3D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C05F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3C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80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D9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r>
              <w:rPr>
                <w:rFonts w:hint="eastAsia" w:ascii="宋体" w:hAnsi="宋体" w:eastAsia="宋体" w:cs="宋体"/>
                <w:i w:val="0"/>
                <w:iCs w:val="0"/>
                <w:color w:val="auto"/>
                <w:kern w:val="0"/>
                <w:sz w:val="21"/>
                <w:szCs w:val="21"/>
                <w:highlight w:val="none"/>
                <w:u w:val="none"/>
                <w:lang w:val="en-US" w:eastAsia="zh-CN" w:bidi="ar"/>
              </w:rPr>
              <w:t>通道</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97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07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4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50159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48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30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02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26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C55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18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24998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81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81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6D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46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63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9C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973C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00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59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72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93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6CB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96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024E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C7F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E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4A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03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76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B6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4A44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7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3F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50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64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3F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4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E157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D7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1.14 </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DF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96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F3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59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09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86A6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CB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F8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CB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C5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3C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23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79B9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B2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D1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7E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BD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1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90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包含1套基站，6个表面变形监测点</w:t>
            </w:r>
          </w:p>
        </w:tc>
      </w:tr>
      <w:tr w14:paraId="3F84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5A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w:t>
            </w:r>
            <w:r>
              <w:rPr>
                <w:rFonts w:hint="default" w:ascii="Times New Roman" w:hAnsi="Times New Roman" w:eastAsia="宋体" w:cs="Times New Roman"/>
                <w:i w:val="0"/>
                <w:iCs w:val="0"/>
                <w:color w:val="auto"/>
                <w:kern w:val="0"/>
                <w:sz w:val="22"/>
                <w:szCs w:val="22"/>
                <w:highlight w:val="none"/>
                <w:u w:val="none"/>
                <w:lang w:val="en-US" w:eastAsia="zh-CN" w:bidi="ar"/>
              </w:rPr>
              <w:t>.</w:t>
            </w:r>
            <w:r>
              <w:rPr>
                <w:rFonts w:hint="eastAsia" w:ascii="Times New Roman" w:hAnsi="Times New Roman" w:eastAsia="宋体" w:cs="Times New Roman"/>
                <w:i w:val="0"/>
                <w:iCs w:val="0"/>
                <w:color w:val="auto"/>
                <w:kern w:val="0"/>
                <w:sz w:val="22"/>
                <w:szCs w:val="22"/>
                <w:highlight w:val="none"/>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C7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58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27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542AA4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07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5508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DD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2.3</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51E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310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76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63C113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1D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AC27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B0B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48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EB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1E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top"/>
          </w:tcPr>
          <w:p w14:paraId="5A4891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F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281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8A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51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86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8C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A2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60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4AA0620D">
      <w:pPr>
        <w:ind w:firstLine="480"/>
        <w:rPr>
          <w:color w:val="auto"/>
          <w:highlight w:val="none"/>
        </w:rPr>
      </w:pPr>
    </w:p>
    <w:p w14:paraId="6EC4D077">
      <w:pPr>
        <w:pStyle w:val="5"/>
        <w:rPr>
          <w:color w:val="auto"/>
          <w:highlight w:val="none"/>
        </w:rPr>
      </w:pPr>
      <w:r>
        <w:rPr>
          <w:rFonts w:hint="eastAsia"/>
          <w:color w:val="auto"/>
          <w:highlight w:val="none"/>
        </w:rPr>
        <w:t>小坝塘水库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0390B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DC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E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4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FD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77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2A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0AA48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4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B6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19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12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75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5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12665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6F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F6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99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4A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88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E7F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28851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1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73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62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A5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33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8E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E95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8F5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99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22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7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22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6F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17CA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33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CD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4E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F3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2A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8A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759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45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4A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1C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FA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F2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7F6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C32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95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6EA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51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AD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D0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F1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BBF1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D3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C8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3C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9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7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D22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B1C2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C0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23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7B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2EC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F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25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5FC3B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2D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FA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8E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43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A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B4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47723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65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8F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70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DC9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4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BB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8725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294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F74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5B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25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C9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30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8E56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54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431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8F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76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4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03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A7E4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A04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BD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86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05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D4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0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5AFA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9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902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A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EB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33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BD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5711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69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4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FA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2A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B7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81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2A6E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F6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780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99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3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D1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D8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4B3CB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55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2A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51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E2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5459F9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FC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0CB3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90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76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BDD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90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11B3CB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DD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A5A0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DF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97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1D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B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A1413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0B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EC4A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D0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933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C2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E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F1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92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1FFB34D8">
      <w:pPr>
        <w:ind w:firstLine="480"/>
        <w:rPr>
          <w:color w:val="auto"/>
          <w:highlight w:val="none"/>
        </w:rPr>
      </w:pPr>
    </w:p>
    <w:p w14:paraId="56201B8F">
      <w:pPr>
        <w:pStyle w:val="5"/>
        <w:rPr>
          <w:color w:val="auto"/>
          <w:highlight w:val="none"/>
        </w:rPr>
      </w:pPr>
      <w:r>
        <w:rPr>
          <w:rFonts w:hint="eastAsia"/>
          <w:color w:val="auto"/>
          <w:highlight w:val="none"/>
        </w:rPr>
        <w:t>碗花厂水库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3F2DF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8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38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12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2A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C6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C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49094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C5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5F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20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4D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A4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16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2475A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A8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FD1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E2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EA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8F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9E3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46587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1AA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32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66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B6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13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3C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438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E5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6A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CB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27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22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AC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9B32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41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70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4B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71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BB8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04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07E1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01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AB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FE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DF9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60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97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2CE2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C7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A5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613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4A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AF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7C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CDD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5BE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E5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A4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9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41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DE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CE8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0E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AB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83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4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4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7B3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62110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F7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4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3C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FF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DF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2A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3214D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D0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6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94E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3F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43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D9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80F4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B66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E1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97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33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AE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B1E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C0BE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4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3F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C8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3E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96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4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0731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5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61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3C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610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A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498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116A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A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95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90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81E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40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18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146B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20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46E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93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2F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3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51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88DE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76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F7C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91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AD5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B5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89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664C2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59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7C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12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48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29BDD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9B6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2852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1F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B1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4D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EF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51AFA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75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ECBC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75D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84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54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1F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195B6B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CD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4236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1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A8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1A2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5E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88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C5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4E3F8215">
      <w:pPr>
        <w:ind w:firstLine="480"/>
        <w:rPr>
          <w:color w:val="auto"/>
          <w:highlight w:val="none"/>
        </w:rPr>
      </w:pPr>
    </w:p>
    <w:p w14:paraId="03E6F15B">
      <w:pPr>
        <w:pStyle w:val="5"/>
        <w:rPr>
          <w:color w:val="auto"/>
          <w:highlight w:val="none"/>
        </w:rPr>
      </w:pPr>
      <w:r>
        <w:rPr>
          <w:rFonts w:hint="eastAsia"/>
          <w:color w:val="auto"/>
          <w:highlight w:val="none"/>
        </w:rPr>
        <w:t>红日一级水库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2CA55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9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7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31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C6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13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B2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5A40A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DF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52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90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3B9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AD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290F5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58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FC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96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0D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B1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52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6F306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B6A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F5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FD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3B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68A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8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0A02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1B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38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5C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E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60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BD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ED43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DB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AD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D6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12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39E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47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1116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8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AF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A6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25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62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72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563D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EB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B4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9C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8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88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CF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84F8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8F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70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4D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53B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92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E66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7C85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2F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B3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F7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66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A4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0A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76484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98E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C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8E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E0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07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4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1F869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19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D4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8A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EC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B8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D6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6B80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A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F5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48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61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07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13F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068E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7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33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7E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C1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2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C6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8659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C9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44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B01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01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7A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CC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BD6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1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F6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4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A3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0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D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D3A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C2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06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37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6E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2A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A9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02C2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36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D89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4B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91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EE8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BC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3D4B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CA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66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3B3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7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3482D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95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DBC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95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E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F3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F5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1EDA33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01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8E73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57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C8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DA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B9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17C4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81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F5A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E3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151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31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28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1B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94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358411E7">
      <w:pPr>
        <w:ind w:firstLine="480"/>
        <w:rPr>
          <w:color w:val="auto"/>
          <w:highlight w:val="none"/>
        </w:rPr>
      </w:pPr>
    </w:p>
    <w:p w14:paraId="130B1F1E">
      <w:pPr>
        <w:pStyle w:val="5"/>
        <w:rPr>
          <w:color w:val="auto"/>
          <w:highlight w:val="none"/>
        </w:rPr>
      </w:pPr>
      <w:r>
        <w:rPr>
          <w:rFonts w:hint="eastAsia"/>
          <w:color w:val="auto"/>
          <w:highlight w:val="none"/>
        </w:rPr>
        <w:t>徐家冲水库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37837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0D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BA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A7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122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95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30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1FD9B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5A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F5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1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B2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3D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140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4AA36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86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55D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14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607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F1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B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611CA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F1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CD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C3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AC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F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FE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DA26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3B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06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E09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4F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FE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AB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32C7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60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C3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94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93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C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CF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F6B1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E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9A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6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5D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9E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19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B66C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E6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89B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88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D5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53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60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8E5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A2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73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20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F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0E2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8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96E0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8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83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8EA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19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8A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5A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071F2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AD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5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A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EB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7B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E55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71EBE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475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10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7F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4A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4F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DA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83B0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99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7C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04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14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41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0E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488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BE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34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1B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AD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9A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84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4BB5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D6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10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A6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8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E0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6C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793F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50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30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AE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97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4B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09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7F7A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9D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78D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34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8CF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06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B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8208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C09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5C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31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3F1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FF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F10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7CB3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CB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46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A2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EE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7CF56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A4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2AEE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D6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7B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EA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1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DD809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A3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73CF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B6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80C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2C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C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5D600F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B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EADF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79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42A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B1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AC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67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9C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4AD8C2E6">
      <w:pPr>
        <w:ind w:firstLine="480"/>
        <w:rPr>
          <w:color w:val="auto"/>
          <w:highlight w:val="none"/>
        </w:rPr>
      </w:pPr>
    </w:p>
    <w:p w14:paraId="0EAD4BCB">
      <w:pPr>
        <w:pStyle w:val="5"/>
        <w:rPr>
          <w:color w:val="auto"/>
          <w:highlight w:val="none"/>
        </w:rPr>
      </w:pPr>
      <w:r>
        <w:rPr>
          <w:rFonts w:hint="eastAsia"/>
          <w:color w:val="auto"/>
          <w:highlight w:val="none"/>
          <w:lang w:val="en-US" w:eastAsia="zh-CN"/>
        </w:rPr>
        <w:t>螃蟹</w:t>
      </w:r>
      <w:r>
        <w:rPr>
          <w:rFonts w:hint="eastAsia"/>
          <w:color w:val="auto"/>
          <w:highlight w:val="none"/>
        </w:rPr>
        <w:t>冲水库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52F6C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03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89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7C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42C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E8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48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1EE04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1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5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F5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DD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4D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BA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371FA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B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E7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C40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C4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F0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5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4110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16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67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62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D8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FA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67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CD37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B81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AD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E0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06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2D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92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40DC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44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9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DA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F2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8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7A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CD93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F5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8C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59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32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5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D6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506B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5C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AD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1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70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0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9C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A834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3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20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C6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D6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9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78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B507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6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ED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88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40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F7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835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5AE6C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9DB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94D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05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8B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1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35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46EAB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54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05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854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49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E6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45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CF78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FC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9F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E9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71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69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80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07BD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0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3E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3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25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3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5E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8D57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84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5F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4C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7B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82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68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0CD6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F2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5F1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39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11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16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B6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8F22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41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AB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9B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41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3D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0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6968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4C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D2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69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B3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16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B7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202D5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70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B5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E0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E8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42585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A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DA5F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62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3E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1C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EB4EF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D1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7755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324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7E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96C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6D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2B2965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B9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0B20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0A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74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C0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44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59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53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33B5341D">
      <w:pPr>
        <w:rPr>
          <w:color w:val="auto"/>
          <w:highlight w:val="none"/>
        </w:rPr>
      </w:pPr>
    </w:p>
    <w:p w14:paraId="37DDA4EF">
      <w:pPr>
        <w:pStyle w:val="5"/>
        <w:rPr>
          <w:color w:val="auto"/>
          <w:highlight w:val="none"/>
        </w:rPr>
      </w:pPr>
      <w:r>
        <w:rPr>
          <w:rFonts w:hint="eastAsia"/>
          <w:color w:val="auto"/>
          <w:highlight w:val="none"/>
          <w:lang w:val="en-US" w:eastAsia="zh-CN"/>
        </w:rPr>
        <w:t>红日二级</w:t>
      </w:r>
      <w:r>
        <w:rPr>
          <w:rFonts w:hint="eastAsia"/>
          <w:color w:val="auto"/>
          <w:highlight w:val="none"/>
        </w:rPr>
        <w:t>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53D70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8F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98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56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83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3A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02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584F4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C2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AE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39A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0F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19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7B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05C2E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E0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2A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06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8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BB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00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4EC9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0B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5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28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68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95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84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552C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F4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9C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28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D6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AA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6E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913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29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FB7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9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C8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9E5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AC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F57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30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6D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26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6E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1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80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FE9F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3D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5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8F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5A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48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90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918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CA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F0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443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0B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56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95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4155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64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15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881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25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53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47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10257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34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A5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4A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25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FC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6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119DC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7C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14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F8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F8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92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F9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38FE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A1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1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7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F3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B0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71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E5AC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27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F6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26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A5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C5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EB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33B7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A1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69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E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A8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B0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B3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4DC0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658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7C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63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F3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0A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D7D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F55F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66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5A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48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96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5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36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ACE1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2F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27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CA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C4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0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E1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6796E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7F5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D9A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0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71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0DE06D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02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00D0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0F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98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E7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EB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0B3A9D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E6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9B29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03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7C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DE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F2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37EBB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1D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2C307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10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73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B7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D5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87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D35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69AC970D">
      <w:pPr>
        <w:rPr>
          <w:color w:val="auto"/>
          <w:highlight w:val="none"/>
        </w:rPr>
      </w:pPr>
    </w:p>
    <w:p w14:paraId="1FA35F1A">
      <w:pPr>
        <w:pStyle w:val="5"/>
        <w:rPr>
          <w:color w:val="auto"/>
          <w:highlight w:val="none"/>
        </w:rPr>
      </w:pPr>
      <w:r>
        <w:rPr>
          <w:rFonts w:hint="eastAsia"/>
          <w:color w:val="auto"/>
          <w:highlight w:val="none"/>
          <w:lang w:val="en-US" w:eastAsia="zh-CN"/>
        </w:rPr>
        <w:t>严家湾</w:t>
      </w:r>
      <w:r>
        <w:rPr>
          <w:rFonts w:hint="eastAsia"/>
          <w:color w:val="auto"/>
          <w:highlight w:val="none"/>
        </w:rPr>
        <w:t>水库</w:t>
      </w:r>
    </w:p>
    <w:tbl>
      <w:tblPr>
        <w:tblStyle w:val="5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1"/>
        <w:gridCol w:w="2983"/>
        <w:gridCol w:w="6978"/>
        <w:gridCol w:w="851"/>
        <w:gridCol w:w="851"/>
        <w:gridCol w:w="1650"/>
      </w:tblGrid>
      <w:tr w14:paraId="09E17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E3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F7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BC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73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BC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AAD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08231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BB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84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大坝安全监测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89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A5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CF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67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r>
      <w:tr w14:paraId="5EDF1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C2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9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大坝渗流监测</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97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6A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25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94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黑体" w:hAnsi="宋体" w:eastAsia="黑体" w:cs="黑体"/>
                <w:i w:val="0"/>
                <w:iCs w:val="0"/>
                <w:color w:val="auto"/>
                <w:sz w:val="21"/>
                <w:szCs w:val="21"/>
                <w:highlight w:val="none"/>
                <w:u w:val="none"/>
              </w:rPr>
            </w:pPr>
          </w:p>
        </w:tc>
      </w:tr>
      <w:tr w14:paraId="4610E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91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93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渗压计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7C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测量范围：0-350kpa，坝体选择1个断面，每个断面2支</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53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F9F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0D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00D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1F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F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08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量程：0~1000mm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67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CC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B5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D639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CE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98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三角堰板</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3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根据现场条件（不锈钢8~10平方米）</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AF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26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DD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0A0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EC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AC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量水堰改造</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C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量水堰计安装土建</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37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43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87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3A4CB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69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BC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水工通信电缆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48F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芯线×截面：4×0.35+1×0.3；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8F0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931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m</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B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C187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31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39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电缆保护管</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249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pe，DN50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8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200</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D3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BF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E877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61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C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数据汇集模块</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04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通道</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6B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E4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4E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auto"/>
                <w:sz w:val="21"/>
                <w:szCs w:val="21"/>
                <w:highlight w:val="none"/>
                <w:u w:val="none"/>
              </w:rPr>
            </w:pPr>
          </w:p>
        </w:tc>
      </w:tr>
      <w:tr w14:paraId="00F12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2E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4F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F0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AC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74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9D2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r w14:paraId="29203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D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EA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设备保护箱</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33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B1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7A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B6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80DC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9F6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1.10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B8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75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3A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C5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D2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60AA1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49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1.11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B0D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设备箱基础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E7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9E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7E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F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D902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1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DE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太阳能供电系统</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9C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50W太阳能板/38AH/12V蓄电池/10a控制器</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22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D6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79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70DE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82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1.13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C0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系统防雷接地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88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现场制作</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55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1B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AC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74D09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7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 </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5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大坝表面变形</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88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03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A7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6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659D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CD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5A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GNSS表面变形监测点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8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全星座多频点接收，支持北斗三代卫星，包括但不限于：BDS：B1、B2、B3、B1I、 B2I、B3、 B1C、B2a；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配套GNSS后解算软件具备多协议接入、多路同时解算、后处理模型功能；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定位精度：静态精度：平面：±(2.5+0.5×10-6×D)mm，高程：±(5+0.5×10-6×D)mm；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支持前端解算；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集成太阳能供电系统，连续阴雨天工作时间不小于10天</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09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E9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4F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包含1套基站，两个表面变形监测点</w:t>
            </w:r>
          </w:p>
        </w:tc>
      </w:tr>
      <w:tr w14:paraId="4C9F4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8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1C8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GNSS立杆</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0D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2m，直径114mm</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16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CB985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CF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03F6C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9C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69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GNSS基础</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B0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600*600*800mm，含预埋件</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31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64577B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48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58224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C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60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水准标点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2F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人工校核</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80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top"/>
          </w:tcPr>
          <w:p w14:paraId="37048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1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宋体" w:hAnsi="宋体" w:eastAsia="宋体" w:cs="宋体"/>
                <w:i w:val="0"/>
                <w:iCs w:val="0"/>
                <w:color w:val="auto"/>
                <w:sz w:val="21"/>
                <w:szCs w:val="21"/>
                <w:highlight w:val="none"/>
                <w:u w:val="none"/>
              </w:rPr>
            </w:pPr>
          </w:p>
        </w:tc>
      </w:tr>
      <w:tr w14:paraId="1BB1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AA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AB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物联网卡（含流量费）</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46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1G/月</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69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F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2E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含5年流量</w:t>
            </w:r>
          </w:p>
        </w:tc>
      </w:tr>
    </w:tbl>
    <w:p w14:paraId="1567BC04">
      <w:pPr>
        <w:ind w:firstLine="480"/>
        <w:rPr>
          <w:rFonts w:hint="eastAsia"/>
          <w:color w:val="auto"/>
          <w:highlight w:val="none"/>
        </w:rPr>
        <w:sectPr>
          <w:headerReference r:id="rId12" w:type="default"/>
          <w:footerReference r:id="rId13" w:type="default"/>
          <w:pgSz w:w="16838" w:h="11906" w:orient="landscape"/>
          <w:pgMar w:top="1440" w:right="1440" w:bottom="1440" w:left="1440" w:header="851" w:footer="992" w:gutter="0"/>
          <w:pgNumType w:fmt="decimal"/>
          <w:cols w:space="720" w:num="1"/>
          <w:docGrid w:linePitch="312" w:charSpace="0"/>
        </w:sectPr>
      </w:pPr>
      <w:r>
        <w:rPr>
          <w:rFonts w:hint="eastAsia"/>
          <w:color w:val="auto"/>
          <w:highlight w:val="none"/>
        </w:rPr>
        <w:br w:type="page"/>
      </w:r>
    </w:p>
    <w:p w14:paraId="12D16A80">
      <w:pPr>
        <w:pStyle w:val="2"/>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第</w:t>
      </w:r>
      <w:r>
        <w:rPr>
          <w:rFonts w:hint="eastAsia" w:ascii="宋体" w:hAnsi="宋体" w:eastAsia="宋体" w:cs="宋体"/>
          <w:iCs/>
          <w:color w:val="auto"/>
          <w:sz w:val="32"/>
          <w:szCs w:val="32"/>
          <w:highlight w:val="none"/>
          <w:lang w:eastAsia="zh-CN"/>
        </w:rPr>
        <w:t>六</w:t>
      </w:r>
      <w:r>
        <w:rPr>
          <w:rFonts w:hint="eastAsia" w:ascii="宋体" w:hAnsi="宋体" w:eastAsia="宋体" w:cs="宋体"/>
          <w:iCs/>
          <w:color w:val="auto"/>
          <w:sz w:val="32"/>
          <w:szCs w:val="32"/>
          <w:highlight w:val="none"/>
        </w:rPr>
        <w:t>章  响应文件格式</w:t>
      </w:r>
      <w:bookmarkEnd w:id="107"/>
    </w:p>
    <w:p w14:paraId="71FAA6C3">
      <w:pPr>
        <w:spacing w:line="360" w:lineRule="auto"/>
        <w:ind w:firstLine="437"/>
        <w:jc w:val="center"/>
        <w:rPr>
          <w:rFonts w:hint="eastAsia" w:ascii="宋体" w:hAnsi="宋体" w:eastAsia="宋体" w:cs="宋体"/>
          <w:b/>
          <w:bCs/>
          <w:color w:val="auto"/>
          <w:sz w:val="44"/>
          <w:szCs w:val="44"/>
          <w:highlight w:val="none"/>
        </w:rPr>
      </w:pPr>
      <w:r>
        <w:rPr>
          <w:rFonts w:hint="eastAsia" w:ascii="宋体" w:hAnsi="宋体" w:cs="宋体"/>
          <w:b/>
          <w:bCs/>
          <w:color w:val="auto"/>
          <w:sz w:val="44"/>
          <w:szCs w:val="44"/>
          <w:highlight w:val="none"/>
          <w:lang w:eastAsia="zh-CN"/>
        </w:rPr>
        <w:t>昭阳区2025年小型水库大坝安全监测设施建设项目</w:t>
      </w:r>
    </w:p>
    <w:p w14:paraId="43F22AB7">
      <w:pPr>
        <w:spacing w:line="460" w:lineRule="exact"/>
        <w:ind w:firstLine="437"/>
        <w:rPr>
          <w:rFonts w:hint="eastAsia" w:ascii="宋体" w:hAnsi="宋体" w:eastAsia="宋体" w:cs="宋体"/>
          <w:color w:val="auto"/>
          <w:szCs w:val="21"/>
          <w:highlight w:val="none"/>
        </w:rPr>
      </w:pPr>
    </w:p>
    <w:p w14:paraId="6A238753">
      <w:pPr>
        <w:spacing w:line="540" w:lineRule="exact"/>
        <w:rPr>
          <w:rFonts w:hint="eastAsia" w:ascii="宋体" w:hAnsi="宋体" w:eastAsia="宋体" w:cs="宋体"/>
          <w:color w:val="auto"/>
          <w:szCs w:val="21"/>
          <w:highlight w:val="none"/>
        </w:rPr>
      </w:pPr>
    </w:p>
    <w:p w14:paraId="27F27F0E">
      <w:pPr>
        <w:jc w:val="center"/>
        <w:rPr>
          <w:rFonts w:hint="eastAsia" w:ascii="宋体" w:hAnsi="宋体" w:eastAsia="宋体" w:cs="宋体"/>
          <w:b/>
          <w:color w:val="auto"/>
          <w:sz w:val="72"/>
          <w:szCs w:val="72"/>
          <w:highlight w:val="none"/>
        </w:rPr>
      </w:pPr>
    </w:p>
    <w:p w14:paraId="48F00A52">
      <w:pPr>
        <w:jc w:val="center"/>
        <w:rPr>
          <w:rFonts w:hint="eastAsia" w:ascii="宋体" w:hAnsi="宋体" w:eastAsia="宋体" w:cs="宋体"/>
          <w:b/>
          <w:color w:val="auto"/>
          <w:sz w:val="72"/>
          <w:szCs w:val="72"/>
          <w:highlight w:val="none"/>
        </w:rPr>
      </w:pPr>
    </w:p>
    <w:p w14:paraId="01012106">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响应文件</w:t>
      </w:r>
    </w:p>
    <w:p w14:paraId="1DA00F04">
      <w:pPr>
        <w:jc w:val="center"/>
        <w:rPr>
          <w:rFonts w:hint="eastAsia" w:ascii="宋体" w:hAnsi="宋体" w:eastAsia="宋体" w:cs="宋体"/>
          <w:color w:val="auto"/>
          <w:sz w:val="32"/>
          <w:szCs w:val="32"/>
          <w:highlight w:val="none"/>
        </w:rPr>
      </w:pPr>
    </w:p>
    <w:p w14:paraId="0B250738">
      <w:pPr>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rPr>
        <w:t xml:space="preserve"> </w:t>
      </w:r>
    </w:p>
    <w:p w14:paraId="06DC16C8">
      <w:pPr>
        <w:spacing w:line="540" w:lineRule="exact"/>
        <w:ind w:firstLine="437"/>
        <w:rPr>
          <w:rFonts w:hint="eastAsia" w:ascii="宋体" w:hAnsi="宋体" w:eastAsia="宋体" w:cs="宋体"/>
          <w:color w:val="auto"/>
          <w:szCs w:val="21"/>
          <w:highlight w:val="none"/>
        </w:rPr>
      </w:pPr>
    </w:p>
    <w:p w14:paraId="3CE25BB3">
      <w:pPr>
        <w:spacing w:line="540" w:lineRule="exact"/>
        <w:ind w:firstLine="437"/>
        <w:rPr>
          <w:rFonts w:hint="eastAsia" w:ascii="宋体" w:hAnsi="宋体" w:eastAsia="宋体" w:cs="宋体"/>
          <w:color w:val="auto"/>
          <w:szCs w:val="21"/>
          <w:highlight w:val="none"/>
        </w:rPr>
      </w:pPr>
    </w:p>
    <w:p w14:paraId="63FE4DF5">
      <w:pPr>
        <w:spacing w:line="540" w:lineRule="exact"/>
        <w:ind w:firstLine="437"/>
        <w:rPr>
          <w:rFonts w:hint="eastAsia" w:ascii="宋体" w:hAnsi="宋体" w:eastAsia="宋体" w:cs="宋体"/>
          <w:color w:val="auto"/>
          <w:szCs w:val="21"/>
          <w:highlight w:val="none"/>
        </w:rPr>
      </w:pPr>
    </w:p>
    <w:p w14:paraId="458538AD">
      <w:pPr>
        <w:pStyle w:val="25"/>
        <w:ind w:left="0" w:leftChars="0" w:firstLine="0" w:firstLineChars="0"/>
        <w:rPr>
          <w:rFonts w:hint="eastAsia" w:ascii="宋体" w:hAnsi="宋体" w:eastAsia="宋体" w:cs="宋体"/>
          <w:color w:val="auto"/>
          <w:szCs w:val="21"/>
          <w:highlight w:val="none"/>
        </w:rPr>
      </w:pPr>
    </w:p>
    <w:p w14:paraId="4663ACC8">
      <w:pPr>
        <w:pStyle w:val="22"/>
        <w:rPr>
          <w:rFonts w:hint="eastAsia" w:ascii="宋体" w:hAnsi="宋体" w:eastAsia="宋体" w:cs="宋体"/>
          <w:color w:val="auto"/>
          <w:highlight w:val="none"/>
        </w:rPr>
      </w:pPr>
    </w:p>
    <w:p w14:paraId="7355AC41">
      <w:pPr>
        <w:spacing w:line="540" w:lineRule="exact"/>
        <w:ind w:firstLine="437"/>
        <w:rPr>
          <w:rFonts w:hint="eastAsia" w:ascii="宋体" w:hAnsi="宋体" w:eastAsia="宋体" w:cs="宋体"/>
          <w:color w:val="auto"/>
          <w:szCs w:val="21"/>
          <w:highlight w:val="none"/>
        </w:rPr>
      </w:pPr>
    </w:p>
    <w:p w14:paraId="4C1C5F62">
      <w:pPr>
        <w:spacing w:line="360" w:lineRule="auto"/>
        <w:ind w:firstLine="43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cs="宋体"/>
          <w:color w:val="auto"/>
          <w:sz w:val="28"/>
          <w:szCs w:val="28"/>
          <w:highlight w:val="none"/>
          <w:lang w:eastAsia="zh-CN"/>
        </w:rPr>
        <w:t>电子签章</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0A17FFF2">
      <w:pPr>
        <w:spacing w:line="360" w:lineRule="auto"/>
        <w:ind w:firstLine="437"/>
        <w:rPr>
          <w:rFonts w:hint="eastAsia" w:ascii="宋体" w:hAnsi="宋体" w:eastAsia="宋体" w:cs="宋体"/>
          <w:b/>
          <w:color w:val="auto"/>
          <w:sz w:val="28"/>
          <w:szCs w:val="28"/>
          <w:highlight w:val="none"/>
          <w:u w:val="single"/>
        </w:rPr>
      </w:pPr>
      <w:r>
        <w:rPr>
          <w:rFonts w:hint="eastAsia" w:ascii="宋体" w:hAnsi="宋体" w:eastAsia="宋体" w:cs="宋体"/>
          <w:color w:val="auto"/>
          <w:sz w:val="28"/>
          <w:szCs w:val="28"/>
          <w:highlight w:val="none"/>
        </w:rPr>
        <w:t>法定代表人或其委托代理人（签字或盖章）:</w:t>
      </w:r>
      <w:r>
        <w:rPr>
          <w:rFonts w:hint="eastAsia" w:ascii="宋体" w:hAnsi="宋体" w:eastAsia="宋体" w:cs="宋体"/>
          <w:color w:val="auto"/>
          <w:sz w:val="28"/>
          <w:szCs w:val="28"/>
          <w:highlight w:val="none"/>
          <w:u w:val="single"/>
        </w:rPr>
        <w:t xml:space="preserve">             </w:t>
      </w:r>
    </w:p>
    <w:p w14:paraId="0A2F5EE8">
      <w:pPr>
        <w:spacing w:line="540" w:lineRule="exact"/>
        <w:ind w:firstLine="1918" w:firstLineChars="68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2978A93">
      <w:pPr>
        <w:pStyle w:val="3"/>
        <w:jc w:val="center"/>
        <w:rPr>
          <w:rFonts w:hint="eastAsia" w:ascii="宋体" w:hAnsi="宋体" w:eastAsia="宋体" w:cs="宋体"/>
          <w:color w:val="auto"/>
          <w:highlight w:val="none"/>
        </w:rPr>
        <w:sectPr>
          <w:headerReference r:id="rId14" w:type="default"/>
          <w:footerReference r:id="rId15" w:type="default"/>
          <w:pgSz w:w="11906" w:h="16838"/>
          <w:pgMar w:top="1440" w:right="1440" w:bottom="1440" w:left="1440" w:header="851" w:footer="992" w:gutter="0"/>
          <w:pgNumType w:fmt="decimal"/>
          <w:cols w:space="720" w:num="1"/>
          <w:docGrid w:linePitch="312" w:charSpace="0"/>
        </w:sectPr>
      </w:pPr>
      <w:bookmarkStart w:id="108" w:name="_Toc19455"/>
      <w:bookmarkStart w:id="109" w:name="_Toc27354"/>
      <w:bookmarkStart w:id="110" w:name="_Toc7444"/>
      <w:bookmarkStart w:id="111" w:name="_Toc25159"/>
    </w:p>
    <w:p w14:paraId="7A79681E">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一、响应文件资格审查部分格式</w:t>
      </w:r>
      <w:bookmarkEnd w:id="108"/>
      <w:bookmarkEnd w:id="109"/>
      <w:bookmarkEnd w:id="110"/>
      <w:bookmarkEnd w:id="111"/>
    </w:p>
    <w:p w14:paraId="32AF9919">
      <w:pPr>
        <w:pStyle w:val="3"/>
        <w:jc w:val="center"/>
        <w:rPr>
          <w:rFonts w:hint="eastAsia" w:ascii="宋体" w:hAnsi="宋体" w:eastAsia="宋体" w:cs="宋体"/>
          <w:color w:val="auto"/>
          <w:sz w:val="30"/>
          <w:szCs w:val="30"/>
          <w:highlight w:val="none"/>
        </w:rPr>
      </w:pPr>
      <w:bookmarkStart w:id="112" w:name="_Toc4093"/>
      <w:bookmarkStart w:id="113" w:name="_Toc5601"/>
      <w:bookmarkStart w:id="114" w:name="_Toc31401"/>
      <w:bookmarkStart w:id="115" w:name="_Toc8490"/>
      <w:r>
        <w:rPr>
          <w:rFonts w:hint="eastAsia" w:ascii="宋体" w:hAnsi="宋体" w:eastAsia="宋体" w:cs="宋体"/>
          <w:color w:val="auto"/>
          <w:sz w:val="30"/>
          <w:szCs w:val="30"/>
          <w:highlight w:val="none"/>
        </w:rPr>
        <w:t>（一）营业执照副本</w:t>
      </w:r>
      <w:bookmarkEnd w:id="112"/>
      <w:bookmarkEnd w:id="113"/>
      <w:bookmarkEnd w:id="114"/>
      <w:r>
        <w:rPr>
          <w:rFonts w:hint="eastAsia" w:ascii="宋体" w:hAnsi="宋体" w:eastAsia="宋体" w:cs="宋体"/>
          <w:color w:val="auto"/>
          <w:sz w:val="30"/>
          <w:szCs w:val="30"/>
          <w:highlight w:val="none"/>
          <w:lang w:val="en-US" w:eastAsia="zh-CN"/>
        </w:rPr>
        <w:t>、资质证书、安全产许可证扫描件</w:t>
      </w:r>
      <w:bookmarkEnd w:id="115"/>
    </w:p>
    <w:p w14:paraId="6962BAA7">
      <w:pPr>
        <w:jc w:val="center"/>
        <w:rPr>
          <w:rFonts w:hint="eastAsia" w:ascii="宋体" w:hAnsi="宋体" w:eastAsia="宋体" w:cs="宋体"/>
          <w:color w:val="auto"/>
          <w:sz w:val="24"/>
          <w:szCs w:val="24"/>
          <w:highlight w:val="none"/>
        </w:rPr>
      </w:pPr>
      <w:bookmarkStart w:id="116" w:name="_Toc23388"/>
      <w:bookmarkStart w:id="117" w:name="_Toc26067"/>
      <w:bookmarkStart w:id="118" w:name="_Toc5072"/>
      <w:bookmarkStart w:id="119" w:name="_Toc26194"/>
      <w:r>
        <w:rPr>
          <w:rFonts w:hint="eastAsia" w:ascii="宋体" w:hAnsi="宋体" w:eastAsia="宋体" w:cs="宋体"/>
          <w:color w:val="auto"/>
          <w:sz w:val="24"/>
          <w:szCs w:val="24"/>
          <w:highlight w:val="none"/>
        </w:rPr>
        <w:t>附复印件</w:t>
      </w:r>
      <w:r>
        <w:rPr>
          <w:rFonts w:hint="eastAsia" w:ascii="宋体" w:hAnsi="宋体" w:eastAsia="宋体" w:cs="宋体"/>
          <w:color w:val="auto"/>
          <w:sz w:val="24"/>
          <w:szCs w:val="24"/>
          <w:highlight w:val="none"/>
          <w:lang w:val="en-US" w:eastAsia="zh-CN"/>
        </w:rPr>
        <w:t>加盖</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p>
    <w:p w14:paraId="09A87420">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eastAsia" w:ascii="宋体" w:hAnsi="宋体" w:eastAsia="宋体" w:cs="宋体"/>
          <w:color w:val="auto"/>
          <w:sz w:val="32"/>
          <w:szCs w:val="32"/>
          <w:highlight w:val="none"/>
        </w:rPr>
        <w:sectPr>
          <w:headerReference r:id="rId16" w:type="default"/>
          <w:footerReference r:id="rId17" w:type="default"/>
          <w:pgSz w:w="11906" w:h="16838"/>
          <w:pgMar w:top="1440" w:right="1440" w:bottom="1440" w:left="1440" w:header="851" w:footer="992" w:gutter="0"/>
          <w:pgNumType w:fmt="decimal"/>
          <w:cols w:space="720" w:num="1"/>
          <w:docGrid w:linePitch="312" w:charSpace="0"/>
        </w:sectPr>
      </w:pPr>
    </w:p>
    <w:p w14:paraId="562792ED">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（二）</w:t>
      </w:r>
      <w:bookmarkEnd w:id="116"/>
      <w:bookmarkEnd w:id="117"/>
      <w:r>
        <w:rPr>
          <w:rFonts w:hint="eastAsia" w:ascii="宋体" w:hAnsi="宋体" w:eastAsia="宋体" w:cs="宋体"/>
          <w:color w:val="auto"/>
          <w:sz w:val="32"/>
          <w:szCs w:val="32"/>
          <w:highlight w:val="none"/>
        </w:rPr>
        <w:t>财务状况报告，依法缴纳税收和社会保障资金的相关材料</w:t>
      </w:r>
      <w:bookmarkEnd w:id="118"/>
      <w:bookmarkEnd w:id="119"/>
    </w:p>
    <w:p w14:paraId="51BFE8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附复印件</w:t>
      </w:r>
      <w:r>
        <w:rPr>
          <w:rFonts w:hint="eastAsia" w:ascii="宋体" w:hAnsi="宋体" w:eastAsia="宋体" w:cs="宋体"/>
          <w:color w:val="auto"/>
          <w:sz w:val="24"/>
          <w:szCs w:val="24"/>
          <w:highlight w:val="none"/>
          <w:lang w:val="en-US" w:eastAsia="zh-CN"/>
        </w:rPr>
        <w:t>加盖</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p>
    <w:p w14:paraId="3A64BA5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E94B45D">
      <w:pPr>
        <w:pStyle w:val="14"/>
        <w:keepNext w:val="0"/>
        <w:keepLines w:val="0"/>
        <w:pageBreakBefore w:val="0"/>
        <w:widowControl/>
        <w:numPr>
          <w:ilvl w:val="0"/>
          <w:numId w:val="7"/>
        </w:numPr>
        <w:kinsoku/>
        <w:wordWrap/>
        <w:overflowPunct/>
        <w:topLinePunct w:val="0"/>
        <w:autoSpaceDE/>
        <w:autoSpaceDN/>
        <w:bidi w:val="0"/>
        <w:adjustRightInd/>
        <w:snapToGrid/>
        <w:ind w:firstLine="420"/>
        <w:textAlignment w:val="auto"/>
        <w:outlineLvl w:val="1"/>
        <w:rPr>
          <w:rFonts w:hint="eastAsia" w:ascii="宋体" w:hAnsi="宋体" w:eastAsia="宋体" w:cs="宋体"/>
          <w:b/>
          <w:bCs/>
          <w:color w:val="auto"/>
          <w:sz w:val="30"/>
          <w:szCs w:val="30"/>
          <w:highlight w:val="none"/>
          <w:lang w:val="en-US" w:eastAsia="zh-CN" w:bidi="ar-SA"/>
        </w:rPr>
      </w:pPr>
      <w:bookmarkStart w:id="120" w:name="_Toc18691"/>
      <w:r>
        <w:rPr>
          <w:rFonts w:hint="eastAsia" w:ascii="宋体" w:hAnsi="宋体" w:eastAsia="宋体" w:cs="宋体"/>
          <w:b/>
          <w:bCs/>
          <w:color w:val="auto"/>
          <w:sz w:val="30"/>
          <w:szCs w:val="30"/>
          <w:highlight w:val="none"/>
          <w:lang w:val="en-US" w:eastAsia="zh-CN" w:bidi="ar-SA"/>
        </w:rPr>
        <w:t>具备履行合同所必需的设备和专业技术能力的证明材料</w:t>
      </w:r>
      <w:bookmarkEnd w:id="120"/>
    </w:p>
    <w:p w14:paraId="22E1063C">
      <w:pPr>
        <w:numPr>
          <w:ilvl w:val="0"/>
          <w:numId w:val="0"/>
        </w:numPr>
        <w:rPr>
          <w:rFonts w:hint="eastAsia"/>
          <w:color w:val="auto"/>
          <w:highlight w:val="none"/>
          <w:lang w:val="en-US" w:eastAsia="zh-CN"/>
        </w:rPr>
      </w:pPr>
    </w:p>
    <w:p w14:paraId="0888CC4C">
      <w:pPr>
        <w:jc w:val="both"/>
        <w:rPr>
          <w:rFonts w:hint="eastAsia" w:ascii="宋体" w:hAnsi="宋体" w:eastAsia="宋体" w:cs="宋体"/>
          <w:color w:val="auto"/>
          <w:sz w:val="24"/>
          <w:szCs w:val="24"/>
          <w:highlight w:val="none"/>
        </w:rPr>
      </w:pPr>
    </w:p>
    <w:p w14:paraId="4C65D3E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格式自拟。</w:t>
      </w:r>
    </w:p>
    <w:p w14:paraId="7F0B6AA0">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FFFEE30">
      <w:pPr>
        <w:pStyle w:val="3"/>
        <w:bidi w:val="0"/>
        <w:jc w:val="center"/>
        <w:rPr>
          <w:rFonts w:hint="eastAsia" w:ascii="宋体" w:hAnsi="宋体" w:eastAsia="宋体" w:cs="宋体"/>
          <w:color w:val="auto"/>
          <w:sz w:val="30"/>
          <w:szCs w:val="30"/>
          <w:highlight w:val="none"/>
        </w:rPr>
      </w:pPr>
      <w:bookmarkStart w:id="121" w:name="_Toc500102749"/>
      <w:bookmarkStart w:id="122" w:name="_Toc507703371"/>
      <w:bookmarkStart w:id="123" w:name="_Toc390198828"/>
      <w:bookmarkStart w:id="124" w:name="_Toc458606121"/>
      <w:bookmarkStart w:id="125" w:name="_Toc2854"/>
      <w:bookmarkStart w:id="126" w:name="_Toc18364"/>
      <w:bookmarkStart w:id="127" w:name="_Toc24144"/>
      <w:bookmarkStart w:id="128" w:name="_Toc12059"/>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val="en-US" w:eastAsia="zh-CN"/>
        </w:rPr>
        <w:t>四</w:t>
      </w:r>
      <w:r>
        <w:rPr>
          <w:rFonts w:hint="eastAsia" w:ascii="宋体" w:hAnsi="宋体" w:eastAsia="宋体" w:cs="宋体"/>
          <w:color w:val="auto"/>
          <w:sz w:val="30"/>
          <w:szCs w:val="30"/>
          <w:highlight w:val="none"/>
        </w:rPr>
        <w:t>）</w:t>
      </w:r>
      <w:bookmarkEnd w:id="121"/>
      <w:bookmarkEnd w:id="122"/>
      <w:bookmarkEnd w:id="123"/>
      <w:bookmarkEnd w:id="124"/>
      <w:bookmarkStart w:id="129" w:name="_Toc498357763"/>
      <w:bookmarkStart w:id="130" w:name="_Toc488434368"/>
      <w:r>
        <w:rPr>
          <w:rFonts w:hint="eastAsia" w:ascii="宋体" w:hAnsi="宋体" w:eastAsia="宋体" w:cs="宋体"/>
          <w:color w:val="auto"/>
          <w:sz w:val="30"/>
          <w:szCs w:val="30"/>
          <w:highlight w:val="none"/>
        </w:rPr>
        <w:t>企业信誉情况说明</w:t>
      </w:r>
      <w:bookmarkEnd w:id="125"/>
      <w:bookmarkEnd w:id="126"/>
      <w:bookmarkEnd w:id="127"/>
      <w:bookmarkEnd w:id="128"/>
      <w:bookmarkEnd w:id="129"/>
      <w:bookmarkEnd w:id="130"/>
    </w:p>
    <w:p w14:paraId="1964964D">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（采购人名称）</w:t>
      </w:r>
      <w:r>
        <w:rPr>
          <w:rFonts w:hint="eastAsia" w:ascii="宋体" w:hAnsi="宋体" w:eastAsia="宋体" w:cs="宋体"/>
          <w:color w:val="auto"/>
          <w:sz w:val="24"/>
          <w:szCs w:val="24"/>
          <w:highlight w:val="none"/>
        </w:rPr>
        <w:t xml:space="preserve"> </w:t>
      </w:r>
    </w:p>
    <w:p w14:paraId="1A7D2589">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我公司参加</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的磋商活动，我公司当前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（此处填写“已”或“未”）因不良记录被建设行政主管部门停止投标资格；我公司当前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（此处填写“已”或“未”）在“信用中国”或各级信用共享平台查询得到的失信被执行人。</w:t>
      </w:r>
    </w:p>
    <w:p w14:paraId="7E6DBB28">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eastAsia="zh-CN"/>
        </w:rPr>
        <w:t>应商</w:t>
      </w:r>
      <w:r>
        <w:rPr>
          <w:rFonts w:hint="eastAsia" w:ascii="宋体" w:hAnsi="宋体" w:eastAsia="宋体" w:cs="宋体"/>
          <w:b/>
          <w:bCs/>
          <w:color w:val="auto"/>
          <w:sz w:val="24"/>
          <w:szCs w:val="24"/>
          <w:highlight w:val="none"/>
        </w:rPr>
        <w:t>信用良好，最终以采购人及采购代理机构在开标时查询《信用中国》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中国政府采购网</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的结果为准</w:t>
      </w:r>
      <w:r>
        <w:rPr>
          <w:rFonts w:hint="eastAsia" w:ascii="宋体" w:hAnsi="宋体" w:eastAsia="宋体" w:cs="宋体"/>
          <w:b/>
          <w:bCs/>
          <w:color w:val="auto"/>
          <w:sz w:val="24"/>
          <w:szCs w:val="24"/>
          <w:highlight w:val="none"/>
          <w:lang w:val="en-US" w:eastAsia="zh-CN"/>
        </w:rPr>
        <w:t>。</w:t>
      </w:r>
    </w:p>
    <w:p w14:paraId="137EC1DB">
      <w:pPr>
        <w:pStyle w:val="43"/>
        <w:spacing w:before="120" w:line="440" w:lineRule="exact"/>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C431FD4">
      <w:pPr>
        <w:pStyle w:val="43"/>
        <w:spacing w:before="120" w:line="440" w:lineRule="exact"/>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法定代表人或委托代理人（签字或盖章）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705A111">
      <w:pPr>
        <w:pStyle w:val="43"/>
        <w:spacing w:before="120" w:line="440" w:lineRule="exact"/>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537CE73">
      <w:pPr>
        <w:spacing w:line="360" w:lineRule="auto"/>
        <w:ind w:right="420" w:firstLine="4781" w:firstLineChars="2277"/>
        <w:rPr>
          <w:rFonts w:hint="eastAsia" w:ascii="宋体" w:hAnsi="宋体" w:eastAsia="宋体" w:cs="宋体"/>
          <w:color w:val="auto"/>
          <w:sz w:val="21"/>
          <w:szCs w:val="21"/>
          <w:highlight w:val="none"/>
        </w:rPr>
      </w:pPr>
    </w:p>
    <w:p w14:paraId="07314867">
      <w:pPr>
        <w:pStyle w:val="24"/>
        <w:rPr>
          <w:rFonts w:hint="eastAsia"/>
          <w:color w:val="auto"/>
          <w:highlight w:val="none"/>
        </w:rPr>
      </w:pPr>
    </w:p>
    <w:p w14:paraId="1BA2C312">
      <w:pPr>
        <w:pStyle w:val="3"/>
        <w:keepNext/>
        <w:keepLines/>
        <w:pageBreakBefore w:val="0"/>
        <w:widowControl/>
        <w:numPr>
          <w:ilvl w:val="0"/>
          <w:numId w:val="8"/>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kern w:val="0"/>
          <w:sz w:val="32"/>
          <w:szCs w:val="32"/>
          <w:highlight w:val="none"/>
        </w:rPr>
        <w:sectPr>
          <w:pgSz w:w="11906" w:h="16838"/>
          <w:pgMar w:top="1440" w:right="1440" w:bottom="1440" w:left="1440" w:header="851" w:footer="992" w:gutter="0"/>
          <w:pgNumType w:fmt="decimal"/>
          <w:cols w:space="720" w:num="1"/>
          <w:docGrid w:linePitch="312" w:charSpace="0"/>
        </w:sectPr>
      </w:pPr>
      <w:bookmarkStart w:id="131" w:name="_Toc10386"/>
      <w:bookmarkStart w:id="132" w:name="_Toc27592"/>
      <w:bookmarkStart w:id="133" w:name="_Toc17417"/>
      <w:bookmarkStart w:id="134" w:name="_Toc31486"/>
    </w:p>
    <w:p w14:paraId="76C46FF8">
      <w:pPr>
        <w:pStyle w:val="3"/>
        <w:keepNext/>
        <w:keepLines/>
        <w:pageBreakBefore w:val="0"/>
        <w:widowControl/>
        <w:numPr>
          <w:ilvl w:val="0"/>
          <w:numId w:val="9"/>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参加政府采购活动前3年内在经营活动中没有重大违法记录的书面声明</w:t>
      </w:r>
    </w:p>
    <w:p w14:paraId="41309AB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格式自拟。</w:t>
      </w:r>
    </w:p>
    <w:p w14:paraId="30DDAA05">
      <w:pPr>
        <w:pStyle w:val="3"/>
        <w:keepNext/>
        <w:keepLines/>
        <w:pageBreakBefore w:val="0"/>
        <w:widowControl/>
        <w:numPr>
          <w:ilvl w:val="0"/>
          <w:numId w:val="9"/>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kern w:val="0"/>
          <w:sz w:val="32"/>
          <w:szCs w:val="32"/>
          <w:highlight w:val="none"/>
        </w:rPr>
        <w:sectPr>
          <w:headerReference r:id="rId18" w:type="default"/>
          <w:pgSz w:w="11906" w:h="16838"/>
          <w:pgMar w:top="1440" w:right="1440" w:bottom="1440" w:left="1247" w:header="851" w:footer="992" w:gutter="0"/>
          <w:pgNumType w:fmt="decimal"/>
          <w:cols w:space="720" w:num="1"/>
          <w:docGrid w:linePitch="312" w:charSpace="0"/>
        </w:sectPr>
      </w:pPr>
      <w:bookmarkStart w:id="135" w:name="_Toc31029"/>
      <w:bookmarkStart w:id="136" w:name="_Toc8649"/>
    </w:p>
    <w:p w14:paraId="487BDFF6">
      <w:pPr>
        <w:pStyle w:val="3"/>
        <w:keepNext/>
        <w:keepLines/>
        <w:pageBreakBefore w:val="0"/>
        <w:widowControl/>
        <w:numPr>
          <w:ilvl w:val="0"/>
          <w:numId w:val="9"/>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kern w:val="0"/>
          <w:sz w:val="32"/>
          <w:szCs w:val="32"/>
          <w:highlight w:val="none"/>
        </w:rPr>
      </w:pPr>
      <w:r>
        <w:rPr>
          <w:rFonts w:hint="eastAsia" w:ascii="宋体" w:hAnsi="宋体" w:eastAsia="宋体" w:cs="宋体"/>
          <w:b/>
          <w:bCs/>
          <w:color w:val="auto"/>
          <w:sz w:val="30"/>
          <w:szCs w:val="30"/>
          <w:highlight w:val="none"/>
          <w:lang w:val="en-US" w:eastAsia="zh-CN" w:bidi="ar-SA"/>
        </w:rPr>
        <w:t>资格证明承诺函</w:t>
      </w:r>
      <w:bookmarkEnd w:id="131"/>
      <w:bookmarkEnd w:id="132"/>
      <w:bookmarkEnd w:id="133"/>
      <w:bookmarkEnd w:id="134"/>
      <w:bookmarkEnd w:id="135"/>
      <w:bookmarkEnd w:id="136"/>
    </w:p>
    <w:p w14:paraId="3B9E1024">
      <w:pPr>
        <w:spacing w:line="360" w:lineRule="auto"/>
        <w:ind w:firstLine="120" w:firstLineChars="50"/>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p w14:paraId="07C1DA05">
      <w:pPr>
        <w:spacing w:line="360" w:lineRule="auto"/>
        <w:ind w:firstLine="120" w:firstLineChars="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w:t>
      </w:r>
    </w:p>
    <w:p w14:paraId="4DAE4E1D">
      <w:pPr>
        <w:spacing w:line="360" w:lineRule="auto"/>
        <w:ind w:firstLine="480" w:firstLineChars="200"/>
        <w:rPr>
          <w:rFonts w:hint="eastAsia" w:ascii="宋体" w:hAnsi="宋体" w:cs="宋体"/>
          <w:color w:val="auto"/>
          <w:sz w:val="24"/>
          <w:szCs w:val="24"/>
          <w:highlight w:val="none"/>
        </w:rPr>
      </w:pPr>
    </w:p>
    <w:p w14:paraId="5D0CBBD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致：（采购人名称）</w:t>
      </w:r>
    </w:p>
    <w:p w14:paraId="684FA665">
      <w:pPr>
        <w:spacing w:line="48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（供应商名称）郑重承诺，我方具有良好的商业信誉，具有履行合同所必须的设备和专业技术能力，在合同签订前后随时愿意提供相关证明材料；我方同时</w:t>
      </w:r>
      <w:r>
        <w:rPr>
          <w:rFonts w:hint="eastAsia" w:ascii="宋体" w:hAnsi="宋体" w:cs="宋体"/>
          <w:color w:val="auto"/>
          <w:sz w:val="24"/>
          <w:szCs w:val="24"/>
          <w:highlight w:val="none"/>
          <w:lang w:val="en-US" w:eastAsia="zh-CN"/>
        </w:rPr>
        <w:t>承诺</w:t>
      </w:r>
      <w:r>
        <w:rPr>
          <w:rFonts w:hint="eastAsia" w:ascii="宋体" w:hAnsi="宋体" w:cs="宋体"/>
          <w:color w:val="auto"/>
          <w:sz w:val="24"/>
          <w:szCs w:val="24"/>
          <w:highlight w:val="none"/>
        </w:rPr>
        <w:t>在响应文件递交截止时间前三年内无重大违法活动记录，未被列入“失信被执行人”“重大税收违法案件当事人名单”，“政府采购严重违法失信名单”、,并承诺近三年内未拖欠农民工工资，符合《政府采购法》规定的供应商资格条件。我方对以上</w:t>
      </w:r>
      <w:r>
        <w:rPr>
          <w:rFonts w:hint="eastAsia" w:ascii="宋体" w:hAnsi="宋体" w:cs="宋体"/>
          <w:color w:val="auto"/>
          <w:sz w:val="24"/>
          <w:szCs w:val="24"/>
          <w:highlight w:val="none"/>
          <w:lang w:val="en-US" w:eastAsia="zh-CN"/>
        </w:rPr>
        <w:t>承诺</w:t>
      </w:r>
      <w:r>
        <w:rPr>
          <w:rFonts w:hint="eastAsia" w:ascii="宋体" w:hAnsi="宋体" w:cs="宋体"/>
          <w:color w:val="auto"/>
          <w:sz w:val="24"/>
          <w:szCs w:val="24"/>
          <w:highlight w:val="none"/>
        </w:rPr>
        <w:t>负全部法律责任。</w:t>
      </w:r>
    </w:p>
    <w:p w14:paraId="228B73E0">
      <w:pPr>
        <w:widowControl/>
        <w:spacing w:line="48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rPr>
        <w:t xml:space="preserve"> 特此</w:t>
      </w:r>
      <w:r>
        <w:rPr>
          <w:rFonts w:hint="eastAsia" w:ascii="宋体" w:hAnsi="宋体" w:cs="宋体"/>
          <w:color w:val="auto"/>
          <w:sz w:val="24"/>
          <w:szCs w:val="24"/>
          <w:highlight w:val="none"/>
          <w:lang w:val="en-US" w:eastAsia="zh-CN"/>
        </w:rPr>
        <w:t>承诺</w:t>
      </w:r>
      <w:r>
        <w:rPr>
          <w:rFonts w:hint="eastAsia" w:ascii="宋体" w:hAnsi="宋体" w:eastAsia="宋体" w:cs="宋体"/>
          <w:color w:val="auto"/>
          <w:kern w:val="0"/>
          <w:sz w:val="24"/>
          <w:szCs w:val="24"/>
          <w:highlight w:val="none"/>
        </w:rPr>
        <w:t>。</w:t>
      </w:r>
    </w:p>
    <w:p w14:paraId="451A3AD4">
      <w:pPr>
        <w:widowControl/>
        <w:spacing w:line="360" w:lineRule="auto"/>
        <w:ind w:firstLine="360" w:firstLineChars="150"/>
        <w:jc w:val="left"/>
        <w:rPr>
          <w:rFonts w:hint="eastAsia" w:ascii="宋体" w:hAnsi="宋体" w:eastAsia="宋体" w:cs="宋体"/>
          <w:color w:val="auto"/>
          <w:kern w:val="0"/>
          <w:sz w:val="24"/>
          <w:szCs w:val="24"/>
          <w:highlight w:val="none"/>
        </w:rPr>
      </w:pPr>
    </w:p>
    <w:p w14:paraId="117873B8">
      <w:pPr>
        <w:widowControl/>
        <w:spacing w:line="360" w:lineRule="auto"/>
        <w:ind w:firstLine="360" w:firstLineChars="150"/>
        <w:jc w:val="left"/>
        <w:rPr>
          <w:rFonts w:hint="eastAsia" w:ascii="宋体" w:hAnsi="宋体" w:eastAsia="宋体" w:cs="宋体"/>
          <w:color w:val="auto"/>
          <w:kern w:val="0"/>
          <w:sz w:val="24"/>
          <w:szCs w:val="24"/>
          <w:highlight w:val="none"/>
        </w:rPr>
      </w:pPr>
    </w:p>
    <w:p w14:paraId="631A59F2">
      <w:pPr>
        <w:widowControl/>
        <w:spacing w:line="360" w:lineRule="auto"/>
        <w:ind w:firstLine="360" w:firstLineChars="150"/>
        <w:jc w:val="left"/>
        <w:rPr>
          <w:rFonts w:hint="eastAsia" w:ascii="宋体" w:hAnsi="宋体" w:eastAsia="宋体" w:cs="宋体"/>
          <w:color w:val="auto"/>
          <w:kern w:val="0"/>
          <w:sz w:val="24"/>
          <w:szCs w:val="24"/>
          <w:highlight w:val="none"/>
        </w:rPr>
      </w:pPr>
    </w:p>
    <w:p w14:paraId="5858CB44">
      <w:pPr>
        <w:widowControl/>
        <w:spacing w:line="360" w:lineRule="auto"/>
        <w:ind w:firstLine="360" w:firstLineChars="150"/>
        <w:jc w:val="left"/>
        <w:rPr>
          <w:rFonts w:hint="eastAsia" w:ascii="宋体" w:hAnsi="宋体" w:eastAsia="宋体" w:cs="宋体"/>
          <w:color w:val="auto"/>
          <w:kern w:val="0"/>
          <w:sz w:val="24"/>
          <w:szCs w:val="24"/>
          <w:highlight w:val="none"/>
        </w:rPr>
      </w:pPr>
    </w:p>
    <w:p w14:paraId="128EBB30">
      <w:pPr>
        <w:widowControl/>
        <w:spacing w:line="360" w:lineRule="auto"/>
        <w:ind w:firstLine="360" w:firstLineChars="150"/>
        <w:jc w:val="left"/>
        <w:rPr>
          <w:rFonts w:hint="eastAsia" w:ascii="宋体" w:hAnsi="宋体" w:eastAsia="宋体" w:cs="宋体"/>
          <w:color w:val="auto"/>
          <w:kern w:val="0"/>
          <w:sz w:val="24"/>
          <w:szCs w:val="24"/>
          <w:highlight w:val="none"/>
        </w:rPr>
      </w:pPr>
    </w:p>
    <w:p w14:paraId="6FBCF80A">
      <w:pPr>
        <w:widowControl/>
        <w:spacing w:line="360" w:lineRule="auto"/>
        <w:ind w:firstLine="360" w:firstLineChars="150"/>
        <w:jc w:val="left"/>
        <w:rPr>
          <w:rFonts w:hint="eastAsia" w:ascii="宋体" w:hAnsi="宋体" w:eastAsia="宋体" w:cs="宋体"/>
          <w:color w:val="auto"/>
          <w:kern w:val="0"/>
          <w:sz w:val="24"/>
          <w:szCs w:val="24"/>
          <w:highlight w:val="none"/>
        </w:rPr>
      </w:pPr>
    </w:p>
    <w:p w14:paraId="744617E5">
      <w:pPr>
        <w:widowControl/>
        <w:spacing w:line="360" w:lineRule="auto"/>
        <w:ind w:firstLine="3720" w:firstLineChars="15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lang w:val="en-US" w:eastAsia="zh-CN"/>
        </w:rPr>
        <w:t xml:space="preserve">                </w:t>
      </w:r>
    </w:p>
    <w:p w14:paraId="7AD402E2">
      <w:pPr>
        <w:pStyle w:val="43"/>
        <w:spacing w:before="120" w:line="360" w:lineRule="auto"/>
        <w:ind w:left="80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    月    日</w:t>
      </w:r>
    </w:p>
    <w:p w14:paraId="4821EDDF">
      <w:pPr>
        <w:pStyle w:val="3"/>
        <w:keepNext/>
        <w:keepLines/>
        <w:pageBreakBefore w:val="0"/>
        <w:widowControl/>
        <w:numPr>
          <w:ilvl w:val="0"/>
          <w:numId w:val="0"/>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sz w:val="30"/>
          <w:szCs w:val="30"/>
          <w:highlight w:val="none"/>
          <w:lang w:val="en-US" w:eastAsia="zh-CN" w:bidi="ar-SA"/>
        </w:rPr>
        <w:sectPr>
          <w:pgSz w:w="11906" w:h="16838"/>
          <w:pgMar w:top="1440" w:right="1440" w:bottom="1440" w:left="1247" w:header="851" w:footer="992" w:gutter="0"/>
          <w:pgNumType w:fmt="decimal"/>
          <w:cols w:space="720" w:num="1"/>
          <w:docGrid w:linePitch="312" w:charSpace="0"/>
        </w:sectPr>
      </w:pPr>
    </w:p>
    <w:p w14:paraId="18890C80">
      <w:pPr>
        <w:pStyle w:val="3"/>
        <w:keepNext/>
        <w:keepLines/>
        <w:pageBreakBefore w:val="0"/>
        <w:widowControl/>
        <w:numPr>
          <w:ilvl w:val="0"/>
          <w:numId w:val="0"/>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（七）</w:t>
      </w:r>
      <w:r>
        <w:rPr>
          <w:rFonts w:hint="eastAsia" w:ascii="宋体" w:hAnsi="宋体" w:eastAsia="宋体" w:cs="宋体"/>
          <w:b/>
          <w:bCs/>
          <w:color w:val="auto"/>
          <w:sz w:val="30"/>
          <w:szCs w:val="30"/>
          <w:highlight w:val="none"/>
          <w:lang w:val="en-US" w:eastAsia="zh-CN" w:bidi="ar-SA"/>
        </w:rPr>
        <w:t>中小企业声明函（服务）</w:t>
      </w:r>
    </w:p>
    <w:p w14:paraId="452BD913">
      <w:pPr>
        <w:pStyle w:val="22"/>
        <w:pageBreakBefore w:val="0"/>
        <w:kinsoku/>
        <w:overflowPunct/>
        <w:topLinePunct w:val="0"/>
        <w:bidi w:val="0"/>
        <w:adjustRightInd w:val="0"/>
        <w:snapToGrid w:val="0"/>
        <w:spacing w:after="0" w:line="360" w:lineRule="auto"/>
        <w:ind w:left="0" w:leftChars="0" w:right="0" w:firstLine="640"/>
        <w:rPr>
          <w:rFonts w:hint="eastAsia" w:ascii="宋体" w:hAnsi="宋体" w:eastAsia="宋体" w:cs="宋体"/>
          <w:i w:val="0"/>
          <w:iCs w:val="0"/>
          <w:color w:val="auto"/>
          <w:spacing w:val="0"/>
          <w:w w:val="100"/>
          <w:sz w:val="24"/>
          <w:szCs w:val="24"/>
          <w:highlight w:val="none"/>
        </w:rPr>
      </w:pPr>
      <w:r>
        <w:rPr>
          <w:rFonts w:hint="eastAsia" w:ascii="宋体" w:hAnsi="宋体" w:eastAsia="宋体" w:cs="宋体"/>
          <w:i w:val="0"/>
          <w:iCs w:val="0"/>
          <w:color w:val="auto"/>
          <w:spacing w:val="0"/>
          <w:w w:val="100"/>
          <w:sz w:val="24"/>
          <w:szCs w:val="24"/>
          <w:highlight w:val="none"/>
        </w:rPr>
        <w:t>本公司（联合体）郑重声明，根据《政府采购促进中小企业发展管理办法》（财库﹝2020﹞46号）的规定，本公司（联合体）参加</w:t>
      </w:r>
      <w:r>
        <w:rPr>
          <w:rFonts w:hint="eastAsia" w:ascii="宋体" w:hAnsi="宋体" w:eastAsia="宋体" w:cs="宋体"/>
          <w:i w:val="0"/>
          <w:iCs w:val="0"/>
          <w:color w:val="auto"/>
          <w:spacing w:val="0"/>
          <w:w w:val="100"/>
          <w:sz w:val="24"/>
          <w:szCs w:val="24"/>
          <w:highlight w:val="none"/>
          <w:u w:val="single"/>
        </w:rPr>
        <w:t>（单位名称）</w:t>
      </w:r>
      <w:r>
        <w:rPr>
          <w:rFonts w:hint="eastAsia" w:ascii="宋体" w:hAnsi="宋体" w:eastAsia="宋体" w:cs="宋体"/>
          <w:i w:val="0"/>
          <w:iCs w:val="0"/>
          <w:color w:val="auto"/>
          <w:spacing w:val="0"/>
          <w:w w:val="100"/>
          <w:sz w:val="24"/>
          <w:szCs w:val="24"/>
          <w:highlight w:val="none"/>
        </w:rPr>
        <w:t>的</w:t>
      </w:r>
      <w:r>
        <w:rPr>
          <w:rFonts w:hint="eastAsia" w:ascii="宋体" w:hAnsi="宋体" w:eastAsia="宋体" w:cs="宋体"/>
          <w:i w:val="0"/>
          <w:iCs w:val="0"/>
          <w:color w:val="auto"/>
          <w:spacing w:val="0"/>
          <w:w w:val="100"/>
          <w:sz w:val="24"/>
          <w:szCs w:val="24"/>
          <w:highlight w:val="none"/>
          <w:u w:val="single"/>
        </w:rPr>
        <w:t>（项目名称）</w:t>
      </w:r>
      <w:r>
        <w:rPr>
          <w:rFonts w:hint="eastAsia" w:ascii="宋体" w:hAnsi="宋体" w:eastAsia="宋体" w:cs="宋体"/>
          <w:i w:val="0"/>
          <w:iCs w:val="0"/>
          <w:color w:val="auto"/>
          <w:spacing w:val="0"/>
          <w:w w:val="100"/>
          <w:sz w:val="24"/>
          <w:szCs w:val="24"/>
          <w:highlight w:val="none"/>
        </w:rPr>
        <w:t>采购活动，提供的货物全部由符合政策要求的中小企业制造。相关企业（含联合体中的中小企业、签订分包意向协议的中小企业） 的具体情况如下：</w:t>
      </w:r>
    </w:p>
    <w:p w14:paraId="2C922FFC">
      <w:pPr>
        <w:pStyle w:val="454"/>
        <w:pageBreakBefore w:val="0"/>
        <w:numPr>
          <w:ilvl w:val="0"/>
          <w:numId w:val="10"/>
        </w:numPr>
        <w:tabs>
          <w:tab w:val="left" w:pos="1183"/>
          <w:tab w:val="left" w:pos="1484"/>
          <w:tab w:val="left" w:pos="4662"/>
          <w:tab w:val="left" w:pos="6903"/>
        </w:tabs>
        <w:kinsoku/>
        <w:overflowPunct/>
        <w:topLinePunct w:val="0"/>
        <w:bidi w:val="0"/>
        <w:adjustRightInd w:val="0"/>
        <w:snapToGrid w:val="0"/>
        <w:spacing w:line="360" w:lineRule="auto"/>
        <w:ind w:leftChars="0" w:right="0" w:rightChars="0"/>
        <w:jc w:val="left"/>
        <w:rPr>
          <w:rFonts w:hint="eastAsia" w:ascii="宋体" w:hAnsi="宋体" w:eastAsia="宋体" w:cs="宋体"/>
          <w:i w:val="0"/>
          <w:iCs w:val="0"/>
          <w:color w:val="auto"/>
          <w:spacing w:val="0"/>
          <w:w w:val="100"/>
          <w:position w:val="0"/>
          <w:sz w:val="24"/>
          <w:szCs w:val="24"/>
          <w:highlight w:val="none"/>
          <w:u w:val="none"/>
        </w:rPr>
      </w:pP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single"/>
        </w:rPr>
        <w:t>（</w:t>
      </w:r>
      <w:r>
        <w:rPr>
          <w:rFonts w:hint="eastAsia" w:ascii="宋体" w:hAnsi="宋体" w:eastAsia="宋体" w:cs="宋体"/>
          <w:i w:val="0"/>
          <w:iCs w:val="0"/>
          <w:color w:val="auto"/>
          <w:spacing w:val="0"/>
          <w:w w:val="100"/>
          <w:position w:val="0"/>
          <w:sz w:val="24"/>
          <w:szCs w:val="24"/>
          <w:highlight w:val="none"/>
          <w:u w:val="none"/>
          <w:lang w:val="zh-CN" w:eastAsia="zh-CN" w:bidi="zh-CN"/>
        </w:rPr>
        <w:t>标的名称）</w:t>
      </w:r>
      <w:r>
        <w:rPr>
          <w:rFonts w:hint="eastAsia" w:ascii="宋体" w:hAnsi="宋体" w:eastAsia="宋体" w:cs="宋体"/>
          <w:i w:val="0"/>
          <w:iCs w:val="0"/>
          <w:color w:val="auto"/>
          <w:spacing w:val="0"/>
          <w:w w:val="100"/>
          <w:position w:val="0"/>
          <w:sz w:val="24"/>
          <w:szCs w:val="24"/>
          <w:highlight w:val="none"/>
          <w:u w:val="none"/>
        </w:rPr>
        <w:t>，属于</w:t>
      </w:r>
      <w:r>
        <w:rPr>
          <w:rFonts w:hint="eastAsia" w:ascii="宋体" w:hAnsi="宋体" w:eastAsia="宋体" w:cs="宋体"/>
          <w:b w:val="0"/>
          <w:bCs w:val="0"/>
          <w:i w:val="0"/>
          <w:iCs w:val="0"/>
          <w:color w:val="auto"/>
          <w:spacing w:val="0"/>
          <w:w w:val="100"/>
          <w:position w:val="0"/>
          <w:sz w:val="24"/>
          <w:szCs w:val="24"/>
          <w:highlight w:val="none"/>
          <w:u w:val="none"/>
        </w:rPr>
        <w:t>（</w:t>
      </w:r>
      <w:r>
        <w:rPr>
          <w:rFonts w:hint="eastAsia" w:ascii="宋体" w:hAnsi="宋体" w:eastAsia="宋体" w:cs="宋体"/>
          <w:b w:val="0"/>
          <w:bCs w:val="0"/>
          <w:i w:val="0"/>
          <w:iCs w:val="0"/>
          <w:color w:val="auto"/>
          <w:spacing w:val="0"/>
          <w:w w:val="100"/>
          <w:position w:val="0"/>
          <w:sz w:val="24"/>
          <w:szCs w:val="24"/>
          <w:highlight w:val="none"/>
          <w:u w:val="single"/>
        </w:rPr>
        <w:t>采购文件中明确的所属行业）</w:t>
      </w:r>
      <w:r>
        <w:rPr>
          <w:rFonts w:hint="eastAsia" w:ascii="宋体" w:hAnsi="宋体" w:eastAsia="宋体" w:cs="宋体"/>
          <w:i w:val="0"/>
          <w:iCs w:val="0"/>
          <w:color w:val="auto"/>
          <w:spacing w:val="0"/>
          <w:w w:val="100"/>
          <w:position w:val="0"/>
          <w:sz w:val="24"/>
          <w:szCs w:val="24"/>
          <w:highlight w:val="none"/>
          <w:u w:val="none"/>
        </w:rPr>
        <w:t>；制造商为</w:t>
      </w:r>
      <w:r>
        <w:rPr>
          <w:rFonts w:hint="eastAsia" w:ascii="宋体" w:hAnsi="宋体" w:eastAsia="宋体" w:cs="宋体"/>
          <w:i w:val="0"/>
          <w:iCs w:val="0"/>
          <w:color w:val="auto"/>
          <w:spacing w:val="0"/>
          <w:w w:val="100"/>
          <w:position w:val="0"/>
          <w:sz w:val="24"/>
          <w:szCs w:val="24"/>
          <w:highlight w:val="none"/>
          <w:u w:val="single"/>
        </w:rPr>
        <w:t>（企业名称）</w:t>
      </w:r>
      <w:r>
        <w:rPr>
          <w:rFonts w:hint="eastAsia" w:ascii="宋体" w:hAnsi="宋体" w:eastAsia="宋体" w:cs="宋体"/>
          <w:i w:val="0"/>
          <w:iCs w:val="0"/>
          <w:color w:val="auto"/>
          <w:spacing w:val="0"/>
          <w:w w:val="100"/>
          <w:position w:val="0"/>
          <w:sz w:val="24"/>
          <w:szCs w:val="24"/>
          <w:highlight w:val="none"/>
          <w:u w:val="none"/>
        </w:rPr>
        <w:t>，从业人员</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人，营业收入为</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eastAsia="宋体" w:cs="宋体"/>
          <w:i w:val="0"/>
          <w:iCs w:val="0"/>
          <w:color w:val="auto"/>
          <w:spacing w:val="0"/>
          <w:w w:val="100"/>
          <w:position w:val="0"/>
          <w:sz w:val="24"/>
          <w:szCs w:val="24"/>
          <w:highlight w:val="none"/>
          <w:u w:val="single"/>
        </w:rPr>
        <w:tab/>
      </w:r>
      <w:r>
        <w:rPr>
          <w:rFonts w:hint="eastAsia" w:ascii="宋体" w:hAnsi="宋体" w:eastAsia="宋体" w:cs="宋体"/>
          <w:i w:val="0"/>
          <w:iCs w:val="0"/>
          <w:color w:val="auto"/>
          <w:spacing w:val="0"/>
          <w:w w:val="100"/>
          <w:position w:val="0"/>
          <w:sz w:val="24"/>
          <w:szCs w:val="24"/>
          <w:highlight w:val="none"/>
          <w:u w:val="none"/>
        </w:rPr>
        <w:t>万元，资产总额为</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万元，属于</w:t>
      </w:r>
      <w:r>
        <w:rPr>
          <w:rFonts w:hint="eastAsia" w:ascii="宋体" w:hAnsi="宋体" w:eastAsia="宋体" w:cs="宋体"/>
          <w:i w:val="0"/>
          <w:iCs w:val="0"/>
          <w:color w:val="auto"/>
          <w:spacing w:val="0"/>
          <w:w w:val="100"/>
          <w:position w:val="0"/>
          <w:sz w:val="24"/>
          <w:szCs w:val="24"/>
          <w:highlight w:val="none"/>
          <w:u w:val="single"/>
        </w:rPr>
        <w:t>（中型企业、小型企业、微型企业）</w:t>
      </w:r>
      <w:r>
        <w:rPr>
          <w:rFonts w:hint="eastAsia" w:ascii="宋体" w:hAnsi="宋体" w:eastAsia="宋体" w:cs="宋体"/>
          <w:i w:val="0"/>
          <w:iCs w:val="0"/>
          <w:color w:val="auto"/>
          <w:spacing w:val="0"/>
          <w:w w:val="100"/>
          <w:position w:val="0"/>
          <w:sz w:val="24"/>
          <w:szCs w:val="24"/>
          <w:highlight w:val="none"/>
          <w:u w:val="none"/>
        </w:rPr>
        <w:t>；</w:t>
      </w:r>
    </w:p>
    <w:p w14:paraId="53F6BBF6">
      <w:pPr>
        <w:pStyle w:val="454"/>
        <w:pageBreakBefore w:val="0"/>
        <w:numPr>
          <w:ilvl w:val="0"/>
          <w:numId w:val="0"/>
        </w:numPr>
        <w:tabs>
          <w:tab w:val="left" w:pos="1165"/>
          <w:tab w:val="left" w:pos="1183"/>
          <w:tab w:val="left" w:pos="4362"/>
          <w:tab w:val="left" w:pos="6577"/>
        </w:tabs>
        <w:kinsoku/>
        <w:overflowPunct/>
        <w:topLinePunct w:val="0"/>
        <w:bidi w:val="0"/>
        <w:adjustRightInd w:val="0"/>
        <w:snapToGrid w:val="0"/>
        <w:spacing w:line="360" w:lineRule="auto"/>
        <w:ind w:right="0" w:rightChars="0" w:firstLine="480" w:firstLineChars="200"/>
        <w:jc w:val="left"/>
        <w:rPr>
          <w:rFonts w:hint="eastAsia" w:ascii="宋体" w:hAnsi="宋体" w:eastAsia="宋体" w:cs="宋体"/>
          <w:i w:val="0"/>
          <w:iCs w:val="0"/>
          <w:color w:val="auto"/>
          <w:spacing w:val="0"/>
          <w:w w:val="100"/>
          <w:position w:val="0"/>
          <w:sz w:val="24"/>
          <w:szCs w:val="24"/>
          <w:highlight w:val="none"/>
          <w:u w:val="none"/>
        </w:rPr>
      </w:pPr>
      <w:r>
        <w:rPr>
          <w:rFonts w:hint="eastAsia" w:ascii="宋体" w:hAnsi="宋体" w:cs="宋体"/>
          <w:i w:val="0"/>
          <w:iCs w:val="0"/>
          <w:color w:val="auto"/>
          <w:spacing w:val="0"/>
          <w:w w:val="100"/>
          <w:position w:val="0"/>
          <w:sz w:val="24"/>
          <w:szCs w:val="24"/>
          <w:highlight w:val="none"/>
          <w:u w:val="none"/>
          <w:lang w:val="en-US" w:eastAsia="zh-CN"/>
        </w:rPr>
        <w:t>2.</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 标的名称 ），属于（</w:t>
      </w:r>
      <w:r>
        <w:rPr>
          <w:rFonts w:hint="eastAsia" w:ascii="宋体" w:hAnsi="宋体" w:eastAsia="宋体" w:cs="宋体"/>
          <w:i w:val="0"/>
          <w:iCs w:val="0"/>
          <w:color w:val="auto"/>
          <w:spacing w:val="0"/>
          <w:w w:val="100"/>
          <w:position w:val="0"/>
          <w:sz w:val="24"/>
          <w:szCs w:val="24"/>
          <w:highlight w:val="none"/>
          <w:u w:val="single"/>
        </w:rPr>
        <w:t>采购文件中明确的所属行业）</w:t>
      </w:r>
      <w:r>
        <w:rPr>
          <w:rFonts w:hint="eastAsia" w:ascii="宋体" w:hAnsi="宋体" w:eastAsia="宋体" w:cs="宋体"/>
          <w:i w:val="0"/>
          <w:iCs w:val="0"/>
          <w:color w:val="auto"/>
          <w:spacing w:val="0"/>
          <w:w w:val="100"/>
          <w:position w:val="0"/>
          <w:sz w:val="24"/>
          <w:szCs w:val="24"/>
          <w:highlight w:val="none"/>
          <w:u w:val="none"/>
        </w:rPr>
        <w:t>；制造商为</w:t>
      </w:r>
      <w:r>
        <w:rPr>
          <w:rFonts w:hint="eastAsia" w:ascii="宋体" w:hAnsi="宋体" w:eastAsia="宋体" w:cs="宋体"/>
          <w:i w:val="0"/>
          <w:iCs w:val="0"/>
          <w:color w:val="auto"/>
          <w:spacing w:val="0"/>
          <w:w w:val="100"/>
          <w:position w:val="0"/>
          <w:sz w:val="24"/>
          <w:szCs w:val="24"/>
          <w:highlight w:val="none"/>
          <w:u w:val="single"/>
        </w:rPr>
        <w:t>（企业名称）</w:t>
      </w:r>
      <w:r>
        <w:rPr>
          <w:rFonts w:hint="eastAsia" w:ascii="宋体" w:hAnsi="宋体" w:eastAsia="宋体" w:cs="宋体"/>
          <w:i w:val="0"/>
          <w:iCs w:val="0"/>
          <w:color w:val="auto"/>
          <w:spacing w:val="0"/>
          <w:w w:val="100"/>
          <w:position w:val="0"/>
          <w:sz w:val="24"/>
          <w:szCs w:val="24"/>
          <w:highlight w:val="none"/>
          <w:u w:val="none"/>
        </w:rPr>
        <w:t>，从业人员</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人，营业收入为</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eastAsia="宋体" w:cs="宋体"/>
          <w:i w:val="0"/>
          <w:iCs w:val="0"/>
          <w:color w:val="auto"/>
          <w:spacing w:val="0"/>
          <w:w w:val="100"/>
          <w:position w:val="0"/>
          <w:sz w:val="24"/>
          <w:szCs w:val="24"/>
          <w:highlight w:val="none"/>
          <w:u w:val="single"/>
        </w:rPr>
        <w:tab/>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万元，资产总额为</w:t>
      </w:r>
      <w:r>
        <w:rPr>
          <w:rFonts w:hint="eastAsia" w:ascii="宋体" w:hAnsi="宋体" w:eastAsia="宋体" w:cs="宋体"/>
          <w:i w:val="0"/>
          <w:iCs w:val="0"/>
          <w:color w:val="auto"/>
          <w:spacing w:val="0"/>
          <w:w w:val="100"/>
          <w:position w:val="0"/>
          <w:sz w:val="24"/>
          <w:szCs w:val="24"/>
          <w:highlight w:val="none"/>
          <w:u w:val="single"/>
        </w:rPr>
        <w:t xml:space="preserve"> </w:t>
      </w:r>
      <w:r>
        <w:rPr>
          <w:rFonts w:hint="eastAsia" w:ascii="宋体" w:hAnsi="宋体" w:eastAsia="宋体" w:cs="宋体"/>
          <w:i w:val="0"/>
          <w:iCs w:val="0"/>
          <w:color w:val="auto"/>
          <w:spacing w:val="0"/>
          <w:w w:val="100"/>
          <w:position w:val="0"/>
          <w:sz w:val="24"/>
          <w:szCs w:val="24"/>
          <w:highlight w:val="none"/>
          <w:u w:val="single"/>
        </w:rPr>
        <w:tab/>
      </w:r>
      <w:r>
        <w:rPr>
          <w:rFonts w:hint="eastAsia" w:ascii="宋体" w:hAnsi="宋体" w:cs="宋体"/>
          <w:i w:val="0"/>
          <w:iCs w:val="0"/>
          <w:color w:val="auto"/>
          <w:spacing w:val="0"/>
          <w:w w:val="100"/>
          <w:position w:val="0"/>
          <w:sz w:val="24"/>
          <w:szCs w:val="24"/>
          <w:highlight w:val="none"/>
          <w:u w:val="single"/>
          <w:lang w:val="en-US" w:eastAsia="zh-CN"/>
        </w:rPr>
        <w:t xml:space="preserve"> </w:t>
      </w:r>
      <w:r>
        <w:rPr>
          <w:rFonts w:hint="eastAsia" w:ascii="宋体" w:hAnsi="宋体" w:eastAsia="宋体" w:cs="宋体"/>
          <w:i w:val="0"/>
          <w:iCs w:val="0"/>
          <w:color w:val="auto"/>
          <w:spacing w:val="0"/>
          <w:w w:val="100"/>
          <w:position w:val="0"/>
          <w:sz w:val="24"/>
          <w:szCs w:val="24"/>
          <w:highlight w:val="none"/>
          <w:u w:val="none"/>
        </w:rPr>
        <w:t>万元，属于</w:t>
      </w:r>
      <w:r>
        <w:rPr>
          <w:rFonts w:hint="eastAsia" w:ascii="宋体" w:hAnsi="宋体" w:eastAsia="宋体" w:cs="宋体"/>
          <w:i w:val="0"/>
          <w:iCs w:val="0"/>
          <w:color w:val="auto"/>
          <w:spacing w:val="0"/>
          <w:w w:val="100"/>
          <w:position w:val="0"/>
          <w:sz w:val="24"/>
          <w:szCs w:val="24"/>
          <w:highlight w:val="none"/>
          <w:u w:val="single"/>
        </w:rPr>
        <w:t>（中型企业、小型企业、微型企业）</w:t>
      </w:r>
      <w:r>
        <w:rPr>
          <w:rFonts w:hint="eastAsia" w:ascii="宋体" w:hAnsi="宋体" w:eastAsia="宋体" w:cs="宋体"/>
          <w:i w:val="0"/>
          <w:iCs w:val="0"/>
          <w:color w:val="auto"/>
          <w:spacing w:val="0"/>
          <w:w w:val="100"/>
          <w:position w:val="0"/>
          <w:sz w:val="24"/>
          <w:szCs w:val="24"/>
          <w:highlight w:val="none"/>
          <w:u w:val="none"/>
        </w:rPr>
        <w:t>；</w:t>
      </w:r>
    </w:p>
    <w:p w14:paraId="68725847">
      <w:pPr>
        <w:pStyle w:val="22"/>
        <w:pageBreakBefore w:val="0"/>
        <w:kinsoku/>
        <w:overflowPunct/>
        <w:topLinePunct w:val="0"/>
        <w:bidi w:val="0"/>
        <w:adjustRightInd w:val="0"/>
        <w:snapToGrid w:val="0"/>
        <w:spacing w:after="0" w:line="360" w:lineRule="auto"/>
        <w:ind w:left="0" w:leftChars="0" w:right="0"/>
        <w:rPr>
          <w:rFonts w:hint="eastAsia" w:ascii="宋体" w:hAnsi="宋体" w:eastAsia="宋体" w:cs="宋体"/>
          <w:i w:val="0"/>
          <w:iCs w:val="0"/>
          <w:color w:val="auto"/>
          <w:spacing w:val="0"/>
          <w:w w:val="100"/>
          <w:position w:val="0"/>
          <w:sz w:val="24"/>
          <w:szCs w:val="24"/>
          <w:highlight w:val="none"/>
        </w:rPr>
      </w:pPr>
      <w:r>
        <w:rPr>
          <w:rFonts w:hint="eastAsia" w:ascii="宋体" w:hAnsi="宋体" w:eastAsia="宋体" w:cs="宋体"/>
          <w:i w:val="0"/>
          <w:iCs w:val="0"/>
          <w:color w:val="auto"/>
          <w:spacing w:val="0"/>
          <w:w w:val="100"/>
          <w:position w:val="0"/>
          <w:sz w:val="24"/>
          <w:szCs w:val="24"/>
          <w:highlight w:val="none"/>
        </w:rPr>
        <w:t>……</w:t>
      </w:r>
    </w:p>
    <w:p w14:paraId="18ED75F6">
      <w:pPr>
        <w:pStyle w:val="22"/>
        <w:pageBreakBefore w:val="0"/>
        <w:kinsoku/>
        <w:overflowPunct/>
        <w:topLinePunct w:val="0"/>
        <w:bidi w:val="0"/>
        <w:adjustRightInd w:val="0"/>
        <w:snapToGrid w:val="0"/>
        <w:spacing w:after="0" w:line="360" w:lineRule="auto"/>
        <w:ind w:left="0" w:leftChars="0" w:right="0" w:firstLine="645"/>
        <w:jc w:val="both"/>
        <w:rPr>
          <w:rFonts w:hint="eastAsia" w:ascii="宋体" w:hAnsi="宋体" w:eastAsia="宋体" w:cs="宋体"/>
          <w:i w:val="0"/>
          <w:iCs w:val="0"/>
          <w:color w:val="auto"/>
          <w:spacing w:val="0"/>
          <w:w w:val="100"/>
          <w:position w:val="0"/>
          <w:sz w:val="24"/>
          <w:szCs w:val="24"/>
          <w:highlight w:val="none"/>
        </w:rPr>
      </w:pPr>
      <w:r>
        <w:rPr>
          <w:rFonts w:hint="eastAsia" w:ascii="宋体" w:hAnsi="宋体" w:eastAsia="宋体" w:cs="宋体"/>
          <w:i w:val="0"/>
          <w:iCs w:val="0"/>
          <w:color w:val="auto"/>
          <w:spacing w:val="0"/>
          <w:w w:val="100"/>
          <w:position w:val="0"/>
          <w:sz w:val="24"/>
          <w:szCs w:val="24"/>
          <w:highlight w:val="none"/>
        </w:rPr>
        <w:t>以上企业，不属于大企业的分支机构，不存在控股股东为大企业的情形，也不存在与大企业的负责人为同一人的情形。</w:t>
      </w:r>
    </w:p>
    <w:p w14:paraId="38B49227">
      <w:pPr>
        <w:pStyle w:val="22"/>
        <w:pageBreakBefore w:val="0"/>
        <w:kinsoku/>
        <w:overflowPunct/>
        <w:topLinePunct w:val="0"/>
        <w:bidi w:val="0"/>
        <w:adjustRightInd w:val="0"/>
        <w:snapToGrid w:val="0"/>
        <w:spacing w:after="0" w:line="360" w:lineRule="auto"/>
        <w:ind w:left="0" w:leftChars="0" w:right="0" w:firstLine="645"/>
        <w:rPr>
          <w:rFonts w:hint="eastAsia" w:ascii="宋体" w:hAnsi="宋体" w:eastAsia="宋体" w:cs="宋体"/>
          <w:i w:val="0"/>
          <w:iCs w:val="0"/>
          <w:color w:val="auto"/>
          <w:spacing w:val="0"/>
          <w:w w:val="100"/>
          <w:position w:val="0"/>
          <w:sz w:val="24"/>
          <w:szCs w:val="24"/>
          <w:highlight w:val="none"/>
        </w:rPr>
      </w:pPr>
      <w:r>
        <w:rPr>
          <w:rFonts w:hint="eastAsia" w:ascii="宋体" w:hAnsi="宋体" w:eastAsia="宋体" w:cs="宋体"/>
          <w:i w:val="0"/>
          <w:iCs w:val="0"/>
          <w:color w:val="auto"/>
          <w:spacing w:val="0"/>
          <w:w w:val="100"/>
          <w:position w:val="0"/>
          <w:sz w:val="24"/>
          <w:szCs w:val="24"/>
          <w:highlight w:val="none"/>
        </w:rPr>
        <w:t>本企业对上述声明内容的真实性负责。如有虚假，将依法承担相应责任。</w:t>
      </w:r>
    </w:p>
    <w:p w14:paraId="1E720776">
      <w:pPr>
        <w:pStyle w:val="22"/>
        <w:pageBreakBefore w:val="0"/>
        <w:kinsoku/>
        <w:overflowPunct/>
        <w:topLinePunct w:val="0"/>
        <w:bidi w:val="0"/>
        <w:adjustRightInd w:val="0"/>
        <w:snapToGrid w:val="0"/>
        <w:spacing w:after="0" w:line="360" w:lineRule="auto"/>
        <w:ind w:left="0" w:leftChars="0" w:right="0" w:firstLine="4569" w:firstLineChars="1904"/>
        <w:rPr>
          <w:rFonts w:hint="eastAsia" w:ascii="宋体" w:hAnsi="宋体" w:eastAsia="宋体" w:cs="宋体"/>
          <w:i w:val="0"/>
          <w:iCs w:val="0"/>
          <w:color w:val="auto"/>
          <w:spacing w:val="0"/>
          <w:w w:val="100"/>
          <w:position w:val="0"/>
          <w:sz w:val="24"/>
          <w:szCs w:val="24"/>
          <w:highlight w:val="none"/>
        </w:rPr>
      </w:pPr>
    </w:p>
    <w:p w14:paraId="20B3A387">
      <w:pPr>
        <w:pStyle w:val="22"/>
        <w:pageBreakBefore w:val="0"/>
        <w:kinsoku/>
        <w:overflowPunct/>
        <w:topLinePunct w:val="0"/>
        <w:bidi w:val="0"/>
        <w:adjustRightInd w:val="0"/>
        <w:snapToGrid w:val="0"/>
        <w:spacing w:after="0" w:line="360" w:lineRule="auto"/>
        <w:ind w:left="0" w:leftChars="0" w:right="0" w:firstLine="4569" w:firstLineChars="1904"/>
        <w:rPr>
          <w:rFonts w:hint="eastAsia" w:ascii="宋体" w:hAnsi="宋体" w:eastAsia="宋体" w:cs="宋体"/>
          <w:i w:val="0"/>
          <w:iCs w:val="0"/>
          <w:color w:val="auto"/>
          <w:spacing w:val="0"/>
          <w:w w:val="100"/>
          <w:position w:val="0"/>
          <w:sz w:val="24"/>
          <w:szCs w:val="24"/>
          <w:highlight w:val="none"/>
        </w:rPr>
      </w:pPr>
      <w:r>
        <w:rPr>
          <w:rFonts w:hint="eastAsia" w:ascii="宋体" w:hAnsi="宋体" w:eastAsia="宋体" w:cs="宋体"/>
          <w:i w:val="0"/>
          <w:iCs w:val="0"/>
          <w:color w:val="auto"/>
          <w:spacing w:val="0"/>
          <w:w w:val="100"/>
          <w:position w:val="0"/>
          <w:sz w:val="24"/>
          <w:szCs w:val="24"/>
          <w:highlight w:val="none"/>
        </w:rPr>
        <w:t>企业名称（盖章）：</w:t>
      </w:r>
    </w:p>
    <w:p w14:paraId="2EE404C3">
      <w:pPr>
        <w:pStyle w:val="22"/>
        <w:pageBreakBefore w:val="0"/>
        <w:kinsoku/>
        <w:overflowPunct/>
        <w:topLinePunct w:val="0"/>
        <w:bidi w:val="0"/>
        <w:adjustRightInd w:val="0"/>
        <w:snapToGrid w:val="0"/>
        <w:spacing w:after="0" w:line="360" w:lineRule="auto"/>
        <w:ind w:left="0" w:leftChars="0" w:right="0" w:firstLine="4569" w:firstLineChars="1904"/>
        <w:rPr>
          <w:rFonts w:hint="eastAsia" w:ascii="宋体" w:hAnsi="宋体" w:eastAsia="宋体" w:cs="宋体"/>
          <w:i w:val="0"/>
          <w:iCs w:val="0"/>
          <w:color w:val="auto"/>
          <w:spacing w:val="0"/>
          <w:w w:val="100"/>
          <w:position w:val="0"/>
          <w:sz w:val="24"/>
          <w:szCs w:val="24"/>
          <w:highlight w:val="none"/>
        </w:rPr>
      </w:pPr>
      <w:r>
        <w:rPr>
          <w:rFonts w:hint="eastAsia" w:ascii="宋体" w:hAnsi="宋体" w:eastAsia="宋体" w:cs="宋体"/>
          <w:i w:val="0"/>
          <w:iCs w:val="0"/>
          <w:color w:val="auto"/>
          <w:spacing w:val="0"/>
          <w:w w:val="100"/>
          <w:position w:val="0"/>
          <w:sz w:val="24"/>
          <w:szCs w:val="24"/>
          <w:highlight w:val="none"/>
        </w:rPr>
        <w:t>日期：</w:t>
      </w:r>
    </w:p>
    <w:p w14:paraId="6E31C657">
      <w:pPr>
        <w:pageBreakBefore w:val="0"/>
        <w:kinsoku/>
        <w:overflowPunct/>
        <w:topLinePunct w:val="0"/>
        <w:bidi w:val="0"/>
        <w:adjustRightInd w:val="0"/>
        <w:snapToGrid w:val="0"/>
        <w:spacing w:line="360" w:lineRule="auto"/>
        <w:ind w:left="0" w:leftChars="0" w:right="0" w:firstLine="0"/>
        <w:jc w:val="left"/>
        <w:rPr>
          <w:rFonts w:hint="eastAsia" w:ascii="宋体" w:hAnsi="宋体" w:eastAsia="宋体" w:cs="宋体"/>
          <w:b/>
          <w:bCs/>
          <w:color w:val="auto"/>
          <w:sz w:val="18"/>
          <w:highlight w:val="none"/>
        </w:rPr>
      </w:pPr>
    </w:p>
    <w:p w14:paraId="1A89D364">
      <w:pPr>
        <w:pageBreakBefore w:val="0"/>
        <w:kinsoku/>
        <w:overflowPunct/>
        <w:topLinePunct w:val="0"/>
        <w:bidi w:val="0"/>
        <w:adjustRightInd w:val="0"/>
        <w:snapToGrid w:val="0"/>
        <w:spacing w:line="360" w:lineRule="auto"/>
        <w:ind w:left="0" w:leftChars="0" w:right="0" w:firstLine="0"/>
        <w:jc w:val="left"/>
        <w:rPr>
          <w:rFonts w:hint="eastAsia" w:ascii="宋体" w:hAnsi="宋体" w:eastAsia="宋体" w:cs="宋体"/>
          <w:b/>
          <w:bCs/>
          <w:color w:val="auto"/>
          <w:sz w:val="18"/>
          <w:highlight w:val="none"/>
        </w:rPr>
      </w:pPr>
    </w:p>
    <w:p w14:paraId="0E432762">
      <w:pPr>
        <w:pageBreakBefore w:val="0"/>
        <w:kinsoku/>
        <w:overflowPunct/>
        <w:topLinePunct w:val="0"/>
        <w:bidi w:val="0"/>
        <w:adjustRightInd w:val="0"/>
        <w:snapToGrid w:val="0"/>
        <w:spacing w:line="360" w:lineRule="auto"/>
        <w:ind w:left="0" w:leftChars="0" w:right="0" w:firstLine="0"/>
        <w:jc w:val="left"/>
        <w:rPr>
          <w:rFonts w:hint="eastAsia" w:ascii="宋体" w:hAnsi="宋体" w:eastAsia="宋体" w:cs="宋体"/>
          <w:b/>
          <w:bCs/>
          <w:color w:val="auto"/>
          <w:sz w:val="18"/>
          <w:highlight w:val="none"/>
        </w:rPr>
      </w:pPr>
      <w:r>
        <w:rPr>
          <w:rFonts w:hint="eastAsia" w:ascii="宋体" w:hAnsi="宋体" w:cs="宋体"/>
          <w:b/>
          <w:bCs/>
          <w:color w:val="auto"/>
          <w:sz w:val="18"/>
          <w:highlight w:val="none"/>
          <w:lang w:val="en-US" w:eastAsia="zh-CN"/>
        </w:rPr>
        <w:t>注：</w:t>
      </w:r>
      <w:r>
        <w:rPr>
          <w:rFonts w:hint="eastAsia" w:ascii="宋体" w:hAnsi="宋体" w:eastAsia="宋体" w:cs="宋体"/>
          <w:b/>
          <w:bCs/>
          <w:color w:val="auto"/>
          <w:sz w:val="18"/>
          <w:highlight w:val="none"/>
        </w:rPr>
        <w:t>从业人员、营业收入、资产总额填报上一年度数据，无上一年度数据的新成立企业可不填报。</w:t>
      </w:r>
    </w:p>
    <w:p w14:paraId="6733C1AD">
      <w:pPr>
        <w:pageBreakBefore w:val="0"/>
        <w:kinsoku/>
        <w:overflowPunct/>
        <w:topLinePunct w:val="0"/>
        <w:bidi w:val="0"/>
        <w:adjustRightInd w:val="0"/>
        <w:snapToGrid w:val="0"/>
        <w:spacing w:after="0" w:line="360" w:lineRule="auto"/>
        <w:ind w:left="0" w:leftChars="0" w:right="0" w:firstLine="480" w:firstLineChars="200"/>
        <w:jc w:val="left"/>
        <w:rPr>
          <w:rFonts w:hint="eastAsia" w:ascii="宋体" w:hAnsi="宋体" w:eastAsia="宋体" w:cs="宋体"/>
          <w:color w:val="auto"/>
          <w:sz w:val="24"/>
          <w:szCs w:val="24"/>
          <w:highlight w:val="none"/>
        </w:rPr>
      </w:pPr>
    </w:p>
    <w:p w14:paraId="6115E583">
      <w:pPr>
        <w:rPr>
          <w:rFonts w:hint="eastAsia" w:ascii="宋体" w:hAnsi="宋体" w:eastAsia="宋体" w:cs="宋体"/>
          <w:color w:val="auto"/>
          <w:sz w:val="24"/>
          <w:szCs w:val="24"/>
          <w:highlight w:val="none"/>
        </w:rPr>
      </w:pPr>
    </w:p>
    <w:p w14:paraId="7C8BDCDE">
      <w:pPr>
        <w:pStyle w:val="14"/>
        <w:rPr>
          <w:rFonts w:hint="eastAsia"/>
          <w:color w:val="auto"/>
          <w:highlight w:val="none"/>
        </w:rPr>
      </w:pPr>
    </w:p>
    <w:p w14:paraId="4CC6FC7C">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420" w:leftChars="0" w:right="0" w:rightChars="0"/>
        <w:jc w:val="center"/>
        <w:textAlignment w:val="auto"/>
        <w:outlineLvl w:val="2"/>
        <w:rPr>
          <w:rFonts w:hint="eastAsia" w:ascii="宋体" w:hAnsi="宋体" w:eastAsia="宋体" w:cs="宋体"/>
          <w:b/>
          <w:color w:val="auto"/>
          <w:sz w:val="24"/>
          <w:szCs w:val="24"/>
          <w:highlight w:val="none"/>
          <w:lang w:bidi="en-US"/>
        </w:rPr>
        <w:sectPr>
          <w:pgSz w:w="11906" w:h="16838"/>
          <w:pgMar w:top="1440" w:right="1440" w:bottom="1440" w:left="1247" w:header="851" w:footer="992" w:gutter="0"/>
          <w:pgNumType w:fmt="decimal"/>
          <w:cols w:space="720" w:num="1"/>
          <w:docGrid w:linePitch="312" w:charSpace="0"/>
        </w:sectPr>
      </w:pPr>
      <w:bookmarkStart w:id="137" w:name="_Toc26002"/>
      <w:bookmarkStart w:id="138" w:name="_Toc9244"/>
    </w:p>
    <w:p w14:paraId="6869BB80">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420" w:leftChars="0" w:right="0" w:rightChars="0"/>
        <w:jc w:val="center"/>
        <w:textAlignment w:val="auto"/>
        <w:outlineLvl w:val="2"/>
        <w:rPr>
          <w:rFonts w:hint="eastAsia" w:ascii="宋体" w:hAnsi="宋体" w:eastAsia="宋体" w:cs="宋体"/>
          <w:b/>
          <w:color w:val="auto"/>
          <w:sz w:val="24"/>
          <w:szCs w:val="24"/>
          <w:highlight w:val="none"/>
          <w:lang w:bidi="en-US"/>
        </w:rPr>
      </w:pPr>
      <w:r>
        <w:rPr>
          <w:rFonts w:hint="eastAsia" w:ascii="宋体" w:hAnsi="宋体" w:eastAsia="宋体" w:cs="宋体"/>
          <w:b/>
          <w:color w:val="auto"/>
          <w:sz w:val="24"/>
          <w:szCs w:val="24"/>
          <w:highlight w:val="none"/>
          <w:lang w:bidi="en-US"/>
        </w:rPr>
        <w:t>残疾人福利性单位声明函（若为残疾人福利性单位提供）</w:t>
      </w:r>
      <w:bookmarkEnd w:id="137"/>
      <w:bookmarkEnd w:id="138"/>
    </w:p>
    <w:p w14:paraId="3A15C773">
      <w:pPr>
        <w:pStyle w:val="22"/>
        <w:pageBreakBefore w:val="0"/>
        <w:numPr>
          <w:ilvl w:val="0"/>
          <w:numId w:val="0"/>
        </w:numPr>
        <w:kinsoku/>
        <w:overflowPunct/>
        <w:topLinePunct w:val="0"/>
        <w:bidi w:val="0"/>
        <w:adjustRightInd w:val="0"/>
        <w:snapToGrid w:val="0"/>
        <w:spacing w:after="0" w:line="360" w:lineRule="auto"/>
        <w:ind w:left="0" w:leftChars="0" w:right="0"/>
        <w:rPr>
          <w:rFonts w:hint="eastAsia"/>
          <w:color w:val="auto"/>
          <w:highlight w:val="none"/>
        </w:rPr>
      </w:pPr>
    </w:p>
    <w:p w14:paraId="722E7FE4">
      <w:pPr>
        <w:pageBreakBefore w:val="0"/>
        <w:kinsoku/>
        <w:overflowPunct/>
        <w:topLinePunct w:val="0"/>
        <w:bidi w:val="0"/>
        <w:adjustRightInd w:val="0"/>
        <w:snapToGrid w:val="0"/>
        <w:spacing w:after="0" w:line="360" w:lineRule="auto"/>
        <w:ind w:left="0" w:leftChars="0" w:right="0"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〔2017〕141</w:t>
      </w:r>
      <w:r>
        <w:rPr>
          <w:rFonts w:hint="eastAsia" w:ascii="宋体" w:hAnsi="宋体" w:eastAsia="宋体" w:cs="宋体"/>
          <w:color w:val="auto"/>
          <w:spacing w:val="6"/>
          <w:sz w:val="24"/>
          <w:szCs w:val="24"/>
          <w:highlight w:val="none"/>
        </w:rPr>
        <w:t>号）的规定，本单位为符合条件的残疾人福利性单位，且本单位参加</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单位的</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4375F7E8">
      <w:pPr>
        <w:pageBreakBefore w:val="0"/>
        <w:kinsoku/>
        <w:overflowPunct/>
        <w:topLinePunct w:val="0"/>
        <w:bidi w:val="0"/>
        <w:adjustRightInd w:val="0"/>
        <w:snapToGrid w:val="0"/>
        <w:spacing w:after="0" w:line="360" w:lineRule="auto"/>
        <w:ind w:left="0" w:leftChars="0" w:right="0"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13381A27">
      <w:pPr>
        <w:pageBreakBefore w:val="0"/>
        <w:kinsoku/>
        <w:overflowPunct/>
        <w:topLinePunct w:val="0"/>
        <w:bidi w:val="0"/>
        <w:adjustRightInd w:val="0"/>
        <w:snapToGrid w:val="0"/>
        <w:spacing w:after="0" w:line="360" w:lineRule="auto"/>
        <w:ind w:left="0" w:leftChars="0" w:right="0" w:firstLine="4599" w:firstLineChars="1825"/>
        <w:rPr>
          <w:rFonts w:hint="eastAsia" w:ascii="宋体" w:hAnsi="宋体" w:eastAsia="宋体" w:cs="宋体"/>
          <w:color w:val="auto"/>
          <w:spacing w:val="6"/>
          <w:sz w:val="24"/>
          <w:szCs w:val="24"/>
          <w:highlight w:val="none"/>
          <w:lang w:val="en-US" w:eastAsia="zh-CN"/>
        </w:rPr>
      </w:pPr>
    </w:p>
    <w:p w14:paraId="704C5829">
      <w:pPr>
        <w:pageBreakBefore w:val="0"/>
        <w:kinsoku/>
        <w:overflowPunct/>
        <w:topLinePunct w:val="0"/>
        <w:bidi w:val="0"/>
        <w:adjustRightInd w:val="0"/>
        <w:snapToGrid w:val="0"/>
        <w:spacing w:after="0" w:line="360" w:lineRule="auto"/>
        <w:ind w:left="0" w:leftChars="0" w:right="0" w:firstLine="4599" w:firstLineChars="1825"/>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lang w:val="en-US" w:eastAsia="zh-CN"/>
        </w:rPr>
        <w:t>供应商</w:t>
      </w:r>
      <w:r>
        <w:rPr>
          <w:rFonts w:hint="eastAsia" w:ascii="宋体" w:hAnsi="宋体" w:eastAsia="宋体" w:cs="宋体"/>
          <w:color w:val="auto"/>
          <w:spacing w:val="6"/>
          <w:sz w:val="24"/>
          <w:szCs w:val="24"/>
          <w:highlight w:val="none"/>
        </w:rPr>
        <w:t>（</w:t>
      </w:r>
      <w:r>
        <w:rPr>
          <w:rFonts w:hint="eastAsia" w:ascii="宋体" w:hAnsi="宋体" w:cs="宋体"/>
          <w:color w:val="auto"/>
          <w:spacing w:val="6"/>
          <w:sz w:val="24"/>
          <w:szCs w:val="24"/>
          <w:highlight w:val="none"/>
          <w:lang w:eastAsia="zh-CN"/>
        </w:rPr>
        <w:t>电子签章</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u w:val="single"/>
        </w:rPr>
        <w:t xml:space="preserve">             </w:t>
      </w:r>
    </w:p>
    <w:p w14:paraId="2FCDE0E3">
      <w:pPr>
        <w:pageBreakBefore w:val="0"/>
        <w:kinsoku/>
        <w:overflowPunct/>
        <w:topLinePunct w:val="0"/>
        <w:bidi w:val="0"/>
        <w:adjustRightInd w:val="0"/>
        <w:snapToGrid w:val="0"/>
        <w:spacing w:after="0" w:line="360" w:lineRule="auto"/>
        <w:ind w:left="0" w:leftChars="0" w:right="0" w:firstLine="4599" w:firstLineChars="1825"/>
        <w:rPr>
          <w:rFonts w:hint="eastAsia"/>
          <w:color w:val="auto"/>
          <w:highlight w:val="none"/>
        </w:rPr>
      </w:pPr>
      <w:r>
        <w:rPr>
          <w:rFonts w:hint="eastAsia" w:ascii="宋体" w:hAnsi="宋体" w:eastAsia="宋体" w:cs="宋体"/>
          <w:color w:val="auto"/>
          <w:spacing w:val="6"/>
          <w:sz w:val="24"/>
          <w:szCs w:val="24"/>
          <w:highlight w:val="none"/>
        </w:rPr>
        <w:t>日</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  期：</w:t>
      </w:r>
      <w:r>
        <w:rPr>
          <w:rFonts w:hint="eastAsia" w:ascii="宋体" w:hAnsi="宋体" w:eastAsia="宋体" w:cs="宋体"/>
          <w:color w:val="auto"/>
          <w:spacing w:val="6"/>
          <w:sz w:val="24"/>
          <w:szCs w:val="24"/>
          <w:highlight w:val="none"/>
          <w:u w:val="single"/>
        </w:rPr>
        <w:t xml:space="preserve">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p>
    <w:p w14:paraId="20636ED2">
      <w:pPr>
        <w:pageBreakBefore w:val="0"/>
        <w:kinsoku/>
        <w:overflowPunct/>
        <w:topLinePunct w:val="0"/>
        <w:bidi w:val="0"/>
        <w:adjustRightInd w:val="0"/>
        <w:snapToGrid w:val="0"/>
        <w:spacing w:after="0" w:line="360" w:lineRule="auto"/>
        <w:ind w:left="723" w:leftChars="241" w:right="0" w:hanging="241" w:hanging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注：1、若为残疾人福利性单位，证明文件依次附在本声明函后。</w:t>
      </w:r>
    </w:p>
    <w:p w14:paraId="5D34AF9E">
      <w:pPr>
        <w:pStyle w:val="43"/>
        <w:numPr>
          <w:ilvl w:val="0"/>
          <w:numId w:val="11"/>
        </w:numPr>
        <w:spacing w:before="120" w:line="440" w:lineRule="exact"/>
        <w:ind w:left="800"/>
        <w:jc w:val="left"/>
        <w:rPr>
          <w:rFonts w:hint="eastAsia" w:ascii="宋体" w:hAnsi="宋体" w:cs="宋体"/>
          <w:b/>
          <w:color w:val="auto"/>
          <w:sz w:val="24"/>
          <w:szCs w:val="24"/>
          <w:highlight w:val="none"/>
          <w:lang w:eastAsia="zh-CN"/>
        </w:rPr>
      </w:pPr>
      <w:r>
        <w:rPr>
          <w:rFonts w:hint="eastAsia" w:ascii="宋体" w:hAnsi="宋体" w:eastAsia="宋体" w:cs="宋体"/>
          <w:b/>
          <w:color w:val="auto"/>
          <w:sz w:val="24"/>
          <w:szCs w:val="24"/>
          <w:highlight w:val="none"/>
        </w:rPr>
        <w:t>非残疾人福利性单位无需提供此表</w:t>
      </w:r>
      <w:r>
        <w:rPr>
          <w:rFonts w:hint="eastAsia" w:ascii="宋体" w:hAnsi="宋体" w:cs="宋体"/>
          <w:b/>
          <w:color w:val="auto"/>
          <w:sz w:val="24"/>
          <w:szCs w:val="24"/>
          <w:highlight w:val="none"/>
          <w:lang w:eastAsia="zh-CN"/>
        </w:rPr>
        <w:t>。</w:t>
      </w:r>
    </w:p>
    <w:p w14:paraId="43B57496">
      <w:pPr>
        <w:pStyle w:val="3"/>
        <w:keepNext/>
        <w:keepLines/>
        <w:pageBreakBefore w:val="0"/>
        <w:widowControl/>
        <w:numPr>
          <w:ilvl w:val="0"/>
          <w:numId w:val="0"/>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sz w:val="30"/>
          <w:szCs w:val="30"/>
          <w:highlight w:val="none"/>
          <w:lang w:val="en-US" w:eastAsia="zh-CN" w:bidi="ar-SA"/>
        </w:rPr>
        <w:sectPr>
          <w:headerReference r:id="rId19" w:type="default"/>
          <w:pgSz w:w="11906" w:h="16838"/>
          <w:pgMar w:top="1440" w:right="1440" w:bottom="1440" w:left="1440" w:header="851" w:footer="992" w:gutter="0"/>
          <w:pgNumType w:fmt="decimal"/>
          <w:cols w:space="720" w:num="1"/>
          <w:docGrid w:linePitch="312" w:charSpace="0"/>
        </w:sectPr>
      </w:pPr>
      <w:bookmarkStart w:id="139" w:name="_Toc4375"/>
      <w:bookmarkStart w:id="140" w:name="_Toc21076"/>
    </w:p>
    <w:p w14:paraId="2AA32026">
      <w:pPr>
        <w:pStyle w:val="3"/>
        <w:keepNext/>
        <w:keepLines/>
        <w:pageBreakBefore w:val="0"/>
        <w:widowControl/>
        <w:numPr>
          <w:ilvl w:val="0"/>
          <w:numId w:val="0"/>
        </w:numPr>
        <w:kinsoku/>
        <w:wordWrap/>
        <w:overflowPunct/>
        <w:topLinePunct w:val="0"/>
        <w:autoSpaceDE/>
        <w:autoSpaceDN/>
        <w:bidi w:val="0"/>
        <w:adjustRightInd/>
        <w:snapToGrid/>
        <w:spacing w:line="416" w:lineRule="auto"/>
        <w:jc w:val="center"/>
        <w:textAlignment w:val="auto"/>
        <w:outlineLvl w:val="1"/>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（八）供应商认为可以提交的其他材料复印件</w:t>
      </w:r>
      <w:bookmarkEnd w:id="139"/>
      <w:bookmarkEnd w:id="140"/>
    </w:p>
    <w:p w14:paraId="3F015103">
      <w:pPr>
        <w:jc w:val="center"/>
        <w:rPr>
          <w:color w:val="auto"/>
          <w:sz w:val="21"/>
          <w:szCs w:val="21"/>
          <w:highlight w:val="none"/>
        </w:rPr>
      </w:pPr>
      <w:r>
        <w:rPr>
          <w:rFonts w:hint="eastAsia" w:ascii="宋体" w:hAnsi="宋体"/>
          <w:color w:val="auto"/>
          <w:szCs w:val="21"/>
          <w:highlight w:val="none"/>
        </w:rPr>
        <w:t>供应商按照竞争性磋商文件要求及评审办法中的评审内容自行编制。</w:t>
      </w:r>
    </w:p>
    <w:p w14:paraId="094703B1">
      <w:pPr>
        <w:ind w:firstLine="616" w:firstLineChars="257"/>
        <w:rPr>
          <w:rFonts w:hint="eastAsia" w:ascii="宋体" w:hAnsi="宋体" w:eastAsia="宋体" w:cs="宋体"/>
          <w:color w:val="auto"/>
          <w:sz w:val="24"/>
          <w:szCs w:val="24"/>
          <w:highlight w:val="none"/>
        </w:rPr>
      </w:pPr>
    </w:p>
    <w:p w14:paraId="07CE445E">
      <w:pPr>
        <w:pStyle w:val="43"/>
        <w:spacing w:before="120" w:line="360" w:lineRule="auto"/>
        <w:ind w:left="8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r>
    </w:p>
    <w:p w14:paraId="1F75480F">
      <w:pPr>
        <w:pStyle w:val="3"/>
        <w:jc w:val="center"/>
        <w:rPr>
          <w:rFonts w:hint="eastAsia" w:ascii="宋体" w:hAnsi="宋体" w:eastAsia="宋体" w:cs="宋体"/>
          <w:color w:val="auto"/>
          <w:highlight w:val="none"/>
        </w:rPr>
      </w:pPr>
      <w:bookmarkStart w:id="141" w:name="_Toc9342"/>
      <w:bookmarkStart w:id="142" w:name="_Toc24969"/>
      <w:bookmarkStart w:id="143" w:name="_Toc857"/>
      <w:bookmarkStart w:id="144" w:name="_Toc24446"/>
      <w:r>
        <w:rPr>
          <w:rFonts w:hint="eastAsia" w:ascii="宋体" w:hAnsi="宋体" w:eastAsia="宋体" w:cs="宋体"/>
          <w:color w:val="auto"/>
          <w:highlight w:val="none"/>
        </w:rPr>
        <w:t>二、响应文件磋商函部分格式</w:t>
      </w:r>
      <w:bookmarkEnd w:id="141"/>
      <w:bookmarkEnd w:id="142"/>
      <w:bookmarkEnd w:id="143"/>
      <w:bookmarkEnd w:id="144"/>
    </w:p>
    <w:p w14:paraId="0A3507F2">
      <w:pPr>
        <w:pStyle w:val="3"/>
        <w:jc w:val="center"/>
        <w:rPr>
          <w:rFonts w:hint="eastAsia" w:ascii="宋体" w:hAnsi="宋体" w:eastAsia="宋体" w:cs="宋体"/>
          <w:b/>
          <w:bCs w:val="0"/>
          <w:color w:val="auto"/>
          <w:sz w:val="30"/>
          <w:szCs w:val="30"/>
          <w:highlight w:val="none"/>
        </w:rPr>
      </w:pPr>
      <w:bookmarkStart w:id="145" w:name="_Toc8112"/>
      <w:bookmarkStart w:id="146" w:name="_Toc31781"/>
      <w:bookmarkStart w:id="147" w:name="_Toc14757"/>
      <w:bookmarkStart w:id="148" w:name="_Toc17426"/>
      <w:r>
        <w:rPr>
          <w:rFonts w:hint="eastAsia" w:ascii="宋体" w:hAnsi="宋体" w:eastAsia="宋体" w:cs="宋体"/>
          <w:b/>
          <w:bCs w:val="0"/>
          <w:color w:val="auto"/>
          <w:sz w:val="30"/>
          <w:szCs w:val="30"/>
          <w:highlight w:val="none"/>
        </w:rPr>
        <w:t>（一）磋商函</w:t>
      </w:r>
      <w:bookmarkEnd w:id="145"/>
      <w:bookmarkEnd w:id="146"/>
      <w:bookmarkEnd w:id="147"/>
      <w:bookmarkEnd w:id="148"/>
    </w:p>
    <w:p w14:paraId="06C4A54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（采购人名称）</w:t>
      </w:r>
    </w:p>
    <w:p w14:paraId="03808206">
      <w:pPr>
        <w:spacing w:line="360" w:lineRule="auto"/>
        <w:ind w:firstLine="405" w:firstLineChars="1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在充分研究</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（以下简称“本项目”）竞争性磋商文件的全部内容后，我方兹以：</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最终磋商报价表</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color w:val="auto"/>
          <w:sz w:val="21"/>
          <w:szCs w:val="21"/>
          <w:highlight w:val="none"/>
        </w:rPr>
        <w:t>的磋商价格和按项目约定有权得到的其它金额，并严格按照项目约定提供相关服务。</w:t>
      </w:r>
    </w:p>
    <w:p w14:paraId="2E7E2A3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1、如果我方成交，我方保证按照项目约定的时间及地点，</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bCs/>
          <w:color w:val="auto"/>
          <w:kern w:val="2"/>
          <w:sz w:val="21"/>
          <w:szCs w:val="21"/>
          <w:highlight w:val="none"/>
          <w:u w:val="single"/>
        </w:rPr>
        <w:t xml:space="preserve">                 </w:t>
      </w:r>
      <w:r>
        <w:rPr>
          <w:rFonts w:hint="eastAsia" w:ascii="宋体" w:hAnsi="宋体" w:eastAsia="宋体" w:cs="宋体"/>
          <w:color w:val="auto"/>
          <w:sz w:val="21"/>
          <w:szCs w:val="21"/>
          <w:highlight w:val="none"/>
        </w:rPr>
        <w:t>。我方同意本磋商函在竞争性磋商文件规定的提交响应文件截止时间后，在竞争性磋商文件规定的磋商有效期期满前对我方具有约束力，且随时准备接受你方发出的成交通知书。</w:t>
      </w:r>
    </w:p>
    <w:p w14:paraId="2833E13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2、我方同意所提交的响应文件在竞争性磋商文件的供应商须知中规定的磋商有效期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日历天有效，在此期间内如果成交，我方将受此约束。</w:t>
      </w:r>
    </w:p>
    <w:p w14:paraId="22E289B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3、在签署协议书之前，你方的成交通知书连同本磋商函，对双方具有约束力。</w:t>
      </w:r>
    </w:p>
    <w:p w14:paraId="56E7A06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4、如果我方成交，将按竞争性磋商文件的规定时间及项目条款签订合同。</w:t>
      </w:r>
    </w:p>
    <w:p w14:paraId="28314F0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我方已详细审核竞争性磋商文件，我方对竞争性磋商文件各项条款和评审办法无异议，知道必须放弃提出含糊不清或误解问题的权利。</w:t>
      </w:r>
    </w:p>
    <w:p w14:paraId="736E948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同意应贵方要求提供与本磋商有关的任何数据和资料，并保证数据和资料的完整性和真实性，若有违反，我方愿意承担一切后果。</w:t>
      </w:r>
    </w:p>
    <w:p w14:paraId="25A52A3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我方完全理解贵方不一定要接受最低报价的供应商为成交供应商的行为。</w:t>
      </w:r>
    </w:p>
    <w:p w14:paraId="6CA511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若贵方需要，我方愿意提供我方作出的一切承诺的证明材料。</w:t>
      </w:r>
    </w:p>
    <w:p w14:paraId="0A1FC7F6">
      <w:pPr>
        <w:pStyle w:val="43"/>
        <w:spacing w:before="120" w:line="360" w:lineRule="auto"/>
        <w:ind w:left="800"/>
        <w:rPr>
          <w:rFonts w:hint="eastAsia" w:ascii="宋体" w:hAnsi="宋体" w:eastAsia="宋体" w:cs="宋体"/>
          <w:color w:val="auto"/>
          <w:sz w:val="21"/>
          <w:szCs w:val="21"/>
          <w:highlight w:val="none"/>
        </w:rPr>
      </w:pPr>
    </w:p>
    <w:p w14:paraId="695813B4">
      <w:pPr>
        <w:pStyle w:val="43"/>
        <w:spacing w:before="120" w:line="360" w:lineRule="auto"/>
        <w:ind w:left="8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73E1D7D6">
      <w:pPr>
        <w:pStyle w:val="43"/>
        <w:spacing w:before="120" w:line="360" w:lineRule="auto"/>
        <w:ind w:left="8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法定代表人或委托代理人（签字或盖章）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67625021">
      <w:pPr>
        <w:pStyle w:val="43"/>
        <w:spacing w:before="120" w:line="360" w:lineRule="auto"/>
        <w:ind w:left="8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D78C0A3">
      <w:pPr>
        <w:spacing w:line="360" w:lineRule="auto"/>
        <w:ind w:firstLine="840" w:firstLineChars="400"/>
        <w:rPr>
          <w:rFonts w:hint="eastAsia" w:ascii="宋体" w:hAnsi="宋体" w:eastAsia="宋体" w:cs="宋体"/>
          <w:color w:val="auto"/>
          <w:sz w:val="21"/>
          <w:szCs w:val="21"/>
          <w:highlight w:val="none"/>
        </w:rPr>
      </w:pPr>
    </w:p>
    <w:p w14:paraId="719B5323">
      <w:pPr>
        <w:spacing w:line="360" w:lineRule="auto"/>
        <w:ind w:firstLine="840" w:firstLineChars="400"/>
        <w:rPr>
          <w:rFonts w:hint="eastAsia" w:ascii="宋体" w:hAnsi="宋体" w:eastAsia="宋体" w:cs="宋体"/>
          <w:color w:val="auto"/>
          <w:sz w:val="21"/>
          <w:szCs w:val="21"/>
          <w:highlight w:val="none"/>
        </w:rPr>
      </w:pPr>
    </w:p>
    <w:p w14:paraId="4716947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1AB2900A">
      <w:pPr>
        <w:pStyle w:val="3"/>
        <w:jc w:val="center"/>
        <w:rPr>
          <w:rFonts w:hint="eastAsia" w:ascii="宋体" w:hAnsi="宋体" w:eastAsia="宋体" w:cs="宋体"/>
          <w:b/>
          <w:bCs w:val="0"/>
          <w:color w:val="auto"/>
          <w:sz w:val="30"/>
          <w:szCs w:val="30"/>
          <w:highlight w:val="none"/>
        </w:rPr>
      </w:pPr>
      <w:bookmarkStart w:id="149" w:name="_Toc11223"/>
      <w:bookmarkStart w:id="150" w:name="_Toc18415"/>
      <w:bookmarkStart w:id="151" w:name="_Toc28461"/>
      <w:bookmarkStart w:id="152" w:name="_Toc24904"/>
      <w:r>
        <w:rPr>
          <w:rFonts w:hint="eastAsia" w:ascii="宋体" w:hAnsi="宋体" w:eastAsia="宋体" w:cs="宋体"/>
          <w:b/>
          <w:bCs w:val="0"/>
          <w:color w:val="auto"/>
          <w:sz w:val="30"/>
          <w:szCs w:val="30"/>
          <w:highlight w:val="none"/>
        </w:rPr>
        <w:t>（二）磋商函附录</w:t>
      </w:r>
      <w:bookmarkEnd w:id="149"/>
      <w:bookmarkEnd w:id="150"/>
      <w:bookmarkEnd w:id="151"/>
      <w:bookmarkEnd w:id="152"/>
    </w:p>
    <w:p w14:paraId="6CD7ADB4">
      <w:pPr>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1388"/>
        <w:gridCol w:w="6593"/>
      </w:tblGrid>
      <w:tr w14:paraId="2DA52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96" w:type="dxa"/>
            <w:noWrap w:val="0"/>
            <w:vAlign w:val="center"/>
          </w:tcPr>
          <w:p w14:paraId="00368426">
            <w:pPr>
              <w:spacing w:line="360" w:lineRule="auto"/>
              <w:ind w:left="-3" w:firstLine="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88" w:type="dxa"/>
            <w:noWrap w:val="0"/>
            <w:vAlign w:val="center"/>
          </w:tcPr>
          <w:p w14:paraId="06548557">
            <w:pPr>
              <w:spacing w:line="360" w:lineRule="auto"/>
              <w:ind w:left="-3" w:firstLine="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6593" w:type="dxa"/>
            <w:noWrap w:val="0"/>
            <w:vAlign w:val="center"/>
          </w:tcPr>
          <w:p w14:paraId="5A4C74C6">
            <w:pPr>
              <w:spacing w:line="360" w:lineRule="auto"/>
              <w:ind w:left="-3" w:firstLine="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承诺内容</w:t>
            </w:r>
          </w:p>
        </w:tc>
      </w:tr>
      <w:tr w14:paraId="0478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6" w:type="dxa"/>
            <w:noWrap w:val="0"/>
            <w:vAlign w:val="center"/>
          </w:tcPr>
          <w:p w14:paraId="1A737AB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388" w:type="dxa"/>
            <w:noWrap w:val="0"/>
            <w:vAlign w:val="center"/>
          </w:tcPr>
          <w:p w14:paraId="660D20B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val="en-US" w:eastAsia="zh-CN"/>
              </w:rPr>
              <w:t>资格要求</w:t>
            </w:r>
          </w:p>
        </w:tc>
        <w:tc>
          <w:tcPr>
            <w:tcW w:w="6593" w:type="dxa"/>
            <w:noWrap w:val="0"/>
            <w:vAlign w:val="center"/>
          </w:tcPr>
          <w:p w14:paraId="6ADEB894">
            <w:pPr>
              <w:widowControl w:val="0"/>
              <w:numPr>
                <w:ilvl w:val="0"/>
                <w:numId w:val="0"/>
              </w:numPr>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符合《竞争性磋商公告》第2条供应商资格要求；</w:t>
            </w:r>
          </w:p>
        </w:tc>
      </w:tr>
      <w:tr w14:paraId="1102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96" w:type="dxa"/>
            <w:noWrap w:val="0"/>
            <w:vAlign w:val="center"/>
          </w:tcPr>
          <w:p w14:paraId="2A7B466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388" w:type="dxa"/>
            <w:noWrap w:val="0"/>
            <w:vAlign w:val="center"/>
          </w:tcPr>
          <w:p w14:paraId="4A82D7C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供应商履约能力</w:t>
            </w:r>
          </w:p>
        </w:tc>
        <w:tc>
          <w:tcPr>
            <w:tcW w:w="6593" w:type="dxa"/>
            <w:noWrap w:val="0"/>
            <w:vAlign w:val="center"/>
          </w:tcPr>
          <w:p w14:paraId="7C316F43">
            <w:pPr>
              <w:widowControl w:val="0"/>
              <w:numPr>
                <w:ilvl w:val="0"/>
                <w:numId w:val="0"/>
              </w:numPr>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本着认真负责的态度组织项目活动，做好本项目；</w:t>
            </w:r>
          </w:p>
          <w:p w14:paraId="09CDA45F">
            <w:pPr>
              <w:widowControl w:val="0"/>
              <w:numPr>
                <w:ilvl w:val="0"/>
                <w:numId w:val="0"/>
              </w:numPr>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具有履行合同所必需的专业技术能力和专业技术队伍；</w:t>
            </w:r>
          </w:p>
          <w:p w14:paraId="01ED10D5">
            <w:pPr>
              <w:widowControl w:val="0"/>
              <w:numPr>
                <w:ilvl w:val="0"/>
                <w:numId w:val="0"/>
              </w:numPr>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具备签署并履行本合同所需的全部资格。</w:t>
            </w:r>
          </w:p>
        </w:tc>
      </w:tr>
      <w:tr w14:paraId="69D8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96" w:type="dxa"/>
            <w:noWrap w:val="0"/>
            <w:vAlign w:val="center"/>
          </w:tcPr>
          <w:p w14:paraId="2A4BF70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388" w:type="dxa"/>
            <w:noWrap w:val="0"/>
            <w:vAlign w:val="center"/>
          </w:tcPr>
          <w:p w14:paraId="7433D1C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保密性</w:t>
            </w:r>
          </w:p>
        </w:tc>
        <w:tc>
          <w:tcPr>
            <w:tcW w:w="6593" w:type="dxa"/>
            <w:noWrap w:val="0"/>
            <w:vAlign w:val="center"/>
          </w:tcPr>
          <w:p w14:paraId="47228211">
            <w:pPr>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供应商对此项目的全部内容保密并不得私自转让，或用于其他商业用途。</w:t>
            </w:r>
          </w:p>
        </w:tc>
      </w:tr>
    </w:tbl>
    <w:p w14:paraId="0122987F">
      <w:pP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我方承诺以上内容都真实、有效。</w:t>
      </w:r>
    </w:p>
    <w:p w14:paraId="0500E034">
      <w:pPr>
        <w:pStyle w:val="43"/>
        <w:spacing w:before="120" w:line="360" w:lineRule="auto"/>
        <w:ind w:left="800"/>
        <w:rPr>
          <w:rFonts w:hint="eastAsia" w:ascii="宋体" w:hAnsi="宋体" w:eastAsia="宋体" w:cs="宋体"/>
          <w:color w:val="auto"/>
          <w:sz w:val="24"/>
          <w:szCs w:val="24"/>
          <w:highlight w:val="none"/>
        </w:rPr>
      </w:pPr>
    </w:p>
    <w:p w14:paraId="5C5D9CE0">
      <w:pPr>
        <w:pStyle w:val="43"/>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4F1421B">
      <w:pPr>
        <w:pStyle w:val="43"/>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法定代表人或委托代理人（签字或盖章）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E66607F">
      <w:pPr>
        <w:pStyle w:val="43"/>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671F74">
      <w:pPr>
        <w:pStyle w:val="43"/>
        <w:spacing w:before="120" w:line="440" w:lineRule="exact"/>
        <w:ind w:left="800"/>
        <w:rPr>
          <w:rFonts w:hint="eastAsia" w:ascii="宋体" w:hAnsi="宋体" w:eastAsia="宋体" w:cs="宋体"/>
          <w:color w:val="auto"/>
          <w:sz w:val="21"/>
          <w:szCs w:val="21"/>
          <w:highlight w:val="none"/>
        </w:rPr>
      </w:pPr>
    </w:p>
    <w:p w14:paraId="70484B0B">
      <w:pPr>
        <w:pStyle w:val="43"/>
        <w:spacing w:before="120" w:line="440" w:lineRule="exact"/>
        <w:ind w:left="800"/>
        <w:rPr>
          <w:rFonts w:hint="eastAsia" w:ascii="宋体" w:hAnsi="宋体" w:eastAsia="宋体" w:cs="宋体"/>
          <w:color w:val="auto"/>
          <w:sz w:val="21"/>
          <w:szCs w:val="21"/>
          <w:highlight w:val="none"/>
        </w:rPr>
      </w:pPr>
    </w:p>
    <w:p w14:paraId="7F9EB87C">
      <w:pPr>
        <w:pStyle w:val="43"/>
        <w:spacing w:before="120" w:line="440" w:lineRule="exact"/>
        <w:ind w:left="800"/>
        <w:rPr>
          <w:rFonts w:hint="eastAsia" w:ascii="宋体" w:hAnsi="宋体" w:eastAsia="宋体" w:cs="宋体"/>
          <w:color w:val="auto"/>
          <w:sz w:val="21"/>
          <w:szCs w:val="21"/>
          <w:highlight w:val="none"/>
        </w:rPr>
      </w:pPr>
    </w:p>
    <w:p w14:paraId="19F66072">
      <w:pPr>
        <w:pStyle w:val="43"/>
        <w:spacing w:before="120" w:line="440" w:lineRule="exact"/>
        <w:ind w:left="800"/>
        <w:rPr>
          <w:rFonts w:hint="eastAsia" w:ascii="宋体" w:hAnsi="宋体" w:eastAsia="宋体" w:cs="宋体"/>
          <w:color w:val="auto"/>
          <w:sz w:val="21"/>
          <w:szCs w:val="21"/>
          <w:highlight w:val="none"/>
        </w:rPr>
      </w:pPr>
    </w:p>
    <w:p w14:paraId="5EAF56ED">
      <w:pPr>
        <w:pStyle w:val="43"/>
        <w:spacing w:before="120" w:line="440" w:lineRule="exact"/>
        <w:ind w:left="800"/>
        <w:rPr>
          <w:rFonts w:hint="eastAsia" w:ascii="宋体" w:hAnsi="宋体" w:eastAsia="宋体" w:cs="宋体"/>
          <w:color w:val="auto"/>
          <w:sz w:val="21"/>
          <w:szCs w:val="21"/>
          <w:highlight w:val="none"/>
        </w:rPr>
      </w:pPr>
    </w:p>
    <w:p w14:paraId="77C6E619">
      <w:pPr>
        <w:pStyle w:val="43"/>
        <w:spacing w:before="120" w:line="440" w:lineRule="exact"/>
        <w:ind w:left="800"/>
        <w:rPr>
          <w:rFonts w:hint="eastAsia" w:ascii="宋体" w:hAnsi="宋体" w:eastAsia="宋体" w:cs="宋体"/>
          <w:color w:val="auto"/>
          <w:sz w:val="21"/>
          <w:szCs w:val="21"/>
          <w:highlight w:val="none"/>
          <w:lang w:eastAsia="zh-CN"/>
        </w:rPr>
      </w:pPr>
    </w:p>
    <w:p w14:paraId="38E7EFBE">
      <w:pPr>
        <w:pStyle w:val="43"/>
        <w:spacing w:before="120" w:line="440" w:lineRule="exact"/>
        <w:ind w:left="800"/>
        <w:rPr>
          <w:rFonts w:hint="eastAsia" w:ascii="宋体" w:hAnsi="宋体" w:eastAsia="宋体" w:cs="宋体"/>
          <w:color w:val="auto"/>
          <w:sz w:val="21"/>
          <w:szCs w:val="21"/>
          <w:highlight w:val="none"/>
          <w:lang w:eastAsia="zh-CN"/>
        </w:rPr>
      </w:pPr>
    </w:p>
    <w:p w14:paraId="4077CC04">
      <w:pPr>
        <w:pStyle w:val="43"/>
        <w:spacing w:before="120" w:line="440" w:lineRule="exact"/>
        <w:ind w:left="800"/>
        <w:rPr>
          <w:rFonts w:hint="eastAsia" w:ascii="宋体" w:hAnsi="宋体" w:eastAsia="宋体" w:cs="宋体"/>
          <w:color w:val="auto"/>
          <w:sz w:val="21"/>
          <w:szCs w:val="21"/>
          <w:highlight w:val="none"/>
          <w:lang w:eastAsia="zh-CN"/>
        </w:rPr>
      </w:pPr>
    </w:p>
    <w:p w14:paraId="16ECF00A">
      <w:pPr>
        <w:pStyle w:val="3"/>
        <w:jc w:val="center"/>
        <w:rPr>
          <w:rFonts w:hint="eastAsia" w:ascii="宋体" w:hAnsi="宋体" w:eastAsia="宋体" w:cs="宋体"/>
          <w:b w:val="0"/>
          <w:color w:val="auto"/>
          <w:sz w:val="30"/>
          <w:szCs w:val="30"/>
          <w:highlight w:val="none"/>
        </w:rPr>
        <w:sectPr>
          <w:pgSz w:w="11906" w:h="16838"/>
          <w:pgMar w:top="1440" w:right="1440" w:bottom="1440" w:left="1440" w:header="851" w:footer="992" w:gutter="0"/>
          <w:pgNumType w:fmt="decimal"/>
          <w:cols w:space="720" w:num="1"/>
          <w:docGrid w:linePitch="312" w:charSpace="0"/>
        </w:sectPr>
      </w:pPr>
      <w:bookmarkStart w:id="153" w:name="_Toc29892"/>
      <w:bookmarkStart w:id="154" w:name="_Toc18646"/>
      <w:bookmarkStart w:id="155" w:name="_Toc9307"/>
      <w:bookmarkStart w:id="156" w:name="_Toc20492"/>
    </w:p>
    <w:p w14:paraId="3233E141">
      <w:pPr>
        <w:pStyle w:val="3"/>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（三）法定代表人身份证明</w:t>
      </w:r>
      <w:bookmarkEnd w:id="153"/>
      <w:bookmarkEnd w:id="154"/>
      <w:bookmarkEnd w:id="155"/>
      <w:bookmarkEnd w:id="156"/>
    </w:p>
    <w:p w14:paraId="1476AB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6E34E2A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1A5E3B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149F590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03260E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0992C15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    别：</w:t>
      </w:r>
      <w:r>
        <w:rPr>
          <w:rFonts w:hint="eastAsia" w:ascii="宋体" w:hAnsi="宋体" w:eastAsia="宋体" w:cs="宋体"/>
          <w:color w:val="auto"/>
          <w:sz w:val="24"/>
          <w:szCs w:val="24"/>
          <w:highlight w:val="none"/>
          <w:u w:val="single"/>
        </w:rPr>
        <w:t xml:space="preserve">               </w:t>
      </w:r>
    </w:p>
    <w:p w14:paraId="449C2B6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14:paraId="71BA4EC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w:t>
      </w:r>
    </w:p>
    <w:p w14:paraId="23A188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4B9F568B">
      <w:pPr>
        <w:spacing w:line="360" w:lineRule="auto"/>
        <w:rPr>
          <w:rFonts w:hint="eastAsia" w:ascii="宋体" w:hAnsi="宋体" w:eastAsia="宋体" w:cs="宋体"/>
          <w:color w:val="auto"/>
          <w:sz w:val="24"/>
          <w:szCs w:val="24"/>
          <w:highlight w:val="none"/>
        </w:rPr>
      </w:pPr>
    </w:p>
    <w:p w14:paraId="4F029BF6">
      <w:pPr>
        <w:spacing w:line="360" w:lineRule="auto"/>
        <w:rPr>
          <w:rFonts w:hint="eastAsia" w:ascii="宋体" w:hAnsi="宋体" w:eastAsia="宋体" w:cs="宋体"/>
          <w:color w:val="auto"/>
          <w:sz w:val="24"/>
          <w:szCs w:val="24"/>
          <w:highlight w:val="none"/>
        </w:rPr>
      </w:pPr>
    </w:p>
    <w:p w14:paraId="1AF78DF6">
      <w:pPr>
        <w:spacing w:line="360" w:lineRule="auto"/>
        <w:rPr>
          <w:rFonts w:hint="eastAsia" w:ascii="宋体" w:hAnsi="宋体" w:eastAsia="宋体" w:cs="宋体"/>
          <w:color w:val="auto"/>
          <w:sz w:val="24"/>
          <w:szCs w:val="24"/>
          <w:highlight w:val="none"/>
        </w:rPr>
      </w:pPr>
    </w:p>
    <w:p w14:paraId="4C2C264E">
      <w:pPr>
        <w:spacing w:line="360" w:lineRule="auto"/>
        <w:rPr>
          <w:rFonts w:hint="eastAsia" w:ascii="宋体" w:hAnsi="宋体" w:eastAsia="宋体" w:cs="宋体"/>
          <w:color w:val="auto"/>
          <w:sz w:val="24"/>
          <w:szCs w:val="24"/>
          <w:highlight w:val="none"/>
        </w:rPr>
      </w:pPr>
    </w:p>
    <w:p w14:paraId="4439EAE6">
      <w:pPr>
        <w:spacing w:line="360" w:lineRule="auto"/>
        <w:rPr>
          <w:rFonts w:hint="eastAsia" w:ascii="宋体" w:hAnsi="宋体" w:eastAsia="宋体" w:cs="宋体"/>
          <w:color w:val="auto"/>
          <w:sz w:val="24"/>
          <w:szCs w:val="24"/>
          <w:highlight w:val="none"/>
        </w:rPr>
      </w:pPr>
    </w:p>
    <w:p w14:paraId="2D3ECE8E">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p>
    <w:p w14:paraId="12FEAE1D">
      <w:pPr>
        <w:spacing w:line="360" w:lineRule="auto"/>
        <w:jc w:val="right"/>
        <w:rPr>
          <w:rFonts w:hint="eastAsia" w:ascii="宋体" w:hAnsi="宋体" w:eastAsia="宋体" w:cs="宋体"/>
          <w:color w:val="auto"/>
          <w:sz w:val="24"/>
          <w:szCs w:val="24"/>
          <w:highlight w:val="none"/>
        </w:rPr>
      </w:pPr>
    </w:p>
    <w:p w14:paraId="5A01CFFE">
      <w:pPr>
        <w:wordWrap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72174CCD">
      <w:pPr>
        <w:spacing w:line="360" w:lineRule="auto"/>
        <w:jc w:val="right"/>
        <w:rPr>
          <w:rFonts w:hint="eastAsia" w:ascii="宋体" w:hAnsi="宋体" w:eastAsia="宋体" w:cs="宋体"/>
          <w:color w:val="auto"/>
          <w:sz w:val="24"/>
          <w:szCs w:val="24"/>
          <w:highlight w:val="none"/>
        </w:rPr>
      </w:pPr>
    </w:p>
    <w:p w14:paraId="49CD2829">
      <w:pPr>
        <w:spacing w:line="360" w:lineRule="auto"/>
        <w:jc w:val="right"/>
        <w:rPr>
          <w:rFonts w:hint="eastAsia" w:ascii="宋体" w:hAnsi="宋体" w:eastAsia="宋体" w:cs="宋体"/>
          <w:color w:val="auto"/>
          <w:sz w:val="24"/>
          <w:szCs w:val="24"/>
          <w:highlight w:val="none"/>
        </w:rPr>
      </w:pPr>
    </w:p>
    <w:p w14:paraId="4AB2EC5F">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注：附法定代表人身份证复印件。</w:t>
      </w:r>
    </w:p>
    <w:p w14:paraId="3243500A">
      <w:pPr>
        <w:jc w:val="right"/>
        <w:rPr>
          <w:rFonts w:hint="eastAsia" w:ascii="宋体" w:hAnsi="宋体" w:eastAsia="宋体" w:cs="宋体"/>
          <w:color w:val="auto"/>
          <w:sz w:val="21"/>
          <w:szCs w:val="21"/>
          <w:highlight w:val="none"/>
        </w:rPr>
      </w:pPr>
    </w:p>
    <w:p w14:paraId="229B0D90">
      <w:pPr>
        <w:jc w:val="right"/>
        <w:rPr>
          <w:rFonts w:hint="eastAsia" w:ascii="宋体" w:hAnsi="宋体" w:eastAsia="宋体" w:cs="宋体"/>
          <w:color w:val="auto"/>
          <w:sz w:val="21"/>
          <w:szCs w:val="21"/>
          <w:highlight w:val="none"/>
        </w:rPr>
      </w:pPr>
    </w:p>
    <w:p w14:paraId="2F742B63">
      <w:pPr>
        <w:jc w:val="right"/>
        <w:rPr>
          <w:rFonts w:hint="eastAsia" w:ascii="宋体" w:hAnsi="宋体" w:eastAsia="宋体" w:cs="宋体"/>
          <w:color w:val="auto"/>
          <w:sz w:val="21"/>
          <w:szCs w:val="21"/>
          <w:highlight w:val="none"/>
        </w:rPr>
      </w:pPr>
    </w:p>
    <w:p w14:paraId="7CD3AFC9">
      <w:pPr>
        <w:jc w:val="right"/>
        <w:rPr>
          <w:rFonts w:hint="eastAsia" w:ascii="宋体" w:hAnsi="宋体" w:eastAsia="宋体" w:cs="宋体"/>
          <w:color w:val="auto"/>
          <w:sz w:val="21"/>
          <w:szCs w:val="21"/>
          <w:highlight w:val="none"/>
        </w:rPr>
      </w:pPr>
    </w:p>
    <w:p w14:paraId="403A09CE">
      <w:pPr>
        <w:jc w:val="right"/>
        <w:rPr>
          <w:rFonts w:hint="eastAsia" w:ascii="宋体" w:hAnsi="宋体" w:eastAsia="宋体" w:cs="宋体"/>
          <w:color w:val="auto"/>
          <w:sz w:val="21"/>
          <w:szCs w:val="21"/>
          <w:highlight w:val="none"/>
        </w:rPr>
      </w:pPr>
    </w:p>
    <w:p w14:paraId="41E6A998">
      <w:pPr>
        <w:jc w:val="right"/>
        <w:rPr>
          <w:rFonts w:hint="eastAsia" w:ascii="宋体" w:hAnsi="宋体" w:eastAsia="宋体" w:cs="宋体"/>
          <w:color w:val="auto"/>
          <w:sz w:val="21"/>
          <w:szCs w:val="21"/>
          <w:highlight w:val="none"/>
        </w:rPr>
      </w:pPr>
    </w:p>
    <w:p w14:paraId="4D33FD59">
      <w:pPr>
        <w:jc w:val="right"/>
        <w:rPr>
          <w:rFonts w:hint="eastAsia" w:ascii="宋体" w:hAnsi="宋体" w:eastAsia="宋体" w:cs="宋体"/>
          <w:color w:val="auto"/>
          <w:sz w:val="21"/>
          <w:szCs w:val="21"/>
          <w:highlight w:val="none"/>
        </w:rPr>
      </w:pPr>
    </w:p>
    <w:p w14:paraId="09AED73D">
      <w:pPr>
        <w:jc w:val="right"/>
        <w:rPr>
          <w:rFonts w:hint="eastAsia" w:ascii="宋体" w:hAnsi="宋体" w:eastAsia="宋体" w:cs="宋体"/>
          <w:color w:val="auto"/>
          <w:sz w:val="21"/>
          <w:szCs w:val="21"/>
          <w:highlight w:val="none"/>
        </w:rPr>
      </w:pPr>
    </w:p>
    <w:p w14:paraId="62E7AD4F">
      <w:pPr>
        <w:jc w:val="right"/>
        <w:rPr>
          <w:rFonts w:hint="eastAsia" w:ascii="宋体" w:hAnsi="宋体" w:eastAsia="宋体" w:cs="宋体"/>
          <w:color w:val="auto"/>
          <w:sz w:val="21"/>
          <w:szCs w:val="21"/>
          <w:highlight w:val="none"/>
        </w:rPr>
      </w:pPr>
    </w:p>
    <w:p w14:paraId="24EFD9CA">
      <w:pPr>
        <w:pStyle w:val="3"/>
        <w:jc w:val="center"/>
        <w:rPr>
          <w:rFonts w:hint="eastAsia" w:ascii="宋体" w:hAnsi="宋体" w:eastAsia="宋体" w:cs="宋体"/>
          <w:b/>
          <w:bCs w:val="0"/>
          <w:color w:val="auto"/>
          <w:sz w:val="30"/>
          <w:szCs w:val="30"/>
          <w:highlight w:val="none"/>
        </w:rPr>
      </w:pPr>
      <w:bookmarkStart w:id="157" w:name="_Toc18359"/>
      <w:bookmarkStart w:id="158" w:name="_Toc7512"/>
      <w:bookmarkStart w:id="159" w:name="_Toc31899"/>
      <w:bookmarkStart w:id="160" w:name="_Toc20869"/>
      <w:r>
        <w:rPr>
          <w:rFonts w:hint="eastAsia" w:ascii="宋体" w:hAnsi="宋体" w:eastAsia="宋体" w:cs="宋体"/>
          <w:b/>
          <w:bCs w:val="0"/>
          <w:color w:val="auto"/>
          <w:sz w:val="30"/>
          <w:szCs w:val="30"/>
          <w:highlight w:val="none"/>
        </w:rPr>
        <w:t>（四）授权委托书</w:t>
      </w:r>
      <w:bookmarkEnd w:id="157"/>
      <w:bookmarkEnd w:id="158"/>
      <w:bookmarkEnd w:id="159"/>
      <w:bookmarkEnd w:id="160"/>
    </w:p>
    <w:p w14:paraId="65BBFD1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竞争性磋商响应文件，其法律后果由我方承担。</w:t>
      </w:r>
    </w:p>
    <w:p w14:paraId="7A40FB9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p>
    <w:p w14:paraId="46E0C6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10151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2DCFA330">
      <w:pPr>
        <w:spacing w:line="360" w:lineRule="auto"/>
        <w:ind w:firstLine="480" w:firstLineChars="200"/>
        <w:rPr>
          <w:rFonts w:hint="eastAsia" w:ascii="宋体" w:hAnsi="宋体" w:eastAsia="宋体" w:cs="宋体"/>
          <w:color w:val="auto"/>
          <w:sz w:val="24"/>
          <w:szCs w:val="24"/>
          <w:highlight w:val="none"/>
        </w:rPr>
      </w:pPr>
    </w:p>
    <w:p w14:paraId="1E381238">
      <w:pPr>
        <w:spacing w:line="360" w:lineRule="auto"/>
        <w:ind w:firstLine="480" w:firstLineChars="200"/>
        <w:rPr>
          <w:rFonts w:hint="eastAsia" w:ascii="宋体" w:hAnsi="宋体" w:eastAsia="宋体" w:cs="宋体"/>
          <w:color w:val="auto"/>
          <w:sz w:val="24"/>
          <w:szCs w:val="24"/>
          <w:highlight w:val="none"/>
        </w:rPr>
      </w:pPr>
    </w:p>
    <w:p w14:paraId="7AAA29C6">
      <w:pPr>
        <w:spacing w:line="360" w:lineRule="auto"/>
        <w:ind w:firstLine="480" w:firstLineChars="200"/>
        <w:rPr>
          <w:rFonts w:hint="eastAsia" w:ascii="宋体" w:hAnsi="宋体" w:eastAsia="宋体" w:cs="宋体"/>
          <w:color w:val="auto"/>
          <w:sz w:val="24"/>
          <w:szCs w:val="24"/>
          <w:highlight w:val="none"/>
        </w:rPr>
      </w:pPr>
    </w:p>
    <w:p w14:paraId="43785705">
      <w:pPr>
        <w:spacing w:line="360" w:lineRule="auto"/>
        <w:ind w:firstLine="480" w:firstLineChars="200"/>
        <w:rPr>
          <w:rFonts w:hint="eastAsia" w:ascii="宋体" w:hAnsi="宋体" w:eastAsia="宋体" w:cs="宋体"/>
          <w:color w:val="auto"/>
          <w:sz w:val="24"/>
          <w:szCs w:val="24"/>
          <w:highlight w:val="none"/>
        </w:rPr>
      </w:pPr>
    </w:p>
    <w:p w14:paraId="7A8F917A">
      <w:pPr>
        <w:wordWrap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   应  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p>
    <w:p w14:paraId="66E13CDC">
      <w:pPr>
        <w:wordWrap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盖章）</w:t>
      </w:r>
    </w:p>
    <w:p w14:paraId="176DB62D">
      <w:pPr>
        <w:wordWrap w:val="0"/>
        <w:spacing w:line="360" w:lineRule="auto"/>
        <w:ind w:right="44" w:firstLine="3120" w:firstLineChars="130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06CCA454">
      <w:pPr>
        <w:wordWrap w:val="0"/>
        <w:spacing w:line="360" w:lineRule="auto"/>
        <w:ind w:right="44" w:firstLine="3120" w:firstLineChars="1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（签章或盖章）</w:t>
      </w:r>
    </w:p>
    <w:p w14:paraId="4BAAF762">
      <w:pPr>
        <w:wordWrap w:val="0"/>
        <w:spacing w:line="360" w:lineRule="auto"/>
        <w:ind w:right="44" w:firstLine="3120" w:firstLineChars="130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078F138A">
      <w:pPr>
        <w:wordWrap w:val="0"/>
        <w:spacing w:line="360" w:lineRule="auto"/>
        <w:ind w:right="44" w:firstLine="3120" w:firstLineChars="1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1B97600">
      <w:pPr>
        <w:spacing w:line="360" w:lineRule="auto"/>
        <w:ind w:right="420" w:firstLine="5400" w:firstLineChars="2250"/>
        <w:rPr>
          <w:rFonts w:hint="eastAsia" w:ascii="宋体" w:hAnsi="宋体" w:eastAsia="宋体" w:cs="宋体"/>
          <w:color w:val="auto"/>
          <w:sz w:val="24"/>
          <w:szCs w:val="24"/>
          <w:highlight w:val="none"/>
        </w:rPr>
      </w:pPr>
    </w:p>
    <w:p w14:paraId="284DAD7B">
      <w:pPr>
        <w:spacing w:line="360" w:lineRule="auto"/>
        <w:ind w:right="420" w:firstLine="5400" w:firstLineChars="2250"/>
        <w:rPr>
          <w:rFonts w:hint="eastAsia" w:ascii="宋体" w:hAnsi="宋体" w:eastAsia="宋体" w:cs="宋体"/>
          <w:color w:val="auto"/>
          <w:sz w:val="24"/>
          <w:szCs w:val="24"/>
          <w:highlight w:val="none"/>
        </w:rPr>
      </w:pPr>
    </w:p>
    <w:p w14:paraId="0988351D">
      <w:pPr>
        <w:spacing w:line="360" w:lineRule="auto"/>
        <w:ind w:right="42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注：1、附授权委托人身份证复印件；</w:t>
      </w:r>
    </w:p>
    <w:p w14:paraId="072D72DE">
      <w:pPr>
        <w:spacing w:line="360" w:lineRule="auto"/>
        <w:ind w:right="420" w:firstLine="410" w:firstLineChars="17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2、如供应商由法定代表人亲自签署响应文件并参与相关活动，则不需要办理授权。如有被授权的代理人签署上述文件，则必须按本格式规定填报并提交授权书，否则被授权的代理人将不被认可。</w:t>
      </w:r>
    </w:p>
    <w:p w14:paraId="6B74E21C">
      <w:pPr>
        <w:spacing w:line="360" w:lineRule="auto"/>
        <w:ind w:right="420" w:firstLine="410" w:firstLineChars="17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3、本授权委托书配合法定代表人身份证明书使用方可生效。</w:t>
      </w:r>
    </w:p>
    <w:p w14:paraId="494A6852">
      <w:pPr>
        <w:spacing w:line="360" w:lineRule="auto"/>
        <w:ind w:right="420" w:firstLine="410" w:firstLineChars="170"/>
        <w:jc w:val="both"/>
        <w:rPr>
          <w:rFonts w:hint="eastAsia" w:ascii="宋体" w:hAnsi="宋体" w:eastAsia="宋体" w:cs="宋体"/>
          <w:b/>
          <w:color w:val="auto"/>
          <w:sz w:val="24"/>
          <w:szCs w:val="24"/>
          <w:highlight w:val="none"/>
        </w:rPr>
      </w:pPr>
    </w:p>
    <w:p w14:paraId="798FC4CD">
      <w:pPr>
        <w:spacing w:line="360" w:lineRule="auto"/>
        <w:ind w:right="420" w:firstLine="358" w:firstLineChars="170"/>
        <w:jc w:val="both"/>
        <w:rPr>
          <w:rFonts w:hint="eastAsia" w:ascii="宋体" w:hAnsi="宋体" w:eastAsia="宋体" w:cs="宋体"/>
          <w:b/>
          <w:color w:val="auto"/>
          <w:sz w:val="21"/>
          <w:szCs w:val="21"/>
          <w:highlight w:val="none"/>
        </w:rPr>
      </w:pPr>
    </w:p>
    <w:p w14:paraId="0184ED64">
      <w:pPr>
        <w:spacing w:line="360" w:lineRule="auto"/>
        <w:ind w:right="420" w:firstLine="358" w:firstLineChars="170"/>
        <w:jc w:val="both"/>
        <w:rPr>
          <w:rFonts w:hint="eastAsia" w:ascii="宋体" w:hAnsi="宋体" w:eastAsia="宋体" w:cs="宋体"/>
          <w:b/>
          <w:color w:val="auto"/>
          <w:sz w:val="21"/>
          <w:szCs w:val="21"/>
          <w:highlight w:val="none"/>
        </w:rPr>
      </w:pPr>
    </w:p>
    <w:p w14:paraId="232A9F36">
      <w:pPr>
        <w:spacing w:line="360" w:lineRule="auto"/>
        <w:ind w:right="420" w:firstLine="358" w:firstLineChars="170"/>
        <w:jc w:val="both"/>
        <w:rPr>
          <w:rFonts w:hint="eastAsia" w:ascii="宋体" w:hAnsi="宋体" w:eastAsia="宋体" w:cs="宋体"/>
          <w:b/>
          <w:color w:val="auto"/>
          <w:sz w:val="21"/>
          <w:szCs w:val="21"/>
          <w:highlight w:val="none"/>
        </w:rPr>
      </w:pPr>
    </w:p>
    <w:p w14:paraId="045C25A4">
      <w:pPr>
        <w:pStyle w:val="3"/>
        <w:jc w:val="center"/>
        <w:rPr>
          <w:rFonts w:hint="eastAsia" w:ascii="宋体" w:hAnsi="宋体" w:eastAsia="宋体" w:cs="宋体"/>
          <w:color w:val="auto"/>
          <w:highlight w:val="none"/>
        </w:rPr>
      </w:pPr>
      <w:bookmarkStart w:id="161" w:name="_Toc21337"/>
      <w:bookmarkStart w:id="162" w:name="_Toc14163"/>
      <w:bookmarkStart w:id="163" w:name="_Toc5035"/>
      <w:bookmarkStart w:id="164" w:name="_Toc30158"/>
      <w:r>
        <w:rPr>
          <w:rFonts w:hint="eastAsia" w:ascii="宋体" w:hAnsi="宋体" w:eastAsia="宋体" w:cs="宋体"/>
          <w:color w:val="auto"/>
          <w:highlight w:val="none"/>
        </w:rPr>
        <w:t>三、响应文件商务部分格式</w:t>
      </w:r>
      <w:bookmarkEnd w:id="161"/>
      <w:bookmarkEnd w:id="162"/>
      <w:bookmarkEnd w:id="163"/>
      <w:bookmarkEnd w:id="164"/>
    </w:p>
    <w:p w14:paraId="431672E1">
      <w:pPr>
        <w:pStyle w:val="3"/>
        <w:jc w:val="center"/>
        <w:rPr>
          <w:rFonts w:hint="eastAsia" w:ascii="宋体" w:hAnsi="宋体" w:eastAsia="宋体" w:cs="宋体"/>
          <w:b/>
          <w:bCs w:val="0"/>
          <w:color w:val="auto"/>
          <w:sz w:val="30"/>
          <w:szCs w:val="30"/>
          <w:highlight w:val="none"/>
        </w:rPr>
      </w:pPr>
      <w:bookmarkStart w:id="165" w:name="_Toc2929"/>
      <w:bookmarkStart w:id="166" w:name="_Toc2454"/>
      <w:bookmarkStart w:id="167" w:name="_Toc16500"/>
      <w:bookmarkStart w:id="168" w:name="_Toc8785"/>
      <w:r>
        <w:rPr>
          <w:rFonts w:hint="eastAsia" w:ascii="宋体" w:hAnsi="宋体" w:eastAsia="宋体" w:cs="宋体"/>
          <w:b/>
          <w:bCs w:val="0"/>
          <w:color w:val="auto"/>
          <w:sz w:val="30"/>
          <w:szCs w:val="30"/>
          <w:highlight w:val="none"/>
        </w:rPr>
        <w:t>（一）磋商报价说明</w:t>
      </w:r>
      <w:bookmarkEnd w:id="165"/>
      <w:bookmarkEnd w:id="166"/>
      <w:bookmarkEnd w:id="167"/>
      <w:bookmarkEnd w:id="168"/>
    </w:p>
    <w:p w14:paraId="6D300E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1、报价依据本项目供应商须知和竞争性磋商文件的有关条款进行编制。</w:t>
      </w:r>
    </w:p>
    <w:p w14:paraId="20CADC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2、本报价的币种为人民币。</w:t>
      </w:r>
    </w:p>
    <w:p w14:paraId="3D307D76">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3、供应商应将磋商报价需要说明的其他事项，用文字书写与磋商报价表一并报送。</w:t>
      </w:r>
    </w:p>
    <w:p w14:paraId="7EFCA1F4">
      <w:pPr>
        <w:pStyle w:val="3"/>
        <w:jc w:val="center"/>
        <w:rPr>
          <w:rFonts w:hint="eastAsia" w:ascii="宋体" w:hAnsi="宋体" w:eastAsia="宋体" w:cs="宋体"/>
          <w:b w:val="0"/>
          <w:bCs w:val="0"/>
          <w:color w:val="auto"/>
          <w:sz w:val="30"/>
          <w:szCs w:val="30"/>
          <w:highlight w:val="none"/>
        </w:rPr>
        <w:sectPr>
          <w:headerReference r:id="rId20" w:type="default"/>
          <w:pgSz w:w="11906" w:h="16838"/>
          <w:pgMar w:top="1440" w:right="1247" w:bottom="1440" w:left="1440" w:header="851" w:footer="992" w:gutter="0"/>
          <w:pgNumType w:fmt="decimal"/>
          <w:cols w:space="720" w:num="1"/>
          <w:docGrid w:linePitch="312" w:charSpace="0"/>
        </w:sectPr>
      </w:pPr>
      <w:bookmarkStart w:id="169" w:name="_Toc25907"/>
      <w:bookmarkStart w:id="170" w:name="_Toc31245"/>
      <w:bookmarkStart w:id="171" w:name="_Toc27811"/>
      <w:bookmarkStart w:id="172" w:name="_Toc20825"/>
    </w:p>
    <w:p w14:paraId="7708510A">
      <w:pPr>
        <w:pStyle w:val="3"/>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（二）磋商报价表</w:t>
      </w:r>
      <w:bookmarkEnd w:id="169"/>
      <w:bookmarkEnd w:id="170"/>
      <w:bookmarkEnd w:id="171"/>
      <w:bookmarkEnd w:id="172"/>
    </w:p>
    <w:p w14:paraId="3813C99C">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项目名称：</w:t>
      </w:r>
    </w:p>
    <w:p w14:paraId="0F05E6D4">
      <w:pPr>
        <w:pStyle w:val="22"/>
        <w:numPr>
          <w:ilvl w:val="0"/>
          <w:numId w:val="0"/>
        </w:numPr>
        <w:tabs>
          <w:tab w:val="left" w:pos="360"/>
          <w:tab w:val="left" w:pos="454"/>
          <w:tab w:val="left" w:pos="720"/>
          <w:tab w:val="left" w:pos="840"/>
          <w:tab w:val="left" w:pos="900"/>
          <w:tab w:val="right" w:pos="8164"/>
        </w:tabs>
        <w:spacing w:line="360" w:lineRule="auto"/>
        <w:ind w:leftChars="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项目编号：</w:t>
      </w:r>
    </w:p>
    <w:tbl>
      <w:tblPr>
        <w:tblStyle w:val="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
        <w:gridCol w:w="2576"/>
        <w:gridCol w:w="1888"/>
        <w:gridCol w:w="3053"/>
      </w:tblGrid>
      <w:tr w14:paraId="5E40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829" w:type="dxa"/>
            <w:tcBorders>
              <w:top w:val="single" w:color="auto" w:sz="4" w:space="0"/>
              <w:left w:val="single" w:color="000000" w:sz="4" w:space="0"/>
              <w:right w:val="single" w:color="auto" w:sz="4" w:space="0"/>
            </w:tcBorders>
            <w:noWrap w:val="0"/>
            <w:vAlign w:val="center"/>
          </w:tcPr>
          <w:p w14:paraId="60126256">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576" w:type="dxa"/>
            <w:tcBorders>
              <w:top w:val="single" w:color="auto" w:sz="4" w:space="0"/>
              <w:left w:val="single" w:color="auto" w:sz="4" w:space="0"/>
              <w:right w:val="single" w:color="auto" w:sz="4" w:space="0"/>
            </w:tcBorders>
            <w:noWrap w:val="0"/>
            <w:vAlign w:val="center"/>
          </w:tcPr>
          <w:p w14:paraId="5A95B4C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细目名称</w:t>
            </w:r>
          </w:p>
        </w:tc>
        <w:tc>
          <w:tcPr>
            <w:tcW w:w="1888" w:type="dxa"/>
            <w:tcBorders>
              <w:top w:val="single" w:color="auto" w:sz="4" w:space="0"/>
              <w:left w:val="single" w:color="auto" w:sz="4" w:space="0"/>
              <w:right w:val="single" w:color="auto" w:sz="4" w:space="0"/>
            </w:tcBorders>
            <w:noWrap w:val="0"/>
            <w:vAlign w:val="center"/>
          </w:tcPr>
          <w:p w14:paraId="5556044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tc>
        <w:tc>
          <w:tcPr>
            <w:tcW w:w="3053" w:type="dxa"/>
            <w:tcBorders>
              <w:top w:val="single" w:color="auto" w:sz="4" w:space="0"/>
              <w:left w:val="single" w:color="auto" w:sz="4" w:space="0"/>
              <w:right w:val="single" w:color="auto" w:sz="4" w:space="0"/>
            </w:tcBorders>
            <w:noWrap w:val="0"/>
            <w:vAlign w:val="center"/>
          </w:tcPr>
          <w:p w14:paraId="7E0B339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62890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6447C2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726CC76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报价（元）</w:t>
            </w:r>
          </w:p>
        </w:tc>
        <w:tc>
          <w:tcPr>
            <w:tcW w:w="1888" w:type="dxa"/>
            <w:tcBorders>
              <w:top w:val="single" w:color="auto" w:sz="4" w:space="0"/>
              <w:left w:val="single" w:color="auto" w:sz="4" w:space="0"/>
              <w:bottom w:val="single" w:color="auto" w:sz="4" w:space="0"/>
              <w:right w:val="single" w:color="auto" w:sz="4" w:space="0"/>
            </w:tcBorders>
            <w:noWrap w:val="0"/>
            <w:vAlign w:val="center"/>
          </w:tcPr>
          <w:p w14:paraId="1E76524A">
            <w:pPr>
              <w:spacing w:line="360" w:lineRule="auto"/>
              <w:rPr>
                <w:rFonts w:hint="eastAsia" w:ascii="宋体" w:hAnsi="宋体" w:eastAsia="宋体" w:cs="宋体"/>
                <w:color w:val="auto"/>
                <w:sz w:val="24"/>
                <w:szCs w:val="24"/>
                <w:highlight w:val="none"/>
              </w:rPr>
            </w:pPr>
          </w:p>
        </w:tc>
        <w:tc>
          <w:tcPr>
            <w:tcW w:w="3053" w:type="dxa"/>
            <w:tcBorders>
              <w:top w:val="single" w:color="auto" w:sz="4" w:space="0"/>
              <w:left w:val="single" w:color="auto" w:sz="4" w:space="0"/>
              <w:bottom w:val="single" w:color="auto" w:sz="4" w:space="0"/>
              <w:right w:val="single" w:color="auto" w:sz="4" w:space="0"/>
            </w:tcBorders>
            <w:noWrap w:val="0"/>
            <w:vAlign w:val="center"/>
          </w:tcPr>
          <w:p w14:paraId="14C995AB">
            <w:pPr>
              <w:spacing w:line="360" w:lineRule="auto"/>
              <w:rPr>
                <w:rFonts w:hint="eastAsia" w:ascii="宋体" w:hAnsi="宋体" w:eastAsia="宋体" w:cs="宋体"/>
                <w:color w:val="auto"/>
                <w:sz w:val="24"/>
                <w:szCs w:val="24"/>
                <w:highlight w:val="none"/>
              </w:rPr>
            </w:pPr>
          </w:p>
        </w:tc>
      </w:tr>
      <w:tr w14:paraId="758F6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1698AC0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597476B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合同履约期</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2FEA0924">
            <w:pPr>
              <w:spacing w:line="360" w:lineRule="auto"/>
              <w:rPr>
                <w:rFonts w:hint="eastAsia" w:ascii="宋体" w:hAnsi="宋体" w:eastAsia="宋体" w:cs="宋体"/>
                <w:color w:val="auto"/>
                <w:sz w:val="24"/>
                <w:szCs w:val="24"/>
                <w:highlight w:val="none"/>
              </w:rPr>
            </w:pPr>
          </w:p>
        </w:tc>
      </w:tr>
      <w:tr w14:paraId="4247F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29F5ED6C">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4D3FC2D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项目实施地点</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797773B0">
            <w:pPr>
              <w:spacing w:line="360" w:lineRule="auto"/>
              <w:rPr>
                <w:rFonts w:hint="eastAsia" w:ascii="宋体" w:hAnsi="宋体" w:eastAsia="宋体" w:cs="宋体"/>
                <w:color w:val="auto"/>
                <w:sz w:val="24"/>
                <w:szCs w:val="24"/>
                <w:highlight w:val="none"/>
              </w:rPr>
            </w:pPr>
          </w:p>
        </w:tc>
      </w:tr>
      <w:tr w14:paraId="29F05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44CB712F">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61FDF1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06001FA3">
            <w:pPr>
              <w:spacing w:line="360" w:lineRule="auto"/>
              <w:rPr>
                <w:rFonts w:hint="eastAsia" w:ascii="宋体" w:hAnsi="宋体" w:eastAsia="宋体" w:cs="宋体"/>
                <w:color w:val="auto"/>
                <w:sz w:val="24"/>
                <w:szCs w:val="24"/>
                <w:highlight w:val="none"/>
              </w:rPr>
            </w:pPr>
          </w:p>
        </w:tc>
      </w:tr>
      <w:tr w14:paraId="35F0B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61776463">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7BCF821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1D544C79">
            <w:pPr>
              <w:spacing w:line="360" w:lineRule="auto"/>
              <w:rPr>
                <w:rFonts w:hint="eastAsia" w:ascii="宋体" w:hAnsi="宋体" w:eastAsia="宋体" w:cs="宋体"/>
                <w:color w:val="auto"/>
                <w:sz w:val="24"/>
                <w:szCs w:val="24"/>
                <w:highlight w:val="none"/>
              </w:rPr>
            </w:pPr>
          </w:p>
        </w:tc>
      </w:tr>
    </w:tbl>
    <w:p w14:paraId="027C80DC">
      <w:pPr>
        <w:pStyle w:val="43"/>
        <w:spacing w:before="120" w:line="360" w:lineRule="auto"/>
        <w:ind w:left="800"/>
        <w:rPr>
          <w:rFonts w:hint="eastAsia" w:ascii="宋体" w:hAnsi="宋体" w:eastAsia="宋体" w:cs="宋体"/>
          <w:b/>
          <w:bCs/>
          <w:color w:val="auto"/>
          <w:sz w:val="24"/>
          <w:szCs w:val="24"/>
          <w:highlight w:val="none"/>
          <w:lang w:eastAsia="zh-CN"/>
        </w:rPr>
      </w:pPr>
    </w:p>
    <w:p w14:paraId="6B3E718F">
      <w:pPr>
        <w:pStyle w:val="43"/>
        <w:spacing w:before="120" w:line="360" w:lineRule="auto"/>
        <w:ind w:left="8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注：“磋商报价表”各供应商放在响应文件封面后第一页。</w:t>
      </w:r>
    </w:p>
    <w:p w14:paraId="6BAC299E">
      <w:pPr>
        <w:pStyle w:val="43"/>
        <w:spacing w:before="120" w:line="360" w:lineRule="auto"/>
        <w:ind w:left="800"/>
        <w:rPr>
          <w:rFonts w:hint="eastAsia" w:ascii="宋体" w:hAnsi="宋体" w:eastAsia="宋体" w:cs="宋体"/>
          <w:color w:val="auto"/>
          <w:sz w:val="24"/>
          <w:szCs w:val="24"/>
          <w:highlight w:val="none"/>
        </w:rPr>
      </w:pPr>
    </w:p>
    <w:p w14:paraId="669F7A6F">
      <w:pPr>
        <w:pStyle w:val="43"/>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DCB5F35">
      <w:pPr>
        <w:pStyle w:val="43"/>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法定代表人或委托代理人（签字或盖章）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100BF25">
      <w:pPr>
        <w:pStyle w:val="43"/>
        <w:spacing w:before="120" w:line="360" w:lineRule="auto"/>
        <w:ind w:left="8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4555E0F">
      <w:pPr>
        <w:pStyle w:val="3"/>
        <w:spacing w:line="360" w:lineRule="auto"/>
        <w:jc w:val="center"/>
        <w:rPr>
          <w:rFonts w:hint="eastAsia" w:ascii="宋体" w:hAnsi="宋体" w:eastAsia="宋体" w:cs="宋体"/>
          <w:color w:val="auto"/>
          <w:sz w:val="24"/>
          <w:szCs w:val="24"/>
          <w:highlight w:val="none"/>
        </w:rPr>
        <w:sectPr>
          <w:headerReference r:id="rId21" w:type="default"/>
          <w:pgSz w:w="11906" w:h="16838"/>
          <w:pgMar w:top="1440" w:right="1440" w:bottom="1440" w:left="1440" w:header="851" w:footer="992" w:gutter="0"/>
          <w:pgNumType w:fmt="decimal"/>
          <w:cols w:space="720" w:num="1"/>
          <w:docGrid w:linePitch="312" w:charSpace="0"/>
        </w:sectPr>
      </w:pPr>
      <w:r>
        <w:rPr>
          <w:rFonts w:hint="eastAsia" w:ascii="宋体" w:hAnsi="宋体" w:eastAsia="宋体" w:cs="宋体"/>
          <w:color w:val="auto"/>
          <w:sz w:val="24"/>
          <w:szCs w:val="24"/>
          <w:highlight w:val="none"/>
        </w:rPr>
        <w:br w:type="page"/>
      </w:r>
      <w:bookmarkStart w:id="173" w:name="_Toc7825"/>
      <w:bookmarkStart w:id="174" w:name="_Toc32651"/>
      <w:bookmarkStart w:id="175" w:name="_Toc10816"/>
      <w:bookmarkStart w:id="176" w:name="_Toc18272"/>
    </w:p>
    <w:p w14:paraId="2087259A">
      <w:pPr>
        <w:pStyle w:val="3"/>
        <w:spacing w:line="360" w:lineRule="auto"/>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最终</w:t>
      </w:r>
      <w:r>
        <w:rPr>
          <w:rFonts w:hint="eastAsia" w:ascii="宋体" w:hAnsi="宋体" w:eastAsia="宋体" w:cs="宋体"/>
          <w:b/>
          <w:bCs w:val="0"/>
          <w:color w:val="auto"/>
          <w:sz w:val="30"/>
          <w:szCs w:val="30"/>
          <w:highlight w:val="none"/>
        </w:rPr>
        <w:t>磋商报价表</w:t>
      </w:r>
      <w:bookmarkEnd w:id="173"/>
      <w:bookmarkEnd w:id="174"/>
      <w:bookmarkEnd w:id="175"/>
      <w:bookmarkEnd w:id="176"/>
    </w:p>
    <w:p w14:paraId="4599113C">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项目名称：</w:t>
      </w:r>
    </w:p>
    <w:p w14:paraId="0EAF237A">
      <w:pPr>
        <w:pStyle w:val="22"/>
        <w:numPr>
          <w:ilvl w:val="0"/>
          <w:numId w:val="0"/>
        </w:numPr>
        <w:tabs>
          <w:tab w:val="left" w:pos="360"/>
          <w:tab w:val="left" w:pos="454"/>
          <w:tab w:val="left" w:pos="720"/>
          <w:tab w:val="left" w:pos="840"/>
          <w:tab w:val="left" w:pos="900"/>
          <w:tab w:val="right" w:pos="8164"/>
        </w:tabs>
        <w:spacing w:line="360" w:lineRule="auto"/>
        <w:ind w:leftChars="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项目编号：</w:t>
      </w:r>
    </w:p>
    <w:tbl>
      <w:tblPr>
        <w:tblStyle w:val="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
        <w:gridCol w:w="2576"/>
        <w:gridCol w:w="1888"/>
        <w:gridCol w:w="3053"/>
      </w:tblGrid>
      <w:tr w14:paraId="31CB9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829" w:type="dxa"/>
            <w:tcBorders>
              <w:top w:val="single" w:color="auto" w:sz="4" w:space="0"/>
              <w:left w:val="single" w:color="000000" w:sz="4" w:space="0"/>
              <w:right w:val="single" w:color="auto" w:sz="4" w:space="0"/>
            </w:tcBorders>
            <w:noWrap w:val="0"/>
            <w:vAlign w:val="center"/>
          </w:tcPr>
          <w:p w14:paraId="13FC14E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576" w:type="dxa"/>
            <w:tcBorders>
              <w:top w:val="single" w:color="auto" w:sz="4" w:space="0"/>
              <w:left w:val="single" w:color="auto" w:sz="4" w:space="0"/>
              <w:right w:val="single" w:color="auto" w:sz="4" w:space="0"/>
            </w:tcBorders>
            <w:noWrap w:val="0"/>
            <w:vAlign w:val="center"/>
          </w:tcPr>
          <w:p w14:paraId="27A7395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细目名称</w:t>
            </w:r>
          </w:p>
        </w:tc>
        <w:tc>
          <w:tcPr>
            <w:tcW w:w="1888" w:type="dxa"/>
            <w:tcBorders>
              <w:top w:val="single" w:color="auto" w:sz="4" w:space="0"/>
              <w:left w:val="single" w:color="auto" w:sz="4" w:space="0"/>
              <w:right w:val="single" w:color="auto" w:sz="4" w:space="0"/>
            </w:tcBorders>
            <w:noWrap w:val="0"/>
            <w:vAlign w:val="center"/>
          </w:tcPr>
          <w:p w14:paraId="4BFBF16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tc>
        <w:tc>
          <w:tcPr>
            <w:tcW w:w="3053" w:type="dxa"/>
            <w:tcBorders>
              <w:top w:val="single" w:color="auto" w:sz="4" w:space="0"/>
              <w:left w:val="single" w:color="auto" w:sz="4" w:space="0"/>
              <w:right w:val="single" w:color="auto" w:sz="4" w:space="0"/>
            </w:tcBorders>
            <w:noWrap w:val="0"/>
            <w:vAlign w:val="center"/>
          </w:tcPr>
          <w:p w14:paraId="61EDC44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5C0B0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2C2A1AD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27C7D17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报价（元）</w:t>
            </w:r>
          </w:p>
        </w:tc>
        <w:tc>
          <w:tcPr>
            <w:tcW w:w="1888" w:type="dxa"/>
            <w:tcBorders>
              <w:top w:val="single" w:color="auto" w:sz="4" w:space="0"/>
              <w:left w:val="single" w:color="auto" w:sz="4" w:space="0"/>
              <w:bottom w:val="single" w:color="auto" w:sz="4" w:space="0"/>
              <w:right w:val="single" w:color="auto" w:sz="4" w:space="0"/>
            </w:tcBorders>
            <w:noWrap w:val="0"/>
            <w:vAlign w:val="center"/>
          </w:tcPr>
          <w:p w14:paraId="79BEACDB">
            <w:pPr>
              <w:spacing w:line="360" w:lineRule="auto"/>
              <w:rPr>
                <w:rFonts w:hint="eastAsia" w:ascii="宋体" w:hAnsi="宋体" w:eastAsia="宋体" w:cs="宋体"/>
                <w:color w:val="auto"/>
                <w:sz w:val="24"/>
                <w:szCs w:val="24"/>
                <w:highlight w:val="none"/>
              </w:rPr>
            </w:pPr>
          </w:p>
        </w:tc>
        <w:tc>
          <w:tcPr>
            <w:tcW w:w="3053" w:type="dxa"/>
            <w:tcBorders>
              <w:top w:val="single" w:color="auto" w:sz="4" w:space="0"/>
              <w:left w:val="single" w:color="auto" w:sz="4" w:space="0"/>
              <w:bottom w:val="single" w:color="auto" w:sz="4" w:space="0"/>
              <w:right w:val="single" w:color="auto" w:sz="4" w:space="0"/>
            </w:tcBorders>
            <w:noWrap w:val="0"/>
            <w:vAlign w:val="center"/>
          </w:tcPr>
          <w:p w14:paraId="07D687B5">
            <w:pPr>
              <w:spacing w:line="360" w:lineRule="auto"/>
              <w:rPr>
                <w:rFonts w:hint="eastAsia" w:ascii="宋体" w:hAnsi="宋体" w:eastAsia="宋体" w:cs="宋体"/>
                <w:color w:val="auto"/>
                <w:sz w:val="24"/>
                <w:szCs w:val="24"/>
                <w:highlight w:val="none"/>
              </w:rPr>
            </w:pPr>
          </w:p>
        </w:tc>
      </w:tr>
      <w:tr w14:paraId="1A1E0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2603E1C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0A29117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合同履约期</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71714583">
            <w:pPr>
              <w:spacing w:line="360" w:lineRule="auto"/>
              <w:rPr>
                <w:rFonts w:hint="eastAsia" w:ascii="宋体" w:hAnsi="宋体" w:eastAsia="宋体" w:cs="宋体"/>
                <w:color w:val="auto"/>
                <w:sz w:val="24"/>
                <w:szCs w:val="24"/>
                <w:highlight w:val="none"/>
              </w:rPr>
            </w:pPr>
          </w:p>
        </w:tc>
      </w:tr>
      <w:tr w14:paraId="2DE1B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40BC5B49">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6BAD7D8C">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项目实施地点</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0DEC8D30">
            <w:pPr>
              <w:spacing w:line="360" w:lineRule="auto"/>
              <w:rPr>
                <w:rFonts w:hint="eastAsia" w:ascii="宋体" w:hAnsi="宋体" w:eastAsia="宋体" w:cs="宋体"/>
                <w:color w:val="auto"/>
                <w:sz w:val="24"/>
                <w:szCs w:val="24"/>
                <w:highlight w:val="none"/>
              </w:rPr>
            </w:pPr>
          </w:p>
        </w:tc>
      </w:tr>
      <w:tr w14:paraId="43FA6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64536567">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3E00281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2F2B486E">
            <w:pPr>
              <w:spacing w:line="360" w:lineRule="auto"/>
              <w:rPr>
                <w:rFonts w:hint="eastAsia" w:ascii="宋体" w:hAnsi="宋体" w:eastAsia="宋体" w:cs="宋体"/>
                <w:color w:val="auto"/>
                <w:sz w:val="24"/>
                <w:szCs w:val="24"/>
                <w:highlight w:val="none"/>
              </w:rPr>
            </w:pPr>
          </w:p>
        </w:tc>
      </w:tr>
      <w:tr w14:paraId="67636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9" w:type="dxa"/>
            <w:tcBorders>
              <w:top w:val="single" w:color="auto" w:sz="4" w:space="0"/>
              <w:left w:val="single" w:color="000000" w:sz="4" w:space="0"/>
              <w:bottom w:val="single" w:color="auto" w:sz="4" w:space="0"/>
              <w:right w:val="single" w:color="auto" w:sz="4" w:space="0"/>
            </w:tcBorders>
            <w:noWrap w:val="0"/>
            <w:vAlign w:val="center"/>
          </w:tcPr>
          <w:p w14:paraId="37155FA2">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7E92A60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331144E3">
            <w:pPr>
              <w:spacing w:line="360" w:lineRule="auto"/>
              <w:rPr>
                <w:rFonts w:hint="eastAsia" w:ascii="宋体" w:hAnsi="宋体" w:eastAsia="宋体" w:cs="宋体"/>
                <w:color w:val="auto"/>
                <w:sz w:val="24"/>
                <w:szCs w:val="24"/>
                <w:highlight w:val="none"/>
              </w:rPr>
            </w:pPr>
          </w:p>
        </w:tc>
      </w:tr>
    </w:tbl>
    <w:p w14:paraId="3ED9525D">
      <w:pPr>
        <w:pStyle w:val="43"/>
        <w:spacing w:before="120" w:line="360" w:lineRule="auto"/>
        <w:ind w:left="8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注：“最终磋商报价表”各供应商</w:t>
      </w:r>
      <w:r>
        <w:rPr>
          <w:rFonts w:hint="eastAsia" w:ascii="宋体" w:hAnsi="宋体" w:cs="宋体"/>
          <w:b/>
          <w:bCs/>
          <w:color w:val="auto"/>
          <w:sz w:val="24"/>
          <w:szCs w:val="24"/>
          <w:highlight w:val="none"/>
          <w:lang w:val="en-US" w:eastAsia="zh-CN"/>
        </w:rPr>
        <w:t>根据“政采云”系统提示操作进行上传填报，逾期未填报视为放弃最终报价，后果自负</w:t>
      </w:r>
      <w:r>
        <w:rPr>
          <w:rFonts w:hint="eastAsia" w:ascii="宋体" w:hAnsi="宋体" w:eastAsia="宋体" w:cs="宋体"/>
          <w:b/>
          <w:bCs/>
          <w:color w:val="auto"/>
          <w:sz w:val="24"/>
          <w:szCs w:val="24"/>
          <w:highlight w:val="none"/>
          <w:lang w:eastAsia="zh-CN"/>
        </w:rPr>
        <w:t>。</w:t>
      </w:r>
    </w:p>
    <w:p w14:paraId="45944CCE">
      <w:pPr>
        <w:pStyle w:val="43"/>
        <w:spacing w:before="120" w:line="360" w:lineRule="auto"/>
        <w:ind w:left="800"/>
        <w:rPr>
          <w:rFonts w:hint="eastAsia" w:ascii="宋体" w:hAnsi="宋体" w:eastAsia="宋体" w:cs="宋体"/>
          <w:b/>
          <w:bCs/>
          <w:color w:val="auto"/>
          <w:sz w:val="24"/>
          <w:szCs w:val="24"/>
          <w:highlight w:val="none"/>
          <w:lang w:eastAsia="zh-CN"/>
        </w:rPr>
      </w:pPr>
    </w:p>
    <w:p w14:paraId="6D5B4388">
      <w:pPr>
        <w:pStyle w:val="43"/>
        <w:spacing w:before="120" w:line="360" w:lineRule="auto"/>
        <w:ind w:left="800"/>
        <w:rPr>
          <w:rFonts w:hint="eastAsia" w:ascii="宋体" w:hAnsi="宋体" w:eastAsia="宋体" w:cs="宋体"/>
          <w:b/>
          <w:bCs/>
          <w:color w:val="auto"/>
          <w:sz w:val="24"/>
          <w:szCs w:val="24"/>
          <w:highlight w:val="none"/>
          <w:lang w:eastAsia="zh-CN"/>
        </w:rPr>
      </w:pPr>
    </w:p>
    <w:p w14:paraId="4D0F83B6">
      <w:pPr>
        <w:pStyle w:val="43"/>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B583A9F">
      <w:pPr>
        <w:pStyle w:val="43"/>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法定代表人或委托代理人（签字或盖章）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64C44E1">
      <w:pPr>
        <w:pStyle w:val="43"/>
        <w:spacing w:before="120" w:line="360" w:lineRule="auto"/>
        <w:ind w:left="8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FE71C3">
      <w:pPr>
        <w:pStyle w:val="3"/>
        <w:jc w:val="center"/>
        <w:rPr>
          <w:rFonts w:hint="eastAsia" w:ascii="宋体" w:hAnsi="宋体" w:eastAsia="宋体" w:cs="宋体"/>
          <w:color w:val="auto"/>
          <w:highlight w:val="none"/>
        </w:rPr>
        <w:sectPr>
          <w:pgSz w:w="11906" w:h="16838"/>
          <w:pgMar w:top="1440" w:right="1440" w:bottom="1440" w:left="1440" w:header="851" w:footer="992" w:gutter="0"/>
          <w:pgNumType w:fmt="decimal"/>
          <w:cols w:space="720" w:num="1"/>
          <w:docGrid w:type="lines" w:linePitch="312" w:charSpace="0"/>
        </w:sectPr>
      </w:pPr>
      <w:bookmarkStart w:id="177" w:name="_Toc11242"/>
      <w:bookmarkStart w:id="178" w:name="_Toc6805"/>
      <w:bookmarkStart w:id="179" w:name="_Toc24870"/>
      <w:bookmarkStart w:id="180" w:name="_Toc27684"/>
    </w:p>
    <w:p w14:paraId="53720BD1">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四、响应文件技术部分格式</w:t>
      </w:r>
      <w:bookmarkEnd w:id="177"/>
      <w:bookmarkEnd w:id="178"/>
      <w:bookmarkEnd w:id="179"/>
      <w:bookmarkEnd w:id="180"/>
    </w:p>
    <w:p w14:paraId="31E36177">
      <w:pPr>
        <w:pStyle w:val="3"/>
        <w:numPr>
          <w:ilvl w:val="0"/>
          <w:numId w:val="0"/>
        </w:numPr>
        <w:spacing w:line="360" w:lineRule="auto"/>
        <w:ind w:left="0" w:leftChars="0" w:firstLine="420" w:firstLineChars="0"/>
        <w:jc w:val="center"/>
        <w:rPr>
          <w:rFonts w:hint="eastAsia" w:ascii="宋体" w:hAnsi="宋体" w:eastAsia="宋体" w:cs="宋体"/>
          <w:b/>
          <w:bCs w:val="0"/>
          <w:color w:val="auto"/>
          <w:sz w:val="30"/>
          <w:szCs w:val="30"/>
          <w:highlight w:val="none"/>
        </w:rPr>
      </w:pPr>
      <w:bookmarkStart w:id="181" w:name="_Toc494377192"/>
      <w:bookmarkStart w:id="182" w:name="_Toc9362"/>
      <w:bookmarkStart w:id="183" w:name="_Toc24107"/>
      <w:bookmarkStart w:id="184" w:name="_Toc4445"/>
      <w:bookmarkStart w:id="185" w:name="_Toc7334"/>
      <w:bookmarkStart w:id="186" w:name="_Toc24251"/>
      <w:r>
        <w:rPr>
          <w:rFonts w:hint="eastAsia" w:ascii="宋体" w:hAnsi="宋体" w:eastAsia="宋体" w:cs="宋体"/>
          <w:b/>
          <w:bCs w:val="0"/>
          <w:color w:val="auto"/>
          <w:sz w:val="30"/>
          <w:szCs w:val="30"/>
          <w:highlight w:val="none"/>
          <w:lang w:val="en-US" w:eastAsia="zh-CN" w:bidi="ar-SA"/>
        </w:rPr>
        <w:t>（一）</w:t>
      </w:r>
      <w:r>
        <w:rPr>
          <w:rFonts w:hint="eastAsia" w:ascii="宋体" w:hAnsi="宋体" w:eastAsia="宋体" w:cs="宋体"/>
          <w:b/>
          <w:bCs w:val="0"/>
          <w:color w:val="auto"/>
          <w:sz w:val="30"/>
          <w:szCs w:val="30"/>
          <w:highlight w:val="none"/>
        </w:rPr>
        <w:t>企业简介</w:t>
      </w:r>
      <w:bookmarkEnd w:id="181"/>
      <w:bookmarkEnd w:id="182"/>
      <w:bookmarkEnd w:id="183"/>
      <w:bookmarkEnd w:id="184"/>
      <w:bookmarkEnd w:id="185"/>
      <w:bookmarkEnd w:id="186"/>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98"/>
        <w:gridCol w:w="1007"/>
        <w:gridCol w:w="695"/>
        <w:gridCol w:w="663"/>
        <w:gridCol w:w="917"/>
        <w:gridCol w:w="346"/>
        <w:gridCol w:w="1277"/>
        <w:gridCol w:w="1976"/>
      </w:tblGrid>
      <w:tr w14:paraId="2BE0F0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85" w:hRule="atLeast"/>
          <w:jc w:val="center"/>
        </w:trPr>
        <w:tc>
          <w:tcPr>
            <w:tcW w:w="2398" w:type="dxa"/>
            <w:noWrap w:val="0"/>
            <w:vAlign w:val="center"/>
          </w:tcPr>
          <w:p w14:paraId="67CEC26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p>
        </w:tc>
        <w:tc>
          <w:tcPr>
            <w:tcW w:w="6881" w:type="dxa"/>
            <w:gridSpan w:val="7"/>
            <w:noWrap w:val="0"/>
            <w:vAlign w:val="center"/>
          </w:tcPr>
          <w:p w14:paraId="675C45C4">
            <w:pPr>
              <w:spacing w:line="360" w:lineRule="auto"/>
              <w:rPr>
                <w:rFonts w:hint="eastAsia" w:ascii="宋体" w:hAnsi="宋体" w:eastAsia="宋体" w:cs="宋体"/>
                <w:color w:val="auto"/>
                <w:sz w:val="24"/>
                <w:szCs w:val="24"/>
                <w:highlight w:val="none"/>
              </w:rPr>
            </w:pPr>
          </w:p>
        </w:tc>
      </w:tr>
      <w:tr w14:paraId="1E80D2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65F3E18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经营地址</w:t>
            </w:r>
          </w:p>
        </w:tc>
        <w:tc>
          <w:tcPr>
            <w:tcW w:w="3628" w:type="dxa"/>
            <w:gridSpan w:val="5"/>
            <w:noWrap w:val="0"/>
            <w:vAlign w:val="center"/>
          </w:tcPr>
          <w:p w14:paraId="30BADC27">
            <w:pPr>
              <w:spacing w:line="360" w:lineRule="auto"/>
              <w:rPr>
                <w:rFonts w:hint="eastAsia" w:ascii="宋体" w:hAnsi="宋体" w:eastAsia="宋体" w:cs="宋体"/>
                <w:color w:val="auto"/>
                <w:sz w:val="24"/>
                <w:szCs w:val="24"/>
                <w:highlight w:val="none"/>
              </w:rPr>
            </w:pPr>
          </w:p>
        </w:tc>
        <w:tc>
          <w:tcPr>
            <w:tcW w:w="1277" w:type="dxa"/>
            <w:noWrap w:val="0"/>
            <w:vAlign w:val="center"/>
          </w:tcPr>
          <w:p w14:paraId="694BD8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976" w:type="dxa"/>
            <w:noWrap w:val="0"/>
            <w:vAlign w:val="center"/>
          </w:tcPr>
          <w:p w14:paraId="1D9BDDC3">
            <w:pPr>
              <w:spacing w:line="360" w:lineRule="auto"/>
              <w:rPr>
                <w:rFonts w:hint="eastAsia" w:ascii="宋体" w:hAnsi="宋体" w:eastAsia="宋体" w:cs="宋体"/>
                <w:color w:val="auto"/>
                <w:sz w:val="24"/>
                <w:szCs w:val="24"/>
                <w:highlight w:val="none"/>
              </w:rPr>
            </w:pPr>
          </w:p>
        </w:tc>
      </w:tr>
      <w:tr w14:paraId="2C5434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44388B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企业注册地址</w:t>
            </w:r>
          </w:p>
        </w:tc>
        <w:tc>
          <w:tcPr>
            <w:tcW w:w="3628" w:type="dxa"/>
            <w:gridSpan w:val="5"/>
            <w:noWrap w:val="0"/>
            <w:vAlign w:val="center"/>
          </w:tcPr>
          <w:p w14:paraId="2CABE3B7">
            <w:pPr>
              <w:spacing w:line="360" w:lineRule="auto"/>
              <w:rPr>
                <w:rFonts w:hint="eastAsia" w:ascii="宋体" w:hAnsi="宋体" w:eastAsia="宋体" w:cs="宋体"/>
                <w:color w:val="auto"/>
                <w:sz w:val="24"/>
                <w:szCs w:val="24"/>
                <w:highlight w:val="none"/>
              </w:rPr>
            </w:pPr>
          </w:p>
        </w:tc>
        <w:tc>
          <w:tcPr>
            <w:tcW w:w="1277" w:type="dxa"/>
            <w:noWrap w:val="0"/>
            <w:vAlign w:val="center"/>
          </w:tcPr>
          <w:p w14:paraId="391D37C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传真电话</w:t>
            </w:r>
          </w:p>
        </w:tc>
        <w:tc>
          <w:tcPr>
            <w:tcW w:w="1976" w:type="dxa"/>
            <w:noWrap w:val="0"/>
            <w:vAlign w:val="center"/>
          </w:tcPr>
          <w:p w14:paraId="7753D805">
            <w:pPr>
              <w:spacing w:line="360" w:lineRule="auto"/>
              <w:rPr>
                <w:rFonts w:hint="eastAsia" w:ascii="宋体" w:hAnsi="宋体" w:eastAsia="宋体" w:cs="宋体"/>
                <w:color w:val="auto"/>
                <w:sz w:val="24"/>
                <w:szCs w:val="24"/>
                <w:highlight w:val="none"/>
              </w:rPr>
            </w:pPr>
          </w:p>
        </w:tc>
      </w:tr>
      <w:tr w14:paraId="1D4CE3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57D8D08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3628" w:type="dxa"/>
            <w:gridSpan w:val="5"/>
            <w:noWrap w:val="0"/>
            <w:vAlign w:val="center"/>
          </w:tcPr>
          <w:p w14:paraId="38344217">
            <w:pPr>
              <w:spacing w:line="360" w:lineRule="auto"/>
              <w:rPr>
                <w:rFonts w:hint="eastAsia" w:ascii="宋体" w:hAnsi="宋体" w:eastAsia="宋体" w:cs="宋体"/>
                <w:color w:val="auto"/>
                <w:sz w:val="24"/>
                <w:szCs w:val="24"/>
                <w:highlight w:val="none"/>
              </w:rPr>
            </w:pPr>
          </w:p>
        </w:tc>
        <w:tc>
          <w:tcPr>
            <w:tcW w:w="1277" w:type="dxa"/>
            <w:noWrap w:val="0"/>
            <w:vAlign w:val="center"/>
          </w:tcPr>
          <w:p w14:paraId="5D853A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p>
        </w:tc>
        <w:tc>
          <w:tcPr>
            <w:tcW w:w="1976" w:type="dxa"/>
            <w:noWrap w:val="0"/>
            <w:vAlign w:val="center"/>
          </w:tcPr>
          <w:p w14:paraId="29DC2158">
            <w:pPr>
              <w:spacing w:line="360" w:lineRule="auto"/>
              <w:rPr>
                <w:rFonts w:hint="eastAsia" w:ascii="宋体" w:hAnsi="宋体" w:eastAsia="宋体" w:cs="宋体"/>
                <w:color w:val="auto"/>
                <w:sz w:val="24"/>
                <w:szCs w:val="24"/>
                <w:highlight w:val="none"/>
              </w:rPr>
            </w:pPr>
          </w:p>
        </w:tc>
      </w:tr>
      <w:tr w14:paraId="72741C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1EBA4C1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工商执照号</w:t>
            </w:r>
          </w:p>
        </w:tc>
        <w:tc>
          <w:tcPr>
            <w:tcW w:w="6881" w:type="dxa"/>
            <w:gridSpan w:val="7"/>
            <w:noWrap w:val="0"/>
            <w:vAlign w:val="center"/>
          </w:tcPr>
          <w:p w14:paraId="6C20B68A">
            <w:pPr>
              <w:spacing w:line="360" w:lineRule="auto"/>
              <w:rPr>
                <w:rFonts w:hint="eastAsia" w:ascii="宋体" w:hAnsi="宋体" w:eastAsia="宋体" w:cs="宋体"/>
                <w:color w:val="auto"/>
                <w:sz w:val="24"/>
                <w:szCs w:val="24"/>
                <w:highlight w:val="none"/>
              </w:rPr>
            </w:pPr>
          </w:p>
        </w:tc>
      </w:tr>
      <w:tr w14:paraId="2AC974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2815C16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经济类型</w:t>
            </w:r>
          </w:p>
        </w:tc>
        <w:tc>
          <w:tcPr>
            <w:tcW w:w="3628" w:type="dxa"/>
            <w:gridSpan w:val="5"/>
            <w:noWrap w:val="0"/>
            <w:vAlign w:val="center"/>
          </w:tcPr>
          <w:p w14:paraId="5CABE3C2">
            <w:pPr>
              <w:spacing w:line="360" w:lineRule="auto"/>
              <w:rPr>
                <w:rFonts w:hint="eastAsia" w:ascii="宋体" w:hAnsi="宋体" w:eastAsia="宋体" w:cs="宋体"/>
                <w:color w:val="auto"/>
                <w:sz w:val="24"/>
                <w:szCs w:val="24"/>
                <w:highlight w:val="none"/>
              </w:rPr>
            </w:pPr>
          </w:p>
        </w:tc>
        <w:tc>
          <w:tcPr>
            <w:tcW w:w="1277" w:type="dxa"/>
            <w:noWrap w:val="0"/>
            <w:vAlign w:val="center"/>
          </w:tcPr>
          <w:p w14:paraId="1D6C2D2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1976" w:type="dxa"/>
            <w:noWrap w:val="0"/>
            <w:vAlign w:val="center"/>
          </w:tcPr>
          <w:p w14:paraId="4208C3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w:t>
            </w:r>
          </w:p>
        </w:tc>
      </w:tr>
      <w:tr w14:paraId="1A9028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31FFB6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628" w:type="dxa"/>
            <w:gridSpan w:val="5"/>
            <w:noWrap w:val="0"/>
            <w:vAlign w:val="center"/>
          </w:tcPr>
          <w:p w14:paraId="1B92250B">
            <w:pPr>
              <w:spacing w:line="360" w:lineRule="auto"/>
              <w:rPr>
                <w:rFonts w:hint="eastAsia" w:ascii="宋体" w:hAnsi="宋体" w:eastAsia="宋体" w:cs="宋体"/>
                <w:color w:val="auto"/>
                <w:sz w:val="24"/>
                <w:szCs w:val="24"/>
                <w:highlight w:val="none"/>
              </w:rPr>
            </w:pPr>
          </w:p>
        </w:tc>
        <w:tc>
          <w:tcPr>
            <w:tcW w:w="1277" w:type="dxa"/>
            <w:noWrap w:val="0"/>
            <w:vAlign w:val="center"/>
          </w:tcPr>
          <w:p w14:paraId="2DE875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c>
          <w:tcPr>
            <w:tcW w:w="1976" w:type="dxa"/>
            <w:noWrap w:val="0"/>
            <w:vAlign w:val="center"/>
          </w:tcPr>
          <w:p w14:paraId="04DA6FB5">
            <w:pPr>
              <w:spacing w:line="360" w:lineRule="auto"/>
              <w:rPr>
                <w:rFonts w:hint="eastAsia" w:ascii="宋体" w:hAnsi="宋体" w:eastAsia="宋体" w:cs="宋体"/>
                <w:color w:val="auto"/>
                <w:sz w:val="24"/>
                <w:szCs w:val="24"/>
                <w:highlight w:val="none"/>
              </w:rPr>
            </w:pPr>
          </w:p>
        </w:tc>
      </w:tr>
      <w:tr w14:paraId="07E7B9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0FC5AAB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007" w:type="dxa"/>
            <w:noWrap w:val="0"/>
            <w:vAlign w:val="center"/>
          </w:tcPr>
          <w:p w14:paraId="044C1BD8">
            <w:pPr>
              <w:spacing w:line="360" w:lineRule="auto"/>
              <w:rPr>
                <w:rFonts w:hint="eastAsia" w:ascii="宋体" w:hAnsi="宋体" w:eastAsia="宋体" w:cs="宋体"/>
                <w:color w:val="auto"/>
                <w:sz w:val="24"/>
                <w:szCs w:val="24"/>
                <w:highlight w:val="none"/>
              </w:rPr>
            </w:pPr>
          </w:p>
        </w:tc>
        <w:tc>
          <w:tcPr>
            <w:tcW w:w="1358" w:type="dxa"/>
            <w:gridSpan w:val="2"/>
            <w:noWrap w:val="0"/>
            <w:vAlign w:val="center"/>
          </w:tcPr>
          <w:p w14:paraId="58BA49A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办公电话</w:t>
            </w:r>
          </w:p>
        </w:tc>
        <w:tc>
          <w:tcPr>
            <w:tcW w:w="1263" w:type="dxa"/>
            <w:gridSpan w:val="2"/>
            <w:noWrap w:val="0"/>
            <w:vAlign w:val="center"/>
          </w:tcPr>
          <w:p w14:paraId="5C410041">
            <w:pPr>
              <w:spacing w:line="360" w:lineRule="auto"/>
              <w:rPr>
                <w:rFonts w:hint="eastAsia" w:ascii="宋体" w:hAnsi="宋体" w:eastAsia="宋体" w:cs="宋体"/>
                <w:color w:val="auto"/>
                <w:sz w:val="24"/>
                <w:szCs w:val="24"/>
                <w:highlight w:val="none"/>
              </w:rPr>
            </w:pPr>
          </w:p>
        </w:tc>
        <w:tc>
          <w:tcPr>
            <w:tcW w:w="1277" w:type="dxa"/>
            <w:noWrap w:val="0"/>
            <w:vAlign w:val="center"/>
          </w:tcPr>
          <w:p w14:paraId="0A53E1C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机</w:t>
            </w:r>
          </w:p>
        </w:tc>
        <w:tc>
          <w:tcPr>
            <w:tcW w:w="1976" w:type="dxa"/>
            <w:noWrap w:val="0"/>
            <w:vAlign w:val="center"/>
          </w:tcPr>
          <w:p w14:paraId="4F2B3867">
            <w:pPr>
              <w:spacing w:line="360" w:lineRule="auto"/>
              <w:ind w:left="432"/>
              <w:rPr>
                <w:rFonts w:hint="eastAsia" w:ascii="宋体" w:hAnsi="宋体" w:eastAsia="宋体" w:cs="宋体"/>
                <w:color w:val="auto"/>
                <w:sz w:val="24"/>
                <w:szCs w:val="24"/>
                <w:highlight w:val="none"/>
              </w:rPr>
            </w:pPr>
          </w:p>
        </w:tc>
      </w:tr>
      <w:tr w14:paraId="739AC4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6153AFC1">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负责人</w:t>
            </w:r>
          </w:p>
        </w:tc>
        <w:tc>
          <w:tcPr>
            <w:tcW w:w="1007" w:type="dxa"/>
            <w:noWrap w:val="0"/>
            <w:vAlign w:val="center"/>
          </w:tcPr>
          <w:p w14:paraId="04F2B81E">
            <w:pPr>
              <w:spacing w:line="360" w:lineRule="auto"/>
              <w:rPr>
                <w:rFonts w:hint="eastAsia" w:ascii="宋体" w:hAnsi="宋体" w:eastAsia="宋体" w:cs="宋体"/>
                <w:color w:val="auto"/>
                <w:sz w:val="24"/>
                <w:szCs w:val="24"/>
                <w:highlight w:val="none"/>
              </w:rPr>
            </w:pPr>
          </w:p>
        </w:tc>
        <w:tc>
          <w:tcPr>
            <w:tcW w:w="1358" w:type="dxa"/>
            <w:gridSpan w:val="2"/>
            <w:noWrap w:val="0"/>
            <w:vAlign w:val="center"/>
          </w:tcPr>
          <w:p w14:paraId="1AEED07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办公电话</w:t>
            </w:r>
          </w:p>
        </w:tc>
        <w:tc>
          <w:tcPr>
            <w:tcW w:w="1263" w:type="dxa"/>
            <w:gridSpan w:val="2"/>
            <w:noWrap w:val="0"/>
            <w:vAlign w:val="center"/>
          </w:tcPr>
          <w:p w14:paraId="22B11B4C">
            <w:pPr>
              <w:spacing w:line="360" w:lineRule="auto"/>
              <w:rPr>
                <w:rFonts w:hint="eastAsia" w:ascii="宋体" w:hAnsi="宋体" w:eastAsia="宋体" w:cs="宋体"/>
                <w:color w:val="auto"/>
                <w:sz w:val="24"/>
                <w:szCs w:val="24"/>
                <w:highlight w:val="none"/>
              </w:rPr>
            </w:pPr>
          </w:p>
        </w:tc>
        <w:tc>
          <w:tcPr>
            <w:tcW w:w="1277" w:type="dxa"/>
            <w:noWrap w:val="0"/>
            <w:vAlign w:val="center"/>
          </w:tcPr>
          <w:p w14:paraId="0FEE13D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机</w:t>
            </w:r>
          </w:p>
        </w:tc>
        <w:tc>
          <w:tcPr>
            <w:tcW w:w="1976" w:type="dxa"/>
            <w:noWrap w:val="0"/>
            <w:vAlign w:val="center"/>
          </w:tcPr>
          <w:p w14:paraId="40B86A93">
            <w:pPr>
              <w:spacing w:line="360" w:lineRule="auto"/>
              <w:ind w:left="432"/>
              <w:rPr>
                <w:rFonts w:hint="eastAsia" w:ascii="宋体" w:hAnsi="宋体" w:eastAsia="宋体" w:cs="宋体"/>
                <w:color w:val="auto"/>
                <w:sz w:val="24"/>
                <w:szCs w:val="24"/>
                <w:highlight w:val="none"/>
              </w:rPr>
            </w:pPr>
          </w:p>
        </w:tc>
      </w:tr>
      <w:tr w14:paraId="1EE312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noWrap w:val="0"/>
            <w:vAlign w:val="center"/>
          </w:tcPr>
          <w:p w14:paraId="676C0F0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007" w:type="dxa"/>
            <w:noWrap w:val="0"/>
            <w:vAlign w:val="center"/>
          </w:tcPr>
          <w:p w14:paraId="032E2546">
            <w:pPr>
              <w:spacing w:line="360" w:lineRule="auto"/>
              <w:rPr>
                <w:rFonts w:hint="eastAsia" w:ascii="宋体" w:hAnsi="宋体" w:eastAsia="宋体" w:cs="宋体"/>
                <w:color w:val="auto"/>
                <w:sz w:val="24"/>
                <w:szCs w:val="24"/>
                <w:highlight w:val="none"/>
              </w:rPr>
            </w:pPr>
          </w:p>
        </w:tc>
        <w:tc>
          <w:tcPr>
            <w:tcW w:w="1358" w:type="dxa"/>
            <w:gridSpan w:val="2"/>
            <w:noWrap w:val="0"/>
            <w:vAlign w:val="center"/>
          </w:tcPr>
          <w:p w14:paraId="4CC8EE7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办公电话</w:t>
            </w:r>
          </w:p>
        </w:tc>
        <w:tc>
          <w:tcPr>
            <w:tcW w:w="1263" w:type="dxa"/>
            <w:gridSpan w:val="2"/>
            <w:noWrap w:val="0"/>
            <w:vAlign w:val="center"/>
          </w:tcPr>
          <w:p w14:paraId="0F47630B">
            <w:pPr>
              <w:spacing w:line="360" w:lineRule="auto"/>
              <w:rPr>
                <w:rFonts w:hint="eastAsia" w:ascii="宋体" w:hAnsi="宋体" w:eastAsia="宋体" w:cs="宋体"/>
                <w:color w:val="auto"/>
                <w:sz w:val="24"/>
                <w:szCs w:val="24"/>
                <w:highlight w:val="none"/>
              </w:rPr>
            </w:pPr>
          </w:p>
        </w:tc>
        <w:tc>
          <w:tcPr>
            <w:tcW w:w="1277" w:type="dxa"/>
            <w:noWrap w:val="0"/>
            <w:vAlign w:val="center"/>
          </w:tcPr>
          <w:p w14:paraId="2586CDE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机</w:t>
            </w:r>
          </w:p>
        </w:tc>
        <w:tc>
          <w:tcPr>
            <w:tcW w:w="1976" w:type="dxa"/>
            <w:noWrap w:val="0"/>
            <w:vAlign w:val="center"/>
          </w:tcPr>
          <w:p w14:paraId="1B7EBDED">
            <w:pPr>
              <w:spacing w:line="360" w:lineRule="auto"/>
              <w:ind w:left="432"/>
              <w:rPr>
                <w:rFonts w:hint="eastAsia" w:ascii="宋体" w:hAnsi="宋体" w:eastAsia="宋体" w:cs="宋体"/>
                <w:color w:val="auto"/>
                <w:sz w:val="24"/>
                <w:szCs w:val="24"/>
                <w:highlight w:val="none"/>
              </w:rPr>
            </w:pPr>
          </w:p>
        </w:tc>
      </w:tr>
      <w:tr w14:paraId="5FB434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165" w:hRule="atLeast"/>
          <w:jc w:val="center"/>
        </w:trPr>
        <w:tc>
          <w:tcPr>
            <w:tcW w:w="2398" w:type="dxa"/>
            <w:vMerge w:val="restart"/>
            <w:noWrap w:val="0"/>
            <w:vAlign w:val="center"/>
          </w:tcPr>
          <w:p w14:paraId="1E288E2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人员配备情况(人)</w:t>
            </w:r>
          </w:p>
        </w:tc>
        <w:tc>
          <w:tcPr>
            <w:tcW w:w="1702" w:type="dxa"/>
            <w:gridSpan w:val="2"/>
            <w:noWrap w:val="0"/>
            <w:vAlign w:val="center"/>
          </w:tcPr>
          <w:p w14:paraId="11E9E48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在职总人数</w:t>
            </w:r>
          </w:p>
        </w:tc>
        <w:tc>
          <w:tcPr>
            <w:tcW w:w="1580" w:type="dxa"/>
            <w:gridSpan w:val="2"/>
            <w:noWrap w:val="0"/>
            <w:vAlign w:val="center"/>
          </w:tcPr>
          <w:p w14:paraId="1897312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w:t>
            </w:r>
          </w:p>
        </w:tc>
        <w:tc>
          <w:tcPr>
            <w:tcW w:w="1623" w:type="dxa"/>
            <w:gridSpan w:val="2"/>
            <w:noWrap w:val="0"/>
            <w:vAlign w:val="center"/>
          </w:tcPr>
          <w:p w14:paraId="738D039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技术人员</w:t>
            </w:r>
          </w:p>
        </w:tc>
        <w:tc>
          <w:tcPr>
            <w:tcW w:w="1976" w:type="dxa"/>
            <w:noWrap w:val="0"/>
            <w:vAlign w:val="center"/>
          </w:tcPr>
          <w:p w14:paraId="34E9FA8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r>
      <w:tr w14:paraId="448BDB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92" w:hRule="atLeast"/>
          <w:jc w:val="center"/>
        </w:trPr>
        <w:tc>
          <w:tcPr>
            <w:tcW w:w="2398" w:type="dxa"/>
            <w:vMerge w:val="continue"/>
            <w:noWrap w:val="0"/>
            <w:vAlign w:val="center"/>
          </w:tcPr>
          <w:p w14:paraId="654060FC">
            <w:pPr>
              <w:spacing w:line="360" w:lineRule="auto"/>
              <w:rPr>
                <w:rFonts w:hint="eastAsia" w:ascii="宋体" w:hAnsi="宋体" w:eastAsia="宋体" w:cs="宋体"/>
                <w:color w:val="auto"/>
                <w:sz w:val="24"/>
                <w:szCs w:val="24"/>
                <w:highlight w:val="none"/>
              </w:rPr>
            </w:pPr>
          </w:p>
        </w:tc>
        <w:tc>
          <w:tcPr>
            <w:tcW w:w="1702" w:type="dxa"/>
            <w:gridSpan w:val="2"/>
            <w:noWrap w:val="0"/>
            <w:vAlign w:val="center"/>
          </w:tcPr>
          <w:p w14:paraId="47D5D53D">
            <w:pPr>
              <w:spacing w:line="360" w:lineRule="auto"/>
              <w:rPr>
                <w:rFonts w:hint="eastAsia" w:ascii="宋体" w:hAnsi="宋体" w:eastAsia="宋体" w:cs="宋体"/>
                <w:color w:val="auto"/>
                <w:sz w:val="24"/>
                <w:szCs w:val="24"/>
                <w:highlight w:val="none"/>
              </w:rPr>
            </w:pPr>
          </w:p>
        </w:tc>
        <w:tc>
          <w:tcPr>
            <w:tcW w:w="1580" w:type="dxa"/>
            <w:gridSpan w:val="2"/>
            <w:noWrap w:val="0"/>
            <w:vAlign w:val="center"/>
          </w:tcPr>
          <w:p w14:paraId="40770496">
            <w:pPr>
              <w:spacing w:line="360" w:lineRule="auto"/>
              <w:rPr>
                <w:rFonts w:hint="eastAsia" w:ascii="宋体" w:hAnsi="宋体" w:eastAsia="宋体" w:cs="宋体"/>
                <w:color w:val="auto"/>
                <w:sz w:val="24"/>
                <w:szCs w:val="24"/>
                <w:highlight w:val="none"/>
              </w:rPr>
            </w:pPr>
          </w:p>
        </w:tc>
        <w:tc>
          <w:tcPr>
            <w:tcW w:w="1623" w:type="dxa"/>
            <w:gridSpan w:val="2"/>
            <w:noWrap w:val="0"/>
            <w:vAlign w:val="center"/>
          </w:tcPr>
          <w:p w14:paraId="4633B8A3">
            <w:pPr>
              <w:spacing w:line="360" w:lineRule="auto"/>
              <w:rPr>
                <w:rFonts w:hint="eastAsia" w:ascii="宋体" w:hAnsi="宋体" w:eastAsia="宋体" w:cs="宋体"/>
                <w:color w:val="auto"/>
                <w:sz w:val="24"/>
                <w:szCs w:val="24"/>
                <w:highlight w:val="none"/>
              </w:rPr>
            </w:pPr>
          </w:p>
        </w:tc>
        <w:tc>
          <w:tcPr>
            <w:tcW w:w="1976" w:type="dxa"/>
            <w:noWrap w:val="0"/>
            <w:vAlign w:val="center"/>
          </w:tcPr>
          <w:p w14:paraId="044B7293">
            <w:pPr>
              <w:spacing w:line="360" w:lineRule="auto"/>
              <w:rPr>
                <w:rFonts w:hint="eastAsia" w:ascii="宋体" w:hAnsi="宋体" w:eastAsia="宋体" w:cs="宋体"/>
                <w:color w:val="auto"/>
                <w:sz w:val="24"/>
                <w:szCs w:val="24"/>
                <w:highlight w:val="none"/>
              </w:rPr>
            </w:pPr>
          </w:p>
        </w:tc>
      </w:tr>
      <w:tr w14:paraId="075043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033" w:hRule="atLeast"/>
          <w:jc w:val="center"/>
        </w:trPr>
        <w:tc>
          <w:tcPr>
            <w:tcW w:w="2398" w:type="dxa"/>
            <w:noWrap w:val="0"/>
            <w:vAlign w:val="center"/>
          </w:tcPr>
          <w:p w14:paraId="70D6671B">
            <w:pPr>
              <w:spacing w:line="360" w:lineRule="auto"/>
              <w:rPr>
                <w:rFonts w:hint="eastAsia" w:ascii="宋体" w:hAnsi="宋体" w:eastAsia="宋体" w:cs="宋体"/>
                <w:color w:val="auto"/>
                <w:sz w:val="24"/>
                <w:szCs w:val="24"/>
                <w:highlight w:val="none"/>
              </w:rPr>
            </w:pPr>
            <w:bookmarkStart w:id="187" w:name="_Toc494377194"/>
            <w:bookmarkStart w:id="188" w:name="_Toc1517"/>
            <w:bookmarkStart w:id="189" w:name="_Toc12066"/>
            <w:bookmarkStart w:id="190" w:name="_Toc764"/>
            <w:bookmarkStart w:id="191" w:name="_Toc10472"/>
            <w:r>
              <w:rPr>
                <w:rFonts w:hint="eastAsia" w:ascii="宋体" w:hAnsi="宋体" w:eastAsia="宋体" w:cs="宋体"/>
                <w:color w:val="auto"/>
                <w:sz w:val="24"/>
                <w:szCs w:val="24"/>
                <w:highlight w:val="none"/>
              </w:rPr>
              <w:t>经营范围</w:t>
            </w:r>
          </w:p>
        </w:tc>
        <w:tc>
          <w:tcPr>
            <w:tcW w:w="6881" w:type="dxa"/>
            <w:gridSpan w:val="7"/>
            <w:noWrap w:val="0"/>
            <w:vAlign w:val="center"/>
          </w:tcPr>
          <w:p w14:paraId="1125FE0F">
            <w:pPr>
              <w:spacing w:line="360" w:lineRule="auto"/>
              <w:rPr>
                <w:rFonts w:hint="eastAsia" w:ascii="宋体" w:hAnsi="宋体" w:eastAsia="宋体" w:cs="宋体"/>
                <w:color w:val="auto"/>
                <w:sz w:val="24"/>
                <w:szCs w:val="24"/>
                <w:highlight w:val="none"/>
              </w:rPr>
            </w:pPr>
          </w:p>
        </w:tc>
      </w:tr>
      <w:tr w14:paraId="35F18A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04" w:hRule="atLeast"/>
          <w:jc w:val="center"/>
        </w:trPr>
        <w:tc>
          <w:tcPr>
            <w:tcW w:w="2398" w:type="dxa"/>
            <w:noWrap w:val="0"/>
            <w:vAlign w:val="center"/>
          </w:tcPr>
          <w:p w14:paraId="5DF1E9EC">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c>
          <w:tcPr>
            <w:tcW w:w="6881" w:type="dxa"/>
            <w:gridSpan w:val="7"/>
            <w:noWrap w:val="0"/>
            <w:vAlign w:val="center"/>
          </w:tcPr>
          <w:p w14:paraId="61865C84">
            <w:pPr>
              <w:spacing w:line="360" w:lineRule="auto"/>
              <w:rPr>
                <w:rFonts w:hint="eastAsia" w:ascii="宋体" w:hAnsi="宋体" w:eastAsia="宋体" w:cs="宋体"/>
                <w:color w:val="auto"/>
                <w:sz w:val="24"/>
                <w:szCs w:val="24"/>
                <w:highlight w:val="none"/>
              </w:rPr>
            </w:pPr>
          </w:p>
        </w:tc>
      </w:tr>
    </w:tbl>
    <w:p w14:paraId="4CB6086F">
      <w:pPr>
        <w:pStyle w:val="3"/>
        <w:spacing w:line="360" w:lineRule="auto"/>
        <w:jc w:val="center"/>
        <w:rPr>
          <w:rFonts w:hint="eastAsia" w:ascii="宋体" w:hAnsi="宋体" w:eastAsia="宋体" w:cs="宋体"/>
          <w:b/>
          <w:bCs w:val="0"/>
          <w:color w:val="auto"/>
          <w:sz w:val="24"/>
          <w:szCs w:val="24"/>
          <w:highlight w:val="none"/>
        </w:rPr>
        <w:sectPr>
          <w:pgSz w:w="11906" w:h="16838"/>
          <w:pgMar w:top="1440" w:right="1440" w:bottom="1440" w:left="1440" w:header="851" w:footer="992" w:gutter="0"/>
          <w:pgNumType w:fmt="decimal"/>
          <w:cols w:space="720" w:num="1"/>
          <w:docGrid w:type="lines" w:linePitch="312" w:charSpace="0"/>
        </w:sectPr>
      </w:pPr>
    </w:p>
    <w:bookmarkEnd w:id="187"/>
    <w:bookmarkEnd w:id="188"/>
    <w:bookmarkEnd w:id="189"/>
    <w:p w14:paraId="72BB10B0">
      <w:pPr>
        <w:pStyle w:val="3"/>
        <w:numPr>
          <w:ilvl w:val="0"/>
          <w:numId w:val="0"/>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bidi="ar-SA"/>
        </w:rPr>
        <w:t>（二）</w:t>
      </w:r>
      <w:bookmarkEnd w:id="190"/>
      <w:bookmarkEnd w:id="191"/>
      <w:r>
        <w:rPr>
          <w:rFonts w:hint="eastAsia" w:ascii="宋体" w:hAnsi="宋体" w:eastAsia="宋体" w:cs="宋体"/>
          <w:b/>
          <w:bCs w:val="0"/>
          <w:color w:val="auto"/>
          <w:sz w:val="30"/>
          <w:szCs w:val="30"/>
          <w:highlight w:val="none"/>
          <w:lang w:val="en-US" w:eastAsia="zh-CN" w:bidi="ar-SA"/>
        </w:rPr>
        <w:t>项目实施方案评审</w:t>
      </w:r>
    </w:p>
    <w:p w14:paraId="094FBA5D">
      <w:pPr>
        <w:widowControl w:val="0"/>
        <w:spacing w:before="120" w:beforeLines="50" w:line="360" w:lineRule="auto"/>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按照磋商文件要求及评审办法中的评审内容自行编制。</w:t>
      </w:r>
    </w:p>
    <w:p w14:paraId="705FEF37">
      <w:pPr>
        <w:pStyle w:val="24"/>
        <w:rPr>
          <w:rFonts w:hint="eastAsia" w:ascii="宋体" w:hAnsi="宋体" w:eastAsia="宋体" w:cs="宋体"/>
          <w:b/>
          <w:bCs/>
          <w:color w:val="auto"/>
          <w:sz w:val="24"/>
          <w:szCs w:val="24"/>
          <w:highlight w:val="none"/>
        </w:rPr>
      </w:pPr>
    </w:p>
    <w:p w14:paraId="3A5813AC">
      <w:pPr>
        <w:pStyle w:val="24"/>
        <w:numPr>
          <w:ilvl w:val="0"/>
          <w:numId w:val="12"/>
        </w:numPr>
        <w:ind w:left="0" w:leftChars="0" w:firstLine="420" w:firstLineChars="0"/>
        <w:rPr>
          <w:rFonts w:hint="eastAsia" w:ascii="宋体" w:hAnsi="宋体" w:eastAsia="宋体" w:cs="宋体"/>
          <w:b/>
          <w:bCs/>
          <w:color w:val="auto"/>
          <w:sz w:val="24"/>
          <w:szCs w:val="24"/>
          <w:highlight w:val="none"/>
        </w:rPr>
        <w:sectPr>
          <w:pgSz w:w="11906" w:h="16838"/>
          <w:pgMar w:top="1440" w:right="1440" w:bottom="1440" w:left="1440" w:header="851" w:footer="992" w:gutter="0"/>
          <w:pgNumType w:fmt="decimal"/>
          <w:cols w:space="720" w:num="1"/>
          <w:docGrid w:type="lines" w:linePitch="312" w:charSpace="0"/>
        </w:sectPr>
      </w:pPr>
    </w:p>
    <w:p w14:paraId="13AE1565">
      <w:pPr>
        <w:pStyle w:val="3"/>
        <w:numPr>
          <w:ilvl w:val="0"/>
          <w:numId w:val="0"/>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t>（三）运维服务方案评审</w:t>
      </w:r>
    </w:p>
    <w:p w14:paraId="4330C2EB">
      <w:pPr>
        <w:widowControl w:val="0"/>
        <w:spacing w:before="120" w:beforeLines="50" w:line="360" w:lineRule="auto"/>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按照磋商文件要求及评审办法中的评审内容自行编制。</w:t>
      </w:r>
    </w:p>
    <w:p w14:paraId="0A22C509">
      <w:pPr>
        <w:numPr>
          <w:ilvl w:val="0"/>
          <w:numId w:val="0"/>
        </w:numPr>
        <w:rPr>
          <w:rFonts w:hint="eastAsia"/>
          <w:lang w:val="en-US" w:eastAsia="zh-CN"/>
        </w:rPr>
        <w:sectPr>
          <w:pgSz w:w="11906" w:h="16838"/>
          <w:pgMar w:top="1440" w:right="1440" w:bottom="1440" w:left="1440" w:header="851" w:footer="992" w:gutter="0"/>
          <w:pgNumType w:fmt="decimal"/>
          <w:cols w:space="720" w:num="1"/>
          <w:docGrid w:type="lines" w:linePitch="312" w:charSpace="0"/>
        </w:sectPr>
      </w:pPr>
    </w:p>
    <w:p w14:paraId="4667E5F5">
      <w:pPr>
        <w:pStyle w:val="3"/>
        <w:numPr>
          <w:ilvl w:val="0"/>
          <w:numId w:val="0"/>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bidi="ar-SA"/>
        </w:rPr>
        <w:t>（四）应急管理方案</w:t>
      </w:r>
    </w:p>
    <w:p w14:paraId="1B706C89">
      <w:pPr>
        <w:widowControl w:val="0"/>
        <w:spacing w:before="120" w:beforeLines="50" w:line="360" w:lineRule="auto"/>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按照磋商文件要求及评审办法中的评审内容自行编制。</w:t>
      </w:r>
    </w:p>
    <w:p w14:paraId="2E82CB7E">
      <w:pPr>
        <w:pStyle w:val="3"/>
        <w:numPr>
          <w:ilvl w:val="0"/>
          <w:numId w:val="12"/>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rPr>
        <w:sectPr>
          <w:pgSz w:w="11906" w:h="16838"/>
          <w:pgMar w:top="1440" w:right="1440" w:bottom="1440" w:left="1440" w:header="851" w:footer="992" w:gutter="0"/>
          <w:pgNumType w:fmt="decimal"/>
          <w:cols w:space="720" w:num="1"/>
          <w:docGrid w:type="lines" w:linePitch="312" w:charSpace="0"/>
        </w:sectPr>
      </w:pPr>
    </w:p>
    <w:p w14:paraId="708A0697">
      <w:pPr>
        <w:pStyle w:val="3"/>
        <w:numPr>
          <w:ilvl w:val="0"/>
          <w:numId w:val="13"/>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t>人员配置方案评审</w:t>
      </w:r>
    </w:p>
    <w:p w14:paraId="7B197567">
      <w:pPr>
        <w:spacing w:line="24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拟派往本项目组人员配置表</w:t>
      </w:r>
    </w:p>
    <w:tbl>
      <w:tblPr>
        <w:tblStyle w:val="56"/>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94"/>
        <w:gridCol w:w="1282"/>
        <w:gridCol w:w="1171"/>
        <w:gridCol w:w="1507"/>
        <w:gridCol w:w="1084"/>
        <w:gridCol w:w="1973"/>
      </w:tblGrid>
      <w:tr w14:paraId="7B39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00" w:type="dxa"/>
            <w:vMerge w:val="restart"/>
            <w:vAlign w:val="center"/>
          </w:tcPr>
          <w:p w14:paraId="692582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94" w:type="dxa"/>
            <w:vMerge w:val="restart"/>
            <w:vAlign w:val="center"/>
          </w:tcPr>
          <w:p w14:paraId="0E1D6637">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职务</w:t>
            </w:r>
          </w:p>
        </w:tc>
        <w:tc>
          <w:tcPr>
            <w:tcW w:w="1282" w:type="dxa"/>
            <w:vMerge w:val="restart"/>
            <w:vAlign w:val="center"/>
          </w:tcPr>
          <w:p w14:paraId="25BFC74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71" w:type="dxa"/>
            <w:vMerge w:val="restart"/>
            <w:vAlign w:val="center"/>
          </w:tcPr>
          <w:p w14:paraId="49CE40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507" w:type="dxa"/>
            <w:vMerge w:val="restart"/>
            <w:vAlign w:val="center"/>
          </w:tcPr>
          <w:p w14:paraId="355B34A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所学专业</w:t>
            </w:r>
          </w:p>
        </w:tc>
        <w:tc>
          <w:tcPr>
            <w:tcW w:w="1084" w:type="dxa"/>
            <w:vMerge w:val="restart"/>
            <w:vAlign w:val="center"/>
          </w:tcPr>
          <w:p w14:paraId="6DC415E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973" w:type="dxa"/>
            <w:vMerge w:val="restart"/>
            <w:vAlign w:val="center"/>
          </w:tcPr>
          <w:p w14:paraId="36AC44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从事本工作时间</w:t>
            </w:r>
          </w:p>
        </w:tc>
      </w:tr>
      <w:tr w14:paraId="01C1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00" w:type="dxa"/>
            <w:vMerge w:val="continue"/>
            <w:vAlign w:val="center"/>
          </w:tcPr>
          <w:p w14:paraId="72118246">
            <w:pPr>
              <w:spacing w:line="360" w:lineRule="auto"/>
              <w:rPr>
                <w:rFonts w:hint="eastAsia" w:ascii="宋体" w:hAnsi="宋体" w:eastAsia="宋体" w:cs="宋体"/>
                <w:color w:val="auto"/>
                <w:sz w:val="24"/>
                <w:szCs w:val="24"/>
                <w:highlight w:val="none"/>
              </w:rPr>
            </w:pPr>
          </w:p>
        </w:tc>
        <w:tc>
          <w:tcPr>
            <w:tcW w:w="1694" w:type="dxa"/>
            <w:vMerge w:val="continue"/>
            <w:vAlign w:val="center"/>
          </w:tcPr>
          <w:p w14:paraId="4DF378AA">
            <w:pPr>
              <w:spacing w:line="360" w:lineRule="auto"/>
              <w:rPr>
                <w:rFonts w:hint="eastAsia" w:ascii="宋体" w:hAnsi="宋体" w:eastAsia="宋体" w:cs="宋体"/>
                <w:color w:val="auto"/>
                <w:sz w:val="24"/>
                <w:szCs w:val="24"/>
                <w:highlight w:val="none"/>
              </w:rPr>
            </w:pPr>
          </w:p>
        </w:tc>
        <w:tc>
          <w:tcPr>
            <w:tcW w:w="1282" w:type="dxa"/>
            <w:vMerge w:val="continue"/>
            <w:vAlign w:val="center"/>
          </w:tcPr>
          <w:p w14:paraId="2EC655C4">
            <w:pPr>
              <w:spacing w:line="360" w:lineRule="auto"/>
              <w:rPr>
                <w:rFonts w:hint="eastAsia" w:ascii="宋体" w:hAnsi="宋体" w:eastAsia="宋体" w:cs="宋体"/>
                <w:color w:val="auto"/>
                <w:sz w:val="24"/>
                <w:szCs w:val="24"/>
                <w:highlight w:val="none"/>
              </w:rPr>
            </w:pPr>
          </w:p>
        </w:tc>
        <w:tc>
          <w:tcPr>
            <w:tcW w:w="1171" w:type="dxa"/>
            <w:vMerge w:val="continue"/>
            <w:vAlign w:val="center"/>
          </w:tcPr>
          <w:p w14:paraId="188B838D">
            <w:pPr>
              <w:spacing w:line="360" w:lineRule="auto"/>
              <w:rPr>
                <w:rFonts w:hint="eastAsia" w:ascii="宋体" w:hAnsi="宋体" w:eastAsia="宋体" w:cs="宋体"/>
                <w:color w:val="auto"/>
                <w:sz w:val="24"/>
                <w:szCs w:val="24"/>
                <w:highlight w:val="none"/>
              </w:rPr>
            </w:pPr>
          </w:p>
        </w:tc>
        <w:tc>
          <w:tcPr>
            <w:tcW w:w="1507" w:type="dxa"/>
            <w:vMerge w:val="continue"/>
            <w:vAlign w:val="center"/>
          </w:tcPr>
          <w:p w14:paraId="3F56D02C">
            <w:pPr>
              <w:spacing w:line="360" w:lineRule="auto"/>
              <w:rPr>
                <w:rFonts w:hint="eastAsia" w:ascii="宋体" w:hAnsi="宋体" w:eastAsia="宋体" w:cs="宋体"/>
                <w:color w:val="auto"/>
                <w:sz w:val="24"/>
                <w:szCs w:val="24"/>
                <w:highlight w:val="none"/>
              </w:rPr>
            </w:pPr>
          </w:p>
        </w:tc>
        <w:tc>
          <w:tcPr>
            <w:tcW w:w="1084" w:type="dxa"/>
            <w:vMerge w:val="continue"/>
            <w:vAlign w:val="center"/>
          </w:tcPr>
          <w:p w14:paraId="44076AC6">
            <w:pPr>
              <w:spacing w:line="360" w:lineRule="auto"/>
              <w:rPr>
                <w:rFonts w:hint="eastAsia" w:ascii="宋体" w:hAnsi="宋体" w:eastAsia="宋体" w:cs="宋体"/>
                <w:color w:val="auto"/>
                <w:sz w:val="24"/>
                <w:szCs w:val="24"/>
                <w:highlight w:val="none"/>
              </w:rPr>
            </w:pPr>
          </w:p>
        </w:tc>
        <w:tc>
          <w:tcPr>
            <w:tcW w:w="1973" w:type="dxa"/>
            <w:vMerge w:val="continue"/>
            <w:vAlign w:val="center"/>
          </w:tcPr>
          <w:p w14:paraId="236FB21C">
            <w:pPr>
              <w:spacing w:line="360" w:lineRule="auto"/>
              <w:rPr>
                <w:rFonts w:hint="eastAsia" w:ascii="宋体" w:hAnsi="宋体" w:eastAsia="宋体" w:cs="宋体"/>
                <w:color w:val="auto"/>
                <w:sz w:val="24"/>
                <w:szCs w:val="24"/>
                <w:highlight w:val="none"/>
              </w:rPr>
            </w:pPr>
          </w:p>
        </w:tc>
      </w:tr>
      <w:tr w14:paraId="50D3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3575D253">
            <w:pPr>
              <w:spacing w:line="360" w:lineRule="auto"/>
              <w:rPr>
                <w:rFonts w:hint="eastAsia" w:ascii="宋体" w:hAnsi="宋体" w:eastAsia="宋体" w:cs="宋体"/>
                <w:color w:val="auto"/>
                <w:sz w:val="24"/>
                <w:szCs w:val="24"/>
                <w:highlight w:val="none"/>
              </w:rPr>
            </w:pPr>
          </w:p>
        </w:tc>
        <w:tc>
          <w:tcPr>
            <w:tcW w:w="1694" w:type="dxa"/>
            <w:vAlign w:val="center"/>
          </w:tcPr>
          <w:p w14:paraId="7192FDF5">
            <w:pPr>
              <w:spacing w:line="360" w:lineRule="auto"/>
              <w:rPr>
                <w:rFonts w:hint="eastAsia" w:ascii="宋体" w:hAnsi="宋体" w:eastAsia="宋体" w:cs="宋体"/>
                <w:color w:val="auto"/>
                <w:sz w:val="24"/>
                <w:szCs w:val="24"/>
                <w:highlight w:val="none"/>
              </w:rPr>
            </w:pPr>
          </w:p>
        </w:tc>
        <w:tc>
          <w:tcPr>
            <w:tcW w:w="1282" w:type="dxa"/>
          </w:tcPr>
          <w:p w14:paraId="7BF3F41E">
            <w:pPr>
              <w:spacing w:line="360" w:lineRule="auto"/>
              <w:rPr>
                <w:rFonts w:hint="eastAsia" w:ascii="宋体" w:hAnsi="宋体" w:eastAsia="宋体" w:cs="宋体"/>
                <w:color w:val="auto"/>
                <w:sz w:val="24"/>
                <w:szCs w:val="24"/>
                <w:highlight w:val="none"/>
              </w:rPr>
            </w:pPr>
          </w:p>
        </w:tc>
        <w:tc>
          <w:tcPr>
            <w:tcW w:w="1171" w:type="dxa"/>
          </w:tcPr>
          <w:p w14:paraId="2D1657A7">
            <w:pPr>
              <w:spacing w:line="360" w:lineRule="auto"/>
              <w:rPr>
                <w:rFonts w:hint="eastAsia" w:ascii="宋体" w:hAnsi="宋体" w:eastAsia="宋体" w:cs="宋体"/>
                <w:color w:val="auto"/>
                <w:sz w:val="24"/>
                <w:szCs w:val="24"/>
                <w:highlight w:val="none"/>
              </w:rPr>
            </w:pPr>
          </w:p>
        </w:tc>
        <w:tc>
          <w:tcPr>
            <w:tcW w:w="1507" w:type="dxa"/>
          </w:tcPr>
          <w:p w14:paraId="1C9F18D3">
            <w:pPr>
              <w:spacing w:line="360" w:lineRule="auto"/>
              <w:rPr>
                <w:rFonts w:hint="eastAsia" w:ascii="宋体" w:hAnsi="宋体" w:eastAsia="宋体" w:cs="宋体"/>
                <w:color w:val="auto"/>
                <w:sz w:val="24"/>
                <w:szCs w:val="24"/>
                <w:highlight w:val="none"/>
              </w:rPr>
            </w:pPr>
          </w:p>
        </w:tc>
        <w:tc>
          <w:tcPr>
            <w:tcW w:w="1084" w:type="dxa"/>
          </w:tcPr>
          <w:p w14:paraId="60ED785D">
            <w:pPr>
              <w:spacing w:line="360" w:lineRule="auto"/>
              <w:rPr>
                <w:rFonts w:hint="eastAsia" w:ascii="宋体" w:hAnsi="宋体" w:eastAsia="宋体" w:cs="宋体"/>
                <w:color w:val="auto"/>
                <w:sz w:val="24"/>
                <w:szCs w:val="24"/>
                <w:highlight w:val="none"/>
              </w:rPr>
            </w:pPr>
          </w:p>
        </w:tc>
        <w:tc>
          <w:tcPr>
            <w:tcW w:w="1973" w:type="dxa"/>
          </w:tcPr>
          <w:p w14:paraId="4FF7CC8E">
            <w:pPr>
              <w:spacing w:line="360" w:lineRule="auto"/>
              <w:rPr>
                <w:rFonts w:hint="eastAsia" w:ascii="宋体" w:hAnsi="宋体" w:eastAsia="宋体" w:cs="宋体"/>
                <w:color w:val="auto"/>
                <w:sz w:val="24"/>
                <w:szCs w:val="24"/>
                <w:highlight w:val="none"/>
              </w:rPr>
            </w:pPr>
          </w:p>
        </w:tc>
      </w:tr>
      <w:tr w14:paraId="635D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900" w:type="dxa"/>
          </w:tcPr>
          <w:p w14:paraId="1D3ABE30">
            <w:pPr>
              <w:spacing w:line="360" w:lineRule="auto"/>
              <w:rPr>
                <w:rFonts w:hint="eastAsia" w:ascii="宋体" w:hAnsi="宋体" w:eastAsia="宋体" w:cs="宋体"/>
                <w:color w:val="auto"/>
                <w:sz w:val="24"/>
                <w:szCs w:val="24"/>
                <w:highlight w:val="none"/>
              </w:rPr>
            </w:pPr>
          </w:p>
        </w:tc>
        <w:tc>
          <w:tcPr>
            <w:tcW w:w="1694" w:type="dxa"/>
            <w:vAlign w:val="center"/>
          </w:tcPr>
          <w:p w14:paraId="7DE088F2">
            <w:pPr>
              <w:spacing w:line="360" w:lineRule="auto"/>
              <w:rPr>
                <w:rFonts w:hint="eastAsia" w:ascii="宋体" w:hAnsi="宋体" w:eastAsia="宋体" w:cs="宋体"/>
                <w:color w:val="auto"/>
                <w:sz w:val="24"/>
                <w:szCs w:val="24"/>
                <w:highlight w:val="none"/>
              </w:rPr>
            </w:pPr>
          </w:p>
        </w:tc>
        <w:tc>
          <w:tcPr>
            <w:tcW w:w="1282" w:type="dxa"/>
          </w:tcPr>
          <w:p w14:paraId="55A0CD6A">
            <w:pPr>
              <w:spacing w:line="360" w:lineRule="auto"/>
              <w:rPr>
                <w:rFonts w:hint="eastAsia" w:ascii="宋体" w:hAnsi="宋体" w:eastAsia="宋体" w:cs="宋体"/>
                <w:color w:val="auto"/>
                <w:sz w:val="24"/>
                <w:szCs w:val="24"/>
                <w:highlight w:val="none"/>
              </w:rPr>
            </w:pPr>
          </w:p>
        </w:tc>
        <w:tc>
          <w:tcPr>
            <w:tcW w:w="1171" w:type="dxa"/>
          </w:tcPr>
          <w:p w14:paraId="233C99FC">
            <w:pPr>
              <w:spacing w:line="360" w:lineRule="auto"/>
              <w:rPr>
                <w:rFonts w:hint="eastAsia" w:ascii="宋体" w:hAnsi="宋体" w:eastAsia="宋体" w:cs="宋体"/>
                <w:color w:val="auto"/>
                <w:sz w:val="24"/>
                <w:szCs w:val="24"/>
                <w:highlight w:val="none"/>
              </w:rPr>
            </w:pPr>
          </w:p>
        </w:tc>
        <w:tc>
          <w:tcPr>
            <w:tcW w:w="1507" w:type="dxa"/>
          </w:tcPr>
          <w:p w14:paraId="59BE1EAE">
            <w:pPr>
              <w:spacing w:line="360" w:lineRule="auto"/>
              <w:rPr>
                <w:rFonts w:hint="eastAsia" w:ascii="宋体" w:hAnsi="宋体" w:eastAsia="宋体" w:cs="宋体"/>
                <w:color w:val="auto"/>
                <w:sz w:val="24"/>
                <w:szCs w:val="24"/>
                <w:highlight w:val="none"/>
              </w:rPr>
            </w:pPr>
          </w:p>
        </w:tc>
        <w:tc>
          <w:tcPr>
            <w:tcW w:w="1084" w:type="dxa"/>
          </w:tcPr>
          <w:p w14:paraId="18FBB2B5">
            <w:pPr>
              <w:spacing w:line="360" w:lineRule="auto"/>
              <w:rPr>
                <w:rFonts w:hint="eastAsia" w:ascii="宋体" w:hAnsi="宋体" w:eastAsia="宋体" w:cs="宋体"/>
                <w:color w:val="auto"/>
                <w:sz w:val="24"/>
                <w:szCs w:val="24"/>
                <w:highlight w:val="none"/>
              </w:rPr>
            </w:pPr>
          </w:p>
        </w:tc>
        <w:tc>
          <w:tcPr>
            <w:tcW w:w="1973" w:type="dxa"/>
          </w:tcPr>
          <w:p w14:paraId="7CF5B708">
            <w:pPr>
              <w:spacing w:line="360" w:lineRule="auto"/>
              <w:rPr>
                <w:rFonts w:hint="eastAsia" w:ascii="宋体" w:hAnsi="宋体" w:eastAsia="宋体" w:cs="宋体"/>
                <w:color w:val="auto"/>
                <w:sz w:val="24"/>
                <w:szCs w:val="24"/>
                <w:highlight w:val="none"/>
              </w:rPr>
            </w:pPr>
          </w:p>
        </w:tc>
      </w:tr>
      <w:tr w14:paraId="5D17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36312314">
            <w:pPr>
              <w:spacing w:line="360" w:lineRule="auto"/>
              <w:rPr>
                <w:rFonts w:hint="eastAsia" w:ascii="宋体" w:hAnsi="宋体" w:eastAsia="宋体" w:cs="宋体"/>
                <w:color w:val="auto"/>
                <w:sz w:val="24"/>
                <w:szCs w:val="24"/>
                <w:highlight w:val="none"/>
              </w:rPr>
            </w:pPr>
          </w:p>
        </w:tc>
        <w:tc>
          <w:tcPr>
            <w:tcW w:w="1694" w:type="dxa"/>
            <w:vAlign w:val="center"/>
          </w:tcPr>
          <w:p w14:paraId="738D888E">
            <w:pPr>
              <w:spacing w:line="360" w:lineRule="auto"/>
              <w:rPr>
                <w:rFonts w:hint="eastAsia" w:ascii="宋体" w:hAnsi="宋体" w:eastAsia="宋体" w:cs="宋体"/>
                <w:color w:val="auto"/>
                <w:sz w:val="24"/>
                <w:szCs w:val="24"/>
                <w:highlight w:val="none"/>
              </w:rPr>
            </w:pPr>
          </w:p>
        </w:tc>
        <w:tc>
          <w:tcPr>
            <w:tcW w:w="1282" w:type="dxa"/>
          </w:tcPr>
          <w:p w14:paraId="7B8DC56E">
            <w:pPr>
              <w:spacing w:line="360" w:lineRule="auto"/>
              <w:rPr>
                <w:rFonts w:hint="eastAsia" w:ascii="宋体" w:hAnsi="宋体" w:eastAsia="宋体" w:cs="宋体"/>
                <w:color w:val="auto"/>
                <w:sz w:val="24"/>
                <w:szCs w:val="24"/>
                <w:highlight w:val="none"/>
              </w:rPr>
            </w:pPr>
          </w:p>
        </w:tc>
        <w:tc>
          <w:tcPr>
            <w:tcW w:w="1171" w:type="dxa"/>
          </w:tcPr>
          <w:p w14:paraId="5AE547D8">
            <w:pPr>
              <w:spacing w:line="360" w:lineRule="auto"/>
              <w:rPr>
                <w:rFonts w:hint="eastAsia" w:ascii="宋体" w:hAnsi="宋体" w:eastAsia="宋体" w:cs="宋体"/>
                <w:color w:val="auto"/>
                <w:sz w:val="24"/>
                <w:szCs w:val="24"/>
                <w:highlight w:val="none"/>
              </w:rPr>
            </w:pPr>
          </w:p>
        </w:tc>
        <w:tc>
          <w:tcPr>
            <w:tcW w:w="1507" w:type="dxa"/>
          </w:tcPr>
          <w:p w14:paraId="3A84BBC4">
            <w:pPr>
              <w:spacing w:line="360" w:lineRule="auto"/>
              <w:rPr>
                <w:rFonts w:hint="eastAsia" w:ascii="宋体" w:hAnsi="宋体" w:eastAsia="宋体" w:cs="宋体"/>
                <w:color w:val="auto"/>
                <w:sz w:val="24"/>
                <w:szCs w:val="24"/>
                <w:highlight w:val="none"/>
              </w:rPr>
            </w:pPr>
          </w:p>
        </w:tc>
        <w:tc>
          <w:tcPr>
            <w:tcW w:w="1084" w:type="dxa"/>
          </w:tcPr>
          <w:p w14:paraId="14C55EE2">
            <w:pPr>
              <w:spacing w:line="360" w:lineRule="auto"/>
              <w:rPr>
                <w:rFonts w:hint="eastAsia" w:ascii="宋体" w:hAnsi="宋体" w:eastAsia="宋体" w:cs="宋体"/>
                <w:color w:val="auto"/>
                <w:sz w:val="24"/>
                <w:szCs w:val="24"/>
                <w:highlight w:val="none"/>
              </w:rPr>
            </w:pPr>
          </w:p>
        </w:tc>
        <w:tc>
          <w:tcPr>
            <w:tcW w:w="1973" w:type="dxa"/>
          </w:tcPr>
          <w:p w14:paraId="4FDB405F">
            <w:pPr>
              <w:spacing w:line="360" w:lineRule="auto"/>
              <w:rPr>
                <w:rFonts w:hint="eastAsia" w:ascii="宋体" w:hAnsi="宋体" w:eastAsia="宋体" w:cs="宋体"/>
                <w:color w:val="auto"/>
                <w:sz w:val="24"/>
                <w:szCs w:val="24"/>
                <w:highlight w:val="none"/>
              </w:rPr>
            </w:pPr>
          </w:p>
        </w:tc>
      </w:tr>
      <w:tr w14:paraId="618D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795D17A2">
            <w:pPr>
              <w:spacing w:line="360" w:lineRule="auto"/>
              <w:rPr>
                <w:rFonts w:hint="eastAsia" w:ascii="宋体" w:hAnsi="宋体" w:eastAsia="宋体" w:cs="宋体"/>
                <w:color w:val="auto"/>
                <w:sz w:val="24"/>
                <w:szCs w:val="24"/>
                <w:highlight w:val="none"/>
              </w:rPr>
            </w:pPr>
          </w:p>
        </w:tc>
        <w:tc>
          <w:tcPr>
            <w:tcW w:w="1694" w:type="dxa"/>
            <w:vAlign w:val="center"/>
          </w:tcPr>
          <w:p w14:paraId="77A4F991">
            <w:pPr>
              <w:spacing w:line="360" w:lineRule="auto"/>
              <w:rPr>
                <w:rFonts w:hint="eastAsia" w:ascii="宋体" w:hAnsi="宋体" w:eastAsia="宋体" w:cs="宋体"/>
                <w:color w:val="auto"/>
                <w:sz w:val="24"/>
                <w:szCs w:val="24"/>
                <w:highlight w:val="none"/>
              </w:rPr>
            </w:pPr>
          </w:p>
        </w:tc>
        <w:tc>
          <w:tcPr>
            <w:tcW w:w="1282" w:type="dxa"/>
          </w:tcPr>
          <w:p w14:paraId="44B82234">
            <w:pPr>
              <w:spacing w:line="360" w:lineRule="auto"/>
              <w:rPr>
                <w:rFonts w:hint="eastAsia" w:ascii="宋体" w:hAnsi="宋体" w:eastAsia="宋体" w:cs="宋体"/>
                <w:color w:val="auto"/>
                <w:sz w:val="24"/>
                <w:szCs w:val="24"/>
                <w:highlight w:val="none"/>
              </w:rPr>
            </w:pPr>
          </w:p>
        </w:tc>
        <w:tc>
          <w:tcPr>
            <w:tcW w:w="1171" w:type="dxa"/>
          </w:tcPr>
          <w:p w14:paraId="07DA80A5">
            <w:pPr>
              <w:spacing w:line="360" w:lineRule="auto"/>
              <w:rPr>
                <w:rFonts w:hint="eastAsia" w:ascii="宋体" w:hAnsi="宋体" w:eastAsia="宋体" w:cs="宋体"/>
                <w:color w:val="auto"/>
                <w:sz w:val="24"/>
                <w:szCs w:val="24"/>
                <w:highlight w:val="none"/>
              </w:rPr>
            </w:pPr>
          </w:p>
        </w:tc>
        <w:tc>
          <w:tcPr>
            <w:tcW w:w="1507" w:type="dxa"/>
          </w:tcPr>
          <w:p w14:paraId="106D2FBD">
            <w:pPr>
              <w:spacing w:line="360" w:lineRule="auto"/>
              <w:rPr>
                <w:rFonts w:hint="eastAsia" w:ascii="宋体" w:hAnsi="宋体" w:eastAsia="宋体" w:cs="宋体"/>
                <w:color w:val="auto"/>
                <w:sz w:val="24"/>
                <w:szCs w:val="24"/>
                <w:highlight w:val="none"/>
              </w:rPr>
            </w:pPr>
          </w:p>
        </w:tc>
        <w:tc>
          <w:tcPr>
            <w:tcW w:w="1084" w:type="dxa"/>
          </w:tcPr>
          <w:p w14:paraId="0FE48C8B">
            <w:pPr>
              <w:spacing w:line="360" w:lineRule="auto"/>
              <w:rPr>
                <w:rFonts w:hint="eastAsia" w:ascii="宋体" w:hAnsi="宋体" w:eastAsia="宋体" w:cs="宋体"/>
                <w:color w:val="auto"/>
                <w:sz w:val="24"/>
                <w:szCs w:val="24"/>
                <w:highlight w:val="none"/>
              </w:rPr>
            </w:pPr>
          </w:p>
        </w:tc>
        <w:tc>
          <w:tcPr>
            <w:tcW w:w="1973" w:type="dxa"/>
          </w:tcPr>
          <w:p w14:paraId="267BD9CE">
            <w:pPr>
              <w:spacing w:line="360" w:lineRule="auto"/>
              <w:rPr>
                <w:rFonts w:hint="eastAsia" w:ascii="宋体" w:hAnsi="宋体" w:eastAsia="宋体" w:cs="宋体"/>
                <w:color w:val="auto"/>
                <w:sz w:val="24"/>
                <w:szCs w:val="24"/>
                <w:highlight w:val="none"/>
              </w:rPr>
            </w:pPr>
          </w:p>
        </w:tc>
      </w:tr>
      <w:tr w14:paraId="2B92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228EABDC">
            <w:pPr>
              <w:spacing w:line="360" w:lineRule="auto"/>
              <w:rPr>
                <w:rFonts w:hint="eastAsia" w:ascii="宋体" w:hAnsi="宋体" w:eastAsia="宋体" w:cs="宋体"/>
                <w:color w:val="auto"/>
                <w:sz w:val="24"/>
                <w:szCs w:val="24"/>
                <w:highlight w:val="none"/>
              </w:rPr>
            </w:pPr>
          </w:p>
        </w:tc>
        <w:tc>
          <w:tcPr>
            <w:tcW w:w="1694" w:type="dxa"/>
            <w:vAlign w:val="center"/>
          </w:tcPr>
          <w:p w14:paraId="765C72D8">
            <w:pPr>
              <w:spacing w:line="360" w:lineRule="auto"/>
              <w:rPr>
                <w:rFonts w:hint="eastAsia" w:ascii="宋体" w:hAnsi="宋体" w:eastAsia="宋体" w:cs="宋体"/>
                <w:color w:val="auto"/>
                <w:sz w:val="24"/>
                <w:szCs w:val="24"/>
                <w:highlight w:val="none"/>
              </w:rPr>
            </w:pPr>
          </w:p>
        </w:tc>
        <w:tc>
          <w:tcPr>
            <w:tcW w:w="1282" w:type="dxa"/>
          </w:tcPr>
          <w:p w14:paraId="0ED9F2E3">
            <w:pPr>
              <w:spacing w:line="360" w:lineRule="auto"/>
              <w:rPr>
                <w:rFonts w:hint="eastAsia" w:ascii="宋体" w:hAnsi="宋体" w:eastAsia="宋体" w:cs="宋体"/>
                <w:color w:val="auto"/>
                <w:sz w:val="24"/>
                <w:szCs w:val="24"/>
                <w:highlight w:val="none"/>
              </w:rPr>
            </w:pPr>
          </w:p>
        </w:tc>
        <w:tc>
          <w:tcPr>
            <w:tcW w:w="1171" w:type="dxa"/>
          </w:tcPr>
          <w:p w14:paraId="7B92B139">
            <w:pPr>
              <w:spacing w:line="360" w:lineRule="auto"/>
              <w:rPr>
                <w:rFonts w:hint="eastAsia" w:ascii="宋体" w:hAnsi="宋体" w:eastAsia="宋体" w:cs="宋体"/>
                <w:color w:val="auto"/>
                <w:sz w:val="24"/>
                <w:szCs w:val="24"/>
                <w:highlight w:val="none"/>
              </w:rPr>
            </w:pPr>
          </w:p>
        </w:tc>
        <w:tc>
          <w:tcPr>
            <w:tcW w:w="1507" w:type="dxa"/>
          </w:tcPr>
          <w:p w14:paraId="6E7E5925">
            <w:pPr>
              <w:spacing w:line="360" w:lineRule="auto"/>
              <w:rPr>
                <w:rFonts w:hint="eastAsia" w:ascii="宋体" w:hAnsi="宋体" w:eastAsia="宋体" w:cs="宋体"/>
                <w:color w:val="auto"/>
                <w:sz w:val="24"/>
                <w:szCs w:val="24"/>
                <w:highlight w:val="none"/>
              </w:rPr>
            </w:pPr>
          </w:p>
        </w:tc>
        <w:tc>
          <w:tcPr>
            <w:tcW w:w="1084" w:type="dxa"/>
          </w:tcPr>
          <w:p w14:paraId="7E4814E0">
            <w:pPr>
              <w:spacing w:line="360" w:lineRule="auto"/>
              <w:rPr>
                <w:rFonts w:hint="eastAsia" w:ascii="宋体" w:hAnsi="宋体" w:eastAsia="宋体" w:cs="宋体"/>
                <w:color w:val="auto"/>
                <w:sz w:val="24"/>
                <w:szCs w:val="24"/>
                <w:highlight w:val="none"/>
              </w:rPr>
            </w:pPr>
          </w:p>
        </w:tc>
        <w:tc>
          <w:tcPr>
            <w:tcW w:w="1973" w:type="dxa"/>
          </w:tcPr>
          <w:p w14:paraId="5940675D">
            <w:pPr>
              <w:spacing w:line="360" w:lineRule="auto"/>
              <w:rPr>
                <w:rFonts w:hint="eastAsia" w:ascii="宋体" w:hAnsi="宋体" w:eastAsia="宋体" w:cs="宋体"/>
                <w:color w:val="auto"/>
                <w:sz w:val="24"/>
                <w:szCs w:val="24"/>
                <w:highlight w:val="none"/>
              </w:rPr>
            </w:pPr>
          </w:p>
        </w:tc>
      </w:tr>
      <w:tr w14:paraId="5061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47D99851">
            <w:pPr>
              <w:spacing w:line="360" w:lineRule="auto"/>
              <w:rPr>
                <w:rFonts w:hint="eastAsia" w:ascii="宋体" w:hAnsi="宋体" w:eastAsia="宋体" w:cs="宋体"/>
                <w:color w:val="auto"/>
                <w:sz w:val="24"/>
                <w:szCs w:val="24"/>
                <w:highlight w:val="none"/>
              </w:rPr>
            </w:pPr>
          </w:p>
        </w:tc>
        <w:tc>
          <w:tcPr>
            <w:tcW w:w="1694" w:type="dxa"/>
            <w:vAlign w:val="center"/>
          </w:tcPr>
          <w:p w14:paraId="287542DD">
            <w:pPr>
              <w:spacing w:line="360" w:lineRule="auto"/>
              <w:rPr>
                <w:rFonts w:hint="eastAsia" w:ascii="宋体" w:hAnsi="宋体" w:eastAsia="宋体" w:cs="宋体"/>
                <w:color w:val="auto"/>
                <w:sz w:val="24"/>
                <w:szCs w:val="24"/>
                <w:highlight w:val="none"/>
              </w:rPr>
            </w:pPr>
          </w:p>
        </w:tc>
        <w:tc>
          <w:tcPr>
            <w:tcW w:w="1282" w:type="dxa"/>
          </w:tcPr>
          <w:p w14:paraId="2220AAB4">
            <w:pPr>
              <w:spacing w:line="360" w:lineRule="auto"/>
              <w:rPr>
                <w:rFonts w:hint="eastAsia" w:ascii="宋体" w:hAnsi="宋体" w:eastAsia="宋体" w:cs="宋体"/>
                <w:color w:val="auto"/>
                <w:sz w:val="24"/>
                <w:szCs w:val="24"/>
                <w:highlight w:val="none"/>
              </w:rPr>
            </w:pPr>
          </w:p>
        </w:tc>
        <w:tc>
          <w:tcPr>
            <w:tcW w:w="1171" w:type="dxa"/>
          </w:tcPr>
          <w:p w14:paraId="498E4C3B">
            <w:pPr>
              <w:spacing w:line="360" w:lineRule="auto"/>
              <w:rPr>
                <w:rFonts w:hint="eastAsia" w:ascii="宋体" w:hAnsi="宋体" w:eastAsia="宋体" w:cs="宋体"/>
                <w:color w:val="auto"/>
                <w:sz w:val="24"/>
                <w:szCs w:val="24"/>
                <w:highlight w:val="none"/>
              </w:rPr>
            </w:pPr>
          </w:p>
        </w:tc>
        <w:tc>
          <w:tcPr>
            <w:tcW w:w="1507" w:type="dxa"/>
          </w:tcPr>
          <w:p w14:paraId="07487627">
            <w:pPr>
              <w:spacing w:line="360" w:lineRule="auto"/>
              <w:rPr>
                <w:rFonts w:hint="eastAsia" w:ascii="宋体" w:hAnsi="宋体" w:eastAsia="宋体" w:cs="宋体"/>
                <w:color w:val="auto"/>
                <w:sz w:val="24"/>
                <w:szCs w:val="24"/>
                <w:highlight w:val="none"/>
              </w:rPr>
            </w:pPr>
          </w:p>
        </w:tc>
        <w:tc>
          <w:tcPr>
            <w:tcW w:w="1084" w:type="dxa"/>
          </w:tcPr>
          <w:p w14:paraId="3B21F78A">
            <w:pPr>
              <w:spacing w:line="360" w:lineRule="auto"/>
              <w:rPr>
                <w:rFonts w:hint="eastAsia" w:ascii="宋体" w:hAnsi="宋体" w:eastAsia="宋体" w:cs="宋体"/>
                <w:color w:val="auto"/>
                <w:sz w:val="24"/>
                <w:szCs w:val="24"/>
                <w:highlight w:val="none"/>
              </w:rPr>
            </w:pPr>
          </w:p>
        </w:tc>
        <w:tc>
          <w:tcPr>
            <w:tcW w:w="1973" w:type="dxa"/>
          </w:tcPr>
          <w:p w14:paraId="0E468C38">
            <w:pPr>
              <w:spacing w:line="360" w:lineRule="auto"/>
              <w:rPr>
                <w:rFonts w:hint="eastAsia" w:ascii="宋体" w:hAnsi="宋体" w:eastAsia="宋体" w:cs="宋体"/>
                <w:color w:val="auto"/>
                <w:sz w:val="24"/>
                <w:szCs w:val="24"/>
                <w:highlight w:val="none"/>
              </w:rPr>
            </w:pPr>
          </w:p>
        </w:tc>
      </w:tr>
      <w:tr w14:paraId="1236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00" w:type="dxa"/>
          </w:tcPr>
          <w:p w14:paraId="31A6589C">
            <w:pPr>
              <w:spacing w:line="360" w:lineRule="auto"/>
              <w:rPr>
                <w:rFonts w:hint="eastAsia" w:ascii="宋体" w:hAnsi="宋体" w:eastAsia="宋体" w:cs="宋体"/>
                <w:color w:val="auto"/>
                <w:sz w:val="24"/>
                <w:szCs w:val="24"/>
                <w:highlight w:val="none"/>
              </w:rPr>
            </w:pPr>
          </w:p>
        </w:tc>
        <w:tc>
          <w:tcPr>
            <w:tcW w:w="1694" w:type="dxa"/>
            <w:vAlign w:val="center"/>
          </w:tcPr>
          <w:p w14:paraId="70387FB0">
            <w:pPr>
              <w:spacing w:line="360" w:lineRule="auto"/>
              <w:rPr>
                <w:rFonts w:hint="eastAsia" w:ascii="宋体" w:hAnsi="宋体" w:eastAsia="宋体" w:cs="宋体"/>
                <w:color w:val="auto"/>
                <w:sz w:val="24"/>
                <w:szCs w:val="24"/>
                <w:highlight w:val="none"/>
              </w:rPr>
            </w:pPr>
          </w:p>
        </w:tc>
        <w:tc>
          <w:tcPr>
            <w:tcW w:w="1282" w:type="dxa"/>
          </w:tcPr>
          <w:p w14:paraId="7750822E">
            <w:pPr>
              <w:spacing w:line="360" w:lineRule="auto"/>
              <w:rPr>
                <w:rFonts w:hint="eastAsia" w:ascii="宋体" w:hAnsi="宋体" w:eastAsia="宋体" w:cs="宋体"/>
                <w:color w:val="auto"/>
                <w:sz w:val="24"/>
                <w:szCs w:val="24"/>
                <w:highlight w:val="none"/>
              </w:rPr>
            </w:pPr>
          </w:p>
        </w:tc>
        <w:tc>
          <w:tcPr>
            <w:tcW w:w="1171" w:type="dxa"/>
          </w:tcPr>
          <w:p w14:paraId="6CCE4AB1">
            <w:pPr>
              <w:spacing w:line="360" w:lineRule="auto"/>
              <w:rPr>
                <w:rFonts w:hint="eastAsia" w:ascii="宋体" w:hAnsi="宋体" w:eastAsia="宋体" w:cs="宋体"/>
                <w:color w:val="auto"/>
                <w:sz w:val="24"/>
                <w:szCs w:val="24"/>
                <w:highlight w:val="none"/>
              </w:rPr>
            </w:pPr>
          </w:p>
        </w:tc>
        <w:tc>
          <w:tcPr>
            <w:tcW w:w="1507" w:type="dxa"/>
          </w:tcPr>
          <w:p w14:paraId="515D8BAB">
            <w:pPr>
              <w:spacing w:line="360" w:lineRule="auto"/>
              <w:rPr>
                <w:rFonts w:hint="eastAsia" w:ascii="宋体" w:hAnsi="宋体" w:eastAsia="宋体" w:cs="宋体"/>
                <w:color w:val="auto"/>
                <w:sz w:val="24"/>
                <w:szCs w:val="24"/>
                <w:highlight w:val="none"/>
              </w:rPr>
            </w:pPr>
          </w:p>
        </w:tc>
        <w:tc>
          <w:tcPr>
            <w:tcW w:w="1084" w:type="dxa"/>
          </w:tcPr>
          <w:p w14:paraId="62243B54">
            <w:pPr>
              <w:spacing w:line="360" w:lineRule="auto"/>
              <w:rPr>
                <w:rFonts w:hint="eastAsia" w:ascii="宋体" w:hAnsi="宋体" w:eastAsia="宋体" w:cs="宋体"/>
                <w:color w:val="auto"/>
                <w:sz w:val="24"/>
                <w:szCs w:val="24"/>
                <w:highlight w:val="none"/>
              </w:rPr>
            </w:pPr>
          </w:p>
        </w:tc>
        <w:tc>
          <w:tcPr>
            <w:tcW w:w="1973" w:type="dxa"/>
          </w:tcPr>
          <w:p w14:paraId="61471E28">
            <w:pPr>
              <w:spacing w:line="360" w:lineRule="auto"/>
              <w:rPr>
                <w:rFonts w:hint="eastAsia" w:ascii="宋体" w:hAnsi="宋体" w:eastAsia="宋体" w:cs="宋体"/>
                <w:color w:val="auto"/>
                <w:sz w:val="24"/>
                <w:szCs w:val="24"/>
                <w:highlight w:val="none"/>
              </w:rPr>
            </w:pPr>
          </w:p>
        </w:tc>
      </w:tr>
      <w:tr w14:paraId="6A3B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900" w:type="dxa"/>
          </w:tcPr>
          <w:p w14:paraId="29BA51E3">
            <w:pPr>
              <w:spacing w:line="360" w:lineRule="auto"/>
              <w:rPr>
                <w:rFonts w:hint="eastAsia" w:ascii="宋体" w:hAnsi="宋体" w:eastAsia="宋体" w:cs="宋体"/>
                <w:color w:val="auto"/>
                <w:sz w:val="24"/>
                <w:szCs w:val="24"/>
                <w:highlight w:val="none"/>
              </w:rPr>
            </w:pPr>
          </w:p>
        </w:tc>
        <w:tc>
          <w:tcPr>
            <w:tcW w:w="1694" w:type="dxa"/>
            <w:vAlign w:val="center"/>
          </w:tcPr>
          <w:p w14:paraId="256DF9C4">
            <w:pPr>
              <w:spacing w:line="360" w:lineRule="auto"/>
              <w:rPr>
                <w:rFonts w:hint="eastAsia" w:ascii="宋体" w:hAnsi="宋体" w:eastAsia="宋体" w:cs="宋体"/>
                <w:color w:val="auto"/>
                <w:sz w:val="24"/>
                <w:szCs w:val="24"/>
                <w:highlight w:val="none"/>
              </w:rPr>
            </w:pPr>
          </w:p>
        </w:tc>
        <w:tc>
          <w:tcPr>
            <w:tcW w:w="1282" w:type="dxa"/>
          </w:tcPr>
          <w:p w14:paraId="1B83C2F8">
            <w:pPr>
              <w:spacing w:line="360" w:lineRule="auto"/>
              <w:rPr>
                <w:rFonts w:hint="eastAsia" w:ascii="宋体" w:hAnsi="宋体" w:eastAsia="宋体" w:cs="宋体"/>
                <w:color w:val="auto"/>
                <w:sz w:val="24"/>
                <w:szCs w:val="24"/>
                <w:highlight w:val="none"/>
              </w:rPr>
            </w:pPr>
          </w:p>
        </w:tc>
        <w:tc>
          <w:tcPr>
            <w:tcW w:w="1171" w:type="dxa"/>
          </w:tcPr>
          <w:p w14:paraId="6D343E68">
            <w:pPr>
              <w:spacing w:line="360" w:lineRule="auto"/>
              <w:rPr>
                <w:rFonts w:hint="eastAsia" w:ascii="宋体" w:hAnsi="宋体" w:eastAsia="宋体" w:cs="宋体"/>
                <w:color w:val="auto"/>
                <w:sz w:val="24"/>
                <w:szCs w:val="24"/>
                <w:highlight w:val="none"/>
              </w:rPr>
            </w:pPr>
          </w:p>
        </w:tc>
        <w:tc>
          <w:tcPr>
            <w:tcW w:w="1507" w:type="dxa"/>
          </w:tcPr>
          <w:p w14:paraId="505451F9">
            <w:pPr>
              <w:spacing w:line="360" w:lineRule="auto"/>
              <w:rPr>
                <w:rFonts w:hint="eastAsia" w:ascii="宋体" w:hAnsi="宋体" w:eastAsia="宋体" w:cs="宋体"/>
                <w:color w:val="auto"/>
                <w:sz w:val="24"/>
                <w:szCs w:val="24"/>
                <w:highlight w:val="none"/>
              </w:rPr>
            </w:pPr>
          </w:p>
        </w:tc>
        <w:tc>
          <w:tcPr>
            <w:tcW w:w="1084" w:type="dxa"/>
          </w:tcPr>
          <w:p w14:paraId="596FC7DA">
            <w:pPr>
              <w:spacing w:line="360" w:lineRule="auto"/>
              <w:rPr>
                <w:rFonts w:hint="eastAsia" w:ascii="宋体" w:hAnsi="宋体" w:eastAsia="宋体" w:cs="宋体"/>
                <w:color w:val="auto"/>
                <w:sz w:val="24"/>
                <w:szCs w:val="24"/>
                <w:highlight w:val="none"/>
              </w:rPr>
            </w:pPr>
          </w:p>
        </w:tc>
        <w:tc>
          <w:tcPr>
            <w:tcW w:w="1973" w:type="dxa"/>
          </w:tcPr>
          <w:p w14:paraId="129095B2">
            <w:pPr>
              <w:spacing w:line="360" w:lineRule="auto"/>
              <w:rPr>
                <w:rFonts w:hint="eastAsia" w:ascii="宋体" w:hAnsi="宋体" w:eastAsia="宋体" w:cs="宋体"/>
                <w:color w:val="auto"/>
                <w:sz w:val="24"/>
                <w:szCs w:val="24"/>
                <w:highlight w:val="none"/>
              </w:rPr>
            </w:pPr>
          </w:p>
        </w:tc>
      </w:tr>
    </w:tbl>
    <w:p w14:paraId="230A498B">
      <w:pPr>
        <w:bidi w:val="0"/>
        <w:rPr>
          <w:rFonts w:hint="eastAsia"/>
          <w:b/>
          <w:bCs/>
          <w:color w:val="auto"/>
          <w:sz w:val="21"/>
          <w:szCs w:val="21"/>
          <w:highlight w:val="none"/>
          <w:lang w:val="en-US" w:eastAsia="zh-CN"/>
        </w:rPr>
      </w:pPr>
    </w:p>
    <w:p w14:paraId="506130DE">
      <w:pPr>
        <w:bidi w:val="0"/>
        <w:rPr>
          <w:rFonts w:hint="eastAsia"/>
          <w:b/>
          <w:bCs/>
          <w:color w:val="auto"/>
          <w:sz w:val="21"/>
          <w:szCs w:val="21"/>
          <w:highlight w:val="none"/>
          <w:lang w:val="en-US" w:eastAsia="zh-CN"/>
        </w:rPr>
        <w:sectPr>
          <w:pgSz w:w="11906" w:h="16838"/>
          <w:pgMar w:top="1440" w:right="1440" w:bottom="1440" w:left="1440" w:header="851" w:footer="992" w:gutter="0"/>
          <w:pgNumType w:fmt="decimal"/>
          <w:cols w:space="720" w:num="1"/>
          <w:docGrid w:linePitch="312" w:charSpace="0"/>
        </w:sectPr>
      </w:pPr>
      <w:r>
        <w:rPr>
          <w:rFonts w:hint="eastAsia"/>
          <w:b/>
          <w:bCs/>
          <w:color w:val="auto"/>
          <w:sz w:val="21"/>
          <w:szCs w:val="21"/>
          <w:highlight w:val="none"/>
          <w:lang w:val="en-US" w:eastAsia="zh-CN"/>
        </w:rPr>
        <w:t>注：后附相关证明材料</w:t>
      </w:r>
    </w:p>
    <w:p w14:paraId="61C894C3">
      <w:pPr>
        <w:widowControl w:val="0"/>
        <w:spacing w:before="120" w:beforeLines="50" w:line="360" w:lineRule="auto"/>
        <w:jc w:val="center"/>
        <w:rPr>
          <w:rFonts w:hint="eastAsia" w:ascii="宋体" w:hAnsi="宋体"/>
          <w:color w:val="auto"/>
          <w:sz w:val="24"/>
          <w:szCs w:val="24"/>
          <w:highlight w:val="none"/>
          <w:lang w:eastAsia="zh-CN"/>
        </w:rPr>
      </w:pPr>
    </w:p>
    <w:p w14:paraId="4A5FDFE4">
      <w:pPr>
        <w:pStyle w:val="3"/>
        <w:numPr>
          <w:ilvl w:val="0"/>
          <w:numId w:val="0"/>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bidi="ar-SA"/>
        </w:rPr>
        <w:t>（六）质量保证体系及保证措施</w:t>
      </w:r>
    </w:p>
    <w:p w14:paraId="40C13536">
      <w:pPr>
        <w:widowControl w:val="0"/>
        <w:spacing w:before="120" w:beforeLines="50" w:line="360" w:lineRule="auto"/>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按照磋商文件要求及评审办法中的评审内容自行编制。</w:t>
      </w:r>
    </w:p>
    <w:p w14:paraId="04EA8464">
      <w:pPr>
        <w:pStyle w:val="3"/>
        <w:numPr>
          <w:ilvl w:val="0"/>
          <w:numId w:val="12"/>
        </w:numPr>
        <w:spacing w:line="360" w:lineRule="auto"/>
        <w:ind w:left="0" w:leftChars="0" w:firstLine="420" w:firstLineChars="0"/>
        <w:jc w:val="center"/>
        <w:rPr>
          <w:rFonts w:hint="eastAsia" w:ascii="宋体" w:hAnsi="宋体" w:eastAsia="宋体" w:cs="宋体"/>
          <w:b/>
          <w:bCs w:val="0"/>
          <w:color w:val="auto"/>
          <w:sz w:val="30"/>
          <w:szCs w:val="30"/>
          <w:highlight w:val="none"/>
          <w:lang w:val="en-US" w:eastAsia="zh-CN"/>
        </w:rPr>
        <w:sectPr>
          <w:pgSz w:w="11906" w:h="16838"/>
          <w:pgMar w:top="1440" w:right="1440" w:bottom="1440" w:left="1440" w:header="851" w:footer="992" w:gutter="0"/>
          <w:pgNumType w:fmt="decimal"/>
          <w:cols w:space="720" w:num="1"/>
          <w:docGrid w:type="lines" w:linePitch="312" w:charSpace="0"/>
        </w:sectPr>
      </w:pPr>
    </w:p>
    <w:p w14:paraId="6B5CAF46">
      <w:pPr>
        <w:pStyle w:val="3"/>
        <w:numPr>
          <w:ilvl w:val="0"/>
          <w:numId w:val="0"/>
        </w:numPr>
        <w:spacing w:line="360" w:lineRule="auto"/>
        <w:ind w:left="0" w:leftChars="0" w:firstLine="420" w:firstLineChars="0"/>
        <w:jc w:val="center"/>
        <w:rPr>
          <w:rFonts w:hint="default"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bidi="ar-SA"/>
        </w:rPr>
        <w:t>（七）</w:t>
      </w:r>
      <w:r>
        <w:rPr>
          <w:rFonts w:hint="eastAsia" w:ascii="宋体" w:hAnsi="宋体" w:eastAsia="宋体" w:cs="宋体"/>
          <w:b/>
          <w:bCs w:val="0"/>
          <w:color w:val="auto"/>
          <w:sz w:val="30"/>
          <w:szCs w:val="30"/>
          <w:highlight w:val="none"/>
          <w:lang w:val="en-US" w:eastAsia="zh-CN"/>
        </w:rPr>
        <w:t>技术偏离表</w:t>
      </w:r>
    </w:p>
    <w:p w14:paraId="27D5C0F1">
      <w:pPr>
        <w:pStyle w:val="4"/>
        <w:numPr>
          <w:ilvl w:val="0"/>
          <w:numId w:val="0"/>
        </w:numPr>
        <w:tabs>
          <w:tab w:val="left" w:pos="900"/>
        </w:tabs>
        <w:spacing w:before="0"/>
        <w:jc w:val="center"/>
        <w:rPr>
          <w:rFonts w:hint="eastAsia" w:ascii="宋体" w:hAnsi="宋体" w:eastAsia="宋体" w:cs="宋体"/>
          <w:sz w:val="30"/>
          <w:szCs w:val="30"/>
          <w:highlight w:val="none"/>
        </w:rPr>
      </w:pPr>
      <w:r>
        <w:rPr>
          <w:rFonts w:hint="eastAsia" w:ascii="宋体" w:hAnsi="宋体" w:eastAsia="宋体" w:cs="宋体"/>
          <w:sz w:val="28"/>
          <w:szCs w:val="28"/>
          <w:highlight w:val="none"/>
        </w:rPr>
        <w:t>主要设备技术参数响应</w:t>
      </w:r>
    </w:p>
    <w:p w14:paraId="60621B3B">
      <w:pPr>
        <w:spacing w:line="360" w:lineRule="auto"/>
        <w:ind w:left="1050" w:hanging="1000" w:hangingChars="500"/>
        <w:rPr>
          <w:rFonts w:hint="default" w:ascii="宋体" w:hAnsi="宋体" w:eastAsia="宋体" w:cs="宋体"/>
          <w:szCs w:val="21"/>
          <w:highlight w:val="none"/>
          <w:u w:val="single"/>
          <w:lang w:val="en-US" w:eastAsia="zh-CN"/>
        </w:rPr>
      </w:pPr>
      <w:r>
        <w:rPr>
          <w:rFonts w:hint="eastAsia" w:ascii="宋体" w:hAnsi="宋体" w:cs="宋体"/>
          <w:szCs w:val="21"/>
          <w:highlight w:val="none"/>
          <w:lang w:val="en-US" w:eastAsia="zh-CN"/>
        </w:rPr>
        <w:t>项目</w:t>
      </w:r>
      <w:r>
        <w:rPr>
          <w:rFonts w:hint="eastAsia" w:ascii="宋体" w:hAnsi="宋体" w:cs="宋体"/>
          <w:szCs w:val="21"/>
          <w:highlight w:val="none"/>
        </w:rPr>
        <w:t>名称：</w:t>
      </w:r>
      <w:r>
        <w:rPr>
          <w:rFonts w:hint="eastAsia" w:ascii="宋体" w:hAnsi="宋体" w:cs="宋体"/>
          <w:szCs w:val="21"/>
          <w:highlight w:val="none"/>
          <w:u w:val="single"/>
          <w:lang w:val="en-US" w:eastAsia="zh-CN"/>
        </w:rPr>
        <w:t xml:space="preserve">                   </w:t>
      </w:r>
    </w:p>
    <w:p w14:paraId="398F97BB">
      <w:pPr>
        <w:spacing w:line="360" w:lineRule="auto"/>
        <w:ind w:left="1050" w:hanging="1000" w:hangingChars="500"/>
        <w:rPr>
          <w:rFonts w:hint="eastAsia" w:ascii="宋体" w:hAnsi="宋体" w:cs="宋体"/>
          <w:szCs w:val="21"/>
          <w:highlight w:val="none"/>
        </w:rPr>
      </w:pPr>
      <w:r>
        <w:rPr>
          <w:rFonts w:hint="eastAsia" w:ascii="宋体" w:hAnsi="宋体" w:cs="宋体"/>
          <w:szCs w:val="21"/>
          <w:highlight w:val="none"/>
          <w:lang w:val="en-US" w:eastAsia="zh-CN"/>
        </w:rPr>
        <w:t>项目</w:t>
      </w:r>
      <w:r>
        <w:rPr>
          <w:rFonts w:hint="eastAsia" w:ascii="宋体" w:hAnsi="宋体" w:cs="宋体"/>
          <w:szCs w:val="21"/>
          <w:highlight w:val="none"/>
        </w:rPr>
        <w:t>编号：</w:t>
      </w:r>
      <w:r>
        <w:rPr>
          <w:rFonts w:hint="eastAsia" w:ascii="宋体" w:hAnsi="宋体" w:cs="宋体"/>
          <w:szCs w:val="21"/>
          <w:highlight w:val="none"/>
          <w:u w:val="single"/>
          <w:lang w:val="en-US" w:eastAsia="zh-CN"/>
        </w:rPr>
        <w:t xml:space="preserve">                   </w:t>
      </w:r>
    </w:p>
    <w:tbl>
      <w:tblPr>
        <w:tblStyle w:val="56"/>
        <w:tblW w:w="9579" w:type="dxa"/>
        <w:jc w:val="center"/>
        <w:tblLayout w:type="fixed"/>
        <w:tblCellMar>
          <w:top w:w="0" w:type="dxa"/>
          <w:left w:w="108" w:type="dxa"/>
          <w:bottom w:w="0" w:type="dxa"/>
          <w:right w:w="108" w:type="dxa"/>
        </w:tblCellMar>
      </w:tblPr>
      <w:tblGrid>
        <w:gridCol w:w="702"/>
        <w:gridCol w:w="1541"/>
        <w:gridCol w:w="2086"/>
        <w:gridCol w:w="1935"/>
        <w:gridCol w:w="945"/>
        <w:gridCol w:w="2370"/>
      </w:tblGrid>
      <w:tr w14:paraId="63F3E6ED">
        <w:tblPrEx>
          <w:tblCellMar>
            <w:top w:w="0" w:type="dxa"/>
            <w:left w:w="108" w:type="dxa"/>
            <w:bottom w:w="0" w:type="dxa"/>
            <w:right w:w="108" w:type="dxa"/>
          </w:tblCellMar>
        </w:tblPrEx>
        <w:trPr>
          <w:trHeight w:val="667"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CB07C79">
            <w:pPr>
              <w:spacing w:line="300" w:lineRule="auto"/>
              <w:jc w:val="center"/>
              <w:rPr>
                <w:rFonts w:hint="eastAsia" w:ascii="宋体" w:hAnsi="宋体" w:cs="宋体"/>
                <w:bCs/>
                <w:szCs w:val="21"/>
                <w:highlight w:val="none"/>
              </w:rPr>
            </w:pPr>
            <w:r>
              <w:rPr>
                <w:rFonts w:hint="eastAsia" w:ascii="宋体" w:hAnsi="宋体" w:cs="宋体"/>
                <w:bCs/>
                <w:szCs w:val="21"/>
                <w:highlight w:val="none"/>
              </w:rPr>
              <w:t>序号</w:t>
            </w:r>
          </w:p>
        </w:tc>
        <w:tc>
          <w:tcPr>
            <w:tcW w:w="1541" w:type="dxa"/>
            <w:tcBorders>
              <w:top w:val="single" w:color="000000" w:sz="4" w:space="0"/>
              <w:left w:val="nil"/>
              <w:bottom w:val="single" w:color="000000" w:sz="4" w:space="0"/>
              <w:right w:val="single" w:color="000000" w:sz="4" w:space="0"/>
            </w:tcBorders>
            <w:noWrap w:val="0"/>
            <w:vAlign w:val="center"/>
          </w:tcPr>
          <w:p w14:paraId="33BF9192">
            <w:pPr>
              <w:spacing w:line="300" w:lineRule="auto"/>
              <w:jc w:val="center"/>
              <w:rPr>
                <w:rFonts w:hint="eastAsia" w:ascii="宋体" w:hAnsi="宋体" w:cs="宋体"/>
                <w:bCs/>
                <w:szCs w:val="21"/>
                <w:highlight w:val="none"/>
              </w:rPr>
            </w:pPr>
            <w:r>
              <w:rPr>
                <w:rFonts w:hint="eastAsia" w:ascii="宋体" w:hAnsi="宋体" w:cs="宋体"/>
                <w:bCs/>
                <w:szCs w:val="21"/>
                <w:highlight w:val="none"/>
              </w:rPr>
              <w:t>设备名称</w:t>
            </w: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13C5DC95">
            <w:pPr>
              <w:spacing w:line="300" w:lineRule="auto"/>
              <w:jc w:val="center"/>
              <w:rPr>
                <w:rFonts w:hint="eastAsia" w:ascii="宋体" w:hAnsi="宋体" w:cs="宋体"/>
                <w:bCs/>
                <w:szCs w:val="21"/>
                <w:highlight w:val="none"/>
              </w:rPr>
            </w:pPr>
            <w:r>
              <w:rPr>
                <w:rFonts w:hint="eastAsia" w:ascii="宋体" w:hAnsi="宋体" w:cs="宋体"/>
                <w:bCs/>
                <w:szCs w:val="21"/>
                <w:highlight w:val="none"/>
                <w:lang w:val="en-US" w:eastAsia="zh-CN"/>
              </w:rPr>
              <w:t>磋商文件</w:t>
            </w:r>
            <w:r>
              <w:rPr>
                <w:rFonts w:hint="eastAsia" w:ascii="宋体" w:hAnsi="宋体" w:cs="宋体"/>
                <w:bCs/>
                <w:szCs w:val="21"/>
                <w:highlight w:val="none"/>
              </w:rPr>
              <w:t>要求的主要设备技术参数</w:t>
            </w: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7B18C667">
            <w:pPr>
              <w:spacing w:line="300" w:lineRule="auto"/>
              <w:jc w:val="center"/>
              <w:rPr>
                <w:rFonts w:hint="eastAsia" w:ascii="宋体" w:hAnsi="宋体" w:cs="宋体"/>
                <w:bCs/>
                <w:szCs w:val="21"/>
                <w:highlight w:val="none"/>
              </w:rPr>
            </w:pPr>
            <w:r>
              <w:rPr>
                <w:rFonts w:hint="eastAsia" w:ascii="宋体" w:hAnsi="宋体" w:cs="宋体"/>
                <w:bCs/>
                <w:szCs w:val="21"/>
                <w:highlight w:val="none"/>
                <w:lang w:val="en-US" w:eastAsia="zh-CN"/>
              </w:rPr>
              <w:t>响应</w:t>
            </w:r>
            <w:r>
              <w:rPr>
                <w:rFonts w:hint="eastAsia" w:ascii="宋体" w:hAnsi="宋体" w:cs="宋体"/>
                <w:bCs/>
                <w:szCs w:val="21"/>
                <w:highlight w:val="none"/>
              </w:rPr>
              <w:t>文件响应情况</w:t>
            </w:r>
          </w:p>
        </w:tc>
        <w:tc>
          <w:tcPr>
            <w:tcW w:w="945" w:type="dxa"/>
            <w:tcBorders>
              <w:top w:val="single" w:color="000000" w:sz="4" w:space="0"/>
              <w:left w:val="nil"/>
              <w:bottom w:val="single" w:color="000000" w:sz="4" w:space="0"/>
              <w:right w:val="single" w:color="auto" w:sz="4" w:space="0"/>
            </w:tcBorders>
            <w:noWrap w:val="0"/>
            <w:vAlign w:val="center"/>
          </w:tcPr>
          <w:p w14:paraId="1F502253">
            <w:pPr>
              <w:spacing w:line="300" w:lineRule="auto"/>
              <w:jc w:val="center"/>
              <w:rPr>
                <w:rFonts w:hint="eastAsia" w:ascii="宋体" w:hAnsi="宋体" w:cs="宋体"/>
                <w:bCs/>
                <w:szCs w:val="21"/>
                <w:highlight w:val="none"/>
              </w:rPr>
            </w:pPr>
            <w:r>
              <w:rPr>
                <w:rFonts w:hint="eastAsia" w:ascii="宋体" w:hAnsi="宋体" w:cs="宋体"/>
                <w:bCs/>
                <w:szCs w:val="21"/>
                <w:highlight w:val="none"/>
              </w:rPr>
              <w:t>偏离</w:t>
            </w: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7CE12EE8">
            <w:pPr>
              <w:spacing w:line="300" w:lineRule="auto"/>
              <w:jc w:val="center"/>
              <w:rPr>
                <w:rFonts w:hint="eastAsia" w:ascii="宋体" w:hAnsi="宋体" w:cs="宋体"/>
                <w:bCs/>
                <w:szCs w:val="21"/>
                <w:highlight w:val="none"/>
              </w:rPr>
            </w:pPr>
            <w:r>
              <w:rPr>
                <w:rFonts w:hint="eastAsia" w:hAnsi="宋体"/>
                <w:color w:val="auto"/>
                <w:highlight w:val="none"/>
              </w:rPr>
              <w:t>技术支持资料索引（页码或条目号等）</w:t>
            </w:r>
          </w:p>
        </w:tc>
      </w:tr>
      <w:tr w14:paraId="79B7E29B">
        <w:tblPrEx>
          <w:tblCellMar>
            <w:top w:w="0" w:type="dxa"/>
            <w:left w:w="108" w:type="dxa"/>
            <w:bottom w:w="0" w:type="dxa"/>
            <w:right w:w="108" w:type="dxa"/>
          </w:tblCellMar>
        </w:tblPrEx>
        <w:trPr>
          <w:trHeight w:val="563"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839FC5B">
            <w:pPr>
              <w:spacing w:line="300" w:lineRule="auto"/>
              <w:jc w:val="center"/>
              <w:rPr>
                <w:rFonts w:hint="eastAsia" w:ascii="宋体" w:hAnsi="宋体" w:cs="宋体"/>
                <w:szCs w:val="21"/>
                <w:highlight w:val="none"/>
              </w:rPr>
            </w:pPr>
            <w:r>
              <w:rPr>
                <w:rFonts w:hint="eastAsia" w:ascii="宋体" w:hAnsi="宋体" w:cs="宋体"/>
                <w:szCs w:val="21"/>
                <w:highlight w:val="none"/>
              </w:rPr>
              <w:t>1</w:t>
            </w:r>
          </w:p>
        </w:tc>
        <w:tc>
          <w:tcPr>
            <w:tcW w:w="1541" w:type="dxa"/>
            <w:tcBorders>
              <w:top w:val="single" w:color="000000" w:sz="4" w:space="0"/>
              <w:left w:val="nil"/>
              <w:bottom w:val="single" w:color="000000" w:sz="4" w:space="0"/>
              <w:right w:val="single" w:color="000000" w:sz="4" w:space="0"/>
            </w:tcBorders>
            <w:noWrap w:val="0"/>
            <w:vAlign w:val="center"/>
          </w:tcPr>
          <w:p w14:paraId="0CEACA79">
            <w:pPr>
              <w:jc w:val="center"/>
              <w:rPr>
                <w:rFonts w:ascii="宋体" w:hAnsi="宋体" w:cs="宋体"/>
                <w:szCs w:val="21"/>
                <w:highlight w:val="none"/>
              </w:rPr>
            </w:pP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70B411E7">
            <w:pPr>
              <w:spacing w:line="300" w:lineRule="auto"/>
              <w:jc w:val="center"/>
              <w:rPr>
                <w:rFonts w:hint="eastAsia" w:ascii="宋体" w:hAnsi="宋体" w:cs="宋体"/>
                <w:szCs w:val="21"/>
                <w:highlight w:val="none"/>
              </w:rPr>
            </w:pP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126BAA50">
            <w:pPr>
              <w:spacing w:line="300" w:lineRule="auto"/>
              <w:jc w:val="center"/>
              <w:rPr>
                <w:rFonts w:hint="eastAsia" w:ascii="宋体" w:hAnsi="宋体" w:cs="宋体"/>
                <w:szCs w:val="21"/>
                <w:highlight w:val="none"/>
              </w:rPr>
            </w:pPr>
          </w:p>
        </w:tc>
        <w:tc>
          <w:tcPr>
            <w:tcW w:w="945" w:type="dxa"/>
            <w:tcBorders>
              <w:top w:val="single" w:color="000000" w:sz="4" w:space="0"/>
              <w:left w:val="nil"/>
              <w:bottom w:val="single" w:color="000000" w:sz="4" w:space="0"/>
              <w:right w:val="single" w:color="auto" w:sz="4" w:space="0"/>
            </w:tcBorders>
            <w:noWrap w:val="0"/>
            <w:vAlign w:val="center"/>
          </w:tcPr>
          <w:p w14:paraId="20CC254B">
            <w:pPr>
              <w:spacing w:line="300" w:lineRule="auto"/>
              <w:jc w:val="center"/>
              <w:rPr>
                <w:rFonts w:hint="eastAsia" w:ascii="宋体" w:hAnsi="宋体" w:cs="宋体"/>
                <w:szCs w:val="21"/>
                <w:highlight w:val="none"/>
              </w:rPr>
            </w:pP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18980398">
            <w:pPr>
              <w:spacing w:line="300" w:lineRule="auto"/>
              <w:jc w:val="center"/>
              <w:rPr>
                <w:rFonts w:hint="eastAsia" w:ascii="宋体" w:hAnsi="宋体" w:cs="宋体"/>
                <w:szCs w:val="21"/>
                <w:highlight w:val="none"/>
              </w:rPr>
            </w:pPr>
          </w:p>
        </w:tc>
      </w:tr>
      <w:tr w14:paraId="7662A82E">
        <w:tblPrEx>
          <w:tblCellMar>
            <w:top w:w="0" w:type="dxa"/>
            <w:left w:w="108" w:type="dxa"/>
            <w:bottom w:w="0" w:type="dxa"/>
            <w:right w:w="108" w:type="dxa"/>
          </w:tblCellMar>
        </w:tblPrEx>
        <w:trPr>
          <w:trHeight w:val="563"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E90AF5D">
            <w:pPr>
              <w:spacing w:line="300" w:lineRule="auto"/>
              <w:jc w:val="center"/>
              <w:rPr>
                <w:rFonts w:hint="eastAsia" w:ascii="宋体" w:hAnsi="宋体" w:cs="宋体"/>
                <w:szCs w:val="21"/>
                <w:highlight w:val="none"/>
              </w:rPr>
            </w:pPr>
            <w:r>
              <w:rPr>
                <w:rFonts w:hint="eastAsia" w:ascii="宋体" w:hAnsi="宋体" w:cs="宋体"/>
                <w:szCs w:val="21"/>
                <w:highlight w:val="none"/>
              </w:rPr>
              <w:t>2</w:t>
            </w:r>
          </w:p>
        </w:tc>
        <w:tc>
          <w:tcPr>
            <w:tcW w:w="1541" w:type="dxa"/>
            <w:tcBorders>
              <w:top w:val="single" w:color="000000" w:sz="4" w:space="0"/>
              <w:left w:val="nil"/>
              <w:bottom w:val="single" w:color="000000" w:sz="4" w:space="0"/>
              <w:right w:val="single" w:color="000000" w:sz="4" w:space="0"/>
            </w:tcBorders>
            <w:noWrap w:val="0"/>
            <w:vAlign w:val="center"/>
          </w:tcPr>
          <w:p w14:paraId="13876FD9">
            <w:pPr>
              <w:jc w:val="center"/>
              <w:rPr>
                <w:rFonts w:ascii="宋体" w:hAnsi="宋体" w:cs="宋体"/>
                <w:szCs w:val="21"/>
                <w:highlight w:val="none"/>
              </w:rPr>
            </w:pP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068C7329">
            <w:pPr>
              <w:spacing w:line="300" w:lineRule="auto"/>
              <w:jc w:val="center"/>
              <w:rPr>
                <w:rFonts w:hint="eastAsia" w:ascii="宋体" w:hAnsi="宋体" w:cs="宋体"/>
                <w:szCs w:val="21"/>
                <w:highlight w:val="none"/>
              </w:rPr>
            </w:pP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3EAB8094">
            <w:pPr>
              <w:spacing w:line="300" w:lineRule="auto"/>
              <w:jc w:val="center"/>
              <w:rPr>
                <w:rFonts w:hint="eastAsia" w:ascii="宋体" w:hAnsi="宋体" w:cs="宋体"/>
                <w:szCs w:val="21"/>
                <w:highlight w:val="none"/>
              </w:rPr>
            </w:pPr>
          </w:p>
        </w:tc>
        <w:tc>
          <w:tcPr>
            <w:tcW w:w="945" w:type="dxa"/>
            <w:tcBorders>
              <w:top w:val="single" w:color="000000" w:sz="4" w:space="0"/>
              <w:left w:val="nil"/>
              <w:bottom w:val="single" w:color="000000" w:sz="4" w:space="0"/>
              <w:right w:val="single" w:color="auto" w:sz="4" w:space="0"/>
            </w:tcBorders>
            <w:noWrap w:val="0"/>
            <w:vAlign w:val="center"/>
          </w:tcPr>
          <w:p w14:paraId="2B3D3ADF">
            <w:pPr>
              <w:spacing w:line="300" w:lineRule="auto"/>
              <w:jc w:val="center"/>
              <w:rPr>
                <w:rFonts w:hint="eastAsia" w:ascii="宋体" w:hAnsi="宋体" w:cs="宋体"/>
                <w:szCs w:val="21"/>
                <w:highlight w:val="none"/>
              </w:rPr>
            </w:pP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525BA6DF">
            <w:pPr>
              <w:spacing w:line="300" w:lineRule="auto"/>
              <w:jc w:val="center"/>
              <w:rPr>
                <w:rFonts w:hint="eastAsia" w:ascii="宋体" w:hAnsi="宋体" w:cs="宋体"/>
                <w:szCs w:val="21"/>
                <w:highlight w:val="none"/>
              </w:rPr>
            </w:pPr>
          </w:p>
        </w:tc>
      </w:tr>
      <w:tr w14:paraId="6F49CC12">
        <w:tblPrEx>
          <w:tblCellMar>
            <w:top w:w="0" w:type="dxa"/>
            <w:left w:w="108" w:type="dxa"/>
            <w:bottom w:w="0" w:type="dxa"/>
            <w:right w:w="108" w:type="dxa"/>
          </w:tblCellMar>
        </w:tblPrEx>
        <w:trPr>
          <w:trHeight w:val="563"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58BBD2A">
            <w:pPr>
              <w:spacing w:line="300" w:lineRule="auto"/>
              <w:jc w:val="center"/>
              <w:rPr>
                <w:rFonts w:hint="eastAsia" w:ascii="宋体" w:hAnsi="宋体" w:cs="宋体"/>
                <w:szCs w:val="21"/>
                <w:highlight w:val="none"/>
              </w:rPr>
            </w:pPr>
            <w:r>
              <w:rPr>
                <w:rFonts w:hint="eastAsia" w:ascii="宋体" w:hAnsi="宋体" w:cs="宋体"/>
                <w:szCs w:val="21"/>
                <w:highlight w:val="none"/>
              </w:rPr>
              <w:t>3</w:t>
            </w:r>
          </w:p>
        </w:tc>
        <w:tc>
          <w:tcPr>
            <w:tcW w:w="1541" w:type="dxa"/>
            <w:tcBorders>
              <w:top w:val="single" w:color="000000" w:sz="4" w:space="0"/>
              <w:left w:val="nil"/>
              <w:bottom w:val="single" w:color="000000" w:sz="4" w:space="0"/>
              <w:right w:val="single" w:color="000000" w:sz="4" w:space="0"/>
            </w:tcBorders>
            <w:noWrap w:val="0"/>
            <w:vAlign w:val="center"/>
          </w:tcPr>
          <w:p w14:paraId="7375C0C0">
            <w:pPr>
              <w:jc w:val="center"/>
              <w:rPr>
                <w:rFonts w:ascii="宋体" w:hAnsi="宋体" w:cs="宋体"/>
                <w:szCs w:val="21"/>
                <w:highlight w:val="none"/>
              </w:rPr>
            </w:pP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11C05F79">
            <w:pPr>
              <w:spacing w:line="300" w:lineRule="auto"/>
              <w:jc w:val="center"/>
              <w:rPr>
                <w:rFonts w:hint="eastAsia" w:ascii="宋体" w:hAnsi="宋体" w:cs="宋体"/>
                <w:szCs w:val="21"/>
                <w:highlight w:val="none"/>
              </w:rPr>
            </w:pP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321CE067">
            <w:pPr>
              <w:spacing w:line="300" w:lineRule="auto"/>
              <w:jc w:val="center"/>
              <w:rPr>
                <w:rFonts w:hint="eastAsia" w:ascii="宋体" w:hAnsi="宋体" w:cs="宋体"/>
                <w:szCs w:val="21"/>
                <w:highlight w:val="none"/>
              </w:rPr>
            </w:pPr>
          </w:p>
        </w:tc>
        <w:tc>
          <w:tcPr>
            <w:tcW w:w="945" w:type="dxa"/>
            <w:tcBorders>
              <w:top w:val="single" w:color="000000" w:sz="4" w:space="0"/>
              <w:left w:val="nil"/>
              <w:bottom w:val="single" w:color="000000" w:sz="4" w:space="0"/>
              <w:right w:val="single" w:color="auto" w:sz="4" w:space="0"/>
            </w:tcBorders>
            <w:noWrap w:val="0"/>
            <w:vAlign w:val="center"/>
          </w:tcPr>
          <w:p w14:paraId="7E61A396">
            <w:pPr>
              <w:spacing w:line="300" w:lineRule="auto"/>
              <w:jc w:val="center"/>
              <w:rPr>
                <w:rFonts w:hint="eastAsia" w:ascii="宋体" w:hAnsi="宋体" w:cs="宋体"/>
                <w:szCs w:val="21"/>
                <w:highlight w:val="none"/>
              </w:rPr>
            </w:pP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6910FE84">
            <w:pPr>
              <w:spacing w:line="300" w:lineRule="auto"/>
              <w:jc w:val="center"/>
              <w:rPr>
                <w:rFonts w:hint="eastAsia" w:ascii="宋体" w:hAnsi="宋体" w:cs="宋体"/>
                <w:szCs w:val="21"/>
                <w:highlight w:val="none"/>
              </w:rPr>
            </w:pPr>
          </w:p>
        </w:tc>
      </w:tr>
      <w:tr w14:paraId="08D6E75D">
        <w:tblPrEx>
          <w:tblCellMar>
            <w:top w:w="0" w:type="dxa"/>
            <w:left w:w="108" w:type="dxa"/>
            <w:bottom w:w="0" w:type="dxa"/>
            <w:right w:w="108" w:type="dxa"/>
          </w:tblCellMar>
        </w:tblPrEx>
        <w:trPr>
          <w:trHeight w:val="563"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8417206">
            <w:pPr>
              <w:spacing w:line="300" w:lineRule="auto"/>
              <w:jc w:val="center"/>
              <w:rPr>
                <w:rFonts w:hint="eastAsia" w:ascii="宋体" w:hAnsi="宋体" w:cs="宋体"/>
                <w:szCs w:val="21"/>
                <w:highlight w:val="none"/>
              </w:rPr>
            </w:pPr>
            <w:r>
              <w:rPr>
                <w:rFonts w:hint="eastAsia" w:ascii="宋体" w:hAnsi="宋体" w:cs="宋体"/>
                <w:szCs w:val="21"/>
                <w:highlight w:val="none"/>
              </w:rPr>
              <w:t>4</w:t>
            </w:r>
          </w:p>
        </w:tc>
        <w:tc>
          <w:tcPr>
            <w:tcW w:w="1541" w:type="dxa"/>
            <w:tcBorders>
              <w:top w:val="single" w:color="000000" w:sz="4" w:space="0"/>
              <w:left w:val="nil"/>
              <w:bottom w:val="single" w:color="000000" w:sz="4" w:space="0"/>
              <w:right w:val="single" w:color="000000" w:sz="4" w:space="0"/>
            </w:tcBorders>
            <w:noWrap w:val="0"/>
            <w:vAlign w:val="center"/>
          </w:tcPr>
          <w:p w14:paraId="5D48AACB">
            <w:pPr>
              <w:jc w:val="center"/>
              <w:rPr>
                <w:rFonts w:hint="eastAsia" w:ascii="宋体" w:hAnsi="宋体" w:cs="宋体"/>
                <w:szCs w:val="21"/>
                <w:highlight w:val="none"/>
              </w:rPr>
            </w:pP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5164950D">
            <w:pPr>
              <w:spacing w:line="300" w:lineRule="auto"/>
              <w:jc w:val="center"/>
              <w:rPr>
                <w:rFonts w:hint="eastAsia" w:ascii="宋体" w:hAnsi="宋体" w:cs="宋体"/>
                <w:szCs w:val="21"/>
                <w:highlight w:val="none"/>
              </w:rPr>
            </w:pP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39DD2BC8">
            <w:pPr>
              <w:spacing w:line="300" w:lineRule="auto"/>
              <w:jc w:val="center"/>
              <w:rPr>
                <w:rFonts w:hint="eastAsia" w:ascii="宋体" w:hAnsi="宋体" w:cs="宋体"/>
                <w:szCs w:val="21"/>
                <w:highlight w:val="none"/>
              </w:rPr>
            </w:pPr>
          </w:p>
        </w:tc>
        <w:tc>
          <w:tcPr>
            <w:tcW w:w="945" w:type="dxa"/>
            <w:tcBorders>
              <w:top w:val="single" w:color="000000" w:sz="4" w:space="0"/>
              <w:left w:val="nil"/>
              <w:bottom w:val="single" w:color="000000" w:sz="4" w:space="0"/>
              <w:right w:val="single" w:color="auto" w:sz="4" w:space="0"/>
            </w:tcBorders>
            <w:noWrap w:val="0"/>
            <w:vAlign w:val="center"/>
          </w:tcPr>
          <w:p w14:paraId="79A47CA2">
            <w:pPr>
              <w:spacing w:line="300" w:lineRule="auto"/>
              <w:jc w:val="center"/>
              <w:rPr>
                <w:rFonts w:hint="eastAsia" w:ascii="宋体" w:hAnsi="宋体" w:cs="宋体"/>
                <w:szCs w:val="21"/>
                <w:highlight w:val="none"/>
              </w:rPr>
            </w:pP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674BE4A9">
            <w:pPr>
              <w:spacing w:line="300" w:lineRule="auto"/>
              <w:jc w:val="center"/>
              <w:rPr>
                <w:rFonts w:hint="eastAsia" w:ascii="宋体" w:hAnsi="宋体" w:cs="宋体"/>
                <w:szCs w:val="21"/>
                <w:highlight w:val="none"/>
              </w:rPr>
            </w:pPr>
          </w:p>
        </w:tc>
      </w:tr>
      <w:tr w14:paraId="6C68CE2F">
        <w:tblPrEx>
          <w:tblCellMar>
            <w:top w:w="0" w:type="dxa"/>
            <w:left w:w="108" w:type="dxa"/>
            <w:bottom w:w="0" w:type="dxa"/>
            <w:right w:w="108" w:type="dxa"/>
          </w:tblCellMar>
        </w:tblPrEx>
        <w:trPr>
          <w:trHeight w:val="563"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0314A8B">
            <w:pPr>
              <w:spacing w:line="300" w:lineRule="auto"/>
              <w:jc w:val="center"/>
              <w:rPr>
                <w:rFonts w:hint="eastAsia" w:ascii="宋体" w:hAnsi="宋体" w:cs="宋体"/>
                <w:szCs w:val="21"/>
                <w:highlight w:val="none"/>
              </w:rPr>
            </w:pPr>
            <w:r>
              <w:rPr>
                <w:rFonts w:hint="eastAsia" w:ascii="宋体" w:hAnsi="宋体" w:cs="宋体"/>
                <w:szCs w:val="21"/>
                <w:highlight w:val="none"/>
              </w:rPr>
              <w:t>…</w:t>
            </w:r>
          </w:p>
        </w:tc>
        <w:tc>
          <w:tcPr>
            <w:tcW w:w="1541" w:type="dxa"/>
            <w:tcBorders>
              <w:top w:val="single" w:color="000000" w:sz="4" w:space="0"/>
              <w:left w:val="nil"/>
              <w:bottom w:val="single" w:color="000000" w:sz="4" w:space="0"/>
              <w:right w:val="single" w:color="000000" w:sz="4" w:space="0"/>
            </w:tcBorders>
            <w:noWrap w:val="0"/>
            <w:vAlign w:val="center"/>
          </w:tcPr>
          <w:p w14:paraId="42FF7244">
            <w:pPr>
              <w:jc w:val="center"/>
              <w:rPr>
                <w:rFonts w:hint="eastAsia" w:ascii="宋体" w:hAnsi="宋体" w:cs="宋体"/>
                <w:szCs w:val="21"/>
                <w:highlight w:val="none"/>
              </w:rPr>
            </w:pPr>
          </w:p>
        </w:tc>
        <w:tc>
          <w:tcPr>
            <w:tcW w:w="2086" w:type="dxa"/>
            <w:tcBorders>
              <w:top w:val="single" w:color="000000" w:sz="4" w:space="0"/>
              <w:left w:val="single" w:color="auto" w:sz="4" w:space="0"/>
              <w:bottom w:val="single" w:color="000000" w:sz="4" w:space="0"/>
              <w:right w:val="single" w:color="auto" w:sz="4" w:space="0"/>
            </w:tcBorders>
            <w:noWrap w:val="0"/>
            <w:vAlign w:val="center"/>
          </w:tcPr>
          <w:p w14:paraId="4D513D0D">
            <w:pPr>
              <w:spacing w:line="300" w:lineRule="auto"/>
              <w:jc w:val="center"/>
              <w:rPr>
                <w:rFonts w:hint="eastAsia" w:ascii="宋体" w:hAnsi="宋体" w:cs="宋体"/>
                <w:szCs w:val="21"/>
                <w:highlight w:val="none"/>
              </w:rPr>
            </w:pPr>
          </w:p>
        </w:tc>
        <w:tc>
          <w:tcPr>
            <w:tcW w:w="1935" w:type="dxa"/>
            <w:tcBorders>
              <w:top w:val="single" w:color="000000" w:sz="4" w:space="0"/>
              <w:left w:val="single" w:color="auto" w:sz="4" w:space="0"/>
              <w:bottom w:val="single" w:color="000000" w:sz="4" w:space="0"/>
              <w:right w:val="single" w:color="000000" w:sz="4" w:space="0"/>
            </w:tcBorders>
            <w:noWrap w:val="0"/>
            <w:vAlign w:val="center"/>
          </w:tcPr>
          <w:p w14:paraId="3A43D861">
            <w:pPr>
              <w:spacing w:line="300" w:lineRule="auto"/>
              <w:jc w:val="center"/>
              <w:rPr>
                <w:rFonts w:hint="eastAsia" w:ascii="宋体" w:hAnsi="宋体" w:cs="宋体"/>
                <w:szCs w:val="21"/>
                <w:highlight w:val="none"/>
              </w:rPr>
            </w:pPr>
          </w:p>
        </w:tc>
        <w:tc>
          <w:tcPr>
            <w:tcW w:w="945" w:type="dxa"/>
            <w:tcBorders>
              <w:top w:val="single" w:color="000000" w:sz="4" w:space="0"/>
              <w:left w:val="nil"/>
              <w:bottom w:val="single" w:color="000000" w:sz="4" w:space="0"/>
              <w:right w:val="single" w:color="auto" w:sz="4" w:space="0"/>
            </w:tcBorders>
            <w:noWrap w:val="0"/>
            <w:vAlign w:val="center"/>
          </w:tcPr>
          <w:p w14:paraId="41DD9FFD">
            <w:pPr>
              <w:spacing w:line="300" w:lineRule="auto"/>
              <w:jc w:val="center"/>
              <w:rPr>
                <w:rFonts w:hint="eastAsia" w:ascii="宋体" w:hAnsi="宋体" w:cs="宋体"/>
                <w:szCs w:val="21"/>
                <w:highlight w:val="none"/>
              </w:rPr>
            </w:pPr>
          </w:p>
        </w:tc>
        <w:tc>
          <w:tcPr>
            <w:tcW w:w="2370" w:type="dxa"/>
            <w:tcBorders>
              <w:top w:val="single" w:color="000000" w:sz="4" w:space="0"/>
              <w:left w:val="single" w:color="auto" w:sz="4" w:space="0"/>
              <w:bottom w:val="single" w:color="000000" w:sz="4" w:space="0"/>
              <w:right w:val="single" w:color="000000" w:sz="4" w:space="0"/>
            </w:tcBorders>
            <w:noWrap w:val="0"/>
            <w:vAlign w:val="center"/>
          </w:tcPr>
          <w:p w14:paraId="49189A41">
            <w:pPr>
              <w:spacing w:line="300" w:lineRule="auto"/>
              <w:jc w:val="center"/>
              <w:rPr>
                <w:rFonts w:hint="eastAsia" w:ascii="宋体" w:hAnsi="宋体" w:cs="宋体"/>
                <w:szCs w:val="21"/>
                <w:highlight w:val="none"/>
              </w:rPr>
            </w:pPr>
          </w:p>
        </w:tc>
      </w:tr>
    </w:tbl>
    <w:p w14:paraId="1A436CC0">
      <w:pPr>
        <w:spacing w:line="360" w:lineRule="auto"/>
        <w:rPr>
          <w:rFonts w:hint="eastAsia" w:ascii="宋体" w:hAnsi="宋体" w:cs="宋体"/>
          <w:b/>
          <w:bCs/>
          <w:szCs w:val="21"/>
          <w:highlight w:val="none"/>
        </w:rPr>
      </w:pPr>
    </w:p>
    <w:p w14:paraId="5CF36A17">
      <w:pPr>
        <w:spacing w:line="360" w:lineRule="auto"/>
        <w:rPr>
          <w:rFonts w:hint="eastAsia" w:ascii="宋体" w:hAnsi="宋体" w:cs="宋体"/>
          <w:b/>
          <w:bCs/>
          <w:szCs w:val="21"/>
          <w:highlight w:val="none"/>
        </w:rPr>
      </w:pPr>
      <w:r>
        <w:rPr>
          <w:rFonts w:hint="eastAsia" w:ascii="宋体" w:hAnsi="宋体" w:cs="宋体"/>
          <w:b/>
          <w:bCs/>
          <w:szCs w:val="21"/>
          <w:highlight w:val="none"/>
        </w:rPr>
        <w:t>注：1、序号对应</w:t>
      </w:r>
      <w:r>
        <w:rPr>
          <w:rFonts w:hint="eastAsia" w:ascii="宋体" w:hAnsi="宋体" w:cs="宋体"/>
          <w:b/>
          <w:bCs/>
          <w:szCs w:val="21"/>
          <w:highlight w:val="none"/>
          <w:lang w:val="en-US" w:eastAsia="zh-CN"/>
        </w:rPr>
        <w:t>磋商文件</w:t>
      </w:r>
      <w:r>
        <w:rPr>
          <w:rFonts w:hint="eastAsia" w:ascii="宋体" w:hAnsi="宋体" w:cs="宋体"/>
          <w:b/>
          <w:bCs/>
          <w:szCs w:val="21"/>
          <w:highlight w:val="none"/>
        </w:rPr>
        <w:t>第</w:t>
      </w:r>
      <w:r>
        <w:rPr>
          <w:rFonts w:hint="eastAsia" w:ascii="宋体" w:hAnsi="宋体" w:cs="宋体"/>
          <w:b/>
          <w:bCs/>
          <w:szCs w:val="21"/>
          <w:highlight w:val="none"/>
          <w:lang w:eastAsia="zh-CN"/>
        </w:rPr>
        <w:t>五</w:t>
      </w:r>
      <w:r>
        <w:rPr>
          <w:rFonts w:hint="eastAsia" w:ascii="宋体" w:hAnsi="宋体" w:cs="宋体"/>
          <w:b/>
          <w:bCs/>
          <w:szCs w:val="21"/>
          <w:highlight w:val="none"/>
        </w:rPr>
        <w:t>章 项目需求及技术要求 主要设备技术参数中的序号</w:t>
      </w:r>
      <w:r>
        <w:rPr>
          <w:rFonts w:hint="eastAsia" w:ascii="宋体" w:hAnsi="宋体" w:cs="宋体"/>
          <w:b/>
          <w:bCs/>
          <w:szCs w:val="21"/>
          <w:highlight w:val="none"/>
          <w:lang w:eastAsia="zh-CN"/>
        </w:rPr>
        <w:t>，按所投</w:t>
      </w:r>
      <w:r>
        <w:rPr>
          <w:rFonts w:hint="eastAsia" w:ascii="宋体" w:hAnsi="宋体" w:cs="宋体"/>
          <w:b/>
          <w:bCs/>
          <w:szCs w:val="21"/>
          <w:highlight w:val="none"/>
          <w:lang w:val="en-US" w:eastAsia="zh-CN"/>
        </w:rPr>
        <w:t>项目</w:t>
      </w:r>
      <w:r>
        <w:rPr>
          <w:rFonts w:hint="eastAsia" w:ascii="宋体" w:hAnsi="宋体" w:cs="宋体"/>
          <w:b/>
          <w:bCs/>
          <w:szCs w:val="21"/>
          <w:highlight w:val="none"/>
          <w:lang w:eastAsia="zh-CN"/>
        </w:rPr>
        <w:t>填报</w:t>
      </w:r>
      <w:r>
        <w:rPr>
          <w:rFonts w:hint="eastAsia" w:ascii="宋体" w:hAnsi="宋体" w:cs="宋体"/>
          <w:b/>
          <w:bCs/>
          <w:szCs w:val="21"/>
          <w:highlight w:val="none"/>
        </w:rPr>
        <w:t>。</w:t>
      </w:r>
    </w:p>
    <w:p w14:paraId="15AFE942">
      <w:pPr>
        <w:spacing w:line="360" w:lineRule="auto"/>
        <w:ind w:firstLine="402" w:firstLineChars="200"/>
        <w:rPr>
          <w:rFonts w:hint="eastAsia" w:ascii="宋体" w:hAnsi="宋体" w:cs="宋体"/>
          <w:b/>
          <w:bCs/>
          <w:szCs w:val="21"/>
          <w:highlight w:val="none"/>
        </w:rPr>
      </w:pPr>
      <w:r>
        <w:rPr>
          <w:rFonts w:ascii="宋体" w:hAnsi="宋体" w:cs="宋体"/>
          <w:b/>
          <w:bCs/>
          <w:szCs w:val="21"/>
          <w:highlight w:val="none"/>
        </w:rPr>
        <w:t>2</w:t>
      </w:r>
      <w:r>
        <w:rPr>
          <w:rFonts w:hint="eastAsia" w:ascii="宋体" w:hAnsi="宋体" w:cs="宋体"/>
          <w:b/>
          <w:bCs/>
          <w:szCs w:val="21"/>
          <w:highlight w:val="none"/>
        </w:rPr>
        <w:t>、各供应商必须对</w:t>
      </w:r>
      <w:r>
        <w:rPr>
          <w:rFonts w:hint="eastAsia" w:ascii="宋体" w:hAnsi="宋体" w:cs="宋体"/>
          <w:b/>
          <w:bCs/>
          <w:szCs w:val="21"/>
          <w:highlight w:val="none"/>
          <w:lang w:eastAsia="zh-CN"/>
        </w:rPr>
        <w:t>磋商文件</w:t>
      </w:r>
      <w:r>
        <w:rPr>
          <w:rFonts w:hint="eastAsia" w:ascii="宋体" w:hAnsi="宋体" w:cs="宋体"/>
          <w:b/>
          <w:bCs/>
          <w:szCs w:val="21"/>
          <w:highlight w:val="none"/>
        </w:rPr>
        <w:t>第</w:t>
      </w:r>
      <w:r>
        <w:rPr>
          <w:rFonts w:hint="eastAsia" w:ascii="宋体" w:hAnsi="宋体" w:cs="宋体"/>
          <w:b/>
          <w:bCs/>
          <w:szCs w:val="21"/>
          <w:highlight w:val="none"/>
          <w:lang w:eastAsia="zh-CN"/>
        </w:rPr>
        <w:t>五</w:t>
      </w:r>
      <w:r>
        <w:rPr>
          <w:rFonts w:hint="eastAsia" w:ascii="宋体" w:hAnsi="宋体" w:cs="宋体"/>
          <w:b/>
          <w:bCs/>
          <w:szCs w:val="21"/>
          <w:highlight w:val="none"/>
        </w:rPr>
        <w:t>章 项目需求及技术要求</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中的主要设备技术参数要求作出全面、真实的反映，</w:t>
      </w:r>
      <w:r>
        <w:rPr>
          <w:rFonts w:hint="eastAsia" w:ascii="宋体" w:hAnsi="宋体" w:cs="宋体"/>
          <w:b/>
          <w:bCs/>
          <w:szCs w:val="21"/>
          <w:highlight w:val="none"/>
          <w:lang w:eastAsia="zh-CN"/>
        </w:rPr>
        <w:t>供应商</w:t>
      </w:r>
      <w:r>
        <w:rPr>
          <w:rFonts w:hint="eastAsia" w:ascii="宋体" w:hAnsi="宋体" w:cs="宋体"/>
          <w:b/>
          <w:bCs/>
          <w:szCs w:val="21"/>
          <w:highlight w:val="none"/>
        </w:rPr>
        <w:t>如实填写主要技术参数偏离表</w:t>
      </w:r>
      <w:r>
        <w:rPr>
          <w:rFonts w:hint="eastAsia" w:ascii="宋体" w:hAnsi="宋体" w:cs="宋体"/>
          <w:b/>
          <w:bCs/>
          <w:szCs w:val="21"/>
          <w:highlight w:val="none"/>
          <w:lang w:eastAsia="zh-CN"/>
        </w:rPr>
        <w:t>，除</w:t>
      </w:r>
      <w:r>
        <w:rPr>
          <w:rFonts w:hint="eastAsia" w:ascii="宋体" w:hAnsi="宋体" w:cs="宋体"/>
          <w:b/>
          <w:bCs/>
          <w:szCs w:val="21"/>
          <w:highlight w:val="none"/>
        </w:rPr>
        <w:t>主要设备技术参数</w:t>
      </w:r>
      <w:r>
        <w:rPr>
          <w:rFonts w:hint="eastAsia" w:ascii="宋体" w:hAnsi="宋体" w:cs="宋体"/>
          <w:b/>
          <w:bCs/>
          <w:szCs w:val="21"/>
          <w:highlight w:val="none"/>
          <w:lang w:eastAsia="zh-CN"/>
        </w:rPr>
        <w:t>表中</w:t>
      </w:r>
      <w:r>
        <w:rPr>
          <w:rFonts w:hint="eastAsia" w:ascii="宋体" w:hAnsi="宋体" w:cs="宋体"/>
          <w:b/>
          <w:bCs/>
          <w:szCs w:val="21"/>
          <w:highlight w:val="none"/>
          <w:lang w:val="en-US" w:eastAsia="zh-CN"/>
        </w:rPr>
        <w:t>最后一项外其余产品均需</w:t>
      </w:r>
      <w:r>
        <w:rPr>
          <w:rFonts w:hint="eastAsia" w:ascii="宋体" w:hAnsi="宋体" w:cs="宋体"/>
          <w:b/>
          <w:bCs/>
          <w:szCs w:val="21"/>
          <w:highlight w:val="none"/>
          <w:lang w:eastAsia="zh-CN"/>
        </w:rPr>
        <w:t>提供必要的技术支持资料（包括但不限于技术白皮书、产品相关鉴定资料、试验报告、检验报告、技术彩页、或宣传资料、图纸资料以及系统截图、软件开发服务截图或软件著作权登记证书等）以证明其产品具体配置情况及技术指标响应的真实性。</w:t>
      </w:r>
      <w:r>
        <w:rPr>
          <w:rFonts w:hint="eastAsia" w:ascii="宋体" w:hAnsi="宋体" w:cs="宋体"/>
          <w:b/>
          <w:bCs/>
          <w:szCs w:val="21"/>
          <w:highlight w:val="none"/>
        </w:rPr>
        <w:t>若</w:t>
      </w:r>
      <w:r>
        <w:rPr>
          <w:rFonts w:hint="eastAsia" w:ascii="宋体" w:hAnsi="宋体" w:cs="宋体"/>
          <w:b/>
          <w:bCs/>
          <w:szCs w:val="21"/>
          <w:highlight w:val="none"/>
          <w:lang w:eastAsia="zh-CN"/>
        </w:rPr>
        <w:t>响应文件</w:t>
      </w:r>
      <w:r>
        <w:rPr>
          <w:rFonts w:hint="eastAsia" w:ascii="宋体" w:hAnsi="宋体" w:cs="宋体"/>
          <w:b/>
          <w:bCs/>
          <w:szCs w:val="21"/>
          <w:highlight w:val="none"/>
        </w:rPr>
        <w:t>中最新技术支持资料参数与技术规格偏离表应答不符或</w:t>
      </w:r>
      <w:r>
        <w:rPr>
          <w:rFonts w:hint="eastAsia" w:ascii="宋体" w:hAnsi="宋体" w:cs="宋体"/>
          <w:b/>
          <w:bCs/>
          <w:szCs w:val="21"/>
          <w:highlight w:val="none"/>
          <w:lang w:eastAsia="zh-CN"/>
        </w:rPr>
        <w:t>未提供</w:t>
      </w:r>
      <w:r>
        <w:rPr>
          <w:rFonts w:hint="eastAsia" w:ascii="宋体" w:hAnsi="宋体" w:cs="宋体"/>
          <w:b/>
          <w:bCs/>
          <w:szCs w:val="21"/>
          <w:highlight w:val="none"/>
        </w:rPr>
        <w:t>技术支持资料的，视为不响应该条技术参数要求。</w:t>
      </w:r>
    </w:p>
    <w:p w14:paraId="4743AD48">
      <w:pPr>
        <w:spacing w:line="360" w:lineRule="auto"/>
        <w:ind w:firstLine="402" w:firstLineChars="200"/>
        <w:rPr>
          <w:rFonts w:hint="eastAsia" w:ascii="宋体" w:hAnsi="宋体" w:cs="宋体"/>
          <w:b/>
          <w:bCs/>
          <w:szCs w:val="21"/>
          <w:highlight w:val="none"/>
        </w:rPr>
      </w:pPr>
      <w:r>
        <w:rPr>
          <w:rFonts w:hint="eastAsia" w:ascii="宋体" w:hAnsi="宋体" w:cs="宋体"/>
          <w:b/>
          <w:bCs/>
          <w:szCs w:val="21"/>
          <w:highlight w:val="none"/>
        </w:rPr>
        <w:t>3、本表内容须与</w:t>
      </w:r>
      <w:r>
        <w:rPr>
          <w:rFonts w:hint="eastAsia" w:ascii="宋体" w:hAnsi="宋体" w:cs="宋体"/>
          <w:b/>
          <w:bCs/>
          <w:szCs w:val="21"/>
          <w:highlight w:val="none"/>
          <w:lang w:eastAsia="zh-CN"/>
        </w:rPr>
        <w:t>磋商文件</w:t>
      </w:r>
      <w:r>
        <w:rPr>
          <w:rFonts w:hint="eastAsia" w:ascii="宋体" w:hAnsi="宋体" w:cs="宋体"/>
          <w:b/>
          <w:bCs/>
          <w:szCs w:val="21"/>
          <w:highlight w:val="none"/>
        </w:rPr>
        <w:t>第</w:t>
      </w:r>
      <w:r>
        <w:rPr>
          <w:rFonts w:hint="eastAsia" w:ascii="宋体" w:hAnsi="宋体" w:cs="宋体"/>
          <w:b/>
          <w:bCs/>
          <w:szCs w:val="21"/>
          <w:highlight w:val="none"/>
          <w:lang w:eastAsia="zh-CN"/>
        </w:rPr>
        <w:t>五</w:t>
      </w:r>
      <w:r>
        <w:rPr>
          <w:rFonts w:hint="eastAsia" w:ascii="宋体" w:hAnsi="宋体" w:cs="宋体"/>
          <w:b/>
          <w:bCs/>
          <w:szCs w:val="21"/>
          <w:highlight w:val="none"/>
        </w:rPr>
        <w:t>章  项目需求及技术要求</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主要设备技术参数内容</w:t>
      </w:r>
      <w:r>
        <w:rPr>
          <w:rFonts w:hint="eastAsia" w:ascii="宋体" w:hAnsi="宋体" w:cs="宋体"/>
          <w:b/>
          <w:bCs/>
          <w:szCs w:val="21"/>
          <w:highlight w:val="none"/>
          <w:lang w:val="en-US" w:eastAsia="zh-CN"/>
        </w:rPr>
        <w:t>--</w:t>
      </w:r>
      <w:r>
        <w:rPr>
          <w:rFonts w:hint="eastAsia" w:ascii="宋体" w:hAnsi="宋体" w:cs="宋体"/>
          <w:b/>
          <w:bCs/>
          <w:szCs w:val="21"/>
          <w:highlight w:val="none"/>
        </w:rPr>
        <w:t>对应，</w:t>
      </w:r>
      <w:r>
        <w:rPr>
          <w:rFonts w:hint="eastAsia" w:ascii="宋体" w:hAnsi="宋体" w:cs="宋体"/>
          <w:b/>
          <w:bCs/>
          <w:szCs w:val="21"/>
          <w:highlight w:val="none"/>
          <w:lang w:eastAsia="zh-CN"/>
        </w:rPr>
        <w:t>同时供应商</w:t>
      </w:r>
      <w:r>
        <w:rPr>
          <w:rFonts w:hint="eastAsia" w:ascii="宋体" w:hAnsi="宋体" w:cs="宋体"/>
          <w:b/>
          <w:bCs/>
          <w:szCs w:val="21"/>
          <w:highlight w:val="none"/>
        </w:rPr>
        <w:t>应将支持该项技术要求响应的技术支持资料在</w:t>
      </w:r>
      <w:r>
        <w:rPr>
          <w:rFonts w:hint="eastAsia" w:ascii="宋体" w:hAnsi="宋体" w:cs="宋体"/>
          <w:b/>
          <w:bCs/>
          <w:szCs w:val="21"/>
          <w:highlight w:val="none"/>
          <w:lang w:eastAsia="zh-CN"/>
        </w:rPr>
        <w:t>响应文件</w:t>
      </w:r>
      <w:r>
        <w:rPr>
          <w:rFonts w:hint="eastAsia" w:ascii="宋体" w:hAnsi="宋体" w:cs="宋体"/>
          <w:b/>
          <w:bCs/>
          <w:szCs w:val="21"/>
          <w:highlight w:val="none"/>
        </w:rPr>
        <w:t>中的索引（页码或条目号等）标注在“技术支持资料索引”一栏中</w:t>
      </w:r>
      <w:r>
        <w:rPr>
          <w:rFonts w:hint="eastAsia" w:ascii="宋体" w:hAnsi="宋体" w:cs="宋体"/>
          <w:b/>
          <w:bCs/>
          <w:szCs w:val="21"/>
          <w:highlight w:val="none"/>
          <w:lang w:eastAsia="zh-CN"/>
        </w:rPr>
        <w:t>，</w:t>
      </w:r>
      <w:r>
        <w:rPr>
          <w:rFonts w:hint="eastAsia" w:ascii="宋体" w:hAnsi="宋体" w:cs="宋体"/>
          <w:b/>
          <w:bCs/>
          <w:szCs w:val="21"/>
          <w:highlight w:val="none"/>
        </w:rPr>
        <w:t>以便于评审，否则造成的一切后果将由供应商自行承担。</w:t>
      </w:r>
    </w:p>
    <w:p w14:paraId="61FCE6B6">
      <w:pPr>
        <w:widowControl w:val="0"/>
        <w:spacing w:before="120" w:beforeLines="50" w:line="360" w:lineRule="auto"/>
        <w:jc w:val="center"/>
        <w:rPr>
          <w:rFonts w:hint="eastAsia" w:ascii="宋体" w:hAnsi="宋体" w:eastAsia="宋体" w:cs="宋体"/>
          <w:b/>
          <w:bCs w:val="0"/>
          <w:color w:val="auto"/>
          <w:sz w:val="30"/>
          <w:szCs w:val="30"/>
          <w:highlight w:val="none"/>
          <w:lang w:val="en-US" w:eastAsia="zh-CN"/>
        </w:rPr>
        <w:sectPr>
          <w:pgSz w:w="11906" w:h="16838"/>
          <w:pgMar w:top="1440" w:right="1440" w:bottom="1440" w:left="1440" w:header="851" w:footer="992" w:gutter="0"/>
          <w:pgNumType w:fmt="decimal"/>
          <w:cols w:space="720" w:num="1"/>
          <w:docGrid w:type="lines" w:linePitch="312" w:charSpace="0"/>
        </w:sectPr>
      </w:pPr>
      <w:r>
        <w:rPr>
          <w:rFonts w:hint="eastAsia" w:ascii="宋体" w:hAnsi="宋体" w:cs="宋体"/>
          <w:b/>
          <w:bCs/>
          <w:szCs w:val="21"/>
          <w:highlight w:val="none"/>
        </w:rPr>
        <w:t>4、表格中“偏离”一列，由供应商如实填写“正偏离”、“负偏离”或“无偏离”。凡投标内容高于</w:t>
      </w:r>
      <w:r>
        <w:rPr>
          <w:rFonts w:hint="eastAsia" w:ascii="宋体" w:hAnsi="宋体" w:cs="宋体"/>
          <w:b/>
          <w:bCs/>
          <w:szCs w:val="21"/>
          <w:highlight w:val="none"/>
          <w:lang w:eastAsia="zh-CN"/>
        </w:rPr>
        <w:t>磋商文件</w:t>
      </w:r>
      <w:r>
        <w:rPr>
          <w:rFonts w:hint="eastAsia" w:ascii="宋体" w:hAnsi="宋体" w:cs="宋体"/>
          <w:b/>
          <w:bCs/>
          <w:szCs w:val="21"/>
          <w:highlight w:val="none"/>
        </w:rPr>
        <w:t>要求的，按“正偏离”填写；低于</w:t>
      </w:r>
      <w:r>
        <w:rPr>
          <w:rFonts w:hint="eastAsia" w:ascii="宋体" w:hAnsi="宋体" w:cs="宋体"/>
          <w:b/>
          <w:bCs/>
          <w:szCs w:val="21"/>
          <w:highlight w:val="none"/>
          <w:lang w:eastAsia="zh-CN"/>
        </w:rPr>
        <w:t>磋商文件</w:t>
      </w:r>
      <w:r>
        <w:rPr>
          <w:rFonts w:hint="eastAsia" w:ascii="宋体" w:hAnsi="宋体" w:cs="宋体"/>
          <w:b/>
          <w:bCs/>
          <w:szCs w:val="21"/>
          <w:highlight w:val="none"/>
        </w:rPr>
        <w:t>要求的，按“负偏离”填写；满足</w:t>
      </w:r>
      <w:r>
        <w:rPr>
          <w:rFonts w:hint="eastAsia" w:ascii="宋体" w:hAnsi="宋体" w:cs="宋体"/>
          <w:b/>
          <w:bCs/>
          <w:szCs w:val="21"/>
          <w:highlight w:val="none"/>
          <w:lang w:eastAsia="zh-CN"/>
        </w:rPr>
        <w:t>磋商文件</w:t>
      </w:r>
      <w:r>
        <w:rPr>
          <w:rFonts w:hint="eastAsia" w:ascii="宋体" w:hAnsi="宋体" w:cs="宋体"/>
          <w:b/>
          <w:bCs/>
          <w:szCs w:val="21"/>
          <w:highlight w:val="none"/>
        </w:rPr>
        <w:t>要求的，按“无偏离”填写。其中“正偏离”和“负偏离”需标明具体偏离的技术指标。</w:t>
      </w:r>
    </w:p>
    <w:p w14:paraId="68F1646C">
      <w:pPr>
        <w:rPr>
          <w:rFonts w:hint="default"/>
          <w:color w:val="auto"/>
          <w:highlight w:val="none"/>
          <w:lang w:val="en-US" w:eastAsia="zh-CN"/>
        </w:rPr>
      </w:pPr>
    </w:p>
    <w:p w14:paraId="69B06FA6">
      <w:pPr>
        <w:pStyle w:val="3"/>
        <w:numPr>
          <w:ilvl w:val="0"/>
          <w:numId w:val="0"/>
        </w:numPr>
        <w:spacing w:line="360" w:lineRule="auto"/>
        <w:ind w:left="0" w:leftChars="0" w:firstLine="420" w:firstLineChars="0"/>
        <w:jc w:val="center"/>
        <w:rPr>
          <w:rFonts w:hint="default" w:ascii="宋体" w:hAnsi="宋体" w:eastAsia="宋体" w:cs="宋体"/>
          <w:b/>
          <w:bCs w:val="0"/>
          <w:color w:val="auto"/>
          <w:sz w:val="30"/>
          <w:szCs w:val="30"/>
          <w:highlight w:val="none"/>
          <w:lang w:val="en-US" w:eastAsia="zh-CN"/>
        </w:rPr>
      </w:pPr>
      <w:r>
        <w:rPr>
          <w:rFonts w:hint="eastAsia" w:ascii="宋体" w:hAnsi="宋体" w:cs="宋体"/>
          <w:b/>
          <w:color w:val="auto"/>
          <w:sz w:val="28"/>
          <w:szCs w:val="28"/>
          <w:highlight w:val="none"/>
          <w:lang w:val="en-US" w:eastAsia="zh-CN" w:bidi="ar-SA"/>
        </w:rPr>
        <w:t>（八）</w:t>
      </w:r>
      <w:r>
        <w:rPr>
          <w:rFonts w:hint="eastAsia" w:ascii="宋体" w:hAnsi="宋体" w:eastAsia="宋体" w:cs="宋体"/>
          <w:b/>
          <w:bCs w:val="0"/>
          <w:color w:val="auto"/>
          <w:sz w:val="30"/>
          <w:szCs w:val="30"/>
          <w:highlight w:val="none"/>
          <w:lang w:val="en-US" w:eastAsia="zh-CN"/>
        </w:rPr>
        <w:t>供应商认为需提交的其他资料</w:t>
      </w:r>
    </w:p>
    <w:p w14:paraId="2F532E27">
      <w:pPr>
        <w:jc w:val="center"/>
        <w:rPr>
          <w:rFonts w:hint="default"/>
          <w:color w:val="auto"/>
          <w:highlight w:val="none"/>
          <w:lang w:val="en-US" w:eastAsia="zh-CN"/>
        </w:rPr>
      </w:pPr>
      <w:r>
        <w:rPr>
          <w:rFonts w:hint="eastAsia" w:ascii="宋体" w:hAnsi="宋体"/>
          <w:b w:val="0"/>
          <w:bCs w:val="0"/>
          <w:color w:val="auto"/>
          <w:sz w:val="24"/>
          <w:szCs w:val="24"/>
          <w:highlight w:val="none"/>
          <w:lang w:val="en-US" w:eastAsia="zh-CN"/>
        </w:rPr>
        <w:t>格式自拟。</w:t>
      </w:r>
    </w:p>
    <w:sectPr>
      <w:pgSz w:w="11906" w:h="16838"/>
      <w:pgMar w:top="1440" w:right="1440" w:bottom="1440" w:left="144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_x000B__x000C_">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全真中明體">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宋一简体">
    <w:altName w:val="宋体"/>
    <w:panose1 w:val="03000509000000000000"/>
    <w:charset w:val="86"/>
    <w:family w:val="script"/>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Narrow">
    <w:altName w:val="Arial"/>
    <w:panose1 w:val="020B0606020202030204"/>
    <w:charset w:val="00"/>
    <w:family w:val="swiss"/>
    <w:pitch w:val="default"/>
    <w:sig w:usb0="00000000" w:usb1="00000000" w:usb2="00000000" w:usb3="00000000" w:csb0="2000009F" w:csb1="DFD70000"/>
  </w:font>
  <w:font w:name="仓耳舒圆体 W03">
    <w:panose1 w:val="02020400000000000000"/>
    <w:charset w:val="80"/>
    <w:family w:val="auto"/>
    <w:pitch w:val="default"/>
    <w:sig w:usb0="80000023" w:usb1="08C10458" w:usb2="00000012" w:usb3="00000000" w:csb0="00020001"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522BD">
    <w:pPr>
      <w:pStyle w:val="36"/>
      <w:jc w:val="both"/>
    </w:pPr>
  </w:p>
  <w:p w14:paraId="2086ECB0">
    <w:pPr>
      <w:pStyle w:val="36"/>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FC0F9">
    <w:pPr>
      <w:pStyle w:val="36"/>
    </w:pPr>
    <w:r>
      <w:rPr>
        <w:rFonts w:hint="eastAsia" w:eastAsia="宋体"/>
        <w:lang w:eastAsia="zh-CN"/>
      </w:rPr>
      <w:drawing>
        <wp:anchor distT="0" distB="0" distL="114300" distR="114300" simplePos="0" relativeHeight="251662336" behindDoc="0" locked="0" layoutInCell="1" allowOverlap="1">
          <wp:simplePos x="0" y="0"/>
          <wp:positionH relativeFrom="column">
            <wp:posOffset>3426460</wp:posOffset>
          </wp:positionH>
          <wp:positionV relativeFrom="paragraph">
            <wp:posOffset>-118745</wp:posOffset>
          </wp:positionV>
          <wp:extent cx="2471420" cy="210820"/>
          <wp:effectExtent l="0" t="0" r="0" b="5080"/>
          <wp:wrapNone/>
          <wp:docPr id="6" name="图片 6"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页眉"/>
                  <pic:cNvPicPr>
                    <a:picLocks noChangeAspect="1"/>
                  </pic:cNvPicPr>
                </pic:nvPicPr>
                <pic:blipFill>
                  <a:blip r:embed="rId1"/>
                  <a:stretch>
                    <a:fillRect/>
                  </a:stretch>
                </pic:blipFill>
                <pic:spPr>
                  <a:xfrm>
                    <a:off x="0" y="0"/>
                    <a:ext cx="2471420" cy="210820"/>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7D2F0">
    <w:pPr>
      <w:pStyle w:val="36"/>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BFEE7">
                          <w:pPr>
                            <w:pStyle w:val="3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26BFEE7">
                    <w:pPr>
                      <w:pStyle w:val="36"/>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eastAsia="宋体"/>
        <w:lang w:eastAsia="zh-CN"/>
      </w:rPr>
      <w:drawing>
        <wp:anchor distT="0" distB="0" distL="114300" distR="114300" simplePos="0" relativeHeight="251667456" behindDoc="0" locked="0" layoutInCell="1" allowOverlap="1">
          <wp:simplePos x="0" y="0"/>
          <wp:positionH relativeFrom="column">
            <wp:posOffset>3426460</wp:posOffset>
          </wp:positionH>
          <wp:positionV relativeFrom="paragraph">
            <wp:posOffset>-118745</wp:posOffset>
          </wp:positionV>
          <wp:extent cx="2471420" cy="210820"/>
          <wp:effectExtent l="0" t="0" r="0" b="5080"/>
          <wp:wrapNone/>
          <wp:docPr id="16" name="图片 16"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页眉"/>
                  <pic:cNvPicPr>
                    <a:picLocks noChangeAspect="1"/>
                  </pic:cNvPicPr>
                </pic:nvPicPr>
                <pic:blipFill>
                  <a:blip r:embed="rId1"/>
                  <a:stretch>
                    <a:fillRect/>
                  </a:stretch>
                </pic:blipFill>
                <pic:spPr>
                  <a:xfrm>
                    <a:off x="0" y="0"/>
                    <a:ext cx="2471420" cy="210820"/>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2E235">
    <w:pPr>
      <w:pStyle w:val="22"/>
      <w:spacing w:line="14" w:lineRule="auto"/>
      <w:rPr>
        <w:sz w:val="12"/>
      </w:rPr>
    </w:pPr>
    <w:r>
      <w:rPr>
        <w:rFonts w:hint="eastAsia" w:eastAsia="宋体"/>
        <w:lang w:eastAsia="zh-CN"/>
      </w:rPr>
      <w:drawing>
        <wp:anchor distT="0" distB="0" distL="114300" distR="114300" simplePos="0" relativeHeight="251664384" behindDoc="0" locked="0" layoutInCell="1" allowOverlap="1">
          <wp:simplePos x="0" y="0"/>
          <wp:positionH relativeFrom="column">
            <wp:posOffset>3245485</wp:posOffset>
          </wp:positionH>
          <wp:positionV relativeFrom="paragraph">
            <wp:posOffset>-163195</wp:posOffset>
          </wp:positionV>
          <wp:extent cx="2590800" cy="220980"/>
          <wp:effectExtent l="0" t="0" r="0" b="6985"/>
          <wp:wrapNone/>
          <wp:docPr id="4" name="图片 4"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页眉"/>
                  <pic:cNvPicPr>
                    <a:picLocks noChangeAspect="1"/>
                  </pic:cNvPicPr>
                </pic:nvPicPr>
                <pic:blipFill>
                  <a:blip r:embed="rId1"/>
                  <a:stretch>
                    <a:fillRect/>
                  </a:stretch>
                </pic:blipFill>
                <pic:spPr>
                  <a:xfrm>
                    <a:off x="0" y="0"/>
                    <a:ext cx="2590800" cy="220980"/>
                  </a:xfrm>
                  <a:prstGeom prst="rect">
                    <a:avLst/>
                  </a:prstGeom>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7005" cy="1524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14:paraId="59FB618D">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2pt;width:13.15pt;mso-position-horizontal:center;mso-position-horizontal-relative:margin;z-index:251662336;mso-width-relative:page;mso-height-relative:page;" filled="f" stroked="f" coordsize="21600,21600" o:gfxdata="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zVBzs0wAAAAMBAAAPAAAAAAAAAAEAIAAAACIAAABkcnMvZG93bnJldi54bWxQ&#10;SwECFAAUAAAACACHTuJAkG0ix8MBAAB/AwAADgAAAAAAAAABACAAAAAiAQAAZHJzL2Uyb0RvYy54&#10;bWxQSwUGAAAAAAYABgBZAQAAVwUAAAAA&#10;">
              <v:fill on="f" focussize="0,0"/>
              <v:stroke on="f"/>
              <v:imagedata o:title=""/>
              <o:lock v:ext="edit" aspectratio="f"/>
              <v:textbox inset="0mm,0mm,0mm,0mm">
                <w:txbxContent>
                  <w:p w14:paraId="59FB618D">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62C7A">
    <w:pPr>
      <w:pStyle w:val="22"/>
      <w:spacing w:line="14" w:lineRule="auto"/>
      <w:rPr>
        <w:sz w:val="12"/>
      </w:rPr>
    </w:pPr>
    <w:r>
      <w:rPr>
        <w:rFonts w:hint="eastAsia" w:eastAsia="宋体"/>
        <w:lang w:eastAsia="zh-CN"/>
      </w:rPr>
      <w:drawing>
        <wp:anchor distT="0" distB="0" distL="114300" distR="114300" simplePos="0" relativeHeight="251661312" behindDoc="0" locked="0" layoutInCell="1" allowOverlap="1">
          <wp:simplePos x="0" y="0"/>
          <wp:positionH relativeFrom="column">
            <wp:posOffset>3245485</wp:posOffset>
          </wp:positionH>
          <wp:positionV relativeFrom="paragraph">
            <wp:posOffset>-163195</wp:posOffset>
          </wp:positionV>
          <wp:extent cx="2590800" cy="220980"/>
          <wp:effectExtent l="0" t="0" r="0" b="6985"/>
          <wp:wrapNone/>
          <wp:docPr id="7" name="图片 7"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页眉"/>
                  <pic:cNvPicPr>
                    <a:picLocks noChangeAspect="1"/>
                  </pic:cNvPicPr>
                </pic:nvPicPr>
                <pic:blipFill>
                  <a:blip r:embed="rId1"/>
                  <a:stretch>
                    <a:fillRect/>
                  </a:stretch>
                </pic:blipFill>
                <pic:spPr>
                  <a:xfrm>
                    <a:off x="0" y="0"/>
                    <a:ext cx="2590800" cy="22098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005" cy="1524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14:paraId="45B0726B">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2pt;width:13.15pt;mso-position-horizontal:center;mso-position-horizontal-relative:margin;z-index:251659264;mso-width-relative:page;mso-height-relative:page;" filled="f" stroked="f" coordsize="21600,21600" o:gfxdata="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zVBzs0wAAAAMBAAAPAAAAAAAAAAEAIAAAACIAAABkcnMvZG93bnJldi54bWxQ&#10;SwECFAAUAAAACACHTuJA9K4In8MBAAB/AwAADgAAAAAAAAABACAAAAAiAQAAZHJzL2Uyb0RvYy54&#10;bWxQSwUGAAAAAAYABgBZAQAAVwUAAAAA&#10;">
              <v:fill on="f" focussize="0,0"/>
              <v:stroke on="f"/>
              <v:imagedata o:title=""/>
              <o:lock v:ext="edit" aspectratio="f"/>
              <v:textbox inset="0mm,0mm,0mm,0mm">
                <w:txbxContent>
                  <w:p w14:paraId="45B0726B">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65E8">
    <w:pPr>
      <w:pStyle w:val="22"/>
      <w:spacing w:line="14" w:lineRule="auto"/>
      <w:rPr>
        <w:sz w:val="12"/>
      </w:rPr>
    </w:pPr>
    <w:r>
      <w:rPr>
        <w:rFonts w:hint="eastAsia" w:eastAsia="宋体"/>
        <w:lang w:eastAsia="zh-CN"/>
      </w:rPr>
      <w:drawing>
        <wp:anchor distT="0" distB="0" distL="114300" distR="114300" simplePos="0" relativeHeight="251670528" behindDoc="0" locked="0" layoutInCell="1" allowOverlap="1">
          <wp:simplePos x="0" y="0"/>
          <wp:positionH relativeFrom="column">
            <wp:posOffset>6133465</wp:posOffset>
          </wp:positionH>
          <wp:positionV relativeFrom="paragraph">
            <wp:posOffset>-131445</wp:posOffset>
          </wp:positionV>
          <wp:extent cx="2590800" cy="220980"/>
          <wp:effectExtent l="0" t="0" r="0" b="7620"/>
          <wp:wrapNone/>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2590800" cy="220980"/>
                  </a:xfrm>
                  <a:prstGeom prst="rect">
                    <a:avLst/>
                  </a:prstGeom>
                </pic:spPr>
              </pic:pic>
            </a:graphicData>
          </a:graphic>
        </wp:anchor>
      </w:drawing>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67005" cy="1524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14:paraId="407C3714">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2pt;width:13.15pt;mso-position-horizontal:center;mso-position-horizontal-relative:margin;z-index:251669504;mso-width-relative:page;mso-height-relative:page;" filled="f" stroked="f" coordsize="21600,21600" o:gfxdata="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zVBzs0wAAAAMBAAAPAAAAAAAAAAEAIAAAACIAAABkcnMvZG93bnJldi54bWxQ&#10;SwECFAAUAAAACACHTuJAf1F6UMMBAACAAwAADgAAAAAAAAABACAAAAAiAQAAZHJzL2Uyb0RvYy54&#10;bWxQSwUGAAAAAAYABgBZAQAAVwUAAAAA&#10;">
              <v:fill on="f" focussize="0,0"/>
              <v:stroke on="f"/>
              <v:imagedata o:title=""/>
              <o:lock v:ext="edit" aspectratio="f"/>
              <v:textbox inset="0mm,0mm,0mm,0mm">
                <w:txbxContent>
                  <w:p w14:paraId="407C3714">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56EF7">
    <w:pPr>
      <w:pStyle w:val="22"/>
      <w:spacing w:line="14" w:lineRule="auto"/>
      <w:rPr>
        <w:sz w:val="12"/>
      </w:rPr>
    </w:pPr>
    <w:r>
      <w:rPr>
        <w:rFonts w:hint="eastAsia" w:eastAsia="宋体"/>
        <w:lang w:eastAsia="zh-CN"/>
      </w:rPr>
      <w:drawing>
        <wp:anchor distT="0" distB="0" distL="114300" distR="114300" simplePos="0" relativeHeight="251664384" behindDoc="0" locked="0" layoutInCell="1" allowOverlap="1">
          <wp:simplePos x="0" y="0"/>
          <wp:positionH relativeFrom="column">
            <wp:posOffset>3096895</wp:posOffset>
          </wp:positionH>
          <wp:positionV relativeFrom="paragraph">
            <wp:posOffset>-132715</wp:posOffset>
          </wp:positionV>
          <wp:extent cx="2590800" cy="220980"/>
          <wp:effectExtent l="0" t="0" r="0" b="7620"/>
          <wp:wrapNone/>
          <wp:docPr id="8" name="图片 8"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页眉"/>
                  <pic:cNvPicPr>
                    <a:picLocks noChangeAspect="1"/>
                  </pic:cNvPicPr>
                </pic:nvPicPr>
                <pic:blipFill>
                  <a:blip r:embed="rId1"/>
                  <a:stretch>
                    <a:fillRect/>
                  </a:stretch>
                </pic:blipFill>
                <pic:spPr>
                  <a:xfrm>
                    <a:off x="0" y="0"/>
                    <a:ext cx="2590800" cy="220980"/>
                  </a:xfrm>
                  <a:prstGeom prst="rect">
                    <a:avLst/>
                  </a:prstGeom>
                </pic:spPr>
              </pic:pic>
            </a:graphicData>
          </a:graphic>
        </wp:anchor>
      </w:drawing>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7005" cy="152400"/>
              <wp:effectExtent l="0" t="0" r="0" b="0"/>
              <wp:wrapNone/>
              <wp:docPr id="9"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14:paraId="436FD905">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2pt;width:13.15pt;mso-position-horizontal:center;mso-position-horizontal-relative:margin;z-index:251663360;mso-width-relative:page;mso-height-relative:page;" filled="f" stroked="f" coordsize="21600,21600" o:gfxdata="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NUHOzTAAAAAwEAAA8AAAAAAAAAAQAgAAAAIgAAAGRycy9kb3ducmV2Lnht&#10;bFBLAQIUABQAAAAIAIdO4kA8KF0vxQEAAH8DAAAOAAAAAAAAAAEAIAAAACIBAABkcnMvZTJvRG9j&#10;LnhtbFBLBQYAAAAABgAGAFkBAABZBQAAAAA=&#10;">
              <v:fill on="f" focussize="0,0"/>
              <v:stroke on="f"/>
              <v:imagedata o:title=""/>
              <o:lock v:ext="edit" aspectratio="f"/>
              <v:textbox inset="0mm,0mm,0mm,0mm">
                <w:txbxContent>
                  <w:p w14:paraId="436FD905">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BACA">
    <w:pPr>
      <w:pStyle w:val="22"/>
      <w:spacing w:line="14" w:lineRule="auto"/>
      <w:rPr>
        <w:sz w:val="12"/>
      </w:rPr>
    </w:pPr>
    <w:r>
      <w:rPr>
        <w:rFonts w:hint="eastAsia" w:eastAsia="宋体"/>
        <w:lang w:eastAsia="zh-CN"/>
      </w:rPr>
      <w:drawing>
        <wp:anchor distT="0" distB="0" distL="114300" distR="114300" simplePos="0" relativeHeight="251666432" behindDoc="0" locked="0" layoutInCell="1" allowOverlap="1">
          <wp:simplePos x="0" y="0"/>
          <wp:positionH relativeFrom="column">
            <wp:posOffset>3096895</wp:posOffset>
          </wp:positionH>
          <wp:positionV relativeFrom="paragraph">
            <wp:posOffset>-132715</wp:posOffset>
          </wp:positionV>
          <wp:extent cx="2590800" cy="220980"/>
          <wp:effectExtent l="0" t="0" r="0" b="7620"/>
          <wp:wrapNone/>
          <wp:docPr id="14" name="图片 14"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页眉"/>
                  <pic:cNvPicPr>
                    <a:picLocks noChangeAspect="1"/>
                  </pic:cNvPicPr>
                </pic:nvPicPr>
                <pic:blipFill>
                  <a:blip r:embed="rId1"/>
                  <a:stretch>
                    <a:fillRect/>
                  </a:stretch>
                </pic:blipFill>
                <pic:spPr>
                  <a:xfrm>
                    <a:off x="0" y="0"/>
                    <a:ext cx="2590800" cy="220980"/>
                  </a:xfrm>
                  <a:prstGeom prst="rect">
                    <a:avLst/>
                  </a:prstGeom>
                </pic:spPr>
              </pic:pic>
            </a:graphicData>
          </a:graphic>
        </wp:anchor>
      </w:drawing>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7005" cy="152400"/>
              <wp:effectExtent l="0" t="0" r="0" b="0"/>
              <wp:wrapNone/>
              <wp:docPr id="15"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14:paraId="6E4F23B3">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2pt;width:13.15pt;mso-position-horizontal:center;mso-position-horizontal-relative:margin;z-index:251665408;mso-width-relative:page;mso-height-relative:page;" filled="f" stroked="f" coordsize="21600,21600" o:gfxdata="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zVBzs0wAAAAMBAAAPAAAAAAAAAAEAIAAAACIAAABkcnMvZG93bnJldi54bWxQ&#10;SwECFAAUAAAACACHTuJAwiJaHsMBAACAAwAADgAAAAAAAAABACAAAAAiAQAAZHJzL2Uyb0RvYy54&#10;bWxQSwUGAAAAAAYABgBZAQAAVwUAAAAA&#10;">
              <v:fill on="f" focussize="0,0"/>
              <v:stroke on="f"/>
              <v:imagedata o:title=""/>
              <o:lock v:ext="edit" aspectratio="f"/>
              <v:textbox inset="0mm,0mm,0mm,0mm">
                <w:txbxContent>
                  <w:p w14:paraId="6E4F23B3">
                    <w:pPr>
                      <w:spacing w:before="12"/>
                      <w:ind w:left="40"/>
                      <w:rPr>
                        <w:sz w:val="18"/>
                      </w:rPr>
                    </w:pPr>
                    <w:r>
                      <w:fldChar w:fldCharType="begin"/>
                    </w:r>
                    <w:r>
                      <w:rPr>
                        <w:sz w:val="18"/>
                      </w:rPr>
                      <w:instrText xml:space="preserve"> PAGE </w:instrText>
                    </w:r>
                    <w:r>
                      <w:fldChar w:fldCharType="separate"/>
                    </w:r>
                    <w:r>
                      <w:rPr>
                        <w:sz w:val="18"/>
                      </w:rPr>
                      <w:t>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F33C3">
    <w:pPr>
      <w:pStyle w:val="37"/>
      <w:pBdr>
        <w:bottom w:val="none" w:color="auto" w:sz="0" w:space="1"/>
      </w:pBdr>
      <w:jc w:val="both"/>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5985C">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6B99B">
    <w:pPr>
      <w:pStyle w:val="3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5DC53">
    <w:pPr>
      <w:pStyle w:val="3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5F01F">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E2061">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4E38">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8F08D">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AAD01">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38971">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A523F">
    <w:pPr>
      <w:pStyle w:val="37"/>
      <w:pBdr>
        <w:bottom w:val="single" w:color="auto" w:sz="4" w:space="1"/>
      </w:pBdr>
      <w:tabs>
        <w:tab w:val="left" w:pos="404"/>
      </w:tabs>
      <w:jc w:val="left"/>
      <w:rPr>
        <w:rFonts w:hint="eastAsia" w:eastAsia="宋体"/>
        <w:lang w:eastAsia="zh-CN"/>
      </w:rPr>
    </w:pPr>
    <w:r>
      <w:rPr>
        <w:rFonts w:hint="eastAsia"/>
        <w:lang w:val="en-US" w:eastAsia="zh-CN"/>
      </w:rPr>
      <w:t>昭阳区2025年小型水库大坝安全监测设施建设项目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1C6A0"/>
    <w:multiLevelType w:val="singleLevel"/>
    <w:tmpl w:val="91C1C6A0"/>
    <w:lvl w:ilvl="0" w:tentative="0">
      <w:start w:val="2"/>
      <w:numFmt w:val="decimal"/>
      <w:suff w:val="nothing"/>
      <w:lvlText w:val="%1、"/>
      <w:lvlJc w:val="left"/>
    </w:lvl>
  </w:abstractNum>
  <w:abstractNum w:abstractNumId="1">
    <w:nsid w:val="A73B3F8F"/>
    <w:multiLevelType w:val="singleLevel"/>
    <w:tmpl w:val="A73B3F8F"/>
    <w:lvl w:ilvl="0" w:tentative="0">
      <w:start w:val="1"/>
      <w:numFmt w:val="decimal"/>
      <w:suff w:val="space"/>
      <w:lvlText w:val="%1."/>
      <w:lvlJc w:val="left"/>
    </w:lvl>
  </w:abstractNum>
  <w:abstractNum w:abstractNumId="2">
    <w:nsid w:val="B5725674"/>
    <w:multiLevelType w:val="singleLevel"/>
    <w:tmpl w:val="B5725674"/>
    <w:lvl w:ilvl="0" w:tentative="0">
      <w:start w:val="5"/>
      <w:numFmt w:val="chineseCounting"/>
      <w:suff w:val="nothing"/>
      <w:lvlText w:val="（%1）"/>
      <w:lvlJc w:val="left"/>
      <w:rPr>
        <w:rFonts w:hint="eastAsia"/>
      </w:rPr>
    </w:lvl>
  </w:abstractNum>
  <w:abstractNum w:abstractNumId="3">
    <w:nsid w:val="BCD12609"/>
    <w:multiLevelType w:val="singleLevel"/>
    <w:tmpl w:val="BCD12609"/>
    <w:lvl w:ilvl="0" w:tentative="0">
      <w:start w:val="5"/>
      <w:numFmt w:val="chineseCounting"/>
      <w:suff w:val="nothing"/>
      <w:lvlText w:val="（%1）"/>
      <w:lvlJc w:val="left"/>
      <w:rPr>
        <w:rFonts w:hint="eastAsia"/>
      </w:rPr>
    </w:lvl>
  </w:abstractNum>
  <w:abstractNum w:abstractNumId="4">
    <w:nsid w:val="C69F45D1"/>
    <w:multiLevelType w:val="singleLevel"/>
    <w:tmpl w:val="C69F45D1"/>
    <w:lvl w:ilvl="0" w:tentative="0">
      <w:start w:val="5"/>
      <w:numFmt w:val="chineseCounting"/>
      <w:suff w:val="nothing"/>
      <w:lvlText w:val="（%1）"/>
      <w:lvlJc w:val="left"/>
      <w:rPr>
        <w:rFonts w:hint="eastAsia"/>
      </w:rPr>
    </w:lvl>
  </w:abstractNum>
  <w:abstractNum w:abstractNumId="5">
    <w:nsid w:val="D5188C74"/>
    <w:multiLevelType w:val="singleLevel"/>
    <w:tmpl w:val="D5188C74"/>
    <w:lvl w:ilvl="0" w:tentative="0">
      <w:start w:val="1"/>
      <w:numFmt w:val="chineseCounting"/>
      <w:suff w:val="nothing"/>
      <w:lvlText w:val="（%1）"/>
      <w:lvlJc w:val="left"/>
      <w:pPr>
        <w:ind w:left="0" w:firstLine="420"/>
      </w:pPr>
      <w:rPr>
        <w:rFonts w:hint="eastAsia"/>
      </w:rPr>
    </w:lvl>
  </w:abstractNum>
  <w:abstractNum w:abstractNumId="6">
    <w:nsid w:val="0000000F"/>
    <w:multiLevelType w:val="multilevel"/>
    <w:tmpl w:val="0000000F"/>
    <w:lvl w:ilvl="0" w:tentative="0">
      <w:start w:val="1"/>
      <w:numFmt w:val="none"/>
      <w:pStyle w:val="16"/>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1295185C"/>
    <w:multiLevelType w:val="singleLevel"/>
    <w:tmpl w:val="1295185C"/>
    <w:lvl w:ilvl="0" w:tentative="0">
      <w:start w:val="1"/>
      <w:numFmt w:val="decimal"/>
      <w:pStyle w:val="13"/>
      <w:lvlText w:val="%1."/>
      <w:lvlJc w:val="left"/>
      <w:pPr>
        <w:tabs>
          <w:tab w:val="left" w:pos="360"/>
        </w:tabs>
        <w:ind w:left="360" w:hanging="360"/>
      </w:pPr>
    </w:lvl>
  </w:abstractNum>
  <w:abstractNum w:abstractNumId="8">
    <w:nsid w:val="3F5721A9"/>
    <w:multiLevelType w:val="multilevel"/>
    <w:tmpl w:val="3F5721A9"/>
    <w:lvl w:ilvl="0" w:tentative="0">
      <w:start w:val="1"/>
      <w:numFmt w:val="decimal"/>
      <w:pStyle w:val="197"/>
      <w:suff w:val="space"/>
      <w:lvlText w:val="%1."/>
      <w:lvlJc w:val="left"/>
      <w:pPr>
        <w:ind w:left="1134" w:hanging="1134"/>
      </w:pPr>
      <w:rPr>
        <w:rFonts w:hint="eastAsia" w:ascii="宋体" w:eastAsia="宋体"/>
        <w:b w:val="0"/>
        <w:i w:val="0"/>
        <w:sz w:val="24"/>
      </w:rPr>
    </w:lvl>
    <w:lvl w:ilvl="1" w:tentative="0">
      <w:start w:val="1"/>
      <w:numFmt w:val="decimal"/>
      <w:pStyle w:val="343"/>
      <w:suff w:val="nothing"/>
      <w:lvlText w:val="(%2)"/>
      <w:lvlJc w:val="left"/>
      <w:pPr>
        <w:ind w:left="284" w:hanging="284"/>
      </w:pPr>
      <w:rPr>
        <w:rFonts w:hint="eastAsia" w:ascii="宋体" w:eastAsia="宋体"/>
        <w:b w:val="0"/>
        <w:i w:val="0"/>
        <w:sz w:val="24"/>
      </w:rPr>
    </w:lvl>
    <w:lvl w:ilvl="2" w:tentative="0">
      <w:start w:val="1"/>
      <w:numFmt w:val="decimal"/>
      <w:pStyle w:val="375"/>
      <w:lvlText w:val="%2.%3"/>
      <w:lvlJc w:val="left"/>
      <w:pPr>
        <w:tabs>
          <w:tab w:val="left" w:pos="1418"/>
        </w:tabs>
        <w:ind w:left="1418" w:hanging="851"/>
      </w:pPr>
      <w:rPr>
        <w:rFonts w:hint="eastAsia" w:ascii="宋体" w:eastAsia="宋体"/>
        <w:b w:val="0"/>
        <w:i w:val="0"/>
        <w:sz w:val="24"/>
      </w:rPr>
    </w:lvl>
    <w:lvl w:ilvl="3" w:tentative="0">
      <w:start w:val="1"/>
      <w:numFmt w:val="decimal"/>
      <w:suff w:val="space"/>
      <w:lvlText w:val="%2.%3.%4"/>
      <w:lvlJc w:val="left"/>
      <w:pPr>
        <w:ind w:left="1418" w:hanging="851"/>
      </w:pPr>
      <w:rPr>
        <w:rFonts w:hint="eastAsia"/>
      </w:rPr>
    </w:lvl>
    <w:lvl w:ilvl="4" w:tentative="0">
      <w:start w:val="1"/>
      <w:numFmt w:val="decimal"/>
      <w:lvlText w:val="%5)"/>
      <w:lvlJc w:val="left"/>
      <w:pPr>
        <w:tabs>
          <w:tab w:val="left" w:pos="1834"/>
        </w:tabs>
        <w:ind w:left="1531" w:hanging="57"/>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4FAE160B"/>
    <w:multiLevelType w:val="multilevel"/>
    <w:tmpl w:val="4FAE160B"/>
    <w:lvl w:ilvl="0" w:tentative="0">
      <w:start w:val="1"/>
      <w:numFmt w:val="bullet"/>
      <w:pStyle w:val="340"/>
      <w:lvlText w:val=""/>
      <w:lvlJc w:val="left"/>
      <w:pPr>
        <w:ind w:left="691" w:hanging="420"/>
      </w:pPr>
      <w:rPr>
        <w:rFonts w:hint="default" w:ascii="Wingdings" w:hAnsi="Wingdings"/>
      </w:rPr>
    </w:lvl>
    <w:lvl w:ilvl="1" w:tentative="0">
      <w:start w:val="1"/>
      <w:numFmt w:val="bullet"/>
      <w:lvlText w:val=""/>
      <w:lvlJc w:val="left"/>
      <w:pPr>
        <w:ind w:left="1111" w:hanging="420"/>
      </w:pPr>
      <w:rPr>
        <w:rFonts w:hint="default" w:ascii="Wingdings" w:hAnsi="Wingdings"/>
      </w:rPr>
    </w:lvl>
    <w:lvl w:ilvl="2" w:tentative="0">
      <w:start w:val="1"/>
      <w:numFmt w:val="bullet"/>
      <w:pStyle w:val="448"/>
      <w:lvlText w:val=""/>
      <w:lvlJc w:val="left"/>
      <w:pPr>
        <w:ind w:left="1531" w:hanging="420"/>
      </w:pPr>
      <w:rPr>
        <w:rFonts w:hint="default" w:ascii="Wingdings" w:hAnsi="Wingdings"/>
      </w:rPr>
    </w:lvl>
    <w:lvl w:ilvl="3" w:tentative="0">
      <w:start w:val="1"/>
      <w:numFmt w:val="bullet"/>
      <w:lvlText w:val=""/>
      <w:lvlJc w:val="left"/>
      <w:pPr>
        <w:ind w:left="1951" w:hanging="420"/>
      </w:pPr>
      <w:rPr>
        <w:rFonts w:hint="default" w:ascii="Wingdings" w:hAnsi="Wingdings"/>
      </w:rPr>
    </w:lvl>
    <w:lvl w:ilvl="4" w:tentative="0">
      <w:start w:val="1"/>
      <w:numFmt w:val="bullet"/>
      <w:lvlText w:val=""/>
      <w:lvlJc w:val="left"/>
      <w:pPr>
        <w:ind w:left="2371" w:hanging="420"/>
      </w:pPr>
      <w:rPr>
        <w:rFonts w:hint="default" w:ascii="Wingdings" w:hAnsi="Wingdings"/>
      </w:rPr>
    </w:lvl>
    <w:lvl w:ilvl="5" w:tentative="0">
      <w:start w:val="1"/>
      <w:numFmt w:val="bullet"/>
      <w:lvlText w:val=""/>
      <w:lvlJc w:val="left"/>
      <w:pPr>
        <w:ind w:left="2791" w:hanging="420"/>
      </w:pPr>
      <w:rPr>
        <w:rFonts w:hint="default" w:ascii="Wingdings" w:hAnsi="Wingdings"/>
      </w:rPr>
    </w:lvl>
    <w:lvl w:ilvl="6" w:tentative="0">
      <w:start w:val="1"/>
      <w:numFmt w:val="bullet"/>
      <w:lvlText w:val=""/>
      <w:lvlJc w:val="left"/>
      <w:pPr>
        <w:ind w:left="3211" w:hanging="420"/>
      </w:pPr>
      <w:rPr>
        <w:rFonts w:hint="default" w:ascii="Wingdings" w:hAnsi="Wingdings"/>
      </w:rPr>
    </w:lvl>
    <w:lvl w:ilvl="7" w:tentative="0">
      <w:start w:val="1"/>
      <w:numFmt w:val="bullet"/>
      <w:lvlText w:val=""/>
      <w:lvlJc w:val="left"/>
      <w:pPr>
        <w:ind w:left="3631" w:hanging="420"/>
      </w:pPr>
      <w:rPr>
        <w:rFonts w:hint="default" w:ascii="Wingdings" w:hAnsi="Wingdings"/>
      </w:rPr>
    </w:lvl>
    <w:lvl w:ilvl="8" w:tentative="0">
      <w:start w:val="1"/>
      <w:numFmt w:val="bullet"/>
      <w:lvlText w:val=""/>
      <w:lvlJc w:val="left"/>
      <w:pPr>
        <w:ind w:left="4051" w:hanging="420"/>
      </w:pPr>
      <w:rPr>
        <w:rFonts w:hint="default" w:ascii="Wingdings" w:hAnsi="Wingdings"/>
      </w:rPr>
    </w:lvl>
  </w:abstractNum>
  <w:abstractNum w:abstractNumId="10">
    <w:nsid w:val="5C1B331D"/>
    <w:multiLevelType w:val="multilevel"/>
    <w:tmpl w:val="5C1B331D"/>
    <w:lvl w:ilvl="0" w:tentative="0">
      <w:start w:val="7"/>
      <w:numFmt w:val="decimal"/>
      <w:pStyle w:val="423"/>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pStyle w:val="243"/>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5F7F52D8"/>
    <w:multiLevelType w:val="multilevel"/>
    <w:tmpl w:val="5F7F52D8"/>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7"/>
      <w:lvlText w:val="%6."/>
      <w:lvlJc w:val="right"/>
      <w:pPr>
        <w:tabs>
          <w:tab w:val="left" w:pos="3052"/>
        </w:tabs>
        <w:ind w:left="3052" w:hanging="420"/>
      </w:pPr>
    </w:lvl>
    <w:lvl w:ilvl="6" w:tentative="0">
      <w:start w:val="1"/>
      <w:numFmt w:val="decimal"/>
      <w:pStyle w:val="8"/>
      <w:lvlText w:val="%7."/>
      <w:lvlJc w:val="left"/>
      <w:pPr>
        <w:tabs>
          <w:tab w:val="left" w:pos="3472"/>
        </w:tabs>
        <w:ind w:left="3472" w:hanging="420"/>
      </w:pPr>
    </w:lvl>
    <w:lvl w:ilvl="7" w:tentative="0">
      <w:start w:val="1"/>
      <w:numFmt w:val="lowerLetter"/>
      <w:pStyle w:val="9"/>
      <w:lvlText w:val="%8)"/>
      <w:lvlJc w:val="left"/>
      <w:pPr>
        <w:tabs>
          <w:tab w:val="left" w:pos="3892"/>
        </w:tabs>
        <w:ind w:left="3892" w:hanging="420"/>
      </w:pPr>
    </w:lvl>
    <w:lvl w:ilvl="8" w:tentative="0">
      <w:start w:val="1"/>
      <w:numFmt w:val="lowerRoman"/>
      <w:pStyle w:val="10"/>
      <w:lvlText w:val="%9."/>
      <w:lvlJc w:val="right"/>
      <w:pPr>
        <w:tabs>
          <w:tab w:val="left" w:pos="4312"/>
        </w:tabs>
        <w:ind w:left="4312" w:hanging="420"/>
      </w:pPr>
    </w:lvl>
  </w:abstractNum>
  <w:abstractNum w:abstractNumId="12">
    <w:nsid w:val="6D4AB349"/>
    <w:multiLevelType w:val="singleLevel"/>
    <w:tmpl w:val="6D4AB349"/>
    <w:lvl w:ilvl="0" w:tentative="0">
      <w:start w:val="3"/>
      <w:numFmt w:val="chineseCounting"/>
      <w:suff w:val="nothing"/>
      <w:lvlText w:val="（%1）"/>
      <w:lvlJc w:val="left"/>
      <w:rPr>
        <w:rFonts w:hint="eastAsia"/>
      </w:rPr>
    </w:lvl>
  </w:abstractNum>
  <w:num w:numId="1">
    <w:abstractNumId w:val="11"/>
  </w:num>
  <w:num w:numId="2">
    <w:abstractNumId w:val="7"/>
  </w:num>
  <w:num w:numId="3">
    <w:abstractNumId w:val="6"/>
  </w:num>
  <w:num w:numId="4">
    <w:abstractNumId w:val="8"/>
  </w:num>
  <w:num w:numId="5">
    <w:abstractNumId w:val="10"/>
  </w:num>
  <w:num w:numId="6">
    <w:abstractNumId w:val="9"/>
  </w:num>
  <w:num w:numId="7">
    <w:abstractNumId w:val="12"/>
  </w:num>
  <w:num w:numId="8">
    <w:abstractNumId w:val="4"/>
  </w:num>
  <w:num w:numId="9">
    <w:abstractNumId w:val="3"/>
  </w:num>
  <w:num w:numId="10">
    <w:abstractNumId w:val="1"/>
  </w:num>
  <w:num w:numId="11">
    <w:abstractNumId w:val="0"/>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105"/>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ZiZmNmZDc2NjgyMmJkMmNjZWNhMTcwNDZlMjBhNzUifQ=="/>
  </w:docVars>
  <w:rsids>
    <w:rsidRoot w:val="00C04868"/>
    <w:rsid w:val="0000015C"/>
    <w:rsid w:val="000003B8"/>
    <w:rsid w:val="00000BD2"/>
    <w:rsid w:val="00001879"/>
    <w:rsid w:val="000018ED"/>
    <w:rsid w:val="000031B9"/>
    <w:rsid w:val="00003DCD"/>
    <w:rsid w:val="00004F32"/>
    <w:rsid w:val="000108E3"/>
    <w:rsid w:val="00010D07"/>
    <w:rsid w:val="00012208"/>
    <w:rsid w:val="00013651"/>
    <w:rsid w:val="0001428F"/>
    <w:rsid w:val="00014B4C"/>
    <w:rsid w:val="000201D7"/>
    <w:rsid w:val="00022E64"/>
    <w:rsid w:val="00024BE1"/>
    <w:rsid w:val="00025122"/>
    <w:rsid w:val="000269D1"/>
    <w:rsid w:val="0002758E"/>
    <w:rsid w:val="00027BE8"/>
    <w:rsid w:val="00027C10"/>
    <w:rsid w:val="00030256"/>
    <w:rsid w:val="00032A06"/>
    <w:rsid w:val="00032DAA"/>
    <w:rsid w:val="000343A5"/>
    <w:rsid w:val="00035052"/>
    <w:rsid w:val="00035200"/>
    <w:rsid w:val="00036A5D"/>
    <w:rsid w:val="00037194"/>
    <w:rsid w:val="000371E7"/>
    <w:rsid w:val="00037232"/>
    <w:rsid w:val="000416DA"/>
    <w:rsid w:val="000422F5"/>
    <w:rsid w:val="00042620"/>
    <w:rsid w:val="00042BE0"/>
    <w:rsid w:val="00042EEA"/>
    <w:rsid w:val="000439CC"/>
    <w:rsid w:val="00046A87"/>
    <w:rsid w:val="0004740C"/>
    <w:rsid w:val="00050444"/>
    <w:rsid w:val="000535D7"/>
    <w:rsid w:val="0005391A"/>
    <w:rsid w:val="00053970"/>
    <w:rsid w:val="00060EA2"/>
    <w:rsid w:val="000622D3"/>
    <w:rsid w:val="00064A00"/>
    <w:rsid w:val="0006614A"/>
    <w:rsid w:val="00067338"/>
    <w:rsid w:val="00070869"/>
    <w:rsid w:val="0007087C"/>
    <w:rsid w:val="000714AB"/>
    <w:rsid w:val="00072A0B"/>
    <w:rsid w:val="000739CF"/>
    <w:rsid w:val="0007414F"/>
    <w:rsid w:val="00074BDD"/>
    <w:rsid w:val="0007539E"/>
    <w:rsid w:val="0007569A"/>
    <w:rsid w:val="00076E9B"/>
    <w:rsid w:val="0008098C"/>
    <w:rsid w:val="00080DD6"/>
    <w:rsid w:val="000810A4"/>
    <w:rsid w:val="00081632"/>
    <w:rsid w:val="00085AD7"/>
    <w:rsid w:val="000869F5"/>
    <w:rsid w:val="00087998"/>
    <w:rsid w:val="000905E6"/>
    <w:rsid w:val="0009189C"/>
    <w:rsid w:val="00091AE8"/>
    <w:rsid w:val="00095DB9"/>
    <w:rsid w:val="0009761D"/>
    <w:rsid w:val="00097C0D"/>
    <w:rsid w:val="000A0256"/>
    <w:rsid w:val="000A067B"/>
    <w:rsid w:val="000A0CEA"/>
    <w:rsid w:val="000A161B"/>
    <w:rsid w:val="000A581A"/>
    <w:rsid w:val="000A750A"/>
    <w:rsid w:val="000B0A51"/>
    <w:rsid w:val="000C04D2"/>
    <w:rsid w:val="000C0746"/>
    <w:rsid w:val="000C2934"/>
    <w:rsid w:val="000C416F"/>
    <w:rsid w:val="000C4B11"/>
    <w:rsid w:val="000D2CC7"/>
    <w:rsid w:val="000D639F"/>
    <w:rsid w:val="000D64C8"/>
    <w:rsid w:val="000E0148"/>
    <w:rsid w:val="000E03DF"/>
    <w:rsid w:val="000F1005"/>
    <w:rsid w:val="000F118D"/>
    <w:rsid w:val="000F189C"/>
    <w:rsid w:val="000F25D4"/>
    <w:rsid w:val="000F3D92"/>
    <w:rsid w:val="000F57F3"/>
    <w:rsid w:val="000F667D"/>
    <w:rsid w:val="00102DC6"/>
    <w:rsid w:val="00103752"/>
    <w:rsid w:val="001037EA"/>
    <w:rsid w:val="00103A17"/>
    <w:rsid w:val="001045A6"/>
    <w:rsid w:val="001066BC"/>
    <w:rsid w:val="0010708C"/>
    <w:rsid w:val="001074B1"/>
    <w:rsid w:val="00110543"/>
    <w:rsid w:val="00110C76"/>
    <w:rsid w:val="0011493E"/>
    <w:rsid w:val="00114ACE"/>
    <w:rsid w:val="00115051"/>
    <w:rsid w:val="001161F4"/>
    <w:rsid w:val="00117599"/>
    <w:rsid w:val="001210F8"/>
    <w:rsid w:val="00121A41"/>
    <w:rsid w:val="00122F5D"/>
    <w:rsid w:val="00123370"/>
    <w:rsid w:val="001240D8"/>
    <w:rsid w:val="001277E1"/>
    <w:rsid w:val="00131A82"/>
    <w:rsid w:val="00133B6D"/>
    <w:rsid w:val="00135C31"/>
    <w:rsid w:val="0013644E"/>
    <w:rsid w:val="00141A77"/>
    <w:rsid w:val="001424B0"/>
    <w:rsid w:val="001426B6"/>
    <w:rsid w:val="00143C65"/>
    <w:rsid w:val="001479F6"/>
    <w:rsid w:val="00152E46"/>
    <w:rsid w:val="0015357B"/>
    <w:rsid w:val="00153B6B"/>
    <w:rsid w:val="00154799"/>
    <w:rsid w:val="00154B7D"/>
    <w:rsid w:val="00155AB3"/>
    <w:rsid w:val="00155C9D"/>
    <w:rsid w:val="00157F06"/>
    <w:rsid w:val="00160F45"/>
    <w:rsid w:val="00163419"/>
    <w:rsid w:val="00163E01"/>
    <w:rsid w:val="0016447C"/>
    <w:rsid w:val="001652AF"/>
    <w:rsid w:val="0016642D"/>
    <w:rsid w:val="00167441"/>
    <w:rsid w:val="001679D9"/>
    <w:rsid w:val="00177D74"/>
    <w:rsid w:val="00177EB1"/>
    <w:rsid w:val="00180869"/>
    <w:rsid w:val="00182CF7"/>
    <w:rsid w:val="00183D01"/>
    <w:rsid w:val="00191A97"/>
    <w:rsid w:val="00192591"/>
    <w:rsid w:val="00192F57"/>
    <w:rsid w:val="00193DF0"/>
    <w:rsid w:val="00197137"/>
    <w:rsid w:val="0019743D"/>
    <w:rsid w:val="001A1791"/>
    <w:rsid w:val="001A19A1"/>
    <w:rsid w:val="001A600E"/>
    <w:rsid w:val="001A607F"/>
    <w:rsid w:val="001B0E11"/>
    <w:rsid w:val="001B2E48"/>
    <w:rsid w:val="001B71D6"/>
    <w:rsid w:val="001C0DF4"/>
    <w:rsid w:val="001C1BFE"/>
    <w:rsid w:val="001C3490"/>
    <w:rsid w:val="001C4F03"/>
    <w:rsid w:val="001C61C1"/>
    <w:rsid w:val="001D2681"/>
    <w:rsid w:val="001D4A95"/>
    <w:rsid w:val="001D6129"/>
    <w:rsid w:val="001D7264"/>
    <w:rsid w:val="001D75BD"/>
    <w:rsid w:val="001D7A6D"/>
    <w:rsid w:val="001D7E29"/>
    <w:rsid w:val="001E0733"/>
    <w:rsid w:val="001E24E1"/>
    <w:rsid w:val="001E2666"/>
    <w:rsid w:val="001E2889"/>
    <w:rsid w:val="001E3FD4"/>
    <w:rsid w:val="001E6CA9"/>
    <w:rsid w:val="001E7FA3"/>
    <w:rsid w:val="001F0AE5"/>
    <w:rsid w:val="001F1404"/>
    <w:rsid w:val="001F1F8E"/>
    <w:rsid w:val="001F1FDB"/>
    <w:rsid w:val="001F2973"/>
    <w:rsid w:val="001F528D"/>
    <w:rsid w:val="001F58F3"/>
    <w:rsid w:val="001F5B60"/>
    <w:rsid w:val="001F5DD8"/>
    <w:rsid w:val="001F7925"/>
    <w:rsid w:val="00200940"/>
    <w:rsid w:val="00202DEC"/>
    <w:rsid w:val="00204AAD"/>
    <w:rsid w:val="00205006"/>
    <w:rsid w:val="002068DA"/>
    <w:rsid w:val="00210B6C"/>
    <w:rsid w:val="0021153F"/>
    <w:rsid w:val="00212B50"/>
    <w:rsid w:val="002154B3"/>
    <w:rsid w:val="0021570D"/>
    <w:rsid w:val="00215BCF"/>
    <w:rsid w:val="00220CA0"/>
    <w:rsid w:val="002229DB"/>
    <w:rsid w:val="00224E85"/>
    <w:rsid w:val="00225468"/>
    <w:rsid w:val="00226284"/>
    <w:rsid w:val="0022786E"/>
    <w:rsid w:val="00227A67"/>
    <w:rsid w:val="00227E51"/>
    <w:rsid w:val="00230C3A"/>
    <w:rsid w:val="00231D14"/>
    <w:rsid w:val="0023227A"/>
    <w:rsid w:val="002323D3"/>
    <w:rsid w:val="002377B1"/>
    <w:rsid w:val="00237B4A"/>
    <w:rsid w:val="00237F5D"/>
    <w:rsid w:val="00240F20"/>
    <w:rsid w:val="002427C3"/>
    <w:rsid w:val="002440DC"/>
    <w:rsid w:val="00244892"/>
    <w:rsid w:val="00244BF7"/>
    <w:rsid w:val="002466DE"/>
    <w:rsid w:val="002504C9"/>
    <w:rsid w:val="00250523"/>
    <w:rsid w:val="002515D5"/>
    <w:rsid w:val="002532F2"/>
    <w:rsid w:val="00255791"/>
    <w:rsid w:val="00255A1E"/>
    <w:rsid w:val="0025645F"/>
    <w:rsid w:val="00264F4F"/>
    <w:rsid w:val="0026638B"/>
    <w:rsid w:val="00272521"/>
    <w:rsid w:val="0027351F"/>
    <w:rsid w:val="00273A22"/>
    <w:rsid w:val="00276945"/>
    <w:rsid w:val="00277C2B"/>
    <w:rsid w:val="00280DE6"/>
    <w:rsid w:val="0028374F"/>
    <w:rsid w:val="00283A8E"/>
    <w:rsid w:val="00285BC2"/>
    <w:rsid w:val="00286C9F"/>
    <w:rsid w:val="002874D9"/>
    <w:rsid w:val="002910E8"/>
    <w:rsid w:val="00291314"/>
    <w:rsid w:val="00293245"/>
    <w:rsid w:val="002A1877"/>
    <w:rsid w:val="002A2FEB"/>
    <w:rsid w:val="002A3A1A"/>
    <w:rsid w:val="002A6085"/>
    <w:rsid w:val="002A6BC7"/>
    <w:rsid w:val="002A7B32"/>
    <w:rsid w:val="002B0C6C"/>
    <w:rsid w:val="002B30B3"/>
    <w:rsid w:val="002B494F"/>
    <w:rsid w:val="002B4FF8"/>
    <w:rsid w:val="002B5EA5"/>
    <w:rsid w:val="002B65C8"/>
    <w:rsid w:val="002C01DB"/>
    <w:rsid w:val="002C0B2C"/>
    <w:rsid w:val="002C1B8C"/>
    <w:rsid w:val="002C34F9"/>
    <w:rsid w:val="002C3BD7"/>
    <w:rsid w:val="002C4318"/>
    <w:rsid w:val="002D05FE"/>
    <w:rsid w:val="002D0C28"/>
    <w:rsid w:val="002D2579"/>
    <w:rsid w:val="002D257B"/>
    <w:rsid w:val="002D2F65"/>
    <w:rsid w:val="002D5B9A"/>
    <w:rsid w:val="002D68F2"/>
    <w:rsid w:val="002D70C5"/>
    <w:rsid w:val="002D7CA7"/>
    <w:rsid w:val="002E1109"/>
    <w:rsid w:val="002E1624"/>
    <w:rsid w:val="002E3095"/>
    <w:rsid w:val="002E6900"/>
    <w:rsid w:val="002F1047"/>
    <w:rsid w:val="002F32CE"/>
    <w:rsid w:val="002F38C4"/>
    <w:rsid w:val="002F4164"/>
    <w:rsid w:val="002F6530"/>
    <w:rsid w:val="002F701F"/>
    <w:rsid w:val="002F7145"/>
    <w:rsid w:val="002F7B7D"/>
    <w:rsid w:val="003012E5"/>
    <w:rsid w:val="00305283"/>
    <w:rsid w:val="0030619B"/>
    <w:rsid w:val="00306E9C"/>
    <w:rsid w:val="00310104"/>
    <w:rsid w:val="0031148E"/>
    <w:rsid w:val="0031259B"/>
    <w:rsid w:val="00313D0C"/>
    <w:rsid w:val="00316344"/>
    <w:rsid w:val="0032090E"/>
    <w:rsid w:val="00320D65"/>
    <w:rsid w:val="00321177"/>
    <w:rsid w:val="003232AA"/>
    <w:rsid w:val="003248EA"/>
    <w:rsid w:val="00325C4A"/>
    <w:rsid w:val="00327F36"/>
    <w:rsid w:val="0033103A"/>
    <w:rsid w:val="00340C10"/>
    <w:rsid w:val="00341228"/>
    <w:rsid w:val="00345212"/>
    <w:rsid w:val="003455A9"/>
    <w:rsid w:val="00345EF3"/>
    <w:rsid w:val="00346BDF"/>
    <w:rsid w:val="003471F6"/>
    <w:rsid w:val="003476BB"/>
    <w:rsid w:val="003525DA"/>
    <w:rsid w:val="00353555"/>
    <w:rsid w:val="00354E0A"/>
    <w:rsid w:val="00356370"/>
    <w:rsid w:val="00357003"/>
    <w:rsid w:val="0036141E"/>
    <w:rsid w:val="00364410"/>
    <w:rsid w:val="00365BED"/>
    <w:rsid w:val="0036634B"/>
    <w:rsid w:val="00367753"/>
    <w:rsid w:val="00367910"/>
    <w:rsid w:val="00367BA3"/>
    <w:rsid w:val="00370B32"/>
    <w:rsid w:val="0037105F"/>
    <w:rsid w:val="00377674"/>
    <w:rsid w:val="003776B7"/>
    <w:rsid w:val="00382CEB"/>
    <w:rsid w:val="00384547"/>
    <w:rsid w:val="00385035"/>
    <w:rsid w:val="003866C2"/>
    <w:rsid w:val="00387167"/>
    <w:rsid w:val="00392C7F"/>
    <w:rsid w:val="00393B74"/>
    <w:rsid w:val="0039689C"/>
    <w:rsid w:val="00396F11"/>
    <w:rsid w:val="00396F35"/>
    <w:rsid w:val="003A01C5"/>
    <w:rsid w:val="003A04F1"/>
    <w:rsid w:val="003A0D66"/>
    <w:rsid w:val="003A1F2E"/>
    <w:rsid w:val="003A1F68"/>
    <w:rsid w:val="003A2978"/>
    <w:rsid w:val="003A5977"/>
    <w:rsid w:val="003A60D6"/>
    <w:rsid w:val="003B36AB"/>
    <w:rsid w:val="003B5C47"/>
    <w:rsid w:val="003B69F4"/>
    <w:rsid w:val="003B7532"/>
    <w:rsid w:val="003C0CAB"/>
    <w:rsid w:val="003C14C3"/>
    <w:rsid w:val="003C1534"/>
    <w:rsid w:val="003C1C00"/>
    <w:rsid w:val="003C26A0"/>
    <w:rsid w:val="003C3980"/>
    <w:rsid w:val="003C4475"/>
    <w:rsid w:val="003C5A22"/>
    <w:rsid w:val="003C68C0"/>
    <w:rsid w:val="003C7944"/>
    <w:rsid w:val="003C7B83"/>
    <w:rsid w:val="003D0776"/>
    <w:rsid w:val="003D1744"/>
    <w:rsid w:val="003D2F4D"/>
    <w:rsid w:val="003D4E99"/>
    <w:rsid w:val="003D695D"/>
    <w:rsid w:val="003D6A89"/>
    <w:rsid w:val="003E0B1C"/>
    <w:rsid w:val="003E0D43"/>
    <w:rsid w:val="003E0F0B"/>
    <w:rsid w:val="003E106F"/>
    <w:rsid w:val="003E20AD"/>
    <w:rsid w:val="003E286B"/>
    <w:rsid w:val="003E3251"/>
    <w:rsid w:val="003E6AEE"/>
    <w:rsid w:val="003F0181"/>
    <w:rsid w:val="003F3A15"/>
    <w:rsid w:val="003F3AB6"/>
    <w:rsid w:val="003F3C1A"/>
    <w:rsid w:val="003F49A8"/>
    <w:rsid w:val="003F7592"/>
    <w:rsid w:val="003F7DE3"/>
    <w:rsid w:val="004004B2"/>
    <w:rsid w:val="00400838"/>
    <w:rsid w:val="00401CA5"/>
    <w:rsid w:val="004078F6"/>
    <w:rsid w:val="0041386A"/>
    <w:rsid w:val="004139BD"/>
    <w:rsid w:val="00414CEA"/>
    <w:rsid w:val="004153A1"/>
    <w:rsid w:val="00416FAE"/>
    <w:rsid w:val="004210CC"/>
    <w:rsid w:val="0042177D"/>
    <w:rsid w:val="00422F94"/>
    <w:rsid w:val="00423B0E"/>
    <w:rsid w:val="004253D8"/>
    <w:rsid w:val="004277EF"/>
    <w:rsid w:val="0043021D"/>
    <w:rsid w:val="00431628"/>
    <w:rsid w:val="00432246"/>
    <w:rsid w:val="00433F2A"/>
    <w:rsid w:val="00434DFC"/>
    <w:rsid w:val="00441614"/>
    <w:rsid w:val="00441629"/>
    <w:rsid w:val="004416DF"/>
    <w:rsid w:val="00444E4B"/>
    <w:rsid w:val="004474B7"/>
    <w:rsid w:val="004478CC"/>
    <w:rsid w:val="0045023F"/>
    <w:rsid w:val="00450DB1"/>
    <w:rsid w:val="00451A9D"/>
    <w:rsid w:val="00451CAC"/>
    <w:rsid w:val="00453099"/>
    <w:rsid w:val="00453B1B"/>
    <w:rsid w:val="004557E4"/>
    <w:rsid w:val="004576FC"/>
    <w:rsid w:val="00460855"/>
    <w:rsid w:val="00460F43"/>
    <w:rsid w:val="00461F1B"/>
    <w:rsid w:val="004648B4"/>
    <w:rsid w:val="00465952"/>
    <w:rsid w:val="00465E7B"/>
    <w:rsid w:val="00466B01"/>
    <w:rsid w:val="0047003A"/>
    <w:rsid w:val="00470967"/>
    <w:rsid w:val="00470A7F"/>
    <w:rsid w:val="00471455"/>
    <w:rsid w:val="00471C05"/>
    <w:rsid w:val="00472326"/>
    <w:rsid w:val="00475AC2"/>
    <w:rsid w:val="004766C2"/>
    <w:rsid w:val="0047676D"/>
    <w:rsid w:val="00477CB0"/>
    <w:rsid w:val="0048044E"/>
    <w:rsid w:val="004831E4"/>
    <w:rsid w:val="004831FF"/>
    <w:rsid w:val="00487435"/>
    <w:rsid w:val="00487DB2"/>
    <w:rsid w:val="00490C73"/>
    <w:rsid w:val="00491076"/>
    <w:rsid w:val="00493C08"/>
    <w:rsid w:val="0049531A"/>
    <w:rsid w:val="004964B4"/>
    <w:rsid w:val="00496D7F"/>
    <w:rsid w:val="004A1E0E"/>
    <w:rsid w:val="004A43D0"/>
    <w:rsid w:val="004A5AEF"/>
    <w:rsid w:val="004A6E38"/>
    <w:rsid w:val="004A742A"/>
    <w:rsid w:val="004A7DA6"/>
    <w:rsid w:val="004A7F82"/>
    <w:rsid w:val="004B28F0"/>
    <w:rsid w:val="004B41C8"/>
    <w:rsid w:val="004B437D"/>
    <w:rsid w:val="004B63A1"/>
    <w:rsid w:val="004B6FAB"/>
    <w:rsid w:val="004C2767"/>
    <w:rsid w:val="004C447C"/>
    <w:rsid w:val="004C4BE0"/>
    <w:rsid w:val="004C557C"/>
    <w:rsid w:val="004D08A9"/>
    <w:rsid w:val="004D1490"/>
    <w:rsid w:val="004D230F"/>
    <w:rsid w:val="004D5539"/>
    <w:rsid w:val="004D5DBA"/>
    <w:rsid w:val="004D75B7"/>
    <w:rsid w:val="004D7BE5"/>
    <w:rsid w:val="004E0401"/>
    <w:rsid w:val="004E2B4E"/>
    <w:rsid w:val="004E40D7"/>
    <w:rsid w:val="004E45B2"/>
    <w:rsid w:val="004E4C8B"/>
    <w:rsid w:val="004E6869"/>
    <w:rsid w:val="004E69C3"/>
    <w:rsid w:val="004E7712"/>
    <w:rsid w:val="004F4900"/>
    <w:rsid w:val="004F637C"/>
    <w:rsid w:val="004F6801"/>
    <w:rsid w:val="005013A0"/>
    <w:rsid w:val="00501442"/>
    <w:rsid w:val="00504341"/>
    <w:rsid w:val="00506251"/>
    <w:rsid w:val="005105BA"/>
    <w:rsid w:val="005114B4"/>
    <w:rsid w:val="00515FE9"/>
    <w:rsid w:val="00516DFC"/>
    <w:rsid w:val="00516E2E"/>
    <w:rsid w:val="00520825"/>
    <w:rsid w:val="00520850"/>
    <w:rsid w:val="00524427"/>
    <w:rsid w:val="0052525A"/>
    <w:rsid w:val="00527717"/>
    <w:rsid w:val="005279E1"/>
    <w:rsid w:val="005307DA"/>
    <w:rsid w:val="005336B5"/>
    <w:rsid w:val="00536AE8"/>
    <w:rsid w:val="00540546"/>
    <w:rsid w:val="005424C8"/>
    <w:rsid w:val="0054291D"/>
    <w:rsid w:val="00542E36"/>
    <w:rsid w:val="005444CC"/>
    <w:rsid w:val="0054493F"/>
    <w:rsid w:val="005455D3"/>
    <w:rsid w:val="00545F5C"/>
    <w:rsid w:val="005465B6"/>
    <w:rsid w:val="005467EF"/>
    <w:rsid w:val="00546E2C"/>
    <w:rsid w:val="00551266"/>
    <w:rsid w:val="005524F2"/>
    <w:rsid w:val="00552F57"/>
    <w:rsid w:val="00553E07"/>
    <w:rsid w:val="00554181"/>
    <w:rsid w:val="00554696"/>
    <w:rsid w:val="005549F1"/>
    <w:rsid w:val="005551A2"/>
    <w:rsid w:val="00555706"/>
    <w:rsid w:val="005559DF"/>
    <w:rsid w:val="00562272"/>
    <w:rsid w:val="0056237D"/>
    <w:rsid w:val="00562381"/>
    <w:rsid w:val="005639AE"/>
    <w:rsid w:val="005651AC"/>
    <w:rsid w:val="00565B6C"/>
    <w:rsid w:val="00567320"/>
    <w:rsid w:val="005723DB"/>
    <w:rsid w:val="00573376"/>
    <w:rsid w:val="00573431"/>
    <w:rsid w:val="00573694"/>
    <w:rsid w:val="00575D34"/>
    <w:rsid w:val="00575EEE"/>
    <w:rsid w:val="00576EA8"/>
    <w:rsid w:val="00577FA3"/>
    <w:rsid w:val="00582878"/>
    <w:rsid w:val="00585398"/>
    <w:rsid w:val="00586D32"/>
    <w:rsid w:val="005903F7"/>
    <w:rsid w:val="00591D65"/>
    <w:rsid w:val="005933A5"/>
    <w:rsid w:val="00594298"/>
    <w:rsid w:val="00596167"/>
    <w:rsid w:val="00596B88"/>
    <w:rsid w:val="005A0BD2"/>
    <w:rsid w:val="005A332D"/>
    <w:rsid w:val="005A4677"/>
    <w:rsid w:val="005A6514"/>
    <w:rsid w:val="005A6A9E"/>
    <w:rsid w:val="005A6C67"/>
    <w:rsid w:val="005B02EF"/>
    <w:rsid w:val="005B1549"/>
    <w:rsid w:val="005B2719"/>
    <w:rsid w:val="005B3072"/>
    <w:rsid w:val="005B44ED"/>
    <w:rsid w:val="005B520D"/>
    <w:rsid w:val="005B5C65"/>
    <w:rsid w:val="005C4413"/>
    <w:rsid w:val="005C6160"/>
    <w:rsid w:val="005C648C"/>
    <w:rsid w:val="005D241F"/>
    <w:rsid w:val="005D26E7"/>
    <w:rsid w:val="005D41C6"/>
    <w:rsid w:val="005D53FD"/>
    <w:rsid w:val="005D6B8D"/>
    <w:rsid w:val="005D6C50"/>
    <w:rsid w:val="005E2F30"/>
    <w:rsid w:val="005E4322"/>
    <w:rsid w:val="005E613F"/>
    <w:rsid w:val="005E6493"/>
    <w:rsid w:val="005E7679"/>
    <w:rsid w:val="005F11A9"/>
    <w:rsid w:val="005F1AAF"/>
    <w:rsid w:val="005F2A38"/>
    <w:rsid w:val="005F32DD"/>
    <w:rsid w:val="005F474C"/>
    <w:rsid w:val="005F581C"/>
    <w:rsid w:val="005F7F48"/>
    <w:rsid w:val="0060652F"/>
    <w:rsid w:val="0060688C"/>
    <w:rsid w:val="00606D47"/>
    <w:rsid w:val="00611746"/>
    <w:rsid w:val="006127E2"/>
    <w:rsid w:val="00613144"/>
    <w:rsid w:val="00613F52"/>
    <w:rsid w:val="00614943"/>
    <w:rsid w:val="006201C2"/>
    <w:rsid w:val="0062182D"/>
    <w:rsid w:val="0062217C"/>
    <w:rsid w:val="00624A42"/>
    <w:rsid w:val="00624BE4"/>
    <w:rsid w:val="00625C2A"/>
    <w:rsid w:val="00631534"/>
    <w:rsid w:val="00631E5F"/>
    <w:rsid w:val="00632142"/>
    <w:rsid w:val="00632239"/>
    <w:rsid w:val="006345ED"/>
    <w:rsid w:val="0063506A"/>
    <w:rsid w:val="00636E5B"/>
    <w:rsid w:val="00640C6D"/>
    <w:rsid w:val="00642838"/>
    <w:rsid w:val="00643AB8"/>
    <w:rsid w:val="00644157"/>
    <w:rsid w:val="0064428A"/>
    <w:rsid w:val="00645139"/>
    <w:rsid w:val="00645326"/>
    <w:rsid w:val="0064769E"/>
    <w:rsid w:val="00651199"/>
    <w:rsid w:val="006518C1"/>
    <w:rsid w:val="006522D1"/>
    <w:rsid w:val="006552B0"/>
    <w:rsid w:val="006555C8"/>
    <w:rsid w:val="00655B85"/>
    <w:rsid w:val="00657032"/>
    <w:rsid w:val="00660C07"/>
    <w:rsid w:val="006645D2"/>
    <w:rsid w:val="00665EE3"/>
    <w:rsid w:val="00667548"/>
    <w:rsid w:val="00667959"/>
    <w:rsid w:val="006706F6"/>
    <w:rsid w:val="00671956"/>
    <w:rsid w:val="00672F79"/>
    <w:rsid w:val="00673BF6"/>
    <w:rsid w:val="00673D45"/>
    <w:rsid w:val="00674C61"/>
    <w:rsid w:val="006769A4"/>
    <w:rsid w:val="006813F1"/>
    <w:rsid w:val="006816E9"/>
    <w:rsid w:val="00690CD6"/>
    <w:rsid w:val="00691F8A"/>
    <w:rsid w:val="00693DB2"/>
    <w:rsid w:val="006A4357"/>
    <w:rsid w:val="006A4C55"/>
    <w:rsid w:val="006A76CF"/>
    <w:rsid w:val="006B29D2"/>
    <w:rsid w:val="006B493E"/>
    <w:rsid w:val="006B7E5F"/>
    <w:rsid w:val="006C0213"/>
    <w:rsid w:val="006C13F3"/>
    <w:rsid w:val="006C24FD"/>
    <w:rsid w:val="006C2734"/>
    <w:rsid w:val="006C2E07"/>
    <w:rsid w:val="006C320C"/>
    <w:rsid w:val="006C41FE"/>
    <w:rsid w:val="006C45B3"/>
    <w:rsid w:val="006C561C"/>
    <w:rsid w:val="006C57BA"/>
    <w:rsid w:val="006C729C"/>
    <w:rsid w:val="006C764B"/>
    <w:rsid w:val="006D30C2"/>
    <w:rsid w:val="006D3703"/>
    <w:rsid w:val="006E22A6"/>
    <w:rsid w:val="006E70CF"/>
    <w:rsid w:val="006F0839"/>
    <w:rsid w:val="006F13F4"/>
    <w:rsid w:val="006F3935"/>
    <w:rsid w:val="006F54C3"/>
    <w:rsid w:val="006F7091"/>
    <w:rsid w:val="006F7F86"/>
    <w:rsid w:val="00701873"/>
    <w:rsid w:val="00701F6A"/>
    <w:rsid w:val="00702380"/>
    <w:rsid w:val="00703D1F"/>
    <w:rsid w:val="00703EF1"/>
    <w:rsid w:val="00706973"/>
    <w:rsid w:val="00706C82"/>
    <w:rsid w:val="00707135"/>
    <w:rsid w:val="007074FE"/>
    <w:rsid w:val="007102BE"/>
    <w:rsid w:val="00711A27"/>
    <w:rsid w:val="00711CD3"/>
    <w:rsid w:val="0071324A"/>
    <w:rsid w:val="00713BE9"/>
    <w:rsid w:val="00715437"/>
    <w:rsid w:val="0071714B"/>
    <w:rsid w:val="007173E4"/>
    <w:rsid w:val="00720957"/>
    <w:rsid w:val="00723018"/>
    <w:rsid w:val="00731B24"/>
    <w:rsid w:val="007336C9"/>
    <w:rsid w:val="00736276"/>
    <w:rsid w:val="00737951"/>
    <w:rsid w:val="00741689"/>
    <w:rsid w:val="0074272A"/>
    <w:rsid w:val="007433EC"/>
    <w:rsid w:val="00743612"/>
    <w:rsid w:val="007467FB"/>
    <w:rsid w:val="007501FF"/>
    <w:rsid w:val="007504D8"/>
    <w:rsid w:val="00751437"/>
    <w:rsid w:val="0075187F"/>
    <w:rsid w:val="0075359B"/>
    <w:rsid w:val="00754FF0"/>
    <w:rsid w:val="00760F83"/>
    <w:rsid w:val="007610EB"/>
    <w:rsid w:val="0076160C"/>
    <w:rsid w:val="00764CA6"/>
    <w:rsid w:val="00765FFD"/>
    <w:rsid w:val="0077287E"/>
    <w:rsid w:val="00774A92"/>
    <w:rsid w:val="00774E4D"/>
    <w:rsid w:val="007762D4"/>
    <w:rsid w:val="00780678"/>
    <w:rsid w:val="0078192D"/>
    <w:rsid w:val="00781F8E"/>
    <w:rsid w:val="00784D3E"/>
    <w:rsid w:val="0078520B"/>
    <w:rsid w:val="00785776"/>
    <w:rsid w:val="0079042D"/>
    <w:rsid w:val="00790C21"/>
    <w:rsid w:val="007930D0"/>
    <w:rsid w:val="0079370D"/>
    <w:rsid w:val="00794400"/>
    <w:rsid w:val="007945F8"/>
    <w:rsid w:val="00794ECE"/>
    <w:rsid w:val="00795D9C"/>
    <w:rsid w:val="007971CD"/>
    <w:rsid w:val="00797CFA"/>
    <w:rsid w:val="007A0048"/>
    <w:rsid w:val="007A10B2"/>
    <w:rsid w:val="007A1954"/>
    <w:rsid w:val="007A58C0"/>
    <w:rsid w:val="007A6A0A"/>
    <w:rsid w:val="007A77DE"/>
    <w:rsid w:val="007B425D"/>
    <w:rsid w:val="007B6237"/>
    <w:rsid w:val="007B68C7"/>
    <w:rsid w:val="007C2EE9"/>
    <w:rsid w:val="007C3480"/>
    <w:rsid w:val="007C3F42"/>
    <w:rsid w:val="007C4901"/>
    <w:rsid w:val="007C4FA4"/>
    <w:rsid w:val="007C5C79"/>
    <w:rsid w:val="007D001A"/>
    <w:rsid w:val="007D41B4"/>
    <w:rsid w:val="007E55BF"/>
    <w:rsid w:val="007E72F9"/>
    <w:rsid w:val="007E749A"/>
    <w:rsid w:val="007F2E05"/>
    <w:rsid w:val="007F3A38"/>
    <w:rsid w:val="007F3EAB"/>
    <w:rsid w:val="007F4AFB"/>
    <w:rsid w:val="007F4B6B"/>
    <w:rsid w:val="007F5C2D"/>
    <w:rsid w:val="007F6583"/>
    <w:rsid w:val="007F7A18"/>
    <w:rsid w:val="00800DDC"/>
    <w:rsid w:val="00802444"/>
    <w:rsid w:val="00803D4C"/>
    <w:rsid w:val="00807975"/>
    <w:rsid w:val="00811188"/>
    <w:rsid w:val="00812979"/>
    <w:rsid w:val="00813E4F"/>
    <w:rsid w:val="008161CC"/>
    <w:rsid w:val="00817576"/>
    <w:rsid w:val="008179B2"/>
    <w:rsid w:val="0082290F"/>
    <w:rsid w:val="00822DF9"/>
    <w:rsid w:val="00823AA2"/>
    <w:rsid w:val="00824754"/>
    <w:rsid w:val="00824B40"/>
    <w:rsid w:val="00825990"/>
    <w:rsid w:val="00825D21"/>
    <w:rsid w:val="00826B7B"/>
    <w:rsid w:val="00826E9B"/>
    <w:rsid w:val="00827CED"/>
    <w:rsid w:val="00831C41"/>
    <w:rsid w:val="00837710"/>
    <w:rsid w:val="00843699"/>
    <w:rsid w:val="0084417D"/>
    <w:rsid w:val="00844AA9"/>
    <w:rsid w:val="008454C8"/>
    <w:rsid w:val="0084590E"/>
    <w:rsid w:val="008461DD"/>
    <w:rsid w:val="0084637B"/>
    <w:rsid w:val="008472A2"/>
    <w:rsid w:val="008510FA"/>
    <w:rsid w:val="00855055"/>
    <w:rsid w:val="00856251"/>
    <w:rsid w:val="008565BD"/>
    <w:rsid w:val="008616ED"/>
    <w:rsid w:val="008617F1"/>
    <w:rsid w:val="00863B05"/>
    <w:rsid w:val="00865240"/>
    <w:rsid w:val="008653B6"/>
    <w:rsid w:val="00865A7E"/>
    <w:rsid w:val="0087135B"/>
    <w:rsid w:val="008722B3"/>
    <w:rsid w:val="00872A31"/>
    <w:rsid w:val="00873ECD"/>
    <w:rsid w:val="00874C2D"/>
    <w:rsid w:val="00874EA2"/>
    <w:rsid w:val="00876156"/>
    <w:rsid w:val="00876F8B"/>
    <w:rsid w:val="00877B34"/>
    <w:rsid w:val="00881142"/>
    <w:rsid w:val="00881922"/>
    <w:rsid w:val="008860D5"/>
    <w:rsid w:val="00890102"/>
    <w:rsid w:val="0089145F"/>
    <w:rsid w:val="00891514"/>
    <w:rsid w:val="00891AEA"/>
    <w:rsid w:val="00891B75"/>
    <w:rsid w:val="008921BE"/>
    <w:rsid w:val="00892300"/>
    <w:rsid w:val="00895C07"/>
    <w:rsid w:val="008A0040"/>
    <w:rsid w:val="008A00FE"/>
    <w:rsid w:val="008A480A"/>
    <w:rsid w:val="008A5588"/>
    <w:rsid w:val="008B2ACA"/>
    <w:rsid w:val="008B3BB4"/>
    <w:rsid w:val="008B3C0F"/>
    <w:rsid w:val="008C148F"/>
    <w:rsid w:val="008C40CF"/>
    <w:rsid w:val="008C4A31"/>
    <w:rsid w:val="008C51BA"/>
    <w:rsid w:val="008C682E"/>
    <w:rsid w:val="008D08E5"/>
    <w:rsid w:val="008D1AC7"/>
    <w:rsid w:val="008D4759"/>
    <w:rsid w:val="008D5271"/>
    <w:rsid w:val="008D7A76"/>
    <w:rsid w:val="008E0385"/>
    <w:rsid w:val="008E0C7C"/>
    <w:rsid w:val="008E0F19"/>
    <w:rsid w:val="008E2340"/>
    <w:rsid w:val="008E4304"/>
    <w:rsid w:val="008E5556"/>
    <w:rsid w:val="008E6050"/>
    <w:rsid w:val="008E644C"/>
    <w:rsid w:val="008E662F"/>
    <w:rsid w:val="008E686E"/>
    <w:rsid w:val="008E7B02"/>
    <w:rsid w:val="008F017C"/>
    <w:rsid w:val="008F0C37"/>
    <w:rsid w:val="008F1C68"/>
    <w:rsid w:val="008F1D6E"/>
    <w:rsid w:val="008F2D2E"/>
    <w:rsid w:val="008F4553"/>
    <w:rsid w:val="008F492A"/>
    <w:rsid w:val="008F57C9"/>
    <w:rsid w:val="008F7A24"/>
    <w:rsid w:val="009018F0"/>
    <w:rsid w:val="009030A7"/>
    <w:rsid w:val="009033A2"/>
    <w:rsid w:val="00905ABC"/>
    <w:rsid w:val="00905BDC"/>
    <w:rsid w:val="0090675E"/>
    <w:rsid w:val="00906FB8"/>
    <w:rsid w:val="009110C0"/>
    <w:rsid w:val="00911E55"/>
    <w:rsid w:val="00912583"/>
    <w:rsid w:val="009158C9"/>
    <w:rsid w:val="00917345"/>
    <w:rsid w:val="00920FDF"/>
    <w:rsid w:val="00921231"/>
    <w:rsid w:val="00922078"/>
    <w:rsid w:val="009245B6"/>
    <w:rsid w:val="00924AFC"/>
    <w:rsid w:val="00927EF0"/>
    <w:rsid w:val="009307BB"/>
    <w:rsid w:val="0093199D"/>
    <w:rsid w:val="00933526"/>
    <w:rsid w:val="00935CC6"/>
    <w:rsid w:val="00940C0F"/>
    <w:rsid w:val="00940D36"/>
    <w:rsid w:val="009440E5"/>
    <w:rsid w:val="00944C49"/>
    <w:rsid w:val="009450AD"/>
    <w:rsid w:val="00946D10"/>
    <w:rsid w:val="00952593"/>
    <w:rsid w:val="009525DF"/>
    <w:rsid w:val="0095288C"/>
    <w:rsid w:val="00952D3F"/>
    <w:rsid w:val="0095309C"/>
    <w:rsid w:val="00956192"/>
    <w:rsid w:val="00956673"/>
    <w:rsid w:val="00956910"/>
    <w:rsid w:val="00957365"/>
    <w:rsid w:val="00957BEA"/>
    <w:rsid w:val="0096084C"/>
    <w:rsid w:val="00962057"/>
    <w:rsid w:val="009629DD"/>
    <w:rsid w:val="00965074"/>
    <w:rsid w:val="00965DAB"/>
    <w:rsid w:val="00965F05"/>
    <w:rsid w:val="009663F7"/>
    <w:rsid w:val="009676FA"/>
    <w:rsid w:val="00967AC0"/>
    <w:rsid w:val="00970D3D"/>
    <w:rsid w:val="009719D2"/>
    <w:rsid w:val="009751C6"/>
    <w:rsid w:val="00975854"/>
    <w:rsid w:val="00976C59"/>
    <w:rsid w:val="00980B4B"/>
    <w:rsid w:val="00991DBA"/>
    <w:rsid w:val="00994577"/>
    <w:rsid w:val="00995671"/>
    <w:rsid w:val="00995AFF"/>
    <w:rsid w:val="00995D5D"/>
    <w:rsid w:val="009A1638"/>
    <w:rsid w:val="009A25C9"/>
    <w:rsid w:val="009A53F0"/>
    <w:rsid w:val="009A5A96"/>
    <w:rsid w:val="009A69A7"/>
    <w:rsid w:val="009B1491"/>
    <w:rsid w:val="009B1824"/>
    <w:rsid w:val="009B1F68"/>
    <w:rsid w:val="009B21CB"/>
    <w:rsid w:val="009B3318"/>
    <w:rsid w:val="009B3997"/>
    <w:rsid w:val="009B4850"/>
    <w:rsid w:val="009B6043"/>
    <w:rsid w:val="009B78F3"/>
    <w:rsid w:val="009C1304"/>
    <w:rsid w:val="009C366F"/>
    <w:rsid w:val="009C4163"/>
    <w:rsid w:val="009C7932"/>
    <w:rsid w:val="009D00BE"/>
    <w:rsid w:val="009D119E"/>
    <w:rsid w:val="009D1727"/>
    <w:rsid w:val="009D3416"/>
    <w:rsid w:val="009D3501"/>
    <w:rsid w:val="009D3D24"/>
    <w:rsid w:val="009D4673"/>
    <w:rsid w:val="009D7C29"/>
    <w:rsid w:val="009E09D2"/>
    <w:rsid w:val="009E192B"/>
    <w:rsid w:val="009E4703"/>
    <w:rsid w:val="009E4A56"/>
    <w:rsid w:val="009F06E4"/>
    <w:rsid w:val="009F4F4A"/>
    <w:rsid w:val="009F69C2"/>
    <w:rsid w:val="00A00900"/>
    <w:rsid w:val="00A01760"/>
    <w:rsid w:val="00A03249"/>
    <w:rsid w:val="00A03311"/>
    <w:rsid w:val="00A05B1C"/>
    <w:rsid w:val="00A113B1"/>
    <w:rsid w:val="00A13526"/>
    <w:rsid w:val="00A151D1"/>
    <w:rsid w:val="00A15ACC"/>
    <w:rsid w:val="00A15D66"/>
    <w:rsid w:val="00A15E80"/>
    <w:rsid w:val="00A17AA8"/>
    <w:rsid w:val="00A17AAC"/>
    <w:rsid w:val="00A20CC3"/>
    <w:rsid w:val="00A22334"/>
    <w:rsid w:val="00A23D4E"/>
    <w:rsid w:val="00A25293"/>
    <w:rsid w:val="00A27FBB"/>
    <w:rsid w:val="00A301A4"/>
    <w:rsid w:val="00A3162A"/>
    <w:rsid w:val="00A34600"/>
    <w:rsid w:val="00A34DF2"/>
    <w:rsid w:val="00A35C6E"/>
    <w:rsid w:val="00A366A0"/>
    <w:rsid w:val="00A37953"/>
    <w:rsid w:val="00A41858"/>
    <w:rsid w:val="00A4256E"/>
    <w:rsid w:val="00A42F38"/>
    <w:rsid w:val="00A43D8A"/>
    <w:rsid w:val="00A43EC0"/>
    <w:rsid w:val="00A461B3"/>
    <w:rsid w:val="00A47840"/>
    <w:rsid w:val="00A501CC"/>
    <w:rsid w:val="00A51123"/>
    <w:rsid w:val="00A5591F"/>
    <w:rsid w:val="00A57247"/>
    <w:rsid w:val="00A579CF"/>
    <w:rsid w:val="00A600E7"/>
    <w:rsid w:val="00A660E7"/>
    <w:rsid w:val="00A6722D"/>
    <w:rsid w:val="00A71EFE"/>
    <w:rsid w:val="00A7412C"/>
    <w:rsid w:val="00A7535D"/>
    <w:rsid w:val="00A75E1D"/>
    <w:rsid w:val="00A75EF9"/>
    <w:rsid w:val="00A7685B"/>
    <w:rsid w:val="00A77261"/>
    <w:rsid w:val="00A77DB1"/>
    <w:rsid w:val="00A87DF3"/>
    <w:rsid w:val="00A91349"/>
    <w:rsid w:val="00A91836"/>
    <w:rsid w:val="00A919EE"/>
    <w:rsid w:val="00A92309"/>
    <w:rsid w:val="00A96182"/>
    <w:rsid w:val="00AA14B6"/>
    <w:rsid w:val="00AA15D4"/>
    <w:rsid w:val="00AA178B"/>
    <w:rsid w:val="00AA34C7"/>
    <w:rsid w:val="00AA3D47"/>
    <w:rsid w:val="00AA42CF"/>
    <w:rsid w:val="00AA6357"/>
    <w:rsid w:val="00AA6C33"/>
    <w:rsid w:val="00AB1A64"/>
    <w:rsid w:val="00AC127D"/>
    <w:rsid w:val="00AC6041"/>
    <w:rsid w:val="00AC61E7"/>
    <w:rsid w:val="00AC6D13"/>
    <w:rsid w:val="00AD03E7"/>
    <w:rsid w:val="00AD07B1"/>
    <w:rsid w:val="00AD0911"/>
    <w:rsid w:val="00AD29BB"/>
    <w:rsid w:val="00AD5D03"/>
    <w:rsid w:val="00AD7387"/>
    <w:rsid w:val="00AD768A"/>
    <w:rsid w:val="00AE0D46"/>
    <w:rsid w:val="00AE123A"/>
    <w:rsid w:val="00AE2B48"/>
    <w:rsid w:val="00AE52F5"/>
    <w:rsid w:val="00AE5E7B"/>
    <w:rsid w:val="00AF1A76"/>
    <w:rsid w:val="00AF2E1C"/>
    <w:rsid w:val="00AF6A85"/>
    <w:rsid w:val="00AF7CD5"/>
    <w:rsid w:val="00B001F9"/>
    <w:rsid w:val="00B01BBA"/>
    <w:rsid w:val="00B01E8D"/>
    <w:rsid w:val="00B0350E"/>
    <w:rsid w:val="00B03D02"/>
    <w:rsid w:val="00B04F63"/>
    <w:rsid w:val="00B07236"/>
    <w:rsid w:val="00B0782A"/>
    <w:rsid w:val="00B119E3"/>
    <w:rsid w:val="00B11FB3"/>
    <w:rsid w:val="00B11FF8"/>
    <w:rsid w:val="00B14774"/>
    <w:rsid w:val="00B15291"/>
    <w:rsid w:val="00B15B80"/>
    <w:rsid w:val="00B1625A"/>
    <w:rsid w:val="00B1769E"/>
    <w:rsid w:val="00B22167"/>
    <w:rsid w:val="00B22DFF"/>
    <w:rsid w:val="00B2389E"/>
    <w:rsid w:val="00B25A37"/>
    <w:rsid w:val="00B2652D"/>
    <w:rsid w:val="00B26E6D"/>
    <w:rsid w:val="00B274E0"/>
    <w:rsid w:val="00B27D0A"/>
    <w:rsid w:val="00B32569"/>
    <w:rsid w:val="00B414D5"/>
    <w:rsid w:val="00B41D6A"/>
    <w:rsid w:val="00B41DCA"/>
    <w:rsid w:val="00B445F6"/>
    <w:rsid w:val="00B44D6A"/>
    <w:rsid w:val="00B475E3"/>
    <w:rsid w:val="00B478B0"/>
    <w:rsid w:val="00B508AA"/>
    <w:rsid w:val="00B5141B"/>
    <w:rsid w:val="00B51BB2"/>
    <w:rsid w:val="00B525B5"/>
    <w:rsid w:val="00B55740"/>
    <w:rsid w:val="00B55E1E"/>
    <w:rsid w:val="00B56B7A"/>
    <w:rsid w:val="00B57A63"/>
    <w:rsid w:val="00B62240"/>
    <w:rsid w:val="00B638D3"/>
    <w:rsid w:val="00B64ED3"/>
    <w:rsid w:val="00B65462"/>
    <w:rsid w:val="00B70722"/>
    <w:rsid w:val="00B722B3"/>
    <w:rsid w:val="00B733AA"/>
    <w:rsid w:val="00B76AC4"/>
    <w:rsid w:val="00B820CA"/>
    <w:rsid w:val="00B8261F"/>
    <w:rsid w:val="00B84BC1"/>
    <w:rsid w:val="00B87FF5"/>
    <w:rsid w:val="00B91FE0"/>
    <w:rsid w:val="00B93FFD"/>
    <w:rsid w:val="00B943AA"/>
    <w:rsid w:val="00B94402"/>
    <w:rsid w:val="00B95E6C"/>
    <w:rsid w:val="00B96D92"/>
    <w:rsid w:val="00B974FD"/>
    <w:rsid w:val="00BA0B87"/>
    <w:rsid w:val="00BA0D45"/>
    <w:rsid w:val="00BA22FA"/>
    <w:rsid w:val="00BA3FF5"/>
    <w:rsid w:val="00BA5CD5"/>
    <w:rsid w:val="00BB0B5B"/>
    <w:rsid w:val="00BB0E2B"/>
    <w:rsid w:val="00BB2548"/>
    <w:rsid w:val="00BB430C"/>
    <w:rsid w:val="00BB4C66"/>
    <w:rsid w:val="00BB59A2"/>
    <w:rsid w:val="00BB60B2"/>
    <w:rsid w:val="00BB6A04"/>
    <w:rsid w:val="00BC0300"/>
    <w:rsid w:val="00BC1895"/>
    <w:rsid w:val="00BC276C"/>
    <w:rsid w:val="00BC30BE"/>
    <w:rsid w:val="00BC5929"/>
    <w:rsid w:val="00BC657D"/>
    <w:rsid w:val="00BC72D5"/>
    <w:rsid w:val="00BC7A99"/>
    <w:rsid w:val="00BD1662"/>
    <w:rsid w:val="00BD39D4"/>
    <w:rsid w:val="00BD510B"/>
    <w:rsid w:val="00BD550F"/>
    <w:rsid w:val="00BD5B24"/>
    <w:rsid w:val="00BD5D75"/>
    <w:rsid w:val="00BD7B77"/>
    <w:rsid w:val="00BE25C9"/>
    <w:rsid w:val="00BE7385"/>
    <w:rsid w:val="00BF29DC"/>
    <w:rsid w:val="00C04868"/>
    <w:rsid w:val="00C10330"/>
    <w:rsid w:val="00C10799"/>
    <w:rsid w:val="00C1278B"/>
    <w:rsid w:val="00C1404D"/>
    <w:rsid w:val="00C1448B"/>
    <w:rsid w:val="00C1789A"/>
    <w:rsid w:val="00C20DCC"/>
    <w:rsid w:val="00C22A06"/>
    <w:rsid w:val="00C237E9"/>
    <w:rsid w:val="00C2573F"/>
    <w:rsid w:val="00C25E4F"/>
    <w:rsid w:val="00C30DCB"/>
    <w:rsid w:val="00C31CB3"/>
    <w:rsid w:val="00C33877"/>
    <w:rsid w:val="00C33C08"/>
    <w:rsid w:val="00C34437"/>
    <w:rsid w:val="00C35830"/>
    <w:rsid w:val="00C35EA1"/>
    <w:rsid w:val="00C36B98"/>
    <w:rsid w:val="00C36E03"/>
    <w:rsid w:val="00C418A8"/>
    <w:rsid w:val="00C42E59"/>
    <w:rsid w:val="00C459D3"/>
    <w:rsid w:val="00C513F1"/>
    <w:rsid w:val="00C52254"/>
    <w:rsid w:val="00C572DC"/>
    <w:rsid w:val="00C57910"/>
    <w:rsid w:val="00C57E81"/>
    <w:rsid w:val="00C61055"/>
    <w:rsid w:val="00C61EDB"/>
    <w:rsid w:val="00C61EFC"/>
    <w:rsid w:val="00C62DD2"/>
    <w:rsid w:val="00C638F1"/>
    <w:rsid w:val="00C6401C"/>
    <w:rsid w:val="00C672F6"/>
    <w:rsid w:val="00C77626"/>
    <w:rsid w:val="00C81159"/>
    <w:rsid w:val="00C83704"/>
    <w:rsid w:val="00C8464A"/>
    <w:rsid w:val="00C85A6E"/>
    <w:rsid w:val="00C87F00"/>
    <w:rsid w:val="00C908D6"/>
    <w:rsid w:val="00C91984"/>
    <w:rsid w:val="00C94C9B"/>
    <w:rsid w:val="00C96862"/>
    <w:rsid w:val="00C97519"/>
    <w:rsid w:val="00CA1685"/>
    <w:rsid w:val="00CA2428"/>
    <w:rsid w:val="00CA2A5C"/>
    <w:rsid w:val="00CA2F00"/>
    <w:rsid w:val="00CA4A0B"/>
    <w:rsid w:val="00CA782B"/>
    <w:rsid w:val="00CB2E27"/>
    <w:rsid w:val="00CB4997"/>
    <w:rsid w:val="00CC1110"/>
    <w:rsid w:val="00CC146A"/>
    <w:rsid w:val="00CC26A3"/>
    <w:rsid w:val="00CC64D5"/>
    <w:rsid w:val="00CD0603"/>
    <w:rsid w:val="00CD1F93"/>
    <w:rsid w:val="00CD2FC0"/>
    <w:rsid w:val="00CD43AD"/>
    <w:rsid w:val="00CD5976"/>
    <w:rsid w:val="00CD6987"/>
    <w:rsid w:val="00CD74F3"/>
    <w:rsid w:val="00CD7796"/>
    <w:rsid w:val="00CE0617"/>
    <w:rsid w:val="00CE1168"/>
    <w:rsid w:val="00CE36FF"/>
    <w:rsid w:val="00CE3EDA"/>
    <w:rsid w:val="00CE691E"/>
    <w:rsid w:val="00CF03CE"/>
    <w:rsid w:val="00CF5134"/>
    <w:rsid w:val="00CF67E1"/>
    <w:rsid w:val="00D008F1"/>
    <w:rsid w:val="00D00CF7"/>
    <w:rsid w:val="00D04A28"/>
    <w:rsid w:val="00D0693F"/>
    <w:rsid w:val="00D06E53"/>
    <w:rsid w:val="00D07846"/>
    <w:rsid w:val="00D107B7"/>
    <w:rsid w:val="00D12DE5"/>
    <w:rsid w:val="00D152EF"/>
    <w:rsid w:val="00D15E5C"/>
    <w:rsid w:val="00D16588"/>
    <w:rsid w:val="00D17FBF"/>
    <w:rsid w:val="00D207F0"/>
    <w:rsid w:val="00D226E7"/>
    <w:rsid w:val="00D22939"/>
    <w:rsid w:val="00D25C4D"/>
    <w:rsid w:val="00D31F2C"/>
    <w:rsid w:val="00D34010"/>
    <w:rsid w:val="00D34AEA"/>
    <w:rsid w:val="00D34B6F"/>
    <w:rsid w:val="00D461D3"/>
    <w:rsid w:val="00D47004"/>
    <w:rsid w:val="00D470F7"/>
    <w:rsid w:val="00D4735A"/>
    <w:rsid w:val="00D4744B"/>
    <w:rsid w:val="00D502D9"/>
    <w:rsid w:val="00D5052D"/>
    <w:rsid w:val="00D519DE"/>
    <w:rsid w:val="00D52E23"/>
    <w:rsid w:val="00D538C6"/>
    <w:rsid w:val="00D53ECA"/>
    <w:rsid w:val="00D553CB"/>
    <w:rsid w:val="00D56972"/>
    <w:rsid w:val="00D61970"/>
    <w:rsid w:val="00D62D1C"/>
    <w:rsid w:val="00D63819"/>
    <w:rsid w:val="00D63ADA"/>
    <w:rsid w:val="00D6641D"/>
    <w:rsid w:val="00D6790E"/>
    <w:rsid w:val="00D70D14"/>
    <w:rsid w:val="00D714B7"/>
    <w:rsid w:val="00D724BC"/>
    <w:rsid w:val="00D728F8"/>
    <w:rsid w:val="00D7308A"/>
    <w:rsid w:val="00D736AE"/>
    <w:rsid w:val="00D765A6"/>
    <w:rsid w:val="00D76C4A"/>
    <w:rsid w:val="00D80362"/>
    <w:rsid w:val="00D81134"/>
    <w:rsid w:val="00D83872"/>
    <w:rsid w:val="00D84882"/>
    <w:rsid w:val="00D84A37"/>
    <w:rsid w:val="00D85E8B"/>
    <w:rsid w:val="00D86EFB"/>
    <w:rsid w:val="00D908C0"/>
    <w:rsid w:val="00D91366"/>
    <w:rsid w:val="00D94DA5"/>
    <w:rsid w:val="00D94E8C"/>
    <w:rsid w:val="00D95B23"/>
    <w:rsid w:val="00D97866"/>
    <w:rsid w:val="00D97DE9"/>
    <w:rsid w:val="00DA1880"/>
    <w:rsid w:val="00DA315F"/>
    <w:rsid w:val="00DA42A4"/>
    <w:rsid w:val="00DA544E"/>
    <w:rsid w:val="00DB05B4"/>
    <w:rsid w:val="00DB1A7E"/>
    <w:rsid w:val="00DB327C"/>
    <w:rsid w:val="00DB350B"/>
    <w:rsid w:val="00DB3DA1"/>
    <w:rsid w:val="00DB5C73"/>
    <w:rsid w:val="00DB6775"/>
    <w:rsid w:val="00DC2857"/>
    <w:rsid w:val="00DC32B5"/>
    <w:rsid w:val="00DC3F3C"/>
    <w:rsid w:val="00DC5B9F"/>
    <w:rsid w:val="00DC6DA0"/>
    <w:rsid w:val="00DC7EDF"/>
    <w:rsid w:val="00DD3FDC"/>
    <w:rsid w:val="00DD6128"/>
    <w:rsid w:val="00DD66EB"/>
    <w:rsid w:val="00DE2D33"/>
    <w:rsid w:val="00DE31F5"/>
    <w:rsid w:val="00DE3314"/>
    <w:rsid w:val="00DE5AE9"/>
    <w:rsid w:val="00DE61C5"/>
    <w:rsid w:val="00DE6323"/>
    <w:rsid w:val="00DE6589"/>
    <w:rsid w:val="00DF3F8A"/>
    <w:rsid w:val="00DF6B64"/>
    <w:rsid w:val="00E01C82"/>
    <w:rsid w:val="00E04C18"/>
    <w:rsid w:val="00E0769C"/>
    <w:rsid w:val="00E0789C"/>
    <w:rsid w:val="00E10FA7"/>
    <w:rsid w:val="00E11AFE"/>
    <w:rsid w:val="00E11C9B"/>
    <w:rsid w:val="00E16596"/>
    <w:rsid w:val="00E16905"/>
    <w:rsid w:val="00E16C4A"/>
    <w:rsid w:val="00E17117"/>
    <w:rsid w:val="00E22295"/>
    <w:rsid w:val="00E22E06"/>
    <w:rsid w:val="00E23311"/>
    <w:rsid w:val="00E23FAA"/>
    <w:rsid w:val="00E255B0"/>
    <w:rsid w:val="00E264AA"/>
    <w:rsid w:val="00E27AD9"/>
    <w:rsid w:val="00E304C5"/>
    <w:rsid w:val="00E321B7"/>
    <w:rsid w:val="00E3284D"/>
    <w:rsid w:val="00E3504C"/>
    <w:rsid w:val="00E354DA"/>
    <w:rsid w:val="00E40379"/>
    <w:rsid w:val="00E40DC2"/>
    <w:rsid w:val="00E423F9"/>
    <w:rsid w:val="00E434A8"/>
    <w:rsid w:val="00E438A1"/>
    <w:rsid w:val="00E467DF"/>
    <w:rsid w:val="00E46839"/>
    <w:rsid w:val="00E5093B"/>
    <w:rsid w:val="00E510D5"/>
    <w:rsid w:val="00E541BC"/>
    <w:rsid w:val="00E55791"/>
    <w:rsid w:val="00E55C91"/>
    <w:rsid w:val="00E55E97"/>
    <w:rsid w:val="00E575A6"/>
    <w:rsid w:val="00E6036D"/>
    <w:rsid w:val="00E619D2"/>
    <w:rsid w:val="00E61BC1"/>
    <w:rsid w:val="00E63119"/>
    <w:rsid w:val="00E64B5F"/>
    <w:rsid w:val="00E64BD0"/>
    <w:rsid w:val="00E67FDB"/>
    <w:rsid w:val="00E74612"/>
    <w:rsid w:val="00E7479D"/>
    <w:rsid w:val="00E76D28"/>
    <w:rsid w:val="00E7738C"/>
    <w:rsid w:val="00E77EF6"/>
    <w:rsid w:val="00E80EAE"/>
    <w:rsid w:val="00E81CD7"/>
    <w:rsid w:val="00E83F72"/>
    <w:rsid w:val="00E85CE7"/>
    <w:rsid w:val="00E85D1A"/>
    <w:rsid w:val="00E85D72"/>
    <w:rsid w:val="00E86662"/>
    <w:rsid w:val="00E87AC1"/>
    <w:rsid w:val="00E924E8"/>
    <w:rsid w:val="00E9310B"/>
    <w:rsid w:val="00E93F5D"/>
    <w:rsid w:val="00E94A19"/>
    <w:rsid w:val="00E9507E"/>
    <w:rsid w:val="00E9645D"/>
    <w:rsid w:val="00E96B79"/>
    <w:rsid w:val="00E97C0C"/>
    <w:rsid w:val="00EA012F"/>
    <w:rsid w:val="00EA1B28"/>
    <w:rsid w:val="00EA2C72"/>
    <w:rsid w:val="00EA50AB"/>
    <w:rsid w:val="00EA67F7"/>
    <w:rsid w:val="00EA74DF"/>
    <w:rsid w:val="00EA77B7"/>
    <w:rsid w:val="00EB03FC"/>
    <w:rsid w:val="00EB093D"/>
    <w:rsid w:val="00EB0BA9"/>
    <w:rsid w:val="00EB18BF"/>
    <w:rsid w:val="00EB36F9"/>
    <w:rsid w:val="00EB3928"/>
    <w:rsid w:val="00EB44A9"/>
    <w:rsid w:val="00EB541D"/>
    <w:rsid w:val="00EB6313"/>
    <w:rsid w:val="00EB6C76"/>
    <w:rsid w:val="00EB79A9"/>
    <w:rsid w:val="00EB7E0C"/>
    <w:rsid w:val="00EC0B0A"/>
    <w:rsid w:val="00EC1B02"/>
    <w:rsid w:val="00EC29C8"/>
    <w:rsid w:val="00EC2EC1"/>
    <w:rsid w:val="00EC3C49"/>
    <w:rsid w:val="00EC4211"/>
    <w:rsid w:val="00EC4263"/>
    <w:rsid w:val="00EC4634"/>
    <w:rsid w:val="00EC7D18"/>
    <w:rsid w:val="00EC7FB7"/>
    <w:rsid w:val="00ED06FC"/>
    <w:rsid w:val="00ED203B"/>
    <w:rsid w:val="00ED4466"/>
    <w:rsid w:val="00ED4A0D"/>
    <w:rsid w:val="00ED4A36"/>
    <w:rsid w:val="00ED5CBF"/>
    <w:rsid w:val="00ED60C6"/>
    <w:rsid w:val="00ED6B74"/>
    <w:rsid w:val="00EE05A8"/>
    <w:rsid w:val="00EE095B"/>
    <w:rsid w:val="00EE34A4"/>
    <w:rsid w:val="00EE4FC8"/>
    <w:rsid w:val="00EE588F"/>
    <w:rsid w:val="00EE65CF"/>
    <w:rsid w:val="00EE69D9"/>
    <w:rsid w:val="00EF0C04"/>
    <w:rsid w:val="00EF41DB"/>
    <w:rsid w:val="00EF5ADB"/>
    <w:rsid w:val="00EF6D9C"/>
    <w:rsid w:val="00EF6EF1"/>
    <w:rsid w:val="00F00EA9"/>
    <w:rsid w:val="00F01015"/>
    <w:rsid w:val="00F023C7"/>
    <w:rsid w:val="00F0444C"/>
    <w:rsid w:val="00F04A17"/>
    <w:rsid w:val="00F0529F"/>
    <w:rsid w:val="00F1012F"/>
    <w:rsid w:val="00F12931"/>
    <w:rsid w:val="00F144C3"/>
    <w:rsid w:val="00F14877"/>
    <w:rsid w:val="00F16478"/>
    <w:rsid w:val="00F16A10"/>
    <w:rsid w:val="00F16A48"/>
    <w:rsid w:val="00F20C0C"/>
    <w:rsid w:val="00F20C36"/>
    <w:rsid w:val="00F21C16"/>
    <w:rsid w:val="00F2663E"/>
    <w:rsid w:val="00F27DA2"/>
    <w:rsid w:val="00F30384"/>
    <w:rsid w:val="00F32414"/>
    <w:rsid w:val="00F370EC"/>
    <w:rsid w:val="00F41349"/>
    <w:rsid w:val="00F41AA4"/>
    <w:rsid w:val="00F42974"/>
    <w:rsid w:val="00F44063"/>
    <w:rsid w:val="00F47C19"/>
    <w:rsid w:val="00F507A9"/>
    <w:rsid w:val="00F51BE0"/>
    <w:rsid w:val="00F5498A"/>
    <w:rsid w:val="00F55B42"/>
    <w:rsid w:val="00F614C1"/>
    <w:rsid w:val="00F66248"/>
    <w:rsid w:val="00F67EF9"/>
    <w:rsid w:val="00F67FCD"/>
    <w:rsid w:val="00F7069A"/>
    <w:rsid w:val="00F71549"/>
    <w:rsid w:val="00F71EDF"/>
    <w:rsid w:val="00F72298"/>
    <w:rsid w:val="00F72B51"/>
    <w:rsid w:val="00F7703A"/>
    <w:rsid w:val="00F77373"/>
    <w:rsid w:val="00F80169"/>
    <w:rsid w:val="00F82540"/>
    <w:rsid w:val="00F8357F"/>
    <w:rsid w:val="00F8650C"/>
    <w:rsid w:val="00F867DC"/>
    <w:rsid w:val="00F869CA"/>
    <w:rsid w:val="00F87D49"/>
    <w:rsid w:val="00F93672"/>
    <w:rsid w:val="00F93AD4"/>
    <w:rsid w:val="00F94283"/>
    <w:rsid w:val="00F96222"/>
    <w:rsid w:val="00F96B9A"/>
    <w:rsid w:val="00FA053C"/>
    <w:rsid w:val="00FA1C51"/>
    <w:rsid w:val="00FA2D13"/>
    <w:rsid w:val="00FA3ED6"/>
    <w:rsid w:val="00FA6453"/>
    <w:rsid w:val="00FA759D"/>
    <w:rsid w:val="00FB2CF1"/>
    <w:rsid w:val="00FB34CC"/>
    <w:rsid w:val="00FB3525"/>
    <w:rsid w:val="00FB45CD"/>
    <w:rsid w:val="00FB49B0"/>
    <w:rsid w:val="00FB6BFC"/>
    <w:rsid w:val="00FB7184"/>
    <w:rsid w:val="00FC0B90"/>
    <w:rsid w:val="00FC22C6"/>
    <w:rsid w:val="00FC2A0B"/>
    <w:rsid w:val="00FC2BE1"/>
    <w:rsid w:val="00FC46B1"/>
    <w:rsid w:val="00FC5782"/>
    <w:rsid w:val="00FC5A41"/>
    <w:rsid w:val="00FC5A72"/>
    <w:rsid w:val="00FC734C"/>
    <w:rsid w:val="00FD0349"/>
    <w:rsid w:val="00FD036E"/>
    <w:rsid w:val="00FD0A53"/>
    <w:rsid w:val="00FD20DF"/>
    <w:rsid w:val="00FD21F0"/>
    <w:rsid w:val="00FD3277"/>
    <w:rsid w:val="00FD640F"/>
    <w:rsid w:val="00FD68C9"/>
    <w:rsid w:val="00FD78DD"/>
    <w:rsid w:val="00FD7C0B"/>
    <w:rsid w:val="00FE03EF"/>
    <w:rsid w:val="00FE09EB"/>
    <w:rsid w:val="00FE1AD7"/>
    <w:rsid w:val="00FE445B"/>
    <w:rsid w:val="00FE6BE9"/>
    <w:rsid w:val="00FE7E90"/>
    <w:rsid w:val="00FF3D23"/>
    <w:rsid w:val="00FF41E8"/>
    <w:rsid w:val="00FF45B1"/>
    <w:rsid w:val="00FF6E24"/>
    <w:rsid w:val="01916C5A"/>
    <w:rsid w:val="01982C7B"/>
    <w:rsid w:val="01AF5332"/>
    <w:rsid w:val="01BF32FC"/>
    <w:rsid w:val="022D195B"/>
    <w:rsid w:val="026E11A4"/>
    <w:rsid w:val="02732E5A"/>
    <w:rsid w:val="027547CD"/>
    <w:rsid w:val="027C1E1C"/>
    <w:rsid w:val="033B2446"/>
    <w:rsid w:val="03F82FC0"/>
    <w:rsid w:val="041F054D"/>
    <w:rsid w:val="04294F27"/>
    <w:rsid w:val="04344C2B"/>
    <w:rsid w:val="04621BC2"/>
    <w:rsid w:val="04640655"/>
    <w:rsid w:val="049F51EA"/>
    <w:rsid w:val="04A217CE"/>
    <w:rsid w:val="04E94855"/>
    <w:rsid w:val="053C6293"/>
    <w:rsid w:val="0560706F"/>
    <w:rsid w:val="056D405A"/>
    <w:rsid w:val="057B601E"/>
    <w:rsid w:val="05C3315A"/>
    <w:rsid w:val="05D92473"/>
    <w:rsid w:val="05D9472B"/>
    <w:rsid w:val="060D6DC2"/>
    <w:rsid w:val="064029FC"/>
    <w:rsid w:val="06494EFE"/>
    <w:rsid w:val="0666000E"/>
    <w:rsid w:val="06DF3E0F"/>
    <w:rsid w:val="072440CC"/>
    <w:rsid w:val="073F6EA3"/>
    <w:rsid w:val="07495B58"/>
    <w:rsid w:val="077B6AAB"/>
    <w:rsid w:val="07986F0A"/>
    <w:rsid w:val="07A45CD4"/>
    <w:rsid w:val="07A80859"/>
    <w:rsid w:val="07A86AAB"/>
    <w:rsid w:val="07C75183"/>
    <w:rsid w:val="07DD37C1"/>
    <w:rsid w:val="08236132"/>
    <w:rsid w:val="08461D5E"/>
    <w:rsid w:val="088E3EF3"/>
    <w:rsid w:val="08931509"/>
    <w:rsid w:val="092C1016"/>
    <w:rsid w:val="092C4292"/>
    <w:rsid w:val="094B46B8"/>
    <w:rsid w:val="09815806"/>
    <w:rsid w:val="09A6156B"/>
    <w:rsid w:val="09B858B3"/>
    <w:rsid w:val="09D75426"/>
    <w:rsid w:val="09F85DA9"/>
    <w:rsid w:val="0A2A7C4B"/>
    <w:rsid w:val="0A8348B4"/>
    <w:rsid w:val="0AA95014"/>
    <w:rsid w:val="0B293A5F"/>
    <w:rsid w:val="0B4B59DA"/>
    <w:rsid w:val="0B921DA9"/>
    <w:rsid w:val="0BCA3494"/>
    <w:rsid w:val="0C107DE7"/>
    <w:rsid w:val="0C2B1C59"/>
    <w:rsid w:val="0C684A5B"/>
    <w:rsid w:val="0C963376"/>
    <w:rsid w:val="0CF922FF"/>
    <w:rsid w:val="0D0D57C5"/>
    <w:rsid w:val="0D5C6668"/>
    <w:rsid w:val="0D6C7966"/>
    <w:rsid w:val="0DDF67D9"/>
    <w:rsid w:val="0DE25F5C"/>
    <w:rsid w:val="0DF307DE"/>
    <w:rsid w:val="0E2F75DE"/>
    <w:rsid w:val="0E4B0190"/>
    <w:rsid w:val="0E6C173F"/>
    <w:rsid w:val="0E8F1781"/>
    <w:rsid w:val="0EC96337"/>
    <w:rsid w:val="0EF80318"/>
    <w:rsid w:val="0EF859F9"/>
    <w:rsid w:val="0F052A35"/>
    <w:rsid w:val="0F334EAC"/>
    <w:rsid w:val="0F5D29AB"/>
    <w:rsid w:val="0F6634D4"/>
    <w:rsid w:val="103B04D4"/>
    <w:rsid w:val="10594DE6"/>
    <w:rsid w:val="1064474E"/>
    <w:rsid w:val="106F4084"/>
    <w:rsid w:val="10A06571"/>
    <w:rsid w:val="10D654F9"/>
    <w:rsid w:val="10DB4337"/>
    <w:rsid w:val="10E2302E"/>
    <w:rsid w:val="10EF6FD2"/>
    <w:rsid w:val="11270A41"/>
    <w:rsid w:val="11525528"/>
    <w:rsid w:val="118B0E8C"/>
    <w:rsid w:val="118D7CFC"/>
    <w:rsid w:val="119F4A7B"/>
    <w:rsid w:val="11C13241"/>
    <w:rsid w:val="11C845D1"/>
    <w:rsid w:val="11DD6376"/>
    <w:rsid w:val="12502219"/>
    <w:rsid w:val="128556B0"/>
    <w:rsid w:val="12B2048B"/>
    <w:rsid w:val="130A686C"/>
    <w:rsid w:val="13214193"/>
    <w:rsid w:val="13397A61"/>
    <w:rsid w:val="13A02D2C"/>
    <w:rsid w:val="13FD7798"/>
    <w:rsid w:val="14320035"/>
    <w:rsid w:val="14324384"/>
    <w:rsid w:val="1452563B"/>
    <w:rsid w:val="1487613A"/>
    <w:rsid w:val="14BF2AEA"/>
    <w:rsid w:val="14CB1C36"/>
    <w:rsid w:val="15421C87"/>
    <w:rsid w:val="154E3150"/>
    <w:rsid w:val="15A21F2B"/>
    <w:rsid w:val="15A703A2"/>
    <w:rsid w:val="15D61DAB"/>
    <w:rsid w:val="15F31839"/>
    <w:rsid w:val="1605086D"/>
    <w:rsid w:val="1659745B"/>
    <w:rsid w:val="1663076D"/>
    <w:rsid w:val="16846935"/>
    <w:rsid w:val="16857815"/>
    <w:rsid w:val="16C1151A"/>
    <w:rsid w:val="16C84A74"/>
    <w:rsid w:val="16F11668"/>
    <w:rsid w:val="16FB7CE2"/>
    <w:rsid w:val="171A4BA4"/>
    <w:rsid w:val="173348D1"/>
    <w:rsid w:val="175A62F1"/>
    <w:rsid w:val="175E53D7"/>
    <w:rsid w:val="1773145C"/>
    <w:rsid w:val="17766305"/>
    <w:rsid w:val="17942259"/>
    <w:rsid w:val="17C37D1A"/>
    <w:rsid w:val="181B671C"/>
    <w:rsid w:val="1822771A"/>
    <w:rsid w:val="182C6276"/>
    <w:rsid w:val="183A34E0"/>
    <w:rsid w:val="18756FBA"/>
    <w:rsid w:val="18767863"/>
    <w:rsid w:val="187F5606"/>
    <w:rsid w:val="18D824A8"/>
    <w:rsid w:val="192F29CD"/>
    <w:rsid w:val="194B54E8"/>
    <w:rsid w:val="195F08E7"/>
    <w:rsid w:val="199672A1"/>
    <w:rsid w:val="19CB6CC1"/>
    <w:rsid w:val="1A462EEC"/>
    <w:rsid w:val="1A60694B"/>
    <w:rsid w:val="1A66082C"/>
    <w:rsid w:val="1A807414"/>
    <w:rsid w:val="1A815666"/>
    <w:rsid w:val="1B203F6E"/>
    <w:rsid w:val="1B244E9E"/>
    <w:rsid w:val="1B293607"/>
    <w:rsid w:val="1B4E46B6"/>
    <w:rsid w:val="1B7F164B"/>
    <w:rsid w:val="1B94131A"/>
    <w:rsid w:val="1BB24455"/>
    <w:rsid w:val="1BB92BDD"/>
    <w:rsid w:val="1BD25A4D"/>
    <w:rsid w:val="1BD379F3"/>
    <w:rsid w:val="1BDF7F08"/>
    <w:rsid w:val="1BE760CC"/>
    <w:rsid w:val="1C260248"/>
    <w:rsid w:val="1C480B3C"/>
    <w:rsid w:val="1CA218C3"/>
    <w:rsid w:val="1CAE4354"/>
    <w:rsid w:val="1D405CAC"/>
    <w:rsid w:val="1D5C1A72"/>
    <w:rsid w:val="1D7E3D60"/>
    <w:rsid w:val="1DB01DBE"/>
    <w:rsid w:val="1DF0665E"/>
    <w:rsid w:val="1E0335B9"/>
    <w:rsid w:val="1E190EE6"/>
    <w:rsid w:val="1E601CD8"/>
    <w:rsid w:val="1E766F3B"/>
    <w:rsid w:val="1E777813"/>
    <w:rsid w:val="1E8F1641"/>
    <w:rsid w:val="1EE00481"/>
    <w:rsid w:val="1EE274F9"/>
    <w:rsid w:val="1F254BEB"/>
    <w:rsid w:val="1F440570"/>
    <w:rsid w:val="1F7B3345"/>
    <w:rsid w:val="1F8359DC"/>
    <w:rsid w:val="1FA83694"/>
    <w:rsid w:val="1FD04999"/>
    <w:rsid w:val="1FE327D3"/>
    <w:rsid w:val="1FE741BD"/>
    <w:rsid w:val="201725C8"/>
    <w:rsid w:val="202D755D"/>
    <w:rsid w:val="2037346C"/>
    <w:rsid w:val="20756A1B"/>
    <w:rsid w:val="20784F69"/>
    <w:rsid w:val="207D46DD"/>
    <w:rsid w:val="20BA0CAB"/>
    <w:rsid w:val="20CE3F85"/>
    <w:rsid w:val="21335F7D"/>
    <w:rsid w:val="21770F72"/>
    <w:rsid w:val="21B320EA"/>
    <w:rsid w:val="22343EEE"/>
    <w:rsid w:val="22361DEF"/>
    <w:rsid w:val="2265586D"/>
    <w:rsid w:val="227D218B"/>
    <w:rsid w:val="22F64F60"/>
    <w:rsid w:val="2318468D"/>
    <w:rsid w:val="233F4DD2"/>
    <w:rsid w:val="235A7016"/>
    <w:rsid w:val="2425014F"/>
    <w:rsid w:val="249D12EE"/>
    <w:rsid w:val="24C137FA"/>
    <w:rsid w:val="24D97E4C"/>
    <w:rsid w:val="262477ED"/>
    <w:rsid w:val="26AF4364"/>
    <w:rsid w:val="270A409B"/>
    <w:rsid w:val="271F0DEE"/>
    <w:rsid w:val="274F43F6"/>
    <w:rsid w:val="27845E7D"/>
    <w:rsid w:val="27A748B0"/>
    <w:rsid w:val="27F21951"/>
    <w:rsid w:val="280608ED"/>
    <w:rsid w:val="28730E5E"/>
    <w:rsid w:val="28AD1821"/>
    <w:rsid w:val="28BB4E38"/>
    <w:rsid w:val="28D83E39"/>
    <w:rsid w:val="29436172"/>
    <w:rsid w:val="298465D0"/>
    <w:rsid w:val="29A75546"/>
    <w:rsid w:val="29D04EE7"/>
    <w:rsid w:val="29F80D74"/>
    <w:rsid w:val="2A070FB7"/>
    <w:rsid w:val="2A0B4F4C"/>
    <w:rsid w:val="2A1D07DB"/>
    <w:rsid w:val="2AA50EFC"/>
    <w:rsid w:val="2AA574FE"/>
    <w:rsid w:val="2AC40DD3"/>
    <w:rsid w:val="2AE6454F"/>
    <w:rsid w:val="2B2B6F28"/>
    <w:rsid w:val="2B5516A2"/>
    <w:rsid w:val="2B595E54"/>
    <w:rsid w:val="2B6474BD"/>
    <w:rsid w:val="2B6A2F39"/>
    <w:rsid w:val="2BB83E2B"/>
    <w:rsid w:val="2BBA4C8D"/>
    <w:rsid w:val="2BC24FA5"/>
    <w:rsid w:val="2BFA2000"/>
    <w:rsid w:val="2C11436F"/>
    <w:rsid w:val="2C1F4CDE"/>
    <w:rsid w:val="2C5D5807"/>
    <w:rsid w:val="2C5F1641"/>
    <w:rsid w:val="2C935C28"/>
    <w:rsid w:val="2CA21A70"/>
    <w:rsid w:val="2CB03B88"/>
    <w:rsid w:val="2CB04E60"/>
    <w:rsid w:val="2CD63C1A"/>
    <w:rsid w:val="2CF06B78"/>
    <w:rsid w:val="2D173C07"/>
    <w:rsid w:val="2D385B2C"/>
    <w:rsid w:val="2DA353D1"/>
    <w:rsid w:val="2DB26F99"/>
    <w:rsid w:val="2DE33AEA"/>
    <w:rsid w:val="2E617BAC"/>
    <w:rsid w:val="2E687933"/>
    <w:rsid w:val="2E6D7F83"/>
    <w:rsid w:val="2E88008C"/>
    <w:rsid w:val="2F131720"/>
    <w:rsid w:val="2F2D3BA9"/>
    <w:rsid w:val="2F48454C"/>
    <w:rsid w:val="2F5E5B1E"/>
    <w:rsid w:val="2F611273"/>
    <w:rsid w:val="2F6E2558"/>
    <w:rsid w:val="2F911E34"/>
    <w:rsid w:val="2F967B66"/>
    <w:rsid w:val="302A3C52"/>
    <w:rsid w:val="306B04F2"/>
    <w:rsid w:val="306E08CF"/>
    <w:rsid w:val="30A9495D"/>
    <w:rsid w:val="30C51FC7"/>
    <w:rsid w:val="30F27A92"/>
    <w:rsid w:val="31334B3A"/>
    <w:rsid w:val="315C608D"/>
    <w:rsid w:val="31831CAF"/>
    <w:rsid w:val="318A0E4C"/>
    <w:rsid w:val="31975317"/>
    <w:rsid w:val="31D36B71"/>
    <w:rsid w:val="31D7385F"/>
    <w:rsid w:val="31D853CB"/>
    <w:rsid w:val="31F12C79"/>
    <w:rsid w:val="31FB5518"/>
    <w:rsid w:val="322070BA"/>
    <w:rsid w:val="3240150B"/>
    <w:rsid w:val="324C037B"/>
    <w:rsid w:val="324F174E"/>
    <w:rsid w:val="32CB3E17"/>
    <w:rsid w:val="32EF1585"/>
    <w:rsid w:val="32F26CA9"/>
    <w:rsid w:val="32F775F6"/>
    <w:rsid w:val="337568F4"/>
    <w:rsid w:val="34DA3E98"/>
    <w:rsid w:val="352B64A2"/>
    <w:rsid w:val="353B0C1C"/>
    <w:rsid w:val="35824E3F"/>
    <w:rsid w:val="35831E3A"/>
    <w:rsid w:val="35F45941"/>
    <w:rsid w:val="36E04127"/>
    <w:rsid w:val="370C5E5F"/>
    <w:rsid w:val="370E7E29"/>
    <w:rsid w:val="37FF30E0"/>
    <w:rsid w:val="388D4D7E"/>
    <w:rsid w:val="38A041FB"/>
    <w:rsid w:val="38FD1F03"/>
    <w:rsid w:val="3958538C"/>
    <w:rsid w:val="39924707"/>
    <w:rsid w:val="39932868"/>
    <w:rsid w:val="39A6469C"/>
    <w:rsid w:val="39E6508D"/>
    <w:rsid w:val="39FB2C0B"/>
    <w:rsid w:val="3A306308"/>
    <w:rsid w:val="3A325BDD"/>
    <w:rsid w:val="3A8C0FA7"/>
    <w:rsid w:val="3ABE56C2"/>
    <w:rsid w:val="3B070E17"/>
    <w:rsid w:val="3B194DCA"/>
    <w:rsid w:val="3B4C3B23"/>
    <w:rsid w:val="3B4F056C"/>
    <w:rsid w:val="3B567FF1"/>
    <w:rsid w:val="3BB70A8F"/>
    <w:rsid w:val="3BDB3975"/>
    <w:rsid w:val="3C7921E9"/>
    <w:rsid w:val="3CAC6472"/>
    <w:rsid w:val="3CB13731"/>
    <w:rsid w:val="3CBE5E4E"/>
    <w:rsid w:val="3D136199"/>
    <w:rsid w:val="3D5D5666"/>
    <w:rsid w:val="3D686EF5"/>
    <w:rsid w:val="3D695DB9"/>
    <w:rsid w:val="3D9D5D21"/>
    <w:rsid w:val="3DC41242"/>
    <w:rsid w:val="3DD962C1"/>
    <w:rsid w:val="3DEE2762"/>
    <w:rsid w:val="3DF12C27"/>
    <w:rsid w:val="3E6B49D4"/>
    <w:rsid w:val="3E7045EB"/>
    <w:rsid w:val="3E725142"/>
    <w:rsid w:val="3E944FCF"/>
    <w:rsid w:val="3EA57AE9"/>
    <w:rsid w:val="3ECD05CA"/>
    <w:rsid w:val="3ECF7E9E"/>
    <w:rsid w:val="3EEC37F0"/>
    <w:rsid w:val="3FE94F8F"/>
    <w:rsid w:val="40437314"/>
    <w:rsid w:val="40806F2A"/>
    <w:rsid w:val="40844EC1"/>
    <w:rsid w:val="40A3171E"/>
    <w:rsid w:val="40D43B7A"/>
    <w:rsid w:val="4185099F"/>
    <w:rsid w:val="419B675D"/>
    <w:rsid w:val="419D10FC"/>
    <w:rsid w:val="41BC3FEA"/>
    <w:rsid w:val="41D46FBC"/>
    <w:rsid w:val="41F17B2C"/>
    <w:rsid w:val="41FF4F3E"/>
    <w:rsid w:val="42385013"/>
    <w:rsid w:val="42596305"/>
    <w:rsid w:val="427B278E"/>
    <w:rsid w:val="42887E76"/>
    <w:rsid w:val="42A96C58"/>
    <w:rsid w:val="42BF5AD2"/>
    <w:rsid w:val="43057B40"/>
    <w:rsid w:val="433275A0"/>
    <w:rsid w:val="43486471"/>
    <w:rsid w:val="435107F7"/>
    <w:rsid w:val="43533408"/>
    <w:rsid w:val="438D3CFB"/>
    <w:rsid w:val="43972F54"/>
    <w:rsid w:val="43D8225E"/>
    <w:rsid w:val="43D95D54"/>
    <w:rsid w:val="445B1280"/>
    <w:rsid w:val="4492363B"/>
    <w:rsid w:val="45232CF2"/>
    <w:rsid w:val="454B69BD"/>
    <w:rsid w:val="456B03D0"/>
    <w:rsid w:val="457500B8"/>
    <w:rsid w:val="45754EC5"/>
    <w:rsid w:val="460649EF"/>
    <w:rsid w:val="462036D5"/>
    <w:rsid w:val="46342D5E"/>
    <w:rsid w:val="464844CB"/>
    <w:rsid w:val="4654337F"/>
    <w:rsid w:val="467852BF"/>
    <w:rsid w:val="46AD4F74"/>
    <w:rsid w:val="46CD24BD"/>
    <w:rsid w:val="46F62201"/>
    <w:rsid w:val="476B12EE"/>
    <w:rsid w:val="477323AE"/>
    <w:rsid w:val="477B022D"/>
    <w:rsid w:val="477C5CF0"/>
    <w:rsid w:val="47D85449"/>
    <w:rsid w:val="48205C0E"/>
    <w:rsid w:val="483D231C"/>
    <w:rsid w:val="48496F13"/>
    <w:rsid w:val="486B6D16"/>
    <w:rsid w:val="48A41F65"/>
    <w:rsid w:val="48B624C2"/>
    <w:rsid w:val="4921579A"/>
    <w:rsid w:val="493257C5"/>
    <w:rsid w:val="49B760FE"/>
    <w:rsid w:val="49B865EB"/>
    <w:rsid w:val="49F25792"/>
    <w:rsid w:val="4A397B89"/>
    <w:rsid w:val="4A6D4A0F"/>
    <w:rsid w:val="4AC05487"/>
    <w:rsid w:val="4ACC5BD9"/>
    <w:rsid w:val="4B23657B"/>
    <w:rsid w:val="4B26353C"/>
    <w:rsid w:val="4BA24A03"/>
    <w:rsid w:val="4BAA35C2"/>
    <w:rsid w:val="4BC13264"/>
    <w:rsid w:val="4C243F0A"/>
    <w:rsid w:val="4C4C280E"/>
    <w:rsid w:val="4C4D5A69"/>
    <w:rsid w:val="4C4E2B0E"/>
    <w:rsid w:val="4C8F6E2F"/>
    <w:rsid w:val="4C914429"/>
    <w:rsid w:val="4CA95846"/>
    <w:rsid w:val="4CB47604"/>
    <w:rsid w:val="4CDB0356"/>
    <w:rsid w:val="4CFF2296"/>
    <w:rsid w:val="4D461C73"/>
    <w:rsid w:val="4D7806F2"/>
    <w:rsid w:val="4D8970DD"/>
    <w:rsid w:val="4F1638C7"/>
    <w:rsid w:val="4F6642C4"/>
    <w:rsid w:val="4F786330"/>
    <w:rsid w:val="4FA233AD"/>
    <w:rsid w:val="4FAD6E64"/>
    <w:rsid w:val="4FAF0B25"/>
    <w:rsid w:val="4FF44D7B"/>
    <w:rsid w:val="50474890"/>
    <w:rsid w:val="507547B0"/>
    <w:rsid w:val="50AE500B"/>
    <w:rsid w:val="50C03AEB"/>
    <w:rsid w:val="50E0418D"/>
    <w:rsid w:val="512A365A"/>
    <w:rsid w:val="51B01DB1"/>
    <w:rsid w:val="51E60314"/>
    <w:rsid w:val="52081BED"/>
    <w:rsid w:val="522462FB"/>
    <w:rsid w:val="524B07C5"/>
    <w:rsid w:val="52A95D4B"/>
    <w:rsid w:val="52CD42B0"/>
    <w:rsid w:val="52EE362E"/>
    <w:rsid w:val="53204D14"/>
    <w:rsid w:val="532F6D06"/>
    <w:rsid w:val="533B290C"/>
    <w:rsid w:val="53422EDD"/>
    <w:rsid w:val="53542877"/>
    <w:rsid w:val="536B4680"/>
    <w:rsid w:val="53A51893"/>
    <w:rsid w:val="53E15825"/>
    <w:rsid w:val="54205F91"/>
    <w:rsid w:val="54305A26"/>
    <w:rsid w:val="54436F0C"/>
    <w:rsid w:val="5471389B"/>
    <w:rsid w:val="54AF700B"/>
    <w:rsid w:val="54F27D63"/>
    <w:rsid w:val="55076202"/>
    <w:rsid w:val="555E0F79"/>
    <w:rsid w:val="55825812"/>
    <w:rsid w:val="559B50DB"/>
    <w:rsid w:val="55B61033"/>
    <w:rsid w:val="56230799"/>
    <w:rsid w:val="563C2871"/>
    <w:rsid w:val="56677101"/>
    <w:rsid w:val="56B6542B"/>
    <w:rsid w:val="56BA705C"/>
    <w:rsid w:val="56D50792"/>
    <w:rsid w:val="56EF6ED8"/>
    <w:rsid w:val="57121049"/>
    <w:rsid w:val="573B5557"/>
    <w:rsid w:val="57606D1E"/>
    <w:rsid w:val="57623B4D"/>
    <w:rsid w:val="579E08FE"/>
    <w:rsid w:val="57CB3367"/>
    <w:rsid w:val="57E5414B"/>
    <w:rsid w:val="57FE43A8"/>
    <w:rsid w:val="583F3E8F"/>
    <w:rsid w:val="58544D02"/>
    <w:rsid w:val="58580AAD"/>
    <w:rsid w:val="5879039C"/>
    <w:rsid w:val="588C5893"/>
    <w:rsid w:val="58977827"/>
    <w:rsid w:val="58AC0430"/>
    <w:rsid w:val="58AE4651"/>
    <w:rsid w:val="58B75CC9"/>
    <w:rsid w:val="58BF5DB6"/>
    <w:rsid w:val="58CB5722"/>
    <w:rsid w:val="58D778DB"/>
    <w:rsid w:val="590D43CD"/>
    <w:rsid w:val="595647AE"/>
    <w:rsid w:val="59B85CA7"/>
    <w:rsid w:val="59C06909"/>
    <w:rsid w:val="5A096502"/>
    <w:rsid w:val="5A3B5DD0"/>
    <w:rsid w:val="5A6B307E"/>
    <w:rsid w:val="5A783688"/>
    <w:rsid w:val="5B1A029B"/>
    <w:rsid w:val="5B8A5B51"/>
    <w:rsid w:val="5BBC4626"/>
    <w:rsid w:val="5C4404DB"/>
    <w:rsid w:val="5C5545E6"/>
    <w:rsid w:val="5C5C0796"/>
    <w:rsid w:val="5C671EA1"/>
    <w:rsid w:val="5C7659A5"/>
    <w:rsid w:val="5C8903C8"/>
    <w:rsid w:val="5CC14393"/>
    <w:rsid w:val="5CCF199A"/>
    <w:rsid w:val="5CDA23D8"/>
    <w:rsid w:val="5D245401"/>
    <w:rsid w:val="5D547467"/>
    <w:rsid w:val="5D5D08DC"/>
    <w:rsid w:val="5D752101"/>
    <w:rsid w:val="5D83481E"/>
    <w:rsid w:val="5DA54794"/>
    <w:rsid w:val="5DBF08B5"/>
    <w:rsid w:val="5DC32E6C"/>
    <w:rsid w:val="5E127950"/>
    <w:rsid w:val="5E940365"/>
    <w:rsid w:val="5EAC0136"/>
    <w:rsid w:val="5EC55A3A"/>
    <w:rsid w:val="5F0415E0"/>
    <w:rsid w:val="5F784CD5"/>
    <w:rsid w:val="5FCA3B85"/>
    <w:rsid w:val="5FEB0458"/>
    <w:rsid w:val="5FFA069B"/>
    <w:rsid w:val="600227CA"/>
    <w:rsid w:val="600A4D82"/>
    <w:rsid w:val="605F317B"/>
    <w:rsid w:val="606064EF"/>
    <w:rsid w:val="60791D20"/>
    <w:rsid w:val="60906872"/>
    <w:rsid w:val="60C82547"/>
    <w:rsid w:val="60D31618"/>
    <w:rsid w:val="60FF5185"/>
    <w:rsid w:val="61654709"/>
    <w:rsid w:val="61860586"/>
    <w:rsid w:val="618F75B0"/>
    <w:rsid w:val="62242C78"/>
    <w:rsid w:val="622B39BA"/>
    <w:rsid w:val="622C625B"/>
    <w:rsid w:val="62327DFF"/>
    <w:rsid w:val="62377985"/>
    <w:rsid w:val="62AF5A10"/>
    <w:rsid w:val="62CE653B"/>
    <w:rsid w:val="62D11B87"/>
    <w:rsid w:val="62D358E5"/>
    <w:rsid w:val="635F492C"/>
    <w:rsid w:val="63A86BDE"/>
    <w:rsid w:val="63C16AD8"/>
    <w:rsid w:val="63C85B55"/>
    <w:rsid w:val="63E1229E"/>
    <w:rsid w:val="63F518A5"/>
    <w:rsid w:val="641445D5"/>
    <w:rsid w:val="64223BEF"/>
    <w:rsid w:val="643028DD"/>
    <w:rsid w:val="6490421A"/>
    <w:rsid w:val="64986F06"/>
    <w:rsid w:val="64F30FC7"/>
    <w:rsid w:val="65130889"/>
    <w:rsid w:val="653A1C66"/>
    <w:rsid w:val="654E76EF"/>
    <w:rsid w:val="655349A6"/>
    <w:rsid w:val="656E190F"/>
    <w:rsid w:val="657874A5"/>
    <w:rsid w:val="65A802D1"/>
    <w:rsid w:val="65C066B5"/>
    <w:rsid w:val="65F83509"/>
    <w:rsid w:val="66017EF8"/>
    <w:rsid w:val="661B1F68"/>
    <w:rsid w:val="66255863"/>
    <w:rsid w:val="66972612"/>
    <w:rsid w:val="669A3E35"/>
    <w:rsid w:val="66A23F66"/>
    <w:rsid w:val="66A3360C"/>
    <w:rsid w:val="66FE4F15"/>
    <w:rsid w:val="671E7E72"/>
    <w:rsid w:val="67293332"/>
    <w:rsid w:val="67332E10"/>
    <w:rsid w:val="677B5BA2"/>
    <w:rsid w:val="679D64DC"/>
    <w:rsid w:val="67A71109"/>
    <w:rsid w:val="68185A6B"/>
    <w:rsid w:val="68A35D74"/>
    <w:rsid w:val="68A378CD"/>
    <w:rsid w:val="68C01E5D"/>
    <w:rsid w:val="68C161FA"/>
    <w:rsid w:val="68C75DA5"/>
    <w:rsid w:val="68E32614"/>
    <w:rsid w:val="6922313D"/>
    <w:rsid w:val="69223368"/>
    <w:rsid w:val="695A4A3F"/>
    <w:rsid w:val="69626CD8"/>
    <w:rsid w:val="69774F65"/>
    <w:rsid w:val="69831891"/>
    <w:rsid w:val="699B2EEF"/>
    <w:rsid w:val="69E16F9A"/>
    <w:rsid w:val="69F8028F"/>
    <w:rsid w:val="6A0F693E"/>
    <w:rsid w:val="6A2B63D4"/>
    <w:rsid w:val="6A7F011B"/>
    <w:rsid w:val="6ABD1FC2"/>
    <w:rsid w:val="6B07488D"/>
    <w:rsid w:val="6B1940CB"/>
    <w:rsid w:val="6B1F498D"/>
    <w:rsid w:val="6B2F669E"/>
    <w:rsid w:val="6B48561C"/>
    <w:rsid w:val="6B881251"/>
    <w:rsid w:val="6BCF757D"/>
    <w:rsid w:val="6BF226D2"/>
    <w:rsid w:val="6C032026"/>
    <w:rsid w:val="6C4334D1"/>
    <w:rsid w:val="6C496C32"/>
    <w:rsid w:val="6C606583"/>
    <w:rsid w:val="6C7C0DB6"/>
    <w:rsid w:val="6CDA1E5E"/>
    <w:rsid w:val="6CEB5F3B"/>
    <w:rsid w:val="6DC6795B"/>
    <w:rsid w:val="6DD17766"/>
    <w:rsid w:val="6DED64EA"/>
    <w:rsid w:val="6E3A5B17"/>
    <w:rsid w:val="6E84443F"/>
    <w:rsid w:val="6E9567E1"/>
    <w:rsid w:val="6E9879FD"/>
    <w:rsid w:val="6EA35314"/>
    <w:rsid w:val="6F0B3BB8"/>
    <w:rsid w:val="6F263A12"/>
    <w:rsid w:val="6F2D283B"/>
    <w:rsid w:val="6F53393A"/>
    <w:rsid w:val="6F5A4CB2"/>
    <w:rsid w:val="6F663314"/>
    <w:rsid w:val="6F6B48C4"/>
    <w:rsid w:val="6FAE677A"/>
    <w:rsid w:val="6FF21A97"/>
    <w:rsid w:val="6FF81A26"/>
    <w:rsid w:val="704020FA"/>
    <w:rsid w:val="709E31F4"/>
    <w:rsid w:val="70DD57EB"/>
    <w:rsid w:val="712B2DAA"/>
    <w:rsid w:val="71321BB3"/>
    <w:rsid w:val="713E2ADE"/>
    <w:rsid w:val="716B00DB"/>
    <w:rsid w:val="71EC42E8"/>
    <w:rsid w:val="725325B9"/>
    <w:rsid w:val="729D3488"/>
    <w:rsid w:val="72B163F3"/>
    <w:rsid w:val="73002114"/>
    <w:rsid w:val="7321391A"/>
    <w:rsid w:val="73452F2B"/>
    <w:rsid w:val="734B1CE7"/>
    <w:rsid w:val="73571C35"/>
    <w:rsid w:val="7379604F"/>
    <w:rsid w:val="73836ECE"/>
    <w:rsid w:val="739B4217"/>
    <w:rsid w:val="73A82490"/>
    <w:rsid w:val="73BB1DFB"/>
    <w:rsid w:val="73D36693"/>
    <w:rsid w:val="73F17DF8"/>
    <w:rsid w:val="73F407F6"/>
    <w:rsid w:val="740946A2"/>
    <w:rsid w:val="742F2BB2"/>
    <w:rsid w:val="7446411F"/>
    <w:rsid w:val="745C7F42"/>
    <w:rsid w:val="74EA57DF"/>
    <w:rsid w:val="750C2AE5"/>
    <w:rsid w:val="750D2EF3"/>
    <w:rsid w:val="75175B20"/>
    <w:rsid w:val="75483F2B"/>
    <w:rsid w:val="75575526"/>
    <w:rsid w:val="756C092E"/>
    <w:rsid w:val="75717DE3"/>
    <w:rsid w:val="75A82C1C"/>
    <w:rsid w:val="75C65C36"/>
    <w:rsid w:val="75D355E7"/>
    <w:rsid w:val="75D91027"/>
    <w:rsid w:val="76110859"/>
    <w:rsid w:val="76326989"/>
    <w:rsid w:val="763B75EC"/>
    <w:rsid w:val="76755DB3"/>
    <w:rsid w:val="769E386F"/>
    <w:rsid w:val="76D6668A"/>
    <w:rsid w:val="76DA5356"/>
    <w:rsid w:val="77084663"/>
    <w:rsid w:val="77B821AE"/>
    <w:rsid w:val="77E57EB0"/>
    <w:rsid w:val="77EF0DF4"/>
    <w:rsid w:val="782567A5"/>
    <w:rsid w:val="78767001"/>
    <w:rsid w:val="78F90AA0"/>
    <w:rsid w:val="790068CB"/>
    <w:rsid w:val="79182FD1"/>
    <w:rsid w:val="795E65E9"/>
    <w:rsid w:val="79646E59"/>
    <w:rsid w:val="79C124FE"/>
    <w:rsid w:val="79DB2CE9"/>
    <w:rsid w:val="7AAB5BEB"/>
    <w:rsid w:val="7AC21770"/>
    <w:rsid w:val="7ACA28D2"/>
    <w:rsid w:val="7AF10BC1"/>
    <w:rsid w:val="7B175363"/>
    <w:rsid w:val="7B305D36"/>
    <w:rsid w:val="7B964470"/>
    <w:rsid w:val="7BF81882"/>
    <w:rsid w:val="7C516DA3"/>
    <w:rsid w:val="7C707CBE"/>
    <w:rsid w:val="7C87766B"/>
    <w:rsid w:val="7CCF01AF"/>
    <w:rsid w:val="7CD157BD"/>
    <w:rsid w:val="7D6F4F9C"/>
    <w:rsid w:val="7D7D5394"/>
    <w:rsid w:val="7DB658A3"/>
    <w:rsid w:val="7DFF1847"/>
    <w:rsid w:val="7E0B3E65"/>
    <w:rsid w:val="7E350DC4"/>
    <w:rsid w:val="7E6D055E"/>
    <w:rsid w:val="7EA5351B"/>
    <w:rsid w:val="7EC446FA"/>
    <w:rsid w:val="7F675F0D"/>
    <w:rsid w:val="7F6831E2"/>
    <w:rsid w:val="7F7973D7"/>
    <w:rsid w:val="7F923FF5"/>
    <w:rsid w:val="7FA02BB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7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2"/>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3"/>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160" w:after="170" w:line="376" w:lineRule="auto"/>
      <w:ind w:left="200" w:leftChars="100" w:right="200" w:rightChars="100"/>
      <w:outlineLvl w:val="3"/>
    </w:pPr>
    <w:rPr>
      <w:rFonts w:ascii="Arial" w:hAnsi="Arial" w:eastAsia="黑体"/>
      <w:bCs/>
      <w:sz w:val="21"/>
      <w:szCs w:val="21"/>
    </w:rPr>
  </w:style>
  <w:style w:type="paragraph" w:styleId="6">
    <w:name w:val="heading 5"/>
    <w:basedOn w:val="1"/>
    <w:next w:val="1"/>
    <w:link w:val="75"/>
    <w:qFormat/>
    <w:uiPriority w:val="0"/>
    <w:pPr>
      <w:keepNext/>
      <w:keepLines/>
      <w:spacing w:before="280" w:after="290" w:line="376" w:lineRule="auto"/>
      <w:outlineLvl w:val="4"/>
    </w:pPr>
    <w:rPr>
      <w:b/>
      <w:bCs/>
      <w:sz w:val="28"/>
      <w:szCs w:val="28"/>
    </w:rPr>
  </w:style>
  <w:style w:type="paragraph" w:styleId="7">
    <w:name w:val="heading 6"/>
    <w:basedOn w:val="1"/>
    <w:next w:val="1"/>
    <w:link w:val="76"/>
    <w:qFormat/>
    <w:uiPriority w:val="0"/>
    <w:pPr>
      <w:keepNext/>
      <w:keepLines/>
      <w:numPr>
        <w:ilvl w:val="5"/>
        <w:numId w:val="1"/>
      </w:numPr>
      <w:tabs>
        <w:tab w:val="left" w:pos="1440"/>
      </w:tabs>
      <w:spacing w:before="240" w:after="64" w:line="317" w:lineRule="auto"/>
      <w:outlineLvl w:val="5"/>
    </w:pPr>
    <w:rPr>
      <w:rFonts w:ascii="Arial" w:hAnsi="Arial" w:eastAsia="黑体"/>
      <w:b/>
      <w:bCs/>
      <w:sz w:val="24"/>
      <w:szCs w:val="24"/>
    </w:rPr>
  </w:style>
  <w:style w:type="paragraph" w:styleId="8">
    <w:name w:val="heading 7"/>
    <w:basedOn w:val="1"/>
    <w:next w:val="1"/>
    <w:link w:val="77"/>
    <w:qFormat/>
    <w:uiPriority w:val="0"/>
    <w:pPr>
      <w:keepNext/>
      <w:keepLines/>
      <w:numPr>
        <w:ilvl w:val="6"/>
        <w:numId w:val="1"/>
      </w:numPr>
      <w:tabs>
        <w:tab w:val="left" w:pos="2520"/>
      </w:tabs>
      <w:spacing w:before="240" w:after="64" w:line="317" w:lineRule="auto"/>
      <w:outlineLvl w:val="6"/>
    </w:pPr>
    <w:rPr>
      <w:b/>
      <w:bCs/>
      <w:sz w:val="24"/>
      <w:szCs w:val="24"/>
    </w:rPr>
  </w:style>
  <w:style w:type="paragraph" w:styleId="9">
    <w:name w:val="heading 8"/>
    <w:basedOn w:val="1"/>
    <w:next w:val="1"/>
    <w:link w:val="78"/>
    <w:qFormat/>
    <w:uiPriority w:val="0"/>
    <w:pPr>
      <w:keepNext/>
      <w:keepLines/>
      <w:numPr>
        <w:ilvl w:val="7"/>
        <w:numId w:val="1"/>
      </w:numPr>
      <w:tabs>
        <w:tab w:val="left" w:pos="1440"/>
      </w:tabs>
      <w:spacing w:before="240" w:after="64" w:line="317" w:lineRule="auto"/>
      <w:outlineLvl w:val="7"/>
    </w:pPr>
    <w:rPr>
      <w:rFonts w:ascii="Arial" w:hAnsi="Arial" w:eastAsia="黑体"/>
      <w:sz w:val="24"/>
      <w:szCs w:val="24"/>
    </w:rPr>
  </w:style>
  <w:style w:type="paragraph" w:styleId="10">
    <w:name w:val="heading 9"/>
    <w:basedOn w:val="1"/>
    <w:next w:val="1"/>
    <w:link w:val="79"/>
    <w:qFormat/>
    <w:uiPriority w:val="0"/>
    <w:pPr>
      <w:keepNext/>
      <w:keepLines/>
      <w:numPr>
        <w:ilvl w:val="8"/>
        <w:numId w:val="1"/>
      </w:numPr>
      <w:tabs>
        <w:tab w:val="left" w:pos="1584"/>
      </w:tabs>
      <w:spacing w:before="240" w:after="64" w:line="317" w:lineRule="auto"/>
      <w:outlineLvl w:val="8"/>
    </w:pPr>
    <w:rPr>
      <w:rFonts w:ascii="Arial" w:hAnsi="Arial" w:eastAsia="黑体"/>
      <w:szCs w:val="21"/>
    </w:rPr>
  </w:style>
  <w:style w:type="character" w:default="1" w:styleId="58">
    <w:name w:val="Default Paragraph Font"/>
    <w:unhideWhenUsed/>
    <w:qFormat/>
    <w:uiPriority w:val="1"/>
  </w:style>
  <w:style w:type="table" w:default="1" w:styleId="56">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0"/>
    <w:pPr>
      <w:ind w:left="1200"/>
    </w:pPr>
    <w:rPr>
      <w:sz w:val="18"/>
      <w:szCs w:val="18"/>
    </w:rPr>
  </w:style>
  <w:style w:type="paragraph" w:styleId="13">
    <w:name w:val="List Number"/>
    <w:basedOn w:val="14"/>
    <w:semiHidden/>
    <w:unhideWhenUsed/>
    <w:qFormat/>
    <w:uiPriority w:val="99"/>
    <w:pPr>
      <w:numPr>
        <w:ilvl w:val="0"/>
        <w:numId w:val="2"/>
      </w:numPr>
    </w:pPr>
  </w:style>
  <w:style w:type="paragraph" w:styleId="14">
    <w:name w:val="Normal Indent"/>
    <w:basedOn w:val="1"/>
    <w:next w:val="1"/>
    <w:link w:val="80"/>
    <w:qFormat/>
    <w:uiPriority w:val="0"/>
    <w:pPr>
      <w:ind w:firstLine="420"/>
    </w:pPr>
  </w:style>
  <w:style w:type="paragraph" w:styleId="15">
    <w:name w:val="caption"/>
    <w:basedOn w:val="1"/>
    <w:next w:val="1"/>
    <w:qFormat/>
    <w:uiPriority w:val="0"/>
    <w:pPr>
      <w:widowControl w:val="0"/>
      <w:adjustRightInd w:val="0"/>
      <w:snapToGrid w:val="0"/>
      <w:spacing w:before="152" w:after="160"/>
      <w:jc w:val="both"/>
    </w:pPr>
    <w:rPr>
      <w:rFonts w:ascii="Arial" w:hAnsi="Arial" w:eastAsia="黑体" w:cs="Arial"/>
      <w:kern w:val="2"/>
    </w:rPr>
  </w:style>
  <w:style w:type="paragraph" w:styleId="16">
    <w:name w:val="List Bullet"/>
    <w:basedOn w:val="17"/>
    <w:qFormat/>
    <w:uiPriority w:val="0"/>
    <w:pPr>
      <w:widowControl w:val="0"/>
      <w:numPr>
        <w:ilvl w:val="0"/>
        <w:numId w:val="3"/>
      </w:numPr>
      <w:tabs>
        <w:tab w:val="left" w:pos="360"/>
        <w:tab w:val="clear" w:pos="432"/>
      </w:tabs>
      <w:jc w:val="both"/>
    </w:pPr>
    <w:rPr>
      <w:kern w:val="2"/>
      <w:sz w:val="21"/>
      <w:szCs w:val="24"/>
    </w:rPr>
  </w:style>
  <w:style w:type="paragraph" w:styleId="17">
    <w:name w:val="Title"/>
    <w:basedOn w:val="1"/>
    <w:next w:val="1"/>
    <w:link w:val="96"/>
    <w:qFormat/>
    <w:uiPriority w:val="0"/>
    <w:pPr>
      <w:widowControl w:val="0"/>
      <w:tabs>
        <w:tab w:val="left" w:pos="360"/>
      </w:tabs>
      <w:spacing w:before="240" w:after="60"/>
      <w:jc w:val="center"/>
      <w:outlineLvl w:val="0"/>
    </w:pPr>
    <w:rPr>
      <w:rFonts w:ascii="Cambria" w:hAnsi="Cambria"/>
      <w:b/>
      <w:bCs/>
      <w:kern w:val="2"/>
      <w:sz w:val="32"/>
      <w:szCs w:val="32"/>
    </w:rPr>
  </w:style>
  <w:style w:type="paragraph" w:styleId="18">
    <w:name w:val="Document Map"/>
    <w:basedOn w:val="16"/>
    <w:link w:val="81"/>
    <w:qFormat/>
    <w:uiPriority w:val="0"/>
    <w:rPr>
      <w:rFonts w:ascii="宋体"/>
      <w:sz w:val="18"/>
      <w:szCs w:val="18"/>
    </w:rPr>
  </w:style>
  <w:style w:type="paragraph" w:styleId="19">
    <w:name w:val="annotation text"/>
    <w:basedOn w:val="1"/>
    <w:link w:val="82"/>
    <w:qFormat/>
    <w:uiPriority w:val="0"/>
    <w:pPr>
      <w:widowControl w:val="0"/>
      <w:adjustRightInd w:val="0"/>
      <w:spacing w:line="360" w:lineRule="atLeast"/>
      <w:textAlignment w:val="baseline"/>
    </w:pPr>
    <w:rPr>
      <w:sz w:val="24"/>
    </w:rPr>
  </w:style>
  <w:style w:type="paragraph" w:styleId="20">
    <w:name w:val="Salutation"/>
    <w:basedOn w:val="18"/>
    <w:next w:val="18"/>
    <w:qFormat/>
    <w:uiPriority w:val="0"/>
    <w:pPr>
      <w:tabs>
        <w:tab w:val="left" w:pos="432"/>
        <w:tab w:val="left" w:pos="454"/>
        <w:tab w:val="left" w:pos="720"/>
        <w:tab w:val="left" w:pos="840"/>
        <w:tab w:val="left" w:pos="900"/>
        <w:tab w:val="right" w:pos="8164"/>
      </w:tabs>
    </w:pPr>
  </w:style>
  <w:style w:type="paragraph" w:styleId="21">
    <w:name w:val="Body Text 3"/>
    <w:basedOn w:val="1"/>
    <w:link w:val="83"/>
    <w:qFormat/>
    <w:uiPriority w:val="0"/>
    <w:pPr>
      <w:widowControl w:val="0"/>
      <w:jc w:val="both"/>
    </w:pPr>
    <w:rPr>
      <w:rFonts w:ascii="宋体" w:hAnsi="宋体"/>
      <w:color w:val="000000"/>
      <w:kern w:val="2"/>
      <w:sz w:val="21"/>
    </w:rPr>
  </w:style>
  <w:style w:type="paragraph" w:styleId="22">
    <w:name w:val="Body Text"/>
    <w:basedOn w:val="1"/>
    <w:next w:val="17"/>
    <w:link w:val="70"/>
    <w:qFormat/>
    <w:uiPriority w:val="0"/>
    <w:pPr>
      <w:spacing w:after="120"/>
    </w:pPr>
  </w:style>
  <w:style w:type="paragraph" w:styleId="23">
    <w:name w:val="Body Text Indent"/>
    <w:basedOn w:val="1"/>
    <w:next w:val="24"/>
    <w:link w:val="84"/>
    <w:qFormat/>
    <w:uiPriority w:val="0"/>
    <w:pPr>
      <w:spacing w:after="120"/>
      <w:ind w:left="420" w:leftChars="200"/>
    </w:pPr>
  </w:style>
  <w:style w:type="paragraph" w:styleId="24">
    <w:name w:val="Body Text First Indent 2"/>
    <w:basedOn w:val="23"/>
    <w:next w:val="25"/>
    <w:link w:val="98"/>
    <w:qFormat/>
    <w:uiPriority w:val="0"/>
    <w:pPr>
      <w:ind w:firstLine="420" w:firstLineChars="200"/>
    </w:pPr>
    <w:rPr>
      <w:lang w:val="en-US" w:eastAsia="zh-CN"/>
    </w:rPr>
  </w:style>
  <w:style w:type="paragraph" w:styleId="25">
    <w:name w:val="Body Text First Indent"/>
    <w:basedOn w:val="22"/>
    <w:qFormat/>
    <w:uiPriority w:val="0"/>
    <w:pPr>
      <w:spacing w:after="120"/>
      <w:ind w:firstLine="420" w:firstLineChars="100"/>
    </w:pPr>
    <w:rPr>
      <w:rFonts w:ascii="Times New Roman" w:hAnsi="Times New Roman" w:eastAsia="宋体"/>
      <w:bCs/>
      <w:spacing w:val="0"/>
      <w:kern w:val="44"/>
      <w:sz w:val="52"/>
      <w:szCs w:val="44"/>
    </w:rPr>
  </w:style>
  <w:style w:type="paragraph" w:styleId="26">
    <w:name w:val="List 2"/>
    <w:basedOn w:val="1"/>
    <w:qFormat/>
    <w:uiPriority w:val="0"/>
    <w:pPr>
      <w:widowControl w:val="0"/>
      <w:ind w:left="100" w:leftChars="200" w:hanging="200" w:hangingChars="200"/>
      <w:jc w:val="both"/>
    </w:pPr>
    <w:rPr>
      <w:kern w:val="2"/>
      <w:sz w:val="21"/>
      <w:szCs w:val="24"/>
    </w:rPr>
  </w:style>
  <w:style w:type="paragraph" w:styleId="27">
    <w:name w:val="Block Text"/>
    <w:basedOn w:val="1"/>
    <w:qFormat/>
    <w:uiPriority w:val="0"/>
    <w:pPr>
      <w:spacing w:after="120"/>
      <w:ind w:left="1440" w:leftChars="700" w:right="1440" w:rightChars="700"/>
    </w:pPr>
  </w:style>
  <w:style w:type="paragraph" w:styleId="28">
    <w:name w:val="index 4"/>
    <w:basedOn w:val="1"/>
    <w:next w:val="1"/>
    <w:qFormat/>
    <w:uiPriority w:val="0"/>
    <w:pPr>
      <w:widowControl w:val="0"/>
      <w:ind w:left="600" w:leftChars="600"/>
      <w:jc w:val="both"/>
    </w:pPr>
    <w:rPr>
      <w:kern w:val="2"/>
      <w:sz w:val="21"/>
      <w:szCs w:val="24"/>
    </w:rPr>
  </w:style>
  <w:style w:type="paragraph" w:styleId="29">
    <w:name w:val="toc 5"/>
    <w:basedOn w:val="1"/>
    <w:next w:val="1"/>
    <w:qFormat/>
    <w:uiPriority w:val="0"/>
    <w:pPr>
      <w:ind w:left="800"/>
    </w:pPr>
    <w:rPr>
      <w:sz w:val="18"/>
      <w:szCs w:val="18"/>
    </w:rPr>
  </w:style>
  <w:style w:type="paragraph" w:styleId="30">
    <w:name w:val="toc 3"/>
    <w:basedOn w:val="1"/>
    <w:next w:val="1"/>
    <w:qFormat/>
    <w:uiPriority w:val="0"/>
    <w:pPr>
      <w:ind w:left="400"/>
    </w:pPr>
    <w:rPr>
      <w:i/>
      <w:iCs/>
    </w:rPr>
  </w:style>
  <w:style w:type="paragraph" w:styleId="31">
    <w:name w:val="Plain Text"/>
    <w:basedOn w:val="1"/>
    <w:link w:val="85"/>
    <w:qFormat/>
    <w:uiPriority w:val="0"/>
    <w:pPr>
      <w:widowControl w:val="0"/>
      <w:jc w:val="both"/>
    </w:pPr>
    <w:rPr>
      <w:rFonts w:ascii="宋体" w:hAnsi="Courier New"/>
      <w:szCs w:val="21"/>
    </w:rPr>
  </w:style>
  <w:style w:type="paragraph" w:styleId="32">
    <w:name w:val="toc 8"/>
    <w:basedOn w:val="1"/>
    <w:next w:val="1"/>
    <w:qFormat/>
    <w:uiPriority w:val="0"/>
    <w:pPr>
      <w:ind w:left="1400"/>
    </w:pPr>
    <w:rPr>
      <w:sz w:val="18"/>
      <w:szCs w:val="18"/>
    </w:rPr>
  </w:style>
  <w:style w:type="paragraph" w:styleId="33">
    <w:name w:val="Date"/>
    <w:basedOn w:val="1"/>
    <w:next w:val="1"/>
    <w:link w:val="86"/>
    <w:qFormat/>
    <w:uiPriority w:val="0"/>
    <w:pPr>
      <w:ind w:left="100" w:leftChars="2500"/>
    </w:pPr>
  </w:style>
  <w:style w:type="paragraph" w:styleId="34">
    <w:name w:val="Body Text Indent 2"/>
    <w:basedOn w:val="1"/>
    <w:link w:val="87"/>
    <w:qFormat/>
    <w:uiPriority w:val="0"/>
    <w:pPr>
      <w:spacing w:after="120" w:line="480" w:lineRule="auto"/>
      <w:ind w:left="420" w:leftChars="200"/>
    </w:pPr>
  </w:style>
  <w:style w:type="paragraph" w:styleId="35">
    <w:name w:val="Balloon Text"/>
    <w:basedOn w:val="1"/>
    <w:link w:val="88"/>
    <w:qFormat/>
    <w:uiPriority w:val="0"/>
    <w:rPr>
      <w:sz w:val="18"/>
      <w:szCs w:val="18"/>
    </w:rPr>
  </w:style>
  <w:style w:type="paragraph" w:styleId="36">
    <w:name w:val="footer"/>
    <w:basedOn w:val="1"/>
    <w:link w:val="89"/>
    <w:qFormat/>
    <w:uiPriority w:val="0"/>
    <w:pPr>
      <w:tabs>
        <w:tab w:val="center" w:pos="4153"/>
        <w:tab w:val="right" w:pos="8306"/>
      </w:tabs>
      <w:snapToGrid w:val="0"/>
    </w:pPr>
    <w:rPr>
      <w:sz w:val="18"/>
      <w:szCs w:val="18"/>
    </w:rPr>
  </w:style>
  <w:style w:type="paragraph" w:styleId="37">
    <w:name w:val="header"/>
    <w:basedOn w:val="1"/>
    <w:link w:val="90"/>
    <w:qFormat/>
    <w:uiPriority w:val="0"/>
    <w:pPr>
      <w:pBdr>
        <w:bottom w:val="single" w:color="auto" w:sz="6" w:space="1"/>
      </w:pBdr>
      <w:tabs>
        <w:tab w:val="center" w:pos="4153"/>
        <w:tab w:val="right" w:pos="8306"/>
      </w:tabs>
      <w:snapToGrid w:val="0"/>
      <w:jc w:val="center"/>
    </w:pPr>
    <w:rPr>
      <w:sz w:val="18"/>
      <w:szCs w:val="18"/>
    </w:rPr>
  </w:style>
  <w:style w:type="paragraph" w:styleId="38">
    <w:name w:val="toc 1"/>
    <w:basedOn w:val="1"/>
    <w:next w:val="1"/>
    <w:qFormat/>
    <w:uiPriority w:val="39"/>
    <w:pPr>
      <w:tabs>
        <w:tab w:val="right" w:leader="dot" w:pos="9402"/>
      </w:tabs>
      <w:spacing w:before="120" w:after="120" w:line="360" w:lineRule="auto"/>
    </w:pPr>
    <w:rPr>
      <w:b/>
      <w:bCs/>
      <w:caps/>
    </w:rPr>
  </w:style>
  <w:style w:type="paragraph" w:styleId="39">
    <w:name w:val="toc 4"/>
    <w:basedOn w:val="1"/>
    <w:next w:val="1"/>
    <w:qFormat/>
    <w:uiPriority w:val="0"/>
    <w:pPr>
      <w:ind w:left="600"/>
    </w:pPr>
    <w:rPr>
      <w:sz w:val="18"/>
      <w:szCs w:val="18"/>
    </w:rPr>
  </w:style>
  <w:style w:type="paragraph" w:styleId="40">
    <w:name w:val="index heading"/>
    <w:basedOn w:val="1"/>
    <w:next w:val="41"/>
    <w:qFormat/>
    <w:uiPriority w:val="0"/>
    <w:pPr>
      <w:widowControl w:val="0"/>
      <w:jc w:val="both"/>
    </w:pPr>
    <w:rPr>
      <w:kern w:val="2"/>
      <w:sz w:val="21"/>
      <w:szCs w:val="24"/>
    </w:rPr>
  </w:style>
  <w:style w:type="paragraph" w:styleId="41">
    <w:name w:val="index 1"/>
    <w:basedOn w:val="1"/>
    <w:next w:val="1"/>
    <w:qFormat/>
    <w:uiPriority w:val="0"/>
    <w:pPr>
      <w:widowControl w:val="0"/>
      <w:ind w:firstLine="480" w:firstLineChars="200"/>
      <w:jc w:val="center"/>
    </w:pPr>
    <w:rPr>
      <w:kern w:val="2"/>
      <w:sz w:val="24"/>
      <w:szCs w:val="24"/>
    </w:rPr>
  </w:style>
  <w:style w:type="paragraph" w:styleId="42">
    <w:name w:val="Subtitle"/>
    <w:basedOn w:val="1"/>
    <w:next w:val="1"/>
    <w:link w:val="91"/>
    <w:qFormat/>
    <w:uiPriority w:val="0"/>
    <w:pPr>
      <w:widowControl w:val="0"/>
      <w:spacing w:before="240" w:after="60" w:line="312" w:lineRule="auto"/>
      <w:jc w:val="center"/>
      <w:outlineLvl w:val="1"/>
    </w:pPr>
    <w:rPr>
      <w:rFonts w:ascii="Cambria" w:hAnsi="Cambria"/>
      <w:b/>
      <w:bCs/>
      <w:kern w:val="28"/>
      <w:sz w:val="32"/>
      <w:szCs w:val="32"/>
    </w:rPr>
  </w:style>
  <w:style w:type="paragraph" w:styleId="43">
    <w:name w:val="footnote text"/>
    <w:basedOn w:val="1"/>
    <w:link w:val="92"/>
    <w:qFormat/>
    <w:uiPriority w:val="0"/>
    <w:pPr>
      <w:widowControl w:val="0"/>
      <w:adjustRightInd w:val="0"/>
      <w:spacing w:line="312" w:lineRule="atLeast"/>
      <w:textAlignment w:val="baseline"/>
    </w:pPr>
    <w:rPr>
      <w:sz w:val="18"/>
    </w:rPr>
  </w:style>
  <w:style w:type="paragraph" w:styleId="44">
    <w:name w:val="toc 6"/>
    <w:basedOn w:val="1"/>
    <w:next w:val="1"/>
    <w:qFormat/>
    <w:uiPriority w:val="0"/>
    <w:pPr>
      <w:ind w:left="1000"/>
    </w:pPr>
    <w:rPr>
      <w:sz w:val="18"/>
      <w:szCs w:val="18"/>
    </w:rPr>
  </w:style>
  <w:style w:type="paragraph" w:styleId="45">
    <w:name w:val="List 5"/>
    <w:basedOn w:val="1"/>
    <w:next w:val="46"/>
    <w:qFormat/>
    <w:uiPriority w:val="0"/>
    <w:pPr>
      <w:widowControl w:val="0"/>
      <w:ind w:left="2100" w:hanging="420"/>
      <w:jc w:val="both"/>
    </w:pPr>
    <w:rPr>
      <w:kern w:val="2"/>
      <w:sz w:val="21"/>
    </w:rPr>
  </w:style>
  <w:style w:type="paragraph" w:customStyle="1" w:styleId="46">
    <w:name w:val="目录 51"/>
    <w:basedOn w:val="1"/>
    <w:next w:val="1"/>
    <w:qFormat/>
    <w:uiPriority w:val="0"/>
    <w:pPr>
      <w:ind w:left="630"/>
    </w:pPr>
    <w:rPr>
      <w:sz w:val="20"/>
    </w:rPr>
  </w:style>
  <w:style w:type="paragraph" w:styleId="47">
    <w:name w:val="Body Text Indent 3"/>
    <w:basedOn w:val="1"/>
    <w:link w:val="93"/>
    <w:qFormat/>
    <w:uiPriority w:val="0"/>
    <w:pPr>
      <w:spacing w:after="120"/>
      <w:ind w:left="420" w:leftChars="200"/>
    </w:pPr>
    <w:rPr>
      <w:sz w:val="16"/>
      <w:szCs w:val="16"/>
    </w:rPr>
  </w:style>
  <w:style w:type="paragraph" w:styleId="48">
    <w:name w:val="table of figures"/>
    <w:basedOn w:val="1"/>
    <w:next w:val="1"/>
    <w:qFormat/>
    <w:uiPriority w:val="0"/>
    <w:pPr>
      <w:widowControl w:val="0"/>
      <w:ind w:leftChars="200" w:hanging="200" w:hangingChars="200"/>
      <w:jc w:val="both"/>
    </w:pPr>
    <w:rPr>
      <w:kern w:val="2"/>
      <w:sz w:val="21"/>
      <w:szCs w:val="24"/>
    </w:rPr>
  </w:style>
  <w:style w:type="paragraph" w:styleId="49">
    <w:name w:val="toc 2"/>
    <w:basedOn w:val="1"/>
    <w:next w:val="1"/>
    <w:qFormat/>
    <w:uiPriority w:val="39"/>
    <w:pPr>
      <w:ind w:left="200"/>
    </w:pPr>
    <w:rPr>
      <w:smallCaps/>
    </w:rPr>
  </w:style>
  <w:style w:type="paragraph" w:styleId="50">
    <w:name w:val="toc 9"/>
    <w:basedOn w:val="1"/>
    <w:next w:val="1"/>
    <w:qFormat/>
    <w:uiPriority w:val="0"/>
    <w:pPr>
      <w:ind w:left="1600"/>
    </w:pPr>
    <w:rPr>
      <w:sz w:val="18"/>
      <w:szCs w:val="18"/>
    </w:rPr>
  </w:style>
  <w:style w:type="paragraph" w:styleId="51">
    <w:name w:val="Body Text 2"/>
    <w:basedOn w:val="1"/>
    <w:link w:val="94"/>
    <w:qFormat/>
    <w:uiPriority w:val="0"/>
    <w:pPr>
      <w:spacing w:after="120" w:line="480" w:lineRule="auto"/>
    </w:pPr>
  </w:style>
  <w:style w:type="paragraph" w:styleId="52">
    <w:name w:val="List 4"/>
    <w:basedOn w:val="1"/>
    <w:qFormat/>
    <w:uiPriority w:val="0"/>
    <w:pPr>
      <w:widowControl w:val="0"/>
      <w:ind w:left="100" w:leftChars="600" w:hanging="200" w:hangingChars="200"/>
      <w:jc w:val="both"/>
    </w:pPr>
    <w:rPr>
      <w:kern w:val="2"/>
      <w:sz w:val="21"/>
    </w:rPr>
  </w:style>
  <w:style w:type="paragraph" w:styleId="53">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szCs w:val="24"/>
    </w:rPr>
  </w:style>
  <w:style w:type="paragraph" w:styleId="54">
    <w:name w:val="Normal (Web)"/>
    <w:basedOn w:val="1"/>
    <w:qFormat/>
    <w:uiPriority w:val="0"/>
    <w:pPr>
      <w:spacing w:before="100" w:beforeAutospacing="1" w:after="100" w:afterAutospacing="1"/>
    </w:pPr>
    <w:rPr>
      <w:rFonts w:ascii="宋体" w:hAnsi="宋体" w:cs="宋体"/>
      <w:sz w:val="24"/>
      <w:szCs w:val="24"/>
    </w:rPr>
  </w:style>
  <w:style w:type="paragraph" w:styleId="55">
    <w:name w:val="annotation subject"/>
    <w:basedOn w:val="19"/>
    <w:next w:val="19"/>
    <w:link w:val="97"/>
    <w:qFormat/>
    <w:uiPriority w:val="0"/>
    <w:pPr>
      <w:widowControl/>
      <w:adjustRightInd/>
      <w:spacing w:line="240" w:lineRule="auto"/>
      <w:textAlignment w:val="auto"/>
    </w:pPr>
    <w:rPr>
      <w:b/>
      <w:bCs/>
      <w:sz w:val="20"/>
    </w:rPr>
  </w:style>
  <w:style w:type="table" w:styleId="57">
    <w:name w:val="Table Grid"/>
    <w:basedOn w:val="5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0"/>
    <w:rPr>
      <w:b/>
      <w:bCs/>
    </w:rPr>
  </w:style>
  <w:style w:type="character" w:styleId="60">
    <w:name w:val="page number"/>
    <w:basedOn w:val="58"/>
    <w:qFormat/>
    <w:uiPriority w:val="0"/>
  </w:style>
  <w:style w:type="character" w:styleId="61">
    <w:name w:val="FollowedHyperlink"/>
    <w:basedOn w:val="58"/>
    <w:qFormat/>
    <w:uiPriority w:val="0"/>
    <w:rPr>
      <w:rFonts w:hint="eastAsia" w:ascii="微软雅黑" w:hAnsi="微软雅黑" w:eastAsia="微软雅黑" w:cs="微软雅黑"/>
      <w:color w:val="428BCA"/>
      <w:u w:val="none"/>
    </w:rPr>
  </w:style>
  <w:style w:type="character" w:styleId="62">
    <w:name w:val="Emphasis"/>
    <w:qFormat/>
    <w:uiPriority w:val="0"/>
    <w:rPr>
      <w:i/>
      <w:iCs/>
    </w:rPr>
  </w:style>
  <w:style w:type="character" w:styleId="63">
    <w:name w:val="HTML Definition"/>
    <w:basedOn w:val="58"/>
    <w:unhideWhenUsed/>
    <w:qFormat/>
    <w:uiPriority w:val="99"/>
    <w:rPr>
      <w:i/>
    </w:rPr>
  </w:style>
  <w:style w:type="character" w:styleId="64">
    <w:name w:val="Hyperlink"/>
    <w:basedOn w:val="58"/>
    <w:qFormat/>
    <w:uiPriority w:val="99"/>
    <w:rPr>
      <w:rFonts w:hint="eastAsia" w:ascii="微软雅黑" w:hAnsi="微软雅黑" w:eastAsia="微软雅黑" w:cs="微软雅黑"/>
      <w:color w:val="428BCA"/>
      <w:u w:val="none"/>
    </w:rPr>
  </w:style>
  <w:style w:type="character" w:styleId="65">
    <w:name w:val="HTML Code"/>
    <w:basedOn w:val="58"/>
    <w:unhideWhenUsed/>
    <w:qFormat/>
    <w:uiPriority w:val="99"/>
    <w:rPr>
      <w:rFonts w:hint="default" w:ascii="Consolas" w:hAnsi="Consolas" w:eastAsia="Consolas" w:cs="Consolas"/>
      <w:color w:val="C7254E"/>
      <w:sz w:val="21"/>
      <w:szCs w:val="21"/>
      <w:shd w:val="clear" w:color="auto" w:fill="F9F2F4"/>
    </w:rPr>
  </w:style>
  <w:style w:type="character" w:styleId="66">
    <w:name w:val="annotation reference"/>
    <w:qFormat/>
    <w:uiPriority w:val="0"/>
    <w:rPr>
      <w:sz w:val="21"/>
      <w:szCs w:val="21"/>
    </w:rPr>
  </w:style>
  <w:style w:type="character" w:styleId="67">
    <w:name w:val="footnote reference"/>
    <w:qFormat/>
    <w:uiPriority w:val="0"/>
    <w:rPr>
      <w:vertAlign w:val="superscript"/>
    </w:rPr>
  </w:style>
  <w:style w:type="character" w:styleId="68">
    <w:name w:val="HTML Keyboard"/>
    <w:basedOn w:val="58"/>
    <w:unhideWhenUsed/>
    <w:qFormat/>
    <w:uiPriority w:val="99"/>
    <w:rPr>
      <w:rFonts w:hint="default" w:ascii="Consolas" w:hAnsi="Consolas" w:eastAsia="Consolas" w:cs="Consolas"/>
      <w:color w:val="FFFFFF"/>
      <w:sz w:val="21"/>
      <w:szCs w:val="21"/>
      <w:shd w:val="clear" w:color="auto" w:fill="333333"/>
    </w:rPr>
  </w:style>
  <w:style w:type="character" w:styleId="69">
    <w:name w:val="HTML Sample"/>
    <w:basedOn w:val="58"/>
    <w:unhideWhenUsed/>
    <w:qFormat/>
    <w:uiPriority w:val="99"/>
    <w:rPr>
      <w:rFonts w:ascii="Consolas" w:hAnsi="Consolas" w:eastAsia="Consolas" w:cs="Consolas"/>
      <w:sz w:val="21"/>
      <w:szCs w:val="21"/>
    </w:rPr>
  </w:style>
  <w:style w:type="character" w:customStyle="1" w:styleId="70">
    <w:name w:val="正文文本 Char"/>
    <w:link w:val="22"/>
    <w:qFormat/>
    <w:uiPriority w:val="0"/>
    <w:rPr>
      <w:rFonts w:ascii="Times New Roman" w:hAnsi="Times New Roman" w:eastAsia="宋体" w:cs="Times New Roman"/>
      <w:kern w:val="0"/>
      <w:sz w:val="20"/>
      <w:szCs w:val="20"/>
    </w:rPr>
  </w:style>
  <w:style w:type="character" w:customStyle="1" w:styleId="71">
    <w:name w:val="标题 1 Char"/>
    <w:link w:val="2"/>
    <w:qFormat/>
    <w:uiPriority w:val="0"/>
    <w:rPr>
      <w:rFonts w:ascii="Times New Roman" w:hAnsi="Times New Roman" w:eastAsia="宋体" w:cs="Times New Roman"/>
      <w:b/>
      <w:bCs/>
      <w:kern w:val="44"/>
      <w:sz w:val="44"/>
      <w:szCs w:val="44"/>
    </w:rPr>
  </w:style>
  <w:style w:type="character" w:customStyle="1" w:styleId="72">
    <w:name w:val="标题 2 Char1"/>
    <w:link w:val="3"/>
    <w:qFormat/>
    <w:uiPriority w:val="0"/>
    <w:rPr>
      <w:rFonts w:ascii="Arial" w:hAnsi="Arial" w:eastAsia="黑体" w:cs="Times New Roman"/>
      <w:b/>
      <w:bCs/>
      <w:kern w:val="0"/>
      <w:sz w:val="32"/>
      <w:szCs w:val="32"/>
    </w:rPr>
  </w:style>
  <w:style w:type="character" w:customStyle="1" w:styleId="73">
    <w:name w:val="标题 3 Char"/>
    <w:link w:val="4"/>
    <w:qFormat/>
    <w:uiPriority w:val="0"/>
    <w:rPr>
      <w:rFonts w:ascii="Times New Roman" w:hAnsi="Times New Roman" w:eastAsia="宋体" w:cs="Times New Roman"/>
      <w:b/>
      <w:bCs/>
      <w:kern w:val="0"/>
      <w:sz w:val="32"/>
      <w:szCs w:val="32"/>
    </w:rPr>
  </w:style>
  <w:style w:type="character" w:customStyle="1" w:styleId="74">
    <w:name w:val="标题 4 Char"/>
    <w:link w:val="5"/>
    <w:qFormat/>
    <w:uiPriority w:val="0"/>
    <w:rPr>
      <w:rFonts w:ascii="Arial" w:hAnsi="Arial" w:eastAsia="黑体"/>
      <w:bCs/>
      <w:sz w:val="21"/>
      <w:szCs w:val="21"/>
    </w:rPr>
  </w:style>
  <w:style w:type="character" w:customStyle="1" w:styleId="75">
    <w:name w:val="标题 5 Char"/>
    <w:link w:val="6"/>
    <w:qFormat/>
    <w:uiPriority w:val="0"/>
    <w:rPr>
      <w:rFonts w:ascii="Times New Roman" w:hAnsi="Times New Roman"/>
      <w:b/>
      <w:bCs/>
      <w:sz w:val="28"/>
      <w:szCs w:val="28"/>
    </w:rPr>
  </w:style>
  <w:style w:type="character" w:customStyle="1" w:styleId="76">
    <w:name w:val="标题 6 Char"/>
    <w:link w:val="7"/>
    <w:qFormat/>
    <w:uiPriority w:val="0"/>
    <w:rPr>
      <w:rFonts w:ascii="Arial" w:hAnsi="Arial" w:eastAsia="黑体" w:cs="Times New Roman"/>
      <w:b/>
      <w:bCs/>
      <w:kern w:val="0"/>
      <w:sz w:val="24"/>
      <w:szCs w:val="24"/>
    </w:rPr>
  </w:style>
  <w:style w:type="character" w:customStyle="1" w:styleId="77">
    <w:name w:val="标题 7 Char"/>
    <w:link w:val="8"/>
    <w:qFormat/>
    <w:uiPriority w:val="0"/>
    <w:rPr>
      <w:rFonts w:ascii="Times New Roman" w:hAnsi="Times New Roman" w:eastAsia="宋体" w:cs="Times New Roman"/>
      <w:b/>
      <w:bCs/>
      <w:kern w:val="0"/>
      <w:sz w:val="24"/>
      <w:szCs w:val="24"/>
    </w:rPr>
  </w:style>
  <w:style w:type="character" w:customStyle="1" w:styleId="78">
    <w:name w:val="标题 8 Char"/>
    <w:link w:val="9"/>
    <w:qFormat/>
    <w:uiPriority w:val="0"/>
    <w:rPr>
      <w:rFonts w:ascii="Arial" w:hAnsi="Arial" w:eastAsia="黑体" w:cs="Times New Roman"/>
      <w:kern w:val="0"/>
      <w:sz w:val="24"/>
      <w:szCs w:val="24"/>
    </w:rPr>
  </w:style>
  <w:style w:type="character" w:customStyle="1" w:styleId="79">
    <w:name w:val="标题 9 Char"/>
    <w:link w:val="10"/>
    <w:qFormat/>
    <w:uiPriority w:val="0"/>
    <w:rPr>
      <w:rFonts w:ascii="Arial" w:hAnsi="Arial" w:eastAsia="黑体" w:cs="Times New Roman"/>
      <w:kern w:val="0"/>
      <w:szCs w:val="21"/>
    </w:rPr>
  </w:style>
  <w:style w:type="character" w:customStyle="1" w:styleId="80">
    <w:name w:val="正文缩进 Char"/>
    <w:link w:val="14"/>
    <w:qFormat/>
    <w:uiPriority w:val="0"/>
    <w:rPr>
      <w:rFonts w:ascii="Times New Roman" w:hAnsi="Times New Roman" w:eastAsia="宋体" w:cs="Times New Roman"/>
      <w:kern w:val="0"/>
      <w:sz w:val="20"/>
      <w:szCs w:val="20"/>
    </w:rPr>
  </w:style>
  <w:style w:type="character" w:customStyle="1" w:styleId="81">
    <w:name w:val="文档结构图 Char"/>
    <w:link w:val="18"/>
    <w:qFormat/>
    <w:uiPriority w:val="0"/>
    <w:rPr>
      <w:rFonts w:ascii="宋体" w:hAnsi="Times New Roman" w:eastAsia="宋体" w:cs="Times New Roman"/>
      <w:kern w:val="0"/>
      <w:sz w:val="18"/>
      <w:szCs w:val="18"/>
    </w:rPr>
  </w:style>
  <w:style w:type="character" w:customStyle="1" w:styleId="82">
    <w:name w:val="批注文字 Char"/>
    <w:link w:val="19"/>
    <w:qFormat/>
    <w:uiPriority w:val="0"/>
    <w:rPr>
      <w:rFonts w:ascii="Times New Roman" w:hAnsi="Times New Roman" w:eastAsia="宋体" w:cs="Times New Roman"/>
      <w:kern w:val="0"/>
      <w:sz w:val="24"/>
      <w:szCs w:val="20"/>
    </w:rPr>
  </w:style>
  <w:style w:type="character" w:customStyle="1" w:styleId="83">
    <w:name w:val="正文文本 3 Char"/>
    <w:link w:val="21"/>
    <w:qFormat/>
    <w:uiPriority w:val="0"/>
    <w:rPr>
      <w:rFonts w:ascii="宋体" w:hAnsi="宋体"/>
      <w:color w:val="000000"/>
      <w:kern w:val="2"/>
      <w:sz w:val="21"/>
    </w:rPr>
  </w:style>
  <w:style w:type="character" w:customStyle="1" w:styleId="84">
    <w:name w:val="正文文本缩进 Char"/>
    <w:link w:val="23"/>
    <w:qFormat/>
    <w:uiPriority w:val="0"/>
    <w:rPr>
      <w:rFonts w:ascii="Times New Roman" w:hAnsi="Times New Roman" w:eastAsia="宋体" w:cs="Times New Roman"/>
      <w:kern w:val="0"/>
      <w:sz w:val="20"/>
      <w:szCs w:val="20"/>
    </w:rPr>
  </w:style>
  <w:style w:type="character" w:customStyle="1" w:styleId="85">
    <w:name w:val="纯文本 Char1"/>
    <w:link w:val="31"/>
    <w:qFormat/>
    <w:uiPriority w:val="0"/>
    <w:rPr>
      <w:rFonts w:ascii="宋体" w:hAnsi="Courier New" w:eastAsia="宋体" w:cs="Courier New"/>
      <w:szCs w:val="21"/>
    </w:rPr>
  </w:style>
  <w:style w:type="character" w:customStyle="1" w:styleId="86">
    <w:name w:val="日期 Char"/>
    <w:link w:val="33"/>
    <w:qFormat/>
    <w:uiPriority w:val="0"/>
    <w:rPr>
      <w:rFonts w:ascii="Times New Roman" w:hAnsi="Times New Roman" w:eastAsia="宋体" w:cs="Times New Roman"/>
      <w:kern w:val="0"/>
      <w:sz w:val="20"/>
      <w:szCs w:val="20"/>
    </w:rPr>
  </w:style>
  <w:style w:type="character" w:customStyle="1" w:styleId="87">
    <w:name w:val="正文文本缩进 2 Char"/>
    <w:link w:val="34"/>
    <w:qFormat/>
    <w:uiPriority w:val="0"/>
    <w:rPr>
      <w:rFonts w:ascii="Times New Roman" w:hAnsi="Times New Roman" w:eastAsia="宋体" w:cs="Times New Roman"/>
      <w:kern w:val="0"/>
      <w:sz w:val="20"/>
      <w:szCs w:val="20"/>
    </w:rPr>
  </w:style>
  <w:style w:type="character" w:customStyle="1" w:styleId="88">
    <w:name w:val="批注框文本 Char"/>
    <w:link w:val="35"/>
    <w:qFormat/>
    <w:uiPriority w:val="0"/>
    <w:rPr>
      <w:rFonts w:ascii="Times New Roman" w:hAnsi="Times New Roman" w:eastAsia="宋体" w:cs="Times New Roman"/>
      <w:kern w:val="0"/>
      <w:sz w:val="18"/>
      <w:szCs w:val="18"/>
    </w:rPr>
  </w:style>
  <w:style w:type="character" w:customStyle="1" w:styleId="89">
    <w:name w:val="页脚 Char"/>
    <w:link w:val="36"/>
    <w:qFormat/>
    <w:uiPriority w:val="0"/>
    <w:rPr>
      <w:rFonts w:ascii="Times New Roman" w:hAnsi="Times New Roman" w:eastAsia="宋体" w:cs="Times New Roman"/>
      <w:kern w:val="0"/>
      <w:sz w:val="18"/>
      <w:szCs w:val="18"/>
    </w:rPr>
  </w:style>
  <w:style w:type="character" w:customStyle="1" w:styleId="90">
    <w:name w:val="页眉 Char"/>
    <w:link w:val="37"/>
    <w:qFormat/>
    <w:uiPriority w:val="0"/>
    <w:rPr>
      <w:rFonts w:ascii="Times New Roman" w:hAnsi="Times New Roman" w:eastAsia="宋体" w:cs="Times New Roman"/>
      <w:kern w:val="0"/>
      <w:sz w:val="18"/>
      <w:szCs w:val="18"/>
    </w:rPr>
  </w:style>
  <w:style w:type="character" w:customStyle="1" w:styleId="91">
    <w:name w:val="副标题 Char"/>
    <w:link w:val="42"/>
    <w:qFormat/>
    <w:uiPriority w:val="0"/>
    <w:rPr>
      <w:rFonts w:ascii="Cambria" w:hAnsi="Cambria"/>
      <w:b/>
      <w:bCs/>
      <w:kern w:val="28"/>
      <w:sz w:val="32"/>
      <w:szCs w:val="32"/>
    </w:rPr>
  </w:style>
  <w:style w:type="character" w:customStyle="1" w:styleId="92">
    <w:name w:val="脚注文本 Char"/>
    <w:link w:val="43"/>
    <w:semiHidden/>
    <w:qFormat/>
    <w:uiPriority w:val="0"/>
    <w:rPr>
      <w:rFonts w:ascii="Times New Roman" w:hAnsi="Times New Roman" w:eastAsia="宋体" w:cs="Times New Roman"/>
      <w:kern w:val="0"/>
      <w:sz w:val="18"/>
      <w:szCs w:val="20"/>
    </w:rPr>
  </w:style>
  <w:style w:type="character" w:customStyle="1" w:styleId="93">
    <w:name w:val="正文文本缩进 3 Char"/>
    <w:link w:val="47"/>
    <w:qFormat/>
    <w:uiPriority w:val="0"/>
    <w:rPr>
      <w:rFonts w:ascii="Times New Roman" w:hAnsi="Times New Roman" w:eastAsia="宋体" w:cs="Times New Roman"/>
      <w:kern w:val="0"/>
      <w:sz w:val="16"/>
      <w:szCs w:val="16"/>
    </w:rPr>
  </w:style>
  <w:style w:type="character" w:customStyle="1" w:styleId="94">
    <w:name w:val="正文文本 2 Char"/>
    <w:link w:val="51"/>
    <w:qFormat/>
    <w:uiPriority w:val="0"/>
    <w:rPr>
      <w:rFonts w:ascii="Times New Roman" w:hAnsi="Times New Roman" w:eastAsia="宋体" w:cs="Times New Roman"/>
      <w:kern w:val="0"/>
      <w:sz w:val="20"/>
      <w:szCs w:val="20"/>
    </w:rPr>
  </w:style>
  <w:style w:type="character" w:customStyle="1" w:styleId="95">
    <w:name w:val="HTML 预设格式 Char"/>
    <w:link w:val="53"/>
    <w:qFormat/>
    <w:uiPriority w:val="0"/>
    <w:rPr>
      <w:rFonts w:ascii="宋体" w:hAnsi="宋体" w:cs="宋体"/>
      <w:sz w:val="24"/>
      <w:szCs w:val="24"/>
    </w:rPr>
  </w:style>
  <w:style w:type="character" w:customStyle="1" w:styleId="96">
    <w:name w:val="标题 Char"/>
    <w:link w:val="17"/>
    <w:qFormat/>
    <w:uiPriority w:val="0"/>
    <w:rPr>
      <w:rFonts w:ascii="Cambria" w:hAnsi="Cambria"/>
      <w:b/>
      <w:bCs/>
      <w:kern w:val="2"/>
      <w:sz w:val="32"/>
      <w:szCs w:val="32"/>
    </w:rPr>
  </w:style>
  <w:style w:type="character" w:customStyle="1" w:styleId="97">
    <w:name w:val="批注主题 Char"/>
    <w:link w:val="55"/>
    <w:qFormat/>
    <w:uiPriority w:val="0"/>
    <w:rPr>
      <w:rFonts w:ascii="Times New Roman" w:hAnsi="Times New Roman" w:eastAsia="宋体" w:cs="Times New Roman"/>
      <w:b/>
      <w:bCs/>
      <w:kern w:val="0"/>
      <w:sz w:val="20"/>
      <w:szCs w:val="20"/>
    </w:rPr>
  </w:style>
  <w:style w:type="character" w:customStyle="1" w:styleId="98">
    <w:name w:val="正文首行缩进 2 Char"/>
    <w:basedOn w:val="84"/>
    <w:link w:val="24"/>
    <w:qFormat/>
    <w:uiPriority w:val="0"/>
  </w:style>
  <w:style w:type="character" w:customStyle="1" w:styleId="99">
    <w:name w:val="Char Char14"/>
    <w:qFormat/>
    <w:uiPriority w:val="0"/>
    <w:rPr>
      <w:sz w:val="18"/>
      <w:lang w:eastAsia="en-US" w:bidi="en-US"/>
    </w:rPr>
  </w:style>
  <w:style w:type="character" w:customStyle="1" w:styleId="100">
    <w:name w:val="明显引用 Char"/>
    <w:link w:val="101"/>
    <w:qFormat/>
    <w:uiPriority w:val="0"/>
    <w:rPr>
      <w:b/>
      <w:bCs/>
      <w:i/>
      <w:iCs/>
      <w:color w:val="4F81BD"/>
      <w:kern w:val="2"/>
      <w:sz w:val="21"/>
      <w:szCs w:val="22"/>
    </w:rPr>
  </w:style>
  <w:style w:type="paragraph" w:styleId="101">
    <w:name w:val="Intense Quote"/>
    <w:basedOn w:val="1"/>
    <w:next w:val="1"/>
    <w:link w:val="100"/>
    <w:qFormat/>
    <w:uiPriority w:val="0"/>
    <w:pPr>
      <w:widowControl w:val="0"/>
      <w:pBdr>
        <w:bottom w:val="single" w:color="4F81BD" w:sz="4" w:space="4"/>
      </w:pBdr>
      <w:spacing w:before="200" w:after="280"/>
      <w:ind w:left="936" w:right="936"/>
      <w:jc w:val="both"/>
    </w:pPr>
    <w:rPr>
      <w:b/>
      <w:bCs/>
      <w:i/>
      <w:iCs/>
      <w:color w:val="4F81BD"/>
      <w:kern w:val="2"/>
      <w:sz w:val="21"/>
      <w:szCs w:val="22"/>
    </w:rPr>
  </w:style>
  <w:style w:type="character" w:customStyle="1" w:styleId="102">
    <w:name w:val="Intense Quote Char2"/>
    <w:link w:val="103"/>
    <w:qFormat/>
    <w:locked/>
    <w:uiPriority w:val="0"/>
    <w:rPr>
      <w:b/>
      <w:i/>
      <w:color w:val="4F81BD"/>
    </w:rPr>
  </w:style>
  <w:style w:type="paragraph" w:customStyle="1" w:styleId="103">
    <w:name w:val="Intense Quote1"/>
    <w:basedOn w:val="1"/>
    <w:next w:val="1"/>
    <w:link w:val="102"/>
    <w:qFormat/>
    <w:uiPriority w:val="0"/>
    <w:pPr>
      <w:widowControl w:val="0"/>
      <w:pBdr>
        <w:bottom w:val="single" w:color="4F81BD" w:sz="4" w:space="4"/>
      </w:pBdr>
      <w:spacing w:before="200" w:after="280"/>
      <w:ind w:left="936" w:right="936"/>
      <w:jc w:val="both"/>
    </w:pPr>
    <w:rPr>
      <w:b/>
      <w:i/>
      <w:color w:val="4F81BD"/>
    </w:rPr>
  </w:style>
  <w:style w:type="character" w:customStyle="1" w:styleId="104">
    <w:name w:val=" Char Char11"/>
    <w:qFormat/>
    <w:uiPriority w:val="0"/>
    <w:rPr>
      <w:b/>
      <w:sz w:val="24"/>
    </w:rPr>
  </w:style>
  <w:style w:type="character" w:customStyle="1" w:styleId="105">
    <w:name w:val="标题 2XW Char2"/>
    <w:qFormat/>
    <w:uiPriority w:val="0"/>
    <w:rPr>
      <w:rFonts w:ascii="Arial" w:hAnsi="Arial" w:eastAsia="黑体"/>
      <w:b/>
      <w:bCs/>
      <w:sz w:val="32"/>
      <w:szCs w:val="32"/>
      <w:lang w:val="en-US" w:eastAsia="zh-CN" w:bidi="ar-SA"/>
    </w:rPr>
  </w:style>
  <w:style w:type="character" w:customStyle="1" w:styleId="106">
    <w:name w:val="Char Char3"/>
    <w:qFormat/>
    <w:uiPriority w:val="0"/>
    <w:rPr>
      <w:rFonts w:hint="eastAsia" w:ascii="宋体" w:hAnsi="宋体" w:eastAsia="宋体"/>
      <w:lang w:val="en-US" w:eastAsia="zh-CN" w:bidi="ar-SA"/>
    </w:rPr>
  </w:style>
  <w:style w:type="character" w:customStyle="1" w:styleId="107">
    <w:name w:val="font161"/>
    <w:qFormat/>
    <w:uiPriority w:val="0"/>
    <w:rPr>
      <w:b/>
      <w:bCs/>
      <w:sz w:val="32"/>
      <w:szCs w:val="32"/>
    </w:rPr>
  </w:style>
  <w:style w:type="character" w:customStyle="1" w:styleId="108">
    <w:name w:val="_Style 103"/>
    <w:qFormat/>
    <w:uiPriority w:val="0"/>
    <w:rPr>
      <w:smallCaps/>
      <w:color w:val="C0504D"/>
      <w:u w:val="single"/>
    </w:rPr>
  </w:style>
  <w:style w:type="character" w:customStyle="1" w:styleId="109">
    <w:name w:val="Char Char17"/>
    <w:qFormat/>
    <w:uiPriority w:val="0"/>
    <w:rPr>
      <w:sz w:val="24"/>
      <w:szCs w:val="24"/>
    </w:rPr>
  </w:style>
  <w:style w:type="character" w:customStyle="1" w:styleId="110">
    <w:name w:val="Para head"/>
    <w:qFormat/>
    <w:uiPriority w:val="0"/>
    <w:rPr>
      <w:rFonts w:ascii="Arial" w:hAnsi="Arial" w:eastAsia="Times New Roman"/>
      <w:sz w:val="20"/>
    </w:rPr>
  </w:style>
  <w:style w:type="character" w:customStyle="1" w:styleId="111">
    <w:name w:val="Quote Char2"/>
    <w:link w:val="112"/>
    <w:qFormat/>
    <w:locked/>
    <w:uiPriority w:val="0"/>
    <w:rPr>
      <w:i/>
      <w:color w:val="000000"/>
    </w:rPr>
  </w:style>
  <w:style w:type="paragraph" w:customStyle="1" w:styleId="112">
    <w:name w:val="Quote1"/>
    <w:basedOn w:val="1"/>
    <w:next w:val="1"/>
    <w:link w:val="111"/>
    <w:qFormat/>
    <w:uiPriority w:val="0"/>
    <w:pPr>
      <w:widowControl w:val="0"/>
      <w:jc w:val="both"/>
    </w:pPr>
    <w:rPr>
      <w:i/>
      <w:color w:val="000000"/>
    </w:rPr>
  </w:style>
  <w:style w:type="character" w:customStyle="1" w:styleId="113">
    <w:name w:val="明显引用 Char1"/>
    <w:qFormat/>
    <w:uiPriority w:val="30"/>
    <w:rPr>
      <w:rFonts w:ascii="Times New Roman" w:hAnsi="Times New Roman"/>
      <w:b/>
      <w:bCs/>
      <w:i/>
      <w:iCs/>
      <w:color w:val="4F81BD"/>
    </w:rPr>
  </w:style>
  <w:style w:type="character" w:customStyle="1" w:styleId="114">
    <w:name w:val="引用 Char1"/>
    <w:qFormat/>
    <w:uiPriority w:val="29"/>
    <w:rPr>
      <w:rFonts w:ascii="Times New Roman" w:hAnsi="Times New Roman"/>
      <w:i/>
      <w:iCs/>
      <w:color w:val="000000"/>
    </w:rPr>
  </w:style>
  <w:style w:type="character" w:customStyle="1" w:styleId="115">
    <w:name w:val="Char Char15"/>
    <w:qFormat/>
    <w:uiPriority w:val="0"/>
    <w:rPr>
      <w:rFonts w:hint="default" w:ascii="Cambria" w:hAnsi="Cambria" w:eastAsia="宋体"/>
    </w:rPr>
  </w:style>
  <w:style w:type="character" w:customStyle="1" w:styleId="116">
    <w:name w:val="Char Char18"/>
    <w:qFormat/>
    <w:uiPriority w:val="0"/>
    <w:rPr>
      <w:b/>
      <w:bCs/>
    </w:rPr>
  </w:style>
  <w:style w:type="character" w:customStyle="1" w:styleId="117">
    <w:name w:val="Char Char21"/>
    <w:qFormat/>
    <w:uiPriority w:val="0"/>
    <w:rPr>
      <w:rFonts w:hint="default" w:ascii="Cambria" w:hAnsi="Cambria" w:eastAsia="仿宋"/>
      <w:b/>
      <w:bCs/>
      <w:sz w:val="36"/>
      <w:szCs w:val="26"/>
      <w:lang w:eastAsia="en-US" w:bidi="en-US"/>
    </w:rPr>
  </w:style>
  <w:style w:type="character" w:customStyle="1" w:styleId="118">
    <w:name w:val=" Char Char8"/>
    <w:qFormat/>
    <w:uiPriority w:val="0"/>
    <w:rPr>
      <w:rFonts w:ascii="Arial" w:hAnsi="Arial" w:eastAsia="黑体"/>
      <w:b/>
      <w:bCs/>
      <w:kern w:val="2"/>
      <w:sz w:val="32"/>
      <w:szCs w:val="32"/>
      <w:lang w:val="en-US" w:eastAsia="zh-CN" w:bidi="ar-SA"/>
    </w:rPr>
  </w:style>
  <w:style w:type="character" w:customStyle="1" w:styleId="119">
    <w:name w:val=" Char Char16"/>
    <w:qFormat/>
    <w:uiPriority w:val="0"/>
    <w:rPr>
      <w:rFonts w:eastAsia="宋体"/>
      <w:b/>
      <w:bCs/>
      <w:kern w:val="44"/>
      <w:sz w:val="44"/>
      <w:szCs w:val="44"/>
      <w:lang w:val="en-US" w:eastAsia="zh-CN" w:bidi="ar-SA"/>
    </w:rPr>
  </w:style>
  <w:style w:type="character" w:customStyle="1" w:styleId="120">
    <w:name w:val="文档结构图 Char1"/>
    <w:qFormat/>
    <w:uiPriority w:val="0"/>
    <w:rPr>
      <w:rFonts w:ascii="宋体"/>
      <w:kern w:val="2"/>
      <w:sz w:val="18"/>
      <w:szCs w:val="18"/>
    </w:rPr>
  </w:style>
  <w:style w:type="character" w:customStyle="1" w:styleId="121">
    <w:name w:val="标题 2 Char"/>
    <w:qFormat/>
    <w:uiPriority w:val="0"/>
    <w:rPr>
      <w:rFonts w:ascii="Calibri Light" w:hAnsi="Calibri Light" w:eastAsia="宋体" w:cs="Times New Roman"/>
      <w:b/>
      <w:bCs/>
      <w:kern w:val="0"/>
      <w:sz w:val="32"/>
      <w:szCs w:val="32"/>
    </w:rPr>
  </w:style>
  <w:style w:type="character" w:customStyle="1" w:styleId="122">
    <w:name w:val="rxcss1"/>
    <w:qFormat/>
    <w:uiPriority w:val="0"/>
    <w:rPr>
      <w:rFonts w:hint="default" w:ascii="_x000B__x000C_" w:hAnsi="_x000B__x000C_"/>
      <w:spacing w:val="284"/>
      <w:sz w:val="26"/>
      <w:szCs w:val="26"/>
      <w:u w:val="none"/>
    </w:rPr>
  </w:style>
  <w:style w:type="character" w:customStyle="1" w:styleId="123">
    <w:name w:val="textcontents"/>
    <w:qFormat/>
    <w:uiPriority w:val="0"/>
    <w:rPr>
      <w:rFonts w:cs="Times New Roman"/>
    </w:rPr>
  </w:style>
  <w:style w:type="character" w:customStyle="1" w:styleId="124">
    <w:name w:val="方案正文 Char"/>
    <w:link w:val="125"/>
    <w:qFormat/>
    <w:locked/>
    <w:uiPriority w:val="0"/>
    <w:rPr>
      <w:rFonts w:ascii="宋体" w:hAnsi="Arial"/>
      <w:kern w:val="2"/>
      <w:sz w:val="21"/>
      <w:szCs w:val="21"/>
    </w:rPr>
  </w:style>
  <w:style w:type="paragraph" w:customStyle="1" w:styleId="125">
    <w:name w:val="方案正文"/>
    <w:basedOn w:val="1"/>
    <w:link w:val="124"/>
    <w:qFormat/>
    <w:uiPriority w:val="0"/>
    <w:pPr>
      <w:widowControl w:val="0"/>
      <w:spacing w:beforeLines="50" w:afterLines="50" w:line="360" w:lineRule="auto"/>
      <w:ind w:firstLine="420" w:firstLineChars="200"/>
      <w:jc w:val="both"/>
    </w:pPr>
    <w:rPr>
      <w:rFonts w:ascii="宋体" w:hAnsi="Arial"/>
      <w:kern w:val="2"/>
      <w:sz w:val="21"/>
      <w:szCs w:val="21"/>
    </w:rPr>
  </w:style>
  <w:style w:type="character" w:customStyle="1" w:styleId="126">
    <w:name w:val="批注主题 Char1"/>
    <w:qFormat/>
    <w:uiPriority w:val="0"/>
    <w:rPr>
      <w:b/>
      <w:bCs/>
      <w:kern w:val="2"/>
      <w:sz w:val="21"/>
      <w:szCs w:val="22"/>
    </w:rPr>
  </w:style>
  <w:style w:type="character" w:customStyle="1" w:styleId="127">
    <w:name w:val="标题4 Char Char"/>
    <w:link w:val="128"/>
    <w:qFormat/>
    <w:uiPriority w:val="0"/>
    <w:rPr>
      <w:rFonts w:ascii="黑体" w:hAnsi="Times New Roman" w:eastAsia="黑体"/>
      <w:sz w:val="24"/>
      <w:szCs w:val="30"/>
    </w:rPr>
  </w:style>
  <w:style w:type="paragraph" w:customStyle="1" w:styleId="128">
    <w:name w:val="标题4"/>
    <w:basedOn w:val="1"/>
    <w:next w:val="5"/>
    <w:link w:val="127"/>
    <w:qFormat/>
    <w:uiPriority w:val="0"/>
    <w:rPr>
      <w:rFonts w:ascii="黑体" w:eastAsia="黑体"/>
      <w:sz w:val="24"/>
      <w:szCs w:val="30"/>
    </w:rPr>
  </w:style>
  <w:style w:type="character" w:customStyle="1" w:styleId="129">
    <w:name w:val="标题5 Char Char"/>
    <w:link w:val="130"/>
    <w:qFormat/>
    <w:uiPriority w:val="0"/>
    <w:rPr>
      <w:rFonts w:ascii="Arial" w:hAnsi="Arial"/>
      <w:b/>
      <w:bCs/>
      <w:sz w:val="24"/>
      <w:szCs w:val="32"/>
    </w:rPr>
  </w:style>
  <w:style w:type="paragraph" w:customStyle="1" w:styleId="130">
    <w:name w:val="标题5"/>
    <w:basedOn w:val="4"/>
    <w:link w:val="129"/>
    <w:qFormat/>
    <w:uiPriority w:val="0"/>
    <w:pPr>
      <w:widowControl w:val="0"/>
      <w:spacing w:line="413" w:lineRule="auto"/>
      <w:jc w:val="both"/>
    </w:pPr>
    <w:rPr>
      <w:rFonts w:ascii="Arial" w:hAnsi="Arial"/>
      <w:sz w:val="24"/>
    </w:rPr>
  </w:style>
  <w:style w:type="character" w:customStyle="1" w:styleId="131">
    <w:name w:val="HTML Markup"/>
    <w:qFormat/>
    <w:uiPriority w:val="0"/>
    <w:rPr>
      <w:vanish/>
      <w:color w:val="FF0000"/>
    </w:rPr>
  </w:style>
  <w:style w:type="character" w:customStyle="1" w:styleId="132">
    <w:name w:val="font21"/>
    <w:qFormat/>
    <w:uiPriority w:val="0"/>
    <w:rPr>
      <w:rFonts w:hint="eastAsia" w:ascii="宋体" w:hAnsi="宋体" w:eastAsia="宋体"/>
      <w:color w:val="000000"/>
      <w:sz w:val="22"/>
      <w:szCs w:val="22"/>
    </w:rPr>
  </w:style>
  <w:style w:type="character" w:customStyle="1" w:styleId="133">
    <w:name w:val="Blockquote Char"/>
    <w:link w:val="134"/>
    <w:qFormat/>
    <w:uiPriority w:val="0"/>
    <w:rPr>
      <w:rFonts w:ascii="Times New Roman" w:hAnsi="Times New Roman" w:eastAsia="宋体" w:cs="Times New Roman"/>
      <w:kern w:val="0"/>
      <w:sz w:val="24"/>
      <w:szCs w:val="20"/>
    </w:rPr>
  </w:style>
  <w:style w:type="paragraph" w:customStyle="1" w:styleId="134">
    <w:name w:val="Blockquote"/>
    <w:basedOn w:val="1"/>
    <w:link w:val="133"/>
    <w:qFormat/>
    <w:uiPriority w:val="0"/>
    <w:pPr>
      <w:widowControl w:val="0"/>
      <w:autoSpaceDE w:val="0"/>
      <w:autoSpaceDN w:val="0"/>
      <w:adjustRightInd w:val="0"/>
      <w:spacing w:before="100" w:after="100"/>
      <w:ind w:left="360" w:right="360"/>
    </w:pPr>
    <w:rPr>
      <w:sz w:val="24"/>
    </w:rPr>
  </w:style>
  <w:style w:type="character" w:customStyle="1" w:styleId="135">
    <w:name w:val="Char Char5"/>
    <w:qFormat/>
    <w:locked/>
    <w:uiPriority w:val="0"/>
    <w:rPr>
      <w:rFonts w:ascii="Cambria" w:hAnsi="Cambria" w:eastAsia="宋体"/>
      <w:b/>
      <w:bCs/>
      <w:kern w:val="2"/>
      <w:sz w:val="28"/>
      <w:szCs w:val="28"/>
      <w:lang w:val="en-US" w:eastAsia="zh-CN" w:bidi="ar-SA"/>
    </w:rPr>
  </w:style>
  <w:style w:type="character" w:customStyle="1" w:styleId="136">
    <w:name w:val="javascript"/>
    <w:basedOn w:val="58"/>
    <w:qFormat/>
    <w:uiPriority w:val="0"/>
  </w:style>
  <w:style w:type="character" w:customStyle="1" w:styleId="137">
    <w:name w:val="引用 Char"/>
    <w:link w:val="138"/>
    <w:qFormat/>
    <w:uiPriority w:val="0"/>
    <w:rPr>
      <w:i/>
      <w:iCs/>
      <w:color w:val="000000"/>
      <w:kern w:val="2"/>
      <w:sz w:val="21"/>
      <w:szCs w:val="22"/>
    </w:rPr>
  </w:style>
  <w:style w:type="paragraph" w:styleId="138">
    <w:name w:val="Quote"/>
    <w:basedOn w:val="1"/>
    <w:next w:val="1"/>
    <w:link w:val="137"/>
    <w:qFormat/>
    <w:uiPriority w:val="0"/>
    <w:pPr>
      <w:widowControl w:val="0"/>
      <w:jc w:val="both"/>
    </w:pPr>
    <w:rPr>
      <w:i/>
      <w:iCs/>
      <w:color w:val="000000"/>
      <w:kern w:val="2"/>
      <w:sz w:val="21"/>
      <w:szCs w:val="22"/>
    </w:rPr>
  </w:style>
  <w:style w:type="character" w:customStyle="1" w:styleId="139">
    <w:name w:val=" Char Char7"/>
    <w:qFormat/>
    <w:uiPriority w:val="0"/>
    <w:rPr>
      <w:rFonts w:ascii="Arial" w:hAnsi="Arial" w:eastAsia="黑体"/>
      <w:b/>
      <w:bCs/>
      <w:kern w:val="2"/>
      <w:sz w:val="32"/>
      <w:szCs w:val="32"/>
      <w:lang w:val="en-US" w:eastAsia="zh-CN" w:bidi="ar-SA"/>
    </w:rPr>
  </w:style>
  <w:style w:type="character" w:customStyle="1" w:styleId="140">
    <w:name w:val="zbggmain style9"/>
    <w:basedOn w:val="58"/>
    <w:qFormat/>
    <w:uiPriority w:val="0"/>
  </w:style>
  <w:style w:type="character" w:customStyle="1" w:styleId="141">
    <w:name w:val="apple-style-span"/>
    <w:basedOn w:val="58"/>
    <w:qFormat/>
    <w:uiPriority w:val="0"/>
  </w:style>
  <w:style w:type="character" w:customStyle="1" w:styleId="142">
    <w:name w:val="标题 Char1"/>
    <w:qFormat/>
    <w:uiPriority w:val="10"/>
    <w:rPr>
      <w:rFonts w:ascii="Cambria" w:hAnsi="Cambria" w:cs="Times New Roman"/>
      <w:b/>
      <w:bCs/>
      <w:sz w:val="32"/>
      <w:szCs w:val="32"/>
    </w:rPr>
  </w:style>
  <w:style w:type="character" w:customStyle="1" w:styleId="143">
    <w:name w:val="Preformatted Char Char"/>
    <w:qFormat/>
    <w:uiPriority w:val="0"/>
    <w:rPr>
      <w:rFonts w:ascii="Courier New" w:hAnsi="Courier New" w:eastAsia="宋体"/>
      <w:lang w:val="en-US" w:eastAsia="zh-CN"/>
    </w:rPr>
  </w:style>
  <w:style w:type="character" w:customStyle="1" w:styleId="144">
    <w:name w:val="Char Char8"/>
    <w:qFormat/>
    <w:locked/>
    <w:uiPriority w:val="0"/>
    <w:rPr>
      <w:rFonts w:ascii="Calibri" w:hAnsi="Calibri" w:eastAsia="宋体"/>
      <w:b/>
      <w:bCs/>
      <w:kern w:val="44"/>
      <w:sz w:val="44"/>
      <w:szCs w:val="44"/>
      <w:lang w:val="en-US" w:eastAsia="zh-CN" w:bidi="ar-SA"/>
    </w:rPr>
  </w:style>
  <w:style w:type="character" w:customStyle="1" w:styleId="145">
    <w:name w:val=" Char Char12"/>
    <w:qFormat/>
    <w:uiPriority w:val="0"/>
    <w:rPr>
      <w:rFonts w:ascii="Arial" w:hAnsi="Arial" w:eastAsia="黑体"/>
      <w:b/>
      <w:sz w:val="24"/>
    </w:rPr>
  </w:style>
  <w:style w:type="character" w:customStyle="1" w:styleId="146">
    <w:name w:val="Char Char4"/>
    <w:qFormat/>
    <w:locked/>
    <w:uiPriority w:val="0"/>
    <w:rPr>
      <w:rFonts w:ascii="Calibri" w:hAnsi="Calibri" w:eastAsia="宋体"/>
      <w:b/>
      <w:bCs/>
      <w:kern w:val="2"/>
      <w:sz w:val="28"/>
      <w:szCs w:val="28"/>
      <w:lang w:val="en-US" w:eastAsia="zh-CN" w:bidi="ar-SA"/>
    </w:rPr>
  </w:style>
  <w:style w:type="character" w:customStyle="1" w:styleId="147">
    <w:name w:val="批注框文本 Char1"/>
    <w:qFormat/>
    <w:uiPriority w:val="0"/>
    <w:rPr>
      <w:kern w:val="2"/>
      <w:sz w:val="18"/>
      <w:szCs w:val="18"/>
    </w:rPr>
  </w:style>
  <w:style w:type="character" w:customStyle="1" w:styleId="148">
    <w:name w:val="style11"/>
    <w:qFormat/>
    <w:uiPriority w:val="0"/>
    <w:rPr>
      <w:b/>
      <w:bCs/>
    </w:rPr>
  </w:style>
  <w:style w:type="character" w:customStyle="1" w:styleId="149">
    <w:name w:val="font01"/>
    <w:basedOn w:val="58"/>
    <w:qFormat/>
    <w:uiPriority w:val="0"/>
    <w:rPr>
      <w:rFonts w:ascii="Symbol" w:hAnsi="Symbol" w:cs="Symbol"/>
      <w:color w:val="000000"/>
      <w:sz w:val="18"/>
      <w:szCs w:val="18"/>
      <w:u w:val="none"/>
    </w:rPr>
  </w:style>
  <w:style w:type="character" w:customStyle="1" w:styleId="150">
    <w:name w:val="Default Char"/>
    <w:link w:val="151"/>
    <w:qFormat/>
    <w:locked/>
    <w:uiPriority w:val="0"/>
    <w:rPr>
      <w:rFonts w:ascii="微软雅黑" w:eastAsia="微软雅黑"/>
      <w:color w:val="000000"/>
      <w:sz w:val="24"/>
      <w:szCs w:val="24"/>
      <w:lang w:val="en-US" w:eastAsia="zh-CN" w:bidi="ar-SA"/>
    </w:rPr>
  </w:style>
  <w:style w:type="paragraph" w:customStyle="1" w:styleId="151">
    <w:name w:val="Default"/>
    <w:link w:val="150"/>
    <w:qFormat/>
    <w:uiPriority w:val="0"/>
    <w:pPr>
      <w:widowControl w:val="0"/>
      <w:autoSpaceDE w:val="0"/>
      <w:autoSpaceDN w:val="0"/>
      <w:adjustRightInd w:val="0"/>
    </w:pPr>
    <w:rPr>
      <w:rFonts w:ascii="微软雅黑" w:hAnsi="Times New Roman" w:eastAsia="微软雅黑" w:cs="Times New Roman"/>
      <w:color w:val="000000"/>
      <w:sz w:val="24"/>
      <w:szCs w:val="24"/>
      <w:lang w:val="en-US" w:eastAsia="zh-CN" w:bidi="ar-SA"/>
    </w:rPr>
  </w:style>
  <w:style w:type="paragraph" w:customStyle="1" w:styleId="152">
    <w:name w:val="正文缩进1"/>
    <w:basedOn w:val="1"/>
    <w:next w:val="45"/>
    <w:qFormat/>
    <w:uiPriority w:val="0"/>
    <w:pPr>
      <w:ind w:firstLine="420"/>
    </w:pPr>
    <w:rPr>
      <w:sz w:val="20"/>
    </w:rPr>
  </w:style>
  <w:style w:type="character" w:customStyle="1" w:styleId="153">
    <w:name w:val="_Style 147"/>
    <w:qFormat/>
    <w:uiPriority w:val="0"/>
    <w:rPr>
      <w:i/>
      <w:iCs/>
      <w:color w:val="808080"/>
    </w:rPr>
  </w:style>
  <w:style w:type="character" w:customStyle="1" w:styleId="154">
    <w:name w:val=" Char Char2"/>
    <w:qFormat/>
    <w:uiPriority w:val="0"/>
    <w:rPr>
      <w:rFonts w:eastAsia="宋体"/>
      <w:kern w:val="2"/>
      <w:sz w:val="21"/>
      <w:szCs w:val="24"/>
      <w:lang w:val="en-US" w:eastAsia="zh-CN" w:bidi="ar-SA"/>
    </w:rPr>
  </w:style>
  <w:style w:type="character" w:customStyle="1" w:styleId="155">
    <w:name w:val="副标题 Char1"/>
    <w:qFormat/>
    <w:uiPriority w:val="11"/>
    <w:rPr>
      <w:rFonts w:ascii="Cambria" w:hAnsi="Cambria" w:cs="Times New Roman"/>
      <w:b/>
      <w:bCs/>
      <w:kern w:val="28"/>
      <w:sz w:val="32"/>
      <w:szCs w:val="32"/>
    </w:rPr>
  </w:style>
  <w:style w:type="character" w:customStyle="1" w:styleId="156">
    <w:name w:val="标题 2 Char2"/>
    <w:qFormat/>
    <w:uiPriority w:val="0"/>
    <w:rPr>
      <w:rFonts w:ascii="Arial" w:hAnsi="Arial" w:eastAsia="黑体"/>
      <w:b/>
      <w:bCs/>
      <w:sz w:val="32"/>
      <w:szCs w:val="32"/>
    </w:rPr>
  </w:style>
  <w:style w:type="character" w:customStyle="1" w:styleId="157">
    <w:name w:val="Blockquote Char Char"/>
    <w:qFormat/>
    <w:uiPriority w:val="0"/>
    <w:rPr>
      <w:rFonts w:eastAsia="宋体"/>
      <w:sz w:val="24"/>
      <w:lang w:val="en-US" w:eastAsia="zh-CN" w:bidi="ar-SA"/>
    </w:rPr>
  </w:style>
  <w:style w:type="character" w:customStyle="1" w:styleId="158">
    <w:name w:val="_Style 152"/>
    <w:qFormat/>
    <w:uiPriority w:val="0"/>
    <w:rPr>
      <w:b/>
      <w:bCs/>
      <w:smallCaps/>
      <w:color w:val="C0504D"/>
      <w:spacing w:val="5"/>
      <w:u w:val="single"/>
    </w:rPr>
  </w:style>
  <w:style w:type="character" w:customStyle="1" w:styleId="159">
    <w:name w:val="普通文字 Char Char1"/>
    <w:qFormat/>
    <w:uiPriority w:val="0"/>
    <w:rPr>
      <w:rFonts w:ascii="宋体" w:hAnsi="Courier New" w:eastAsia="宋体" w:cs="Times New Roman"/>
      <w:szCs w:val="20"/>
    </w:rPr>
  </w:style>
  <w:style w:type="character" w:customStyle="1" w:styleId="160">
    <w:name w:val="正文文本缩进 Char2"/>
    <w:qFormat/>
    <w:uiPriority w:val="0"/>
    <w:rPr>
      <w:kern w:val="2"/>
      <w:sz w:val="21"/>
      <w:szCs w:val="24"/>
    </w:rPr>
  </w:style>
  <w:style w:type="character" w:customStyle="1" w:styleId="161">
    <w:name w:val=" Char Char18"/>
    <w:qFormat/>
    <w:uiPriority w:val="0"/>
    <w:rPr>
      <w:rFonts w:eastAsia="宋体"/>
      <w:b/>
      <w:sz w:val="28"/>
      <w:lang w:val="en-US" w:eastAsia="zh-CN" w:bidi="ar-SA"/>
    </w:rPr>
  </w:style>
  <w:style w:type="character" w:customStyle="1" w:styleId="162">
    <w:name w:val="脚注文本 Char1"/>
    <w:semiHidden/>
    <w:qFormat/>
    <w:uiPriority w:val="99"/>
    <w:rPr>
      <w:rFonts w:ascii="Times New Roman" w:hAnsi="Times New Roman" w:eastAsia="宋体" w:cs="Times New Roman"/>
      <w:kern w:val="0"/>
      <w:sz w:val="18"/>
      <w:szCs w:val="18"/>
    </w:rPr>
  </w:style>
  <w:style w:type="character" w:customStyle="1" w:styleId="163">
    <w:name w:val=" Char Char4"/>
    <w:qFormat/>
    <w:uiPriority w:val="0"/>
    <w:rPr>
      <w:rFonts w:ascii="Arial" w:hAnsi="Arial" w:eastAsia="黑体"/>
      <w:b/>
      <w:bCs/>
      <w:kern w:val="2"/>
      <w:sz w:val="32"/>
      <w:szCs w:val="32"/>
      <w:lang w:val="en-US" w:eastAsia="zh-CN" w:bidi="ar-SA"/>
    </w:rPr>
  </w:style>
  <w:style w:type="character" w:customStyle="1" w:styleId="164">
    <w:name w:val="日期 Char1"/>
    <w:qFormat/>
    <w:uiPriority w:val="0"/>
    <w:rPr>
      <w:kern w:val="2"/>
      <w:sz w:val="21"/>
      <w:szCs w:val="22"/>
    </w:rPr>
  </w:style>
  <w:style w:type="character" w:customStyle="1" w:styleId="165">
    <w:name w:val=" Char Char15"/>
    <w:qFormat/>
    <w:uiPriority w:val="0"/>
    <w:rPr>
      <w:rFonts w:eastAsia="宋体"/>
      <w:b/>
      <w:bCs/>
      <w:kern w:val="2"/>
      <w:sz w:val="32"/>
      <w:szCs w:val="32"/>
      <w:lang w:val="en-US" w:eastAsia="zh-CN" w:bidi="ar-SA"/>
    </w:rPr>
  </w:style>
  <w:style w:type="character" w:customStyle="1" w:styleId="166">
    <w:name w:val="标题 2XW Char3"/>
    <w:qFormat/>
    <w:uiPriority w:val="0"/>
    <w:rPr>
      <w:rFonts w:ascii="Arial" w:hAnsi="Arial" w:eastAsia="黑体"/>
      <w:b/>
      <w:bCs/>
      <w:kern w:val="2"/>
      <w:sz w:val="32"/>
      <w:szCs w:val="32"/>
      <w:lang w:val="en-US" w:eastAsia="zh-CN" w:bidi="ar-SA"/>
    </w:rPr>
  </w:style>
  <w:style w:type="character" w:customStyle="1" w:styleId="167">
    <w:name w:val="tpc_content1"/>
    <w:qFormat/>
    <w:uiPriority w:val="0"/>
    <w:rPr>
      <w:sz w:val="20"/>
      <w:szCs w:val="20"/>
    </w:rPr>
  </w:style>
  <w:style w:type="character" w:customStyle="1" w:styleId="168">
    <w:name w:val="公文文号"/>
    <w:qFormat/>
    <w:uiPriority w:val="0"/>
    <w:rPr>
      <w:rFonts w:eastAsia="仿宋_GB2312"/>
      <w:sz w:val="32"/>
    </w:rPr>
  </w:style>
  <w:style w:type="character" w:customStyle="1" w:styleId="169">
    <w:name w:val="纯文本 Char"/>
    <w:semiHidden/>
    <w:qFormat/>
    <w:uiPriority w:val="99"/>
    <w:rPr>
      <w:rFonts w:ascii="宋体" w:hAnsi="Courier New" w:eastAsia="宋体" w:cs="Courier New"/>
      <w:kern w:val="0"/>
      <w:szCs w:val="21"/>
    </w:rPr>
  </w:style>
  <w:style w:type="character" w:customStyle="1" w:styleId="170">
    <w:name w:val="Char Char7"/>
    <w:qFormat/>
    <w:locked/>
    <w:uiPriority w:val="0"/>
    <w:rPr>
      <w:rFonts w:ascii="Cambria" w:hAnsi="Cambria" w:eastAsia="宋体"/>
      <w:b/>
      <w:bCs/>
      <w:kern w:val="2"/>
      <w:sz w:val="32"/>
      <w:szCs w:val="32"/>
      <w:lang w:val="en-US" w:eastAsia="zh-CN" w:bidi="ar-SA"/>
    </w:rPr>
  </w:style>
  <w:style w:type="character" w:customStyle="1" w:styleId="171">
    <w:name w:val="t_tag"/>
    <w:basedOn w:val="58"/>
    <w:qFormat/>
    <w:uiPriority w:val="0"/>
  </w:style>
  <w:style w:type="character" w:customStyle="1" w:styleId="172">
    <w:name w:val="样式3-1 Char"/>
    <w:link w:val="173"/>
    <w:qFormat/>
    <w:uiPriority w:val="0"/>
    <w:rPr>
      <w:rFonts w:ascii="宋体" w:hAnsi="宋体"/>
      <w:b/>
      <w:bCs/>
      <w:kern w:val="2"/>
      <w:sz w:val="32"/>
      <w:szCs w:val="24"/>
    </w:rPr>
  </w:style>
  <w:style w:type="paragraph" w:customStyle="1" w:styleId="173">
    <w:name w:val="样式3-1"/>
    <w:basedOn w:val="1"/>
    <w:link w:val="172"/>
    <w:qFormat/>
    <w:uiPriority w:val="0"/>
    <w:pPr>
      <w:widowControl w:val="0"/>
      <w:adjustRightInd w:val="0"/>
      <w:snapToGrid w:val="0"/>
      <w:spacing w:before="156" w:beforeLines="50" w:line="360" w:lineRule="auto"/>
      <w:jc w:val="center"/>
      <w:outlineLvl w:val="2"/>
    </w:pPr>
    <w:rPr>
      <w:rFonts w:ascii="宋体" w:hAnsi="宋体"/>
      <w:b/>
      <w:bCs/>
      <w:kern w:val="2"/>
      <w:sz w:val="32"/>
      <w:szCs w:val="24"/>
    </w:rPr>
  </w:style>
  <w:style w:type="character" w:customStyle="1" w:styleId="174">
    <w:name w:val="Char Char23"/>
    <w:qFormat/>
    <w:uiPriority w:val="0"/>
    <w:rPr>
      <w:rFonts w:hint="default" w:ascii="Cambria" w:hAnsi="Cambria" w:eastAsia="仿宋"/>
      <w:b/>
      <w:bCs/>
      <w:kern w:val="32"/>
      <w:sz w:val="48"/>
      <w:szCs w:val="32"/>
      <w:lang w:eastAsia="en-US" w:bidi="en-US"/>
    </w:rPr>
  </w:style>
  <w:style w:type="character" w:customStyle="1" w:styleId="175">
    <w:name w:val="_Style 169"/>
    <w:qFormat/>
    <w:uiPriority w:val="0"/>
    <w:rPr>
      <w:b/>
      <w:bCs/>
      <w:smallCaps/>
      <w:spacing w:val="5"/>
    </w:rPr>
  </w:style>
  <w:style w:type="character" w:customStyle="1" w:styleId="176">
    <w:name w:val="正文文本 Char1"/>
    <w:qFormat/>
    <w:uiPriority w:val="0"/>
    <w:rPr>
      <w:kern w:val="2"/>
      <w:sz w:val="21"/>
      <w:szCs w:val="22"/>
    </w:rPr>
  </w:style>
  <w:style w:type="character" w:customStyle="1" w:styleId="177">
    <w:name w:val="font51"/>
    <w:basedOn w:val="58"/>
    <w:qFormat/>
    <w:uiPriority w:val="0"/>
    <w:rPr>
      <w:rFonts w:hint="eastAsia" w:ascii="宋体" w:hAnsi="宋体" w:eastAsia="宋体" w:cs="宋体"/>
      <w:color w:val="000000"/>
      <w:sz w:val="18"/>
      <w:szCs w:val="18"/>
      <w:u w:val="none"/>
    </w:rPr>
  </w:style>
  <w:style w:type="character" w:customStyle="1" w:styleId="178">
    <w:name w:val="Char Char20"/>
    <w:qFormat/>
    <w:uiPriority w:val="0"/>
    <w:rPr>
      <w:b/>
      <w:bCs/>
      <w:sz w:val="28"/>
      <w:szCs w:val="28"/>
    </w:rPr>
  </w:style>
  <w:style w:type="character" w:customStyle="1" w:styleId="179">
    <w:name w:val=" Char Char14"/>
    <w:qFormat/>
    <w:uiPriority w:val="0"/>
    <w:rPr>
      <w:rFonts w:ascii="Arial" w:hAnsi="Arial" w:eastAsia="黑体"/>
      <w:b/>
      <w:sz w:val="28"/>
    </w:rPr>
  </w:style>
  <w:style w:type="character" w:customStyle="1" w:styleId="180">
    <w:name w:val="Char Char22"/>
    <w:qFormat/>
    <w:uiPriority w:val="0"/>
    <w:rPr>
      <w:rFonts w:hint="eastAsia" w:ascii="仿宋" w:hAnsi="仿宋" w:eastAsia="仿宋"/>
      <w:b/>
      <w:bCs/>
      <w:iCs/>
      <w:sz w:val="44"/>
      <w:szCs w:val="48"/>
      <w:lang w:bidi="en-US"/>
    </w:rPr>
  </w:style>
  <w:style w:type="character" w:customStyle="1" w:styleId="181">
    <w:name w:val="_Style 175"/>
    <w:qFormat/>
    <w:uiPriority w:val="0"/>
    <w:rPr>
      <w:b/>
      <w:bCs/>
      <w:i/>
      <w:iCs/>
      <w:color w:val="4F81BD"/>
    </w:rPr>
  </w:style>
  <w:style w:type="character" w:customStyle="1" w:styleId="182">
    <w:name w:val="正文文本缩进 Char1"/>
    <w:qFormat/>
    <w:uiPriority w:val="0"/>
    <w:rPr>
      <w:rFonts w:eastAsia="宋体"/>
      <w:lang w:val="en-US" w:eastAsia="zh-CN" w:bidi="ar-SA"/>
    </w:rPr>
  </w:style>
  <w:style w:type="character" w:customStyle="1" w:styleId="183">
    <w:name w:val="Char Char16"/>
    <w:qFormat/>
    <w:uiPriority w:val="0"/>
    <w:rPr>
      <w:i/>
      <w:iCs/>
      <w:sz w:val="24"/>
      <w:szCs w:val="24"/>
    </w:rPr>
  </w:style>
  <w:style w:type="character" w:customStyle="1" w:styleId="184">
    <w:name w:val="Char Char6"/>
    <w:qFormat/>
    <w:locked/>
    <w:uiPriority w:val="0"/>
    <w:rPr>
      <w:rFonts w:ascii="Calibri" w:hAnsi="Calibri" w:eastAsia="宋体"/>
      <w:b/>
      <w:bCs/>
      <w:kern w:val="2"/>
      <w:sz w:val="32"/>
      <w:szCs w:val="32"/>
      <w:lang w:val="en-US" w:eastAsia="zh-CN" w:bidi="ar-SA"/>
    </w:rPr>
  </w:style>
  <w:style w:type="character" w:customStyle="1" w:styleId="185">
    <w:name w:val="表格文字 Char1"/>
    <w:qFormat/>
    <w:uiPriority w:val="0"/>
    <w:rPr>
      <w:rFonts w:ascii="宋体" w:hAnsi="宋体" w:eastAsia="宋体"/>
      <w:lang w:val="en-US" w:eastAsia="zh-CN" w:bidi="ar-SA"/>
    </w:rPr>
  </w:style>
  <w:style w:type="character" w:customStyle="1" w:styleId="186">
    <w:name w:val="Title Header2 Char Char"/>
    <w:qFormat/>
    <w:uiPriority w:val="0"/>
    <w:rPr>
      <w:rFonts w:ascii="Arial" w:hAnsi="Arial" w:eastAsia="黑体"/>
      <w:b/>
      <w:bCs/>
      <w:sz w:val="32"/>
      <w:szCs w:val="32"/>
      <w:lang w:val="en-US" w:eastAsia="zh-CN" w:bidi="ar-SA"/>
    </w:rPr>
  </w:style>
  <w:style w:type="character" w:customStyle="1" w:styleId="187">
    <w:name w:val="批注文字 Char Char"/>
    <w:qFormat/>
    <w:uiPriority w:val="0"/>
    <w:rPr>
      <w:rFonts w:ascii="宋体" w:hAnsi="Times New Roman" w:eastAsia="宋体" w:cs="Times New Roman"/>
      <w:sz w:val="28"/>
      <w:szCs w:val="20"/>
    </w:rPr>
  </w:style>
  <w:style w:type="paragraph" w:customStyle="1" w:styleId="188">
    <w:name w:val="CM138"/>
    <w:basedOn w:val="151"/>
    <w:next w:val="151"/>
    <w:qFormat/>
    <w:uiPriority w:val="0"/>
    <w:pPr>
      <w:spacing w:line="273" w:lineRule="atLeast"/>
    </w:pPr>
    <w:rPr>
      <w:rFonts w:ascii="宋体" w:eastAsia="宋体" w:cs="Times New Roman"/>
      <w:color w:val="auto"/>
    </w:rPr>
  </w:style>
  <w:style w:type="paragraph" w:customStyle="1" w:styleId="189">
    <w:name w:val=" Char Char Char Char1 Char Char Char Char Char1 Char"/>
    <w:basedOn w:val="1"/>
    <w:qFormat/>
    <w:uiPriority w:val="0"/>
    <w:pPr>
      <w:widowControl w:val="0"/>
      <w:spacing w:line="240" w:lineRule="atLeast"/>
      <w:ind w:left="420" w:firstLine="420"/>
      <w:jc w:val="both"/>
    </w:pPr>
    <w:rPr>
      <w:sz w:val="21"/>
      <w:szCs w:val="21"/>
    </w:rPr>
  </w:style>
  <w:style w:type="paragraph" w:customStyle="1" w:styleId="190">
    <w:name w:val="CM206"/>
    <w:basedOn w:val="151"/>
    <w:next w:val="151"/>
    <w:qFormat/>
    <w:uiPriority w:val="0"/>
    <w:rPr>
      <w:rFonts w:ascii="宋体" w:eastAsia="宋体" w:cs="Times New Roman"/>
      <w:color w:val="auto"/>
    </w:rPr>
  </w:style>
  <w:style w:type="paragraph" w:customStyle="1" w:styleId="191">
    <w:name w:val="font5"/>
    <w:basedOn w:val="1"/>
    <w:qFormat/>
    <w:uiPriority w:val="0"/>
    <w:pPr>
      <w:spacing w:before="100" w:beforeAutospacing="1" w:after="100" w:afterAutospacing="1"/>
    </w:pPr>
    <w:rPr>
      <w:rFonts w:hint="eastAsia" w:ascii="宋体" w:hAnsi="宋体" w:cs="Arial Unicode MS"/>
      <w:sz w:val="18"/>
      <w:szCs w:val="18"/>
    </w:rPr>
  </w:style>
  <w:style w:type="paragraph" w:customStyle="1" w:styleId="192">
    <w:name w:val="CM7"/>
    <w:basedOn w:val="151"/>
    <w:next w:val="151"/>
    <w:qFormat/>
    <w:uiPriority w:val="0"/>
    <w:rPr>
      <w:rFonts w:ascii="宋体" w:eastAsia="宋体" w:cs="Times New Roman"/>
      <w:color w:val="auto"/>
    </w:rPr>
  </w:style>
  <w:style w:type="paragraph" w:customStyle="1" w:styleId="193">
    <w:name w:val="CM189"/>
    <w:basedOn w:val="151"/>
    <w:next w:val="151"/>
    <w:qFormat/>
    <w:uiPriority w:val="0"/>
    <w:rPr>
      <w:rFonts w:ascii="宋体" w:eastAsia="宋体" w:cs="Times New Roman"/>
      <w:color w:val="auto"/>
    </w:rPr>
  </w:style>
  <w:style w:type="paragraph" w:customStyle="1" w:styleId="194">
    <w:name w:val="CM111"/>
    <w:basedOn w:val="151"/>
    <w:next w:val="151"/>
    <w:qFormat/>
    <w:uiPriority w:val="0"/>
    <w:pPr>
      <w:spacing w:line="340" w:lineRule="atLeast"/>
    </w:pPr>
    <w:rPr>
      <w:rFonts w:ascii="宋体" w:eastAsia="宋体" w:cs="Times New Roman"/>
      <w:color w:val="auto"/>
    </w:rPr>
  </w:style>
  <w:style w:type="paragraph" w:customStyle="1" w:styleId="195">
    <w:name w:val="CM95"/>
    <w:basedOn w:val="151"/>
    <w:next w:val="151"/>
    <w:qFormat/>
    <w:uiPriority w:val="0"/>
    <w:pPr>
      <w:spacing w:line="273" w:lineRule="atLeast"/>
    </w:pPr>
    <w:rPr>
      <w:rFonts w:ascii="宋体" w:eastAsia="宋体" w:cs="Times New Roman"/>
      <w:color w:val="auto"/>
    </w:rPr>
  </w:style>
  <w:style w:type="paragraph" w:customStyle="1" w:styleId="196">
    <w:name w:val="_Style 190"/>
    <w:basedOn w:val="2"/>
    <w:next w:val="1"/>
    <w:qFormat/>
    <w:uiPriority w:val="0"/>
    <w:pPr>
      <w:widowControl w:val="0"/>
      <w:spacing w:line="576" w:lineRule="auto"/>
      <w:jc w:val="both"/>
      <w:outlineLvl w:val="9"/>
    </w:pPr>
    <w:rPr>
      <w:rFonts w:ascii="Calibri" w:hAnsi="Calibri"/>
    </w:rPr>
  </w:style>
  <w:style w:type="paragraph" w:customStyle="1" w:styleId="197">
    <w:name w:val="Cap_标题_1"/>
    <w:next w:val="1"/>
    <w:qFormat/>
    <w:uiPriority w:val="0"/>
    <w:pPr>
      <w:keepNext/>
      <w:pageBreakBefore/>
      <w:numPr>
        <w:ilvl w:val="0"/>
        <w:numId w:val="4"/>
      </w:numPr>
      <w:tabs>
        <w:tab w:val="left" w:pos="425"/>
      </w:tabs>
      <w:spacing w:before="180" w:after="120"/>
      <w:outlineLvl w:val="0"/>
    </w:pPr>
    <w:rPr>
      <w:rFonts w:ascii="Arial" w:hAnsi="Arial" w:eastAsia="宋体" w:cs="Arial"/>
      <w:b/>
      <w:bCs/>
      <w:smallCaps/>
      <w:kern w:val="32"/>
      <w:sz w:val="28"/>
      <w:szCs w:val="28"/>
      <w:lang w:val="en-US" w:eastAsia="en-CA" w:bidi="ar-SA"/>
    </w:rPr>
  </w:style>
  <w:style w:type="paragraph" w:customStyle="1" w:styleId="198">
    <w:name w:val="CM72"/>
    <w:basedOn w:val="151"/>
    <w:next w:val="151"/>
    <w:qFormat/>
    <w:uiPriority w:val="0"/>
    <w:pPr>
      <w:spacing w:line="518" w:lineRule="atLeast"/>
    </w:pPr>
    <w:rPr>
      <w:rFonts w:ascii="宋体" w:eastAsia="宋体" w:cs="Times New Roman"/>
      <w:color w:val="auto"/>
    </w:rPr>
  </w:style>
  <w:style w:type="paragraph" w:customStyle="1" w:styleId="199">
    <w:name w:val="CM28"/>
    <w:basedOn w:val="151"/>
    <w:next w:val="151"/>
    <w:qFormat/>
    <w:uiPriority w:val="0"/>
    <w:pPr>
      <w:spacing w:line="313" w:lineRule="atLeast"/>
    </w:pPr>
    <w:rPr>
      <w:rFonts w:ascii="宋体" w:eastAsia="宋体" w:cs="Times New Roman"/>
      <w:color w:val="auto"/>
    </w:rPr>
  </w:style>
  <w:style w:type="paragraph" w:customStyle="1" w:styleId="200">
    <w:name w:val="CM10"/>
    <w:basedOn w:val="151"/>
    <w:next w:val="151"/>
    <w:qFormat/>
    <w:uiPriority w:val="0"/>
    <w:pPr>
      <w:spacing w:line="308" w:lineRule="atLeast"/>
    </w:pPr>
    <w:rPr>
      <w:rFonts w:ascii="宋体" w:eastAsia="宋体" w:cs="Times New Roman"/>
      <w:color w:val="auto"/>
    </w:rPr>
  </w:style>
  <w:style w:type="paragraph" w:customStyle="1" w:styleId="201">
    <w:name w:val="P10"/>
    <w:basedOn w:val="202"/>
    <w:qFormat/>
    <w:uiPriority w:val="0"/>
    <w:pPr>
      <w:ind w:left="3240"/>
    </w:pPr>
    <w:rPr>
      <w:spacing w:val="20"/>
    </w:rPr>
  </w:style>
  <w:style w:type="paragraph" w:customStyle="1" w:styleId="202">
    <w:name w:val="P5"/>
    <w:qFormat/>
    <w:uiPriority w:val="0"/>
    <w:pPr>
      <w:widowControl w:val="0"/>
      <w:adjustRightInd w:val="0"/>
      <w:spacing w:after="240" w:line="24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203">
    <w:name w:val="xl34"/>
    <w:basedOn w:val="1"/>
    <w:qFormat/>
    <w:uiPriority w:val="0"/>
    <w:pPr>
      <w:pBdr>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04">
    <w:name w:val="CM59"/>
    <w:basedOn w:val="151"/>
    <w:next w:val="151"/>
    <w:qFormat/>
    <w:uiPriority w:val="0"/>
    <w:pPr>
      <w:spacing w:line="393" w:lineRule="atLeast"/>
    </w:pPr>
    <w:rPr>
      <w:rFonts w:ascii="宋体" w:eastAsia="宋体" w:cs="Times New Roman"/>
      <w:color w:val="auto"/>
    </w:rPr>
  </w:style>
  <w:style w:type="paragraph" w:customStyle="1" w:styleId="205">
    <w:name w:val="CM208"/>
    <w:basedOn w:val="151"/>
    <w:next w:val="151"/>
    <w:qFormat/>
    <w:uiPriority w:val="0"/>
    <w:rPr>
      <w:rFonts w:ascii="宋体" w:eastAsia="宋体" w:cs="Times New Roman"/>
      <w:color w:val="auto"/>
    </w:rPr>
  </w:style>
  <w:style w:type="paragraph" w:customStyle="1" w:styleId="206">
    <w:name w:val="P2"/>
    <w:qFormat/>
    <w:uiPriority w:val="0"/>
    <w:pPr>
      <w:widowControl w:val="0"/>
      <w:adjustRightInd w:val="0"/>
      <w:spacing w:after="240" w:line="240" w:lineRule="atLeast"/>
      <w:ind w:left="1728"/>
      <w:jc w:val="both"/>
      <w:textAlignment w:val="baseline"/>
    </w:pPr>
    <w:rPr>
      <w:rFonts w:ascii="Times New Roman" w:hAnsi="Times New Roman" w:eastAsia="全真中明體" w:cs="Times New Roman"/>
      <w:spacing w:val="20"/>
      <w:sz w:val="24"/>
      <w:lang w:val="en-GB" w:eastAsia="zh-TW" w:bidi="ar-SA"/>
    </w:rPr>
  </w:style>
  <w:style w:type="paragraph" w:customStyle="1" w:styleId="207">
    <w:name w:val="CM73"/>
    <w:basedOn w:val="151"/>
    <w:next w:val="151"/>
    <w:qFormat/>
    <w:uiPriority w:val="0"/>
    <w:pPr>
      <w:spacing w:line="478" w:lineRule="atLeast"/>
    </w:pPr>
    <w:rPr>
      <w:rFonts w:ascii="宋体" w:eastAsia="宋体" w:cs="Times New Roman"/>
      <w:color w:val="auto"/>
    </w:rPr>
  </w:style>
  <w:style w:type="paragraph" w:customStyle="1" w:styleId="208">
    <w:name w:val="CM205"/>
    <w:basedOn w:val="151"/>
    <w:next w:val="151"/>
    <w:qFormat/>
    <w:uiPriority w:val="0"/>
    <w:rPr>
      <w:rFonts w:ascii="宋体" w:eastAsia="宋体" w:cs="Times New Roman"/>
      <w:color w:val="auto"/>
    </w:rPr>
  </w:style>
  <w:style w:type="paragraph" w:customStyle="1" w:styleId="209">
    <w:name w:val="CM101"/>
    <w:basedOn w:val="151"/>
    <w:next w:val="151"/>
    <w:qFormat/>
    <w:uiPriority w:val="0"/>
    <w:pPr>
      <w:spacing w:line="340" w:lineRule="atLeast"/>
    </w:pPr>
    <w:rPr>
      <w:rFonts w:ascii="宋体" w:eastAsia="宋体" w:cs="Times New Roman"/>
      <w:color w:val="auto"/>
    </w:rPr>
  </w:style>
  <w:style w:type="paragraph" w:customStyle="1" w:styleId="210">
    <w:name w:val="xl28"/>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11">
    <w:name w:val="CM97"/>
    <w:basedOn w:val="151"/>
    <w:next w:val="151"/>
    <w:qFormat/>
    <w:uiPriority w:val="0"/>
    <w:pPr>
      <w:spacing w:line="346" w:lineRule="atLeast"/>
    </w:pPr>
    <w:rPr>
      <w:rFonts w:ascii="宋体" w:eastAsia="宋体" w:cs="Times New Roman"/>
      <w:color w:val="auto"/>
    </w:rPr>
  </w:style>
  <w:style w:type="paragraph" w:customStyle="1" w:styleId="212">
    <w:name w:val="合同文本"/>
    <w:basedOn w:val="1"/>
    <w:qFormat/>
    <w:uiPriority w:val="0"/>
    <w:pPr>
      <w:widowControl w:val="0"/>
      <w:snapToGrid w:val="0"/>
      <w:spacing w:line="360" w:lineRule="auto"/>
      <w:ind w:firstLine="425" w:firstLineChars="177"/>
      <w:jc w:val="both"/>
    </w:pPr>
    <w:rPr>
      <w:rFonts w:ascii="宋体" w:hAnsi="宋体"/>
      <w:kern w:val="2"/>
      <w:sz w:val="21"/>
      <w:szCs w:val="21"/>
    </w:rPr>
  </w:style>
  <w:style w:type="paragraph" w:customStyle="1" w:styleId="213">
    <w:name w:val="样式 正文缩进正文（首行缩进两字）特点ALT+Z表正文正文非缩进四号段1Normal Indent Char2...2"/>
    <w:basedOn w:val="4"/>
    <w:qFormat/>
    <w:uiPriority w:val="0"/>
    <w:pPr>
      <w:widowControl w:val="0"/>
      <w:tabs>
        <w:tab w:val="left" w:pos="1740"/>
      </w:tabs>
      <w:adjustRightInd w:val="0"/>
      <w:spacing w:before="360" w:after="120" w:line="360" w:lineRule="auto"/>
      <w:ind w:left="1740" w:hanging="420"/>
      <w:jc w:val="center"/>
      <w:textAlignment w:val="baseline"/>
    </w:pPr>
    <w:rPr>
      <w:rFonts w:ascii="宋体" w:hAnsi="宋体"/>
      <w:bCs w:val="0"/>
      <w:sz w:val="28"/>
      <w:szCs w:val="28"/>
      <w:lang w:val="en-US" w:eastAsia="zh-CN"/>
    </w:rPr>
  </w:style>
  <w:style w:type="paragraph" w:customStyle="1" w:styleId="214">
    <w:name w:val="CM46"/>
    <w:basedOn w:val="151"/>
    <w:next w:val="151"/>
    <w:qFormat/>
    <w:uiPriority w:val="0"/>
    <w:pPr>
      <w:spacing w:line="313" w:lineRule="atLeast"/>
    </w:pPr>
    <w:rPr>
      <w:rFonts w:ascii="宋体" w:eastAsia="宋体" w:cs="Times New Roman"/>
      <w:color w:val="auto"/>
    </w:rPr>
  </w:style>
  <w:style w:type="paragraph" w:customStyle="1" w:styleId="215">
    <w:name w:val="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216">
    <w:name w:val="CM53"/>
    <w:basedOn w:val="151"/>
    <w:next w:val="151"/>
    <w:qFormat/>
    <w:uiPriority w:val="0"/>
    <w:pPr>
      <w:spacing w:line="400" w:lineRule="atLeast"/>
    </w:pPr>
    <w:rPr>
      <w:rFonts w:ascii="宋体" w:eastAsia="宋体" w:cs="Times New Roman"/>
      <w:color w:val="auto"/>
    </w:rPr>
  </w:style>
  <w:style w:type="paragraph" w:customStyle="1" w:styleId="217">
    <w:name w:val="样式 标题 1 + 居中"/>
    <w:basedOn w:val="2"/>
    <w:qFormat/>
    <w:uiPriority w:val="0"/>
    <w:pPr>
      <w:widowControl w:val="0"/>
      <w:spacing w:before="0" w:after="0"/>
      <w:jc w:val="center"/>
    </w:pPr>
    <w:rPr>
      <w:rFonts w:cs="宋体"/>
      <w:sz w:val="30"/>
      <w:szCs w:val="20"/>
      <w:lang w:val="en-US" w:eastAsia="zh-CN"/>
    </w:rPr>
  </w:style>
  <w:style w:type="paragraph" w:customStyle="1" w:styleId="218">
    <w:name w:val="CM62"/>
    <w:basedOn w:val="151"/>
    <w:next w:val="151"/>
    <w:qFormat/>
    <w:uiPriority w:val="0"/>
    <w:pPr>
      <w:spacing w:line="400" w:lineRule="atLeast"/>
    </w:pPr>
    <w:rPr>
      <w:rFonts w:ascii="宋体" w:eastAsia="宋体" w:cs="Times New Roman"/>
      <w:color w:val="auto"/>
    </w:rPr>
  </w:style>
  <w:style w:type="paragraph" w:customStyle="1" w:styleId="219">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220">
    <w:name w:val="CM130"/>
    <w:basedOn w:val="151"/>
    <w:next w:val="151"/>
    <w:qFormat/>
    <w:uiPriority w:val="0"/>
    <w:pPr>
      <w:spacing w:line="273" w:lineRule="atLeast"/>
    </w:pPr>
    <w:rPr>
      <w:rFonts w:ascii="宋体" w:eastAsia="宋体" w:cs="Times New Roman"/>
      <w:color w:val="auto"/>
    </w:rPr>
  </w:style>
  <w:style w:type="paragraph" w:customStyle="1" w:styleId="221">
    <w:name w:val="CM125"/>
    <w:basedOn w:val="151"/>
    <w:next w:val="151"/>
    <w:qFormat/>
    <w:uiPriority w:val="0"/>
    <w:pPr>
      <w:spacing w:line="273" w:lineRule="atLeast"/>
    </w:pPr>
    <w:rPr>
      <w:rFonts w:ascii="宋体" w:eastAsia="宋体" w:cs="Times New Roman"/>
      <w:color w:val="auto"/>
    </w:rPr>
  </w:style>
  <w:style w:type="paragraph" w:customStyle="1" w:styleId="222">
    <w:name w:val="列出段落1"/>
    <w:basedOn w:val="1"/>
    <w:qFormat/>
    <w:uiPriority w:val="0"/>
    <w:pPr>
      <w:widowControl w:val="0"/>
      <w:ind w:firstLine="420" w:firstLineChars="200"/>
      <w:jc w:val="both"/>
    </w:pPr>
    <w:rPr>
      <w:kern w:val="2"/>
      <w:sz w:val="21"/>
      <w:szCs w:val="24"/>
    </w:rPr>
  </w:style>
  <w:style w:type="paragraph" w:customStyle="1" w:styleId="223">
    <w:name w:val="表格"/>
    <w:basedOn w:val="1"/>
    <w:qFormat/>
    <w:uiPriority w:val="0"/>
    <w:pPr>
      <w:widowControl w:val="0"/>
      <w:jc w:val="center"/>
      <w:textAlignment w:val="center"/>
    </w:pPr>
    <w:rPr>
      <w:rFonts w:ascii="华文细黑" w:hAnsi="华文细黑"/>
      <w:sz w:val="21"/>
    </w:rPr>
  </w:style>
  <w:style w:type="paragraph" w:customStyle="1" w:styleId="224">
    <w:name w:val="CM196"/>
    <w:basedOn w:val="151"/>
    <w:next w:val="151"/>
    <w:qFormat/>
    <w:uiPriority w:val="0"/>
    <w:rPr>
      <w:rFonts w:ascii="宋体" w:eastAsia="宋体" w:cs="Times New Roman"/>
      <w:color w:val="auto"/>
    </w:rPr>
  </w:style>
  <w:style w:type="paragraph" w:customStyle="1" w:styleId="225">
    <w:name w:val="xl48"/>
    <w:basedOn w:val="1"/>
    <w:qFormat/>
    <w:uiPriority w:val="0"/>
    <w:pPr>
      <w:pBdr>
        <w:bottom w:val="single" w:color="auto" w:sz="4" w:space="0"/>
      </w:pBdr>
      <w:spacing w:before="100" w:beforeAutospacing="1" w:after="100" w:afterAutospacing="1"/>
    </w:pPr>
    <w:rPr>
      <w:rFonts w:ascii="Arial Unicode MS" w:hAnsi="Arial Unicode MS" w:eastAsia="Arial Unicode MS" w:cs="Arial Unicode MS"/>
      <w:b/>
      <w:bCs/>
      <w:sz w:val="22"/>
      <w:szCs w:val="22"/>
    </w:rPr>
  </w:style>
  <w:style w:type="paragraph" w:customStyle="1" w:styleId="226">
    <w:name w:val="CM212"/>
    <w:basedOn w:val="151"/>
    <w:next w:val="151"/>
    <w:qFormat/>
    <w:uiPriority w:val="0"/>
    <w:rPr>
      <w:rFonts w:ascii="宋体" w:eastAsia="宋体" w:cs="Times New Roman"/>
      <w:color w:val="auto"/>
    </w:rPr>
  </w:style>
  <w:style w:type="paragraph" w:customStyle="1" w:styleId="227">
    <w:name w:val="xl27"/>
    <w:basedOn w:val="1"/>
    <w:qFormat/>
    <w:uiPriority w:val="0"/>
    <w:pPr>
      <w:spacing w:before="100" w:beforeAutospacing="1" w:after="100" w:afterAutospacing="1"/>
      <w:jc w:val="center"/>
    </w:pPr>
    <w:rPr>
      <w:rFonts w:ascii="Arial Unicode MS" w:hAnsi="Arial Unicode MS" w:eastAsia="Arial Unicode MS" w:cs="Arial Unicode MS"/>
      <w:b/>
      <w:bCs/>
      <w:sz w:val="28"/>
      <w:szCs w:val="28"/>
      <w:lang w:eastAsia="en-US" w:bidi="en-US"/>
    </w:rPr>
  </w:style>
  <w:style w:type="paragraph" w:customStyle="1" w:styleId="228">
    <w:name w:val="xl33"/>
    <w:basedOn w:val="1"/>
    <w:qFormat/>
    <w:uiPriority w:val="0"/>
    <w:pPr>
      <w:pBdr>
        <w:lef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29">
    <w:name w:val="空半行"/>
    <w:basedOn w:val="1"/>
    <w:qFormat/>
    <w:uiPriority w:val="0"/>
    <w:pPr>
      <w:widowControl w:val="0"/>
      <w:adjustRightInd w:val="0"/>
      <w:spacing w:line="120" w:lineRule="exact"/>
      <w:jc w:val="both"/>
      <w:textAlignment w:val="baseline"/>
    </w:pPr>
    <w:rPr>
      <w:rFonts w:eastAsia="仿宋_GB2312"/>
      <w:color w:val="FFFFFF"/>
      <w:sz w:val="30"/>
    </w:rPr>
  </w:style>
  <w:style w:type="paragraph" w:customStyle="1" w:styleId="230">
    <w:name w:val="CM114"/>
    <w:basedOn w:val="151"/>
    <w:next w:val="151"/>
    <w:qFormat/>
    <w:uiPriority w:val="0"/>
    <w:pPr>
      <w:spacing w:line="340" w:lineRule="atLeast"/>
    </w:pPr>
    <w:rPr>
      <w:rFonts w:ascii="宋体" w:eastAsia="宋体" w:cs="Times New Roman"/>
      <w:color w:val="auto"/>
    </w:rPr>
  </w:style>
  <w:style w:type="paragraph" w:customStyle="1" w:styleId="231">
    <w:name w:val="CM204"/>
    <w:basedOn w:val="151"/>
    <w:next w:val="151"/>
    <w:qFormat/>
    <w:uiPriority w:val="0"/>
    <w:rPr>
      <w:rFonts w:ascii="宋体" w:eastAsia="宋体" w:cs="Times New Roman"/>
      <w:color w:val="auto"/>
    </w:rPr>
  </w:style>
  <w:style w:type="paragraph" w:customStyle="1" w:styleId="232">
    <w:name w:val="6'"/>
    <w:basedOn w:val="1"/>
    <w:qFormat/>
    <w:uiPriority w:val="0"/>
    <w:pPr>
      <w:widowControl w:val="0"/>
      <w:autoSpaceDE w:val="0"/>
      <w:autoSpaceDN w:val="0"/>
      <w:adjustRightInd w:val="0"/>
      <w:snapToGrid w:val="0"/>
      <w:spacing w:line="320" w:lineRule="exact"/>
      <w:jc w:val="center"/>
      <w:textAlignment w:val="baseline"/>
    </w:pPr>
    <w:rPr>
      <w:spacing w:val="20"/>
      <w:kern w:val="28"/>
      <w:sz w:val="21"/>
    </w:rPr>
  </w:style>
  <w:style w:type="paragraph" w:customStyle="1" w:styleId="233">
    <w:name w:val="CM192"/>
    <w:basedOn w:val="151"/>
    <w:next w:val="151"/>
    <w:qFormat/>
    <w:uiPriority w:val="0"/>
    <w:rPr>
      <w:rFonts w:ascii="宋体" w:eastAsia="宋体" w:cs="Times New Roman"/>
      <w:color w:val="auto"/>
    </w:rPr>
  </w:style>
  <w:style w:type="paragraph" w:customStyle="1" w:styleId="234">
    <w:name w:val="font7"/>
    <w:basedOn w:val="1"/>
    <w:qFormat/>
    <w:uiPriority w:val="0"/>
    <w:pPr>
      <w:spacing w:before="100" w:beforeAutospacing="1" w:after="100" w:afterAutospacing="1"/>
    </w:pPr>
    <w:rPr>
      <w:rFonts w:hint="eastAsia" w:ascii="宋体" w:hAnsi="宋体" w:cs="Arial Unicode MS"/>
      <w:b/>
      <w:bCs/>
      <w:sz w:val="22"/>
      <w:szCs w:val="22"/>
    </w:rPr>
  </w:style>
  <w:style w:type="paragraph" w:customStyle="1" w:styleId="235">
    <w:name w:val="xl29"/>
    <w:basedOn w:val="1"/>
    <w:qFormat/>
    <w:uiPriority w:val="0"/>
    <w:pPr>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36">
    <w:name w:val="CM52"/>
    <w:basedOn w:val="151"/>
    <w:next w:val="151"/>
    <w:qFormat/>
    <w:uiPriority w:val="0"/>
    <w:pPr>
      <w:spacing w:line="398" w:lineRule="atLeast"/>
    </w:pPr>
    <w:rPr>
      <w:rFonts w:ascii="宋体" w:eastAsia="宋体" w:cs="Times New Roman"/>
      <w:color w:val="auto"/>
    </w:rPr>
  </w:style>
  <w:style w:type="paragraph" w:customStyle="1" w:styleId="237">
    <w:name w:val="xl47"/>
    <w:basedOn w:val="1"/>
    <w:qFormat/>
    <w:uiPriority w:val="0"/>
    <w:pPr>
      <w:pBdr>
        <w:bottom w:val="single" w:color="auto" w:sz="4" w:space="0"/>
      </w:pBdr>
      <w:spacing w:before="100" w:beforeAutospacing="1" w:after="100" w:afterAutospacing="1"/>
    </w:pPr>
    <w:rPr>
      <w:rFonts w:eastAsia="Arial Unicode MS"/>
      <w:b/>
      <w:bCs/>
      <w:sz w:val="22"/>
      <w:szCs w:val="22"/>
    </w:rPr>
  </w:style>
  <w:style w:type="paragraph" w:customStyle="1" w:styleId="238">
    <w:name w:val="样式 正文缩进正文（首行缩进两字）特点ALT+Z表正文正文非缩进四号段1Normal Indent Char2...3"/>
    <w:basedOn w:val="5"/>
    <w:next w:val="6"/>
    <w:qFormat/>
    <w:uiPriority w:val="0"/>
    <w:pPr>
      <w:widowControl w:val="0"/>
      <w:tabs>
        <w:tab w:val="left" w:pos="2160"/>
      </w:tabs>
      <w:adjustRightInd w:val="0"/>
      <w:spacing w:before="280" w:after="290" w:line="360" w:lineRule="auto"/>
      <w:ind w:left="2160" w:leftChars="0" w:right="0" w:rightChars="0" w:hanging="420"/>
      <w:textAlignment w:val="baseline"/>
    </w:pPr>
    <w:rPr>
      <w:rFonts w:ascii="宋体" w:hAnsi="宋体" w:eastAsia="宋体" w:cs="宋体"/>
      <w:b/>
      <w:bCs w:val="0"/>
      <w:sz w:val="24"/>
      <w:szCs w:val="24"/>
      <w:lang w:val="en-US" w:eastAsia="zh-CN"/>
    </w:rPr>
  </w:style>
  <w:style w:type="paragraph" w:customStyle="1" w:styleId="239">
    <w:name w:val="CM91"/>
    <w:basedOn w:val="151"/>
    <w:next w:val="151"/>
    <w:qFormat/>
    <w:uiPriority w:val="0"/>
    <w:pPr>
      <w:spacing w:line="478" w:lineRule="atLeast"/>
    </w:pPr>
    <w:rPr>
      <w:rFonts w:ascii="宋体" w:eastAsia="宋体" w:cs="Times New Roman"/>
      <w:color w:val="auto"/>
    </w:rPr>
  </w:style>
  <w:style w:type="paragraph" w:customStyle="1" w:styleId="240">
    <w:name w:val="题1.1"/>
    <w:basedOn w:val="1"/>
    <w:qFormat/>
    <w:uiPriority w:val="0"/>
    <w:pPr>
      <w:widowControl w:val="0"/>
      <w:adjustRightInd w:val="0"/>
      <w:spacing w:after="60"/>
      <w:ind w:left="454" w:firstLine="454"/>
      <w:jc w:val="both"/>
      <w:textAlignment w:val="baseline"/>
    </w:pPr>
    <w:rPr>
      <w:rFonts w:ascii="楷体_GB2312" w:eastAsia="楷体_GB2312"/>
      <w:spacing w:val="15"/>
      <w:sz w:val="21"/>
    </w:rPr>
  </w:style>
  <w:style w:type="paragraph" w:customStyle="1" w:styleId="241">
    <w:name w:val="CM49"/>
    <w:basedOn w:val="151"/>
    <w:next w:val="151"/>
    <w:qFormat/>
    <w:uiPriority w:val="0"/>
    <w:pPr>
      <w:spacing w:line="398" w:lineRule="atLeast"/>
    </w:pPr>
    <w:rPr>
      <w:rFonts w:ascii="宋体" w:eastAsia="宋体" w:cs="Times New Roman"/>
      <w:color w:val="auto"/>
    </w:rPr>
  </w:style>
  <w:style w:type="paragraph" w:customStyle="1" w:styleId="242">
    <w:name w:val="样式3"/>
    <w:basedOn w:val="4"/>
    <w:qFormat/>
    <w:uiPriority w:val="0"/>
    <w:rPr>
      <w:rFonts w:eastAsia="黑体"/>
      <w:sz w:val="28"/>
    </w:rPr>
  </w:style>
  <w:style w:type="paragraph" w:customStyle="1" w:styleId="243">
    <w:name w:val="样式 标题 2刘兵2第一节 标题 2标题3技术标题22nd levelh2Header 2l2H2sect ..."/>
    <w:basedOn w:val="3"/>
    <w:qFormat/>
    <w:uiPriority w:val="0"/>
    <w:pPr>
      <w:keepNext w:val="0"/>
      <w:keepLines w:val="0"/>
      <w:widowControl w:val="0"/>
      <w:numPr>
        <w:ilvl w:val="2"/>
        <w:numId w:val="5"/>
      </w:numPr>
      <w:tabs>
        <w:tab w:val="left" w:pos="360"/>
      </w:tabs>
      <w:adjustRightInd w:val="0"/>
      <w:spacing w:before="240" w:after="240" w:line="360" w:lineRule="auto"/>
      <w:ind w:left="0" w:firstLine="0"/>
      <w:textAlignment w:val="center"/>
    </w:pPr>
    <w:rPr>
      <w:rFonts w:ascii="黑体" w:cs="宋体"/>
      <w:kern w:val="2"/>
      <w:sz w:val="24"/>
      <w:szCs w:val="20"/>
      <w:lang w:val="en-US" w:eastAsia="zh-CN"/>
    </w:rPr>
  </w:style>
  <w:style w:type="paragraph" w:customStyle="1" w:styleId="244">
    <w:name w:val="Char Char Char Char Char Char Char"/>
    <w:basedOn w:val="18"/>
    <w:qFormat/>
    <w:uiPriority w:val="0"/>
    <w:pPr>
      <w:widowControl w:val="0"/>
      <w:shd w:val="clear" w:color="auto" w:fill="000080"/>
      <w:adjustRightInd w:val="0"/>
      <w:spacing w:line="436" w:lineRule="exact"/>
      <w:ind w:left="357"/>
      <w:outlineLvl w:val="3"/>
    </w:pPr>
    <w:rPr>
      <w:rFonts w:ascii="Tahoma" w:hAnsi="Tahoma"/>
      <w:kern w:val="2"/>
      <w:sz w:val="24"/>
      <w:szCs w:val="24"/>
      <w:lang w:val="en-US" w:eastAsia="zh-CN"/>
    </w:rPr>
  </w:style>
  <w:style w:type="paragraph" w:customStyle="1" w:styleId="245">
    <w:name w:val="CM150"/>
    <w:basedOn w:val="151"/>
    <w:next w:val="151"/>
    <w:qFormat/>
    <w:uiPriority w:val="0"/>
    <w:rPr>
      <w:rFonts w:ascii="宋体" w:eastAsia="宋体" w:cs="Times New Roman"/>
      <w:color w:val="auto"/>
    </w:rPr>
  </w:style>
  <w:style w:type="paragraph" w:customStyle="1" w:styleId="246">
    <w:name w:val="CM39"/>
    <w:basedOn w:val="151"/>
    <w:next w:val="151"/>
    <w:qFormat/>
    <w:uiPriority w:val="0"/>
    <w:pPr>
      <w:spacing w:line="406" w:lineRule="atLeast"/>
    </w:pPr>
    <w:rPr>
      <w:rFonts w:ascii="宋体" w:eastAsia="宋体" w:cs="Times New Roman"/>
      <w:color w:val="auto"/>
    </w:rPr>
  </w:style>
  <w:style w:type="paragraph" w:customStyle="1" w:styleId="247">
    <w:name w:val="正文文本 21"/>
    <w:basedOn w:val="1"/>
    <w:qFormat/>
    <w:uiPriority w:val="0"/>
    <w:pPr>
      <w:widowControl w:val="0"/>
      <w:adjustRightInd w:val="0"/>
      <w:ind w:firstLine="570"/>
      <w:jc w:val="both"/>
      <w:textAlignment w:val="baseline"/>
    </w:pPr>
    <w:rPr>
      <w:kern w:val="2"/>
      <w:sz w:val="28"/>
    </w:rPr>
  </w:style>
  <w:style w:type="paragraph" w:customStyle="1" w:styleId="248">
    <w:name w:val="标准"/>
    <w:basedOn w:val="1"/>
    <w:qFormat/>
    <w:uiPriority w:val="0"/>
    <w:pPr>
      <w:widowControl w:val="0"/>
      <w:adjustRightInd w:val="0"/>
      <w:spacing w:line="312" w:lineRule="atLeast"/>
      <w:jc w:val="both"/>
      <w:textAlignment w:val="baseline"/>
    </w:pPr>
    <w:rPr>
      <w:sz w:val="28"/>
    </w:rPr>
  </w:style>
  <w:style w:type="paragraph" w:customStyle="1" w:styleId="249">
    <w:name w:val="Char2 Char Char Char Char Char Char"/>
    <w:basedOn w:val="18"/>
    <w:qFormat/>
    <w:uiPriority w:val="0"/>
    <w:pPr>
      <w:widowControl w:val="0"/>
      <w:shd w:val="clear" w:color="auto" w:fill="000080"/>
      <w:jc w:val="both"/>
    </w:pPr>
    <w:rPr>
      <w:rFonts w:ascii="Tahoma" w:hAnsi="Tahoma"/>
      <w:sz w:val="24"/>
      <w:szCs w:val="24"/>
    </w:rPr>
  </w:style>
  <w:style w:type="paragraph" w:customStyle="1" w:styleId="250">
    <w:name w:val="CM148"/>
    <w:basedOn w:val="151"/>
    <w:next w:val="151"/>
    <w:qFormat/>
    <w:uiPriority w:val="0"/>
    <w:rPr>
      <w:rFonts w:ascii="宋体" w:eastAsia="宋体" w:cs="Times New Roman"/>
      <w:color w:val="auto"/>
    </w:rPr>
  </w:style>
  <w:style w:type="paragraph" w:customStyle="1" w:styleId="251">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252">
    <w:name w:val="菲页2"/>
    <w:basedOn w:val="4"/>
    <w:qFormat/>
    <w:uiPriority w:val="0"/>
    <w:pPr>
      <w:tabs>
        <w:tab w:val="left" w:pos="720"/>
      </w:tabs>
      <w:spacing w:before="120" w:after="120" w:line="360" w:lineRule="auto"/>
      <w:ind w:left="720" w:hanging="720"/>
      <w:jc w:val="center"/>
    </w:pPr>
    <w:rPr>
      <w:rFonts w:ascii="黑体" w:hAnsi="宋体" w:eastAsia="黑体"/>
      <w:b w:val="0"/>
      <w:bCs w:val="0"/>
      <w:sz w:val="44"/>
      <w:szCs w:val="20"/>
      <w:lang w:val="en-US" w:eastAsia="zh-CN"/>
    </w:rPr>
  </w:style>
  <w:style w:type="paragraph" w:customStyle="1" w:styleId="253">
    <w:name w:val="CM65"/>
    <w:basedOn w:val="151"/>
    <w:next w:val="151"/>
    <w:qFormat/>
    <w:uiPriority w:val="0"/>
    <w:pPr>
      <w:spacing w:line="400" w:lineRule="atLeast"/>
    </w:pPr>
    <w:rPr>
      <w:rFonts w:ascii="宋体" w:eastAsia="宋体" w:cs="Times New Roman"/>
      <w:color w:val="auto"/>
    </w:rPr>
  </w:style>
  <w:style w:type="paragraph" w:customStyle="1" w:styleId="254">
    <w:name w:val="xl36"/>
    <w:basedOn w:val="1"/>
    <w:qFormat/>
    <w:uiPriority w:val="0"/>
    <w:pPr>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55">
    <w:name w:val="CM78"/>
    <w:basedOn w:val="151"/>
    <w:next w:val="151"/>
    <w:qFormat/>
    <w:uiPriority w:val="0"/>
    <w:rPr>
      <w:rFonts w:ascii="宋体" w:eastAsia="宋体" w:cs="Times New Roman"/>
      <w:color w:val="auto"/>
    </w:rPr>
  </w:style>
  <w:style w:type="paragraph" w:customStyle="1" w:styleId="256">
    <w:name w:val="目录"/>
    <w:basedOn w:val="1"/>
    <w:qFormat/>
    <w:uiPriority w:val="0"/>
    <w:pPr>
      <w:jc w:val="center"/>
    </w:pPr>
    <w:rPr>
      <w:rFonts w:ascii="宋体"/>
      <w:b/>
      <w:sz w:val="36"/>
    </w:rPr>
  </w:style>
  <w:style w:type="paragraph" w:customStyle="1" w:styleId="257">
    <w:name w:val="字元1"/>
    <w:basedOn w:val="1"/>
    <w:qFormat/>
    <w:uiPriority w:val="0"/>
    <w:pPr>
      <w:widowControl w:val="0"/>
      <w:jc w:val="both"/>
    </w:pPr>
    <w:rPr>
      <w:rFonts w:ascii="Tahoma" w:hAnsi="Tahoma"/>
      <w:kern w:val="2"/>
      <w:sz w:val="24"/>
    </w:rPr>
  </w:style>
  <w:style w:type="paragraph" w:customStyle="1" w:styleId="258">
    <w:name w:val="CM179"/>
    <w:basedOn w:val="151"/>
    <w:next w:val="151"/>
    <w:qFormat/>
    <w:uiPriority w:val="0"/>
    <w:rPr>
      <w:rFonts w:ascii="宋体" w:eastAsia="宋体" w:cs="Times New Roman"/>
      <w:color w:val="auto"/>
    </w:rPr>
  </w:style>
  <w:style w:type="paragraph" w:customStyle="1" w:styleId="259">
    <w:name w:val="CM180"/>
    <w:basedOn w:val="151"/>
    <w:next w:val="151"/>
    <w:qFormat/>
    <w:uiPriority w:val="0"/>
    <w:rPr>
      <w:rFonts w:ascii="宋体" w:eastAsia="宋体" w:cs="Times New Roman"/>
      <w:color w:val="auto"/>
    </w:rPr>
  </w:style>
  <w:style w:type="paragraph" w:customStyle="1" w:styleId="260">
    <w:name w:val=" Char2 Char Char Char Char Char Char"/>
    <w:basedOn w:val="18"/>
    <w:qFormat/>
    <w:uiPriority w:val="0"/>
    <w:pPr>
      <w:widowControl w:val="0"/>
      <w:shd w:val="clear" w:color="auto" w:fill="000080"/>
      <w:jc w:val="both"/>
    </w:pPr>
    <w:rPr>
      <w:rFonts w:ascii="Tahoma" w:hAnsi="Tahoma"/>
      <w:kern w:val="2"/>
      <w:sz w:val="24"/>
      <w:szCs w:val="24"/>
    </w:rPr>
  </w:style>
  <w:style w:type="paragraph" w:customStyle="1" w:styleId="261">
    <w:name w:val="xl37"/>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z w:val="18"/>
      <w:szCs w:val="18"/>
    </w:rPr>
  </w:style>
  <w:style w:type="paragraph" w:customStyle="1" w:styleId="262">
    <w:name w:val="CM160"/>
    <w:basedOn w:val="151"/>
    <w:next w:val="151"/>
    <w:qFormat/>
    <w:uiPriority w:val="0"/>
    <w:rPr>
      <w:rFonts w:ascii="宋体" w:eastAsia="宋体" w:cs="Times New Roman"/>
      <w:color w:val="auto"/>
    </w:rPr>
  </w:style>
  <w:style w:type="paragraph" w:customStyle="1" w:styleId="263">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eastAsia="Arial Unicode MS"/>
      <w:sz w:val="18"/>
      <w:szCs w:val="18"/>
    </w:rPr>
  </w:style>
  <w:style w:type="paragraph" w:customStyle="1" w:styleId="264">
    <w:name w:val="P7"/>
    <w:qFormat/>
    <w:uiPriority w:val="0"/>
    <w:pPr>
      <w:widowControl w:val="0"/>
      <w:tabs>
        <w:tab w:val="left" w:pos="576"/>
      </w:tabs>
      <w:adjustRightInd w:val="0"/>
      <w:spacing w:after="240" w:line="240" w:lineRule="atLeast"/>
      <w:ind w:left="1728" w:hanging="1728"/>
      <w:jc w:val="both"/>
      <w:textAlignment w:val="baseline"/>
    </w:pPr>
    <w:rPr>
      <w:rFonts w:ascii="Times New Roman" w:hAnsi="Times New Roman" w:eastAsia="全真中明體" w:cs="Times New Roman"/>
      <w:spacing w:val="30"/>
      <w:sz w:val="24"/>
      <w:lang w:val="en-GB" w:eastAsia="zh-TW" w:bidi="ar-SA"/>
    </w:rPr>
  </w:style>
  <w:style w:type="paragraph" w:customStyle="1" w:styleId="265">
    <w:name w:val="CM81"/>
    <w:basedOn w:val="151"/>
    <w:next w:val="151"/>
    <w:qFormat/>
    <w:uiPriority w:val="0"/>
    <w:rPr>
      <w:rFonts w:ascii="宋体" w:eastAsia="宋体" w:cs="Times New Roman"/>
      <w:color w:val="auto"/>
    </w:rPr>
  </w:style>
  <w:style w:type="paragraph" w:customStyle="1" w:styleId="266">
    <w:name w:val="目录文字"/>
    <w:basedOn w:val="1"/>
    <w:qFormat/>
    <w:uiPriority w:val="0"/>
    <w:pPr>
      <w:spacing w:line="480" w:lineRule="auto"/>
    </w:pPr>
    <w:rPr>
      <w:rFonts w:ascii="宋体" w:hAnsi="宋体"/>
      <w:sz w:val="24"/>
    </w:rPr>
  </w:style>
  <w:style w:type="paragraph" w:customStyle="1" w:styleId="267">
    <w:name w:val="css1"/>
    <w:basedOn w:val="1"/>
    <w:qFormat/>
    <w:uiPriority w:val="0"/>
    <w:pPr>
      <w:spacing w:before="100" w:beforeAutospacing="1" w:after="100" w:afterAutospacing="1" w:line="360" w:lineRule="auto"/>
    </w:pPr>
    <w:rPr>
      <w:rFonts w:ascii="宋体" w:hAnsi="宋体"/>
      <w:color w:val="000000"/>
      <w:sz w:val="18"/>
      <w:szCs w:val="18"/>
    </w:rPr>
  </w:style>
  <w:style w:type="paragraph" w:customStyle="1" w:styleId="268">
    <w:name w:val="CM190"/>
    <w:basedOn w:val="151"/>
    <w:next w:val="151"/>
    <w:qFormat/>
    <w:uiPriority w:val="0"/>
    <w:rPr>
      <w:rFonts w:ascii="宋体" w:eastAsia="宋体" w:cs="Times New Roman"/>
      <w:color w:val="auto"/>
    </w:rPr>
  </w:style>
  <w:style w:type="paragraph" w:customStyle="1" w:styleId="269">
    <w:name w:val="CM61"/>
    <w:basedOn w:val="151"/>
    <w:next w:val="151"/>
    <w:qFormat/>
    <w:uiPriority w:val="0"/>
    <w:pPr>
      <w:spacing w:line="400" w:lineRule="atLeast"/>
    </w:pPr>
    <w:rPr>
      <w:rFonts w:ascii="宋体" w:eastAsia="宋体" w:cs="Times New Roman"/>
      <w:color w:val="auto"/>
    </w:rPr>
  </w:style>
  <w:style w:type="paragraph" w:customStyle="1" w:styleId="270">
    <w:name w:val=" Char"/>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271">
    <w:name w:val="CM56"/>
    <w:basedOn w:val="151"/>
    <w:next w:val="151"/>
    <w:qFormat/>
    <w:uiPriority w:val="0"/>
    <w:pPr>
      <w:spacing w:line="491" w:lineRule="atLeast"/>
    </w:pPr>
    <w:rPr>
      <w:rFonts w:ascii="宋体" w:eastAsia="宋体" w:cs="Times New Roman"/>
      <w:color w:val="auto"/>
    </w:rPr>
  </w:style>
  <w:style w:type="paragraph" w:customStyle="1" w:styleId="272">
    <w:name w:val="CM146"/>
    <w:basedOn w:val="151"/>
    <w:next w:val="151"/>
    <w:qFormat/>
    <w:uiPriority w:val="0"/>
    <w:rPr>
      <w:rFonts w:ascii="宋体" w:eastAsia="宋体" w:cs="Times New Roman"/>
      <w:color w:val="auto"/>
    </w:rPr>
  </w:style>
  <w:style w:type="paragraph" w:customStyle="1" w:styleId="273">
    <w:name w:val="pa-34"/>
    <w:basedOn w:val="1"/>
    <w:qFormat/>
    <w:uiPriority w:val="0"/>
    <w:pPr>
      <w:spacing w:line="360" w:lineRule="atLeast"/>
      <w:ind w:firstLine="420"/>
    </w:pPr>
    <w:rPr>
      <w:rFonts w:ascii="宋体" w:hAnsi="宋体" w:cs="宋体"/>
      <w:sz w:val="24"/>
      <w:szCs w:val="24"/>
    </w:rPr>
  </w:style>
  <w:style w:type="paragraph" w:customStyle="1" w:styleId="274">
    <w:name w:val="样式 标题 3 + (中文) 黑体 小四 非加粗 段前: 7.8 磅 段后: 0 磅 行距: 固定值 20 磅"/>
    <w:basedOn w:val="4"/>
    <w:qFormat/>
    <w:uiPriority w:val="0"/>
    <w:pPr>
      <w:widowControl w:val="0"/>
      <w:spacing w:before="0" w:after="0" w:line="400" w:lineRule="exact"/>
      <w:jc w:val="both"/>
    </w:pPr>
    <w:rPr>
      <w:rFonts w:eastAsia="黑体" w:cs="宋体"/>
      <w:b w:val="0"/>
      <w:bCs w:val="0"/>
      <w:kern w:val="2"/>
      <w:sz w:val="24"/>
      <w:szCs w:val="20"/>
    </w:rPr>
  </w:style>
  <w:style w:type="paragraph" w:customStyle="1" w:styleId="275">
    <w:name w:val="样式 标题 1 + 黑体 三号 非加粗 居中 段前: 6 磅 段后: 6 磅 行距: 固定值 20 磅"/>
    <w:basedOn w:val="2"/>
    <w:qFormat/>
    <w:uiPriority w:val="0"/>
    <w:pPr>
      <w:widowControl w:val="0"/>
      <w:spacing w:before="120" w:after="120" w:line="400" w:lineRule="exact"/>
      <w:jc w:val="center"/>
    </w:pPr>
    <w:rPr>
      <w:rFonts w:ascii="黑体" w:hAnsi="黑体" w:eastAsia="黑体" w:cs="宋体"/>
      <w:b w:val="0"/>
      <w:bCs w:val="0"/>
      <w:sz w:val="32"/>
      <w:szCs w:val="20"/>
      <w:lang w:val="en-US" w:eastAsia="zh-CN"/>
    </w:rPr>
  </w:style>
  <w:style w:type="paragraph" w:customStyle="1" w:styleId="276">
    <w:name w:val="CM186"/>
    <w:basedOn w:val="151"/>
    <w:next w:val="151"/>
    <w:qFormat/>
    <w:uiPriority w:val="0"/>
    <w:rPr>
      <w:rFonts w:ascii="宋体" w:eastAsia="宋体" w:cs="Times New Roman"/>
      <w:color w:val="auto"/>
    </w:rPr>
  </w:style>
  <w:style w:type="paragraph" w:customStyle="1" w:styleId="277">
    <w:name w:val="CM176"/>
    <w:basedOn w:val="151"/>
    <w:next w:val="151"/>
    <w:qFormat/>
    <w:uiPriority w:val="0"/>
    <w:rPr>
      <w:rFonts w:ascii="宋体" w:eastAsia="宋体" w:cs="Times New Roman"/>
      <w:color w:val="auto"/>
    </w:rPr>
  </w:style>
  <w:style w:type="paragraph" w:customStyle="1" w:styleId="278">
    <w:name w:val="（叙述性）内文"/>
    <w:basedOn w:val="1"/>
    <w:qFormat/>
    <w:uiPriority w:val="0"/>
    <w:pPr>
      <w:widowControl w:val="0"/>
      <w:autoSpaceDE w:val="0"/>
      <w:autoSpaceDN w:val="0"/>
      <w:adjustRightInd w:val="0"/>
      <w:spacing w:after="45" w:line="360" w:lineRule="atLeast"/>
      <w:ind w:firstLine="397"/>
      <w:jc w:val="both"/>
      <w:textAlignment w:val="center"/>
    </w:pPr>
    <w:rPr>
      <w:rFonts w:ascii="方正宋一简体" w:eastAsia="方正宋一简体"/>
      <w:color w:val="000000"/>
      <w:sz w:val="19"/>
      <w:szCs w:val="19"/>
      <w:lang w:val="zh-CN"/>
    </w:rPr>
  </w:style>
  <w:style w:type="paragraph" w:customStyle="1" w:styleId="279">
    <w:name w:val="CM132"/>
    <w:basedOn w:val="151"/>
    <w:next w:val="151"/>
    <w:qFormat/>
    <w:uiPriority w:val="0"/>
    <w:pPr>
      <w:spacing w:line="273" w:lineRule="atLeast"/>
    </w:pPr>
    <w:rPr>
      <w:rFonts w:ascii="宋体" w:eastAsia="宋体" w:cs="Times New Roman"/>
      <w:color w:val="auto"/>
    </w:rPr>
  </w:style>
  <w:style w:type="paragraph" w:customStyle="1" w:styleId="280">
    <w:name w:val="CM121"/>
    <w:basedOn w:val="151"/>
    <w:next w:val="151"/>
    <w:qFormat/>
    <w:uiPriority w:val="0"/>
    <w:rPr>
      <w:rFonts w:ascii="宋体" w:eastAsia="宋体" w:cs="Times New Roman"/>
      <w:color w:val="auto"/>
    </w:rPr>
  </w:style>
  <w:style w:type="paragraph" w:customStyle="1" w:styleId="281">
    <w:name w:val="font8"/>
    <w:basedOn w:val="1"/>
    <w:qFormat/>
    <w:uiPriority w:val="0"/>
    <w:pPr>
      <w:spacing w:before="100" w:beforeAutospacing="1" w:after="100" w:afterAutospacing="1"/>
    </w:pPr>
    <w:rPr>
      <w:rFonts w:eastAsia="Arial Unicode MS"/>
    </w:rPr>
  </w:style>
  <w:style w:type="paragraph" w:customStyle="1" w:styleId="282">
    <w:name w:val="Cap_正文"/>
    <w:qFormat/>
    <w:uiPriority w:val="0"/>
    <w:pPr>
      <w:spacing w:after="160"/>
      <w:ind w:firstLine="200" w:firstLineChars="200"/>
    </w:pPr>
    <w:rPr>
      <w:rFonts w:ascii="Times New Roman" w:hAnsi="Times New Roman" w:eastAsia="宋体" w:cs="Times New Roman"/>
      <w:sz w:val="22"/>
      <w:szCs w:val="24"/>
      <w:lang w:val="en-US" w:eastAsia="en-CA" w:bidi="ar-SA"/>
    </w:rPr>
  </w:style>
  <w:style w:type="paragraph" w:customStyle="1" w:styleId="283">
    <w:name w:val="CM161"/>
    <w:basedOn w:val="151"/>
    <w:next w:val="151"/>
    <w:qFormat/>
    <w:uiPriority w:val="0"/>
    <w:pPr>
      <w:spacing w:line="340" w:lineRule="atLeast"/>
    </w:pPr>
    <w:rPr>
      <w:rFonts w:ascii="宋体" w:eastAsia="宋体" w:cs="Times New Roman"/>
      <w:color w:val="auto"/>
    </w:rPr>
  </w:style>
  <w:style w:type="paragraph" w:customStyle="1" w:styleId="284">
    <w:name w:val="CM2"/>
    <w:basedOn w:val="151"/>
    <w:next w:val="151"/>
    <w:qFormat/>
    <w:uiPriority w:val="0"/>
    <w:rPr>
      <w:rFonts w:ascii="宋体" w:eastAsia="宋体" w:cs="Times New Roman"/>
      <w:color w:val="auto"/>
    </w:rPr>
  </w:style>
  <w:style w:type="paragraph" w:customStyle="1" w:styleId="285">
    <w:name w:val="CM92"/>
    <w:basedOn w:val="151"/>
    <w:next w:val="151"/>
    <w:qFormat/>
    <w:uiPriority w:val="0"/>
    <w:pPr>
      <w:spacing w:line="398" w:lineRule="atLeast"/>
    </w:pPr>
    <w:rPr>
      <w:rFonts w:ascii="宋体" w:eastAsia="宋体" w:cs="Times New Roman"/>
      <w:color w:val="auto"/>
    </w:rPr>
  </w:style>
  <w:style w:type="paragraph" w:customStyle="1" w:styleId="286">
    <w:name w:val="xl35"/>
    <w:basedOn w:val="1"/>
    <w:qFormat/>
    <w:uiPriority w:val="0"/>
    <w:pPr>
      <w:pBdr>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87">
    <w:name w:val="CM64"/>
    <w:basedOn w:val="151"/>
    <w:next w:val="151"/>
    <w:qFormat/>
    <w:uiPriority w:val="0"/>
    <w:pPr>
      <w:spacing w:line="400" w:lineRule="atLeast"/>
    </w:pPr>
    <w:rPr>
      <w:rFonts w:ascii="宋体" w:eastAsia="宋体" w:cs="Times New Roman"/>
      <w:color w:val="auto"/>
    </w:rPr>
  </w:style>
  <w:style w:type="paragraph" w:customStyle="1" w:styleId="288">
    <w:name w:val="P1"/>
    <w:qFormat/>
    <w:uiPriority w:val="0"/>
    <w:pPr>
      <w:widowControl w:val="0"/>
      <w:adjustRightInd w:val="0"/>
      <w:spacing w:after="240" w:line="24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289">
    <w:name w:val="xl38"/>
    <w:basedOn w:val="1"/>
    <w:qFormat/>
    <w:uiPriority w:val="0"/>
    <w:pPr>
      <w:pBdr>
        <w:top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z w:val="18"/>
      <w:szCs w:val="18"/>
    </w:rPr>
  </w:style>
  <w:style w:type="paragraph" w:customStyle="1" w:styleId="290">
    <w:name w:val="样式2"/>
    <w:basedOn w:val="5"/>
    <w:next w:val="5"/>
    <w:qFormat/>
    <w:uiPriority w:val="0"/>
    <w:rPr>
      <w:rFonts w:ascii="黑体"/>
      <w:sz w:val="24"/>
      <w:szCs w:val="30"/>
    </w:rPr>
  </w:style>
  <w:style w:type="paragraph" w:customStyle="1" w:styleId="291">
    <w:name w:val="Revision"/>
    <w:qFormat/>
    <w:uiPriority w:val="0"/>
    <w:rPr>
      <w:rFonts w:ascii="Times New Roman" w:hAnsi="Times New Roman" w:eastAsia="宋体" w:cs="Times New Roman"/>
      <w:kern w:val="2"/>
      <w:sz w:val="21"/>
      <w:szCs w:val="24"/>
      <w:lang w:val="en-US" w:eastAsia="zh-CN" w:bidi="ar-SA"/>
    </w:rPr>
  </w:style>
  <w:style w:type="paragraph" w:customStyle="1" w:styleId="292">
    <w:name w:val="CM45"/>
    <w:basedOn w:val="151"/>
    <w:next w:val="151"/>
    <w:qFormat/>
    <w:uiPriority w:val="0"/>
    <w:pPr>
      <w:spacing w:line="440" w:lineRule="atLeast"/>
    </w:pPr>
    <w:rPr>
      <w:rFonts w:ascii="宋体" w:eastAsia="宋体" w:cs="Times New Roman"/>
      <w:color w:val="auto"/>
    </w:rPr>
  </w:style>
  <w:style w:type="paragraph" w:customStyle="1" w:styleId="293">
    <w:name w:val="text"/>
    <w:basedOn w:val="1"/>
    <w:qFormat/>
    <w:uiPriority w:val="0"/>
    <w:pPr>
      <w:spacing w:before="100" w:beforeAutospacing="1" w:after="100" w:afterAutospacing="1"/>
    </w:pPr>
    <w:rPr>
      <w:rFonts w:ascii="??" w:hAnsi="??" w:cs="宋体"/>
      <w:color w:val="000000"/>
      <w:sz w:val="18"/>
      <w:szCs w:val="18"/>
    </w:rPr>
  </w:style>
  <w:style w:type="paragraph" w:customStyle="1" w:styleId="294">
    <w:name w:val="CM37"/>
    <w:basedOn w:val="151"/>
    <w:next w:val="151"/>
    <w:qFormat/>
    <w:uiPriority w:val="0"/>
    <w:pPr>
      <w:spacing w:line="403" w:lineRule="atLeast"/>
    </w:pPr>
    <w:rPr>
      <w:rFonts w:ascii="宋体" w:eastAsia="宋体" w:cs="Times New Roman"/>
      <w:color w:val="auto"/>
    </w:rPr>
  </w:style>
  <w:style w:type="paragraph" w:customStyle="1" w:styleId="29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96">
    <w:name w:val="List Paragraph1"/>
    <w:basedOn w:val="1"/>
    <w:qFormat/>
    <w:uiPriority w:val="0"/>
    <w:pPr>
      <w:widowControl w:val="0"/>
      <w:ind w:firstLine="420" w:firstLineChars="200"/>
      <w:jc w:val="both"/>
    </w:pPr>
    <w:rPr>
      <w:rFonts w:ascii="Calibri" w:hAnsi="Calibri" w:cs="Calibri"/>
      <w:kern w:val="2"/>
      <w:sz w:val="21"/>
      <w:szCs w:val="21"/>
    </w:rPr>
  </w:style>
  <w:style w:type="paragraph" w:customStyle="1" w:styleId="297">
    <w:name w:val="CM113"/>
    <w:basedOn w:val="151"/>
    <w:next w:val="151"/>
    <w:qFormat/>
    <w:uiPriority w:val="0"/>
    <w:pPr>
      <w:spacing w:line="343" w:lineRule="atLeast"/>
    </w:pPr>
    <w:rPr>
      <w:rFonts w:ascii="宋体" w:eastAsia="宋体" w:cs="Times New Roman"/>
      <w:color w:val="auto"/>
    </w:rPr>
  </w:style>
  <w:style w:type="paragraph" w:customStyle="1" w:styleId="298">
    <w:name w:val="CM177"/>
    <w:basedOn w:val="151"/>
    <w:next w:val="151"/>
    <w:qFormat/>
    <w:uiPriority w:val="0"/>
    <w:rPr>
      <w:rFonts w:ascii="宋体" w:eastAsia="宋体" w:cs="Times New Roman"/>
      <w:color w:val="auto"/>
    </w:rPr>
  </w:style>
  <w:style w:type="paragraph" w:customStyle="1" w:styleId="299">
    <w:name w:val="Char Char Char Char Char Char"/>
    <w:basedOn w:val="1"/>
    <w:qFormat/>
    <w:uiPriority w:val="0"/>
    <w:pPr>
      <w:widowControl w:val="0"/>
      <w:adjustRightInd w:val="0"/>
      <w:spacing w:line="360" w:lineRule="auto"/>
      <w:jc w:val="both"/>
    </w:pPr>
    <w:rPr>
      <w:sz w:val="24"/>
    </w:rPr>
  </w:style>
  <w:style w:type="paragraph" w:customStyle="1" w:styleId="300">
    <w:name w:val="样式 标题 1刘兵12标题 1    第一章H1自标题 1技术标题1Section Head标题 1 1标书1..."/>
    <w:basedOn w:val="2"/>
    <w:qFormat/>
    <w:uiPriority w:val="0"/>
    <w:pPr>
      <w:keepNext w:val="0"/>
      <w:keepLines w:val="0"/>
      <w:widowControl w:val="0"/>
      <w:tabs>
        <w:tab w:val="left" w:pos="360"/>
      </w:tabs>
      <w:spacing w:before="120" w:after="240" w:line="360" w:lineRule="auto"/>
      <w:jc w:val="center"/>
    </w:pPr>
    <w:rPr>
      <w:rFonts w:ascii="黑体" w:hAnsi="Arial" w:eastAsia="黑体" w:cs="宋体"/>
      <w:sz w:val="24"/>
      <w:szCs w:val="20"/>
      <w:lang w:val="en-US" w:eastAsia="zh-CN"/>
    </w:rPr>
  </w:style>
  <w:style w:type="paragraph" w:customStyle="1" w:styleId="301">
    <w:name w:val="CM144"/>
    <w:basedOn w:val="151"/>
    <w:next w:val="151"/>
    <w:qFormat/>
    <w:uiPriority w:val="0"/>
    <w:rPr>
      <w:rFonts w:ascii="宋体" w:eastAsia="宋体" w:cs="Times New Roman"/>
      <w:color w:val="auto"/>
    </w:rPr>
  </w:style>
  <w:style w:type="paragraph" w:customStyle="1" w:styleId="302">
    <w:name w:val="样式 标题 2Underrubrik1prop2Heading 2 HiddenHeading 2 CCBS2nd l..."/>
    <w:basedOn w:val="3"/>
    <w:qFormat/>
    <w:uiPriority w:val="0"/>
    <w:pPr>
      <w:widowControl w:val="0"/>
      <w:spacing w:beforeLines="50" w:afterLines="100" w:line="415" w:lineRule="auto"/>
      <w:ind w:left="100" w:leftChars="100" w:right="100" w:rightChars="100"/>
      <w:jc w:val="both"/>
    </w:pPr>
    <w:rPr>
      <w:rFonts w:ascii="宋体" w:hAnsi="宋体" w:eastAsia="宋体" w:cs="宋体"/>
      <w:kern w:val="2"/>
      <w:sz w:val="24"/>
      <w:szCs w:val="20"/>
      <w:lang w:val="en-US" w:eastAsia="zh-CN"/>
    </w:rPr>
  </w:style>
  <w:style w:type="paragraph" w:customStyle="1" w:styleId="303">
    <w:name w:val="CM213"/>
    <w:basedOn w:val="151"/>
    <w:next w:val="151"/>
    <w:qFormat/>
    <w:uiPriority w:val="0"/>
    <w:rPr>
      <w:rFonts w:ascii="宋体" w:eastAsia="宋体" w:cs="Times New Roman"/>
      <w:color w:val="auto"/>
    </w:rPr>
  </w:style>
  <w:style w:type="paragraph" w:customStyle="1" w:styleId="304">
    <w:name w:val="CM47"/>
    <w:basedOn w:val="151"/>
    <w:next w:val="151"/>
    <w:qFormat/>
    <w:uiPriority w:val="0"/>
    <w:pPr>
      <w:spacing w:line="400" w:lineRule="atLeast"/>
    </w:pPr>
    <w:rPr>
      <w:rFonts w:ascii="宋体" w:eastAsia="宋体" w:cs="Times New Roman"/>
      <w:color w:val="auto"/>
    </w:rPr>
  </w:style>
  <w:style w:type="paragraph" w:customStyle="1" w:styleId="305">
    <w:name w:val="CM31"/>
    <w:basedOn w:val="151"/>
    <w:next w:val="151"/>
    <w:qFormat/>
    <w:uiPriority w:val="0"/>
    <w:pPr>
      <w:spacing w:line="400" w:lineRule="atLeast"/>
    </w:pPr>
    <w:rPr>
      <w:rFonts w:ascii="宋体" w:eastAsia="宋体" w:cs="Times New Roman"/>
      <w:color w:val="auto"/>
    </w:rPr>
  </w:style>
  <w:style w:type="paragraph" w:customStyle="1" w:styleId="306">
    <w:name w:val="CM83"/>
    <w:basedOn w:val="151"/>
    <w:next w:val="151"/>
    <w:qFormat/>
    <w:uiPriority w:val="0"/>
    <w:pPr>
      <w:spacing w:line="391" w:lineRule="atLeast"/>
    </w:pPr>
    <w:rPr>
      <w:rFonts w:ascii="宋体" w:eastAsia="宋体" w:cs="Times New Roman"/>
      <w:color w:val="auto"/>
    </w:rPr>
  </w:style>
  <w:style w:type="paragraph" w:customStyle="1" w:styleId="307">
    <w:name w:val="CM209"/>
    <w:basedOn w:val="151"/>
    <w:next w:val="151"/>
    <w:qFormat/>
    <w:uiPriority w:val="0"/>
    <w:rPr>
      <w:rFonts w:ascii="宋体" w:eastAsia="宋体" w:cs="Times New Roman"/>
      <w:color w:val="auto"/>
    </w:rPr>
  </w:style>
  <w:style w:type="paragraph" w:customStyle="1" w:styleId="308">
    <w:name w:val="CM21"/>
    <w:basedOn w:val="151"/>
    <w:next w:val="151"/>
    <w:qFormat/>
    <w:uiPriority w:val="0"/>
    <w:rPr>
      <w:rFonts w:ascii="宋体" w:eastAsia="宋体" w:cs="Times New Roman"/>
      <w:color w:val="auto"/>
    </w:rPr>
  </w:style>
  <w:style w:type="paragraph" w:customStyle="1" w:styleId="309">
    <w:name w:val="Normal"/>
    <w:qFormat/>
    <w:uiPriority w:val="0"/>
    <w:pPr>
      <w:widowControl w:val="0"/>
      <w:adjustRightInd w:val="0"/>
      <w:spacing w:after="200" w:line="312" w:lineRule="atLeast"/>
      <w:jc w:val="both"/>
    </w:pPr>
    <w:rPr>
      <w:rFonts w:ascii="宋体" w:hAnsi="Times New Roman" w:eastAsia="宋体" w:cs="Times New Roman"/>
      <w:sz w:val="34"/>
      <w:szCs w:val="22"/>
      <w:lang w:val="en-US" w:eastAsia="zh-CN" w:bidi="ar-SA"/>
    </w:rPr>
  </w:style>
  <w:style w:type="paragraph" w:customStyle="1" w:styleId="310">
    <w:name w:val="CM9"/>
    <w:basedOn w:val="151"/>
    <w:next w:val="151"/>
    <w:qFormat/>
    <w:uiPriority w:val="0"/>
    <w:pPr>
      <w:spacing w:line="313" w:lineRule="atLeast"/>
    </w:pPr>
    <w:rPr>
      <w:rFonts w:ascii="宋体" w:eastAsia="宋体" w:cs="Times New Roman"/>
      <w:color w:val="auto"/>
    </w:rPr>
  </w:style>
  <w:style w:type="paragraph" w:customStyle="1" w:styleId="311">
    <w:name w:val="H1"/>
    <w:qFormat/>
    <w:uiPriority w:val="0"/>
    <w:pPr>
      <w:widowControl w:val="0"/>
      <w:adjustRightInd w:val="0"/>
      <w:spacing w:after="240" w:line="240" w:lineRule="atLeast"/>
      <w:textAlignment w:val="baseline"/>
    </w:pPr>
    <w:rPr>
      <w:rFonts w:ascii="Times New Roman" w:hAnsi="Times New Roman" w:eastAsia="全真中明體" w:cs="Times New Roman"/>
      <w:b/>
      <w:caps/>
      <w:spacing w:val="30"/>
      <w:sz w:val="24"/>
      <w:lang w:val="en-GB" w:eastAsia="zh-TW" w:bidi="ar-SA"/>
    </w:rPr>
  </w:style>
  <w:style w:type="paragraph" w:customStyle="1" w:styleId="312">
    <w:name w:val="CM184"/>
    <w:basedOn w:val="151"/>
    <w:next w:val="151"/>
    <w:qFormat/>
    <w:uiPriority w:val="0"/>
    <w:rPr>
      <w:rFonts w:ascii="宋体" w:eastAsia="宋体" w:cs="Times New Roman"/>
      <w:color w:val="auto"/>
    </w:rPr>
  </w:style>
  <w:style w:type="paragraph" w:customStyle="1" w:styleId="313">
    <w:name w:val="CM67"/>
    <w:basedOn w:val="151"/>
    <w:next w:val="151"/>
    <w:qFormat/>
    <w:uiPriority w:val="0"/>
    <w:pPr>
      <w:spacing w:line="556" w:lineRule="atLeast"/>
    </w:pPr>
    <w:rPr>
      <w:rFonts w:ascii="宋体" w:eastAsia="宋体" w:cs="Times New Roman"/>
      <w:color w:val="auto"/>
    </w:rPr>
  </w:style>
  <w:style w:type="paragraph" w:customStyle="1" w:styleId="314">
    <w:name w:val=" Char6"/>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315">
    <w:name w:val="CM19"/>
    <w:basedOn w:val="151"/>
    <w:next w:val="151"/>
    <w:qFormat/>
    <w:uiPriority w:val="0"/>
    <w:pPr>
      <w:spacing w:line="320" w:lineRule="atLeast"/>
    </w:pPr>
    <w:rPr>
      <w:rFonts w:ascii="宋体" w:eastAsia="宋体" w:cs="Times New Roman"/>
      <w:color w:val="auto"/>
    </w:rPr>
  </w:style>
  <w:style w:type="paragraph" w:customStyle="1" w:styleId="316">
    <w:name w:val="CM194"/>
    <w:basedOn w:val="151"/>
    <w:next w:val="151"/>
    <w:qFormat/>
    <w:uiPriority w:val="0"/>
    <w:rPr>
      <w:rFonts w:ascii="宋体" w:eastAsia="宋体" w:cs="Times New Roman"/>
      <w:color w:val="auto"/>
    </w:rPr>
  </w:style>
  <w:style w:type="paragraph" w:customStyle="1" w:styleId="317">
    <w:name w:val="CM84"/>
    <w:basedOn w:val="151"/>
    <w:next w:val="151"/>
    <w:qFormat/>
    <w:uiPriority w:val="0"/>
    <w:pPr>
      <w:spacing w:line="396" w:lineRule="atLeast"/>
    </w:pPr>
    <w:rPr>
      <w:rFonts w:ascii="宋体" w:eastAsia="宋体" w:cs="Times New Roman"/>
      <w:color w:val="auto"/>
    </w:rPr>
  </w:style>
  <w:style w:type="paragraph" w:customStyle="1" w:styleId="318">
    <w:name w:val="Char Char Char"/>
    <w:basedOn w:val="1"/>
    <w:qFormat/>
    <w:uiPriority w:val="0"/>
    <w:pPr>
      <w:widowControl w:val="0"/>
      <w:spacing w:line="240" w:lineRule="atLeast"/>
      <w:ind w:left="420" w:firstLine="420"/>
      <w:jc w:val="both"/>
    </w:pPr>
    <w:rPr>
      <w:sz w:val="21"/>
      <w:szCs w:val="21"/>
    </w:rPr>
  </w:style>
  <w:style w:type="paragraph" w:customStyle="1" w:styleId="319">
    <w:name w:val="CM75"/>
    <w:basedOn w:val="151"/>
    <w:next w:val="151"/>
    <w:qFormat/>
    <w:uiPriority w:val="0"/>
    <w:pPr>
      <w:spacing w:line="478" w:lineRule="atLeast"/>
    </w:pPr>
    <w:rPr>
      <w:rFonts w:ascii="宋体" w:eastAsia="宋体" w:cs="Times New Roman"/>
      <w:color w:val="auto"/>
    </w:rPr>
  </w:style>
  <w:style w:type="paragraph" w:customStyle="1" w:styleId="320">
    <w:name w:val="样式 标题 2 + Times New Roman 四号 非加粗 段前: 5 磅 段后: 0 磅 行距: 固定值 20..."/>
    <w:basedOn w:val="3"/>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321">
    <w:name w:val="CM185"/>
    <w:basedOn w:val="151"/>
    <w:next w:val="151"/>
    <w:qFormat/>
    <w:uiPriority w:val="0"/>
    <w:rPr>
      <w:rFonts w:ascii="宋体" w:eastAsia="宋体" w:cs="Times New Roman"/>
      <w:color w:val="auto"/>
    </w:rPr>
  </w:style>
  <w:style w:type="paragraph" w:customStyle="1" w:styleId="322">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3">
    <w:name w:val="CM109"/>
    <w:basedOn w:val="151"/>
    <w:next w:val="151"/>
    <w:qFormat/>
    <w:uiPriority w:val="0"/>
    <w:rPr>
      <w:rFonts w:ascii="宋体" w:eastAsia="宋体" w:cs="Times New Roman"/>
      <w:color w:val="auto"/>
    </w:rPr>
  </w:style>
  <w:style w:type="paragraph" w:customStyle="1" w:styleId="324">
    <w:name w:val="CM214"/>
    <w:basedOn w:val="151"/>
    <w:next w:val="151"/>
    <w:qFormat/>
    <w:uiPriority w:val="0"/>
    <w:rPr>
      <w:rFonts w:ascii="宋体" w:eastAsia="宋体" w:cs="Times New Roman"/>
      <w:color w:val="auto"/>
    </w:rPr>
  </w:style>
  <w:style w:type="paragraph" w:customStyle="1" w:styleId="325">
    <w:name w:val=" Char Char Char"/>
    <w:basedOn w:val="1"/>
    <w:qFormat/>
    <w:uiPriority w:val="0"/>
    <w:pPr>
      <w:widowControl w:val="0"/>
      <w:spacing w:line="240" w:lineRule="atLeast"/>
      <w:ind w:left="420" w:firstLine="420"/>
      <w:jc w:val="both"/>
    </w:pPr>
    <w:rPr>
      <w:sz w:val="21"/>
      <w:szCs w:val="21"/>
    </w:rPr>
  </w:style>
  <w:style w:type="paragraph" w:customStyle="1" w:styleId="326">
    <w:name w:val="CM112"/>
    <w:basedOn w:val="151"/>
    <w:next w:val="151"/>
    <w:qFormat/>
    <w:uiPriority w:val="0"/>
    <w:pPr>
      <w:spacing w:line="338" w:lineRule="atLeast"/>
    </w:pPr>
    <w:rPr>
      <w:rFonts w:ascii="宋体" w:eastAsia="宋体" w:cs="Times New Roman"/>
      <w:color w:val="auto"/>
    </w:rPr>
  </w:style>
  <w:style w:type="paragraph" w:customStyle="1" w:styleId="327">
    <w:name w:val="样式 标题 2"/>
    <w:basedOn w:val="1"/>
    <w:next w:val="4"/>
    <w:qFormat/>
    <w:uiPriority w:val="0"/>
    <w:pPr>
      <w:widowControl w:val="0"/>
      <w:snapToGrid w:val="0"/>
      <w:spacing w:line="360" w:lineRule="auto"/>
      <w:ind w:firstLine="200" w:firstLineChars="200"/>
      <w:jc w:val="both"/>
    </w:pPr>
    <w:rPr>
      <w:rFonts w:eastAsia="仿宋_GB2312"/>
      <w:kern w:val="2"/>
      <w:sz w:val="32"/>
      <w:szCs w:val="32"/>
    </w:rPr>
  </w:style>
  <w:style w:type="paragraph" w:customStyle="1" w:styleId="328">
    <w:name w:val="xl43"/>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29">
    <w:name w:val="xl30"/>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30">
    <w:name w:val="CM188"/>
    <w:basedOn w:val="151"/>
    <w:next w:val="151"/>
    <w:qFormat/>
    <w:uiPriority w:val="0"/>
    <w:rPr>
      <w:rFonts w:ascii="宋体" w:eastAsia="宋体" w:cs="Times New Roman"/>
      <w:color w:val="auto"/>
    </w:rPr>
  </w:style>
  <w:style w:type="paragraph" w:customStyle="1" w:styleId="331">
    <w:name w:val="xl31"/>
    <w:basedOn w:val="1"/>
    <w:qFormat/>
    <w:uiPriority w:val="0"/>
    <w:pPr>
      <w:pBdr>
        <w:top w:val="single" w:color="auto" w:sz="4" w:space="0"/>
        <w:lef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32">
    <w:name w:val="_Style 326"/>
    <w:qFormat/>
    <w:uiPriority w:val="0"/>
    <w:rPr>
      <w:rFonts w:ascii="Times New Roman" w:hAnsi="Times New Roman" w:eastAsia="宋体" w:cs="Times New Roman"/>
      <w:kern w:val="2"/>
      <w:sz w:val="21"/>
      <w:szCs w:val="24"/>
      <w:lang w:val="en-US" w:eastAsia="zh-CN" w:bidi="ar-SA"/>
    </w:rPr>
  </w:style>
  <w:style w:type="paragraph" w:customStyle="1" w:styleId="333">
    <w:name w:val="CM5"/>
    <w:basedOn w:val="151"/>
    <w:next w:val="151"/>
    <w:qFormat/>
    <w:uiPriority w:val="0"/>
    <w:pPr>
      <w:spacing w:line="496" w:lineRule="atLeast"/>
    </w:pPr>
    <w:rPr>
      <w:rFonts w:ascii="宋体" w:eastAsia="宋体" w:cs="Times New Roman"/>
      <w:color w:val="auto"/>
    </w:rPr>
  </w:style>
  <w:style w:type="paragraph" w:customStyle="1" w:styleId="334">
    <w:name w:val="CM216"/>
    <w:basedOn w:val="151"/>
    <w:next w:val="151"/>
    <w:qFormat/>
    <w:uiPriority w:val="0"/>
    <w:rPr>
      <w:rFonts w:ascii="宋体" w:eastAsia="宋体" w:cs="Times New Roman"/>
      <w:color w:val="auto"/>
    </w:rPr>
  </w:style>
  <w:style w:type="paragraph" w:customStyle="1" w:styleId="335">
    <w:name w:val="CM60"/>
    <w:basedOn w:val="151"/>
    <w:next w:val="151"/>
    <w:qFormat/>
    <w:uiPriority w:val="0"/>
    <w:pPr>
      <w:spacing w:line="400" w:lineRule="atLeast"/>
    </w:pPr>
    <w:rPr>
      <w:rFonts w:ascii="宋体" w:eastAsia="宋体" w:cs="Times New Roman"/>
      <w:color w:val="auto"/>
    </w:rPr>
  </w:style>
  <w:style w:type="paragraph" w:customStyle="1" w:styleId="336">
    <w:name w:val="CM131"/>
    <w:basedOn w:val="151"/>
    <w:next w:val="151"/>
    <w:qFormat/>
    <w:uiPriority w:val="0"/>
    <w:rPr>
      <w:rFonts w:ascii="宋体" w:eastAsia="宋体" w:cs="Times New Roman"/>
      <w:color w:val="auto"/>
    </w:rPr>
  </w:style>
  <w:style w:type="paragraph" w:customStyle="1" w:styleId="337">
    <w:name w:val="默认段落字体 Para Char Char Char Char Char Char Char"/>
    <w:basedOn w:val="18"/>
    <w:qFormat/>
    <w:uiPriority w:val="0"/>
    <w:pPr>
      <w:widowControl w:val="0"/>
      <w:shd w:val="clear" w:color="auto" w:fill="000080"/>
      <w:adjustRightInd w:val="0"/>
      <w:spacing w:line="436" w:lineRule="exact"/>
      <w:ind w:left="357"/>
      <w:outlineLvl w:val="3"/>
    </w:pPr>
    <w:rPr>
      <w:rFonts w:ascii="Tahoma" w:hAnsi="Tahoma"/>
      <w:kern w:val="2"/>
      <w:sz w:val="24"/>
      <w:szCs w:val="24"/>
      <w:lang w:val="en-US" w:eastAsia="zh-CN"/>
    </w:rPr>
  </w:style>
  <w:style w:type="paragraph" w:customStyle="1" w:styleId="338">
    <w:name w:val="Table Paragraph"/>
    <w:basedOn w:val="1"/>
    <w:qFormat/>
    <w:uiPriority w:val="1"/>
    <w:rPr>
      <w:rFonts w:ascii="宋体" w:hAnsi="宋体" w:eastAsia="宋体" w:cs="宋体"/>
      <w:lang w:val="zh-CN" w:eastAsia="zh-CN" w:bidi="zh-CN"/>
    </w:rPr>
  </w:style>
  <w:style w:type="paragraph" w:customStyle="1" w:styleId="339">
    <w:name w:val="CM54"/>
    <w:basedOn w:val="151"/>
    <w:next w:val="151"/>
    <w:qFormat/>
    <w:uiPriority w:val="0"/>
    <w:pPr>
      <w:spacing w:line="400" w:lineRule="atLeast"/>
    </w:pPr>
    <w:rPr>
      <w:rFonts w:ascii="宋体" w:eastAsia="宋体" w:cs="Times New Roman"/>
      <w:color w:val="auto"/>
    </w:rPr>
  </w:style>
  <w:style w:type="paragraph" w:customStyle="1" w:styleId="340">
    <w:name w:val="P6"/>
    <w:qFormat/>
    <w:uiPriority w:val="0"/>
    <w:pPr>
      <w:widowControl w:val="0"/>
      <w:numPr>
        <w:ilvl w:val="0"/>
        <w:numId w:val="6"/>
      </w:numPr>
      <w:adjustRightInd w:val="0"/>
      <w:spacing w:after="240" w:line="240" w:lineRule="atLeast"/>
      <w:ind w:left="3456"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41">
    <w:name w:val="CM40"/>
    <w:basedOn w:val="151"/>
    <w:next w:val="151"/>
    <w:qFormat/>
    <w:uiPriority w:val="0"/>
    <w:pPr>
      <w:spacing w:line="440" w:lineRule="atLeast"/>
    </w:pPr>
    <w:rPr>
      <w:rFonts w:ascii="宋体" w:eastAsia="宋体" w:cs="Times New Roman"/>
      <w:color w:val="auto"/>
    </w:rPr>
  </w:style>
  <w:style w:type="paragraph" w:customStyle="1" w:styleId="342">
    <w:name w:val="CM181"/>
    <w:basedOn w:val="151"/>
    <w:next w:val="151"/>
    <w:qFormat/>
    <w:uiPriority w:val="0"/>
    <w:rPr>
      <w:rFonts w:ascii="宋体" w:eastAsia="宋体" w:cs="Times New Roman"/>
      <w:color w:val="auto"/>
    </w:rPr>
  </w:style>
  <w:style w:type="paragraph" w:customStyle="1" w:styleId="343">
    <w:name w:val="Cap_标题_2"/>
    <w:next w:val="1"/>
    <w:qFormat/>
    <w:uiPriority w:val="0"/>
    <w:pPr>
      <w:keepNext/>
      <w:numPr>
        <w:ilvl w:val="1"/>
        <w:numId w:val="4"/>
      </w:numPr>
      <w:tabs>
        <w:tab w:val="left" w:pos="567"/>
      </w:tabs>
      <w:spacing w:before="180" w:after="120"/>
      <w:outlineLvl w:val="1"/>
    </w:pPr>
    <w:rPr>
      <w:rFonts w:ascii="Arial" w:hAnsi="Arial" w:eastAsia="宋体" w:cs="Times New Roman"/>
      <w:b/>
      <w:sz w:val="24"/>
      <w:szCs w:val="24"/>
      <w:lang w:val="en-US" w:eastAsia="en-CA" w:bidi="ar-SA"/>
    </w:rPr>
  </w:style>
  <w:style w:type="paragraph" w:customStyle="1" w:styleId="344">
    <w:name w:val="样式 样式 标题 2Underrubrik1prop2Heading 2 HiddenHeading 2 CCBS2nd l....."/>
    <w:basedOn w:val="302"/>
    <w:qFormat/>
    <w:uiPriority w:val="0"/>
    <w:pPr>
      <w:spacing w:beforeLines="0" w:afterLines="0"/>
      <w:ind w:right="240"/>
    </w:pPr>
  </w:style>
  <w:style w:type="paragraph" w:customStyle="1" w:styleId="345">
    <w:name w:val="xl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rPr>
  </w:style>
  <w:style w:type="paragraph" w:customStyle="1" w:styleId="346">
    <w:name w:val="CM155"/>
    <w:basedOn w:val="151"/>
    <w:next w:val="151"/>
    <w:qFormat/>
    <w:uiPriority w:val="0"/>
    <w:pPr>
      <w:spacing w:line="343" w:lineRule="atLeast"/>
    </w:pPr>
    <w:rPr>
      <w:rFonts w:ascii="宋体" w:eastAsia="宋体" w:cs="Times New Roman"/>
      <w:color w:val="auto"/>
    </w:rPr>
  </w:style>
  <w:style w:type="paragraph" w:customStyle="1" w:styleId="347">
    <w:name w:val="字元"/>
    <w:basedOn w:val="1"/>
    <w:qFormat/>
    <w:uiPriority w:val="0"/>
    <w:pPr>
      <w:widowControl w:val="0"/>
      <w:jc w:val="both"/>
    </w:pPr>
    <w:rPr>
      <w:rFonts w:ascii="Tahoma" w:hAnsi="Tahoma"/>
      <w:kern w:val="2"/>
      <w:sz w:val="24"/>
    </w:rPr>
  </w:style>
  <w:style w:type="paragraph" w:customStyle="1" w:styleId="348">
    <w:name w:val="CM22"/>
    <w:basedOn w:val="151"/>
    <w:next w:val="151"/>
    <w:qFormat/>
    <w:uiPriority w:val="0"/>
    <w:rPr>
      <w:rFonts w:ascii="宋体" w:eastAsia="宋体" w:cs="Times New Roman"/>
      <w:color w:val="auto"/>
    </w:rPr>
  </w:style>
  <w:style w:type="paragraph" w:customStyle="1" w:styleId="349">
    <w:name w:val="样式 标题 1 + 段前: 0.5 行 段后: 0.5 行"/>
    <w:basedOn w:val="2"/>
    <w:qFormat/>
    <w:uiPriority w:val="0"/>
    <w:pPr>
      <w:widowControl w:val="0"/>
      <w:tabs>
        <w:tab w:val="left" w:pos="360"/>
        <w:tab w:val="left" w:pos="6120"/>
      </w:tabs>
      <w:adjustRightInd w:val="0"/>
      <w:spacing w:beforeLines="50" w:afterLines="50" w:line="240" w:lineRule="auto"/>
      <w:ind w:left="450" w:leftChars="514" w:right="924" w:rightChars="440" w:hanging="450"/>
      <w:jc w:val="center"/>
      <w:textAlignment w:val="baseline"/>
    </w:pPr>
    <w:rPr>
      <w:sz w:val="36"/>
      <w:szCs w:val="20"/>
      <w:lang w:val="en-US" w:eastAsia="zh-CN"/>
    </w:rPr>
  </w:style>
  <w:style w:type="paragraph" w:customStyle="1" w:styleId="350">
    <w:name w:val=" Char Char Char Char Char Char Char"/>
    <w:basedOn w:val="1"/>
    <w:qFormat/>
    <w:uiPriority w:val="0"/>
    <w:pPr>
      <w:widowControl w:val="0"/>
      <w:spacing w:line="240" w:lineRule="atLeast"/>
      <w:ind w:left="420" w:firstLine="420"/>
      <w:jc w:val="both"/>
    </w:pPr>
    <w:rPr>
      <w:sz w:val="21"/>
      <w:szCs w:val="21"/>
    </w:rPr>
  </w:style>
  <w:style w:type="paragraph" w:customStyle="1" w:styleId="351">
    <w:name w:val="CM116"/>
    <w:basedOn w:val="151"/>
    <w:next w:val="151"/>
    <w:qFormat/>
    <w:uiPriority w:val="0"/>
    <w:rPr>
      <w:rFonts w:ascii="宋体" w:eastAsia="宋体" w:cs="Times New Roman"/>
      <w:color w:val="auto"/>
    </w:rPr>
  </w:style>
  <w:style w:type="paragraph" w:customStyle="1" w:styleId="352">
    <w:name w:val="样式 宋体 小四 首行缩进:  0.93 厘米 段前: 11.15 磅 段后: 11.15 磅1"/>
    <w:basedOn w:val="1"/>
    <w:qFormat/>
    <w:uiPriority w:val="0"/>
    <w:pPr>
      <w:widowControl w:val="0"/>
      <w:adjustRightInd w:val="0"/>
      <w:snapToGrid w:val="0"/>
      <w:ind w:left="200" w:leftChars="200"/>
      <w:jc w:val="both"/>
    </w:pPr>
    <w:rPr>
      <w:rFonts w:ascii="宋体" w:cs="宋体"/>
      <w:kern w:val="2"/>
      <w:sz w:val="24"/>
    </w:rPr>
  </w:style>
  <w:style w:type="paragraph" w:customStyle="1" w:styleId="353">
    <w:name w:val=" Char Char Char Char Char Char"/>
    <w:basedOn w:val="1"/>
    <w:qFormat/>
    <w:uiPriority w:val="0"/>
    <w:pPr>
      <w:widowControl w:val="0"/>
      <w:adjustRightInd w:val="0"/>
      <w:spacing w:line="360" w:lineRule="auto"/>
      <w:jc w:val="both"/>
    </w:pPr>
    <w:rPr>
      <w:sz w:val="24"/>
    </w:rPr>
  </w:style>
  <w:style w:type="paragraph" w:customStyle="1" w:styleId="354">
    <w:name w:val="xl41"/>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55">
    <w:name w:val="样式 正文缩进正文（首行缩进两字）特点ALT+Z表正文正文非缩进四号段1Normal Indent Char2...4"/>
    <w:basedOn w:val="23"/>
    <w:qFormat/>
    <w:uiPriority w:val="0"/>
    <w:pPr>
      <w:tabs>
        <w:tab w:val="left" w:pos="0"/>
        <w:tab w:val="center" w:pos="360"/>
        <w:tab w:val="left" w:pos="993"/>
        <w:tab w:val="left" w:pos="1134"/>
      </w:tabs>
      <w:spacing w:after="0" w:line="300" w:lineRule="auto"/>
      <w:ind w:left="0" w:leftChars="0"/>
      <w:jc w:val="both"/>
    </w:pPr>
    <w:rPr>
      <w:rFonts w:ascii="宋体" w:hAnsi="宋体"/>
      <w:sz w:val="24"/>
      <w:lang w:val="en-US" w:eastAsia="zh-CN"/>
    </w:rPr>
  </w:style>
  <w:style w:type="paragraph" w:customStyle="1" w:styleId="356">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357">
    <w:name w:val="xl42"/>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58">
    <w:name w:val="书籍标题2"/>
    <w:basedOn w:val="1"/>
    <w:qFormat/>
    <w:uiPriority w:val="0"/>
    <w:pPr>
      <w:widowControl w:val="0"/>
      <w:autoSpaceDE w:val="0"/>
      <w:autoSpaceDN w:val="0"/>
      <w:adjustRightInd w:val="0"/>
      <w:ind w:left="200" w:leftChars="200"/>
    </w:pPr>
    <w:rPr>
      <w:rFonts w:ascii="楷体_GB2312" w:eastAsia="楷体_GB2312"/>
      <w:sz w:val="21"/>
      <w:lang w:val="zh-CN"/>
    </w:rPr>
  </w:style>
  <w:style w:type="paragraph" w:customStyle="1" w:styleId="359">
    <w:name w:val="CM171"/>
    <w:basedOn w:val="151"/>
    <w:next w:val="151"/>
    <w:qFormat/>
    <w:uiPriority w:val="0"/>
    <w:pPr>
      <w:spacing w:line="440" w:lineRule="atLeast"/>
    </w:pPr>
    <w:rPr>
      <w:rFonts w:ascii="宋体" w:eastAsia="宋体" w:cs="Times New Roman"/>
      <w:color w:val="auto"/>
    </w:rPr>
  </w:style>
  <w:style w:type="paragraph" w:customStyle="1" w:styleId="360">
    <w:name w:val="CM110"/>
    <w:basedOn w:val="151"/>
    <w:next w:val="151"/>
    <w:qFormat/>
    <w:uiPriority w:val="0"/>
    <w:pPr>
      <w:spacing w:line="340" w:lineRule="atLeast"/>
    </w:pPr>
    <w:rPr>
      <w:rFonts w:ascii="宋体" w:eastAsia="宋体" w:cs="Times New Roman"/>
      <w:color w:val="auto"/>
    </w:rPr>
  </w:style>
  <w:style w:type="paragraph" w:customStyle="1" w:styleId="361">
    <w:name w:val="xl39"/>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sz w:val="18"/>
      <w:szCs w:val="18"/>
    </w:rPr>
  </w:style>
  <w:style w:type="paragraph" w:customStyle="1" w:styleId="362">
    <w:name w:val="1"/>
    <w:basedOn w:val="1"/>
    <w:next w:val="27"/>
    <w:qFormat/>
    <w:uiPriority w:val="0"/>
    <w:pPr>
      <w:widowControl w:val="0"/>
      <w:adjustRightInd w:val="0"/>
      <w:ind w:left="420" w:right="33"/>
      <w:textAlignment w:val="baseline"/>
    </w:pPr>
    <w:rPr>
      <w:sz w:val="24"/>
    </w:rPr>
  </w:style>
  <w:style w:type="paragraph" w:customStyle="1" w:styleId="363">
    <w:name w:val="CM88"/>
    <w:basedOn w:val="151"/>
    <w:next w:val="151"/>
    <w:qFormat/>
    <w:uiPriority w:val="0"/>
    <w:pPr>
      <w:spacing w:line="551" w:lineRule="atLeast"/>
    </w:pPr>
    <w:rPr>
      <w:rFonts w:ascii="宋体" w:eastAsia="宋体" w:cs="Times New Roman"/>
      <w:color w:val="auto"/>
    </w:rPr>
  </w:style>
  <w:style w:type="paragraph" w:customStyle="1" w:styleId="364">
    <w:name w:val="CM99"/>
    <w:basedOn w:val="151"/>
    <w:next w:val="151"/>
    <w:qFormat/>
    <w:uiPriority w:val="0"/>
    <w:pPr>
      <w:spacing w:line="408" w:lineRule="atLeast"/>
    </w:pPr>
    <w:rPr>
      <w:rFonts w:ascii="宋体" w:eastAsia="宋体" w:cs="Times New Roman"/>
      <w:color w:val="auto"/>
    </w:rPr>
  </w:style>
  <w:style w:type="paragraph" w:customStyle="1" w:styleId="365">
    <w:name w:val="CM4"/>
    <w:basedOn w:val="151"/>
    <w:next w:val="151"/>
    <w:qFormat/>
    <w:uiPriority w:val="0"/>
    <w:pPr>
      <w:spacing w:line="500" w:lineRule="atLeast"/>
    </w:pPr>
    <w:rPr>
      <w:rFonts w:ascii="宋体" w:eastAsia="宋体" w:cs="Times New Roman"/>
      <w:color w:val="auto"/>
    </w:rPr>
  </w:style>
  <w:style w:type="paragraph" w:customStyle="1" w:styleId="366">
    <w:name w:val="样式4"/>
    <w:basedOn w:val="4"/>
    <w:qFormat/>
    <w:uiPriority w:val="0"/>
    <w:pPr>
      <w:widowControl w:val="0"/>
      <w:spacing w:line="415" w:lineRule="auto"/>
      <w:jc w:val="both"/>
    </w:pPr>
    <w:rPr>
      <w:rFonts w:eastAsia="Arial"/>
      <w:kern w:val="2"/>
      <w:lang w:val="en-US" w:eastAsia="zh-CN"/>
    </w:rPr>
  </w:style>
  <w:style w:type="paragraph" w:customStyle="1" w:styleId="367">
    <w:name w:val="CM202"/>
    <w:basedOn w:val="151"/>
    <w:next w:val="151"/>
    <w:qFormat/>
    <w:uiPriority w:val="0"/>
    <w:rPr>
      <w:rFonts w:ascii="宋体" w:eastAsia="宋体" w:cs="Times New Roman"/>
      <w:color w:val="auto"/>
    </w:rPr>
  </w:style>
  <w:style w:type="paragraph" w:customStyle="1" w:styleId="368">
    <w:name w:val="CM41"/>
    <w:basedOn w:val="151"/>
    <w:next w:val="151"/>
    <w:qFormat/>
    <w:uiPriority w:val="0"/>
    <w:rPr>
      <w:rFonts w:ascii="宋体" w:eastAsia="宋体" w:cs="Times New Roman"/>
      <w:color w:val="auto"/>
    </w:rPr>
  </w:style>
  <w:style w:type="paragraph" w:customStyle="1" w:styleId="369">
    <w:name w:val="xl50"/>
    <w:basedOn w:val="1"/>
    <w:qFormat/>
    <w:uiPriority w:val="0"/>
    <w:pPr>
      <w:pBdr>
        <w:bottom w:val="single" w:color="auto" w:sz="4" w:space="0"/>
      </w:pBdr>
      <w:spacing w:before="100" w:beforeAutospacing="1" w:after="100" w:afterAutospacing="1"/>
    </w:pPr>
    <w:rPr>
      <w:rFonts w:ascii="Arial Unicode MS" w:hAnsi="Arial Unicode MS" w:eastAsia="Arial Unicode MS" w:cs="Arial Unicode MS"/>
      <w:b/>
      <w:bCs/>
      <w:sz w:val="22"/>
      <w:szCs w:val="22"/>
    </w:rPr>
  </w:style>
  <w:style w:type="paragraph" w:customStyle="1" w:styleId="370">
    <w:name w:val="CM145"/>
    <w:basedOn w:val="151"/>
    <w:next w:val="151"/>
    <w:qFormat/>
    <w:uiPriority w:val="0"/>
    <w:rPr>
      <w:rFonts w:ascii="宋体" w:eastAsia="宋体" w:cs="Times New Roman"/>
      <w:color w:val="auto"/>
    </w:rPr>
  </w:style>
  <w:style w:type="paragraph" w:customStyle="1" w:styleId="371">
    <w:name w:val="CM105"/>
    <w:basedOn w:val="151"/>
    <w:next w:val="151"/>
    <w:qFormat/>
    <w:uiPriority w:val="0"/>
    <w:rPr>
      <w:rFonts w:ascii="宋体" w:eastAsia="宋体" w:cs="Times New Roman"/>
      <w:color w:val="auto"/>
    </w:rPr>
  </w:style>
  <w:style w:type="paragraph" w:customStyle="1" w:styleId="372">
    <w:name w:val="CM6"/>
    <w:basedOn w:val="151"/>
    <w:next w:val="151"/>
    <w:qFormat/>
    <w:uiPriority w:val="0"/>
    <w:pPr>
      <w:spacing w:line="500" w:lineRule="atLeast"/>
    </w:pPr>
    <w:rPr>
      <w:rFonts w:ascii="宋体" w:eastAsia="宋体" w:cs="Times New Roman"/>
      <w:color w:val="auto"/>
    </w:rPr>
  </w:style>
  <w:style w:type="paragraph" w:customStyle="1" w:styleId="373">
    <w:name w:val="菲页1"/>
    <w:basedOn w:val="3"/>
    <w:qFormat/>
    <w:uiPriority w:val="0"/>
    <w:pPr>
      <w:spacing w:line="413" w:lineRule="auto"/>
      <w:jc w:val="center"/>
    </w:pPr>
    <w:rPr>
      <w:rFonts w:ascii="黑体" w:hAnsi="宋体"/>
      <w:b w:val="0"/>
      <w:bCs w:val="0"/>
      <w:sz w:val="52"/>
      <w:szCs w:val="20"/>
      <w:lang w:val="en-US" w:eastAsia="zh-CN"/>
    </w:rPr>
  </w:style>
  <w:style w:type="paragraph" w:customStyle="1" w:styleId="374">
    <w:name w:val=" Char Char Char Char"/>
    <w:basedOn w:val="1"/>
    <w:qFormat/>
    <w:uiPriority w:val="0"/>
    <w:pPr>
      <w:widowControl w:val="0"/>
      <w:spacing w:line="240" w:lineRule="atLeast"/>
      <w:ind w:left="420" w:firstLine="420"/>
      <w:jc w:val="both"/>
    </w:pPr>
    <w:rPr>
      <w:sz w:val="21"/>
      <w:szCs w:val="21"/>
    </w:rPr>
  </w:style>
  <w:style w:type="paragraph" w:customStyle="1" w:styleId="375">
    <w:name w:val="Cap_标题_3"/>
    <w:next w:val="1"/>
    <w:qFormat/>
    <w:uiPriority w:val="0"/>
    <w:pPr>
      <w:keepNext/>
      <w:numPr>
        <w:ilvl w:val="2"/>
        <w:numId w:val="4"/>
      </w:numPr>
      <w:tabs>
        <w:tab w:val="left" w:pos="709"/>
      </w:tabs>
      <w:spacing w:before="180" w:after="120"/>
      <w:outlineLvl w:val="2"/>
    </w:pPr>
    <w:rPr>
      <w:rFonts w:ascii="Arial" w:hAnsi="Arial" w:eastAsia="宋体" w:cs="Arial"/>
      <w:bCs/>
      <w:sz w:val="24"/>
      <w:szCs w:val="24"/>
      <w:lang w:val="en-US" w:eastAsia="en-CA" w:bidi="ar-SA"/>
    </w:rPr>
  </w:style>
  <w:style w:type="paragraph" w:customStyle="1" w:styleId="376">
    <w:name w:val="CM217"/>
    <w:basedOn w:val="151"/>
    <w:next w:val="151"/>
    <w:qFormat/>
    <w:uiPriority w:val="0"/>
    <w:rPr>
      <w:rFonts w:ascii="宋体" w:eastAsia="宋体" w:cs="Times New Roman"/>
      <w:color w:val="auto"/>
    </w:rPr>
  </w:style>
  <w:style w:type="paragraph" w:customStyle="1" w:styleId="377">
    <w:name w:val="CM128"/>
    <w:basedOn w:val="151"/>
    <w:next w:val="151"/>
    <w:qFormat/>
    <w:uiPriority w:val="0"/>
    <w:rPr>
      <w:rFonts w:ascii="宋体" w:eastAsia="宋体" w:cs="Times New Roman"/>
      <w:color w:val="auto"/>
    </w:rPr>
  </w:style>
  <w:style w:type="paragraph" w:customStyle="1" w:styleId="378">
    <w:name w:val="CM182"/>
    <w:basedOn w:val="151"/>
    <w:next w:val="151"/>
    <w:qFormat/>
    <w:uiPriority w:val="0"/>
    <w:rPr>
      <w:rFonts w:ascii="宋体" w:eastAsia="宋体" w:cs="Times New Roman"/>
      <w:color w:val="auto"/>
    </w:rPr>
  </w:style>
  <w:style w:type="paragraph" w:customStyle="1" w:styleId="379">
    <w:name w:val="CM129"/>
    <w:basedOn w:val="151"/>
    <w:next w:val="151"/>
    <w:qFormat/>
    <w:uiPriority w:val="0"/>
    <w:rPr>
      <w:rFonts w:ascii="宋体" w:eastAsia="宋体" w:cs="Times New Roman"/>
      <w:color w:val="auto"/>
    </w:rPr>
  </w:style>
  <w:style w:type="paragraph" w:customStyle="1" w:styleId="380">
    <w:name w:val="CM122"/>
    <w:basedOn w:val="151"/>
    <w:next w:val="151"/>
    <w:qFormat/>
    <w:uiPriority w:val="0"/>
    <w:rPr>
      <w:rFonts w:ascii="宋体" w:eastAsia="宋体" w:cs="Times New Roman"/>
      <w:color w:val="auto"/>
    </w:rPr>
  </w:style>
  <w:style w:type="paragraph" w:customStyle="1" w:styleId="381">
    <w:name w:val="CM48"/>
    <w:basedOn w:val="151"/>
    <w:next w:val="151"/>
    <w:qFormat/>
    <w:uiPriority w:val="0"/>
    <w:pPr>
      <w:spacing w:line="400" w:lineRule="atLeast"/>
    </w:pPr>
    <w:rPr>
      <w:rFonts w:ascii="宋体" w:eastAsia="宋体" w:cs="Times New Roman"/>
      <w:color w:val="auto"/>
    </w:rPr>
  </w:style>
  <w:style w:type="paragraph" w:customStyle="1" w:styleId="382">
    <w:name w:val="font6"/>
    <w:basedOn w:val="1"/>
    <w:qFormat/>
    <w:uiPriority w:val="0"/>
    <w:pPr>
      <w:spacing w:before="100" w:beforeAutospacing="1" w:after="100" w:afterAutospacing="1"/>
    </w:pPr>
    <w:rPr>
      <w:rFonts w:eastAsia="Arial Unicode MS"/>
      <w:sz w:val="18"/>
      <w:szCs w:val="18"/>
    </w:rPr>
  </w:style>
  <w:style w:type="paragraph" w:customStyle="1" w:styleId="383">
    <w:name w:val="CM135"/>
    <w:basedOn w:val="151"/>
    <w:next w:val="151"/>
    <w:qFormat/>
    <w:uiPriority w:val="0"/>
    <w:pPr>
      <w:spacing w:line="273" w:lineRule="atLeast"/>
    </w:pPr>
    <w:rPr>
      <w:rFonts w:ascii="宋体" w:eastAsia="宋体" w:cs="Times New Roman"/>
      <w:color w:val="auto"/>
    </w:rPr>
  </w:style>
  <w:style w:type="paragraph" w:customStyle="1" w:styleId="384">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385">
    <w:name w:val="_Style 27"/>
    <w:basedOn w:val="1"/>
    <w:next w:val="27"/>
    <w:qFormat/>
    <w:uiPriority w:val="0"/>
    <w:pPr>
      <w:widowControl w:val="0"/>
      <w:adjustRightInd w:val="0"/>
      <w:ind w:left="420" w:right="33"/>
      <w:textAlignment w:val="baseline"/>
    </w:pPr>
    <w:rPr>
      <w:sz w:val="24"/>
    </w:rPr>
  </w:style>
  <w:style w:type="paragraph" w:customStyle="1" w:styleId="386">
    <w:name w:val="CM36"/>
    <w:basedOn w:val="151"/>
    <w:next w:val="151"/>
    <w:qFormat/>
    <w:uiPriority w:val="0"/>
    <w:pPr>
      <w:spacing w:line="398" w:lineRule="atLeast"/>
    </w:pPr>
    <w:rPr>
      <w:rFonts w:ascii="宋体" w:eastAsia="宋体" w:cs="Times New Roman"/>
      <w:color w:val="auto"/>
    </w:rPr>
  </w:style>
  <w:style w:type="paragraph" w:customStyle="1" w:styleId="387">
    <w:name w:val="菲页(卷)"/>
    <w:basedOn w:val="2"/>
    <w:next w:val="295"/>
    <w:qFormat/>
    <w:uiPriority w:val="0"/>
    <w:pPr>
      <w:keepLines w:val="0"/>
      <w:tabs>
        <w:tab w:val="left" w:pos="425"/>
      </w:tabs>
      <w:spacing w:before="0" w:after="0" w:line="240" w:lineRule="auto"/>
      <w:ind w:left="432" w:hanging="432"/>
      <w:jc w:val="center"/>
      <w:outlineLvl w:val="1"/>
    </w:pPr>
    <w:rPr>
      <w:rFonts w:ascii="黑体" w:eastAsia="黑体"/>
      <w:b w:val="0"/>
      <w:bCs w:val="0"/>
      <w:kern w:val="0"/>
      <w:sz w:val="52"/>
      <w:szCs w:val="20"/>
      <w:lang w:val="en-US" w:eastAsia="zh-CN"/>
    </w:rPr>
  </w:style>
  <w:style w:type="paragraph" w:customStyle="1" w:styleId="388">
    <w:name w:val="Char"/>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389">
    <w:name w:val="CM197"/>
    <w:basedOn w:val="151"/>
    <w:next w:val="151"/>
    <w:qFormat/>
    <w:uiPriority w:val="0"/>
    <w:rPr>
      <w:rFonts w:ascii="宋体" w:eastAsia="宋体" w:cs="Times New Roman"/>
      <w:color w:val="auto"/>
    </w:rPr>
  </w:style>
  <w:style w:type="paragraph" w:customStyle="1" w:styleId="390">
    <w:name w:val="CM143"/>
    <w:basedOn w:val="151"/>
    <w:next w:val="151"/>
    <w:qFormat/>
    <w:uiPriority w:val="0"/>
    <w:rPr>
      <w:rFonts w:ascii="宋体" w:eastAsia="宋体" w:cs="Times New Roman"/>
      <w:color w:val="auto"/>
    </w:rPr>
  </w:style>
  <w:style w:type="paragraph" w:customStyle="1" w:styleId="391">
    <w:name w:val="Char Char Char Char"/>
    <w:basedOn w:val="1"/>
    <w:qFormat/>
    <w:uiPriority w:val="0"/>
    <w:pPr>
      <w:widowControl w:val="0"/>
      <w:spacing w:line="240" w:lineRule="atLeast"/>
      <w:ind w:left="420" w:firstLine="420"/>
      <w:jc w:val="both"/>
    </w:pPr>
    <w:rPr>
      <w:sz w:val="21"/>
      <w:szCs w:val="21"/>
    </w:rPr>
  </w:style>
  <w:style w:type="paragraph" w:customStyle="1" w:styleId="392">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393">
    <w:name w:val=" Char Char Char Char1 Char Char Char Char Char1 Char Char Char1 Char"/>
    <w:basedOn w:val="1"/>
    <w:qFormat/>
    <w:uiPriority w:val="0"/>
    <w:pPr>
      <w:widowControl w:val="0"/>
      <w:spacing w:line="240" w:lineRule="atLeast"/>
      <w:ind w:left="420" w:firstLine="420"/>
      <w:jc w:val="both"/>
    </w:pPr>
    <w:rPr>
      <w:kern w:val="2"/>
      <w:sz w:val="21"/>
      <w:szCs w:val="24"/>
    </w:rPr>
  </w:style>
  <w:style w:type="paragraph" w:styleId="39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5">
    <w:name w:val="样式 标题 1 + 宋体 四号 非加粗"/>
    <w:basedOn w:val="1"/>
    <w:qFormat/>
    <w:uiPriority w:val="0"/>
    <w:pPr>
      <w:widowControl w:val="0"/>
      <w:tabs>
        <w:tab w:val="left" w:pos="480"/>
      </w:tabs>
      <w:adjustRightInd w:val="0"/>
      <w:spacing w:line="360" w:lineRule="atLeast"/>
      <w:ind w:left="877" w:hanging="397"/>
      <w:jc w:val="both"/>
      <w:textAlignment w:val="baseline"/>
    </w:pPr>
  </w:style>
  <w:style w:type="paragraph" w:customStyle="1" w:styleId="396">
    <w:name w:val="Char1"/>
    <w:basedOn w:val="1"/>
    <w:qFormat/>
    <w:uiPriority w:val="0"/>
    <w:pPr>
      <w:spacing w:after="160" w:line="240" w:lineRule="exact"/>
      <w:ind w:left="-62" w:right="36" w:rightChars="15"/>
    </w:pPr>
    <w:rPr>
      <w:rFonts w:ascii="Arial" w:hAnsi="Arial" w:eastAsia="Times New Roman"/>
      <w:lang w:eastAsia="en-US"/>
    </w:rPr>
  </w:style>
  <w:style w:type="paragraph" w:customStyle="1" w:styleId="397">
    <w:name w:val="xl45"/>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98">
    <w:name w:val="p17"/>
    <w:basedOn w:val="1"/>
    <w:qFormat/>
    <w:uiPriority w:val="0"/>
    <w:pPr>
      <w:spacing w:before="100" w:after="100"/>
    </w:pPr>
    <w:rPr>
      <w:rFonts w:ascii="宋体" w:hAnsi="宋体"/>
      <w:sz w:val="24"/>
    </w:rPr>
  </w:style>
  <w:style w:type="paragraph" w:customStyle="1" w:styleId="399">
    <w:name w:val="CM108"/>
    <w:basedOn w:val="151"/>
    <w:next w:val="151"/>
    <w:qFormat/>
    <w:uiPriority w:val="0"/>
    <w:pPr>
      <w:spacing w:line="340" w:lineRule="atLeast"/>
    </w:pPr>
    <w:rPr>
      <w:rFonts w:ascii="宋体" w:eastAsia="宋体" w:cs="Times New Roman"/>
      <w:color w:val="auto"/>
    </w:rPr>
  </w:style>
  <w:style w:type="paragraph" w:customStyle="1" w:styleId="400">
    <w:name w:val="CM170"/>
    <w:basedOn w:val="151"/>
    <w:next w:val="151"/>
    <w:qFormat/>
    <w:uiPriority w:val="0"/>
    <w:rPr>
      <w:rFonts w:ascii="宋体" w:eastAsia="宋体" w:cs="Times New Roman"/>
      <w:color w:val="auto"/>
    </w:rPr>
  </w:style>
  <w:style w:type="paragraph" w:customStyle="1" w:styleId="401">
    <w:name w:val="CM136"/>
    <w:basedOn w:val="151"/>
    <w:next w:val="151"/>
    <w:qFormat/>
    <w:uiPriority w:val="0"/>
    <w:pPr>
      <w:spacing w:line="273" w:lineRule="atLeast"/>
    </w:pPr>
    <w:rPr>
      <w:rFonts w:ascii="宋体" w:eastAsia="宋体" w:cs="Times New Roman"/>
      <w:color w:val="auto"/>
    </w:rPr>
  </w:style>
  <w:style w:type="paragraph" w:customStyle="1" w:styleId="402">
    <w:name w:val="批注框文本 Char Char"/>
    <w:basedOn w:val="1"/>
    <w:qFormat/>
    <w:uiPriority w:val="0"/>
    <w:rPr>
      <w:sz w:val="18"/>
    </w:rPr>
  </w:style>
  <w:style w:type="paragraph" w:customStyle="1" w:styleId="403">
    <w:name w:val="CM77"/>
    <w:basedOn w:val="151"/>
    <w:next w:val="151"/>
    <w:qFormat/>
    <w:uiPriority w:val="0"/>
    <w:rPr>
      <w:rFonts w:ascii="宋体" w:eastAsia="宋体" w:cs="Times New Roman"/>
      <w:color w:val="auto"/>
    </w:rPr>
  </w:style>
  <w:style w:type="paragraph" w:customStyle="1" w:styleId="404">
    <w:name w:val="Listing1"/>
    <w:basedOn w:val="1"/>
    <w:qFormat/>
    <w:uiPriority w:val="0"/>
    <w:pPr>
      <w:widowControl w:val="0"/>
      <w:tabs>
        <w:tab w:val="left" w:pos="420"/>
      </w:tabs>
      <w:ind w:left="420" w:hanging="420"/>
      <w:jc w:val="both"/>
    </w:pPr>
    <w:rPr>
      <w:kern w:val="2"/>
      <w:sz w:val="24"/>
      <w:szCs w:val="24"/>
    </w:rPr>
  </w:style>
  <w:style w:type="paragraph" w:customStyle="1" w:styleId="405">
    <w:name w:val="CM96"/>
    <w:basedOn w:val="151"/>
    <w:next w:val="151"/>
    <w:qFormat/>
    <w:uiPriority w:val="0"/>
    <w:rPr>
      <w:rFonts w:ascii="宋体" w:eastAsia="宋体" w:cs="Times New Roman"/>
      <w:color w:val="auto"/>
    </w:rPr>
  </w:style>
  <w:style w:type="paragraph" w:customStyle="1" w:styleId="406">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407">
    <w:name w:val="规范文本"/>
    <w:basedOn w:val="31"/>
    <w:qFormat/>
    <w:uiPriority w:val="0"/>
    <w:pPr>
      <w:adjustRightInd w:val="0"/>
      <w:snapToGrid w:val="0"/>
      <w:spacing w:line="360" w:lineRule="exact"/>
      <w:ind w:firstLine="420"/>
    </w:pPr>
    <w:rPr>
      <w:snapToGrid w:val="0"/>
      <w:sz w:val="21"/>
      <w:szCs w:val="20"/>
      <w:lang w:val="en-US" w:eastAsia="zh-CN"/>
    </w:rPr>
  </w:style>
  <w:style w:type="paragraph" w:customStyle="1" w:styleId="408">
    <w:name w:val="CM183"/>
    <w:basedOn w:val="151"/>
    <w:next w:val="151"/>
    <w:qFormat/>
    <w:uiPriority w:val="0"/>
    <w:rPr>
      <w:rFonts w:ascii="宋体" w:eastAsia="宋体" w:cs="Times New Roman"/>
      <w:color w:val="auto"/>
    </w:rPr>
  </w:style>
  <w:style w:type="paragraph" w:customStyle="1" w:styleId="409">
    <w:name w:val="无间隔3"/>
    <w:qFormat/>
    <w:uiPriority w:val="1"/>
    <w:pPr>
      <w:adjustRightInd w:val="0"/>
      <w:snapToGrid w:val="0"/>
    </w:pPr>
    <w:rPr>
      <w:rFonts w:ascii="Tahoma" w:hAnsi="Tahoma" w:eastAsia="微软雅黑" w:cs="Times New Roman"/>
      <w:sz w:val="22"/>
      <w:szCs w:val="22"/>
      <w:lang w:val="en-US" w:eastAsia="zh-CN" w:bidi="ar-SA"/>
    </w:rPr>
  </w:style>
  <w:style w:type="paragraph" w:customStyle="1" w:styleId="410">
    <w:name w:val="CM33"/>
    <w:basedOn w:val="151"/>
    <w:next w:val="151"/>
    <w:qFormat/>
    <w:uiPriority w:val="0"/>
    <w:pPr>
      <w:spacing w:line="400" w:lineRule="atLeast"/>
    </w:pPr>
    <w:rPr>
      <w:rFonts w:ascii="宋体" w:eastAsia="宋体" w:cs="Times New Roman"/>
      <w:color w:val="auto"/>
    </w:rPr>
  </w:style>
  <w:style w:type="paragraph" w:customStyle="1" w:styleId="411">
    <w:name w:val="CM63"/>
    <w:basedOn w:val="151"/>
    <w:next w:val="151"/>
    <w:qFormat/>
    <w:uiPriority w:val="0"/>
    <w:pPr>
      <w:spacing w:line="400" w:lineRule="atLeast"/>
    </w:pPr>
    <w:rPr>
      <w:rFonts w:ascii="宋体" w:eastAsia="宋体" w:cs="Times New Roman"/>
      <w:color w:val="auto"/>
    </w:rPr>
  </w:style>
  <w:style w:type="paragraph" w:customStyle="1" w:styleId="412">
    <w:name w:val="CM42"/>
    <w:basedOn w:val="151"/>
    <w:next w:val="151"/>
    <w:qFormat/>
    <w:uiPriority w:val="0"/>
    <w:pPr>
      <w:spacing w:line="440" w:lineRule="atLeast"/>
    </w:pPr>
    <w:rPr>
      <w:rFonts w:ascii="宋体" w:eastAsia="宋体" w:cs="Times New Roman"/>
      <w:color w:val="auto"/>
    </w:rPr>
  </w:style>
  <w:style w:type="paragraph" w:customStyle="1" w:styleId="413">
    <w:name w:val="Char11"/>
    <w:basedOn w:val="1"/>
    <w:qFormat/>
    <w:uiPriority w:val="0"/>
    <w:pPr>
      <w:widowControl w:val="0"/>
      <w:jc w:val="both"/>
    </w:pPr>
    <w:rPr>
      <w:rFonts w:ascii="仿宋_GB2312" w:eastAsia="仿宋_GB2312"/>
      <w:b/>
      <w:kern w:val="2"/>
      <w:sz w:val="32"/>
      <w:szCs w:val="32"/>
    </w:rPr>
  </w:style>
  <w:style w:type="paragraph" w:customStyle="1" w:styleId="414">
    <w:name w:val="CM115"/>
    <w:basedOn w:val="151"/>
    <w:next w:val="151"/>
    <w:qFormat/>
    <w:uiPriority w:val="0"/>
    <w:pPr>
      <w:spacing w:line="340" w:lineRule="atLeast"/>
    </w:pPr>
    <w:rPr>
      <w:rFonts w:ascii="宋体" w:eastAsia="宋体" w:cs="Times New Roman"/>
      <w:color w:val="auto"/>
    </w:rPr>
  </w:style>
  <w:style w:type="paragraph" w:customStyle="1" w:styleId="415">
    <w:name w:val="CM1"/>
    <w:basedOn w:val="151"/>
    <w:next w:val="151"/>
    <w:qFormat/>
    <w:uiPriority w:val="0"/>
    <w:rPr>
      <w:rFonts w:ascii="宋体" w:eastAsia="宋体" w:cs="Times New Roman"/>
      <w:color w:val="auto"/>
    </w:rPr>
  </w:style>
  <w:style w:type="paragraph" w:customStyle="1" w:styleId="416">
    <w:name w:val=" Char Char Char Char1 Char Char Char"/>
    <w:basedOn w:val="1"/>
    <w:qFormat/>
    <w:uiPriority w:val="0"/>
    <w:pPr>
      <w:widowControl w:val="0"/>
      <w:spacing w:line="240" w:lineRule="atLeast"/>
      <w:ind w:left="420" w:firstLine="420"/>
      <w:jc w:val="both"/>
    </w:pPr>
    <w:rPr>
      <w:sz w:val="21"/>
      <w:szCs w:val="21"/>
    </w:rPr>
  </w:style>
  <w:style w:type="paragraph" w:customStyle="1" w:styleId="417">
    <w:name w:val="CM103"/>
    <w:basedOn w:val="151"/>
    <w:next w:val="151"/>
    <w:qFormat/>
    <w:uiPriority w:val="0"/>
    <w:rPr>
      <w:rFonts w:ascii="宋体" w:eastAsia="宋体" w:cs="Times New Roman"/>
      <w:color w:val="auto"/>
    </w:rPr>
  </w:style>
  <w:style w:type="paragraph" w:customStyle="1" w:styleId="418">
    <w:name w:val="样式 标题 1 + (西文) MingLiU (中文) 宋体 小四"/>
    <w:basedOn w:val="2"/>
    <w:qFormat/>
    <w:uiPriority w:val="0"/>
    <w:pPr>
      <w:widowControl w:val="0"/>
    </w:pPr>
    <w:rPr>
      <w:rFonts w:ascii="MingLiU" w:hAnsi="MingLiU"/>
      <w:color w:val="000000"/>
      <w:sz w:val="24"/>
      <w:szCs w:val="20"/>
      <w:shd w:val="pct10" w:color="auto" w:fill="FFFFFF"/>
      <w:lang w:val="en-US" w:eastAsia="zh-CN"/>
    </w:rPr>
  </w:style>
  <w:style w:type="paragraph" w:customStyle="1" w:styleId="419">
    <w:name w:val="CM137"/>
    <w:basedOn w:val="151"/>
    <w:next w:val="151"/>
    <w:qFormat/>
    <w:uiPriority w:val="0"/>
    <w:pPr>
      <w:spacing w:line="273" w:lineRule="atLeast"/>
    </w:pPr>
    <w:rPr>
      <w:rFonts w:ascii="宋体" w:eastAsia="宋体" w:cs="Times New Roman"/>
      <w:color w:val="auto"/>
    </w:rPr>
  </w:style>
  <w:style w:type="paragraph" w:customStyle="1" w:styleId="420">
    <w:name w:val="CM70"/>
    <w:basedOn w:val="151"/>
    <w:next w:val="151"/>
    <w:qFormat/>
    <w:uiPriority w:val="0"/>
    <w:pPr>
      <w:spacing w:line="556" w:lineRule="atLeast"/>
    </w:pPr>
    <w:rPr>
      <w:rFonts w:ascii="宋体" w:eastAsia="宋体" w:cs="Times New Roman"/>
      <w:color w:val="auto"/>
    </w:rPr>
  </w:style>
  <w:style w:type="paragraph" w:customStyle="1" w:styleId="421">
    <w:name w:val="样式 标题 + 两端对齐"/>
    <w:basedOn w:val="2"/>
    <w:qFormat/>
    <w:uiPriority w:val="0"/>
    <w:pPr>
      <w:widowControl w:val="0"/>
      <w:spacing w:before="100" w:after="90"/>
      <w:jc w:val="center"/>
    </w:pPr>
    <w:rPr>
      <w:rFonts w:cs="宋体"/>
      <w:sz w:val="36"/>
      <w:szCs w:val="20"/>
      <w:lang w:val="en-US" w:eastAsia="zh-CN"/>
    </w:rPr>
  </w:style>
  <w:style w:type="paragraph" w:customStyle="1" w:styleId="422">
    <w:name w:val="样式 正文缩进正文（首行缩进两字）特点ALT+Z表正文正文非缩进四号段1Normal Indent Char2...1"/>
    <w:basedOn w:val="3"/>
    <w:qFormat/>
    <w:uiPriority w:val="0"/>
    <w:pPr>
      <w:widowControl w:val="0"/>
      <w:adjustRightInd w:val="0"/>
      <w:spacing w:before="1320" w:after="240" w:line="300" w:lineRule="auto"/>
      <w:jc w:val="center"/>
      <w:textAlignment w:val="baseline"/>
    </w:pPr>
    <w:rPr>
      <w:rFonts w:cs="宋体"/>
      <w:lang w:val="en-US" w:eastAsia="zh-CN"/>
    </w:rPr>
  </w:style>
  <w:style w:type="paragraph" w:customStyle="1" w:styleId="423">
    <w:name w:val="样式 标题 3刘兵3章标题1sect1.2.3sect1.2.31sect1.2.32sect1.2.311sec..."/>
    <w:basedOn w:val="4"/>
    <w:qFormat/>
    <w:uiPriority w:val="0"/>
    <w:pPr>
      <w:keepNext w:val="0"/>
      <w:keepLines w:val="0"/>
      <w:widowControl w:val="0"/>
      <w:numPr>
        <w:ilvl w:val="0"/>
        <w:numId w:val="5"/>
      </w:numPr>
      <w:spacing w:before="120" w:after="120" w:line="360" w:lineRule="auto"/>
      <w:ind w:left="0" w:firstLine="0"/>
    </w:pPr>
    <w:rPr>
      <w:rFonts w:ascii="宋体" w:hAnsi="Arial" w:cs="宋体"/>
      <w:kern w:val="2"/>
      <w:sz w:val="21"/>
      <w:szCs w:val="20"/>
      <w:lang w:val="en-US" w:eastAsia="zh-CN"/>
    </w:rPr>
  </w:style>
  <w:style w:type="paragraph" w:customStyle="1" w:styleId="424">
    <w:name w:val=" 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25">
    <w:name w:val="p16"/>
    <w:basedOn w:val="1"/>
    <w:qFormat/>
    <w:uiPriority w:val="0"/>
    <w:pPr>
      <w:spacing w:line="386" w:lineRule="atLeast"/>
    </w:pPr>
    <w:rPr>
      <w:rFonts w:ascii="Arial" w:hAnsi="Arial"/>
      <w:sz w:val="25"/>
    </w:rPr>
  </w:style>
  <w:style w:type="paragraph" w:customStyle="1" w:styleId="426">
    <w:name w:val=" 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27">
    <w:name w:val="xl49"/>
    <w:basedOn w:val="1"/>
    <w:qFormat/>
    <w:uiPriority w:val="0"/>
    <w:pPr>
      <w:spacing w:before="100" w:beforeAutospacing="1" w:after="100" w:afterAutospacing="1"/>
      <w:textAlignment w:val="center"/>
    </w:pPr>
    <w:rPr>
      <w:rFonts w:hint="eastAsia" w:ascii="黑体" w:hAnsi="Arial Unicode MS" w:eastAsia="黑体" w:cs="Arial Unicode MS"/>
      <w:b/>
      <w:bCs/>
      <w:sz w:val="24"/>
      <w:szCs w:val="24"/>
    </w:rPr>
  </w:style>
  <w:style w:type="paragraph" w:customStyle="1" w:styleId="428">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429">
    <w:name w:val="CM69"/>
    <w:basedOn w:val="151"/>
    <w:next w:val="151"/>
    <w:qFormat/>
    <w:uiPriority w:val="0"/>
    <w:pPr>
      <w:spacing w:line="400" w:lineRule="atLeast"/>
    </w:pPr>
    <w:rPr>
      <w:rFonts w:ascii="宋体" w:eastAsia="宋体" w:cs="Times New Roman"/>
      <w:color w:val="auto"/>
    </w:rPr>
  </w:style>
  <w:style w:type="paragraph" w:customStyle="1" w:styleId="430">
    <w:name w:val="CM169"/>
    <w:basedOn w:val="151"/>
    <w:next w:val="151"/>
    <w:qFormat/>
    <w:uiPriority w:val="0"/>
    <w:pPr>
      <w:spacing w:line="340" w:lineRule="atLeast"/>
    </w:pPr>
    <w:rPr>
      <w:rFonts w:ascii="宋体" w:eastAsia="宋体" w:cs="Times New Roman"/>
      <w:color w:val="auto"/>
    </w:rPr>
  </w:style>
  <w:style w:type="paragraph" w:customStyle="1" w:styleId="431">
    <w:name w:val="CM68"/>
    <w:basedOn w:val="151"/>
    <w:next w:val="151"/>
    <w:qFormat/>
    <w:uiPriority w:val="0"/>
    <w:pPr>
      <w:spacing w:line="466" w:lineRule="atLeast"/>
    </w:pPr>
    <w:rPr>
      <w:rFonts w:ascii="宋体" w:eastAsia="宋体" w:cs="Times New Roman"/>
      <w:color w:val="auto"/>
    </w:rPr>
  </w:style>
  <w:style w:type="paragraph" w:customStyle="1" w:styleId="432">
    <w:name w:val="缺省文本"/>
    <w:basedOn w:val="1"/>
    <w:qFormat/>
    <w:uiPriority w:val="0"/>
    <w:pPr>
      <w:widowControl w:val="0"/>
      <w:autoSpaceDE w:val="0"/>
      <w:autoSpaceDN w:val="0"/>
      <w:adjustRightInd w:val="0"/>
    </w:pPr>
    <w:rPr>
      <w:sz w:val="24"/>
    </w:rPr>
  </w:style>
  <w:style w:type="paragraph" w:customStyle="1" w:styleId="433">
    <w:name w:val=" Char Char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434">
    <w:name w:val="CM44"/>
    <w:basedOn w:val="151"/>
    <w:next w:val="151"/>
    <w:qFormat/>
    <w:uiPriority w:val="0"/>
    <w:rPr>
      <w:rFonts w:ascii="宋体" w:eastAsia="宋体" w:cs="Times New Roman"/>
      <w:color w:val="auto"/>
    </w:rPr>
  </w:style>
  <w:style w:type="paragraph" w:customStyle="1" w:styleId="435">
    <w:name w:val="No Spacing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6">
    <w:name w:val="CM191"/>
    <w:basedOn w:val="151"/>
    <w:next w:val="151"/>
    <w:qFormat/>
    <w:uiPriority w:val="0"/>
    <w:rPr>
      <w:rFonts w:ascii="宋体" w:eastAsia="宋体" w:cs="Times New Roman"/>
      <w:color w:val="auto"/>
    </w:rPr>
  </w:style>
  <w:style w:type="paragraph" w:customStyle="1" w:styleId="437">
    <w:name w:val="文本"/>
    <w:basedOn w:val="22"/>
    <w:qFormat/>
    <w:uiPriority w:val="0"/>
    <w:pPr>
      <w:widowControl w:val="0"/>
      <w:snapToGrid w:val="0"/>
      <w:spacing w:after="0" w:line="360" w:lineRule="auto"/>
      <w:ind w:firstLine="424" w:firstLineChars="202"/>
      <w:jc w:val="both"/>
    </w:pPr>
    <w:rPr>
      <w:rFonts w:ascii="宋体" w:hAnsi="宋体"/>
      <w:kern w:val="2"/>
      <w:sz w:val="24"/>
      <w:szCs w:val="24"/>
      <w:lang w:val="en-US" w:eastAsia="zh-CN"/>
    </w:rPr>
  </w:style>
  <w:style w:type="paragraph" w:customStyle="1" w:styleId="438">
    <w:name w:val="CM32"/>
    <w:basedOn w:val="151"/>
    <w:next w:val="151"/>
    <w:qFormat/>
    <w:uiPriority w:val="0"/>
    <w:pPr>
      <w:spacing w:line="400" w:lineRule="atLeast"/>
    </w:pPr>
    <w:rPr>
      <w:rFonts w:ascii="宋体" w:eastAsia="宋体" w:cs="Times New Roman"/>
      <w:color w:val="auto"/>
    </w:rPr>
  </w:style>
  <w:style w:type="paragraph" w:customStyle="1" w:styleId="439">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440">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41">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42">
    <w:name w:val="CM210"/>
    <w:basedOn w:val="151"/>
    <w:next w:val="151"/>
    <w:qFormat/>
    <w:uiPriority w:val="0"/>
    <w:rPr>
      <w:rFonts w:ascii="宋体" w:eastAsia="宋体" w:cs="Times New Roman"/>
      <w:color w:val="auto"/>
    </w:rPr>
  </w:style>
  <w:style w:type="paragraph" w:customStyle="1" w:styleId="443">
    <w:name w:val="CM107"/>
    <w:basedOn w:val="151"/>
    <w:next w:val="151"/>
    <w:qFormat/>
    <w:uiPriority w:val="0"/>
    <w:rPr>
      <w:rFonts w:ascii="宋体" w:eastAsia="宋体" w:cs="Times New Roman"/>
      <w:color w:val="auto"/>
    </w:rPr>
  </w:style>
  <w:style w:type="paragraph" w:customStyle="1" w:styleId="444">
    <w:name w:val="CM133"/>
    <w:basedOn w:val="151"/>
    <w:next w:val="151"/>
    <w:qFormat/>
    <w:uiPriority w:val="0"/>
    <w:pPr>
      <w:spacing w:line="273" w:lineRule="atLeast"/>
    </w:pPr>
    <w:rPr>
      <w:rFonts w:ascii="宋体" w:eastAsia="宋体" w:cs="Times New Roman"/>
      <w:color w:val="auto"/>
    </w:rPr>
  </w:style>
  <w:style w:type="paragraph" w:customStyle="1" w:styleId="445">
    <w:name w:val="TOC Heading"/>
    <w:basedOn w:val="2"/>
    <w:next w:val="1"/>
    <w:qFormat/>
    <w:uiPriority w:val="0"/>
    <w:pPr>
      <w:spacing w:before="480" w:after="0" w:line="276" w:lineRule="auto"/>
      <w:outlineLvl w:val="9"/>
    </w:pPr>
    <w:rPr>
      <w:rFonts w:ascii="Cambria" w:hAnsi="Cambria"/>
      <w:color w:val="365F91"/>
      <w:kern w:val="0"/>
      <w:sz w:val="28"/>
      <w:szCs w:val="28"/>
      <w:lang w:val="en-US" w:eastAsia="zh-CN"/>
    </w:rPr>
  </w:style>
  <w:style w:type="paragraph" w:customStyle="1" w:styleId="446">
    <w:name w:val="样式 标题 1 + 宋体 居中 段前: 48 磅 段后: 12 磅 行距: 1.5 倍行距"/>
    <w:basedOn w:val="2"/>
    <w:qFormat/>
    <w:uiPriority w:val="0"/>
    <w:pPr>
      <w:widowControl w:val="0"/>
      <w:adjustRightInd w:val="0"/>
      <w:spacing w:before="100" w:beforeAutospacing="1" w:after="0" w:line="360" w:lineRule="auto"/>
      <w:jc w:val="center"/>
      <w:textAlignment w:val="baseline"/>
    </w:pPr>
    <w:rPr>
      <w:rFonts w:ascii="宋体" w:hAnsi="宋体" w:cs="宋体"/>
      <w:snapToGrid w:val="0"/>
      <w:kern w:val="2"/>
      <w:lang w:val="en-US" w:eastAsia="zh-CN"/>
    </w:rPr>
  </w:style>
  <w:style w:type="paragraph" w:customStyle="1" w:styleId="447">
    <w:name w:val="CM55"/>
    <w:basedOn w:val="151"/>
    <w:next w:val="151"/>
    <w:qFormat/>
    <w:uiPriority w:val="0"/>
    <w:rPr>
      <w:rFonts w:ascii="宋体" w:eastAsia="宋体" w:cs="Times New Roman"/>
      <w:color w:val="auto"/>
    </w:rPr>
  </w:style>
  <w:style w:type="paragraph" w:customStyle="1" w:styleId="448">
    <w:name w:val="P4"/>
    <w:qFormat/>
    <w:uiPriority w:val="0"/>
    <w:pPr>
      <w:widowControl w:val="0"/>
      <w:numPr>
        <w:ilvl w:val="2"/>
        <w:numId w:val="6"/>
      </w:numPr>
      <w:adjustRightInd w:val="0"/>
      <w:spacing w:after="240" w:line="240" w:lineRule="atLeast"/>
      <w:ind w:left="2880" w:firstLine="0"/>
      <w:jc w:val="both"/>
      <w:textAlignment w:val="baseline"/>
    </w:pPr>
    <w:rPr>
      <w:rFonts w:ascii="Times New Roman" w:hAnsi="Times New Roman" w:eastAsia="全真中明體" w:cs="Times New Roman"/>
      <w:spacing w:val="20"/>
      <w:sz w:val="24"/>
      <w:lang w:val="en-GB" w:eastAsia="zh-TW" w:bidi="ar-SA"/>
    </w:rPr>
  </w:style>
  <w:style w:type="paragraph" w:customStyle="1" w:styleId="449">
    <w:name w:val="样式 样式 表格 + 全部大写 + 非全部大写"/>
    <w:basedOn w:val="1"/>
    <w:qFormat/>
    <w:uiPriority w:val="0"/>
    <w:pPr>
      <w:topLinePunct/>
      <w:adjustRightInd w:val="0"/>
      <w:spacing w:before="120" w:after="120" w:line="360" w:lineRule="auto"/>
      <w:ind w:firstLine="200" w:firstLineChars="200"/>
      <w:textAlignment w:val="baseline"/>
    </w:pPr>
    <w:rPr>
      <w:rFonts w:ascii="MingLiU" w:eastAsia="MingLiU"/>
      <w:sz w:val="24"/>
      <w:lang w:val="en-GB" w:eastAsia="zh-TW"/>
    </w:rPr>
  </w:style>
  <w:style w:type="paragraph" w:customStyle="1" w:styleId="450">
    <w:name w:val="P3"/>
    <w:qFormat/>
    <w:uiPriority w:val="0"/>
    <w:pPr>
      <w:widowControl w:val="0"/>
      <w:adjustRightInd w:val="0"/>
      <w:spacing w:after="240" w:line="24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451">
    <w:name w:val="CM124"/>
    <w:basedOn w:val="151"/>
    <w:next w:val="151"/>
    <w:qFormat/>
    <w:uiPriority w:val="0"/>
    <w:pPr>
      <w:spacing w:line="273" w:lineRule="atLeast"/>
    </w:pPr>
    <w:rPr>
      <w:rFonts w:ascii="宋体" w:eastAsia="宋体" w:cs="Times New Roman"/>
      <w:color w:val="auto"/>
    </w:rPr>
  </w:style>
  <w:style w:type="paragraph" w:customStyle="1" w:styleId="452">
    <w:name w:val="CM106"/>
    <w:basedOn w:val="151"/>
    <w:next w:val="151"/>
    <w:qFormat/>
    <w:uiPriority w:val="0"/>
    <w:pPr>
      <w:spacing w:line="391" w:lineRule="atLeast"/>
    </w:pPr>
    <w:rPr>
      <w:rFonts w:ascii="宋体" w:eastAsia="宋体" w:cs="Times New Roman"/>
      <w:color w:val="auto"/>
    </w:rPr>
  </w:style>
  <w:style w:type="paragraph" w:customStyle="1" w:styleId="453">
    <w:name w:val="Table Text"/>
    <w:qFormat/>
    <w:uiPriority w:val="0"/>
    <w:pPr>
      <w:snapToGrid w:val="0"/>
      <w:spacing w:before="80" w:after="80"/>
    </w:pPr>
    <w:rPr>
      <w:rFonts w:ascii="Arial" w:hAnsi="Arial" w:eastAsia="宋体" w:cs="Arial"/>
      <w:sz w:val="18"/>
      <w:szCs w:val="18"/>
      <w:lang w:val="en-US" w:eastAsia="zh-CN" w:bidi="ar-SA"/>
    </w:rPr>
  </w:style>
  <w:style w:type="paragraph" w:styleId="454">
    <w:name w:val="List Paragraph"/>
    <w:basedOn w:val="1"/>
    <w:qFormat/>
    <w:uiPriority w:val="0"/>
    <w:pPr>
      <w:widowControl w:val="0"/>
      <w:ind w:firstLine="420" w:firstLineChars="200"/>
      <w:jc w:val="both"/>
    </w:pPr>
    <w:rPr>
      <w:rFonts w:ascii="Calibri" w:hAnsi="Calibri"/>
      <w:kern w:val="2"/>
      <w:sz w:val="21"/>
      <w:szCs w:val="22"/>
    </w:rPr>
  </w:style>
  <w:style w:type="paragraph" w:customStyle="1" w:styleId="455">
    <w:name w:val="Char Char Char Char1 Char Char Char Char Char1 Char Char Char1 Char"/>
    <w:basedOn w:val="1"/>
    <w:qFormat/>
    <w:uiPriority w:val="0"/>
    <w:pPr>
      <w:widowControl w:val="0"/>
      <w:spacing w:line="240" w:lineRule="atLeast"/>
      <w:ind w:left="420" w:firstLine="420"/>
      <w:jc w:val="both"/>
    </w:pPr>
    <w:rPr>
      <w:kern w:val="2"/>
      <w:sz w:val="21"/>
      <w:szCs w:val="24"/>
    </w:rPr>
  </w:style>
  <w:style w:type="paragraph" w:customStyle="1" w:styleId="456">
    <w:name w:val="xl44"/>
    <w:basedOn w:val="1"/>
    <w:qFormat/>
    <w:uiPriority w:val="0"/>
    <w:pPr>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457">
    <w:name w:val="CM93"/>
    <w:basedOn w:val="151"/>
    <w:next w:val="151"/>
    <w:qFormat/>
    <w:uiPriority w:val="0"/>
    <w:pPr>
      <w:spacing w:line="678" w:lineRule="atLeast"/>
    </w:pPr>
    <w:rPr>
      <w:rFonts w:ascii="宋体" w:eastAsia="宋体" w:cs="Times New Roman"/>
      <w:color w:val="auto"/>
    </w:rPr>
  </w:style>
  <w:style w:type="paragraph" w:customStyle="1" w:styleId="458">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459">
    <w:name w:val="CM50"/>
    <w:basedOn w:val="151"/>
    <w:next w:val="151"/>
    <w:qFormat/>
    <w:uiPriority w:val="0"/>
    <w:pPr>
      <w:spacing w:line="398" w:lineRule="atLeast"/>
    </w:pPr>
    <w:rPr>
      <w:rFonts w:ascii="宋体" w:eastAsia="宋体" w:cs="Times New Roman"/>
      <w:color w:val="auto"/>
    </w:rPr>
  </w:style>
  <w:style w:type="paragraph" w:customStyle="1" w:styleId="460">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461">
    <w:name w:val="CM71"/>
    <w:basedOn w:val="151"/>
    <w:next w:val="151"/>
    <w:qFormat/>
    <w:uiPriority w:val="0"/>
    <w:pPr>
      <w:spacing w:line="553" w:lineRule="atLeast"/>
    </w:pPr>
    <w:rPr>
      <w:rFonts w:ascii="宋体" w:eastAsia="宋体" w:cs="Times New Roman"/>
      <w:color w:val="auto"/>
    </w:rPr>
  </w:style>
  <w:style w:type="paragraph" w:customStyle="1" w:styleId="462">
    <w:name w:val="标书正文格式"/>
    <w:qFormat/>
    <w:uiPriority w:val="0"/>
    <w:pPr>
      <w:ind w:firstLine="200" w:firstLineChars="200"/>
    </w:pPr>
    <w:rPr>
      <w:rFonts w:ascii="Times New Roman" w:hAnsi="Times New Roman" w:eastAsia="宋体" w:cs="Times New Roman"/>
      <w:kern w:val="2"/>
      <w:sz w:val="28"/>
      <w:szCs w:val="28"/>
      <w:lang w:val="en-US" w:eastAsia="zh-CN" w:bidi="ar-SA"/>
    </w:rPr>
  </w:style>
  <w:style w:type="paragraph" w:customStyle="1" w:styleId="463">
    <w:name w:val="样式1"/>
    <w:basedOn w:val="5"/>
    <w:qFormat/>
    <w:uiPriority w:val="0"/>
    <w:rPr>
      <w:rFonts w:ascii="黑体"/>
      <w:sz w:val="24"/>
      <w:szCs w:val="30"/>
    </w:rPr>
  </w:style>
  <w:style w:type="paragraph" w:customStyle="1" w:styleId="464">
    <w:name w:val="xl32"/>
    <w:basedOn w:val="1"/>
    <w:qFormat/>
    <w:uiPriority w:val="0"/>
    <w:pPr>
      <w:pBdr>
        <w:top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465">
    <w:name w:val="CM134"/>
    <w:basedOn w:val="151"/>
    <w:next w:val="151"/>
    <w:qFormat/>
    <w:uiPriority w:val="0"/>
    <w:pPr>
      <w:spacing w:line="273" w:lineRule="atLeast"/>
    </w:pPr>
    <w:rPr>
      <w:rFonts w:ascii="宋体" w:eastAsia="宋体" w:cs="Times New Roman"/>
      <w:color w:val="auto"/>
    </w:rPr>
  </w:style>
  <w:style w:type="paragraph" w:customStyle="1" w:styleId="466">
    <w:name w:val="flNote"/>
    <w:basedOn w:val="1"/>
    <w:qFormat/>
    <w:uiPriority w:val="0"/>
    <w:pPr>
      <w:widowControl w:val="0"/>
      <w:adjustRightInd w:val="0"/>
      <w:spacing w:before="320" w:after="160" w:line="360" w:lineRule="atLeast"/>
      <w:jc w:val="center"/>
      <w:textAlignment w:val="baseline"/>
    </w:pPr>
    <w:rPr>
      <w:rFonts w:ascii="Arial" w:eastAsia="黑体"/>
      <w:sz w:val="30"/>
    </w:rPr>
  </w:style>
  <w:style w:type="paragraph" w:customStyle="1" w:styleId="467">
    <w:name w:val="CM203"/>
    <w:basedOn w:val="151"/>
    <w:next w:val="151"/>
    <w:qFormat/>
    <w:uiPriority w:val="0"/>
    <w:rPr>
      <w:rFonts w:ascii="宋体" w:eastAsia="宋体" w:cs="Times New Roman"/>
      <w:color w:val="auto"/>
    </w:rPr>
  </w:style>
  <w:style w:type="paragraph" w:customStyle="1" w:styleId="468">
    <w:name w:val="CM117"/>
    <w:basedOn w:val="151"/>
    <w:next w:val="151"/>
    <w:qFormat/>
    <w:uiPriority w:val="0"/>
    <w:pPr>
      <w:spacing w:line="546" w:lineRule="atLeast"/>
    </w:pPr>
    <w:rPr>
      <w:rFonts w:ascii="宋体" w:eastAsia="宋体" w:cs="Times New Roman"/>
      <w:color w:val="auto"/>
    </w:rPr>
  </w:style>
  <w:style w:type="paragraph" w:customStyle="1" w:styleId="469">
    <w:name w:val="CM219"/>
    <w:basedOn w:val="151"/>
    <w:next w:val="151"/>
    <w:qFormat/>
    <w:uiPriority w:val="0"/>
    <w:rPr>
      <w:rFonts w:ascii="宋体" w:eastAsia="宋体" w:cs="Times New Roman"/>
      <w:color w:val="auto"/>
    </w:rPr>
  </w:style>
  <w:style w:type="paragraph" w:customStyle="1" w:styleId="470">
    <w:name w:val="CM79"/>
    <w:basedOn w:val="151"/>
    <w:next w:val="151"/>
    <w:qFormat/>
    <w:uiPriority w:val="0"/>
    <w:pPr>
      <w:spacing w:line="796" w:lineRule="atLeast"/>
    </w:pPr>
    <w:rPr>
      <w:rFonts w:ascii="宋体" w:eastAsia="宋体" w:cs="Times New Roman"/>
      <w:color w:val="auto"/>
    </w:rPr>
  </w:style>
  <w:style w:type="paragraph" w:customStyle="1" w:styleId="471">
    <w:name w:val="7"/>
    <w:basedOn w:val="1"/>
    <w:qFormat/>
    <w:uiPriority w:val="0"/>
    <w:pPr>
      <w:tabs>
        <w:tab w:val="left" w:pos="425"/>
      </w:tabs>
      <w:spacing w:before="100" w:beforeLines="100" w:after="160" w:line="240" w:lineRule="exact"/>
      <w:ind w:left="425" w:hanging="425"/>
    </w:pPr>
    <w:rPr>
      <w:rFonts w:ascii="Verdana" w:hAnsi="Verdana" w:eastAsia="黑体"/>
      <w:lang w:eastAsia="en-US"/>
    </w:rPr>
  </w:style>
  <w:style w:type="paragraph" w:customStyle="1" w:styleId="472">
    <w:name w:val="CM123"/>
    <w:basedOn w:val="151"/>
    <w:next w:val="151"/>
    <w:qFormat/>
    <w:uiPriority w:val="0"/>
    <w:pPr>
      <w:spacing w:line="273" w:lineRule="atLeast"/>
    </w:pPr>
    <w:rPr>
      <w:rFonts w:ascii="宋体" w:eastAsia="宋体" w:cs="Times New Roman"/>
      <w:color w:val="auto"/>
    </w:rPr>
  </w:style>
  <w:style w:type="paragraph" w:customStyle="1" w:styleId="473">
    <w:name w:val="CM178"/>
    <w:basedOn w:val="151"/>
    <w:next w:val="151"/>
    <w:qFormat/>
    <w:uiPriority w:val="0"/>
    <w:rPr>
      <w:rFonts w:ascii="宋体" w:eastAsia="宋体" w:cs="Times New Roman"/>
      <w:color w:val="auto"/>
    </w:rPr>
  </w:style>
  <w:style w:type="paragraph" w:customStyle="1" w:styleId="474">
    <w:name w:val="Char Char Char Char1"/>
    <w:basedOn w:val="1"/>
    <w:qFormat/>
    <w:uiPriority w:val="0"/>
    <w:pPr>
      <w:widowControl w:val="0"/>
      <w:spacing w:line="240" w:lineRule="atLeast"/>
      <w:ind w:left="420" w:firstLine="420"/>
      <w:jc w:val="both"/>
    </w:pPr>
    <w:rPr>
      <w:sz w:val="21"/>
      <w:szCs w:val="21"/>
    </w:rPr>
  </w:style>
  <w:style w:type="paragraph" w:customStyle="1" w:styleId="475">
    <w:name w:val="题1"/>
    <w:basedOn w:val="1"/>
    <w:qFormat/>
    <w:uiPriority w:val="0"/>
    <w:pPr>
      <w:widowControl w:val="0"/>
      <w:adjustRightInd w:val="0"/>
      <w:spacing w:after="60"/>
      <w:ind w:firstLine="510"/>
      <w:jc w:val="both"/>
      <w:textAlignment w:val="baseline"/>
    </w:pPr>
    <w:rPr>
      <w:rFonts w:ascii="楷体_GB2312" w:eastAsia="楷体_GB2312"/>
      <w:b/>
      <w:spacing w:val="15"/>
      <w:sz w:val="21"/>
    </w:rPr>
  </w:style>
  <w:style w:type="paragraph" w:customStyle="1" w:styleId="476">
    <w:name w:val=" Char Char Char Char1"/>
    <w:basedOn w:val="1"/>
    <w:qFormat/>
    <w:uiPriority w:val="0"/>
    <w:pPr>
      <w:widowControl w:val="0"/>
      <w:spacing w:line="240" w:lineRule="atLeast"/>
      <w:ind w:left="420" w:firstLine="420"/>
      <w:jc w:val="both"/>
    </w:pPr>
    <w:rPr>
      <w:sz w:val="21"/>
      <w:szCs w:val="21"/>
    </w:rPr>
  </w:style>
  <w:style w:type="paragraph" w:customStyle="1" w:styleId="477">
    <w:name w:val="CM87"/>
    <w:basedOn w:val="151"/>
    <w:next w:val="151"/>
    <w:qFormat/>
    <w:uiPriority w:val="0"/>
    <w:pPr>
      <w:spacing w:line="391" w:lineRule="atLeast"/>
    </w:pPr>
    <w:rPr>
      <w:rFonts w:ascii="宋体" w:eastAsia="宋体" w:cs="Times New Roman"/>
      <w:color w:val="auto"/>
    </w:rPr>
  </w:style>
  <w:style w:type="paragraph" w:customStyle="1" w:styleId="478">
    <w:name w:val="CM195"/>
    <w:basedOn w:val="151"/>
    <w:next w:val="151"/>
    <w:qFormat/>
    <w:uiPriority w:val="0"/>
    <w:rPr>
      <w:rFonts w:ascii="宋体" w:eastAsia="宋体" w:cs="Times New Roman"/>
      <w:color w:val="auto"/>
    </w:rPr>
  </w:style>
  <w:style w:type="paragraph" w:customStyle="1" w:styleId="479">
    <w:name w:val="xl40"/>
    <w:basedOn w:val="1"/>
    <w:qFormat/>
    <w:uiPriority w:val="0"/>
    <w:pPr>
      <w:pBdr>
        <w:top w:val="single" w:color="auto" w:sz="4" w:space="0"/>
      </w:pBdr>
      <w:spacing w:before="100" w:beforeAutospacing="1" w:after="100" w:afterAutospacing="1"/>
    </w:pPr>
    <w:rPr>
      <w:rFonts w:ascii="Arial Unicode MS" w:hAnsi="Arial Unicode MS" w:eastAsia="Arial Unicode MS" w:cs="Arial Unicode MS"/>
      <w:b/>
      <w:bCs/>
    </w:rPr>
  </w:style>
  <w:style w:type="paragraph" w:customStyle="1" w:styleId="480">
    <w:name w:val="普通 (Web)"/>
    <w:basedOn w:val="1"/>
    <w:qFormat/>
    <w:uiPriority w:val="0"/>
    <w:pPr>
      <w:spacing w:before="100" w:beforeAutospacing="1" w:after="100" w:afterAutospacing="1"/>
    </w:pPr>
    <w:rPr>
      <w:rFonts w:ascii="宋体" w:hAnsi="宋体"/>
      <w:sz w:val="24"/>
      <w:szCs w:val="24"/>
    </w:rPr>
  </w:style>
  <w:style w:type="paragraph" w:customStyle="1" w:styleId="481">
    <w:name w:val="CM3"/>
    <w:basedOn w:val="151"/>
    <w:next w:val="151"/>
    <w:qFormat/>
    <w:uiPriority w:val="0"/>
    <w:pPr>
      <w:spacing w:line="500" w:lineRule="atLeast"/>
    </w:pPr>
    <w:rPr>
      <w:rFonts w:ascii="宋体" w:eastAsia="宋体" w:cs="Times New Roman"/>
      <w:color w:val="auto"/>
    </w:rPr>
  </w:style>
  <w:style w:type="paragraph" w:customStyle="1" w:styleId="482">
    <w:name w:val="CM198"/>
    <w:basedOn w:val="151"/>
    <w:next w:val="151"/>
    <w:qFormat/>
    <w:uiPriority w:val="0"/>
    <w:rPr>
      <w:rFonts w:ascii="宋体" w:eastAsia="宋体" w:cs="Times New Roman"/>
      <w:color w:val="auto"/>
    </w:rPr>
  </w:style>
  <w:style w:type="paragraph" w:customStyle="1" w:styleId="483">
    <w:name w:val="表文1"/>
    <w:basedOn w:val="1"/>
    <w:qFormat/>
    <w:uiPriority w:val="0"/>
    <w:pPr>
      <w:widowControl w:val="0"/>
      <w:autoSpaceDE w:val="0"/>
      <w:autoSpaceDN w:val="0"/>
      <w:adjustRightInd w:val="0"/>
      <w:snapToGrid w:val="0"/>
      <w:spacing w:before="120" w:after="60" w:line="312" w:lineRule="auto"/>
      <w:jc w:val="center"/>
      <w:textAlignment w:val="baseline"/>
    </w:pPr>
    <w:rPr>
      <w:rFonts w:ascii="Arial" w:hAnsi="Arial"/>
      <w:sz w:val="24"/>
    </w:rPr>
  </w:style>
  <w:style w:type="paragraph" w:customStyle="1" w:styleId="484">
    <w:name w:val="p0"/>
    <w:basedOn w:val="1"/>
    <w:qFormat/>
    <w:uiPriority w:val="0"/>
    <w:pPr>
      <w:jc w:val="both"/>
    </w:pPr>
    <w:rPr>
      <w:sz w:val="21"/>
    </w:rPr>
  </w:style>
  <w:style w:type="paragraph" w:customStyle="1" w:styleId="485">
    <w:name w:val="CM94"/>
    <w:basedOn w:val="151"/>
    <w:next w:val="151"/>
    <w:qFormat/>
    <w:uiPriority w:val="0"/>
    <w:rPr>
      <w:rFonts w:ascii="宋体" w:eastAsia="宋体" w:cs="Times New Roman"/>
      <w:color w:val="auto"/>
    </w:rPr>
  </w:style>
  <w:style w:type="table" w:customStyle="1" w:styleId="48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Win10NeT.COM</Company>
  <Pages>78</Pages>
  <Words>13236</Words>
  <Characters>14331</Characters>
  <Lines>167</Lines>
  <Paragraphs>47</Paragraphs>
  <TotalTime>7</TotalTime>
  <ScaleCrop>false</ScaleCrop>
  <LinksUpToDate>false</LinksUpToDate>
  <CharactersWithSpaces>14861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2020-03-04T01:33:00Z</dcterms:created>
  <dc:creator>赵亦名</dc:creator>
  <cp:lastModifiedBy>年华如梦☃️双人余</cp:lastModifiedBy>
  <cp:lastPrinted>2021-01-21T04:23:00Z</cp:lastPrinted>
  <dcterms:modified xsi:type="dcterms:W3CDTF">2025-09-25T07:17:38Z</dcterms:modified>
  <dc:title>园城项目小区天然气供气配套服务及后期燃气供应项目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D82A76E6B7864126AEA6F6D48F06A9D1_13</vt:lpwstr>
  </property>
  <property fmtid="{D5CDD505-2E9C-101B-9397-08002B2CF9AE}" pid="4" name="KSOTemplateDocerSaveRecord">
    <vt:lpwstr>eyJoZGlkIjoiZDNkZTExMTE3MWNmNjQwYmJjNjMwNzI0NzlhMWIyN2UiLCJ1c2VySWQiOiI0NDA3OTYyMTIifQ==</vt:lpwstr>
  </property>
</Properties>
</file>