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版本号：241011001</w:t>
      </w:r>
    </w:p>
    <w:p>
      <w:pPr>
        <w:pStyle w:val="null3"/>
        <w:jc w:val="left"/>
        <w:outlineLvl w:val="0"/>
      </w:pPr>
      <w:r>
        <w:rPr>
          <w:b/>
          <w:sz w:val="48"/>
        </w:rPr>
        <w:t>招 标 文 件</w:t>
      </w:r>
    </w:p>
    <w:p>
      <w:pPr>
        <w:pStyle w:val="null3"/>
        <w:jc w:val="center"/>
        <w:outlineLvl w:val="0"/>
      </w:pPr>
      <w:r>
        <w:rPr>
          <w:b/>
          <w:sz w:val="48"/>
        </w:rPr>
        <w:t>（服务类）</w:t>
      </w:r>
    </w:p>
    <w:p>
      <w:pPr>
        <w:pStyle w:val="null3"/>
        <w:jc w:val="left"/>
        <w:outlineLvl w:val="2"/>
      </w:pPr>
      <w:r>
        <w:rPr>
          <w:b/>
          <w:sz w:val="28"/>
        </w:rPr>
        <w:t>采购项目名称：</w:t>
      </w:r>
      <w:r>
        <w:rPr>
          <w:b/>
          <w:sz w:val="28"/>
        </w:rPr>
        <w:t>成都市公安局龙泉驿区分局智慧安防小区建设服务采购项目</w:t>
      </w:r>
    </w:p>
    <w:p>
      <w:pPr>
        <w:pStyle w:val="null3"/>
        <w:jc w:val="center"/>
        <w:outlineLvl w:val="2"/>
      </w:pPr>
      <w:r>
        <w:rPr>
          <w:b/>
          <w:sz w:val="28"/>
        </w:rPr>
        <w:t>采购项目编号：</w:t>
      </w:r>
      <w:r>
        <w:rPr>
          <w:b/>
          <w:sz w:val="28"/>
        </w:rPr>
        <w:t>N5101122024000347</w:t>
      </w:r>
    </w:p>
    <w:p>
      <w:pPr>
        <w:pStyle w:val="null3"/>
        <w:jc w:val="left"/>
        <w:outlineLvl w:val="2"/>
      </w:pPr>
      <w:r>
        <w:rPr>
          <w:b/>
          <w:sz w:val="28"/>
        </w:rPr>
        <w:t>成都市公安局龙泉驿区分局（本级）</w:t>
      </w:r>
    </w:p>
    <w:p>
      <w:pPr>
        <w:pStyle w:val="null3"/>
        <w:jc w:val="center"/>
        <w:outlineLvl w:val="2"/>
      </w:pPr>
      <w:r>
        <w:rPr>
          <w:b/>
          <w:sz w:val="28"/>
        </w:rPr>
        <w:t>四川煜安城招标代理有限公司</w:t>
      </w:r>
      <w:r>
        <w:rPr>
          <w:b/>
          <w:sz w:val="28"/>
        </w:rPr>
        <w:t>共同编制</w:t>
      </w:r>
    </w:p>
    <w:p>
      <w:pPr>
        <w:pStyle w:val="null3"/>
        <w:jc w:val="center"/>
      </w:pPr>
      <w:r>
        <w:rPr/>
        <w:t>2024年10月11日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四川煜安城招标代理有限公司</w:t>
      </w:r>
      <w:r>
        <w:rPr/>
        <w:t xml:space="preserve"> （以下简称“代理机构”）受 </w:t>
      </w:r>
      <w:r>
        <w:rPr/>
        <w:t>成都市公安局龙泉驿区分局（本级）</w:t>
      </w:r>
      <w:r>
        <w:rPr/>
        <w:t xml:space="preserve"> 委托，拟对 </w:t>
      </w:r>
      <w:r>
        <w:rPr/>
        <w:t>成都市公安局龙泉驿区分局智慧安防小区建设服务采购项目</w:t>
      </w:r>
      <w:r>
        <w:rPr/>
        <w:t xml:space="preserve"> 采用公开招标方式进行采购，兹邀请符合本次招标要求的供应商参加投标。本项目为四川省</w:t>
      </w:r>
      <w:r>
        <w:rPr/>
        <w:t>成都市龙泉驿区</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N5101122024000347</w:t>
      </w:r>
    </w:p>
    <w:p>
      <w:pPr>
        <w:pStyle w:val="null3"/>
        <w:jc w:val="left"/>
        <w:outlineLvl w:val="2"/>
      </w:pPr>
      <w:r>
        <w:rPr>
          <w:b/>
          <w:sz w:val="28"/>
        </w:rPr>
        <w:t>1.2.采购项目名称</w:t>
      </w:r>
      <w:r>
        <w:rPr>
          <w:b/>
          <w:sz w:val="28"/>
        </w:rPr>
        <w:t xml:space="preserve">： </w:t>
      </w:r>
      <w:r>
        <w:rPr>
          <w:b/>
          <w:sz w:val="28"/>
        </w:rPr>
        <w:t>成都市公安局龙泉驿区分局智慧安防小区建设服务采购项目</w:t>
      </w:r>
    </w:p>
    <w:p>
      <w:pPr>
        <w:pStyle w:val="null3"/>
        <w:jc w:val="left"/>
        <w:outlineLvl w:val="2"/>
      </w:pPr>
      <w:r>
        <w:rPr>
          <w:b/>
          <w:sz w:val="28"/>
        </w:rPr>
        <w:t>1.3.招标项目简介</w:t>
      </w:r>
    </w:p>
    <w:p>
      <w:pPr>
        <w:pStyle w:val="null3"/>
        <w:ind w:firstLine="480"/>
        <w:jc w:val="left"/>
      </w:pPr>
      <w:r>
        <w:rPr>
          <w:rFonts w:ascii="宋体" w:hAnsi="宋体" w:cs="宋体" w:eastAsia="宋体"/>
          <w:color w:val="000000"/>
          <w:sz w:val="24"/>
        </w:rPr>
        <w:t>为加强信息化建设、提升城市智慧治理水平，推动信息技术与社区治理深度融合，构建社会治安防控体系，为居民提供安全、舒适、便利的现代化、智慧化生活环境的居住小区，推进平安成都建设，</w:t>
      </w:r>
      <w:r>
        <w:rPr>
          <w:rFonts w:ascii="宋体" w:hAnsi="宋体" w:cs="宋体" w:eastAsia="宋体"/>
          <w:color w:val="000000"/>
          <w:sz w:val="24"/>
        </w:rPr>
        <w:t>成都市公安局龙泉驿区分局</w:t>
      </w:r>
      <w:r>
        <w:rPr>
          <w:rFonts w:ascii="宋体" w:hAnsi="宋体" w:cs="宋体" w:eastAsia="宋体"/>
          <w:color w:val="000000"/>
          <w:sz w:val="24"/>
        </w:rPr>
        <w:t>拟确定</w:t>
      </w:r>
      <w:r>
        <w:rPr>
          <w:rFonts w:ascii="宋体" w:hAnsi="宋体" w:cs="宋体" w:eastAsia="宋体"/>
          <w:color w:val="000000"/>
          <w:sz w:val="24"/>
        </w:rPr>
        <w:t>智慧安防小区建设服务</w:t>
      </w:r>
      <w:r>
        <w:rPr>
          <w:rFonts w:ascii="宋体" w:hAnsi="宋体" w:cs="宋体" w:eastAsia="宋体"/>
          <w:color w:val="000000"/>
          <w:sz w:val="24"/>
        </w:rPr>
        <w:t>供应商一名。合同签订后</w:t>
      </w:r>
      <w:r>
        <w:rPr>
          <w:rFonts w:ascii="宋体" w:hAnsi="宋体" w:cs="宋体" w:eastAsia="宋体"/>
          <w:color w:val="000000"/>
          <w:sz w:val="24"/>
        </w:rPr>
        <w:t>3个月内完成项目交付，全部建设验收完成后经采购人确认签字之日起开始计算服务时间，服务期限三年，经考核合格后签订下一年合同，合同一年一签。</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成都市公安局龙泉驿区分局（本级）</w:t>
      </w:r>
    </w:p>
    <w:p>
      <w:pPr>
        <w:pStyle w:val="null3"/>
        <w:ind w:firstLine="480"/>
        <w:jc w:val="left"/>
      </w:pPr>
      <w:r>
        <w:rPr/>
        <w:t xml:space="preserve"> 地址： </w:t>
      </w:r>
      <w:r>
        <w:rPr/>
        <w:t>龙泉驿区龙都南路205号</w:t>
      </w:r>
    </w:p>
    <w:p>
      <w:pPr>
        <w:pStyle w:val="null3"/>
        <w:jc w:val="left"/>
      </w:pPr>
      <w:r>
        <w:rPr/>
        <w:t xml:space="preserve"> 邮编： </w:t>
      </w:r>
      <w:r>
        <w:rPr/>
        <w:t>610100</w:t>
      </w:r>
    </w:p>
    <w:p>
      <w:pPr>
        <w:pStyle w:val="null3"/>
        <w:jc w:val="left"/>
      </w:pPr>
      <w:r>
        <w:rPr/>
        <w:t xml:space="preserve"> 联系人： </w:t>
      </w:r>
      <w:r>
        <w:rPr/>
        <w:t>陈警官</w:t>
      </w:r>
    </w:p>
    <w:p>
      <w:pPr>
        <w:pStyle w:val="null3"/>
        <w:jc w:val="left"/>
      </w:pPr>
      <w:r>
        <w:rPr/>
        <w:t xml:space="preserve"> 联系电话： </w:t>
      </w:r>
      <w:r>
        <w:rPr/>
        <w:t>028-84882585</w:t>
      </w:r>
    </w:p>
    <w:p>
      <w:pPr>
        <w:pStyle w:val="null3"/>
        <w:ind w:firstLine="480"/>
        <w:jc w:val="left"/>
      </w:pPr>
      <w:r>
        <w:rPr>
          <w:b/>
        </w:rPr>
        <w:t>代理机构</w:t>
      </w:r>
      <w:r>
        <w:rPr>
          <w:b/>
        </w:rPr>
        <w:t xml:space="preserve">： </w:t>
      </w:r>
      <w:r>
        <w:rPr>
          <w:b/>
        </w:rPr>
        <w:t>四川煜安城招标代理有限公司</w:t>
      </w:r>
    </w:p>
    <w:p>
      <w:pPr>
        <w:pStyle w:val="null3"/>
        <w:ind w:firstLine="480"/>
        <w:jc w:val="left"/>
      </w:pPr>
      <w:r>
        <w:rPr/>
        <w:t xml:space="preserve"> 地址： </w:t>
      </w:r>
      <w:r>
        <w:rPr/>
        <w:t>成都市龙泉驿区东安街道桃都大道中段888号写字楼11层11号</w:t>
      </w:r>
    </w:p>
    <w:p>
      <w:pPr>
        <w:pStyle w:val="null3"/>
        <w:jc w:val="left"/>
      </w:pPr>
      <w:r>
        <w:rPr/>
        <w:t xml:space="preserve"> 邮编： </w:t>
      </w:r>
      <w:r>
        <w:rPr/>
        <w:t>610100</w:t>
      </w:r>
    </w:p>
    <w:p>
      <w:pPr>
        <w:pStyle w:val="null3"/>
        <w:jc w:val="left"/>
      </w:pPr>
      <w:r>
        <w:rPr/>
        <w:t xml:space="preserve"> 联系人： </w:t>
      </w:r>
      <w:r>
        <w:rPr/>
        <w:t>赖女士</w:t>
      </w:r>
    </w:p>
    <w:p>
      <w:pPr>
        <w:pStyle w:val="null3"/>
        <w:jc w:val="left"/>
      </w:pPr>
      <w:r>
        <w:rPr/>
        <w:t xml:space="preserve"> 联系电话： </w:t>
      </w:r>
      <w:r>
        <w:rPr/>
        <w:t>028-84882193</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采购包1：10,000,000.00元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代理服务费用收取对象：中标人</w:t>
            </w:r>
          </w:p>
          <w:p>
            <w:pPr>
              <w:pStyle w:val="null3"/>
              <w:jc w:val="left"/>
            </w:pPr>
            <w:r>
              <w:rPr/>
              <w:t>代理服务费收费标准：按照合理成本加利润原则，本项目定额收取招标代理服务费119500元，由中标供应商在领取中标通知书前向代理机构交纳代理服务费。</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成都市公安局龙泉驿区分局（本级）</w:t>
      </w:r>
      <w:r>
        <w:rPr/>
        <w:t xml:space="preserve"> 和 </w:t>
      </w:r>
      <w:r>
        <w:rPr/>
        <w:t>四川煜安城招标代理有限公司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成都市公安局龙泉驿区分局（本级）</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四川煜安城招标代理有限公司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pPr>
      <w:r>
        <w:rPr>
          <w:b/>
        </w:rPr>
        <w:t>2.5.1.2.开标程序</w:t>
      </w:r>
    </w:p>
    <w:p>
      <w:pPr>
        <w:pStyle w:val="null3"/>
        <w:ind w:firstLine="480"/>
        <w:jc w:val="left"/>
      </w:pPr>
      <w:r>
        <w:rPr/>
        <w:t>投标截止时间后，通过交易系统“开标/开启大厅”网上开标，在线解密投标文件。</w:t>
      </w:r>
    </w:p>
    <w:p>
      <w:pPr>
        <w:pStyle w:val="null3"/>
        <w:jc w:val="left"/>
      </w:pPr>
      <w:r>
        <w:rPr>
          <w:b/>
        </w:rPr>
        <w:t>2.5.1.3.解密投标文件★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b/>
        </w:rPr>
        <w:t>2.5.1.4.有关要求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项目完成后，供应商提出验收申请</w:t>
      </w:r>
      <w:r>
        <w:rPr/>
        <w:t xml:space="preserve"> ，达到验收条件起 </w:t>
      </w:r>
      <w:r>
        <w:rPr/>
        <w:t>10</w:t>
      </w:r>
      <w:r>
        <w:rPr/>
        <w:t xml:space="preserve"> 日内，验收合同总金额的 </w:t>
      </w:r>
      <w:r>
        <w:rPr/>
        <w:t>100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严格按照招标文件要求、投标文件响应、合同及相关法律法规执行。</w:t>
      </w:r>
    </w:p>
    <w:p>
      <w:pPr>
        <w:pStyle w:val="null3"/>
        <w:ind w:firstLine="480"/>
        <w:jc w:val="left"/>
      </w:pPr>
      <w:r>
        <w:rPr/>
        <w:t>十、商务履约验收内容：</w:t>
      </w:r>
    </w:p>
    <w:p>
      <w:pPr>
        <w:pStyle w:val="null3"/>
        <w:ind w:firstLine="480"/>
        <w:jc w:val="left"/>
      </w:pPr>
      <w:r>
        <w:rPr/>
        <w:t>采购包1：</w:t>
      </w:r>
      <w:r>
        <w:rPr/>
        <w:t>严格按照招标文件要求、投标文件响应、合同及相关法律法规执行。</w:t>
      </w:r>
    </w:p>
    <w:p>
      <w:pPr>
        <w:pStyle w:val="null3"/>
        <w:ind w:firstLine="480"/>
        <w:jc w:val="left"/>
      </w:pPr>
      <w:r>
        <w:rPr/>
        <w:t>十一、履约验收标准：</w:t>
      </w:r>
    </w:p>
    <w:p>
      <w:pPr>
        <w:pStyle w:val="null3"/>
        <w:ind w:firstLine="480"/>
        <w:jc w:val="left"/>
      </w:pPr>
      <w:r>
        <w:rPr/>
        <w:t>采购包1：</w:t>
      </w:r>
      <w:r>
        <w:rPr/>
        <w:t>成交供应商与采购人应按照《财政部关于进一步加强政府采购需求和履约验收管理的指导意见》（财库〔2016〕205号）、《政府采购需求管理办法》（财库〔2021〕22号）的要求进行验收。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成都市公安局龙泉驿区分局（本级）</w:t>
      </w:r>
      <w:r>
        <w:rPr/>
        <w:t xml:space="preserve"> 负责答复；投标人对除采购需求外的招标文件的询问、质疑由 </w:t>
      </w:r>
      <w:r>
        <w:rPr/>
        <w:t>四川煜安城招标代理有限公司</w:t>
      </w:r>
      <w:r>
        <w:rPr/>
        <w:t xml:space="preserve"> 负责答复；投标人对采购过程、采购结果的询问、质疑由 </w:t>
      </w:r>
      <w:r>
        <w:rPr/>
        <w:t>四川煜安城招标代理有限公司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答复主体：代理机构</w:t>
      </w:r>
    </w:p>
    <w:p>
      <w:pPr>
        <w:pStyle w:val="null3"/>
        <w:jc w:val="left"/>
      </w:pPr>
      <w:r>
        <w:rPr/>
        <w:t>联系人：赖女士</w:t>
      </w:r>
    </w:p>
    <w:p>
      <w:pPr>
        <w:pStyle w:val="null3"/>
        <w:jc w:val="left"/>
      </w:pPr>
      <w:r>
        <w:rPr/>
        <w:t>联系电话：028-84882193</w:t>
      </w:r>
    </w:p>
    <w:p>
      <w:pPr>
        <w:pStyle w:val="null3"/>
        <w:jc w:val="left"/>
      </w:pPr>
      <w:r>
        <w:rPr/>
        <w:t>地址：成都市龙泉驿区东安街道桃都大道中段888号写字楼11层11号</w:t>
      </w:r>
    </w:p>
    <w:p>
      <w:pPr>
        <w:pStyle w:val="null3"/>
        <w:jc w:val="left"/>
      </w:pPr>
      <w:r>
        <w:rPr/>
        <w:t>邮编：610100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（三）对中标结果提出质疑的，为中标结果公告期限届满之日。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10,000,000.00</w:t>
      </w:r>
    </w:p>
    <w:p>
      <w:pPr>
        <w:pStyle w:val="null3"/>
        <w:jc w:val="left"/>
      </w:pPr>
      <w:r>
        <w:rPr/>
        <w:t>采购包最高限价（元）: 10,000,000.00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其他运营服务</w:t>
            </w:r>
          </w:p>
        </w:tc>
        <w:tc>
          <w:tcPr>
            <w:tcW w:type="dxa" w:w="821"/>
          </w:tcPr>
          <w:p>
            <w:pPr>
              <w:pStyle w:val="null3"/>
              <w:jc w:val="left"/>
            </w:pPr>
            <w:r>
              <w:rPr/>
              <w:t>成都市公安局龙泉驿区分局智慧安防小区建设服务采购项目</w:t>
            </w:r>
          </w:p>
        </w:tc>
        <w:tc>
          <w:tcPr>
            <w:tcW w:type="dxa" w:w="821"/>
          </w:tcPr>
          <w:p>
            <w:pPr>
              <w:pStyle w:val="null3"/>
              <w:jc w:val="right"/>
            </w:pPr>
            <w:r>
              <w:rPr/>
              <w:t>1.00（项）</w:t>
            </w:r>
          </w:p>
        </w:tc>
        <w:tc>
          <w:tcPr>
            <w:tcW w:type="dxa" w:w="821"/>
          </w:tcPr>
          <w:p>
            <w:pPr>
              <w:pStyle w:val="null3"/>
              <w:jc w:val="right"/>
            </w:pPr>
            <w:r>
              <w:rPr/>
              <w:t>10,000,000.00</w:t>
            </w:r>
          </w:p>
        </w:tc>
        <w:tc>
          <w:tcPr>
            <w:tcW w:type="dxa" w:w="821"/>
          </w:tcPr>
          <w:p>
            <w:pPr>
              <w:pStyle w:val="null3"/>
              <w:jc w:val="left"/>
            </w:pPr>
            <w:r>
              <w:rPr/>
              <w:t>租赁和商务服务业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成都市公安局龙泉驿区分局智慧安防小区建设服务采购项目</w:t>
            </w:r>
          </w:p>
        </w:tc>
        <w:tc>
          <w:tcPr>
            <w:tcW w:type="dxa" w:w="977"/>
          </w:tcPr>
          <w:p>
            <w:pPr>
              <w:pStyle w:val="null3"/>
              <w:jc w:val="right"/>
            </w:pPr>
            <w:r>
              <w:rPr/>
              <w:t>1.00（项）</w:t>
            </w:r>
          </w:p>
        </w:tc>
        <w:tc>
          <w:tcPr>
            <w:tcW w:type="dxa" w:w="1173"/>
          </w:tcPr>
          <w:p>
            <w:pPr>
              <w:pStyle w:val="null3"/>
              <w:jc w:val="right"/>
            </w:pPr>
            <w:r>
              <w:rPr/>
              <w:t>10,000,000（元）</w:t>
            </w:r>
          </w:p>
        </w:tc>
        <w:tc>
          <w:tcPr>
            <w:tcW w:type="dxa" w:w="1173"/>
          </w:tcPr>
          <w:p>
            <w:pPr>
              <w:pStyle w:val="null3"/>
              <w:jc w:val="right"/>
            </w:pPr>
            <w:r>
              <w:rPr/>
              <w:t>10,000,000.00</w:t>
            </w:r>
          </w:p>
        </w:tc>
        <w:tc>
          <w:tcPr>
            <w:tcW w:type="dxa" w:w="977"/>
          </w:tcPr>
          <w:p>
            <w:pPr>
              <w:pStyle w:val="null3"/>
              <w:jc w:val="left"/>
            </w:pPr>
            <w:r>
              <w:rPr/>
              <w:t>总价</w:t>
            </w:r>
          </w:p>
        </w:tc>
        <w:tc>
          <w:tcPr>
            <w:tcW w:type="dxa" w:w="1661"/>
          </w:tcPr>
          <w:p/>
        </w:tc>
      </w:tr>
    </w:tbl>
    <w:p>
      <w:pPr>
        <w:pStyle w:val="null3"/>
        <w:ind w:firstLine="480"/>
        <w:jc w:val="left"/>
      </w:pPr>
      <w:r>
        <w:rPr/>
        <w:t>★注：采购包涉及采购货物的，投标人响应产品应当明确品牌和规格型号并指向唯一产品，不能指向唯一产品的，应通过报价表唯一产品说明栏补充说明。</w:t>
      </w:r>
    </w:p>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标的名称：成都市公安局龙泉驿区分局智慧安防小区建设服务采购项目</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pPr>
              <w:pStyle w:val="null3"/>
              <w:jc w:val="left"/>
            </w:pPr>
            <w:r>
              <w:rPr/>
              <w:t>考核标准和方法（不作为评审因素）</w:t>
            </w:r>
          </w:p>
        </w:tc>
        <w:tc>
          <w:tcPr>
            <w:tcW w:type="dxa" w:w="3738"/>
          </w:tcPr>
          <w:p>
            <w:pPr>
              <w:pStyle w:val="null3"/>
              <w:ind w:firstLine="560"/>
              <w:jc w:val="both"/>
            </w:pPr>
            <w:r>
              <w:rPr>
                <w:rFonts w:ascii="宋体" w:hAnsi="宋体" w:cs="宋体" w:eastAsia="宋体"/>
                <w:color w:val="000000"/>
                <w:sz w:val="28"/>
              </w:rPr>
              <w:t>服务提供商每月考核得分在</w:t>
            </w:r>
            <w:r>
              <w:rPr>
                <w:rFonts w:ascii="宋体" w:hAnsi="宋体" w:cs="宋体" w:eastAsia="宋体"/>
                <w:color w:val="000000"/>
                <w:sz w:val="28"/>
              </w:rPr>
              <w:t>90分及以上，按协议约定核算该月服务费；每月考核得分在90分以下，每低1分扣当月运维服务费的1%,连续三月考核分值低于60分，</w:t>
            </w:r>
            <w:r>
              <w:rPr>
                <w:rFonts w:ascii="宋体" w:hAnsi="宋体" w:cs="宋体" w:eastAsia="宋体"/>
                <w:color w:val="000000"/>
                <w:sz w:val="28"/>
              </w:rPr>
              <w:t>采购人</w:t>
            </w:r>
            <w:r>
              <w:rPr>
                <w:rFonts w:ascii="宋体" w:hAnsi="宋体" w:cs="宋体" w:eastAsia="宋体"/>
                <w:color w:val="000000"/>
                <w:sz w:val="28"/>
              </w:rPr>
              <w:t>有权立即解除协议，并不续签下一年度的服务协议。</w:t>
            </w:r>
          </w:p>
          <w:tbl>
            <w:tblPr>
              <w:tblInd w:type="dxa" w:w="105"/>
              <w:tblBorders>
                <w:top w:val="none" w:color="000000" w:sz="4"/>
                <w:left w:val="none" w:color="000000" w:sz="4"/>
                <w:bottom w:val="none" w:color="000000" w:sz="4"/>
                <w:right w:val="none" w:color="000000" w:sz="4"/>
                <w:insideH w:val="none"/>
                <w:insideV w:val="none"/>
              </w:tblBorders>
            </w:tblPr>
            <w:tblGrid>
              <w:gridCol w:w="380"/>
              <w:gridCol w:w="678"/>
              <w:gridCol w:w="2022"/>
              <w:gridCol w:w="434"/>
            </w:tblGrid>
            <w:tr>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8"/>
                    </w:rPr>
                    <w:t>序号</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8"/>
                    </w:rPr>
                    <w:t>考核项目</w:t>
                  </w:r>
                </w:p>
              </w:tc>
              <w:tc>
                <w:tcPr>
                  <w:tcW w:type="dxa" w:w="20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8"/>
                    </w:rPr>
                    <w:t>考核内容及分值</w:t>
                  </w:r>
                </w:p>
              </w:tc>
              <w:tc>
                <w:tcPr>
                  <w:tcW w:type="dxa" w:w="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8"/>
                    </w:rPr>
                    <w:t>分值</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8"/>
                    </w:rPr>
                    <w:t>人员配置</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8"/>
                    </w:rPr>
                    <w:t>配置的运行服务管理及技术人员不少于</w:t>
                  </w:r>
                  <w:r>
                    <w:rPr>
                      <w:rFonts w:ascii="宋体" w:hAnsi="宋体" w:cs="宋体" w:eastAsia="宋体"/>
                      <w:color w:val="000000"/>
                      <w:sz w:val="28"/>
                    </w:rPr>
                    <w:t>10人，每少1人扣1分，少于5人不得分。驻场人员每无故缺勤一次扣1分。扣完为止。</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8"/>
                    </w:rPr>
                    <w:t>15分</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8"/>
                    </w:rPr>
                    <w:t>点位在线率</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8"/>
                    </w:rPr>
                    <w:t>前端摄像机点位在线率不低于</w:t>
                  </w:r>
                  <w:r>
                    <w:rPr>
                      <w:rFonts w:ascii="宋体" w:hAnsi="宋体" w:cs="宋体" w:eastAsia="宋体"/>
                      <w:color w:val="000000"/>
                      <w:sz w:val="28"/>
                    </w:rPr>
                    <w:t>98%,每少1个百分点扣3分，低于95%不得分</w:t>
                  </w:r>
                  <w:r>
                    <w:rPr>
                      <w:rFonts w:ascii="宋体" w:hAnsi="宋体" w:cs="宋体" w:eastAsia="宋体"/>
                      <w:color w:val="000000"/>
                      <w:sz w:val="28"/>
                    </w:rPr>
                    <w:t>；网上巡查发现前端摄像机点位出现掉线、死机、遮挡、未对准指定位置等无效在线情况，供应商在接到整改通知后，需在</w:t>
                  </w:r>
                  <w:r>
                    <w:rPr>
                      <w:rFonts w:ascii="宋体" w:hAnsi="宋体" w:cs="宋体" w:eastAsia="宋体"/>
                      <w:color w:val="000000"/>
                      <w:sz w:val="28"/>
                    </w:rPr>
                    <w:t>1小时以内响应并整改，超时响应或未整改，每次扣 0.1分。</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8"/>
                    </w:rPr>
                    <w:t>10分</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8"/>
                    </w:rPr>
                    <w:t>内场巡检</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8"/>
                    </w:rPr>
                    <w:t>每月对项目网络、安全等设备全面巡查</w:t>
                  </w:r>
                  <w:r>
                    <w:rPr>
                      <w:rFonts w:ascii="宋体" w:hAnsi="宋体" w:cs="宋体" w:eastAsia="宋体"/>
                      <w:color w:val="000000"/>
                      <w:sz w:val="28"/>
                    </w:rPr>
                    <w:t>1次并解决潜在的问题，未巡检的不得分。</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8"/>
                    </w:rPr>
                    <w:t>10分</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8"/>
                    </w:rPr>
                    <w:t>故障申报热线电话应答</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8"/>
                    </w:rPr>
                    <w:t>提供</w:t>
                  </w:r>
                  <w:r>
                    <w:rPr>
                      <w:rFonts w:ascii="宋体" w:hAnsi="宋体" w:cs="宋体" w:eastAsia="宋体"/>
                      <w:color w:val="000000"/>
                      <w:sz w:val="28"/>
                    </w:rPr>
                    <w:t>7×24小时的故障响应：一般情况下，在1小时以内响应。如电话连续3次以上拨打无人接听，视为无响应。每次不响应扣1分。</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8"/>
                    </w:rPr>
                    <w:t>10分</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8"/>
                    </w:rPr>
                    <w:t>备品备件</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8"/>
                    </w:rPr>
                    <w:t>供应商需按照</w:t>
                  </w:r>
                  <w:r>
                    <w:rPr>
                      <w:rFonts w:ascii="仿宋" w:hAnsi="仿宋" w:cs="仿宋" w:eastAsia="仿宋"/>
                      <w:color w:val="000000"/>
                      <w:sz w:val="28"/>
                    </w:rPr>
                    <w:t>智慧安防小区</w:t>
                  </w:r>
                  <w:r>
                    <w:rPr>
                      <w:rFonts w:ascii="宋体" w:hAnsi="宋体" w:cs="宋体" w:eastAsia="宋体"/>
                      <w:color w:val="000000"/>
                      <w:sz w:val="28"/>
                    </w:rPr>
                    <w:t>前端设备数量的</w:t>
                  </w:r>
                  <w:r>
                    <w:rPr>
                      <w:rFonts w:ascii="宋体" w:hAnsi="宋体" w:cs="宋体" w:eastAsia="宋体"/>
                      <w:color w:val="000000"/>
                      <w:sz w:val="28"/>
                    </w:rPr>
                    <w:t>5%提供备品备件，每少一个1%扣两分，扣完为止。</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8"/>
                    </w:rPr>
                    <w:t>10分</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8"/>
                    </w:rPr>
                    <w:t>标注正确率</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8"/>
                    </w:rPr>
                    <w:t>前端按照公安标准进行</w:t>
                  </w:r>
                  <w:r>
                    <w:rPr>
                      <w:rFonts w:ascii="宋体" w:hAnsi="宋体" w:cs="宋体" w:eastAsia="宋体"/>
                      <w:color w:val="000000"/>
                      <w:sz w:val="28"/>
                    </w:rPr>
                    <w:t>0SD标注。标注不准确的每1路扣0.1分，扣完为止。</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8"/>
                    </w:rPr>
                    <w:t>10分</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8"/>
                    </w:rPr>
                    <w:t>数据传输及时率</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8"/>
                    </w:rPr>
                    <w:t>上传市局的采集数据不低于</w:t>
                  </w:r>
                  <w:r>
                    <w:rPr>
                      <w:rFonts w:ascii="宋体" w:hAnsi="宋体" w:cs="宋体" w:eastAsia="宋体"/>
                      <w:color w:val="000000"/>
                      <w:sz w:val="28"/>
                    </w:rPr>
                    <w:t>99%，每少1个百分点扣3分，低于95%不得分。</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8"/>
                    </w:rPr>
                    <w:t>15分</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8"/>
                    </w:rPr>
                    <w:t>一机一档、一杆一档建档合格率</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8"/>
                    </w:rPr>
                    <w:t>一机一档、一杆一档建档合格率需达到</w:t>
                  </w:r>
                  <w:r>
                    <w:rPr>
                      <w:rFonts w:ascii="宋体" w:hAnsi="宋体" w:cs="宋体" w:eastAsia="宋体"/>
                      <w:color w:val="000000"/>
                      <w:sz w:val="28"/>
                    </w:rPr>
                    <w:t>100%，每少1个百分点扣1分，低于90%不得分。</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8"/>
                    </w:rPr>
                    <w:t>10分</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8"/>
                    </w:rPr>
                    <w:t>安全事故</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8"/>
                    </w:rPr>
                    <w:t>发生信息系统及网络安全事故的</w:t>
                  </w:r>
                  <w:r>
                    <w:rPr>
                      <w:rFonts w:ascii="宋体" w:hAnsi="宋体" w:cs="宋体" w:eastAsia="宋体"/>
                      <w:color w:val="000000"/>
                      <w:sz w:val="28"/>
                    </w:rPr>
                    <w:t>(含上级通报和我局自行发现),扣10分</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8"/>
                    </w:rPr>
                    <w:t>10分</w:t>
                  </w:r>
                </w:p>
              </w:tc>
            </w:tr>
          </w:tbl>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服务内容及要求</w:t>
            </w:r>
          </w:p>
        </w:tc>
        <w:tc>
          <w:tcPr>
            <w:tcW w:type="dxa" w:w="2076"/>
          </w:tcPr>
          <w:p>
            <w:pPr>
              <w:pStyle w:val="null3"/>
              <w:jc w:val="left"/>
            </w:pPr>
            <w:r>
              <w:rPr/>
              <w:t>详见附件1</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服务期限</w:t>
            </w:r>
          </w:p>
        </w:tc>
        <w:tc>
          <w:tcPr>
            <w:tcW w:type="dxa" w:w="2076"/>
          </w:tcPr>
          <w:p>
            <w:pPr>
              <w:pStyle w:val="null3"/>
              <w:jc w:val="left"/>
            </w:pPr>
            <w:r>
              <w:rPr/>
              <w:t>合同签订后3个月内完成项目交付，全部建设验收完成后经采购人确认签字之日起开始计算服务时间，服务期限三年，经考核合格后签订下一年合同，合同一年一签。</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服务地点</w:t>
            </w:r>
          </w:p>
        </w:tc>
        <w:tc>
          <w:tcPr>
            <w:tcW w:type="dxa" w:w="2076"/>
          </w:tcPr>
          <w:p>
            <w:pPr>
              <w:pStyle w:val="null3"/>
              <w:jc w:val="left"/>
            </w:pPr>
            <w:r>
              <w:rPr/>
              <w:t>成都市龙泉驿区</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①验收时间：中标人提出验收申请之日起10日内组织验收；②验收程序：单位内部验收；③验收方式：一次性验收；④验收主体：由采购人组织，中标人配合进行；⑤中标人提供的服务与招标文件的要求以及投标文件的响应内容相符，在合同约定时间内交付成果。采购人组织相关人员对服务成果进行验收，验收合格后出具相应的验收报告及签收清单，验收不合格则责令整改，若整改3次不合格采购人有权解除合同，而不承担任何违约责任；⑥其他未尽事宜应严格按照《财政部关于进一步加强政府采购需求和履约验收管理的指导意见》(财库〔2016〕205 号)的要求进行验收。</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1、合同签订后收到中标人开具的有效增值税发票后，达到付款条件起10日内，支付合同总金额的40.00%</w:t>
            </w:r>
          </w:p>
          <w:p>
            <w:pPr>
              <w:pStyle w:val="null3"/>
              <w:jc w:val="left"/>
            </w:pPr>
            <w:r>
              <w:rPr/>
              <w:t>2、预付款结清之后，中标供应商每月10日前按照采购人对上月考核结果确定的服务费金额向采购人提供合法有效完整的完税发票及凭证资料，达到付款条件起10日内，支付合同总金额的1.65%</w:t>
            </w:r>
          </w:p>
          <w:p>
            <w:pPr>
              <w:pStyle w:val="null3"/>
              <w:jc w:val="left"/>
            </w:pPr>
            <w:r>
              <w:rPr/>
              <w:t>3、中标供应商每月10日前按照采购人对上月考核结果确定的服务费金额向采购人提供合法有效完整的完税发票及凭证资料，达到付款条件起10日内，支付合同总金额的8.33%</w:t>
            </w:r>
          </w:p>
          <w:p>
            <w:pPr>
              <w:pStyle w:val="null3"/>
              <w:jc w:val="left"/>
            </w:pPr>
            <w:r>
              <w:rPr/>
              <w:t>4、中标供应商每月10日前按照采购人对上月考核结果确定的服务费金额向采购人提供合法有效完整的完税发票及凭证资料，达到付款条件起10日内，支付合同总金额的8.33%</w:t>
            </w:r>
          </w:p>
          <w:p>
            <w:pPr>
              <w:pStyle w:val="null3"/>
              <w:jc w:val="left"/>
            </w:pPr>
            <w:r>
              <w:rPr/>
              <w:t>5、中标供应商每月10日前按照采购人对上月考核结果确定的服务费金额向采购人提供合法有效完整的完税发票及凭证资料，达到付款条件起10日内，支付合同总金额的8.33%</w:t>
            </w:r>
          </w:p>
          <w:p>
            <w:pPr>
              <w:pStyle w:val="null3"/>
              <w:jc w:val="left"/>
            </w:pPr>
            <w:r>
              <w:rPr/>
              <w:t>6、中标供应商每月10日前按照采购人对上月考核结果确定的服务费金额向采购人提供合法有效完整的完税发票及凭证资料，达到付款条件起10日内，支付合同总金额的8.33%</w:t>
            </w:r>
          </w:p>
          <w:p>
            <w:pPr>
              <w:pStyle w:val="null3"/>
              <w:jc w:val="left"/>
            </w:pPr>
            <w:r>
              <w:rPr/>
              <w:t>7、中标供应商每月10日前按照采购人对上月考核结果确定的服务费金额向采购人提供合法有效完整的完税发票及凭证资料，达到付款条件起10日内，支付合同总金额的8.33%</w:t>
            </w:r>
          </w:p>
          <w:p>
            <w:pPr>
              <w:pStyle w:val="null3"/>
              <w:jc w:val="left"/>
            </w:pPr>
            <w:r>
              <w:rPr/>
              <w:t>8、中标供应商每月10日前按照采购人对上月考核结果确定的服务费金额向采购人提供合法有效完整的完税发票及凭证资料，达到付款条件起10日内，支付合同总金额的8.33%</w:t>
            </w:r>
          </w:p>
          <w:p>
            <w:pPr>
              <w:pStyle w:val="null3"/>
              <w:jc w:val="left"/>
            </w:pPr>
            <w:r>
              <w:rPr/>
              <w:t>9、中标供应商每月10日前按照采购人对上月考核结果确定的服务费金额向采购人提供合法有效完整的完税发票及凭证资料，达到付款条件起10日内，支付合同总金额的8.37%</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（注：以下甲方指本项目采购人，乙方指本项目中标供应商） 1、违约责任：①甲乙双方必须遵守本合同并执行合同中的各项规定，保证本合同的正常履行。 ②如因乙方工作人员在履行职务过程中的疏忽、失职、过错等故意或者过失原因给甲方造成损失或侵害，包括但不限于甲方本身的财产损失、律师费、仲裁费、公证费、鉴定费、保全费、保全保险费、由此而导致的甲方对任何第三方的法律责任等，乙方对此均应承担全部的赔偿责任。 ③乙方未按照合同约定履行合同的，甲方有权要求乙方整改，乙方应按照甲方提出的整改要求内容及截止期限完成整改，逾期未整改或者经整改后仍不符合甲方要求的，甲方有权单方面解除合同，乙方则应按合同总价的百分之二十的款额向甲方支付违约金。 ④因甲方原因导致变更、中止或者终止政府采购合同的，甲方应当对乙方受到的损失予以赔偿或者补偿。 2、解决合同纠纷的方式：①在执行本合同中发生的或与本合同有关的争端，双方应通过友好协商解决，经协商在60天内不能达成协议时，应提交成都仲裁委员会仲裁。 ②仲裁裁决应为最终决定，并对双方具有约束力。 ③除另有裁决外，仲裁费应由败诉方负担。 ④在仲裁期间，除正在进行仲裁部分外，合同其他部分继续执行。</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1、为了更好的完成本项目，供应商需具有类似本项目履约经验。 2、为了更好的完成本项目，供应商为本项目拟配置的服务人员具有相关资格证书。 3、为了更好的完成本项目，供应商需针对本项目提供实施方案、运维服务方案。 4、为保障项目服务实施和维护服务响应速度，投标人在项目所在地设置有服务机构的或承诺中标后签订合同前在项目所在地设置服务机构。</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⑤若为银行、保险、石油石化、电力、电信等有行业特殊情况的，分公司参与投标需提供总公司的授权函或授权链。 注：供应商需在项目电子化交易系统中按要求填写《格式（一）》并进行电子签章。</w:t>
            </w:r>
          </w:p>
        </w:tc>
        <w:tc>
          <w:tcPr>
            <w:tcW w:type="dxa" w:w="1910"/>
          </w:tcPr>
          <w:p>
            <w:pPr>
              <w:pStyle w:val="null3"/>
              <w:jc w:val="left"/>
            </w:pPr>
            <w:r>
              <w:rPr/>
              <w:t>格式（一）</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投标人需在项目电子化交易系统中按要求填写《格式（一）》完成承诺并进行电子签章。</w:t>
            </w:r>
          </w:p>
        </w:tc>
        <w:tc>
          <w:tcPr>
            <w:tcW w:type="dxa" w:w="1910"/>
          </w:tcPr>
          <w:p>
            <w:pPr>
              <w:pStyle w:val="null3"/>
              <w:jc w:val="left"/>
            </w:pPr>
            <w:r>
              <w:rPr/>
              <w:t>格式（一）</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①可提供2022或2023年度经审计的财务报告复印件（包含审计报告和审计报告中所涉及的财务报表和报表附注）；②也可提供2022或2023年度供应商内部的财务报表复印件（至少包含资产负债表）；③也可提供距文件递交截止日一年内银行出具的资信证明（复印件）；④投标人注册时间至文件递交截止日不足一年的，也可提供在工商备案的公司章程（复印件）；⑤事业单位可提供财务会计制度管理文件；⑥也可提供承诺函。投标人需在项目电子化交易系统中按要求填写《格式（一）》完成承诺或证明材料并进行电子签章。</w:t>
            </w:r>
          </w:p>
        </w:tc>
        <w:tc>
          <w:tcPr>
            <w:tcW w:type="dxa" w:w="1910"/>
          </w:tcPr>
          <w:p>
            <w:pPr>
              <w:pStyle w:val="null3"/>
              <w:jc w:val="left"/>
            </w:pPr>
            <w:r>
              <w:rPr/>
              <w:t>格式（一）</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投标人需在项目电子化交易系统中按要求填写《格式（一）》完成承诺并进行电子签章。</w:t>
            </w:r>
          </w:p>
        </w:tc>
        <w:tc>
          <w:tcPr>
            <w:tcW w:type="dxa" w:w="1910"/>
          </w:tcPr>
          <w:p>
            <w:pPr>
              <w:pStyle w:val="null3"/>
              <w:jc w:val="left"/>
            </w:pPr>
            <w:r>
              <w:rPr/>
              <w:t>格式（一）</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①可提供投标截止日期前一年内任意一个月的依法缴纳税收及社会保障资金证明（新成立公司按实际应缴纳情况提供）；②也可提供相关主管部门出具的证明材料；③也可提供承诺函。投标人需在项目电子化交易系统中按要求填写《格式（一）》完成承诺或证明材料并进行电子签章。</w:t>
            </w:r>
          </w:p>
        </w:tc>
        <w:tc>
          <w:tcPr>
            <w:tcW w:type="dxa" w:w="1910"/>
          </w:tcPr>
          <w:p>
            <w:pPr>
              <w:pStyle w:val="null3"/>
              <w:jc w:val="left"/>
            </w:pPr>
            <w:r>
              <w:rPr/>
              <w:t>格式（一）</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投标人需在项目电子化交易系统中按要求填写《格式（一）》完成承诺并进行电子签章。</w:t>
            </w:r>
          </w:p>
        </w:tc>
        <w:tc>
          <w:tcPr>
            <w:tcW w:type="dxa" w:w="1910"/>
          </w:tcPr>
          <w:p>
            <w:pPr>
              <w:pStyle w:val="null3"/>
              <w:jc w:val="left"/>
            </w:pPr>
            <w:r>
              <w:rPr/>
              <w:t>格式（一）</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投标人需在项目电子化交易系统中按要求填写《承诺函（一）》完成承诺并进行电子签章。</w:t>
            </w:r>
          </w:p>
        </w:tc>
        <w:tc>
          <w:tcPr>
            <w:tcW w:type="dxa" w:w="1910"/>
          </w:tcPr>
          <w:p>
            <w:pPr>
              <w:pStyle w:val="null3"/>
              <w:jc w:val="left"/>
            </w:pPr>
            <w:r>
              <w:rPr/>
              <w:t>承诺函（一）</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投标人需在项目电子化交易系统中按要求填写《承诺函（一）》完成承诺并进行电子签章。</w:t>
            </w:r>
          </w:p>
        </w:tc>
        <w:tc>
          <w:tcPr>
            <w:tcW w:type="dxa" w:w="1910"/>
          </w:tcPr>
          <w:p>
            <w:pPr>
              <w:pStyle w:val="null3"/>
              <w:jc w:val="left"/>
            </w:pPr>
            <w:r>
              <w:rPr/>
              <w:t>承诺函（一）</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投标人需在项目电子化交易系统中按要求填写《格式（二）》、《投标函》并进行电子签章。</w:t>
            </w:r>
          </w:p>
        </w:tc>
        <w:tc>
          <w:tcPr>
            <w:tcW w:type="dxa" w:w="1910"/>
          </w:tcPr>
          <w:p>
            <w:pPr>
              <w:pStyle w:val="null3"/>
              <w:jc w:val="left"/>
            </w:pPr>
            <w:r>
              <w:rPr/>
              <w:t>格式（二） 投标函</w:t>
            </w:r>
          </w:p>
        </w:tc>
      </w:tr>
      <w:tr>
        <w:tc>
          <w:tcPr>
            <w:tcW w:type="dxa" w:w="581"/>
          </w:tcPr>
          <w:p>
            <w:pPr>
              <w:pStyle w:val="null3"/>
              <w:jc w:val="center"/>
            </w:pPr>
            <w:r>
              <w:rPr/>
              <w:t>2</w:t>
            </w:r>
          </w:p>
        </w:tc>
        <w:tc>
          <w:tcPr>
            <w:tcW w:type="dxa" w:w="2492"/>
          </w:tcPr>
          <w:p>
            <w:pPr>
              <w:pStyle w:val="null3"/>
              <w:jc w:val="left"/>
            </w:pPr>
            <w:r>
              <w:rPr/>
              <w:t>其他实质性要求：无需供应商单独提供材料进行响应，只需供应商严格遵守并执行的相关实质性要求。</w:t>
            </w:r>
          </w:p>
        </w:tc>
        <w:tc>
          <w:tcPr>
            <w:tcW w:type="dxa" w:w="3322"/>
          </w:tcPr>
          <w:p>
            <w:pPr>
              <w:pStyle w:val="null3"/>
              <w:jc w:val="left"/>
            </w:pPr>
            <w:r>
              <w:rPr/>
              <w:t>无需供应商单独提供材料进行响应，只需供应商严格遵守并执行的相关实质性要求。</w:t>
            </w:r>
          </w:p>
        </w:tc>
        <w:tc>
          <w:tcPr>
            <w:tcW w:type="dxa" w:w="1910"/>
          </w:tcPr>
          <w:p>
            <w:pPr>
              <w:pStyle w:val="null3"/>
              <w:jc w:val="left"/>
            </w:pPr>
            <w:r>
              <w:rPr/>
              <w:t>投标函</w:t>
            </w:r>
          </w:p>
        </w:tc>
      </w:tr>
      <w:tr>
        <w:tc>
          <w:tcPr>
            <w:tcW w:type="dxa" w:w="581"/>
          </w:tcPr>
          <w:p>
            <w:pPr>
              <w:pStyle w:val="null3"/>
              <w:jc w:val="center"/>
            </w:pPr>
            <w:r>
              <w:rPr/>
              <w:t>3</w:t>
            </w:r>
          </w:p>
        </w:tc>
        <w:tc>
          <w:tcPr>
            <w:tcW w:type="dxa" w:w="2492"/>
          </w:tcPr>
          <w:p>
            <w:pPr>
              <w:pStyle w:val="null3"/>
              <w:jc w:val="left"/>
            </w:pPr>
            <w:r>
              <w:rPr/>
              <w:t>商务要求中★带项</w:t>
            </w:r>
          </w:p>
        </w:tc>
        <w:tc>
          <w:tcPr>
            <w:tcW w:type="dxa" w:w="3322"/>
          </w:tcPr>
          <w:p>
            <w:pPr>
              <w:pStyle w:val="null3"/>
              <w:jc w:val="left"/>
            </w:pPr>
            <w:r>
              <w:rPr/>
              <w:t>投标人需在项目电子化交易系统中按要求填写《商务应答表》并进行电子签章。</w:t>
            </w:r>
          </w:p>
        </w:tc>
        <w:tc>
          <w:tcPr>
            <w:tcW w:type="dxa" w:w="1910"/>
          </w:tcPr>
          <w:p>
            <w:pPr>
              <w:pStyle w:val="null3"/>
              <w:jc w:val="left"/>
            </w:pPr>
            <w:r>
              <w:rPr/>
              <w:t>商务应答表</w:t>
            </w:r>
          </w:p>
        </w:tc>
      </w:tr>
      <w:tr>
        <w:tc>
          <w:tcPr>
            <w:tcW w:type="dxa" w:w="581"/>
          </w:tcPr>
          <w:p>
            <w:pPr>
              <w:pStyle w:val="null3"/>
              <w:jc w:val="center"/>
            </w:pPr>
            <w:r>
              <w:rPr/>
              <w:t>4</w:t>
            </w:r>
          </w:p>
        </w:tc>
        <w:tc>
          <w:tcPr>
            <w:tcW w:type="dxa" w:w="2492"/>
          </w:tcPr>
          <w:p>
            <w:pPr>
              <w:pStyle w:val="null3"/>
              <w:jc w:val="left"/>
            </w:pPr>
            <w:r>
              <w:rPr/>
              <w:t>服务内容要求中带★项</w:t>
            </w:r>
          </w:p>
        </w:tc>
        <w:tc>
          <w:tcPr>
            <w:tcW w:type="dxa" w:w="3322"/>
          </w:tcPr>
          <w:p>
            <w:pPr>
              <w:pStyle w:val="null3"/>
              <w:jc w:val="left"/>
            </w:pPr>
            <w:r>
              <w:rPr/>
              <w:t>投标人需在项目电子化交易系统中按要求填写《格式（二）》并进行电子签章。</w:t>
            </w:r>
          </w:p>
        </w:tc>
        <w:tc>
          <w:tcPr>
            <w:tcW w:type="dxa" w:w="1910"/>
          </w:tcPr>
          <w:p>
            <w:pPr>
              <w:pStyle w:val="null3"/>
              <w:jc w:val="left"/>
            </w:pPr>
            <w:r>
              <w:rPr/>
              <w:t>服务内容及要求应答表</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5.3.4.解释、澄清、说明的有关问题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ind w:firstLine="480"/>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5.4.1.评标方法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服务内容及要求</w:t>
            </w:r>
          </w:p>
        </w:tc>
        <w:tc>
          <w:tcPr>
            <w:tcW w:type="dxa" w:w="2575"/>
          </w:tcPr>
          <w:p>
            <w:pPr>
              <w:pStyle w:val="null3"/>
              <w:jc w:val="left"/>
            </w:pPr>
            <w:r>
              <w:rPr/>
              <w:t>投标人完全满足招标文件要求的，得25分；投标人不满足招标文件要求的，则按以下原则计分： 1、带“▲”条款共计26项，每有一项不符合扣0.5分，共计13分。 2、投标人完全响应招标文件中的技术参数要求中非★号，非▲号项的得12分，每有一项不符合扣0.05分，扣完为止。</w:t>
            </w:r>
          </w:p>
        </w:tc>
        <w:tc>
          <w:tcPr>
            <w:tcW w:type="dxa" w:w="831"/>
          </w:tcPr>
          <w:p>
            <w:pPr>
              <w:pStyle w:val="null3"/>
              <w:jc w:val="center"/>
            </w:pPr>
            <w:r>
              <w:rPr/>
              <w:t>25.00</w:t>
            </w:r>
          </w:p>
        </w:tc>
        <w:tc>
          <w:tcPr>
            <w:tcW w:type="dxa" w:w="748"/>
          </w:tcPr>
          <w:p>
            <w:pPr>
              <w:pStyle w:val="null3"/>
              <w:jc w:val="center"/>
            </w:pPr>
            <w:r>
              <w:rPr/>
              <w:t>客观</w:t>
            </w:r>
          </w:p>
        </w:tc>
        <w:tc>
          <w:tcPr>
            <w:tcW w:type="dxa" w:w="1661"/>
          </w:tcPr>
          <w:p>
            <w:pPr>
              <w:pStyle w:val="null3"/>
              <w:jc w:val="left"/>
            </w:pPr>
            <w:r>
              <w:rPr/>
              <w:t>服务内容及要求应答表</w:t>
            </w:r>
          </w:p>
        </w:tc>
      </w:tr>
      <w:tr>
        <w:tc>
          <w:tcPr>
            <w:tcW w:type="dxa" w:w="831"/>
            <w:vMerge/>
          </w:tcPr>
          <w:p/>
        </w:tc>
        <w:tc>
          <w:tcPr>
            <w:tcW w:type="dxa" w:w="1661"/>
          </w:tcPr>
          <w:p>
            <w:pPr>
              <w:pStyle w:val="null3"/>
              <w:jc w:val="left"/>
            </w:pPr>
            <w:r>
              <w:rPr/>
              <w:t>履约能力</w:t>
            </w:r>
          </w:p>
        </w:tc>
        <w:tc>
          <w:tcPr>
            <w:tcW w:type="dxa" w:w="2575"/>
          </w:tcPr>
          <w:p>
            <w:pPr>
              <w:pStyle w:val="null3"/>
              <w:jc w:val="left"/>
            </w:pPr>
            <w:r>
              <w:rPr/>
              <w:t>投标人需具有类似本项目履约业绩,每提供一个得1.5分，本项最高得3分；没有或未提供的不得分。 说明：提供项目合同或中标/成交通知书扫描件并进行电子签章。</w:t>
            </w:r>
          </w:p>
        </w:tc>
        <w:tc>
          <w:tcPr>
            <w:tcW w:type="dxa" w:w="831"/>
          </w:tcPr>
          <w:p>
            <w:pPr>
              <w:pStyle w:val="null3"/>
              <w:jc w:val="center"/>
            </w:pPr>
            <w:r>
              <w:rPr/>
              <w:t>3.00</w:t>
            </w:r>
          </w:p>
        </w:tc>
        <w:tc>
          <w:tcPr>
            <w:tcW w:type="dxa" w:w="748"/>
          </w:tcPr>
          <w:p>
            <w:pPr>
              <w:pStyle w:val="null3"/>
              <w:jc w:val="center"/>
            </w:pPr>
            <w:r>
              <w:rPr/>
              <w:t>客观</w:t>
            </w:r>
          </w:p>
        </w:tc>
        <w:tc>
          <w:tcPr>
            <w:tcW w:type="dxa" w:w="1661"/>
          </w:tcPr>
          <w:p>
            <w:pPr>
              <w:pStyle w:val="null3"/>
              <w:jc w:val="left"/>
            </w:pPr>
            <w:r>
              <w:rPr/>
              <w:t>类似业绩一览表</w:t>
            </w:r>
          </w:p>
        </w:tc>
      </w:tr>
      <w:tr>
        <w:tc>
          <w:tcPr>
            <w:tcW w:type="dxa" w:w="831"/>
            <w:vMerge/>
          </w:tcPr>
          <w:p/>
        </w:tc>
        <w:tc>
          <w:tcPr>
            <w:tcW w:type="dxa" w:w="1661"/>
          </w:tcPr>
          <w:p>
            <w:pPr>
              <w:pStyle w:val="null3"/>
              <w:jc w:val="left"/>
            </w:pPr>
            <w:r>
              <w:rPr/>
              <w:t>信誉与实力</w:t>
            </w:r>
          </w:p>
        </w:tc>
        <w:tc>
          <w:tcPr>
            <w:tcW w:type="dxa" w:w="2575"/>
          </w:tcPr>
          <w:p>
            <w:pPr>
              <w:pStyle w:val="null3"/>
              <w:jc w:val="left"/>
            </w:pPr>
            <w:r>
              <w:rPr/>
              <w:t>（1）投标人为本项目拟配置的项目经理具有通信专业技术人员职业资格中级及以上证书，同时具有信息系统项目管理师高级证书的得2分；不提供不得分。 （2）投标人为本项目拟配置的运维服务团队：具有有效期内的电工特种作业操作证书的，每提供1人得 1.5分，最多得3分。 说明：提供以上人员证书扫描件并进行电子签章</w:t>
            </w:r>
          </w:p>
        </w:tc>
        <w:tc>
          <w:tcPr>
            <w:tcW w:type="dxa" w:w="831"/>
          </w:tcPr>
          <w:p>
            <w:pPr>
              <w:pStyle w:val="null3"/>
              <w:jc w:val="center"/>
            </w:pPr>
            <w:r>
              <w:rPr/>
              <w:t>5.00</w:t>
            </w:r>
          </w:p>
        </w:tc>
        <w:tc>
          <w:tcPr>
            <w:tcW w:type="dxa" w:w="748"/>
          </w:tcPr>
          <w:p>
            <w:pPr>
              <w:pStyle w:val="null3"/>
              <w:jc w:val="center"/>
            </w:pPr>
            <w:r>
              <w:rPr/>
              <w:t>客观</w:t>
            </w:r>
          </w:p>
        </w:tc>
        <w:tc>
          <w:tcPr>
            <w:tcW w:type="dxa" w:w="1661"/>
          </w:tcPr>
          <w:p>
            <w:pPr>
              <w:pStyle w:val="null3"/>
              <w:jc w:val="left"/>
            </w:pPr>
            <w:r>
              <w:rPr/>
              <w:t>信誉与实力证明材料</w:t>
            </w:r>
          </w:p>
        </w:tc>
      </w:tr>
      <w:tr>
        <w:tc>
          <w:tcPr>
            <w:tcW w:type="dxa" w:w="831"/>
            <w:vMerge/>
          </w:tcPr>
          <w:p/>
        </w:tc>
        <w:tc>
          <w:tcPr>
            <w:tcW w:type="dxa" w:w="1661"/>
          </w:tcPr>
          <w:p>
            <w:pPr>
              <w:pStyle w:val="null3"/>
              <w:jc w:val="left"/>
            </w:pPr>
            <w:r>
              <w:rPr/>
              <w:t>实施方案</w:t>
            </w:r>
          </w:p>
        </w:tc>
        <w:tc>
          <w:tcPr>
            <w:tcW w:type="dxa" w:w="2575"/>
          </w:tcPr>
          <w:p>
            <w:pPr>
              <w:pStyle w:val="null3"/>
              <w:jc w:val="left"/>
            </w:pPr>
            <w:r>
              <w:rPr/>
              <w:t>根据投标人针对本项目提供的实施方案进行综合评审，方案内容包含但不限于①岗位设置及人员配置，②技术服务方案，③进度保障方案，④应急预案，⑤安全服务方案等；内容齐全且满足招标文件要求的得25分；每有一项内容缺失的扣5分；每有一项存在缺陷（缺陷是指存在凭空编造、逻辑漏洞、原理错误、分析内容与项目实际情况不符、前后描述不一致、前后逻辑错误、地点区域错误、涉及的规范及标准错误、内容非专门针对本项目，套用其他项目方案，脱离服务需求，方案存在内容与服务要求不符，项目名称或实施地点与本项目不一致，仅有框架或标题等）的扣2.5分；扣完为止，未提供不得分。</w:t>
            </w:r>
          </w:p>
        </w:tc>
        <w:tc>
          <w:tcPr>
            <w:tcW w:type="dxa" w:w="831"/>
          </w:tcPr>
          <w:p>
            <w:pPr>
              <w:pStyle w:val="null3"/>
              <w:jc w:val="center"/>
            </w:pPr>
            <w:r>
              <w:rPr/>
              <w:t>25.00</w:t>
            </w:r>
          </w:p>
        </w:tc>
        <w:tc>
          <w:tcPr>
            <w:tcW w:type="dxa" w:w="748"/>
          </w:tcPr>
          <w:p>
            <w:pPr>
              <w:pStyle w:val="null3"/>
              <w:jc w:val="center"/>
            </w:pPr>
            <w:r>
              <w:rPr/>
              <w:t>主观</w:t>
            </w:r>
          </w:p>
        </w:tc>
        <w:tc>
          <w:tcPr>
            <w:tcW w:type="dxa" w:w="1661"/>
          </w:tcPr>
          <w:p>
            <w:pPr>
              <w:pStyle w:val="null3"/>
              <w:jc w:val="left"/>
            </w:pPr>
            <w:r>
              <w:rPr/>
              <w:t>实施方案</w:t>
            </w:r>
          </w:p>
        </w:tc>
      </w:tr>
      <w:tr>
        <w:tc>
          <w:tcPr>
            <w:tcW w:type="dxa" w:w="831"/>
            <w:vMerge/>
          </w:tcPr>
          <w:p/>
        </w:tc>
        <w:tc>
          <w:tcPr>
            <w:tcW w:type="dxa" w:w="1661"/>
          </w:tcPr>
          <w:p>
            <w:pPr>
              <w:pStyle w:val="null3"/>
              <w:jc w:val="left"/>
            </w:pPr>
            <w:r>
              <w:rPr/>
              <w:t>运维服务方案</w:t>
            </w:r>
          </w:p>
        </w:tc>
        <w:tc>
          <w:tcPr>
            <w:tcW w:type="dxa" w:w="2575"/>
          </w:tcPr>
          <w:p>
            <w:pPr>
              <w:pStyle w:val="null3"/>
              <w:jc w:val="left"/>
            </w:pPr>
            <w:r>
              <w:rPr/>
              <w:t>（1）根据投标人针对本项目提供的运维服务方案进行综合评审，方案内容包含但不限于①常规运维方案，②故障响应，③运维资料的管理，④备品备件及运维工具，⑤培训方案，⑥巡检服务方案等；内容齐全且满足招标文件要求的得30分；每有一项内容缺失的扣5分；每有一项存在缺陷（缺陷是指存在凭空编造、逻辑漏洞、原理错误、分析内容与项目实际情况不符、前后描述不一致、前后逻辑错误、地点区域错误、涉及的规范及标准错误、内容非专门针对本项目，套用其他项目方案，脱离服务需求，方案存在内容与服务要求不符，项目名称或实施地点与本项目不一致，仅有框架或标题等）的扣2.5分；扣完为止，未提供不得分。 （2）为保障项目服务实施和维护服务响应速度，投标人在项目所在地设置有服务机构的或承诺中标后签订合同前在项目所在地设置服务机构，得2分，未按要求提供材料的不得分。说明：提供项目所在地的服务机构营业执照或服务机构证明材料扫描件并进行电子签章，或提供中标后签订合同前在项目所在地设置服务机构的承诺函并进行电子签章。</w:t>
            </w:r>
          </w:p>
        </w:tc>
        <w:tc>
          <w:tcPr>
            <w:tcW w:type="dxa" w:w="831"/>
          </w:tcPr>
          <w:p>
            <w:pPr>
              <w:pStyle w:val="null3"/>
              <w:jc w:val="center"/>
            </w:pPr>
            <w:r>
              <w:rPr/>
              <w:t>32.00</w:t>
            </w:r>
          </w:p>
        </w:tc>
        <w:tc>
          <w:tcPr>
            <w:tcW w:type="dxa" w:w="748"/>
          </w:tcPr>
          <w:p>
            <w:pPr>
              <w:pStyle w:val="null3"/>
              <w:jc w:val="center"/>
            </w:pPr>
            <w:r>
              <w:rPr/>
              <w:t>主观</w:t>
            </w:r>
          </w:p>
        </w:tc>
        <w:tc>
          <w:tcPr>
            <w:tcW w:type="dxa" w:w="1661"/>
          </w:tcPr>
          <w:p>
            <w:pPr>
              <w:pStyle w:val="null3"/>
              <w:jc w:val="left"/>
            </w:pPr>
            <w:r>
              <w:rPr/>
              <w:t>运维服务方案</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以本次有效的最低报价为基准价，报价得分=(基准价／报价)*10</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根据财库[2020]46号文，对小型和微型企业（监狱企业和残疾人企业视同小微企业）产品的价格给予20%的扣除，用扣除后的价格参与评审。</w:t>
            </w:r>
          </w:p>
        </w:tc>
        <w:tc>
          <w:tcPr>
            <w:tcW w:type="dxa" w:w="1910"/>
          </w:tcPr>
          <w:p>
            <w:pPr>
              <w:pStyle w:val="null3"/>
              <w:jc w:val="left"/>
            </w:pPr>
            <w:r>
              <w:rPr/>
              <w:t>中小企业声明函 残疾人福利性单位声明函 报价表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详见附件：报价表</w:t>
      </w:r>
    </w:p>
    <w:p>
      <w:pPr>
        <w:pStyle w:val="null3"/>
        <w:ind w:firstLine="960"/>
        <w:jc w:val="left"/>
      </w:pPr>
      <w:r>
        <w:rPr/>
        <w:t>详见附件：承诺函（一）</w:t>
      </w:r>
    </w:p>
    <w:p>
      <w:pPr>
        <w:pStyle w:val="null3"/>
        <w:ind w:firstLine="960"/>
        <w:jc w:val="left"/>
      </w:pPr>
      <w:r>
        <w:rPr/>
        <w:t>详见附件：服务内容及要求应答表</w:t>
      </w:r>
    </w:p>
    <w:p>
      <w:pPr>
        <w:pStyle w:val="null3"/>
        <w:ind w:firstLine="960"/>
        <w:jc w:val="left"/>
      </w:pPr>
      <w:r>
        <w:rPr/>
        <w:t>详见附件：格式（二）</w:t>
      </w:r>
    </w:p>
    <w:p>
      <w:pPr>
        <w:pStyle w:val="null3"/>
        <w:ind w:firstLine="960"/>
        <w:jc w:val="left"/>
      </w:pPr>
      <w:r>
        <w:rPr/>
        <w:t>详见附件：格式（一）</w:t>
      </w:r>
    </w:p>
    <w:p>
      <w:pPr>
        <w:pStyle w:val="null3"/>
        <w:ind w:firstLine="960"/>
        <w:jc w:val="left"/>
      </w:pPr>
      <w:r>
        <w:rPr/>
        <w:t>详见附件：类似业绩一览表</w:t>
      </w:r>
    </w:p>
    <w:p>
      <w:pPr>
        <w:pStyle w:val="null3"/>
        <w:ind w:firstLine="960"/>
        <w:jc w:val="left"/>
      </w:pPr>
      <w:r>
        <w:rPr/>
        <w:t>详见附件：投标函</w:t>
      </w:r>
    </w:p>
    <w:p>
      <w:pPr>
        <w:pStyle w:val="null3"/>
        <w:ind w:firstLine="960"/>
        <w:jc w:val="left"/>
      </w:pPr>
      <w:r>
        <w:rPr/>
        <w:t>详见附件：信誉与实力证明材料</w:t>
      </w:r>
    </w:p>
    <w:p>
      <w:pPr>
        <w:pStyle w:val="null3"/>
        <w:ind w:firstLine="960"/>
        <w:jc w:val="left"/>
      </w:pPr>
      <w:r>
        <w:rPr/>
        <w:t>详见附件：运维服务方案</w:t>
      </w:r>
    </w:p>
    <w:p>
      <w:pPr>
        <w:pStyle w:val="null3"/>
        <w:ind w:firstLine="960"/>
        <w:jc w:val="left"/>
      </w:pPr>
      <w:r>
        <w:rPr/>
        <w:t>详见附件：商务应答表</w:t>
      </w:r>
    </w:p>
    <w:p>
      <w:pPr>
        <w:pStyle w:val="null3"/>
        <w:ind w:firstLine="960"/>
        <w:jc w:val="left"/>
      </w:pPr>
      <w:r>
        <w:rPr/>
        <w:t>详见附件：实施方案</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