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2D4F85">
      <w:pPr>
        <w:adjustRightInd w:val="0"/>
        <w:spacing w:after="0" w:line="360" w:lineRule="auto"/>
        <w:jc w:val="center"/>
        <w:textAlignment w:val="baseline"/>
        <w:outlineLvl w:val="0"/>
        <w:rPr>
          <w:rFonts w:hint="eastAsia" w:ascii="仿宋" w:hAnsi="仿宋" w:eastAsia="仿宋" w:cs="仿宋"/>
          <w:b/>
          <w:bCs/>
          <w:color w:val="auto"/>
          <w:sz w:val="40"/>
          <w:szCs w:val="40"/>
          <w:highlight w:val="none"/>
          <w:lang w:val="en-US" w:eastAsia="zh-CN"/>
        </w:rPr>
      </w:pPr>
      <w:r>
        <w:rPr>
          <w:rFonts w:hint="eastAsia" w:ascii="仿宋" w:hAnsi="仿宋" w:eastAsia="仿宋" w:cs="仿宋"/>
          <w:b/>
          <w:bCs/>
          <w:color w:val="auto"/>
          <w:sz w:val="72"/>
          <w:szCs w:val="72"/>
          <w:highlight w:val="none"/>
          <w:lang w:val="en-US" w:eastAsia="zh-CN"/>
        </w:rPr>
        <w:t>楚雄彝族自治州人民医院2026年行政后勤物资采购项目</w:t>
      </w:r>
    </w:p>
    <w:p w14:paraId="6238A530">
      <w:pPr>
        <w:jc w:val="both"/>
        <w:rPr>
          <w:rFonts w:hint="eastAsia" w:ascii="仿宋" w:hAnsi="仿宋" w:eastAsia="仿宋" w:cs="仿宋"/>
          <w:b/>
          <w:color w:val="auto"/>
          <w:sz w:val="32"/>
          <w:szCs w:val="40"/>
          <w:highlight w:val="none"/>
        </w:rPr>
      </w:pPr>
    </w:p>
    <w:p w14:paraId="60CDD275">
      <w:pPr>
        <w:pStyle w:val="17"/>
        <w:spacing w:line="240" w:lineRule="auto"/>
        <w:ind w:left="0" w:leftChars="0" w:firstLine="0" w:firstLineChars="0"/>
        <w:jc w:val="center"/>
        <w:rPr>
          <w:rFonts w:hint="eastAsia" w:ascii="仿宋" w:hAnsi="仿宋" w:eastAsia="仿宋" w:cs="仿宋"/>
          <w:b/>
          <w:bCs/>
          <w:i w:val="0"/>
          <w:iCs w:val="0"/>
          <w:color w:val="auto"/>
          <w:kern w:val="0"/>
          <w:sz w:val="44"/>
          <w:szCs w:val="44"/>
          <w:highlight w:val="none"/>
          <w:lang w:eastAsia="zh-CN"/>
        </w:rPr>
      </w:pPr>
      <w:r>
        <w:rPr>
          <w:rFonts w:hint="eastAsia" w:ascii="仿宋" w:hAnsi="仿宋" w:eastAsia="仿宋" w:cs="仿宋"/>
          <w:b/>
          <w:bCs/>
          <w:color w:val="auto"/>
          <w:kern w:val="0"/>
          <w:sz w:val="84"/>
          <w:szCs w:val="84"/>
          <w:highlight w:val="none"/>
        </w:rPr>
        <w:t>招标文件</w:t>
      </w:r>
      <w:r>
        <w:rPr>
          <w:rFonts w:hint="eastAsia" w:ascii="仿宋" w:hAnsi="仿宋" w:eastAsia="仿宋" w:cs="仿宋"/>
          <w:b/>
          <w:bCs/>
          <w:color w:val="auto"/>
          <w:kern w:val="0"/>
          <w:sz w:val="72"/>
          <w:szCs w:val="72"/>
          <w:highlight w:val="none"/>
        </w:rPr>
        <w:br w:type="textWrapping"/>
      </w:r>
      <w:r>
        <w:rPr>
          <w:rFonts w:hint="eastAsia" w:ascii="仿宋" w:hAnsi="仿宋" w:eastAsia="仿宋" w:cs="仿宋"/>
          <w:b/>
          <w:bCs/>
          <w:i w:val="0"/>
          <w:iCs w:val="0"/>
          <w:color w:val="auto"/>
          <w:kern w:val="0"/>
          <w:sz w:val="44"/>
          <w:szCs w:val="44"/>
          <w:highlight w:val="none"/>
          <w:lang w:eastAsia="zh-CN"/>
        </w:rPr>
        <w:t>（</w:t>
      </w:r>
      <w:r>
        <w:rPr>
          <w:rFonts w:hint="eastAsia" w:ascii="仿宋" w:hAnsi="仿宋" w:eastAsia="仿宋" w:cs="仿宋"/>
          <w:b/>
          <w:bCs/>
          <w:i w:val="0"/>
          <w:iCs w:val="0"/>
          <w:color w:val="auto"/>
          <w:kern w:val="0"/>
          <w:sz w:val="44"/>
          <w:szCs w:val="44"/>
          <w:highlight w:val="none"/>
          <w:lang w:val="en-US" w:eastAsia="zh-CN"/>
        </w:rPr>
        <w:t>货物类</w:t>
      </w:r>
      <w:r>
        <w:rPr>
          <w:rFonts w:hint="eastAsia" w:ascii="仿宋" w:hAnsi="仿宋" w:eastAsia="仿宋" w:cs="仿宋"/>
          <w:b/>
          <w:bCs/>
          <w:i w:val="0"/>
          <w:iCs w:val="0"/>
          <w:color w:val="auto"/>
          <w:kern w:val="0"/>
          <w:sz w:val="44"/>
          <w:szCs w:val="44"/>
          <w:highlight w:val="none"/>
          <w:lang w:eastAsia="zh-CN"/>
        </w:rPr>
        <w:t>）</w:t>
      </w:r>
    </w:p>
    <w:p w14:paraId="711D51A8">
      <w:pPr>
        <w:rPr>
          <w:rFonts w:hint="eastAsia"/>
          <w:lang w:eastAsia="zh-CN"/>
        </w:rPr>
      </w:pPr>
    </w:p>
    <w:p w14:paraId="35177DAA">
      <w:pPr>
        <w:rPr>
          <w:rFonts w:hint="eastAsia"/>
          <w:lang w:val="en-US" w:eastAsia="zh-CN"/>
        </w:rPr>
      </w:pPr>
    </w:p>
    <w:p w14:paraId="7E8CD682">
      <w:pPr>
        <w:pStyle w:val="17"/>
        <w:spacing w:line="480" w:lineRule="auto"/>
        <w:ind w:left="0" w:leftChars="0" w:firstLine="0" w:firstLineChars="0"/>
        <w:jc w:val="center"/>
        <w:outlineLvl w:val="0"/>
        <w:rPr>
          <w:rFonts w:hint="eastAsia" w:ascii="仿宋" w:hAnsi="仿宋" w:eastAsia="仿宋" w:cs="仿宋"/>
          <w:color w:val="auto"/>
          <w:sz w:val="32"/>
          <w:szCs w:val="32"/>
          <w:highlight w:val="none"/>
          <w:u w:val="single"/>
          <w:lang w:val="en-US" w:eastAsia="zh-CN"/>
        </w:rPr>
      </w:pPr>
      <w:bookmarkStart w:id="0" w:name="_Toc28929"/>
      <w:bookmarkStart w:id="1" w:name="_Toc21775"/>
      <w:r>
        <w:rPr>
          <w:rFonts w:hint="eastAsia" w:ascii="仿宋" w:hAnsi="仿宋" w:eastAsia="仿宋" w:cs="仿宋"/>
          <w:b/>
          <w:bCs/>
          <w:color w:val="auto"/>
          <w:kern w:val="0"/>
          <w:sz w:val="32"/>
          <w:szCs w:val="32"/>
          <w:highlight w:val="none"/>
          <w:lang w:val="en-US" w:eastAsia="zh-CN" w:bidi="ar-SA"/>
        </w:rPr>
        <w:t>项目编号：</w:t>
      </w:r>
      <w:r>
        <w:rPr>
          <w:rFonts w:hint="eastAsia" w:ascii="仿宋" w:hAnsi="仿宋" w:eastAsia="仿宋" w:cs="仿宋"/>
          <w:b/>
          <w:bCs/>
          <w:color w:val="000000" w:themeColor="text1"/>
          <w:kern w:val="0"/>
          <w:sz w:val="32"/>
          <w:szCs w:val="32"/>
          <w:highlight w:val="none"/>
          <w:lang w:val="en-US" w:eastAsia="zh-CN" w:bidi="ar-SA"/>
          <w14:textFill>
            <w14:solidFill>
              <w14:schemeClr w14:val="tx1"/>
            </w14:solidFill>
          </w14:textFill>
        </w:rPr>
        <w:fldChar w:fldCharType="begin"/>
      </w:r>
      <w:r>
        <w:rPr>
          <w:rFonts w:hint="eastAsia" w:ascii="仿宋" w:hAnsi="仿宋" w:eastAsia="仿宋" w:cs="仿宋"/>
          <w:b/>
          <w:bCs/>
          <w:color w:val="000000" w:themeColor="text1"/>
          <w:kern w:val="0"/>
          <w:sz w:val="32"/>
          <w:szCs w:val="32"/>
          <w:highlight w:val="none"/>
          <w:lang w:val="en-US" w:eastAsia="zh-CN" w:bidi="ar-SA"/>
          <w14:textFill>
            <w14:solidFill>
              <w14:schemeClr w14:val="tx1"/>
            </w14:solidFill>
          </w14:textFill>
        </w:rPr>
        <w:instrText xml:space="preserve"> HYPERLINK "https://www.zcygov.cn/gaea/api/project/flow/redirect?projectId=7287227477569830927&amp;newUrl=https://www.zcygov.cn/micro-app-back-index/blank?_flow_type_=agency&amp;_flow_projectId_=7287227477569830927&amp;_jump_page_type_=project_procurement_management_flow&amp;_app_=zcy.procurement&amp;oldUrl=https://www.zcygov.cn/project-center/_procurement_/project-result-detail/7287227477569830927" \t "https://www.zcygov.cn/project-center/_procurement_/self-project/_blank" </w:instrText>
      </w:r>
      <w:r>
        <w:rPr>
          <w:rFonts w:hint="eastAsia" w:ascii="仿宋" w:hAnsi="仿宋" w:eastAsia="仿宋" w:cs="仿宋"/>
          <w:b/>
          <w:bCs/>
          <w:color w:val="000000" w:themeColor="text1"/>
          <w:kern w:val="0"/>
          <w:sz w:val="32"/>
          <w:szCs w:val="32"/>
          <w:highlight w:val="none"/>
          <w:lang w:val="en-US" w:eastAsia="zh-CN" w:bidi="ar-SA"/>
          <w14:textFill>
            <w14:solidFill>
              <w14:schemeClr w14:val="tx1"/>
            </w14:solidFill>
          </w14:textFill>
        </w:rPr>
        <w:fldChar w:fldCharType="separate"/>
      </w:r>
      <w:r>
        <w:rPr>
          <w:rFonts w:hint="eastAsia" w:ascii="仿宋" w:hAnsi="仿宋" w:eastAsia="仿宋" w:cs="仿宋"/>
          <w:b/>
          <w:bCs/>
          <w:color w:val="000000" w:themeColor="text1"/>
          <w:kern w:val="0"/>
          <w:sz w:val="32"/>
          <w:szCs w:val="32"/>
          <w:highlight w:val="none"/>
          <w:lang w:val="en-US" w:eastAsia="zh-CN" w:bidi="ar-SA"/>
          <w14:textFill>
            <w14:solidFill>
              <w14:schemeClr w14:val="tx1"/>
            </w14:solidFill>
          </w14:textFill>
        </w:rPr>
        <w:t>CXZC2026-G1-00248-YNYM-0008</w:t>
      </w:r>
      <w:r>
        <w:rPr>
          <w:rFonts w:hint="eastAsia" w:ascii="仿宋" w:hAnsi="仿宋" w:eastAsia="仿宋" w:cs="仿宋"/>
          <w:b/>
          <w:bCs/>
          <w:color w:val="000000" w:themeColor="text1"/>
          <w:kern w:val="0"/>
          <w:sz w:val="32"/>
          <w:szCs w:val="32"/>
          <w:highlight w:val="none"/>
          <w:lang w:val="en-US" w:eastAsia="zh-CN" w:bidi="ar-SA"/>
          <w14:textFill>
            <w14:solidFill>
              <w14:schemeClr w14:val="tx1"/>
            </w14:solidFill>
          </w14:textFill>
        </w:rPr>
        <w:fldChar w:fldCharType="end"/>
      </w:r>
      <w:bookmarkEnd w:id="0"/>
      <w:bookmarkEnd w:id="1"/>
    </w:p>
    <w:p w14:paraId="7557B19C">
      <w:pPr>
        <w:adjustRightInd w:val="0"/>
        <w:spacing w:after="0" w:line="480" w:lineRule="auto"/>
        <w:jc w:val="center"/>
        <w:textAlignment w:val="baseline"/>
        <w:outlineLvl w:val="0"/>
        <w:rPr>
          <w:rFonts w:hint="eastAsia" w:ascii="仿宋" w:hAnsi="仿宋" w:eastAsia="仿宋" w:cs="仿宋"/>
          <w:b/>
          <w:bCs/>
          <w:color w:val="auto"/>
          <w:sz w:val="32"/>
          <w:szCs w:val="32"/>
          <w:highlight w:val="yellow"/>
          <w:lang w:val="en-US" w:eastAsia="zh-CN"/>
        </w:rPr>
      </w:pPr>
    </w:p>
    <w:p w14:paraId="67DAE483">
      <w:pPr>
        <w:keepNext w:val="0"/>
        <w:keepLines w:val="0"/>
        <w:pageBreakBefore w:val="0"/>
        <w:widowControl w:val="0"/>
        <w:kinsoku/>
        <w:wordWrap/>
        <w:overflowPunct/>
        <w:topLinePunct w:val="0"/>
        <w:autoSpaceDE/>
        <w:autoSpaceDN/>
        <w:bidi w:val="0"/>
        <w:adjustRightInd w:val="0"/>
        <w:snapToGrid/>
        <w:spacing w:after="167" w:afterLines="50" w:line="360" w:lineRule="auto"/>
        <w:jc w:val="center"/>
        <w:textAlignment w:val="baseline"/>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lang w:eastAsia="zh-CN"/>
        </w:rPr>
        <w:drawing>
          <wp:inline distT="0" distB="0" distL="114300" distR="114300">
            <wp:extent cx="3262630" cy="2178050"/>
            <wp:effectExtent l="0" t="0" r="13970" b="1270"/>
            <wp:docPr id="21" name="图片 21" descr="0c809e5138ccde85e884bcbf94f3e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0c809e5138ccde85e884bcbf94f3e28"/>
                    <pic:cNvPicPr>
                      <a:picLocks noChangeAspect="1"/>
                    </pic:cNvPicPr>
                  </pic:nvPicPr>
                  <pic:blipFill>
                    <a:blip r:embed="rId10"/>
                    <a:stretch>
                      <a:fillRect/>
                    </a:stretch>
                  </pic:blipFill>
                  <pic:spPr>
                    <a:xfrm>
                      <a:off x="0" y="0"/>
                      <a:ext cx="3262630" cy="2178050"/>
                    </a:xfrm>
                    <a:prstGeom prst="rect">
                      <a:avLst/>
                    </a:prstGeom>
                  </pic:spPr>
                </pic:pic>
              </a:graphicData>
            </a:graphic>
          </wp:inline>
        </w:drawing>
      </w:r>
    </w:p>
    <w:p w14:paraId="2918634F">
      <w:pPr>
        <w:pStyle w:val="28"/>
        <w:rPr>
          <w:rFonts w:hint="eastAsia" w:ascii="仿宋" w:hAnsi="仿宋" w:eastAsia="仿宋" w:cs="仿宋"/>
          <w:highlight w:val="none"/>
          <w:lang w:eastAsia="zh-CN"/>
        </w:rPr>
      </w:pPr>
    </w:p>
    <w:p w14:paraId="069B1D24">
      <w:pPr>
        <w:keepNext w:val="0"/>
        <w:keepLines w:val="0"/>
        <w:pageBreakBefore w:val="0"/>
        <w:widowControl w:val="0"/>
        <w:kinsoku/>
        <w:wordWrap/>
        <w:overflowPunct/>
        <w:topLinePunct w:val="0"/>
        <w:autoSpaceDE/>
        <w:autoSpaceDN/>
        <w:bidi w:val="0"/>
        <w:adjustRightInd w:val="0"/>
        <w:snapToGrid/>
        <w:spacing w:after="167" w:afterLines="50" w:line="360" w:lineRule="auto"/>
        <w:ind w:firstLine="1690" w:firstLineChars="526"/>
        <w:textAlignment w:val="baseline"/>
        <w:outlineLvl w:val="0"/>
        <w:rPr>
          <w:rFonts w:hint="eastAsia" w:ascii="仿宋" w:hAnsi="仿宋" w:eastAsia="仿宋" w:cs="仿宋"/>
          <w:b/>
          <w:bCs/>
          <w:color w:val="auto"/>
          <w:sz w:val="32"/>
          <w:szCs w:val="32"/>
          <w:highlight w:val="none"/>
          <w:lang w:eastAsia="zh-CN"/>
        </w:rPr>
      </w:pPr>
      <w:bookmarkStart w:id="2" w:name="_Toc16072"/>
      <w:bookmarkStart w:id="3" w:name="_Toc14556"/>
      <w:r>
        <w:rPr>
          <w:rFonts w:hint="eastAsia" w:ascii="仿宋" w:hAnsi="仿宋" w:eastAsia="仿宋" w:cs="仿宋"/>
          <w:b/>
          <w:bCs/>
          <w:color w:val="auto"/>
          <w:sz w:val="32"/>
          <w:szCs w:val="32"/>
          <w:highlight w:val="none"/>
          <w:lang w:eastAsia="zh-CN"/>
        </w:rPr>
        <w:t>采购人</w:t>
      </w:r>
      <w:r>
        <w:rPr>
          <w:rFonts w:hint="eastAsia" w:ascii="仿宋" w:hAnsi="仿宋" w:eastAsia="仿宋" w:cs="仿宋"/>
          <w:b/>
          <w:bCs/>
          <w:color w:val="auto"/>
          <w:sz w:val="32"/>
          <w:szCs w:val="32"/>
          <w:highlight w:val="none"/>
        </w:rPr>
        <w:t>：</w:t>
      </w:r>
      <w:r>
        <w:rPr>
          <w:rFonts w:hint="eastAsia" w:ascii="仿宋" w:hAnsi="仿宋" w:eastAsia="仿宋" w:cs="仿宋"/>
          <w:b/>
          <w:bCs/>
          <w:color w:val="auto"/>
          <w:sz w:val="32"/>
          <w:szCs w:val="32"/>
          <w:highlight w:val="none"/>
          <w:lang w:eastAsia="zh-CN"/>
        </w:rPr>
        <w:t>楚雄</w:t>
      </w:r>
      <w:r>
        <w:rPr>
          <w:rFonts w:hint="eastAsia" w:ascii="仿宋" w:hAnsi="仿宋" w:eastAsia="仿宋" w:cs="仿宋"/>
          <w:b/>
          <w:bCs/>
          <w:color w:val="auto"/>
          <w:sz w:val="32"/>
          <w:szCs w:val="32"/>
          <w:highlight w:val="none"/>
          <w:lang w:val="en-US" w:eastAsia="zh-CN"/>
        </w:rPr>
        <w:t>彝族自治州人民医院</w:t>
      </w:r>
      <w:bookmarkEnd w:id="2"/>
      <w:bookmarkEnd w:id="3"/>
    </w:p>
    <w:p w14:paraId="76222841">
      <w:pPr>
        <w:keepNext w:val="0"/>
        <w:keepLines w:val="0"/>
        <w:pageBreakBefore w:val="0"/>
        <w:widowControl w:val="0"/>
        <w:kinsoku/>
        <w:wordWrap/>
        <w:overflowPunct/>
        <w:topLinePunct w:val="0"/>
        <w:autoSpaceDE/>
        <w:autoSpaceDN/>
        <w:bidi w:val="0"/>
        <w:adjustRightInd w:val="0"/>
        <w:snapToGrid/>
        <w:spacing w:after="167" w:afterLines="50" w:line="360" w:lineRule="auto"/>
        <w:ind w:firstLine="1690" w:firstLineChars="526"/>
        <w:textAlignment w:val="baseline"/>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采购代理机构</w:t>
      </w:r>
      <w:r>
        <w:rPr>
          <w:rFonts w:hint="eastAsia" w:ascii="仿宋" w:hAnsi="仿宋" w:eastAsia="仿宋" w:cs="仿宋"/>
          <w:b/>
          <w:bCs/>
          <w:color w:val="auto"/>
          <w:sz w:val="32"/>
          <w:szCs w:val="32"/>
          <w:highlight w:val="none"/>
        </w:rPr>
        <w:t>：</w:t>
      </w:r>
      <w:r>
        <w:rPr>
          <w:rFonts w:hint="eastAsia" w:ascii="仿宋" w:hAnsi="仿宋" w:eastAsia="仿宋" w:cs="仿宋"/>
          <w:b/>
          <w:color w:val="auto"/>
          <w:sz w:val="32"/>
          <w:szCs w:val="32"/>
          <w:highlight w:val="none"/>
          <w:lang w:val="en-US" w:eastAsia="zh-CN"/>
        </w:rPr>
        <w:t>云南咏名工程管理咨询有限公司</w:t>
      </w:r>
      <w:r>
        <w:rPr>
          <w:rFonts w:hint="eastAsia" w:ascii="仿宋" w:hAnsi="仿宋" w:eastAsia="仿宋" w:cs="仿宋"/>
          <w:b/>
          <w:bCs/>
          <w:color w:val="auto"/>
          <w:sz w:val="32"/>
          <w:szCs w:val="32"/>
          <w:highlight w:val="none"/>
          <w:lang w:eastAsia="zh-CN"/>
        </w:rPr>
        <w:t xml:space="preserve"> </w:t>
      </w:r>
    </w:p>
    <w:p w14:paraId="49C798A4">
      <w:pPr>
        <w:keepNext w:val="0"/>
        <w:keepLines w:val="0"/>
        <w:pageBreakBefore w:val="0"/>
        <w:widowControl w:val="0"/>
        <w:kinsoku/>
        <w:wordWrap/>
        <w:overflowPunct/>
        <w:topLinePunct w:val="0"/>
        <w:autoSpaceDE/>
        <w:autoSpaceDN/>
        <w:bidi w:val="0"/>
        <w:adjustRightInd w:val="0"/>
        <w:snapToGrid/>
        <w:spacing w:after="167" w:afterLines="50" w:line="360" w:lineRule="auto"/>
        <w:jc w:val="center"/>
        <w:textAlignment w:val="baseline"/>
        <w:rPr>
          <w:rFonts w:hint="eastAsia" w:ascii="仿宋" w:hAnsi="仿宋" w:eastAsia="仿宋" w:cs="仿宋"/>
          <w:b/>
          <w:bCs/>
          <w:color w:val="auto"/>
          <w:sz w:val="32"/>
          <w:szCs w:val="32"/>
          <w:highlight w:val="none"/>
        </w:rPr>
      </w:pPr>
      <w:r>
        <w:rPr>
          <w:rFonts w:hint="eastAsia" w:ascii="仿宋" w:hAnsi="仿宋" w:eastAsia="仿宋" w:cs="仿宋"/>
          <w:b/>
          <w:color w:val="auto"/>
          <w:sz w:val="32"/>
          <w:szCs w:val="32"/>
          <w:highlight w:val="none"/>
        </w:rPr>
        <w:t>二〇二</w:t>
      </w:r>
      <w:r>
        <w:rPr>
          <w:rFonts w:hint="eastAsia" w:ascii="仿宋" w:hAnsi="仿宋" w:eastAsia="仿宋" w:cs="仿宋"/>
          <w:b/>
          <w:color w:val="auto"/>
          <w:sz w:val="32"/>
          <w:szCs w:val="32"/>
          <w:highlight w:val="none"/>
          <w:lang w:val="en-US" w:eastAsia="zh-CN"/>
        </w:rPr>
        <w:t>六</w:t>
      </w:r>
      <w:r>
        <w:rPr>
          <w:rFonts w:hint="eastAsia" w:ascii="仿宋" w:hAnsi="仿宋" w:eastAsia="仿宋" w:cs="仿宋"/>
          <w:b/>
          <w:color w:val="auto"/>
          <w:sz w:val="32"/>
          <w:szCs w:val="32"/>
          <w:highlight w:val="none"/>
        </w:rPr>
        <w:t>年</w:t>
      </w:r>
      <w:r>
        <w:rPr>
          <w:rFonts w:hint="eastAsia" w:ascii="仿宋" w:hAnsi="仿宋" w:eastAsia="仿宋" w:cs="仿宋"/>
          <w:b/>
          <w:color w:val="auto"/>
          <w:sz w:val="32"/>
          <w:szCs w:val="32"/>
          <w:highlight w:val="none"/>
          <w:lang w:val="en-US" w:eastAsia="zh-CN"/>
        </w:rPr>
        <w:t>五</w:t>
      </w:r>
      <w:r>
        <w:rPr>
          <w:rFonts w:hint="eastAsia" w:ascii="仿宋" w:hAnsi="仿宋" w:eastAsia="仿宋" w:cs="仿宋"/>
          <w:b/>
          <w:color w:val="auto"/>
          <w:sz w:val="32"/>
          <w:szCs w:val="32"/>
          <w:highlight w:val="none"/>
        </w:rPr>
        <w:t>月</w:t>
      </w:r>
    </w:p>
    <w:p w14:paraId="20D956A8">
      <w:pPr>
        <w:keepNext w:val="0"/>
        <w:keepLines w:val="0"/>
        <w:pageBreakBefore w:val="0"/>
        <w:widowControl w:val="0"/>
        <w:tabs>
          <w:tab w:val="left" w:pos="561"/>
        </w:tabs>
        <w:kinsoku/>
        <w:wordWrap w:val="0"/>
        <w:overflowPunct/>
        <w:topLinePunct/>
        <w:autoSpaceDE/>
        <w:autoSpaceDN/>
        <w:bidi w:val="0"/>
        <w:adjustRightInd/>
        <w:snapToGrid/>
        <w:ind w:left="0" w:leftChars="0" w:right="0"/>
        <w:jc w:val="center"/>
        <w:rPr>
          <w:rFonts w:hint="eastAsia" w:ascii="仿宋" w:hAnsi="仿宋" w:eastAsia="仿宋" w:cs="仿宋"/>
          <w:b/>
          <w:bCs/>
          <w:color w:val="auto"/>
          <w:sz w:val="44"/>
          <w:szCs w:val="44"/>
          <w:highlight w:val="none"/>
          <w:lang w:eastAsia="zh-CN"/>
        </w:rPr>
        <w:sectPr>
          <w:pgSz w:w="11906" w:h="16838"/>
          <w:pgMar w:top="1134" w:right="1134" w:bottom="1134" w:left="1134" w:header="709" w:footer="737" w:gutter="0"/>
          <w:pgBorders>
            <w:top w:val="none" w:sz="0" w:space="0"/>
            <w:left w:val="none" w:sz="0" w:space="0"/>
            <w:bottom w:val="none" w:sz="0" w:space="0"/>
            <w:right w:val="none" w:sz="0" w:space="0"/>
          </w:pgBorders>
          <w:pgNumType w:fmt="decimal" w:start="1"/>
          <w:cols w:space="720" w:num="1"/>
          <w:titlePg/>
          <w:rtlGutter w:val="0"/>
          <w:docGrid w:linePitch="299" w:charSpace="0"/>
        </w:sectPr>
      </w:pPr>
    </w:p>
    <w:sdt>
      <w:sdtPr>
        <w:rPr>
          <w:rFonts w:hint="eastAsia" w:ascii="仿宋" w:hAnsi="仿宋" w:eastAsia="仿宋" w:cs="仿宋"/>
          <w:sz w:val="21"/>
          <w:szCs w:val="22"/>
          <w:lang w:val="en-US" w:eastAsia="en-US" w:bidi="ar-SA"/>
        </w:rPr>
        <w:id w:val="147470263"/>
        <w15:color w:val="DBDBDB"/>
      </w:sdtPr>
      <w:sdtEndPr>
        <w:rPr>
          <w:rFonts w:hint="eastAsia" w:ascii="仿宋" w:hAnsi="仿宋" w:eastAsia="仿宋" w:cs="仿宋"/>
          <w:color w:val="auto"/>
          <w:sz w:val="22"/>
          <w:szCs w:val="28"/>
          <w:highlight w:val="none"/>
          <w:lang w:val="en-US" w:eastAsia="zh-CN" w:bidi="ar-SA"/>
        </w:rPr>
      </w:sdtEndPr>
      <w:sdtContent>
        <w:p w14:paraId="7C35164C">
          <w:pPr>
            <w:keepNext w:val="0"/>
            <w:keepLines w:val="0"/>
            <w:pageBreakBefore w:val="0"/>
            <w:widowControl w:val="0"/>
            <w:tabs>
              <w:tab w:val="left" w:pos="561"/>
            </w:tabs>
            <w:kinsoku/>
            <w:wordWrap w:val="0"/>
            <w:overflowPunct/>
            <w:topLinePunct/>
            <w:autoSpaceDE/>
            <w:autoSpaceDN/>
            <w:bidi w:val="0"/>
            <w:adjustRightInd/>
            <w:snapToGrid/>
            <w:spacing w:line="0" w:lineRule="atLeast"/>
            <w:ind w:left="0" w:leftChars="0" w:right="0" w:firstLine="420" w:firstLineChars="200"/>
            <w:jc w:val="center"/>
            <w:textAlignment w:val="auto"/>
            <w:rPr>
              <w:rFonts w:hint="eastAsia" w:ascii="仿宋" w:hAnsi="仿宋" w:eastAsia="仿宋" w:cs="仿宋"/>
              <w:color w:val="auto"/>
              <w:sz w:val="22"/>
              <w:szCs w:val="28"/>
              <w:highlight w:val="none"/>
              <w:lang w:val="en-US" w:eastAsia="zh-CN" w:bidi="ar-SA"/>
            </w:rPr>
          </w:pPr>
          <w:r>
            <w:rPr>
              <w:rFonts w:hint="eastAsia" w:ascii="仿宋" w:hAnsi="仿宋" w:eastAsia="仿宋" w:cs="仿宋"/>
              <w:b/>
              <w:bCs/>
              <w:sz w:val="28"/>
              <w:szCs w:val="28"/>
            </w:rPr>
            <w:t>目</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录</w:t>
          </w:r>
          <w:r>
            <w:rPr>
              <w:rFonts w:hint="eastAsia" w:ascii="仿宋" w:hAnsi="仿宋" w:eastAsia="仿宋" w:cs="仿宋"/>
              <w:color w:val="auto"/>
              <w:sz w:val="32"/>
              <w:szCs w:val="28"/>
              <w:highlight w:val="none"/>
              <w:lang w:eastAsia="zh-CN"/>
            </w:rPr>
            <w:fldChar w:fldCharType="begin"/>
          </w:r>
          <w:r>
            <w:rPr>
              <w:rFonts w:hint="eastAsia" w:ascii="仿宋" w:hAnsi="仿宋" w:eastAsia="仿宋" w:cs="仿宋"/>
              <w:color w:val="auto"/>
              <w:sz w:val="32"/>
              <w:szCs w:val="28"/>
              <w:highlight w:val="none"/>
              <w:lang w:eastAsia="zh-CN"/>
            </w:rPr>
            <w:instrText xml:space="preserve">TOC \o "1-3" \h \u </w:instrText>
          </w:r>
          <w:r>
            <w:rPr>
              <w:rFonts w:hint="eastAsia" w:ascii="仿宋" w:hAnsi="仿宋" w:eastAsia="仿宋" w:cs="仿宋"/>
              <w:color w:val="auto"/>
              <w:sz w:val="32"/>
              <w:szCs w:val="28"/>
              <w:highlight w:val="none"/>
              <w:lang w:eastAsia="zh-CN"/>
            </w:rPr>
            <w:fldChar w:fldCharType="separate"/>
          </w:r>
        </w:p>
        <w:p w14:paraId="20DE8A23">
          <w:pPr>
            <w:pStyle w:val="56"/>
            <w:keepNext w:val="0"/>
            <w:keepLines w:val="0"/>
            <w:pageBreakBefore w:val="0"/>
            <w:widowControl w:val="0"/>
            <w:tabs>
              <w:tab w:val="right" w:leader="dot" w:pos="9638"/>
            </w:tabs>
            <w:kinsoku/>
            <w:wordWrap/>
            <w:overflowPunct/>
            <w:topLinePunct w:val="0"/>
            <w:autoSpaceDE/>
            <w:autoSpaceDN/>
            <w:bidi w:val="0"/>
            <w:adjustRightInd/>
            <w:snapToGrid/>
            <w:spacing w:line="0" w:lineRule="atLeast"/>
            <w:ind w:left="0" w:leftChars="0" w:firstLine="0" w:firstLineChars="0"/>
            <w:textAlignment w:val="auto"/>
            <w:rPr>
              <w:rFonts w:hint="eastAsia" w:ascii="仿宋" w:hAnsi="仿宋" w:eastAsia="仿宋" w:cs="仿宋"/>
              <w:b/>
              <w:bCs/>
              <w:sz w:val="22"/>
              <w:szCs w:val="22"/>
            </w:rPr>
          </w:pPr>
          <w:r>
            <w:rPr>
              <w:rFonts w:hint="eastAsia" w:ascii="仿宋" w:hAnsi="仿宋" w:eastAsia="仿宋" w:cs="仿宋"/>
              <w:b/>
              <w:bCs/>
              <w:color w:val="auto"/>
              <w:sz w:val="22"/>
              <w:szCs w:val="22"/>
              <w:highlight w:val="none"/>
              <w:lang w:eastAsia="zh-CN"/>
            </w:rPr>
            <w:fldChar w:fldCharType="begin"/>
          </w:r>
          <w:r>
            <w:rPr>
              <w:rFonts w:hint="eastAsia" w:ascii="仿宋" w:hAnsi="仿宋" w:eastAsia="仿宋" w:cs="仿宋"/>
              <w:b/>
              <w:bCs/>
              <w:sz w:val="22"/>
              <w:szCs w:val="22"/>
              <w:highlight w:val="none"/>
              <w:lang w:eastAsia="zh-CN"/>
            </w:rPr>
            <w:instrText xml:space="preserve"> HYPERLINK \l _Toc3851 </w:instrText>
          </w:r>
          <w:r>
            <w:rPr>
              <w:rFonts w:hint="eastAsia" w:ascii="仿宋" w:hAnsi="仿宋" w:eastAsia="仿宋" w:cs="仿宋"/>
              <w:b/>
              <w:bCs/>
              <w:sz w:val="22"/>
              <w:szCs w:val="22"/>
              <w:highlight w:val="none"/>
              <w:lang w:eastAsia="zh-CN"/>
            </w:rPr>
            <w:fldChar w:fldCharType="separate"/>
          </w:r>
          <w:r>
            <w:rPr>
              <w:rFonts w:hint="eastAsia" w:ascii="仿宋" w:hAnsi="仿宋" w:eastAsia="仿宋" w:cs="仿宋"/>
              <w:b/>
              <w:bCs/>
              <w:sz w:val="22"/>
              <w:szCs w:val="22"/>
              <w:lang w:eastAsia="zh-CN"/>
            </w:rPr>
            <w:t xml:space="preserve">第一章 </w:t>
          </w:r>
          <w:r>
            <w:rPr>
              <w:rFonts w:hint="eastAsia" w:ascii="仿宋" w:hAnsi="仿宋" w:eastAsia="仿宋" w:cs="仿宋"/>
              <w:b/>
              <w:bCs/>
              <w:sz w:val="22"/>
              <w:szCs w:val="22"/>
              <w:highlight w:val="none"/>
              <w:lang w:eastAsia="zh-CN"/>
            </w:rPr>
            <w:t>招标公告</w:t>
          </w:r>
          <w:r>
            <w:rPr>
              <w:rFonts w:hint="eastAsia" w:ascii="仿宋" w:hAnsi="仿宋" w:eastAsia="仿宋" w:cs="仿宋"/>
              <w:b/>
              <w:bCs/>
              <w:sz w:val="22"/>
              <w:szCs w:val="22"/>
            </w:rPr>
            <w:tab/>
          </w:r>
          <w:r>
            <w:rPr>
              <w:rFonts w:hint="eastAsia" w:ascii="仿宋" w:hAnsi="仿宋" w:eastAsia="仿宋" w:cs="仿宋"/>
              <w:b/>
              <w:bCs/>
              <w:sz w:val="22"/>
              <w:szCs w:val="22"/>
            </w:rPr>
            <w:fldChar w:fldCharType="begin"/>
          </w:r>
          <w:r>
            <w:rPr>
              <w:rFonts w:hint="eastAsia" w:ascii="仿宋" w:hAnsi="仿宋" w:eastAsia="仿宋" w:cs="仿宋"/>
              <w:b/>
              <w:bCs/>
              <w:sz w:val="22"/>
              <w:szCs w:val="22"/>
            </w:rPr>
            <w:instrText xml:space="preserve"> PAGEREF _Toc3851 \h </w:instrText>
          </w:r>
          <w:r>
            <w:rPr>
              <w:rFonts w:hint="eastAsia" w:ascii="仿宋" w:hAnsi="仿宋" w:eastAsia="仿宋" w:cs="仿宋"/>
              <w:b/>
              <w:bCs/>
              <w:sz w:val="22"/>
              <w:szCs w:val="22"/>
            </w:rPr>
            <w:fldChar w:fldCharType="separate"/>
          </w:r>
          <w:r>
            <w:rPr>
              <w:rFonts w:hint="eastAsia" w:ascii="仿宋" w:hAnsi="仿宋" w:eastAsia="仿宋" w:cs="仿宋"/>
              <w:b/>
              <w:bCs/>
              <w:sz w:val="22"/>
              <w:szCs w:val="22"/>
            </w:rPr>
            <w:t>1</w:t>
          </w:r>
          <w:r>
            <w:rPr>
              <w:rFonts w:hint="eastAsia" w:ascii="仿宋" w:hAnsi="仿宋" w:eastAsia="仿宋" w:cs="仿宋"/>
              <w:b/>
              <w:bCs/>
              <w:sz w:val="22"/>
              <w:szCs w:val="22"/>
            </w:rPr>
            <w:fldChar w:fldCharType="end"/>
          </w:r>
          <w:r>
            <w:rPr>
              <w:rFonts w:hint="eastAsia" w:ascii="仿宋" w:hAnsi="仿宋" w:eastAsia="仿宋" w:cs="仿宋"/>
              <w:b/>
              <w:bCs/>
              <w:color w:val="auto"/>
              <w:sz w:val="22"/>
              <w:szCs w:val="22"/>
              <w:highlight w:val="none"/>
              <w:lang w:eastAsia="zh-CN"/>
            </w:rPr>
            <w:fldChar w:fldCharType="end"/>
          </w:r>
        </w:p>
        <w:p w14:paraId="792CF740">
          <w:pPr>
            <w:pStyle w:val="56"/>
            <w:keepNext w:val="0"/>
            <w:keepLines w:val="0"/>
            <w:pageBreakBefore w:val="0"/>
            <w:widowControl w:val="0"/>
            <w:tabs>
              <w:tab w:val="right" w:leader="dot" w:pos="9638"/>
            </w:tabs>
            <w:kinsoku/>
            <w:wordWrap/>
            <w:overflowPunct/>
            <w:topLinePunct w:val="0"/>
            <w:autoSpaceDE/>
            <w:autoSpaceDN/>
            <w:bidi w:val="0"/>
            <w:adjustRightInd/>
            <w:snapToGrid/>
            <w:spacing w:line="0" w:lineRule="atLeast"/>
            <w:ind w:left="0" w:leftChars="0" w:firstLine="440" w:firstLineChars="200"/>
            <w:textAlignment w:val="auto"/>
            <w:rPr>
              <w:rFonts w:hint="eastAsia" w:ascii="仿宋" w:hAnsi="仿宋" w:eastAsia="仿宋" w:cs="仿宋"/>
              <w:sz w:val="22"/>
              <w:szCs w:val="22"/>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sz w:val="22"/>
              <w:szCs w:val="22"/>
              <w:highlight w:val="none"/>
              <w:lang w:eastAsia="zh-CN"/>
            </w:rPr>
            <w:instrText xml:space="preserve"> HYPERLINK \l _Toc22060 </w:instrText>
          </w:r>
          <w:r>
            <w:rPr>
              <w:rFonts w:hint="eastAsia" w:ascii="仿宋" w:hAnsi="仿宋" w:eastAsia="仿宋" w:cs="仿宋"/>
              <w:sz w:val="22"/>
              <w:szCs w:val="22"/>
              <w:highlight w:val="none"/>
              <w:lang w:eastAsia="zh-CN"/>
            </w:rPr>
            <w:fldChar w:fldCharType="separate"/>
          </w:r>
          <w:r>
            <w:rPr>
              <w:rFonts w:hint="eastAsia" w:ascii="仿宋" w:hAnsi="仿宋" w:eastAsia="仿宋" w:cs="仿宋"/>
              <w:sz w:val="22"/>
              <w:szCs w:val="22"/>
              <w:highlight w:val="none"/>
              <w:lang w:eastAsia="zh-CN"/>
            </w:rPr>
            <w:t>项目概况</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_Toc22060 \h </w:instrText>
          </w:r>
          <w:r>
            <w:rPr>
              <w:rFonts w:hint="eastAsia" w:ascii="仿宋" w:hAnsi="仿宋" w:eastAsia="仿宋" w:cs="仿宋"/>
              <w:sz w:val="22"/>
              <w:szCs w:val="22"/>
            </w:rPr>
            <w:fldChar w:fldCharType="separate"/>
          </w:r>
          <w:r>
            <w:rPr>
              <w:rFonts w:hint="eastAsia" w:ascii="仿宋" w:hAnsi="仿宋" w:eastAsia="仿宋" w:cs="仿宋"/>
              <w:sz w:val="22"/>
              <w:szCs w:val="22"/>
            </w:rPr>
            <w:t>1</w:t>
          </w:r>
          <w:r>
            <w:rPr>
              <w:rFonts w:hint="eastAsia" w:ascii="仿宋" w:hAnsi="仿宋" w:eastAsia="仿宋" w:cs="仿宋"/>
              <w:sz w:val="22"/>
              <w:szCs w:val="22"/>
            </w:rPr>
            <w:fldChar w:fldCharType="end"/>
          </w:r>
          <w:r>
            <w:rPr>
              <w:rFonts w:hint="eastAsia" w:ascii="仿宋" w:hAnsi="仿宋" w:eastAsia="仿宋" w:cs="仿宋"/>
              <w:color w:val="auto"/>
              <w:sz w:val="22"/>
              <w:szCs w:val="22"/>
              <w:highlight w:val="none"/>
              <w:lang w:eastAsia="zh-CN"/>
            </w:rPr>
            <w:fldChar w:fldCharType="end"/>
          </w:r>
        </w:p>
        <w:p w14:paraId="20D06A3C">
          <w:pPr>
            <w:pStyle w:val="56"/>
            <w:keepNext w:val="0"/>
            <w:keepLines w:val="0"/>
            <w:pageBreakBefore w:val="0"/>
            <w:widowControl w:val="0"/>
            <w:tabs>
              <w:tab w:val="right" w:leader="dot" w:pos="9638"/>
            </w:tabs>
            <w:kinsoku/>
            <w:wordWrap/>
            <w:overflowPunct/>
            <w:topLinePunct w:val="0"/>
            <w:autoSpaceDE/>
            <w:autoSpaceDN/>
            <w:bidi w:val="0"/>
            <w:adjustRightInd/>
            <w:snapToGrid/>
            <w:spacing w:line="0" w:lineRule="atLeast"/>
            <w:ind w:left="0" w:leftChars="0" w:firstLine="440" w:firstLineChars="200"/>
            <w:textAlignment w:val="auto"/>
            <w:rPr>
              <w:rFonts w:hint="eastAsia" w:ascii="仿宋" w:hAnsi="仿宋" w:eastAsia="仿宋" w:cs="仿宋"/>
              <w:sz w:val="22"/>
              <w:szCs w:val="22"/>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sz w:val="22"/>
              <w:szCs w:val="22"/>
              <w:highlight w:val="none"/>
              <w:lang w:eastAsia="zh-CN"/>
            </w:rPr>
            <w:instrText xml:space="preserve"> HYPERLINK \l _Toc19055 </w:instrText>
          </w:r>
          <w:r>
            <w:rPr>
              <w:rFonts w:hint="eastAsia" w:ascii="仿宋" w:hAnsi="仿宋" w:eastAsia="仿宋" w:cs="仿宋"/>
              <w:sz w:val="22"/>
              <w:szCs w:val="22"/>
              <w:highlight w:val="none"/>
              <w:lang w:eastAsia="zh-CN"/>
            </w:rPr>
            <w:fldChar w:fldCharType="separate"/>
          </w:r>
          <w:r>
            <w:rPr>
              <w:rFonts w:hint="eastAsia" w:ascii="仿宋" w:hAnsi="仿宋" w:eastAsia="仿宋" w:cs="仿宋"/>
              <w:sz w:val="22"/>
              <w:szCs w:val="22"/>
              <w:highlight w:val="none"/>
              <w:lang w:eastAsia="zh-CN"/>
            </w:rPr>
            <w:t>一、项目基本情况</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_Toc19055 \h </w:instrText>
          </w:r>
          <w:r>
            <w:rPr>
              <w:rFonts w:hint="eastAsia" w:ascii="仿宋" w:hAnsi="仿宋" w:eastAsia="仿宋" w:cs="仿宋"/>
              <w:sz w:val="22"/>
              <w:szCs w:val="22"/>
            </w:rPr>
            <w:fldChar w:fldCharType="separate"/>
          </w:r>
          <w:r>
            <w:rPr>
              <w:rFonts w:hint="eastAsia" w:ascii="仿宋" w:hAnsi="仿宋" w:eastAsia="仿宋" w:cs="仿宋"/>
              <w:sz w:val="22"/>
              <w:szCs w:val="22"/>
            </w:rPr>
            <w:t>1</w:t>
          </w:r>
          <w:r>
            <w:rPr>
              <w:rFonts w:hint="eastAsia" w:ascii="仿宋" w:hAnsi="仿宋" w:eastAsia="仿宋" w:cs="仿宋"/>
              <w:sz w:val="22"/>
              <w:szCs w:val="22"/>
            </w:rPr>
            <w:fldChar w:fldCharType="end"/>
          </w:r>
          <w:r>
            <w:rPr>
              <w:rFonts w:hint="eastAsia" w:ascii="仿宋" w:hAnsi="仿宋" w:eastAsia="仿宋" w:cs="仿宋"/>
              <w:color w:val="auto"/>
              <w:sz w:val="22"/>
              <w:szCs w:val="22"/>
              <w:highlight w:val="none"/>
              <w:lang w:eastAsia="zh-CN"/>
            </w:rPr>
            <w:fldChar w:fldCharType="end"/>
          </w:r>
        </w:p>
        <w:p w14:paraId="53989E62">
          <w:pPr>
            <w:pStyle w:val="56"/>
            <w:keepNext w:val="0"/>
            <w:keepLines w:val="0"/>
            <w:pageBreakBefore w:val="0"/>
            <w:widowControl w:val="0"/>
            <w:tabs>
              <w:tab w:val="right" w:leader="dot" w:pos="9638"/>
            </w:tabs>
            <w:kinsoku/>
            <w:wordWrap/>
            <w:overflowPunct/>
            <w:topLinePunct w:val="0"/>
            <w:autoSpaceDE/>
            <w:autoSpaceDN/>
            <w:bidi w:val="0"/>
            <w:adjustRightInd/>
            <w:snapToGrid/>
            <w:spacing w:line="0" w:lineRule="atLeast"/>
            <w:ind w:left="0" w:leftChars="0" w:firstLine="440" w:firstLineChars="200"/>
            <w:textAlignment w:val="auto"/>
            <w:rPr>
              <w:rFonts w:hint="eastAsia" w:ascii="仿宋" w:hAnsi="仿宋" w:eastAsia="仿宋" w:cs="仿宋"/>
              <w:sz w:val="22"/>
              <w:szCs w:val="22"/>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sz w:val="22"/>
              <w:szCs w:val="22"/>
              <w:highlight w:val="none"/>
              <w:lang w:eastAsia="zh-CN"/>
            </w:rPr>
            <w:instrText xml:space="preserve"> HYPERLINK \l _Toc15184 </w:instrText>
          </w:r>
          <w:r>
            <w:rPr>
              <w:rFonts w:hint="eastAsia" w:ascii="仿宋" w:hAnsi="仿宋" w:eastAsia="仿宋" w:cs="仿宋"/>
              <w:sz w:val="22"/>
              <w:szCs w:val="22"/>
              <w:highlight w:val="none"/>
              <w:lang w:eastAsia="zh-CN"/>
            </w:rPr>
            <w:fldChar w:fldCharType="separate"/>
          </w:r>
          <w:r>
            <w:rPr>
              <w:rFonts w:hint="eastAsia" w:ascii="仿宋" w:hAnsi="仿宋" w:eastAsia="仿宋" w:cs="仿宋"/>
              <w:sz w:val="22"/>
              <w:szCs w:val="22"/>
              <w:highlight w:val="none"/>
              <w:lang w:eastAsia="zh-CN"/>
            </w:rPr>
            <w:t>二、</w:t>
          </w:r>
          <w:r>
            <w:rPr>
              <w:rFonts w:hint="eastAsia" w:ascii="仿宋" w:hAnsi="仿宋" w:eastAsia="仿宋" w:cs="仿宋"/>
              <w:sz w:val="22"/>
              <w:szCs w:val="22"/>
              <w:highlight w:val="none"/>
              <w:lang w:val="en-US" w:eastAsia="zh-CN"/>
            </w:rPr>
            <w:t>投标人</w:t>
          </w:r>
          <w:r>
            <w:rPr>
              <w:rFonts w:hint="eastAsia" w:ascii="仿宋" w:hAnsi="仿宋" w:eastAsia="仿宋" w:cs="仿宋"/>
              <w:sz w:val="22"/>
              <w:szCs w:val="22"/>
              <w:highlight w:val="none"/>
              <w:lang w:eastAsia="zh-CN"/>
            </w:rPr>
            <w:t>的资格要求</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_Toc15184 \h </w:instrText>
          </w:r>
          <w:r>
            <w:rPr>
              <w:rFonts w:hint="eastAsia" w:ascii="仿宋" w:hAnsi="仿宋" w:eastAsia="仿宋" w:cs="仿宋"/>
              <w:sz w:val="22"/>
              <w:szCs w:val="22"/>
            </w:rPr>
            <w:fldChar w:fldCharType="separate"/>
          </w:r>
          <w:r>
            <w:rPr>
              <w:rFonts w:hint="eastAsia" w:ascii="仿宋" w:hAnsi="仿宋" w:eastAsia="仿宋" w:cs="仿宋"/>
              <w:sz w:val="22"/>
              <w:szCs w:val="22"/>
            </w:rPr>
            <w:t>1</w:t>
          </w:r>
          <w:r>
            <w:rPr>
              <w:rFonts w:hint="eastAsia" w:ascii="仿宋" w:hAnsi="仿宋" w:eastAsia="仿宋" w:cs="仿宋"/>
              <w:sz w:val="22"/>
              <w:szCs w:val="22"/>
            </w:rPr>
            <w:fldChar w:fldCharType="end"/>
          </w:r>
          <w:r>
            <w:rPr>
              <w:rFonts w:hint="eastAsia" w:ascii="仿宋" w:hAnsi="仿宋" w:eastAsia="仿宋" w:cs="仿宋"/>
              <w:color w:val="auto"/>
              <w:sz w:val="22"/>
              <w:szCs w:val="22"/>
              <w:highlight w:val="none"/>
              <w:lang w:eastAsia="zh-CN"/>
            </w:rPr>
            <w:fldChar w:fldCharType="end"/>
          </w:r>
        </w:p>
        <w:p w14:paraId="461E06A6">
          <w:pPr>
            <w:pStyle w:val="56"/>
            <w:keepNext w:val="0"/>
            <w:keepLines w:val="0"/>
            <w:pageBreakBefore w:val="0"/>
            <w:widowControl w:val="0"/>
            <w:tabs>
              <w:tab w:val="right" w:leader="dot" w:pos="9638"/>
            </w:tabs>
            <w:kinsoku/>
            <w:wordWrap/>
            <w:overflowPunct/>
            <w:topLinePunct w:val="0"/>
            <w:autoSpaceDE/>
            <w:autoSpaceDN/>
            <w:bidi w:val="0"/>
            <w:adjustRightInd/>
            <w:snapToGrid/>
            <w:spacing w:line="0" w:lineRule="atLeast"/>
            <w:ind w:left="0" w:leftChars="0" w:firstLine="440" w:firstLineChars="200"/>
            <w:textAlignment w:val="auto"/>
            <w:rPr>
              <w:rFonts w:hint="eastAsia" w:ascii="仿宋" w:hAnsi="仿宋" w:eastAsia="仿宋" w:cs="仿宋"/>
              <w:sz w:val="22"/>
              <w:szCs w:val="22"/>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sz w:val="22"/>
              <w:szCs w:val="22"/>
              <w:highlight w:val="none"/>
              <w:lang w:eastAsia="zh-CN"/>
            </w:rPr>
            <w:instrText xml:space="preserve"> HYPERLINK \l _Toc15823 </w:instrText>
          </w:r>
          <w:r>
            <w:rPr>
              <w:rFonts w:hint="eastAsia" w:ascii="仿宋" w:hAnsi="仿宋" w:eastAsia="仿宋" w:cs="仿宋"/>
              <w:sz w:val="22"/>
              <w:szCs w:val="22"/>
              <w:highlight w:val="none"/>
              <w:lang w:eastAsia="zh-CN"/>
            </w:rPr>
            <w:fldChar w:fldCharType="separate"/>
          </w:r>
          <w:r>
            <w:rPr>
              <w:rFonts w:hint="eastAsia" w:ascii="仿宋" w:hAnsi="仿宋" w:eastAsia="仿宋" w:cs="仿宋"/>
              <w:sz w:val="22"/>
              <w:szCs w:val="22"/>
              <w:highlight w:val="none"/>
              <w:lang w:eastAsia="zh-CN"/>
            </w:rPr>
            <w:t>三、获取招标文件</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_Toc15823 \h </w:instrText>
          </w:r>
          <w:r>
            <w:rPr>
              <w:rFonts w:hint="eastAsia" w:ascii="仿宋" w:hAnsi="仿宋" w:eastAsia="仿宋" w:cs="仿宋"/>
              <w:sz w:val="22"/>
              <w:szCs w:val="22"/>
            </w:rPr>
            <w:fldChar w:fldCharType="separate"/>
          </w:r>
          <w:r>
            <w:rPr>
              <w:rFonts w:hint="eastAsia" w:ascii="仿宋" w:hAnsi="仿宋" w:eastAsia="仿宋" w:cs="仿宋"/>
              <w:sz w:val="22"/>
              <w:szCs w:val="22"/>
            </w:rPr>
            <w:t>1</w:t>
          </w:r>
          <w:r>
            <w:rPr>
              <w:rFonts w:hint="eastAsia" w:ascii="仿宋" w:hAnsi="仿宋" w:eastAsia="仿宋" w:cs="仿宋"/>
              <w:sz w:val="22"/>
              <w:szCs w:val="22"/>
            </w:rPr>
            <w:fldChar w:fldCharType="end"/>
          </w:r>
          <w:r>
            <w:rPr>
              <w:rFonts w:hint="eastAsia" w:ascii="仿宋" w:hAnsi="仿宋" w:eastAsia="仿宋" w:cs="仿宋"/>
              <w:color w:val="auto"/>
              <w:sz w:val="22"/>
              <w:szCs w:val="22"/>
              <w:highlight w:val="none"/>
              <w:lang w:eastAsia="zh-CN"/>
            </w:rPr>
            <w:fldChar w:fldCharType="end"/>
          </w:r>
        </w:p>
        <w:p w14:paraId="34146476">
          <w:pPr>
            <w:pStyle w:val="56"/>
            <w:keepNext w:val="0"/>
            <w:keepLines w:val="0"/>
            <w:pageBreakBefore w:val="0"/>
            <w:widowControl w:val="0"/>
            <w:tabs>
              <w:tab w:val="right" w:leader="dot" w:pos="9638"/>
            </w:tabs>
            <w:kinsoku/>
            <w:wordWrap/>
            <w:overflowPunct/>
            <w:topLinePunct w:val="0"/>
            <w:autoSpaceDE/>
            <w:autoSpaceDN/>
            <w:bidi w:val="0"/>
            <w:adjustRightInd/>
            <w:snapToGrid/>
            <w:spacing w:line="0" w:lineRule="atLeast"/>
            <w:ind w:left="0" w:leftChars="0" w:firstLine="440" w:firstLineChars="200"/>
            <w:textAlignment w:val="auto"/>
            <w:rPr>
              <w:rFonts w:hint="eastAsia" w:ascii="仿宋" w:hAnsi="仿宋" w:eastAsia="仿宋" w:cs="仿宋"/>
              <w:sz w:val="22"/>
              <w:szCs w:val="22"/>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sz w:val="22"/>
              <w:szCs w:val="22"/>
              <w:highlight w:val="none"/>
              <w:lang w:eastAsia="zh-CN"/>
            </w:rPr>
            <w:instrText xml:space="preserve"> HYPERLINK \l _Toc29477 </w:instrText>
          </w:r>
          <w:r>
            <w:rPr>
              <w:rFonts w:hint="eastAsia" w:ascii="仿宋" w:hAnsi="仿宋" w:eastAsia="仿宋" w:cs="仿宋"/>
              <w:sz w:val="22"/>
              <w:szCs w:val="22"/>
              <w:highlight w:val="none"/>
              <w:lang w:eastAsia="zh-CN"/>
            </w:rPr>
            <w:fldChar w:fldCharType="separate"/>
          </w:r>
          <w:r>
            <w:rPr>
              <w:rFonts w:hint="eastAsia" w:ascii="仿宋" w:hAnsi="仿宋" w:eastAsia="仿宋" w:cs="仿宋"/>
              <w:sz w:val="22"/>
              <w:szCs w:val="22"/>
              <w:highlight w:val="none"/>
              <w:lang w:eastAsia="zh-CN"/>
            </w:rPr>
            <w:t>四、提交投标文件截止时间、开标时间和地点</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_Toc29477 \h </w:instrText>
          </w:r>
          <w:r>
            <w:rPr>
              <w:rFonts w:hint="eastAsia" w:ascii="仿宋" w:hAnsi="仿宋" w:eastAsia="仿宋" w:cs="仿宋"/>
              <w:sz w:val="22"/>
              <w:szCs w:val="22"/>
            </w:rPr>
            <w:fldChar w:fldCharType="separate"/>
          </w:r>
          <w:r>
            <w:rPr>
              <w:rFonts w:hint="eastAsia" w:ascii="仿宋" w:hAnsi="仿宋" w:eastAsia="仿宋" w:cs="仿宋"/>
              <w:sz w:val="22"/>
              <w:szCs w:val="22"/>
            </w:rPr>
            <w:t>2</w:t>
          </w:r>
          <w:r>
            <w:rPr>
              <w:rFonts w:hint="eastAsia" w:ascii="仿宋" w:hAnsi="仿宋" w:eastAsia="仿宋" w:cs="仿宋"/>
              <w:sz w:val="22"/>
              <w:szCs w:val="22"/>
            </w:rPr>
            <w:fldChar w:fldCharType="end"/>
          </w:r>
          <w:r>
            <w:rPr>
              <w:rFonts w:hint="eastAsia" w:ascii="仿宋" w:hAnsi="仿宋" w:eastAsia="仿宋" w:cs="仿宋"/>
              <w:color w:val="auto"/>
              <w:sz w:val="22"/>
              <w:szCs w:val="22"/>
              <w:highlight w:val="none"/>
              <w:lang w:eastAsia="zh-CN"/>
            </w:rPr>
            <w:fldChar w:fldCharType="end"/>
          </w:r>
        </w:p>
        <w:p w14:paraId="2AEDB359">
          <w:pPr>
            <w:pStyle w:val="56"/>
            <w:keepNext w:val="0"/>
            <w:keepLines w:val="0"/>
            <w:pageBreakBefore w:val="0"/>
            <w:widowControl w:val="0"/>
            <w:tabs>
              <w:tab w:val="right" w:leader="dot" w:pos="9638"/>
            </w:tabs>
            <w:kinsoku/>
            <w:wordWrap/>
            <w:overflowPunct/>
            <w:topLinePunct w:val="0"/>
            <w:autoSpaceDE/>
            <w:autoSpaceDN/>
            <w:bidi w:val="0"/>
            <w:adjustRightInd/>
            <w:snapToGrid/>
            <w:spacing w:line="0" w:lineRule="atLeast"/>
            <w:ind w:left="0" w:leftChars="0" w:firstLine="440" w:firstLineChars="200"/>
            <w:textAlignment w:val="auto"/>
            <w:rPr>
              <w:rFonts w:hint="eastAsia" w:ascii="仿宋" w:hAnsi="仿宋" w:eastAsia="仿宋" w:cs="仿宋"/>
              <w:sz w:val="22"/>
              <w:szCs w:val="22"/>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sz w:val="22"/>
              <w:szCs w:val="22"/>
              <w:highlight w:val="none"/>
              <w:lang w:eastAsia="zh-CN"/>
            </w:rPr>
            <w:instrText xml:space="preserve"> HYPERLINK \l _Toc13390 </w:instrText>
          </w:r>
          <w:r>
            <w:rPr>
              <w:rFonts w:hint="eastAsia" w:ascii="仿宋" w:hAnsi="仿宋" w:eastAsia="仿宋" w:cs="仿宋"/>
              <w:sz w:val="22"/>
              <w:szCs w:val="22"/>
              <w:highlight w:val="none"/>
              <w:lang w:eastAsia="zh-CN"/>
            </w:rPr>
            <w:fldChar w:fldCharType="separate"/>
          </w:r>
          <w:r>
            <w:rPr>
              <w:rFonts w:hint="eastAsia" w:ascii="仿宋" w:hAnsi="仿宋" w:eastAsia="仿宋" w:cs="仿宋"/>
              <w:sz w:val="22"/>
              <w:szCs w:val="22"/>
              <w:highlight w:val="none"/>
              <w:lang w:eastAsia="zh-CN"/>
            </w:rPr>
            <w:t>五、公告期限</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_Toc13390 \h </w:instrText>
          </w:r>
          <w:r>
            <w:rPr>
              <w:rFonts w:hint="eastAsia" w:ascii="仿宋" w:hAnsi="仿宋" w:eastAsia="仿宋" w:cs="仿宋"/>
              <w:sz w:val="22"/>
              <w:szCs w:val="22"/>
            </w:rPr>
            <w:fldChar w:fldCharType="separate"/>
          </w:r>
          <w:r>
            <w:rPr>
              <w:rFonts w:hint="eastAsia" w:ascii="仿宋" w:hAnsi="仿宋" w:eastAsia="仿宋" w:cs="仿宋"/>
              <w:sz w:val="22"/>
              <w:szCs w:val="22"/>
            </w:rPr>
            <w:t>2</w:t>
          </w:r>
          <w:r>
            <w:rPr>
              <w:rFonts w:hint="eastAsia" w:ascii="仿宋" w:hAnsi="仿宋" w:eastAsia="仿宋" w:cs="仿宋"/>
              <w:sz w:val="22"/>
              <w:szCs w:val="22"/>
            </w:rPr>
            <w:fldChar w:fldCharType="end"/>
          </w:r>
          <w:r>
            <w:rPr>
              <w:rFonts w:hint="eastAsia" w:ascii="仿宋" w:hAnsi="仿宋" w:eastAsia="仿宋" w:cs="仿宋"/>
              <w:color w:val="auto"/>
              <w:sz w:val="22"/>
              <w:szCs w:val="22"/>
              <w:highlight w:val="none"/>
              <w:lang w:eastAsia="zh-CN"/>
            </w:rPr>
            <w:fldChar w:fldCharType="end"/>
          </w:r>
        </w:p>
        <w:p w14:paraId="18417F49">
          <w:pPr>
            <w:pStyle w:val="56"/>
            <w:keepNext w:val="0"/>
            <w:keepLines w:val="0"/>
            <w:pageBreakBefore w:val="0"/>
            <w:widowControl w:val="0"/>
            <w:tabs>
              <w:tab w:val="right" w:leader="dot" w:pos="9638"/>
            </w:tabs>
            <w:kinsoku/>
            <w:wordWrap/>
            <w:overflowPunct/>
            <w:topLinePunct w:val="0"/>
            <w:autoSpaceDE/>
            <w:autoSpaceDN/>
            <w:bidi w:val="0"/>
            <w:adjustRightInd/>
            <w:snapToGrid/>
            <w:spacing w:line="0" w:lineRule="atLeast"/>
            <w:ind w:left="0" w:leftChars="0" w:firstLine="440" w:firstLineChars="200"/>
            <w:textAlignment w:val="auto"/>
            <w:rPr>
              <w:rFonts w:hint="eastAsia" w:ascii="仿宋" w:hAnsi="仿宋" w:eastAsia="仿宋" w:cs="仿宋"/>
              <w:sz w:val="22"/>
              <w:szCs w:val="22"/>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sz w:val="22"/>
              <w:szCs w:val="22"/>
              <w:highlight w:val="none"/>
              <w:lang w:eastAsia="zh-CN"/>
            </w:rPr>
            <w:instrText xml:space="preserve"> HYPERLINK \l _Toc30630 </w:instrText>
          </w:r>
          <w:r>
            <w:rPr>
              <w:rFonts w:hint="eastAsia" w:ascii="仿宋" w:hAnsi="仿宋" w:eastAsia="仿宋" w:cs="仿宋"/>
              <w:sz w:val="22"/>
              <w:szCs w:val="22"/>
              <w:highlight w:val="none"/>
              <w:lang w:eastAsia="zh-CN"/>
            </w:rPr>
            <w:fldChar w:fldCharType="separate"/>
          </w:r>
          <w:r>
            <w:rPr>
              <w:rFonts w:hint="eastAsia" w:ascii="仿宋" w:hAnsi="仿宋" w:eastAsia="仿宋" w:cs="仿宋"/>
              <w:sz w:val="22"/>
              <w:szCs w:val="22"/>
              <w:highlight w:val="none"/>
              <w:lang w:val="en-US" w:eastAsia="zh-CN"/>
            </w:rPr>
            <w:t>六、其他补充事宜</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_Toc30630 \h </w:instrText>
          </w:r>
          <w:r>
            <w:rPr>
              <w:rFonts w:hint="eastAsia" w:ascii="仿宋" w:hAnsi="仿宋" w:eastAsia="仿宋" w:cs="仿宋"/>
              <w:sz w:val="22"/>
              <w:szCs w:val="22"/>
            </w:rPr>
            <w:fldChar w:fldCharType="separate"/>
          </w:r>
          <w:r>
            <w:rPr>
              <w:rFonts w:hint="eastAsia" w:ascii="仿宋" w:hAnsi="仿宋" w:eastAsia="仿宋" w:cs="仿宋"/>
              <w:sz w:val="22"/>
              <w:szCs w:val="22"/>
            </w:rPr>
            <w:t>2</w:t>
          </w:r>
          <w:r>
            <w:rPr>
              <w:rFonts w:hint="eastAsia" w:ascii="仿宋" w:hAnsi="仿宋" w:eastAsia="仿宋" w:cs="仿宋"/>
              <w:sz w:val="22"/>
              <w:szCs w:val="22"/>
            </w:rPr>
            <w:fldChar w:fldCharType="end"/>
          </w:r>
          <w:r>
            <w:rPr>
              <w:rFonts w:hint="eastAsia" w:ascii="仿宋" w:hAnsi="仿宋" w:eastAsia="仿宋" w:cs="仿宋"/>
              <w:color w:val="auto"/>
              <w:sz w:val="22"/>
              <w:szCs w:val="22"/>
              <w:highlight w:val="none"/>
              <w:lang w:eastAsia="zh-CN"/>
            </w:rPr>
            <w:fldChar w:fldCharType="end"/>
          </w:r>
        </w:p>
        <w:p w14:paraId="0C308594">
          <w:pPr>
            <w:pStyle w:val="56"/>
            <w:keepNext w:val="0"/>
            <w:keepLines w:val="0"/>
            <w:pageBreakBefore w:val="0"/>
            <w:widowControl w:val="0"/>
            <w:tabs>
              <w:tab w:val="right" w:leader="dot" w:pos="9638"/>
            </w:tabs>
            <w:kinsoku/>
            <w:wordWrap/>
            <w:overflowPunct/>
            <w:topLinePunct w:val="0"/>
            <w:autoSpaceDE/>
            <w:autoSpaceDN/>
            <w:bidi w:val="0"/>
            <w:adjustRightInd/>
            <w:snapToGrid/>
            <w:spacing w:line="0" w:lineRule="atLeast"/>
            <w:ind w:left="0" w:leftChars="0" w:firstLine="440" w:firstLineChars="200"/>
            <w:textAlignment w:val="auto"/>
            <w:rPr>
              <w:rFonts w:hint="eastAsia" w:ascii="仿宋" w:hAnsi="仿宋" w:eastAsia="仿宋" w:cs="仿宋"/>
              <w:sz w:val="22"/>
              <w:szCs w:val="22"/>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sz w:val="22"/>
              <w:szCs w:val="22"/>
              <w:highlight w:val="none"/>
              <w:lang w:eastAsia="zh-CN"/>
            </w:rPr>
            <w:instrText xml:space="preserve"> HYPERLINK \l _Toc27105 </w:instrText>
          </w:r>
          <w:r>
            <w:rPr>
              <w:rFonts w:hint="eastAsia" w:ascii="仿宋" w:hAnsi="仿宋" w:eastAsia="仿宋" w:cs="仿宋"/>
              <w:sz w:val="22"/>
              <w:szCs w:val="22"/>
              <w:highlight w:val="none"/>
              <w:lang w:eastAsia="zh-CN"/>
            </w:rPr>
            <w:fldChar w:fldCharType="separate"/>
          </w:r>
          <w:r>
            <w:rPr>
              <w:rFonts w:hint="eastAsia" w:ascii="仿宋" w:hAnsi="仿宋" w:eastAsia="仿宋" w:cs="仿宋"/>
              <w:sz w:val="22"/>
              <w:szCs w:val="22"/>
              <w:highlight w:val="none"/>
              <w:lang w:val="en-US" w:eastAsia="zh-CN"/>
            </w:rPr>
            <w:t>七</w:t>
          </w:r>
          <w:r>
            <w:rPr>
              <w:rFonts w:hint="eastAsia" w:ascii="仿宋" w:hAnsi="仿宋" w:eastAsia="仿宋" w:cs="仿宋"/>
              <w:sz w:val="22"/>
              <w:szCs w:val="22"/>
              <w:highlight w:val="none"/>
              <w:lang w:eastAsia="zh-CN"/>
            </w:rPr>
            <w:t>、对本次招标提出询问，请按以下方式联系</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_Toc27105 \h </w:instrText>
          </w:r>
          <w:r>
            <w:rPr>
              <w:rFonts w:hint="eastAsia" w:ascii="仿宋" w:hAnsi="仿宋" w:eastAsia="仿宋" w:cs="仿宋"/>
              <w:sz w:val="22"/>
              <w:szCs w:val="22"/>
            </w:rPr>
            <w:fldChar w:fldCharType="separate"/>
          </w:r>
          <w:r>
            <w:rPr>
              <w:rFonts w:hint="eastAsia" w:ascii="仿宋" w:hAnsi="仿宋" w:eastAsia="仿宋" w:cs="仿宋"/>
              <w:sz w:val="22"/>
              <w:szCs w:val="22"/>
            </w:rPr>
            <w:t>2</w:t>
          </w:r>
          <w:r>
            <w:rPr>
              <w:rFonts w:hint="eastAsia" w:ascii="仿宋" w:hAnsi="仿宋" w:eastAsia="仿宋" w:cs="仿宋"/>
              <w:sz w:val="22"/>
              <w:szCs w:val="22"/>
            </w:rPr>
            <w:fldChar w:fldCharType="end"/>
          </w:r>
          <w:r>
            <w:rPr>
              <w:rFonts w:hint="eastAsia" w:ascii="仿宋" w:hAnsi="仿宋" w:eastAsia="仿宋" w:cs="仿宋"/>
              <w:color w:val="auto"/>
              <w:sz w:val="22"/>
              <w:szCs w:val="22"/>
              <w:highlight w:val="none"/>
              <w:lang w:eastAsia="zh-CN"/>
            </w:rPr>
            <w:fldChar w:fldCharType="end"/>
          </w:r>
        </w:p>
        <w:p w14:paraId="484DB201">
          <w:pPr>
            <w:pStyle w:val="56"/>
            <w:keepNext w:val="0"/>
            <w:keepLines w:val="0"/>
            <w:pageBreakBefore w:val="0"/>
            <w:widowControl w:val="0"/>
            <w:tabs>
              <w:tab w:val="right" w:leader="dot" w:pos="9638"/>
            </w:tabs>
            <w:kinsoku/>
            <w:wordWrap/>
            <w:overflowPunct/>
            <w:topLinePunct w:val="0"/>
            <w:autoSpaceDE/>
            <w:autoSpaceDN/>
            <w:bidi w:val="0"/>
            <w:adjustRightInd/>
            <w:snapToGrid/>
            <w:spacing w:line="0" w:lineRule="atLeast"/>
            <w:ind w:left="0" w:leftChars="0" w:firstLine="0" w:firstLineChars="0"/>
            <w:textAlignment w:val="auto"/>
            <w:rPr>
              <w:rFonts w:hint="eastAsia" w:ascii="仿宋" w:hAnsi="仿宋" w:eastAsia="仿宋" w:cs="仿宋"/>
              <w:b/>
              <w:bCs/>
              <w:sz w:val="22"/>
              <w:szCs w:val="22"/>
            </w:rPr>
          </w:pPr>
          <w:r>
            <w:rPr>
              <w:rFonts w:hint="eastAsia" w:ascii="仿宋" w:hAnsi="仿宋" w:eastAsia="仿宋" w:cs="仿宋"/>
              <w:b/>
              <w:bCs/>
              <w:color w:val="auto"/>
              <w:sz w:val="22"/>
              <w:szCs w:val="22"/>
              <w:highlight w:val="none"/>
              <w:lang w:eastAsia="zh-CN"/>
            </w:rPr>
            <w:fldChar w:fldCharType="begin"/>
          </w:r>
          <w:r>
            <w:rPr>
              <w:rFonts w:hint="eastAsia" w:ascii="仿宋" w:hAnsi="仿宋" w:eastAsia="仿宋" w:cs="仿宋"/>
              <w:b/>
              <w:bCs/>
              <w:sz w:val="22"/>
              <w:szCs w:val="22"/>
              <w:highlight w:val="none"/>
              <w:lang w:eastAsia="zh-CN"/>
            </w:rPr>
            <w:instrText xml:space="preserve"> HYPERLINK \l _Toc27980 </w:instrText>
          </w:r>
          <w:r>
            <w:rPr>
              <w:rFonts w:hint="eastAsia" w:ascii="仿宋" w:hAnsi="仿宋" w:eastAsia="仿宋" w:cs="仿宋"/>
              <w:b/>
              <w:bCs/>
              <w:sz w:val="22"/>
              <w:szCs w:val="22"/>
              <w:highlight w:val="none"/>
              <w:lang w:eastAsia="zh-CN"/>
            </w:rPr>
            <w:fldChar w:fldCharType="separate"/>
          </w:r>
          <w:r>
            <w:rPr>
              <w:rFonts w:hint="eastAsia" w:ascii="仿宋" w:hAnsi="仿宋" w:eastAsia="仿宋" w:cs="仿宋"/>
              <w:b/>
              <w:bCs/>
              <w:sz w:val="22"/>
              <w:szCs w:val="22"/>
              <w:highlight w:val="none"/>
              <w:lang w:eastAsia="zh-CN"/>
            </w:rPr>
            <w:t>第二章</w:t>
          </w:r>
          <w:r>
            <w:rPr>
              <w:rFonts w:hint="eastAsia" w:ascii="仿宋" w:hAnsi="仿宋" w:eastAsia="仿宋" w:cs="仿宋"/>
              <w:b/>
              <w:bCs/>
              <w:sz w:val="22"/>
              <w:szCs w:val="22"/>
              <w:highlight w:val="none"/>
              <w:lang w:val="en-US" w:eastAsia="zh-CN"/>
            </w:rPr>
            <w:t xml:space="preserve"> </w:t>
          </w:r>
          <w:r>
            <w:rPr>
              <w:rFonts w:hint="eastAsia" w:ascii="仿宋" w:hAnsi="仿宋" w:eastAsia="仿宋" w:cs="仿宋"/>
              <w:b/>
              <w:bCs/>
              <w:sz w:val="22"/>
              <w:szCs w:val="22"/>
              <w:highlight w:val="none"/>
              <w:lang w:eastAsia="zh-CN"/>
            </w:rPr>
            <w:t>投标人须知</w:t>
          </w:r>
          <w:r>
            <w:rPr>
              <w:rFonts w:hint="eastAsia" w:ascii="仿宋" w:hAnsi="仿宋" w:eastAsia="仿宋" w:cs="仿宋"/>
              <w:b/>
              <w:bCs/>
              <w:sz w:val="22"/>
              <w:szCs w:val="22"/>
            </w:rPr>
            <w:tab/>
          </w:r>
          <w:r>
            <w:rPr>
              <w:rFonts w:hint="eastAsia" w:ascii="仿宋" w:hAnsi="仿宋" w:eastAsia="仿宋" w:cs="仿宋"/>
              <w:b/>
              <w:bCs/>
              <w:sz w:val="22"/>
              <w:szCs w:val="22"/>
            </w:rPr>
            <w:fldChar w:fldCharType="begin"/>
          </w:r>
          <w:r>
            <w:rPr>
              <w:rFonts w:hint="eastAsia" w:ascii="仿宋" w:hAnsi="仿宋" w:eastAsia="仿宋" w:cs="仿宋"/>
              <w:b/>
              <w:bCs/>
              <w:sz w:val="22"/>
              <w:szCs w:val="22"/>
            </w:rPr>
            <w:instrText xml:space="preserve"> PAGEREF _Toc27980 \h </w:instrText>
          </w:r>
          <w:r>
            <w:rPr>
              <w:rFonts w:hint="eastAsia" w:ascii="仿宋" w:hAnsi="仿宋" w:eastAsia="仿宋" w:cs="仿宋"/>
              <w:b/>
              <w:bCs/>
              <w:sz w:val="22"/>
              <w:szCs w:val="22"/>
            </w:rPr>
            <w:fldChar w:fldCharType="separate"/>
          </w:r>
          <w:r>
            <w:rPr>
              <w:rFonts w:hint="eastAsia" w:ascii="仿宋" w:hAnsi="仿宋" w:eastAsia="仿宋" w:cs="仿宋"/>
              <w:b/>
              <w:bCs/>
              <w:sz w:val="22"/>
              <w:szCs w:val="22"/>
            </w:rPr>
            <w:t>4</w:t>
          </w:r>
          <w:r>
            <w:rPr>
              <w:rFonts w:hint="eastAsia" w:ascii="仿宋" w:hAnsi="仿宋" w:eastAsia="仿宋" w:cs="仿宋"/>
              <w:b/>
              <w:bCs/>
              <w:sz w:val="22"/>
              <w:szCs w:val="22"/>
            </w:rPr>
            <w:fldChar w:fldCharType="end"/>
          </w:r>
          <w:r>
            <w:rPr>
              <w:rFonts w:hint="eastAsia" w:ascii="仿宋" w:hAnsi="仿宋" w:eastAsia="仿宋" w:cs="仿宋"/>
              <w:b/>
              <w:bCs/>
              <w:color w:val="auto"/>
              <w:sz w:val="22"/>
              <w:szCs w:val="22"/>
              <w:highlight w:val="none"/>
              <w:lang w:eastAsia="zh-CN"/>
            </w:rPr>
            <w:fldChar w:fldCharType="end"/>
          </w:r>
        </w:p>
        <w:p w14:paraId="0E1ABAD6">
          <w:pPr>
            <w:pStyle w:val="56"/>
            <w:keepNext w:val="0"/>
            <w:keepLines w:val="0"/>
            <w:pageBreakBefore w:val="0"/>
            <w:widowControl w:val="0"/>
            <w:tabs>
              <w:tab w:val="right" w:leader="dot" w:pos="9638"/>
            </w:tabs>
            <w:kinsoku/>
            <w:wordWrap/>
            <w:overflowPunct/>
            <w:topLinePunct w:val="0"/>
            <w:autoSpaceDE/>
            <w:autoSpaceDN/>
            <w:bidi w:val="0"/>
            <w:adjustRightInd/>
            <w:snapToGrid/>
            <w:spacing w:line="0" w:lineRule="atLeast"/>
            <w:ind w:left="0" w:leftChars="0" w:firstLine="440" w:firstLineChars="200"/>
            <w:textAlignment w:val="auto"/>
            <w:rPr>
              <w:rFonts w:hint="eastAsia" w:ascii="仿宋" w:hAnsi="仿宋" w:eastAsia="仿宋" w:cs="仿宋"/>
              <w:sz w:val="22"/>
              <w:szCs w:val="22"/>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sz w:val="22"/>
              <w:szCs w:val="22"/>
              <w:highlight w:val="none"/>
              <w:lang w:eastAsia="zh-CN"/>
            </w:rPr>
            <w:instrText xml:space="preserve"> HYPERLINK \l _Toc1485 </w:instrText>
          </w:r>
          <w:r>
            <w:rPr>
              <w:rFonts w:hint="eastAsia" w:ascii="仿宋" w:hAnsi="仿宋" w:eastAsia="仿宋" w:cs="仿宋"/>
              <w:sz w:val="22"/>
              <w:szCs w:val="22"/>
              <w:highlight w:val="none"/>
              <w:lang w:eastAsia="zh-CN"/>
            </w:rPr>
            <w:fldChar w:fldCharType="separate"/>
          </w:r>
          <w:r>
            <w:rPr>
              <w:rFonts w:hint="eastAsia" w:ascii="仿宋" w:hAnsi="仿宋" w:eastAsia="仿宋" w:cs="仿宋"/>
              <w:sz w:val="22"/>
              <w:szCs w:val="22"/>
              <w:highlight w:val="none"/>
              <w:lang w:eastAsia="zh-CN"/>
            </w:rPr>
            <w:t>投标人须知前附表</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_Toc1485 \h </w:instrText>
          </w:r>
          <w:r>
            <w:rPr>
              <w:rFonts w:hint="eastAsia" w:ascii="仿宋" w:hAnsi="仿宋" w:eastAsia="仿宋" w:cs="仿宋"/>
              <w:sz w:val="22"/>
              <w:szCs w:val="22"/>
            </w:rPr>
            <w:fldChar w:fldCharType="separate"/>
          </w:r>
          <w:r>
            <w:rPr>
              <w:rFonts w:hint="eastAsia" w:ascii="仿宋" w:hAnsi="仿宋" w:eastAsia="仿宋" w:cs="仿宋"/>
              <w:sz w:val="22"/>
              <w:szCs w:val="22"/>
            </w:rPr>
            <w:t>4</w:t>
          </w:r>
          <w:r>
            <w:rPr>
              <w:rFonts w:hint="eastAsia" w:ascii="仿宋" w:hAnsi="仿宋" w:eastAsia="仿宋" w:cs="仿宋"/>
              <w:sz w:val="22"/>
              <w:szCs w:val="22"/>
            </w:rPr>
            <w:fldChar w:fldCharType="end"/>
          </w:r>
          <w:r>
            <w:rPr>
              <w:rFonts w:hint="eastAsia" w:ascii="仿宋" w:hAnsi="仿宋" w:eastAsia="仿宋" w:cs="仿宋"/>
              <w:color w:val="auto"/>
              <w:sz w:val="22"/>
              <w:szCs w:val="22"/>
              <w:highlight w:val="none"/>
              <w:lang w:eastAsia="zh-CN"/>
            </w:rPr>
            <w:fldChar w:fldCharType="end"/>
          </w:r>
        </w:p>
        <w:p w14:paraId="7158414F">
          <w:pPr>
            <w:pStyle w:val="34"/>
            <w:keepNext w:val="0"/>
            <w:keepLines w:val="0"/>
            <w:pageBreakBefore w:val="0"/>
            <w:widowControl w:val="0"/>
            <w:tabs>
              <w:tab w:val="right" w:leader="dot" w:pos="9638"/>
            </w:tabs>
            <w:kinsoku/>
            <w:wordWrap/>
            <w:overflowPunct/>
            <w:topLinePunct w:val="0"/>
            <w:autoSpaceDE/>
            <w:autoSpaceDN/>
            <w:bidi w:val="0"/>
            <w:adjustRightInd/>
            <w:snapToGrid/>
            <w:spacing w:line="0" w:lineRule="atLeast"/>
            <w:ind w:left="0" w:leftChars="0" w:firstLine="440" w:firstLineChars="200"/>
            <w:textAlignment w:val="auto"/>
            <w:rPr>
              <w:rFonts w:hint="eastAsia" w:ascii="仿宋" w:hAnsi="仿宋" w:eastAsia="仿宋" w:cs="仿宋"/>
              <w:sz w:val="22"/>
              <w:szCs w:val="22"/>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sz w:val="22"/>
              <w:szCs w:val="22"/>
              <w:highlight w:val="none"/>
              <w:lang w:eastAsia="zh-CN"/>
            </w:rPr>
            <w:instrText xml:space="preserve"> HYPERLINK \l _Toc4183 </w:instrText>
          </w:r>
          <w:r>
            <w:rPr>
              <w:rFonts w:hint="eastAsia" w:ascii="仿宋" w:hAnsi="仿宋" w:eastAsia="仿宋" w:cs="仿宋"/>
              <w:sz w:val="22"/>
              <w:szCs w:val="22"/>
              <w:highlight w:val="none"/>
              <w:lang w:eastAsia="zh-CN"/>
            </w:rPr>
            <w:fldChar w:fldCharType="separate"/>
          </w:r>
          <w:r>
            <w:rPr>
              <w:rFonts w:hint="eastAsia" w:ascii="仿宋" w:hAnsi="仿宋" w:eastAsia="仿宋" w:cs="仿宋"/>
              <w:sz w:val="22"/>
              <w:szCs w:val="22"/>
              <w:highlight w:val="none"/>
              <w:lang w:eastAsia="zh-CN"/>
            </w:rPr>
            <w:t>1.总则</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_Toc4183 \h </w:instrText>
          </w:r>
          <w:r>
            <w:rPr>
              <w:rFonts w:hint="eastAsia" w:ascii="仿宋" w:hAnsi="仿宋" w:eastAsia="仿宋" w:cs="仿宋"/>
              <w:sz w:val="22"/>
              <w:szCs w:val="22"/>
            </w:rPr>
            <w:fldChar w:fldCharType="separate"/>
          </w:r>
          <w:r>
            <w:rPr>
              <w:rFonts w:hint="eastAsia" w:ascii="仿宋" w:hAnsi="仿宋" w:eastAsia="仿宋" w:cs="仿宋"/>
              <w:sz w:val="22"/>
              <w:szCs w:val="22"/>
            </w:rPr>
            <w:t>15</w:t>
          </w:r>
          <w:r>
            <w:rPr>
              <w:rFonts w:hint="eastAsia" w:ascii="仿宋" w:hAnsi="仿宋" w:eastAsia="仿宋" w:cs="仿宋"/>
              <w:sz w:val="22"/>
              <w:szCs w:val="22"/>
            </w:rPr>
            <w:fldChar w:fldCharType="end"/>
          </w:r>
          <w:r>
            <w:rPr>
              <w:rFonts w:hint="eastAsia" w:ascii="仿宋" w:hAnsi="仿宋" w:eastAsia="仿宋" w:cs="仿宋"/>
              <w:color w:val="auto"/>
              <w:sz w:val="22"/>
              <w:szCs w:val="22"/>
              <w:highlight w:val="none"/>
              <w:lang w:eastAsia="zh-CN"/>
            </w:rPr>
            <w:fldChar w:fldCharType="end"/>
          </w:r>
        </w:p>
        <w:p w14:paraId="2EF99273">
          <w:pPr>
            <w:pStyle w:val="56"/>
            <w:keepNext w:val="0"/>
            <w:keepLines w:val="0"/>
            <w:pageBreakBefore w:val="0"/>
            <w:widowControl w:val="0"/>
            <w:tabs>
              <w:tab w:val="right" w:leader="dot" w:pos="9638"/>
            </w:tabs>
            <w:kinsoku/>
            <w:wordWrap/>
            <w:overflowPunct/>
            <w:topLinePunct w:val="0"/>
            <w:autoSpaceDE/>
            <w:autoSpaceDN/>
            <w:bidi w:val="0"/>
            <w:adjustRightInd/>
            <w:snapToGrid/>
            <w:spacing w:line="0" w:lineRule="atLeast"/>
            <w:ind w:left="0" w:leftChars="0" w:firstLine="440" w:firstLineChars="200"/>
            <w:textAlignment w:val="auto"/>
            <w:rPr>
              <w:rFonts w:hint="eastAsia" w:ascii="仿宋" w:hAnsi="仿宋" w:eastAsia="仿宋" w:cs="仿宋"/>
              <w:sz w:val="22"/>
              <w:szCs w:val="22"/>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sz w:val="22"/>
              <w:szCs w:val="22"/>
              <w:highlight w:val="none"/>
              <w:lang w:eastAsia="zh-CN"/>
            </w:rPr>
            <w:instrText xml:space="preserve"> HYPERLINK \l _Toc31404 </w:instrText>
          </w:r>
          <w:r>
            <w:rPr>
              <w:rFonts w:hint="eastAsia" w:ascii="仿宋" w:hAnsi="仿宋" w:eastAsia="仿宋" w:cs="仿宋"/>
              <w:sz w:val="22"/>
              <w:szCs w:val="22"/>
              <w:highlight w:val="none"/>
              <w:lang w:eastAsia="zh-CN"/>
            </w:rPr>
            <w:fldChar w:fldCharType="separate"/>
          </w:r>
          <w:r>
            <w:rPr>
              <w:rFonts w:hint="eastAsia" w:ascii="仿宋" w:hAnsi="仿宋" w:eastAsia="仿宋" w:cs="仿宋"/>
              <w:sz w:val="22"/>
              <w:szCs w:val="22"/>
              <w:highlight w:val="none"/>
              <w:lang w:eastAsia="zh-CN"/>
            </w:rPr>
            <w:t>2.招标文件</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_Toc31404 \h </w:instrText>
          </w:r>
          <w:r>
            <w:rPr>
              <w:rFonts w:hint="eastAsia" w:ascii="仿宋" w:hAnsi="仿宋" w:eastAsia="仿宋" w:cs="仿宋"/>
              <w:sz w:val="22"/>
              <w:szCs w:val="22"/>
            </w:rPr>
            <w:fldChar w:fldCharType="separate"/>
          </w:r>
          <w:r>
            <w:rPr>
              <w:rFonts w:hint="eastAsia" w:ascii="仿宋" w:hAnsi="仿宋" w:eastAsia="仿宋" w:cs="仿宋"/>
              <w:sz w:val="22"/>
              <w:szCs w:val="22"/>
            </w:rPr>
            <w:t>18</w:t>
          </w:r>
          <w:r>
            <w:rPr>
              <w:rFonts w:hint="eastAsia" w:ascii="仿宋" w:hAnsi="仿宋" w:eastAsia="仿宋" w:cs="仿宋"/>
              <w:sz w:val="22"/>
              <w:szCs w:val="22"/>
            </w:rPr>
            <w:fldChar w:fldCharType="end"/>
          </w:r>
          <w:r>
            <w:rPr>
              <w:rFonts w:hint="eastAsia" w:ascii="仿宋" w:hAnsi="仿宋" w:eastAsia="仿宋" w:cs="仿宋"/>
              <w:color w:val="auto"/>
              <w:sz w:val="22"/>
              <w:szCs w:val="22"/>
              <w:highlight w:val="none"/>
              <w:lang w:eastAsia="zh-CN"/>
            </w:rPr>
            <w:fldChar w:fldCharType="end"/>
          </w:r>
        </w:p>
        <w:p w14:paraId="4255D97F">
          <w:pPr>
            <w:pStyle w:val="56"/>
            <w:keepNext w:val="0"/>
            <w:keepLines w:val="0"/>
            <w:pageBreakBefore w:val="0"/>
            <w:widowControl w:val="0"/>
            <w:tabs>
              <w:tab w:val="right" w:leader="dot" w:pos="9638"/>
            </w:tabs>
            <w:kinsoku/>
            <w:wordWrap/>
            <w:overflowPunct/>
            <w:topLinePunct w:val="0"/>
            <w:autoSpaceDE/>
            <w:autoSpaceDN/>
            <w:bidi w:val="0"/>
            <w:adjustRightInd/>
            <w:snapToGrid/>
            <w:spacing w:line="0" w:lineRule="atLeast"/>
            <w:ind w:left="0" w:leftChars="0" w:firstLine="440" w:firstLineChars="200"/>
            <w:textAlignment w:val="auto"/>
            <w:rPr>
              <w:rFonts w:hint="eastAsia" w:ascii="仿宋" w:hAnsi="仿宋" w:eastAsia="仿宋" w:cs="仿宋"/>
              <w:sz w:val="22"/>
              <w:szCs w:val="22"/>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sz w:val="22"/>
              <w:szCs w:val="22"/>
              <w:highlight w:val="none"/>
              <w:lang w:eastAsia="zh-CN"/>
            </w:rPr>
            <w:instrText xml:space="preserve"> HYPERLINK \l _Toc21180 </w:instrText>
          </w:r>
          <w:r>
            <w:rPr>
              <w:rFonts w:hint="eastAsia" w:ascii="仿宋" w:hAnsi="仿宋" w:eastAsia="仿宋" w:cs="仿宋"/>
              <w:sz w:val="22"/>
              <w:szCs w:val="22"/>
              <w:highlight w:val="none"/>
              <w:lang w:eastAsia="zh-CN"/>
            </w:rPr>
            <w:fldChar w:fldCharType="separate"/>
          </w:r>
          <w:r>
            <w:rPr>
              <w:rFonts w:hint="eastAsia" w:ascii="仿宋" w:hAnsi="仿宋" w:eastAsia="仿宋" w:cs="仿宋"/>
              <w:sz w:val="22"/>
              <w:szCs w:val="22"/>
              <w:highlight w:val="none"/>
              <w:lang w:eastAsia="zh-CN"/>
            </w:rPr>
            <w:t>3.投标文件</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_Toc21180 \h </w:instrText>
          </w:r>
          <w:r>
            <w:rPr>
              <w:rFonts w:hint="eastAsia" w:ascii="仿宋" w:hAnsi="仿宋" w:eastAsia="仿宋" w:cs="仿宋"/>
              <w:sz w:val="22"/>
              <w:szCs w:val="22"/>
            </w:rPr>
            <w:fldChar w:fldCharType="separate"/>
          </w:r>
          <w:r>
            <w:rPr>
              <w:rFonts w:hint="eastAsia" w:ascii="仿宋" w:hAnsi="仿宋" w:eastAsia="仿宋" w:cs="仿宋"/>
              <w:sz w:val="22"/>
              <w:szCs w:val="22"/>
            </w:rPr>
            <w:t>18</w:t>
          </w:r>
          <w:r>
            <w:rPr>
              <w:rFonts w:hint="eastAsia" w:ascii="仿宋" w:hAnsi="仿宋" w:eastAsia="仿宋" w:cs="仿宋"/>
              <w:sz w:val="22"/>
              <w:szCs w:val="22"/>
            </w:rPr>
            <w:fldChar w:fldCharType="end"/>
          </w:r>
          <w:r>
            <w:rPr>
              <w:rFonts w:hint="eastAsia" w:ascii="仿宋" w:hAnsi="仿宋" w:eastAsia="仿宋" w:cs="仿宋"/>
              <w:color w:val="auto"/>
              <w:sz w:val="22"/>
              <w:szCs w:val="22"/>
              <w:highlight w:val="none"/>
              <w:lang w:eastAsia="zh-CN"/>
            </w:rPr>
            <w:fldChar w:fldCharType="end"/>
          </w:r>
        </w:p>
        <w:p w14:paraId="34DDFA76">
          <w:pPr>
            <w:pStyle w:val="56"/>
            <w:keepNext w:val="0"/>
            <w:keepLines w:val="0"/>
            <w:pageBreakBefore w:val="0"/>
            <w:widowControl w:val="0"/>
            <w:tabs>
              <w:tab w:val="right" w:leader="dot" w:pos="9638"/>
            </w:tabs>
            <w:kinsoku/>
            <w:wordWrap/>
            <w:overflowPunct/>
            <w:topLinePunct w:val="0"/>
            <w:autoSpaceDE/>
            <w:autoSpaceDN/>
            <w:bidi w:val="0"/>
            <w:adjustRightInd/>
            <w:snapToGrid/>
            <w:spacing w:line="0" w:lineRule="atLeast"/>
            <w:ind w:left="0" w:leftChars="0" w:firstLine="440" w:firstLineChars="200"/>
            <w:textAlignment w:val="auto"/>
            <w:rPr>
              <w:rFonts w:hint="eastAsia" w:ascii="仿宋" w:hAnsi="仿宋" w:eastAsia="仿宋" w:cs="仿宋"/>
              <w:sz w:val="22"/>
              <w:szCs w:val="22"/>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sz w:val="22"/>
              <w:szCs w:val="22"/>
              <w:highlight w:val="none"/>
              <w:lang w:eastAsia="zh-CN"/>
            </w:rPr>
            <w:instrText xml:space="preserve"> HYPERLINK \l _Toc24619 </w:instrText>
          </w:r>
          <w:r>
            <w:rPr>
              <w:rFonts w:hint="eastAsia" w:ascii="仿宋" w:hAnsi="仿宋" w:eastAsia="仿宋" w:cs="仿宋"/>
              <w:sz w:val="22"/>
              <w:szCs w:val="22"/>
              <w:highlight w:val="none"/>
              <w:lang w:eastAsia="zh-CN"/>
            </w:rPr>
            <w:fldChar w:fldCharType="separate"/>
          </w:r>
          <w:r>
            <w:rPr>
              <w:rFonts w:hint="eastAsia" w:ascii="仿宋" w:hAnsi="仿宋" w:eastAsia="仿宋" w:cs="仿宋"/>
              <w:sz w:val="22"/>
              <w:szCs w:val="22"/>
              <w:highlight w:val="none"/>
              <w:lang w:eastAsia="zh-CN"/>
            </w:rPr>
            <w:t>4.投标</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_Toc24619 \h </w:instrText>
          </w:r>
          <w:r>
            <w:rPr>
              <w:rFonts w:hint="eastAsia" w:ascii="仿宋" w:hAnsi="仿宋" w:eastAsia="仿宋" w:cs="仿宋"/>
              <w:sz w:val="22"/>
              <w:szCs w:val="22"/>
            </w:rPr>
            <w:fldChar w:fldCharType="separate"/>
          </w:r>
          <w:r>
            <w:rPr>
              <w:rFonts w:hint="eastAsia" w:ascii="仿宋" w:hAnsi="仿宋" w:eastAsia="仿宋" w:cs="仿宋"/>
              <w:sz w:val="22"/>
              <w:szCs w:val="22"/>
            </w:rPr>
            <w:t>20</w:t>
          </w:r>
          <w:r>
            <w:rPr>
              <w:rFonts w:hint="eastAsia" w:ascii="仿宋" w:hAnsi="仿宋" w:eastAsia="仿宋" w:cs="仿宋"/>
              <w:sz w:val="22"/>
              <w:szCs w:val="22"/>
            </w:rPr>
            <w:fldChar w:fldCharType="end"/>
          </w:r>
          <w:r>
            <w:rPr>
              <w:rFonts w:hint="eastAsia" w:ascii="仿宋" w:hAnsi="仿宋" w:eastAsia="仿宋" w:cs="仿宋"/>
              <w:color w:val="auto"/>
              <w:sz w:val="22"/>
              <w:szCs w:val="22"/>
              <w:highlight w:val="none"/>
              <w:lang w:eastAsia="zh-CN"/>
            </w:rPr>
            <w:fldChar w:fldCharType="end"/>
          </w:r>
        </w:p>
        <w:p w14:paraId="64ED75FE">
          <w:pPr>
            <w:pStyle w:val="56"/>
            <w:keepNext w:val="0"/>
            <w:keepLines w:val="0"/>
            <w:pageBreakBefore w:val="0"/>
            <w:widowControl w:val="0"/>
            <w:tabs>
              <w:tab w:val="right" w:leader="dot" w:pos="9638"/>
            </w:tabs>
            <w:kinsoku/>
            <w:wordWrap/>
            <w:overflowPunct/>
            <w:topLinePunct w:val="0"/>
            <w:autoSpaceDE/>
            <w:autoSpaceDN/>
            <w:bidi w:val="0"/>
            <w:adjustRightInd/>
            <w:snapToGrid/>
            <w:spacing w:line="0" w:lineRule="atLeast"/>
            <w:ind w:left="0" w:leftChars="0" w:firstLine="440" w:firstLineChars="200"/>
            <w:textAlignment w:val="auto"/>
            <w:rPr>
              <w:rFonts w:hint="eastAsia" w:ascii="仿宋" w:hAnsi="仿宋" w:eastAsia="仿宋" w:cs="仿宋"/>
              <w:sz w:val="22"/>
              <w:szCs w:val="22"/>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sz w:val="22"/>
              <w:szCs w:val="22"/>
              <w:highlight w:val="none"/>
              <w:lang w:eastAsia="zh-CN"/>
            </w:rPr>
            <w:instrText xml:space="preserve"> HYPERLINK \l _Toc17444 </w:instrText>
          </w:r>
          <w:r>
            <w:rPr>
              <w:rFonts w:hint="eastAsia" w:ascii="仿宋" w:hAnsi="仿宋" w:eastAsia="仿宋" w:cs="仿宋"/>
              <w:sz w:val="22"/>
              <w:szCs w:val="22"/>
              <w:highlight w:val="none"/>
              <w:lang w:eastAsia="zh-CN"/>
            </w:rPr>
            <w:fldChar w:fldCharType="separate"/>
          </w:r>
          <w:r>
            <w:rPr>
              <w:rFonts w:hint="eastAsia" w:ascii="仿宋" w:hAnsi="仿宋" w:eastAsia="仿宋" w:cs="仿宋"/>
              <w:sz w:val="22"/>
              <w:szCs w:val="22"/>
              <w:highlight w:val="none"/>
              <w:lang w:eastAsia="zh-CN"/>
            </w:rPr>
            <w:t>5.开标</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_Toc17444 \h </w:instrText>
          </w:r>
          <w:r>
            <w:rPr>
              <w:rFonts w:hint="eastAsia" w:ascii="仿宋" w:hAnsi="仿宋" w:eastAsia="仿宋" w:cs="仿宋"/>
              <w:sz w:val="22"/>
              <w:szCs w:val="22"/>
            </w:rPr>
            <w:fldChar w:fldCharType="separate"/>
          </w:r>
          <w:r>
            <w:rPr>
              <w:rFonts w:hint="eastAsia" w:ascii="仿宋" w:hAnsi="仿宋" w:eastAsia="仿宋" w:cs="仿宋"/>
              <w:sz w:val="22"/>
              <w:szCs w:val="22"/>
            </w:rPr>
            <w:t>21</w:t>
          </w:r>
          <w:r>
            <w:rPr>
              <w:rFonts w:hint="eastAsia" w:ascii="仿宋" w:hAnsi="仿宋" w:eastAsia="仿宋" w:cs="仿宋"/>
              <w:sz w:val="22"/>
              <w:szCs w:val="22"/>
            </w:rPr>
            <w:fldChar w:fldCharType="end"/>
          </w:r>
          <w:r>
            <w:rPr>
              <w:rFonts w:hint="eastAsia" w:ascii="仿宋" w:hAnsi="仿宋" w:eastAsia="仿宋" w:cs="仿宋"/>
              <w:color w:val="auto"/>
              <w:sz w:val="22"/>
              <w:szCs w:val="22"/>
              <w:highlight w:val="none"/>
              <w:lang w:eastAsia="zh-CN"/>
            </w:rPr>
            <w:fldChar w:fldCharType="end"/>
          </w:r>
        </w:p>
        <w:p w14:paraId="47CEAC28">
          <w:pPr>
            <w:pStyle w:val="56"/>
            <w:keepNext w:val="0"/>
            <w:keepLines w:val="0"/>
            <w:pageBreakBefore w:val="0"/>
            <w:widowControl w:val="0"/>
            <w:tabs>
              <w:tab w:val="right" w:leader="dot" w:pos="9638"/>
            </w:tabs>
            <w:kinsoku/>
            <w:wordWrap/>
            <w:overflowPunct/>
            <w:topLinePunct w:val="0"/>
            <w:autoSpaceDE/>
            <w:autoSpaceDN/>
            <w:bidi w:val="0"/>
            <w:adjustRightInd/>
            <w:snapToGrid/>
            <w:spacing w:line="0" w:lineRule="atLeast"/>
            <w:ind w:left="0" w:leftChars="0" w:firstLine="440" w:firstLineChars="200"/>
            <w:textAlignment w:val="auto"/>
            <w:rPr>
              <w:rFonts w:hint="eastAsia" w:ascii="仿宋" w:hAnsi="仿宋" w:eastAsia="仿宋" w:cs="仿宋"/>
              <w:sz w:val="22"/>
              <w:szCs w:val="22"/>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sz w:val="22"/>
              <w:szCs w:val="22"/>
              <w:highlight w:val="none"/>
              <w:lang w:eastAsia="zh-CN"/>
            </w:rPr>
            <w:instrText xml:space="preserve"> HYPERLINK \l _Toc19702 </w:instrText>
          </w:r>
          <w:r>
            <w:rPr>
              <w:rFonts w:hint="eastAsia" w:ascii="仿宋" w:hAnsi="仿宋" w:eastAsia="仿宋" w:cs="仿宋"/>
              <w:sz w:val="22"/>
              <w:szCs w:val="22"/>
              <w:highlight w:val="none"/>
              <w:lang w:eastAsia="zh-CN"/>
            </w:rPr>
            <w:fldChar w:fldCharType="separate"/>
          </w:r>
          <w:r>
            <w:rPr>
              <w:rFonts w:hint="eastAsia" w:ascii="仿宋" w:hAnsi="仿宋" w:eastAsia="仿宋" w:cs="仿宋"/>
              <w:sz w:val="22"/>
              <w:szCs w:val="22"/>
              <w:highlight w:val="none"/>
              <w:lang w:eastAsia="zh-CN"/>
            </w:rPr>
            <w:t>6.资格审查</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_Toc19702 \h </w:instrText>
          </w:r>
          <w:r>
            <w:rPr>
              <w:rFonts w:hint="eastAsia" w:ascii="仿宋" w:hAnsi="仿宋" w:eastAsia="仿宋" w:cs="仿宋"/>
              <w:sz w:val="22"/>
              <w:szCs w:val="22"/>
            </w:rPr>
            <w:fldChar w:fldCharType="separate"/>
          </w:r>
          <w:r>
            <w:rPr>
              <w:rFonts w:hint="eastAsia" w:ascii="仿宋" w:hAnsi="仿宋" w:eastAsia="仿宋" w:cs="仿宋"/>
              <w:sz w:val="22"/>
              <w:szCs w:val="22"/>
            </w:rPr>
            <w:t>21</w:t>
          </w:r>
          <w:r>
            <w:rPr>
              <w:rFonts w:hint="eastAsia" w:ascii="仿宋" w:hAnsi="仿宋" w:eastAsia="仿宋" w:cs="仿宋"/>
              <w:sz w:val="22"/>
              <w:szCs w:val="22"/>
            </w:rPr>
            <w:fldChar w:fldCharType="end"/>
          </w:r>
          <w:r>
            <w:rPr>
              <w:rFonts w:hint="eastAsia" w:ascii="仿宋" w:hAnsi="仿宋" w:eastAsia="仿宋" w:cs="仿宋"/>
              <w:color w:val="auto"/>
              <w:sz w:val="22"/>
              <w:szCs w:val="22"/>
              <w:highlight w:val="none"/>
              <w:lang w:eastAsia="zh-CN"/>
            </w:rPr>
            <w:fldChar w:fldCharType="end"/>
          </w:r>
        </w:p>
        <w:p w14:paraId="5E387002">
          <w:pPr>
            <w:pStyle w:val="56"/>
            <w:keepNext w:val="0"/>
            <w:keepLines w:val="0"/>
            <w:pageBreakBefore w:val="0"/>
            <w:widowControl w:val="0"/>
            <w:tabs>
              <w:tab w:val="right" w:leader="dot" w:pos="9638"/>
            </w:tabs>
            <w:kinsoku/>
            <w:wordWrap/>
            <w:overflowPunct/>
            <w:topLinePunct w:val="0"/>
            <w:autoSpaceDE/>
            <w:autoSpaceDN/>
            <w:bidi w:val="0"/>
            <w:adjustRightInd/>
            <w:snapToGrid/>
            <w:spacing w:line="0" w:lineRule="atLeast"/>
            <w:ind w:left="0" w:leftChars="0" w:firstLine="440" w:firstLineChars="200"/>
            <w:textAlignment w:val="auto"/>
            <w:rPr>
              <w:rFonts w:hint="eastAsia" w:ascii="仿宋" w:hAnsi="仿宋" w:eastAsia="仿宋" w:cs="仿宋"/>
              <w:sz w:val="22"/>
              <w:szCs w:val="22"/>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sz w:val="22"/>
              <w:szCs w:val="22"/>
              <w:highlight w:val="none"/>
              <w:lang w:eastAsia="zh-CN"/>
            </w:rPr>
            <w:instrText xml:space="preserve"> HYPERLINK \l _Toc4989 </w:instrText>
          </w:r>
          <w:r>
            <w:rPr>
              <w:rFonts w:hint="eastAsia" w:ascii="仿宋" w:hAnsi="仿宋" w:eastAsia="仿宋" w:cs="仿宋"/>
              <w:sz w:val="22"/>
              <w:szCs w:val="22"/>
              <w:highlight w:val="none"/>
              <w:lang w:eastAsia="zh-CN"/>
            </w:rPr>
            <w:fldChar w:fldCharType="separate"/>
          </w:r>
          <w:r>
            <w:rPr>
              <w:rFonts w:hint="eastAsia" w:ascii="仿宋" w:hAnsi="仿宋" w:eastAsia="仿宋" w:cs="仿宋"/>
              <w:sz w:val="22"/>
              <w:szCs w:val="22"/>
              <w:highlight w:val="none"/>
              <w:lang w:eastAsia="zh-CN"/>
            </w:rPr>
            <w:t>7.评审</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_Toc4989 \h </w:instrText>
          </w:r>
          <w:r>
            <w:rPr>
              <w:rFonts w:hint="eastAsia" w:ascii="仿宋" w:hAnsi="仿宋" w:eastAsia="仿宋" w:cs="仿宋"/>
              <w:sz w:val="22"/>
              <w:szCs w:val="22"/>
            </w:rPr>
            <w:fldChar w:fldCharType="separate"/>
          </w:r>
          <w:r>
            <w:rPr>
              <w:rFonts w:hint="eastAsia" w:ascii="仿宋" w:hAnsi="仿宋" w:eastAsia="仿宋" w:cs="仿宋"/>
              <w:sz w:val="22"/>
              <w:szCs w:val="22"/>
            </w:rPr>
            <w:t>21</w:t>
          </w:r>
          <w:r>
            <w:rPr>
              <w:rFonts w:hint="eastAsia" w:ascii="仿宋" w:hAnsi="仿宋" w:eastAsia="仿宋" w:cs="仿宋"/>
              <w:sz w:val="22"/>
              <w:szCs w:val="22"/>
            </w:rPr>
            <w:fldChar w:fldCharType="end"/>
          </w:r>
          <w:r>
            <w:rPr>
              <w:rFonts w:hint="eastAsia" w:ascii="仿宋" w:hAnsi="仿宋" w:eastAsia="仿宋" w:cs="仿宋"/>
              <w:color w:val="auto"/>
              <w:sz w:val="22"/>
              <w:szCs w:val="22"/>
              <w:highlight w:val="none"/>
              <w:lang w:eastAsia="zh-CN"/>
            </w:rPr>
            <w:fldChar w:fldCharType="end"/>
          </w:r>
        </w:p>
        <w:p w14:paraId="5AF2D761">
          <w:pPr>
            <w:pStyle w:val="56"/>
            <w:keepNext w:val="0"/>
            <w:keepLines w:val="0"/>
            <w:pageBreakBefore w:val="0"/>
            <w:widowControl w:val="0"/>
            <w:tabs>
              <w:tab w:val="right" w:leader="dot" w:pos="9638"/>
            </w:tabs>
            <w:kinsoku/>
            <w:wordWrap/>
            <w:overflowPunct/>
            <w:topLinePunct w:val="0"/>
            <w:autoSpaceDE/>
            <w:autoSpaceDN/>
            <w:bidi w:val="0"/>
            <w:adjustRightInd/>
            <w:snapToGrid/>
            <w:spacing w:line="0" w:lineRule="atLeast"/>
            <w:ind w:left="0" w:leftChars="0" w:firstLine="440" w:firstLineChars="200"/>
            <w:textAlignment w:val="auto"/>
            <w:rPr>
              <w:rFonts w:hint="eastAsia" w:ascii="仿宋" w:hAnsi="仿宋" w:eastAsia="仿宋" w:cs="仿宋"/>
              <w:sz w:val="22"/>
              <w:szCs w:val="22"/>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sz w:val="22"/>
              <w:szCs w:val="22"/>
              <w:highlight w:val="none"/>
              <w:lang w:eastAsia="zh-CN"/>
            </w:rPr>
            <w:instrText xml:space="preserve"> HYPERLINK \l _Toc14801 </w:instrText>
          </w:r>
          <w:r>
            <w:rPr>
              <w:rFonts w:hint="eastAsia" w:ascii="仿宋" w:hAnsi="仿宋" w:eastAsia="仿宋" w:cs="仿宋"/>
              <w:sz w:val="22"/>
              <w:szCs w:val="22"/>
              <w:highlight w:val="none"/>
              <w:lang w:eastAsia="zh-CN"/>
            </w:rPr>
            <w:fldChar w:fldCharType="separate"/>
          </w:r>
          <w:r>
            <w:rPr>
              <w:rFonts w:hint="eastAsia" w:ascii="仿宋" w:hAnsi="仿宋" w:eastAsia="仿宋" w:cs="仿宋"/>
              <w:sz w:val="22"/>
              <w:szCs w:val="22"/>
              <w:highlight w:val="none"/>
              <w:lang w:eastAsia="zh-CN"/>
            </w:rPr>
            <w:t>8.中标和合同</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_Toc14801 \h </w:instrText>
          </w:r>
          <w:r>
            <w:rPr>
              <w:rFonts w:hint="eastAsia" w:ascii="仿宋" w:hAnsi="仿宋" w:eastAsia="仿宋" w:cs="仿宋"/>
              <w:sz w:val="22"/>
              <w:szCs w:val="22"/>
            </w:rPr>
            <w:fldChar w:fldCharType="separate"/>
          </w:r>
          <w:r>
            <w:rPr>
              <w:rFonts w:hint="eastAsia" w:ascii="仿宋" w:hAnsi="仿宋" w:eastAsia="仿宋" w:cs="仿宋"/>
              <w:sz w:val="22"/>
              <w:szCs w:val="22"/>
            </w:rPr>
            <w:t>23</w:t>
          </w:r>
          <w:r>
            <w:rPr>
              <w:rFonts w:hint="eastAsia" w:ascii="仿宋" w:hAnsi="仿宋" w:eastAsia="仿宋" w:cs="仿宋"/>
              <w:sz w:val="22"/>
              <w:szCs w:val="22"/>
            </w:rPr>
            <w:fldChar w:fldCharType="end"/>
          </w:r>
          <w:r>
            <w:rPr>
              <w:rFonts w:hint="eastAsia" w:ascii="仿宋" w:hAnsi="仿宋" w:eastAsia="仿宋" w:cs="仿宋"/>
              <w:color w:val="auto"/>
              <w:sz w:val="22"/>
              <w:szCs w:val="22"/>
              <w:highlight w:val="none"/>
              <w:lang w:eastAsia="zh-CN"/>
            </w:rPr>
            <w:fldChar w:fldCharType="end"/>
          </w:r>
        </w:p>
        <w:p w14:paraId="44DD5C3C">
          <w:pPr>
            <w:pStyle w:val="56"/>
            <w:keepNext w:val="0"/>
            <w:keepLines w:val="0"/>
            <w:pageBreakBefore w:val="0"/>
            <w:widowControl w:val="0"/>
            <w:tabs>
              <w:tab w:val="right" w:leader="dot" w:pos="9638"/>
            </w:tabs>
            <w:kinsoku/>
            <w:wordWrap/>
            <w:overflowPunct/>
            <w:topLinePunct w:val="0"/>
            <w:autoSpaceDE/>
            <w:autoSpaceDN/>
            <w:bidi w:val="0"/>
            <w:adjustRightInd/>
            <w:snapToGrid/>
            <w:spacing w:line="0" w:lineRule="atLeast"/>
            <w:ind w:left="0" w:leftChars="0" w:firstLine="440" w:firstLineChars="200"/>
            <w:textAlignment w:val="auto"/>
            <w:rPr>
              <w:rFonts w:hint="eastAsia" w:ascii="仿宋" w:hAnsi="仿宋" w:eastAsia="仿宋" w:cs="仿宋"/>
              <w:sz w:val="22"/>
              <w:szCs w:val="22"/>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sz w:val="22"/>
              <w:szCs w:val="22"/>
              <w:highlight w:val="none"/>
              <w:lang w:eastAsia="zh-CN"/>
            </w:rPr>
            <w:instrText xml:space="preserve"> HYPERLINK \l _Toc20591 </w:instrText>
          </w:r>
          <w:r>
            <w:rPr>
              <w:rFonts w:hint="eastAsia" w:ascii="仿宋" w:hAnsi="仿宋" w:eastAsia="仿宋" w:cs="仿宋"/>
              <w:sz w:val="22"/>
              <w:szCs w:val="22"/>
              <w:highlight w:val="none"/>
              <w:lang w:eastAsia="zh-CN"/>
            </w:rPr>
            <w:fldChar w:fldCharType="separate"/>
          </w:r>
          <w:r>
            <w:rPr>
              <w:rFonts w:hint="eastAsia" w:ascii="仿宋" w:hAnsi="仿宋" w:eastAsia="仿宋" w:cs="仿宋"/>
              <w:sz w:val="22"/>
              <w:szCs w:val="22"/>
              <w:highlight w:val="none"/>
              <w:lang w:eastAsia="zh-CN"/>
            </w:rPr>
            <w:t>9.需要补充的其他内容</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_Toc20591 \h </w:instrText>
          </w:r>
          <w:r>
            <w:rPr>
              <w:rFonts w:hint="eastAsia" w:ascii="仿宋" w:hAnsi="仿宋" w:eastAsia="仿宋" w:cs="仿宋"/>
              <w:sz w:val="22"/>
              <w:szCs w:val="22"/>
            </w:rPr>
            <w:fldChar w:fldCharType="separate"/>
          </w:r>
          <w:r>
            <w:rPr>
              <w:rFonts w:hint="eastAsia" w:ascii="仿宋" w:hAnsi="仿宋" w:eastAsia="仿宋" w:cs="仿宋"/>
              <w:sz w:val="22"/>
              <w:szCs w:val="22"/>
            </w:rPr>
            <w:t>24</w:t>
          </w:r>
          <w:r>
            <w:rPr>
              <w:rFonts w:hint="eastAsia" w:ascii="仿宋" w:hAnsi="仿宋" w:eastAsia="仿宋" w:cs="仿宋"/>
              <w:sz w:val="22"/>
              <w:szCs w:val="22"/>
            </w:rPr>
            <w:fldChar w:fldCharType="end"/>
          </w:r>
          <w:r>
            <w:rPr>
              <w:rFonts w:hint="eastAsia" w:ascii="仿宋" w:hAnsi="仿宋" w:eastAsia="仿宋" w:cs="仿宋"/>
              <w:color w:val="auto"/>
              <w:sz w:val="22"/>
              <w:szCs w:val="22"/>
              <w:highlight w:val="none"/>
              <w:lang w:eastAsia="zh-CN"/>
            </w:rPr>
            <w:fldChar w:fldCharType="end"/>
          </w:r>
        </w:p>
        <w:p w14:paraId="5037B207">
          <w:pPr>
            <w:pStyle w:val="56"/>
            <w:keepNext w:val="0"/>
            <w:keepLines w:val="0"/>
            <w:pageBreakBefore w:val="0"/>
            <w:widowControl w:val="0"/>
            <w:tabs>
              <w:tab w:val="right" w:leader="dot" w:pos="9638"/>
            </w:tabs>
            <w:kinsoku/>
            <w:wordWrap/>
            <w:overflowPunct/>
            <w:topLinePunct w:val="0"/>
            <w:autoSpaceDE/>
            <w:autoSpaceDN/>
            <w:bidi w:val="0"/>
            <w:adjustRightInd/>
            <w:snapToGrid/>
            <w:spacing w:line="0" w:lineRule="atLeast"/>
            <w:ind w:left="0" w:leftChars="0" w:firstLine="440" w:firstLineChars="200"/>
            <w:textAlignment w:val="auto"/>
            <w:rPr>
              <w:rFonts w:hint="eastAsia" w:ascii="仿宋" w:hAnsi="仿宋" w:eastAsia="仿宋" w:cs="仿宋"/>
              <w:sz w:val="22"/>
              <w:szCs w:val="22"/>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sz w:val="22"/>
              <w:szCs w:val="22"/>
              <w:highlight w:val="none"/>
              <w:lang w:eastAsia="zh-CN"/>
            </w:rPr>
            <w:instrText xml:space="preserve"> HYPERLINK \l _Toc11925 </w:instrText>
          </w:r>
          <w:r>
            <w:rPr>
              <w:rFonts w:hint="eastAsia" w:ascii="仿宋" w:hAnsi="仿宋" w:eastAsia="仿宋" w:cs="仿宋"/>
              <w:sz w:val="22"/>
              <w:szCs w:val="22"/>
              <w:highlight w:val="none"/>
              <w:lang w:eastAsia="zh-CN"/>
            </w:rPr>
            <w:fldChar w:fldCharType="separate"/>
          </w:r>
          <w:r>
            <w:rPr>
              <w:rFonts w:hint="eastAsia" w:ascii="仿宋" w:hAnsi="仿宋" w:eastAsia="仿宋" w:cs="仿宋"/>
              <w:sz w:val="22"/>
              <w:szCs w:val="22"/>
              <w:highlight w:val="none"/>
              <w:lang w:eastAsia="zh-CN"/>
            </w:rPr>
            <w:t>10.政府采购政策</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_Toc11925 \h </w:instrText>
          </w:r>
          <w:r>
            <w:rPr>
              <w:rFonts w:hint="eastAsia" w:ascii="仿宋" w:hAnsi="仿宋" w:eastAsia="仿宋" w:cs="仿宋"/>
              <w:sz w:val="22"/>
              <w:szCs w:val="22"/>
            </w:rPr>
            <w:fldChar w:fldCharType="separate"/>
          </w:r>
          <w:r>
            <w:rPr>
              <w:rFonts w:hint="eastAsia" w:ascii="仿宋" w:hAnsi="仿宋" w:eastAsia="仿宋" w:cs="仿宋"/>
              <w:sz w:val="22"/>
              <w:szCs w:val="22"/>
            </w:rPr>
            <w:t>24</w:t>
          </w:r>
          <w:r>
            <w:rPr>
              <w:rFonts w:hint="eastAsia" w:ascii="仿宋" w:hAnsi="仿宋" w:eastAsia="仿宋" w:cs="仿宋"/>
              <w:sz w:val="22"/>
              <w:szCs w:val="22"/>
            </w:rPr>
            <w:fldChar w:fldCharType="end"/>
          </w:r>
          <w:r>
            <w:rPr>
              <w:rFonts w:hint="eastAsia" w:ascii="仿宋" w:hAnsi="仿宋" w:eastAsia="仿宋" w:cs="仿宋"/>
              <w:color w:val="auto"/>
              <w:sz w:val="22"/>
              <w:szCs w:val="22"/>
              <w:highlight w:val="none"/>
              <w:lang w:eastAsia="zh-CN"/>
            </w:rPr>
            <w:fldChar w:fldCharType="end"/>
          </w:r>
        </w:p>
        <w:p w14:paraId="2F9074F4">
          <w:pPr>
            <w:pStyle w:val="46"/>
            <w:keepNext w:val="0"/>
            <w:keepLines w:val="0"/>
            <w:pageBreakBefore w:val="0"/>
            <w:widowControl w:val="0"/>
            <w:tabs>
              <w:tab w:val="right" w:leader="dot" w:pos="9638"/>
            </w:tabs>
            <w:kinsoku/>
            <w:wordWrap/>
            <w:overflowPunct/>
            <w:topLinePunct w:val="0"/>
            <w:autoSpaceDE/>
            <w:autoSpaceDN/>
            <w:bidi w:val="0"/>
            <w:adjustRightInd/>
            <w:snapToGrid/>
            <w:spacing w:line="0" w:lineRule="atLeast"/>
            <w:textAlignment w:val="auto"/>
            <w:rPr>
              <w:rFonts w:hint="eastAsia" w:ascii="仿宋" w:hAnsi="仿宋" w:eastAsia="仿宋" w:cs="仿宋"/>
              <w:b/>
              <w:bCs/>
              <w:sz w:val="22"/>
              <w:szCs w:val="22"/>
            </w:rPr>
          </w:pPr>
          <w:r>
            <w:rPr>
              <w:rFonts w:hint="eastAsia" w:ascii="仿宋" w:hAnsi="仿宋" w:eastAsia="仿宋" w:cs="仿宋"/>
              <w:b/>
              <w:bCs/>
              <w:color w:val="auto"/>
              <w:sz w:val="22"/>
              <w:szCs w:val="22"/>
              <w:highlight w:val="none"/>
              <w:lang w:eastAsia="zh-CN"/>
            </w:rPr>
            <w:fldChar w:fldCharType="begin"/>
          </w:r>
          <w:r>
            <w:rPr>
              <w:rFonts w:hint="eastAsia" w:ascii="仿宋" w:hAnsi="仿宋" w:eastAsia="仿宋" w:cs="仿宋"/>
              <w:b/>
              <w:bCs/>
              <w:sz w:val="22"/>
              <w:szCs w:val="22"/>
              <w:highlight w:val="none"/>
              <w:lang w:eastAsia="zh-CN"/>
            </w:rPr>
            <w:instrText xml:space="preserve"> HYPERLINK \l _Toc22403 </w:instrText>
          </w:r>
          <w:r>
            <w:rPr>
              <w:rFonts w:hint="eastAsia" w:ascii="仿宋" w:hAnsi="仿宋" w:eastAsia="仿宋" w:cs="仿宋"/>
              <w:b/>
              <w:bCs/>
              <w:sz w:val="22"/>
              <w:szCs w:val="22"/>
              <w:highlight w:val="none"/>
              <w:lang w:eastAsia="zh-CN"/>
            </w:rPr>
            <w:fldChar w:fldCharType="separate"/>
          </w:r>
          <w:r>
            <w:rPr>
              <w:rFonts w:hint="eastAsia" w:ascii="仿宋" w:hAnsi="仿宋" w:eastAsia="仿宋" w:cs="仿宋"/>
              <w:b/>
              <w:bCs/>
              <w:sz w:val="22"/>
              <w:szCs w:val="22"/>
              <w:highlight w:val="none"/>
              <w:lang w:eastAsia="zh-CN"/>
            </w:rPr>
            <w:t>第三章</w:t>
          </w:r>
          <w:r>
            <w:rPr>
              <w:rFonts w:hint="eastAsia" w:ascii="仿宋" w:hAnsi="仿宋" w:eastAsia="仿宋" w:cs="仿宋"/>
              <w:b/>
              <w:bCs/>
              <w:sz w:val="22"/>
              <w:szCs w:val="22"/>
              <w:highlight w:val="none"/>
              <w:lang w:val="en-US" w:eastAsia="zh-CN"/>
            </w:rPr>
            <w:t xml:space="preserve"> </w:t>
          </w:r>
          <w:r>
            <w:rPr>
              <w:rFonts w:hint="eastAsia" w:ascii="仿宋" w:hAnsi="仿宋" w:eastAsia="仿宋" w:cs="仿宋"/>
              <w:b/>
              <w:bCs/>
              <w:sz w:val="22"/>
              <w:szCs w:val="22"/>
              <w:highlight w:val="none"/>
              <w:lang w:eastAsia="zh-CN"/>
            </w:rPr>
            <w:t>评</w:t>
          </w:r>
          <w:r>
            <w:rPr>
              <w:rFonts w:hint="eastAsia" w:ascii="仿宋" w:hAnsi="仿宋" w:eastAsia="仿宋" w:cs="仿宋"/>
              <w:b/>
              <w:bCs/>
              <w:sz w:val="22"/>
              <w:szCs w:val="22"/>
              <w:highlight w:val="none"/>
              <w:lang w:val="en-US" w:eastAsia="zh-CN"/>
            </w:rPr>
            <w:t>审</w:t>
          </w:r>
          <w:r>
            <w:rPr>
              <w:rFonts w:hint="eastAsia" w:ascii="仿宋" w:hAnsi="仿宋" w:eastAsia="仿宋" w:cs="仿宋"/>
              <w:b/>
              <w:bCs/>
              <w:sz w:val="22"/>
              <w:szCs w:val="22"/>
              <w:highlight w:val="none"/>
              <w:lang w:eastAsia="zh-CN"/>
            </w:rPr>
            <w:t>办法（综合评分法）</w:t>
          </w:r>
          <w:r>
            <w:rPr>
              <w:rFonts w:hint="eastAsia" w:ascii="仿宋" w:hAnsi="仿宋" w:eastAsia="仿宋" w:cs="仿宋"/>
              <w:b/>
              <w:bCs/>
              <w:sz w:val="22"/>
              <w:szCs w:val="22"/>
            </w:rPr>
            <w:tab/>
          </w:r>
          <w:r>
            <w:rPr>
              <w:rFonts w:hint="eastAsia" w:ascii="仿宋" w:hAnsi="仿宋" w:eastAsia="仿宋" w:cs="仿宋"/>
              <w:b/>
              <w:bCs/>
              <w:sz w:val="22"/>
              <w:szCs w:val="22"/>
            </w:rPr>
            <w:fldChar w:fldCharType="begin"/>
          </w:r>
          <w:r>
            <w:rPr>
              <w:rFonts w:hint="eastAsia" w:ascii="仿宋" w:hAnsi="仿宋" w:eastAsia="仿宋" w:cs="仿宋"/>
              <w:b/>
              <w:bCs/>
              <w:sz w:val="22"/>
              <w:szCs w:val="22"/>
            </w:rPr>
            <w:instrText xml:space="preserve"> PAGEREF _Toc22403 \h </w:instrText>
          </w:r>
          <w:r>
            <w:rPr>
              <w:rFonts w:hint="eastAsia" w:ascii="仿宋" w:hAnsi="仿宋" w:eastAsia="仿宋" w:cs="仿宋"/>
              <w:b/>
              <w:bCs/>
              <w:sz w:val="22"/>
              <w:szCs w:val="22"/>
            </w:rPr>
            <w:fldChar w:fldCharType="separate"/>
          </w:r>
          <w:r>
            <w:rPr>
              <w:rFonts w:hint="eastAsia" w:ascii="仿宋" w:hAnsi="仿宋" w:eastAsia="仿宋" w:cs="仿宋"/>
              <w:b/>
              <w:bCs/>
              <w:sz w:val="22"/>
              <w:szCs w:val="22"/>
            </w:rPr>
            <w:t>27</w:t>
          </w:r>
          <w:r>
            <w:rPr>
              <w:rFonts w:hint="eastAsia" w:ascii="仿宋" w:hAnsi="仿宋" w:eastAsia="仿宋" w:cs="仿宋"/>
              <w:b/>
              <w:bCs/>
              <w:sz w:val="22"/>
              <w:szCs w:val="22"/>
            </w:rPr>
            <w:fldChar w:fldCharType="end"/>
          </w:r>
          <w:r>
            <w:rPr>
              <w:rFonts w:hint="eastAsia" w:ascii="仿宋" w:hAnsi="仿宋" w:eastAsia="仿宋" w:cs="仿宋"/>
              <w:b/>
              <w:bCs/>
              <w:color w:val="auto"/>
              <w:sz w:val="22"/>
              <w:szCs w:val="22"/>
              <w:highlight w:val="none"/>
              <w:lang w:eastAsia="zh-CN"/>
            </w:rPr>
            <w:fldChar w:fldCharType="end"/>
          </w:r>
        </w:p>
        <w:p w14:paraId="734A2399">
          <w:pPr>
            <w:pStyle w:val="56"/>
            <w:keepNext w:val="0"/>
            <w:keepLines w:val="0"/>
            <w:pageBreakBefore w:val="0"/>
            <w:widowControl w:val="0"/>
            <w:tabs>
              <w:tab w:val="right" w:leader="dot" w:pos="9638"/>
            </w:tabs>
            <w:kinsoku/>
            <w:wordWrap/>
            <w:overflowPunct/>
            <w:topLinePunct w:val="0"/>
            <w:autoSpaceDE/>
            <w:autoSpaceDN/>
            <w:bidi w:val="0"/>
            <w:adjustRightInd/>
            <w:snapToGrid/>
            <w:spacing w:line="0" w:lineRule="atLeast"/>
            <w:ind w:left="0" w:leftChars="0" w:firstLine="440" w:firstLineChars="200"/>
            <w:textAlignment w:val="auto"/>
            <w:rPr>
              <w:rFonts w:hint="eastAsia" w:ascii="仿宋" w:hAnsi="仿宋" w:eastAsia="仿宋" w:cs="仿宋"/>
              <w:sz w:val="22"/>
              <w:szCs w:val="22"/>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sz w:val="22"/>
              <w:szCs w:val="22"/>
              <w:highlight w:val="none"/>
              <w:lang w:eastAsia="zh-CN"/>
            </w:rPr>
            <w:instrText xml:space="preserve"> HYPERLINK \l _Toc19425 </w:instrText>
          </w:r>
          <w:r>
            <w:rPr>
              <w:rFonts w:hint="eastAsia" w:ascii="仿宋" w:hAnsi="仿宋" w:eastAsia="仿宋" w:cs="仿宋"/>
              <w:sz w:val="22"/>
              <w:szCs w:val="22"/>
              <w:highlight w:val="none"/>
              <w:lang w:eastAsia="zh-CN"/>
            </w:rPr>
            <w:fldChar w:fldCharType="separate"/>
          </w:r>
          <w:r>
            <w:rPr>
              <w:rFonts w:hint="eastAsia" w:ascii="仿宋" w:hAnsi="仿宋" w:eastAsia="仿宋" w:cs="仿宋"/>
              <w:sz w:val="22"/>
              <w:szCs w:val="22"/>
              <w:highlight w:val="none"/>
              <w:lang w:val="en-US" w:eastAsia="zh-CN"/>
            </w:rPr>
            <w:t>1.评审标准前附表</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_Toc19425 \h </w:instrText>
          </w:r>
          <w:r>
            <w:rPr>
              <w:rFonts w:hint="eastAsia" w:ascii="仿宋" w:hAnsi="仿宋" w:eastAsia="仿宋" w:cs="仿宋"/>
              <w:sz w:val="22"/>
              <w:szCs w:val="22"/>
            </w:rPr>
            <w:fldChar w:fldCharType="separate"/>
          </w:r>
          <w:r>
            <w:rPr>
              <w:rFonts w:hint="eastAsia" w:ascii="仿宋" w:hAnsi="仿宋" w:eastAsia="仿宋" w:cs="仿宋"/>
              <w:sz w:val="22"/>
              <w:szCs w:val="22"/>
            </w:rPr>
            <w:t>27</w:t>
          </w:r>
          <w:r>
            <w:rPr>
              <w:rFonts w:hint="eastAsia" w:ascii="仿宋" w:hAnsi="仿宋" w:eastAsia="仿宋" w:cs="仿宋"/>
              <w:sz w:val="22"/>
              <w:szCs w:val="22"/>
            </w:rPr>
            <w:fldChar w:fldCharType="end"/>
          </w:r>
          <w:r>
            <w:rPr>
              <w:rFonts w:hint="eastAsia" w:ascii="仿宋" w:hAnsi="仿宋" w:eastAsia="仿宋" w:cs="仿宋"/>
              <w:color w:val="auto"/>
              <w:sz w:val="22"/>
              <w:szCs w:val="22"/>
              <w:highlight w:val="none"/>
              <w:lang w:eastAsia="zh-CN"/>
            </w:rPr>
            <w:fldChar w:fldCharType="end"/>
          </w:r>
        </w:p>
        <w:p w14:paraId="5CA6C7A6">
          <w:pPr>
            <w:pStyle w:val="56"/>
            <w:keepNext w:val="0"/>
            <w:keepLines w:val="0"/>
            <w:pageBreakBefore w:val="0"/>
            <w:widowControl w:val="0"/>
            <w:tabs>
              <w:tab w:val="right" w:leader="dot" w:pos="9638"/>
            </w:tabs>
            <w:kinsoku/>
            <w:wordWrap/>
            <w:overflowPunct/>
            <w:topLinePunct w:val="0"/>
            <w:autoSpaceDE/>
            <w:autoSpaceDN/>
            <w:bidi w:val="0"/>
            <w:adjustRightInd/>
            <w:snapToGrid/>
            <w:spacing w:line="0" w:lineRule="atLeast"/>
            <w:ind w:left="0" w:leftChars="0" w:firstLine="880" w:firstLineChars="400"/>
            <w:textAlignment w:val="auto"/>
            <w:rPr>
              <w:rFonts w:hint="eastAsia" w:ascii="仿宋" w:hAnsi="仿宋" w:eastAsia="仿宋" w:cs="仿宋"/>
              <w:sz w:val="22"/>
              <w:szCs w:val="22"/>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sz w:val="22"/>
              <w:szCs w:val="22"/>
              <w:highlight w:val="none"/>
              <w:lang w:eastAsia="zh-CN"/>
            </w:rPr>
            <w:instrText xml:space="preserve"> HYPERLINK \l _Toc2195 </w:instrText>
          </w:r>
          <w:r>
            <w:rPr>
              <w:rFonts w:hint="eastAsia" w:ascii="仿宋" w:hAnsi="仿宋" w:eastAsia="仿宋" w:cs="仿宋"/>
              <w:sz w:val="22"/>
              <w:szCs w:val="22"/>
              <w:highlight w:val="none"/>
              <w:lang w:eastAsia="zh-CN"/>
            </w:rPr>
            <w:fldChar w:fldCharType="separate"/>
          </w:r>
          <w:r>
            <w:rPr>
              <w:rFonts w:hint="eastAsia" w:ascii="仿宋" w:hAnsi="仿宋" w:eastAsia="仿宋" w:cs="仿宋"/>
              <w:sz w:val="22"/>
              <w:szCs w:val="22"/>
              <w:highlight w:val="none"/>
              <w:lang w:eastAsia="zh-CN"/>
            </w:rPr>
            <w:t>（</w:t>
          </w:r>
          <w:r>
            <w:rPr>
              <w:rFonts w:hint="eastAsia" w:ascii="仿宋" w:hAnsi="仿宋" w:eastAsia="仿宋" w:cs="仿宋"/>
              <w:sz w:val="22"/>
              <w:szCs w:val="22"/>
              <w:highlight w:val="none"/>
              <w:lang w:val="en-US" w:eastAsia="zh-CN"/>
            </w:rPr>
            <w:t>1</w:t>
          </w:r>
          <w:r>
            <w:rPr>
              <w:rFonts w:hint="eastAsia" w:ascii="仿宋" w:hAnsi="仿宋" w:eastAsia="仿宋" w:cs="仿宋"/>
              <w:sz w:val="22"/>
              <w:szCs w:val="22"/>
              <w:highlight w:val="none"/>
              <w:lang w:eastAsia="zh-CN"/>
            </w:rPr>
            <w:t>）资格审查</w:t>
          </w:r>
          <w:r>
            <w:rPr>
              <w:rFonts w:hint="eastAsia" w:ascii="仿宋" w:hAnsi="仿宋" w:eastAsia="仿宋" w:cs="仿宋"/>
              <w:sz w:val="22"/>
              <w:szCs w:val="22"/>
              <w:highlight w:val="none"/>
              <w:lang w:val="en-US" w:eastAsia="zh-CN"/>
            </w:rPr>
            <w:t>标准</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_Toc2195 \h </w:instrText>
          </w:r>
          <w:r>
            <w:rPr>
              <w:rFonts w:hint="eastAsia" w:ascii="仿宋" w:hAnsi="仿宋" w:eastAsia="仿宋" w:cs="仿宋"/>
              <w:sz w:val="22"/>
              <w:szCs w:val="22"/>
            </w:rPr>
            <w:fldChar w:fldCharType="separate"/>
          </w:r>
          <w:r>
            <w:rPr>
              <w:rFonts w:hint="eastAsia" w:ascii="仿宋" w:hAnsi="仿宋" w:eastAsia="仿宋" w:cs="仿宋"/>
              <w:sz w:val="22"/>
              <w:szCs w:val="22"/>
            </w:rPr>
            <w:t>27</w:t>
          </w:r>
          <w:r>
            <w:rPr>
              <w:rFonts w:hint="eastAsia" w:ascii="仿宋" w:hAnsi="仿宋" w:eastAsia="仿宋" w:cs="仿宋"/>
              <w:sz w:val="22"/>
              <w:szCs w:val="22"/>
            </w:rPr>
            <w:fldChar w:fldCharType="end"/>
          </w:r>
          <w:r>
            <w:rPr>
              <w:rFonts w:hint="eastAsia" w:ascii="仿宋" w:hAnsi="仿宋" w:eastAsia="仿宋" w:cs="仿宋"/>
              <w:color w:val="auto"/>
              <w:sz w:val="22"/>
              <w:szCs w:val="22"/>
              <w:highlight w:val="none"/>
              <w:lang w:eastAsia="zh-CN"/>
            </w:rPr>
            <w:fldChar w:fldCharType="end"/>
          </w:r>
        </w:p>
        <w:p w14:paraId="6E664931">
          <w:pPr>
            <w:pStyle w:val="34"/>
            <w:keepNext w:val="0"/>
            <w:keepLines w:val="0"/>
            <w:pageBreakBefore w:val="0"/>
            <w:widowControl w:val="0"/>
            <w:tabs>
              <w:tab w:val="right" w:leader="dot" w:pos="9638"/>
            </w:tabs>
            <w:kinsoku/>
            <w:wordWrap/>
            <w:overflowPunct/>
            <w:topLinePunct w:val="0"/>
            <w:autoSpaceDE/>
            <w:autoSpaceDN/>
            <w:bidi w:val="0"/>
            <w:adjustRightInd/>
            <w:snapToGrid/>
            <w:spacing w:line="0" w:lineRule="atLeast"/>
            <w:ind w:left="0" w:leftChars="0" w:firstLine="880" w:firstLineChars="400"/>
            <w:textAlignment w:val="auto"/>
            <w:rPr>
              <w:rFonts w:hint="eastAsia" w:ascii="仿宋" w:hAnsi="仿宋" w:eastAsia="仿宋" w:cs="仿宋"/>
              <w:sz w:val="22"/>
              <w:szCs w:val="22"/>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sz w:val="22"/>
              <w:szCs w:val="22"/>
              <w:highlight w:val="none"/>
              <w:lang w:eastAsia="zh-CN"/>
            </w:rPr>
            <w:instrText xml:space="preserve"> HYPERLINK \l _Toc29735 </w:instrText>
          </w:r>
          <w:r>
            <w:rPr>
              <w:rFonts w:hint="eastAsia" w:ascii="仿宋" w:hAnsi="仿宋" w:eastAsia="仿宋" w:cs="仿宋"/>
              <w:sz w:val="22"/>
              <w:szCs w:val="22"/>
              <w:highlight w:val="none"/>
              <w:lang w:eastAsia="zh-CN"/>
            </w:rPr>
            <w:fldChar w:fldCharType="separate"/>
          </w:r>
          <w:r>
            <w:rPr>
              <w:rFonts w:hint="eastAsia" w:ascii="仿宋" w:hAnsi="仿宋" w:eastAsia="仿宋" w:cs="仿宋"/>
              <w:bCs/>
              <w:sz w:val="22"/>
              <w:szCs w:val="22"/>
              <w:highlight w:val="none"/>
              <w:lang w:val="en-US" w:eastAsia="zh-CN"/>
            </w:rPr>
            <w:t>（2）</w:t>
          </w:r>
          <w:r>
            <w:rPr>
              <w:rFonts w:hint="eastAsia" w:ascii="仿宋" w:hAnsi="仿宋" w:eastAsia="仿宋" w:cs="仿宋"/>
              <w:bCs/>
              <w:sz w:val="22"/>
              <w:szCs w:val="22"/>
              <w:highlight w:val="none"/>
              <w:lang w:eastAsia="zh-CN"/>
            </w:rPr>
            <w:t>符合性评审标准</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_Toc29735 \h </w:instrText>
          </w:r>
          <w:r>
            <w:rPr>
              <w:rFonts w:hint="eastAsia" w:ascii="仿宋" w:hAnsi="仿宋" w:eastAsia="仿宋" w:cs="仿宋"/>
              <w:sz w:val="22"/>
              <w:szCs w:val="22"/>
            </w:rPr>
            <w:fldChar w:fldCharType="separate"/>
          </w:r>
          <w:r>
            <w:rPr>
              <w:rFonts w:hint="eastAsia" w:ascii="仿宋" w:hAnsi="仿宋" w:eastAsia="仿宋" w:cs="仿宋"/>
              <w:sz w:val="22"/>
              <w:szCs w:val="22"/>
            </w:rPr>
            <w:t>29</w:t>
          </w:r>
          <w:r>
            <w:rPr>
              <w:rFonts w:hint="eastAsia" w:ascii="仿宋" w:hAnsi="仿宋" w:eastAsia="仿宋" w:cs="仿宋"/>
              <w:sz w:val="22"/>
              <w:szCs w:val="22"/>
            </w:rPr>
            <w:fldChar w:fldCharType="end"/>
          </w:r>
          <w:r>
            <w:rPr>
              <w:rFonts w:hint="eastAsia" w:ascii="仿宋" w:hAnsi="仿宋" w:eastAsia="仿宋" w:cs="仿宋"/>
              <w:color w:val="auto"/>
              <w:sz w:val="22"/>
              <w:szCs w:val="22"/>
              <w:highlight w:val="none"/>
              <w:lang w:eastAsia="zh-CN"/>
            </w:rPr>
            <w:fldChar w:fldCharType="end"/>
          </w:r>
        </w:p>
        <w:p w14:paraId="3478BCBB">
          <w:pPr>
            <w:pStyle w:val="56"/>
            <w:keepNext w:val="0"/>
            <w:keepLines w:val="0"/>
            <w:pageBreakBefore w:val="0"/>
            <w:widowControl w:val="0"/>
            <w:tabs>
              <w:tab w:val="right" w:leader="dot" w:pos="9638"/>
            </w:tabs>
            <w:kinsoku/>
            <w:wordWrap/>
            <w:overflowPunct/>
            <w:topLinePunct w:val="0"/>
            <w:autoSpaceDE/>
            <w:autoSpaceDN/>
            <w:bidi w:val="0"/>
            <w:adjustRightInd/>
            <w:snapToGrid/>
            <w:spacing w:line="0" w:lineRule="atLeast"/>
            <w:ind w:left="0" w:leftChars="0" w:firstLine="880" w:firstLineChars="400"/>
            <w:textAlignment w:val="auto"/>
            <w:rPr>
              <w:rFonts w:hint="eastAsia" w:ascii="仿宋" w:hAnsi="仿宋" w:eastAsia="仿宋" w:cs="仿宋"/>
              <w:sz w:val="22"/>
              <w:szCs w:val="22"/>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sz w:val="22"/>
              <w:szCs w:val="22"/>
              <w:highlight w:val="none"/>
              <w:lang w:eastAsia="zh-CN"/>
            </w:rPr>
            <w:instrText xml:space="preserve"> HYPERLINK \l _Toc2993 </w:instrText>
          </w:r>
          <w:r>
            <w:rPr>
              <w:rFonts w:hint="eastAsia" w:ascii="仿宋" w:hAnsi="仿宋" w:eastAsia="仿宋" w:cs="仿宋"/>
              <w:sz w:val="22"/>
              <w:szCs w:val="22"/>
              <w:highlight w:val="none"/>
              <w:lang w:eastAsia="zh-CN"/>
            </w:rPr>
            <w:fldChar w:fldCharType="separate"/>
          </w:r>
          <w:r>
            <w:rPr>
              <w:rFonts w:hint="eastAsia" w:ascii="仿宋" w:hAnsi="仿宋" w:eastAsia="仿宋" w:cs="仿宋"/>
              <w:sz w:val="22"/>
              <w:szCs w:val="22"/>
              <w:highlight w:val="none"/>
              <w:lang w:val="en-US" w:eastAsia="zh-CN"/>
            </w:rPr>
            <w:t>（3）</w:t>
          </w:r>
          <w:r>
            <w:rPr>
              <w:rFonts w:hint="eastAsia" w:ascii="仿宋" w:hAnsi="仿宋" w:eastAsia="仿宋" w:cs="仿宋"/>
              <w:sz w:val="22"/>
              <w:szCs w:val="22"/>
              <w:highlight w:val="none"/>
              <w:lang w:eastAsia="zh-CN"/>
            </w:rPr>
            <w:t>投标报价</w:t>
          </w:r>
          <w:r>
            <w:rPr>
              <w:rFonts w:hint="eastAsia" w:ascii="仿宋" w:hAnsi="仿宋" w:eastAsia="仿宋" w:cs="仿宋"/>
              <w:sz w:val="22"/>
              <w:szCs w:val="22"/>
              <w:highlight w:val="none"/>
              <w:lang w:val="en-US" w:eastAsia="zh-CN"/>
            </w:rPr>
            <w:t>评分标准（</w:t>
          </w:r>
          <w:r>
            <w:rPr>
              <w:rFonts w:hint="eastAsia" w:ascii="仿宋" w:hAnsi="仿宋" w:eastAsia="仿宋" w:cs="仿宋"/>
              <w:i w:val="0"/>
              <w:iCs w:val="0"/>
              <w:sz w:val="22"/>
              <w:szCs w:val="22"/>
              <w:highlight w:val="none"/>
              <w:lang w:val="en-US" w:eastAsia="zh-CN"/>
            </w:rPr>
            <w:t>满分30分）</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_Toc2993 \h </w:instrText>
          </w:r>
          <w:r>
            <w:rPr>
              <w:rFonts w:hint="eastAsia" w:ascii="仿宋" w:hAnsi="仿宋" w:eastAsia="仿宋" w:cs="仿宋"/>
              <w:sz w:val="22"/>
              <w:szCs w:val="22"/>
            </w:rPr>
            <w:fldChar w:fldCharType="separate"/>
          </w:r>
          <w:r>
            <w:rPr>
              <w:rFonts w:hint="eastAsia" w:ascii="仿宋" w:hAnsi="仿宋" w:eastAsia="仿宋" w:cs="仿宋"/>
              <w:sz w:val="22"/>
              <w:szCs w:val="22"/>
            </w:rPr>
            <w:t>30</w:t>
          </w:r>
          <w:r>
            <w:rPr>
              <w:rFonts w:hint="eastAsia" w:ascii="仿宋" w:hAnsi="仿宋" w:eastAsia="仿宋" w:cs="仿宋"/>
              <w:sz w:val="22"/>
              <w:szCs w:val="22"/>
            </w:rPr>
            <w:fldChar w:fldCharType="end"/>
          </w:r>
          <w:r>
            <w:rPr>
              <w:rFonts w:hint="eastAsia" w:ascii="仿宋" w:hAnsi="仿宋" w:eastAsia="仿宋" w:cs="仿宋"/>
              <w:color w:val="auto"/>
              <w:sz w:val="22"/>
              <w:szCs w:val="22"/>
              <w:highlight w:val="none"/>
              <w:lang w:eastAsia="zh-CN"/>
            </w:rPr>
            <w:fldChar w:fldCharType="end"/>
          </w:r>
        </w:p>
        <w:p w14:paraId="35D64496">
          <w:pPr>
            <w:pStyle w:val="56"/>
            <w:keepNext w:val="0"/>
            <w:keepLines w:val="0"/>
            <w:pageBreakBefore w:val="0"/>
            <w:widowControl w:val="0"/>
            <w:tabs>
              <w:tab w:val="right" w:leader="dot" w:pos="9638"/>
            </w:tabs>
            <w:kinsoku/>
            <w:wordWrap/>
            <w:overflowPunct/>
            <w:topLinePunct w:val="0"/>
            <w:autoSpaceDE/>
            <w:autoSpaceDN/>
            <w:bidi w:val="0"/>
            <w:adjustRightInd/>
            <w:snapToGrid/>
            <w:spacing w:line="0" w:lineRule="atLeast"/>
            <w:ind w:left="0" w:leftChars="0" w:firstLine="880" w:firstLineChars="400"/>
            <w:textAlignment w:val="auto"/>
            <w:rPr>
              <w:rFonts w:hint="eastAsia" w:ascii="仿宋" w:hAnsi="仿宋" w:eastAsia="仿宋" w:cs="仿宋"/>
              <w:sz w:val="22"/>
              <w:szCs w:val="22"/>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sz w:val="22"/>
              <w:szCs w:val="22"/>
              <w:highlight w:val="none"/>
              <w:lang w:eastAsia="zh-CN"/>
            </w:rPr>
            <w:instrText xml:space="preserve"> HYPERLINK \l _Toc7979 </w:instrText>
          </w:r>
          <w:r>
            <w:rPr>
              <w:rFonts w:hint="eastAsia" w:ascii="仿宋" w:hAnsi="仿宋" w:eastAsia="仿宋" w:cs="仿宋"/>
              <w:sz w:val="22"/>
              <w:szCs w:val="22"/>
              <w:highlight w:val="none"/>
              <w:lang w:eastAsia="zh-CN"/>
            </w:rPr>
            <w:fldChar w:fldCharType="separate"/>
          </w:r>
          <w:r>
            <w:rPr>
              <w:rFonts w:hint="eastAsia" w:ascii="仿宋" w:hAnsi="仿宋" w:eastAsia="仿宋" w:cs="仿宋"/>
              <w:sz w:val="22"/>
              <w:szCs w:val="22"/>
              <w:highlight w:val="none"/>
              <w:lang w:val="zh-CN" w:eastAsia="zh-CN"/>
            </w:rPr>
            <w:t>（</w:t>
          </w:r>
          <w:r>
            <w:rPr>
              <w:rFonts w:hint="eastAsia" w:ascii="仿宋" w:hAnsi="仿宋" w:eastAsia="仿宋" w:cs="仿宋"/>
              <w:sz w:val="22"/>
              <w:szCs w:val="22"/>
              <w:highlight w:val="none"/>
              <w:lang w:val="en-US" w:eastAsia="zh-CN"/>
            </w:rPr>
            <w:t>4</w:t>
          </w:r>
          <w:r>
            <w:rPr>
              <w:rFonts w:hint="eastAsia" w:ascii="仿宋" w:hAnsi="仿宋" w:eastAsia="仿宋" w:cs="仿宋"/>
              <w:sz w:val="22"/>
              <w:szCs w:val="22"/>
              <w:highlight w:val="none"/>
              <w:lang w:val="zh-CN" w:eastAsia="zh-CN"/>
            </w:rPr>
            <w:t>）商务技术</w:t>
          </w:r>
          <w:r>
            <w:rPr>
              <w:rFonts w:hint="eastAsia" w:ascii="仿宋" w:hAnsi="仿宋" w:eastAsia="仿宋" w:cs="仿宋"/>
              <w:sz w:val="22"/>
              <w:szCs w:val="22"/>
              <w:highlight w:val="none"/>
              <w:lang w:val="zh-CN"/>
            </w:rPr>
            <w:t>评分</w:t>
          </w:r>
          <w:r>
            <w:rPr>
              <w:rFonts w:hint="eastAsia" w:ascii="仿宋" w:hAnsi="仿宋" w:eastAsia="仿宋" w:cs="仿宋"/>
              <w:sz w:val="22"/>
              <w:szCs w:val="22"/>
              <w:highlight w:val="none"/>
              <w:lang w:val="en-US" w:eastAsia="zh-CN"/>
            </w:rPr>
            <w:t>标准（满分70分）</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_Toc7979 \h </w:instrText>
          </w:r>
          <w:r>
            <w:rPr>
              <w:rFonts w:hint="eastAsia" w:ascii="仿宋" w:hAnsi="仿宋" w:eastAsia="仿宋" w:cs="仿宋"/>
              <w:sz w:val="22"/>
              <w:szCs w:val="22"/>
            </w:rPr>
            <w:fldChar w:fldCharType="separate"/>
          </w:r>
          <w:r>
            <w:rPr>
              <w:rFonts w:hint="eastAsia" w:ascii="仿宋" w:hAnsi="仿宋" w:eastAsia="仿宋" w:cs="仿宋"/>
              <w:sz w:val="22"/>
              <w:szCs w:val="22"/>
            </w:rPr>
            <w:t>31</w:t>
          </w:r>
          <w:r>
            <w:rPr>
              <w:rFonts w:hint="eastAsia" w:ascii="仿宋" w:hAnsi="仿宋" w:eastAsia="仿宋" w:cs="仿宋"/>
              <w:sz w:val="22"/>
              <w:szCs w:val="22"/>
            </w:rPr>
            <w:fldChar w:fldCharType="end"/>
          </w:r>
          <w:r>
            <w:rPr>
              <w:rFonts w:hint="eastAsia" w:ascii="仿宋" w:hAnsi="仿宋" w:eastAsia="仿宋" w:cs="仿宋"/>
              <w:color w:val="auto"/>
              <w:sz w:val="22"/>
              <w:szCs w:val="22"/>
              <w:highlight w:val="none"/>
              <w:lang w:eastAsia="zh-CN"/>
            </w:rPr>
            <w:fldChar w:fldCharType="end"/>
          </w:r>
        </w:p>
        <w:p w14:paraId="5976385E">
          <w:pPr>
            <w:pStyle w:val="56"/>
            <w:keepNext w:val="0"/>
            <w:keepLines w:val="0"/>
            <w:pageBreakBefore w:val="0"/>
            <w:widowControl w:val="0"/>
            <w:tabs>
              <w:tab w:val="right" w:leader="dot" w:pos="9638"/>
            </w:tabs>
            <w:kinsoku/>
            <w:wordWrap/>
            <w:overflowPunct/>
            <w:topLinePunct w:val="0"/>
            <w:autoSpaceDE/>
            <w:autoSpaceDN/>
            <w:bidi w:val="0"/>
            <w:adjustRightInd/>
            <w:snapToGrid/>
            <w:spacing w:line="0" w:lineRule="atLeast"/>
            <w:ind w:left="0" w:leftChars="0" w:firstLine="440" w:firstLineChars="200"/>
            <w:textAlignment w:val="auto"/>
            <w:rPr>
              <w:rFonts w:hint="eastAsia" w:ascii="仿宋" w:hAnsi="仿宋" w:eastAsia="仿宋" w:cs="仿宋"/>
              <w:sz w:val="22"/>
              <w:szCs w:val="22"/>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sz w:val="22"/>
              <w:szCs w:val="22"/>
              <w:highlight w:val="none"/>
              <w:lang w:eastAsia="zh-CN"/>
            </w:rPr>
            <w:instrText xml:space="preserve"> HYPERLINK \l _Toc4581 </w:instrText>
          </w:r>
          <w:r>
            <w:rPr>
              <w:rFonts w:hint="eastAsia" w:ascii="仿宋" w:hAnsi="仿宋" w:eastAsia="仿宋" w:cs="仿宋"/>
              <w:sz w:val="22"/>
              <w:szCs w:val="22"/>
              <w:highlight w:val="none"/>
              <w:lang w:eastAsia="zh-CN"/>
            </w:rPr>
            <w:fldChar w:fldCharType="separate"/>
          </w:r>
          <w:r>
            <w:rPr>
              <w:rFonts w:hint="eastAsia" w:ascii="仿宋" w:hAnsi="仿宋" w:eastAsia="仿宋" w:cs="仿宋"/>
              <w:sz w:val="22"/>
              <w:szCs w:val="22"/>
              <w:highlight w:val="none"/>
              <w:lang w:val="en-US" w:eastAsia="zh-CN"/>
            </w:rPr>
            <w:t>2</w:t>
          </w:r>
          <w:r>
            <w:rPr>
              <w:rFonts w:hint="eastAsia" w:ascii="仿宋" w:hAnsi="仿宋" w:eastAsia="仿宋" w:cs="仿宋"/>
              <w:sz w:val="22"/>
              <w:szCs w:val="22"/>
              <w:highlight w:val="none"/>
              <w:lang w:eastAsia="zh-CN"/>
            </w:rPr>
            <w:t>.评审方法</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_Toc4581 \h </w:instrText>
          </w:r>
          <w:r>
            <w:rPr>
              <w:rFonts w:hint="eastAsia" w:ascii="仿宋" w:hAnsi="仿宋" w:eastAsia="仿宋" w:cs="仿宋"/>
              <w:sz w:val="22"/>
              <w:szCs w:val="22"/>
            </w:rPr>
            <w:fldChar w:fldCharType="separate"/>
          </w:r>
          <w:r>
            <w:rPr>
              <w:rFonts w:hint="eastAsia" w:ascii="仿宋" w:hAnsi="仿宋" w:eastAsia="仿宋" w:cs="仿宋"/>
              <w:sz w:val="22"/>
              <w:szCs w:val="22"/>
            </w:rPr>
            <w:t>33</w:t>
          </w:r>
          <w:r>
            <w:rPr>
              <w:rFonts w:hint="eastAsia" w:ascii="仿宋" w:hAnsi="仿宋" w:eastAsia="仿宋" w:cs="仿宋"/>
              <w:sz w:val="22"/>
              <w:szCs w:val="22"/>
            </w:rPr>
            <w:fldChar w:fldCharType="end"/>
          </w:r>
          <w:r>
            <w:rPr>
              <w:rFonts w:hint="eastAsia" w:ascii="仿宋" w:hAnsi="仿宋" w:eastAsia="仿宋" w:cs="仿宋"/>
              <w:color w:val="auto"/>
              <w:sz w:val="22"/>
              <w:szCs w:val="22"/>
              <w:highlight w:val="none"/>
              <w:lang w:eastAsia="zh-CN"/>
            </w:rPr>
            <w:fldChar w:fldCharType="end"/>
          </w:r>
        </w:p>
        <w:p w14:paraId="627A213C">
          <w:pPr>
            <w:pStyle w:val="56"/>
            <w:keepNext w:val="0"/>
            <w:keepLines w:val="0"/>
            <w:pageBreakBefore w:val="0"/>
            <w:widowControl w:val="0"/>
            <w:tabs>
              <w:tab w:val="right" w:leader="dot" w:pos="9638"/>
            </w:tabs>
            <w:kinsoku/>
            <w:wordWrap/>
            <w:overflowPunct/>
            <w:topLinePunct w:val="0"/>
            <w:autoSpaceDE/>
            <w:autoSpaceDN/>
            <w:bidi w:val="0"/>
            <w:adjustRightInd/>
            <w:snapToGrid/>
            <w:spacing w:line="0" w:lineRule="atLeast"/>
            <w:ind w:left="0" w:leftChars="0" w:firstLine="440" w:firstLineChars="200"/>
            <w:textAlignment w:val="auto"/>
            <w:rPr>
              <w:rFonts w:hint="eastAsia" w:ascii="仿宋" w:hAnsi="仿宋" w:eastAsia="仿宋" w:cs="仿宋"/>
              <w:sz w:val="22"/>
              <w:szCs w:val="22"/>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sz w:val="22"/>
              <w:szCs w:val="22"/>
              <w:highlight w:val="none"/>
              <w:lang w:eastAsia="zh-CN"/>
            </w:rPr>
            <w:instrText xml:space="preserve"> HYPERLINK \l _Toc16369 </w:instrText>
          </w:r>
          <w:r>
            <w:rPr>
              <w:rFonts w:hint="eastAsia" w:ascii="仿宋" w:hAnsi="仿宋" w:eastAsia="仿宋" w:cs="仿宋"/>
              <w:sz w:val="22"/>
              <w:szCs w:val="22"/>
              <w:highlight w:val="none"/>
              <w:lang w:eastAsia="zh-CN"/>
            </w:rPr>
            <w:fldChar w:fldCharType="separate"/>
          </w:r>
          <w:r>
            <w:rPr>
              <w:rFonts w:hint="eastAsia" w:ascii="仿宋" w:hAnsi="仿宋" w:eastAsia="仿宋" w:cs="仿宋"/>
              <w:sz w:val="22"/>
              <w:szCs w:val="22"/>
              <w:highlight w:val="none"/>
              <w:lang w:val="en-US" w:eastAsia="zh-CN"/>
            </w:rPr>
            <w:t>3</w:t>
          </w:r>
          <w:r>
            <w:rPr>
              <w:rFonts w:hint="eastAsia" w:ascii="仿宋" w:hAnsi="仿宋" w:eastAsia="仿宋" w:cs="仿宋"/>
              <w:sz w:val="22"/>
              <w:szCs w:val="22"/>
              <w:highlight w:val="none"/>
              <w:lang w:eastAsia="zh-CN"/>
            </w:rPr>
            <w:t>.评审程序及标准</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_Toc16369 \h </w:instrText>
          </w:r>
          <w:r>
            <w:rPr>
              <w:rFonts w:hint="eastAsia" w:ascii="仿宋" w:hAnsi="仿宋" w:eastAsia="仿宋" w:cs="仿宋"/>
              <w:sz w:val="22"/>
              <w:szCs w:val="22"/>
            </w:rPr>
            <w:fldChar w:fldCharType="separate"/>
          </w:r>
          <w:r>
            <w:rPr>
              <w:rFonts w:hint="eastAsia" w:ascii="仿宋" w:hAnsi="仿宋" w:eastAsia="仿宋" w:cs="仿宋"/>
              <w:sz w:val="22"/>
              <w:szCs w:val="22"/>
            </w:rPr>
            <w:t>33</w:t>
          </w:r>
          <w:r>
            <w:rPr>
              <w:rFonts w:hint="eastAsia" w:ascii="仿宋" w:hAnsi="仿宋" w:eastAsia="仿宋" w:cs="仿宋"/>
              <w:sz w:val="22"/>
              <w:szCs w:val="22"/>
            </w:rPr>
            <w:fldChar w:fldCharType="end"/>
          </w:r>
          <w:r>
            <w:rPr>
              <w:rFonts w:hint="eastAsia" w:ascii="仿宋" w:hAnsi="仿宋" w:eastAsia="仿宋" w:cs="仿宋"/>
              <w:color w:val="auto"/>
              <w:sz w:val="22"/>
              <w:szCs w:val="22"/>
              <w:highlight w:val="none"/>
              <w:lang w:eastAsia="zh-CN"/>
            </w:rPr>
            <w:fldChar w:fldCharType="end"/>
          </w:r>
        </w:p>
        <w:p w14:paraId="0FA74011">
          <w:pPr>
            <w:pStyle w:val="56"/>
            <w:keepNext w:val="0"/>
            <w:keepLines w:val="0"/>
            <w:pageBreakBefore w:val="0"/>
            <w:widowControl w:val="0"/>
            <w:tabs>
              <w:tab w:val="right" w:leader="dot" w:pos="9638"/>
            </w:tabs>
            <w:kinsoku/>
            <w:wordWrap/>
            <w:overflowPunct/>
            <w:topLinePunct w:val="0"/>
            <w:autoSpaceDE/>
            <w:autoSpaceDN/>
            <w:bidi w:val="0"/>
            <w:adjustRightInd/>
            <w:snapToGrid/>
            <w:spacing w:line="0" w:lineRule="atLeast"/>
            <w:ind w:left="0" w:leftChars="0" w:firstLine="440" w:firstLineChars="200"/>
            <w:textAlignment w:val="auto"/>
            <w:rPr>
              <w:rFonts w:hint="eastAsia" w:ascii="仿宋" w:hAnsi="仿宋" w:eastAsia="仿宋" w:cs="仿宋"/>
              <w:sz w:val="22"/>
              <w:szCs w:val="22"/>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sz w:val="22"/>
              <w:szCs w:val="22"/>
              <w:highlight w:val="none"/>
              <w:lang w:eastAsia="zh-CN"/>
            </w:rPr>
            <w:instrText xml:space="preserve"> HYPERLINK \l _Toc14859 </w:instrText>
          </w:r>
          <w:r>
            <w:rPr>
              <w:rFonts w:hint="eastAsia" w:ascii="仿宋" w:hAnsi="仿宋" w:eastAsia="仿宋" w:cs="仿宋"/>
              <w:sz w:val="22"/>
              <w:szCs w:val="22"/>
              <w:highlight w:val="none"/>
              <w:lang w:eastAsia="zh-CN"/>
            </w:rPr>
            <w:fldChar w:fldCharType="separate"/>
          </w:r>
          <w:r>
            <w:rPr>
              <w:rFonts w:hint="eastAsia" w:ascii="仿宋" w:hAnsi="仿宋" w:eastAsia="仿宋" w:cs="仿宋"/>
              <w:sz w:val="22"/>
              <w:szCs w:val="22"/>
              <w:highlight w:val="none"/>
              <w:lang w:val="en-US" w:eastAsia="zh-CN"/>
            </w:rPr>
            <w:t>4.</w:t>
          </w:r>
          <w:r>
            <w:rPr>
              <w:rFonts w:hint="eastAsia" w:ascii="仿宋" w:hAnsi="仿宋" w:eastAsia="仿宋" w:cs="仿宋"/>
              <w:sz w:val="22"/>
              <w:szCs w:val="22"/>
              <w:highlight w:val="none"/>
              <w:lang w:eastAsia="zh-CN"/>
            </w:rPr>
            <w:t>详细评审</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_Toc14859 \h </w:instrText>
          </w:r>
          <w:r>
            <w:rPr>
              <w:rFonts w:hint="eastAsia" w:ascii="仿宋" w:hAnsi="仿宋" w:eastAsia="仿宋" w:cs="仿宋"/>
              <w:sz w:val="22"/>
              <w:szCs w:val="22"/>
            </w:rPr>
            <w:fldChar w:fldCharType="separate"/>
          </w:r>
          <w:r>
            <w:rPr>
              <w:rFonts w:hint="eastAsia" w:ascii="仿宋" w:hAnsi="仿宋" w:eastAsia="仿宋" w:cs="仿宋"/>
              <w:sz w:val="22"/>
              <w:szCs w:val="22"/>
            </w:rPr>
            <w:t>33</w:t>
          </w:r>
          <w:r>
            <w:rPr>
              <w:rFonts w:hint="eastAsia" w:ascii="仿宋" w:hAnsi="仿宋" w:eastAsia="仿宋" w:cs="仿宋"/>
              <w:sz w:val="22"/>
              <w:szCs w:val="22"/>
            </w:rPr>
            <w:fldChar w:fldCharType="end"/>
          </w:r>
          <w:r>
            <w:rPr>
              <w:rFonts w:hint="eastAsia" w:ascii="仿宋" w:hAnsi="仿宋" w:eastAsia="仿宋" w:cs="仿宋"/>
              <w:color w:val="auto"/>
              <w:sz w:val="22"/>
              <w:szCs w:val="22"/>
              <w:highlight w:val="none"/>
              <w:lang w:eastAsia="zh-CN"/>
            </w:rPr>
            <w:fldChar w:fldCharType="end"/>
          </w:r>
        </w:p>
        <w:p w14:paraId="0291F497">
          <w:pPr>
            <w:pStyle w:val="56"/>
            <w:keepNext w:val="0"/>
            <w:keepLines w:val="0"/>
            <w:pageBreakBefore w:val="0"/>
            <w:widowControl w:val="0"/>
            <w:tabs>
              <w:tab w:val="right" w:leader="dot" w:pos="9638"/>
            </w:tabs>
            <w:kinsoku/>
            <w:wordWrap/>
            <w:overflowPunct/>
            <w:topLinePunct w:val="0"/>
            <w:autoSpaceDE/>
            <w:autoSpaceDN/>
            <w:bidi w:val="0"/>
            <w:adjustRightInd/>
            <w:snapToGrid/>
            <w:spacing w:line="0" w:lineRule="atLeast"/>
            <w:ind w:left="0" w:leftChars="0" w:firstLine="440" w:firstLineChars="200"/>
            <w:textAlignment w:val="auto"/>
            <w:rPr>
              <w:rFonts w:hint="eastAsia" w:ascii="仿宋" w:hAnsi="仿宋" w:eastAsia="仿宋" w:cs="仿宋"/>
              <w:sz w:val="22"/>
              <w:szCs w:val="22"/>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sz w:val="22"/>
              <w:szCs w:val="22"/>
              <w:highlight w:val="none"/>
              <w:lang w:eastAsia="zh-CN"/>
            </w:rPr>
            <w:instrText xml:space="preserve"> HYPERLINK \l _Toc32263 </w:instrText>
          </w:r>
          <w:r>
            <w:rPr>
              <w:rFonts w:hint="eastAsia" w:ascii="仿宋" w:hAnsi="仿宋" w:eastAsia="仿宋" w:cs="仿宋"/>
              <w:sz w:val="22"/>
              <w:szCs w:val="22"/>
              <w:highlight w:val="none"/>
              <w:lang w:eastAsia="zh-CN"/>
            </w:rPr>
            <w:fldChar w:fldCharType="separate"/>
          </w:r>
          <w:r>
            <w:rPr>
              <w:rFonts w:hint="eastAsia" w:ascii="仿宋" w:hAnsi="仿宋" w:eastAsia="仿宋" w:cs="仿宋"/>
              <w:sz w:val="22"/>
              <w:szCs w:val="22"/>
              <w:highlight w:val="none"/>
              <w:lang w:val="en-US" w:eastAsia="zh-CN"/>
            </w:rPr>
            <w:t>5</w:t>
          </w:r>
          <w:r>
            <w:rPr>
              <w:rFonts w:hint="eastAsia" w:ascii="仿宋" w:hAnsi="仿宋" w:eastAsia="仿宋" w:cs="仿宋"/>
              <w:sz w:val="22"/>
              <w:szCs w:val="22"/>
              <w:highlight w:val="none"/>
              <w:lang w:eastAsia="zh-CN"/>
            </w:rPr>
            <w:t>.投标文件的澄清</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_Toc32263 \h </w:instrText>
          </w:r>
          <w:r>
            <w:rPr>
              <w:rFonts w:hint="eastAsia" w:ascii="仿宋" w:hAnsi="仿宋" w:eastAsia="仿宋" w:cs="仿宋"/>
              <w:sz w:val="22"/>
              <w:szCs w:val="22"/>
            </w:rPr>
            <w:fldChar w:fldCharType="separate"/>
          </w:r>
          <w:r>
            <w:rPr>
              <w:rFonts w:hint="eastAsia" w:ascii="仿宋" w:hAnsi="仿宋" w:eastAsia="仿宋" w:cs="仿宋"/>
              <w:sz w:val="22"/>
              <w:szCs w:val="22"/>
            </w:rPr>
            <w:t>34</w:t>
          </w:r>
          <w:r>
            <w:rPr>
              <w:rFonts w:hint="eastAsia" w:ascii="仿宋" w:hAnsi="仿宋" w:eastAsia="仿宋" w:cs="仿宋"/>
              <w:sz w:val="22"/>
              <w:szCs w:val="22"/>
            </w:rPr>
            <w:fldChar w:fldCharType="end"/>
          </w:r>
          <w:r>
            <w:rPr>
              <w:rFonts w:hint="eastAsia" w:ascii="仿宋" w:hAnsi="仿宋" w:eastAsia="仿宋" w:cs="仿宋"/>
              <w:color w:val="auto"/>
              <w:sz w:val="22"/>
              <w:szCs w:val="22"/>
              <w:highlight w:val="none"/>
              <w:lang w:eastAsia="zh-CN"/>
            </w:rPr>
            <w:fldChar w:fldCharType="end"/>
          </w:r>
        </w:p>
        <w:p w14:paraId="6AE9694F">
          <w:pPr>
            <w:pStyle w:val="56"/>
            <w:keepNext w:val="0"/>
            <w:keepLines w:val="0"/>
            <w:pageBreakBefore w:val="0"/>
            <w:widowControl w:val="0"/>
            <w:tabs>
              <w:tab w:val="right" w:leader="dot" w:pos="9638"/>
            </w:tabs>
            <w:kinsoku/>
            <w:wordWrap/>
            <w:overflowPunct/>
            <w:topLinePunct w:val="0"/>
            <w:autoSpaceDE/>
            <w:autoSpaceDN/>
            <w:bidi w:val="0"/>
            <w:adjustRightInd/>
            <w:snapToGrid/>
            <w:spacing w:line="0" w:lineRule="atLeast"/>
            <w:ind w:left="0" w:leftChars="0" w:firstLine="440" w:firstLineChars="200"/>
            <w:textAlignment w:val="auto"/>
            <w:rPr>
              <w:rFonts w:hint="eastAsia" w:ascii="仿宋" w:hAnsi="仿宋" w:eastAsia="仿宋" w:cs="仿宋"/>
              <w:sz w:val="22"/>
              <w:szCs w:val="22"/>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sz w:val="22"/>
              <w:szCs w:val="22"/>
              <w:highlight w:val="none"/>
              <w:lang w:eastAsia="zh-CN"/>
            </w:rPr>
            <w:instrText xml:space="preserve"> HYPERLINK \l _Toc7648 </w:instrText>
          </w:r>
          <w:r>
            <w:rPr>
              <w:rFonts w:hint="eastAsia" w:ascii="仿宋" w:hAnsi="仿宋" w:eastAsia="仿宋" w:cs="仿宋"/>
              <w:sz w:val="22"/>
              <w:szCs w:val="22"/>
              <w:highlight w:val="none"/>
              <w:lang w:eastAsia="zh-CN"/>
            </w:rPr>
            <w:fldChar w:fldCharType="separate"/>
          </w:r>
          <w:r>
            <w:rPr>
              <w:rFonts w:hint="eastAsia" w:ascii="仿宋" w:hAnsi="仿宋" w:eastAsia="仿宋" w:cs="仿宋"/>
              <w:sz w:val="22"/>
              <w:szCs w:val="22"/>
              <w:highlight w:val="none"/>
              <w:lang w:val="en-US" w:eastAsia="zh-CN"/>
            </w:rPr>
            <w:t>6</w:t>
          </w:r>
          <w:r>
            <w:rPr>
              <w:rFonts w:hint="eastAsia" w:ascii="仿宋" w:hAnsi="仿宋" w:eastAsia="仿宋" w:cs="仿宋"/>
              <w:sz w:val="22"/>
              <w:szCs w:val="22"/>
              <w:highlight w:val="none"/>
              <w:lang w:eastAsia="zh-CN"/>
            </w:rPr>
            <w:t>.评审结果</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_Toc7648 \h </w:instrText>
          </w:r>
          <w:r>
            <w:rPr>
              <w:rFonts w:hint="eastAsia" w:ascii="仿宋" w:hAnsi="仿宋" w:eastAsia="仿宋" w:cs="仿宋"/>
              <w:sz w:val="22"/>
              <w:szCs w:val="22"/>
            </w:rPr>
            <w:fldChar w:fldCharType="separate"/>
          </w:r>
          <w:r>
            <w:rPr>
              <w:rFonts w:hint="eastAsia" w:ascii="仿宋" w:hAnsi="仿宋" w:eastAsia="仿宋" w:cs="仿宋"/>
              <w:sz w:val="22"/>
              <w:szCs w:val="22"/>
            </w:rPr>
            <w:t>34</w:t>
          </w:r>
          <w:r>
            <w:rPr>
              <w:rFonts w:hint="eastAsia" w:ascii="仿宋" w:hAnsi="仿宋" w:eastAsia="仿宋" w:cs="仿宋"/>
              <w:sz w:val="22"/>
              <w:szCs w:val="22"/>
            </w:rPr>
            <w:fldChar w:fldCharType="end"/>
          </w:r>
          <w:r>
            <w:rPr>
              <w:rFonts w:hint="eastAsia" w:ascii="仿宋" w:hAnsi="仿宋" w:eastAsia="仿宋" w:cs="仿宋"/>
              <w:color w:val="auto"/>
              <w:sz w:val="22"/>
              <w:szCs w:val="22"/>
              <w:highlight w:val="none"/>
              <w:lang w:eastAsia="zh-CN"/>
            </w:rPr>
            <w:fldChar w:fldCharType="end"/>
          </w:r>
        </w:p>
        <w:p w14:paraId="05D7E0E4">
          <w:pPr>
            <w:pStyle w:val="46"/>
            <w:keepNext w:val="0"/>
            <w:keepLines w:val="0"/>
            <w:pageBreakBefore w:val="0"/>
            <w:widowControl w:val="0"/>
            <w:tabs>
              <w:tab w:val="right" w:leader="dot" w:pos="9638"/>
            </w:tabs>
            <w:kinsoku/>
            <w:wordWrap/>
            <w:overflowPunct/>
            <w:topLinePunct w:val="0"/>
            <w:autoSpaceDE/>
            <w:autoSpaceDN/>
            <w:bidi w:val="0"/>
            <w:adjustRightInd/>
            <w:snapToGrid/>
            <w:spacing w:line="0" w:lineRule="atLeast"/>
            <w:textAlignment w:val="auto"/>
            <w:rPr>
              <w:rFonts w:hint="eastAsia" w:ascii="仿宋" w:hAnsi="仿宋" w:eastAsia="仿宋" w:cs="仿宋"/>
              <w:b/>
              <w:bCs/>
              <w:sz w:val="22"/>
              <w:szCs w:val="22"/>
            </w:rPr>
          </w:pPr>
          <w:r>
            <w:rPr>
              <w:rFonts w:hint="eastAsia" w:ascii="仿宋" w:hAnsi="仿宋" w:eastAsia="仿宋" w:cs="仿宋"/>
              <w:b/>
              <w:bCs/>
              <w:color w:val="auto"/>
              <w:sz w:val="22"/>
              <w:szCs w:val="22"/>
              <w:highlight w:val="none"/>
              <w:lang w:eastAsia="zh-CN"/>
            </w:rPr>
            <w:fldChar w:fldCharType="begin"/>
          </w:r>
          <w:r>
            <w:rPr>
              <w:rFonts w:hint="eastAsia" w:ascii="仿宋" w:hAnsi="仿宋" w:eastAsia="仿宋" w:cs="仿宋"/>
              <w:b/>
              <w:bCs/>
              <w:sz w:val="22"/>
              <w:szCs w:val="22"/>
              <w:highlight w:val="none"/>
              <w:lang w:eastAsia="zh-CN"/>
            </w:rPr>
            <w:instrText xml:space="preserve"> HYPERLINK \l _Toc5049 </w:instrText>
          </w:r>
          <w:r>
            <w:rPr>
              <w:rFonts w:hint="eastAsia" w:ascii="仿宋" w:hAnsi="仿宋" w:eastAsia="仿宋" w:cs="仿宋"/>
              <w:b/>
              <w:bCs/>
              <w:sz w:val="22"/>
              <w:szCs w:val="22"/>
              <w:highlight w:val="none"/>
              <w:lang w:eastAsia="zh-CN"/>
            </w:rPr>
            <w:fldChar w:fldCharType="separate"/>
          </w:r>
          <w:r>
            <w:rPr>
              <w:rFonts w:hint="eastAsia" w:ascii="仿宋" w:hAnsi="仿宋" w:eastAsia="仿宋" w:cs="仿宋"/>
              <w:b/>
              <w:bCs/>
              <w:sz w:val="22"/>
              <w:szCs w:val="22"/>
              <w:highlight w:val="none"/>
              <w:lang w:eastAsia="zh-CN"/>
            </w:rPr>
            <w:t>第四章 采购需求及要求</w:t>
          </w:r>
          <w:r>
            <w:rPr>
              <w:rFonts w:hint="eastAsia" w:ascii="仿宋" w:hAnsi="仿宋" w:eastAsia="仿宋" w:cs="仿宋"/>
              <w:b/>
              <w:bCs/>
              <w:sz w:val="22"/>
              <w:szCs w:val="22"/>
            </w:rPr>
            <w:tab/>
          </w:r>
          <w:r>
            <w:rPr>
              <w:rFonts w:hint="eastAsia" w:ascii="仿宋" w:hAnsi="仿宋" w:eastAsia="仿宋" w:cs="仿宋"/>
              <w:b/>
              <w:bCs/>
              <w:sz w:val="22"/>
              <w:szCs w:val="22"/>
            </w:rPr>
            <w:fldChar w:fldCharType="begin"/>
          </w:r>
          <w:r>
            <w:rPr>
              <w:rFonts w:hint="eastAsia" w:ascii="仿宋" w:hAnsi="仿宋" w:eastAsia="仿宋" w:cs="仿宋"/>
              <w:b/>
              <w:bCs/>
              <w:sz w:val="22"/>
              <w:szCs w:val="22"/>
            </w:rPr>
            <w:instrText xml:space="preserve"> PAGEREF _Toc5049 \h </w:instrText>
          </w:r>
          <w:r>
            <w:rPr>
              <w:rFonts w:hint="eastAsia" w:ascii="仿宋" w:hAnsi="仿宋" w:eastAsia="仿宋" w:cs="仿宋"/>
              <w:b/>
              <w:bCs/>
              <w:sz w:val="22"/>
              <w:szCs w:val="22"/>
            </w:rPr>
            <w:fldChar w:fldCharType="separate"/>
          </w:r>
          <w:r>
            <w:rPr>
              <w:rFonts w:hint="eastAsia" w:ascii="仿宋" w:hAnsi="仿宋" w:eastAsia="仿宋" w:cs="仿宋"/>
              <w:b/>
              <w:bCs/>
              <w:sz w:val="22"/>
              <w:szCs w:val="22"/>
            </w:rPr>
            <w:t>36</w:t>
          </w:r>
          <w:r>
            <w:rPr>
              <w:rFonts w:hint="eastAsia" w:ascii="仿宋" w:hAnsi="仿宋" w:eastAsia="仿宋" w:cs="仿宋"/>
              <w:b/>
              <w:bCs/>
              <w:sz w:val="22"/>
              <w:szCs w:val="22"/>
            </w:rPr>
            <w:fldChar w:fldCharType="end"/>
          </w:r>
          <w:r>
            <w:rPr>
              <w:rFonts w:hint="eastAsia" w:ascii="仿宋" w:hAnsi="仿宋" w:eastAsia="仿宋" w:cs="仿宋"/>
              <w:b/>
              <w:bCs/>
              <w:color w:val="auto"/>
              <w:sz w:val="22"/>
              <w:szCs w:val="22"/>
              <w:highlight w:val="none"/>
              <w:lang w:eastAsia="zh-CN"/>
            </w:rPr>
            <w:fldChar w:fldCharType="end"/>
          </w:r>
        </w:p>
        <w:p w14:paraId="1330F9E2">
          <w:pPr>
            <w:pStyle w:val="56"/>
            <w:keepNext w:val="0"/>
            <w:keepLines w:val="0"/>
            <w:pageBreakBefore w:val="0"/>
            <w:widowControl w:val="0"/>
            <w:tabs>
              <w:tab w:val="right" w:leader="dot" w:pos="9638"/>
            </w:tabs>
            <w:kinsoku/>
            <w:wordWrap/>
            <w:overflowPunct/>
            <w:topLinePunct w:val="0"/>
            <w:autoSpaceDE/>
            <w:autoSpaceDN/>
            <w:bidi w:val="0"/>
            <w:adjustRightInd/>
            <w:snapToGrid/>
            <w:spacing w:line="0" w:lineRule="atLeast"/>
            <w:ind w:left="0" w:leftChars="0" w:firstLine="440" w:firstLineChars="200"/>
            <w:textAlignment w:val="auto"/>
            <w:rPr>
              <w:rFonts w:hint="eastAsia" w:ascii="仿宋" w:hAnsi="仿宋" w:eastAsia="仿宋" w:cs="仿宋"/>
              <w:sz w:val="22"/>
              <w:szCs w:val="22"/>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sz w:val="22"/>
              <w:szCs w:val="22"/>
              <w:highlight w:val="none"/>
              <w:lang w:eastAsia="zh-CN"/>
            </w:rPr>
            <w:instrText xml:space="preserve"> HYPERLINK \l _Toc877 </w:instrText>
          </w:r>
          <w:r>
            <w:rPr>
              <w:rFonts w:hint="eastAsia" w:ascii="仿宋" w:hAnsi="仿宋" w:eastAsia="仿宋" w:cs="仿宋"/>
              <w:sz w:val="22"/>
              <w:szCs w:val="22"/>
              <w:highlight w:val="none"/>
              <w:lang w:eastAsia="zh-CN"/>
            </w:rPr>
            <w:fldChar w:fldCharType="separate"/>
          </w:r>
          <w:r>
            <w:rPr>
              <w:rFonts w:hint="eastAsia" w:ascii="仿宋" w:hAnsi="仿宋" w:eastAsia="仿宋" w:cs="仿宋"/>
              <w:sz w:val="22"/>
              <w:szCs w:val="22"/>
              <w:highlight w:val="none"/>
              <w:lang w:val="en-US" w:eastAsia="zh-CN"/>
            </w:rPr>
            <w:t>一、特别说明与规定</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_Toc877 \h </w:instrText>
          </w:r>
          <w:r>
            <w:rPr>
              <w:rFonts w:hint="eastAsia" w:ascii="仿宋" w:hAnsi="仿宋" w:eastAsia="仿宋" w:cs="仿宋"/>
              <w:sz w:val="22"/>
              <w:szCs w:val="22"/>
            </w:rPr>
            <w:fldChar w:fldCharType="separate"/>
          </w:r>
          <w:r>
            <w:rPr>
              <w:rFonts w:hint="eastAsia" w:ascii="仿宋" w:hAnsi="仿宋" w:eastAsia="仿宋" w:cs="仿宋"/>
              <w:sz w:val="22"/>
              <w:szCs w:val="22"/>
            </w:rPr>
            <w:t>36</w:t>
          </w:r>
          <w:r>
            <w:rPr>
              <w:rFonts w:hint="eastAsia" w:ascii="仿宋" w:hAnsi="仿宋" w:eastAsia="仿宋" w:cs="仿宋"/>
              <w:sz w:val="22"/>
              <w:szCs w:val="22"/>
            </w:rPr>
            <w:fldChar w:fldCharType="end"/>
          </w:r>
          <w:r>
            <w:rPr>
              <w:rFonts w:hint="eastAsia" w:ascii="仿宋" w:hAnsi="仿宋" w:eastAsia="仿宋" w:cs="仿宋"/>
              <w:color w:val="auto"/>
              <w:sz w:val="22"/>
              <w:szCs w:val="22"/>
              <w:highlight w:val="none"/>
              <w:lang w:eastAsia="zh-CN"/>
            </w:rPr>
            <w:fldChar w:fldCharType="end"/>
          </w:r>
        </w:p>
        <w:p w14:paraId="0D677CE1">
          <w:pPr>
            <w:pStyle w:val="56"/>
            <w:keepNext w:val="0"/>
            <w:keepLines w:val="0"/>
            <w:pageBreakBefore w:val="0"/>
            <w:widowControl w:val="0"/>
            <w:tabs>
              <w:tab w:val="right" w:leader="dot" w:pos="9638"/>
            </w:tabs>
            <w:kinsoku/>
            <w:wordWrap/>
            <w:overflowPunct/>
            <w:topLinePunct w:val="0"/>
            <w:autoSpaceDE/>
            <w:autoSpaceDN/>
            <w:bidi w:val="0"/>
            <w:adjustRightInd/>
            <w:snapToGrid/>
            <w:spacing w:line="0" w:lineRule="atLeast"/>
            <w:ind w:left="0" w:leftChars="0" w:firstLine="440" w:firstLineChars="200"/>
            <w:textAlignment w:val="auto"/>
            <w:rPr>
              <w:rFonts w:hint="eastAsia" w:ascii="仿宋" w:hAnsi="仿宋" w:eastAsia="仿宋" w:cs="仿宋"/>
              <w:sz w:val="22"/>
              <w:szCs w:val="22"/>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sz w:val="22"/>
              <w:szCs w:val="22"/>
              <w:highlight w:val="none"/>
              <w:lang w:eastAsia="zh-CN"/>
            </w:rPr>
            <w:instrText xml:space="preserve"> HYPERLINK \l _Toc3140 </w:instrText>
          </w:r>
          <w:r>
            <w:rPr>
              <w:rFonts w:hint="eastAsia" w:ascii="仿宋" w:hAnsi="仿宋" w:eastAsia="仿宋" w:cs="仿宋"/>
              <w:sz w:val="22"/>
              <w:szCs w:val="22"/>
              <w:highlight w:val="none"/>
              <w:lang w:eastAsia="zh-CN"/>
            </w:rPr>
            <w:fldChar w:fldCharType="separate"/>
          </w:r>
          <w:r>
            <w:rPr>
              <w:rFonts w:hint="eastAsia" w:ascii="仿宋" w:hAnsi="仿宋" w:eastAsia="仿宋" w:cs="仿宋"/>
              <w:sz w:val="22"/>
              <w:szCs w:val="22"/>
              <w:highlight w:val="none"/>
              <w:lang w:val="en-US" w:eastAsia="zh-CN"/>
            </w:rPr>
            <w:t>二、技术要求</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_Toc3140 \h </w:instrText>
          </w:r>
          <w:r>
            <w:rPr>
              <w:rFonts w:hint="eastAsia" w:ascii="仿宋" w:hAnsi="仿宋" w:eastAsia="仿宋" w:cs="仿宋"/>
              <w:sz w:val="22"/>
              <w:szCs w:val="22"/>
            </w:rPr>
            <w:fldChar w:fldCharType="separate"/>
          </w:r>
          <w:r>
            <w:rPr>
              <w:rFonts w:hint="eastAsia" w:ascii="仿宋" w:hAnsi="仿宋" w:eastAsia="仿宋" w:cs="仿宋"/>
              <w:sz w:val="22"/>
              <w:szCs w:val="22"/>
            </w:rPr>
            <w:t>38</w:t>
          </w:r>
          <w:r>
            <w:rPr>
              <w:rFonts w:hint="eastAsia" w:ascii="仿宋" w:hAnsi="仿宋" w:eastAsia="仿宋" w:cs="仿宋"/>
              <w:sz w:val="22"/>
              <w:szCs w:val="22"/>
            </w:rPr>
            <w:fldChar w:fldCharType="end"/>
          </w:r>
          <w:r>
            <w:rPr>
              <w:rFonts w:hint="eastAsia" w:ascii="仿宋" w:hAnsi="仿宋" w:eastAsia="仿宋" w:cs="仿宋"/>
              <w:color w:val="auto"/>
              <w:sz w:val="22"/>
              <w:szCs w:val="22"/>
              <w:highlight w:val="none"/>
              <w:lang w:eastAsia="zh-CN"/>
            </w:rPr>
            <w:fldChar w:fldCharType="end"/>
          </w:r>
        </w:p>
        <w:p w14:paraId="63A30DBA">
          <w:pPr>
            <w:pStyle w:val="34"/>
            <w:keepNext w:val="0"/>
            <w:keepLines w:val="0"/>
            <w:pageBreakBefore w:val="0"/>
            <w:widowControl w:val="0"/>
            <w:tabs>
              <w:tab w:val="right" w:leader="dot" w:pos="9638"/>
            </w:tabs>
            <w:kinsoku/>
            <w:wordWrap/>
            <w:overflowPunct/>
            <w:topLinePunct w:val="0"/>
            <w:autoSpaceDE/>
            <w:autoSpaceDN/>
            <w:bidi w:val="0"/>
            <w:adjustRightInd/>
            <w:snapToGrid/>
            <w:spacing w:line="0" w:lineRule="atLeast"/>
            <w:ind w:left="0" w:leftChars="0" w:firstLine="440" w:firstLineChars="200"/>
            <w:textAlignment w:val="auto"/>
            <w:rPr>
              <w:rFonts w:hint="eastAsia" w:ascii="仿宋" w:hAnsi="仿宋" w:eastAsia="仿宋" w:cs="仿宋"/>
              <w:sz w:val="22"/>
              <w:szCs w:val="22"/>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sz w:val="22"/>
              <w:szCs w:val="22"/>
              <w:highlight w:val="none"/>
              <w:lang w:eastAsia="zh-CN"/>
            </w:rPr>
            <w:instrText xml:space="preserve"> HYPERLINK \l _Toc6472 </w:instrText>
          </w:r>
          <w:r>
            <w:rPr>
              <w:rFonts w:hint="eastAsia" w:ascii="仿宋" w:hAnsi="仿宋" w:eastAsia="仿宋" w:cs="仿宋"/>
              <w:sz w:val="22"/>
              <w:szCs w:val="22"/>
              <w:highlight w:val="none"/>
              <w:lang w:eastAsia="zh-CN"/>
            </w:rPr>
            <w:fldChar w:fldCharType="separate"/>
          </w:r>
          <w:r>
            <w:rPr>
              <w:rFonts w:hint="eastAsia" w:ascii="仿宋" w:hAnsi="仿宋" w:eastAsia="仿宋" w:cs="仿宋"/>
              <w:bCs/>
              <w:sz w:val="22"/>
              <w:szCs w:val="22"/>
              <w:highlight w:val="none"/>
            </w:rPr>
            <w:t>★</w:t>
          </w:r>
          <w:r>
            <w:rPr>
              <w:rFonts w:hint="eastAsia" w:ascii="仿宋" w:hAnsi="仿宋" w:eastAsia="仿宋" w:cs="仿宋"/>
              <w:sz w:val="22"/>
              <w:szCs w:val="22"/>
              <w:highlight w:val="none"/>
              <w:lang w:val="en-US" w:eastAsia="zh-CN"/>
            </w:rPr>
            <w:t>三、其他商务要求</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_Toc6472 \h </w:instrText>
          </w:r>
          <w:r>
            <w:rPr>
              <w:rFonts w:hint="eastAsia" w:ascii="仿宋" w:hAnsi="仿宋" w:eastAsia="仿宋" w:cs="仿宋"/>
              <w:sz w:val="22"/>
              <w:szCs w:val="22"/>
            </w:rPr>
            <w:fldChar w:fldCharType="separate"/>
          </w:r>
          <w:r>
            <w:rPr>
              <w:rFonts w:hint="eastAsia" w:ascii="仿宋" w:hAnsi="仿宋" w:eastAsia="仿宋" w:cs="仿宋"/>
              <w:sz w:val="22"/>
              <w:szCs w:val="22"/>
            </w:rPr>
            <w:t>51</w:t>
          </w:r>
          <w:r>
            <w:rPr>
              <w:rFonts w:hint="eastAsia" w:ascii="仿宋" w:hAnsi="仿宋" w:eastAsia="仿宋" w:cs="仿宋"/>
              <w:sz w:val="22"/>
              <w:szCs w:val="22"/>
            </w:rPr>
            <w:fldChar w:fldCharType="end"/>
          </w:r>
          <w:r>
            <w:rPr>
              <w:rFonts w:hint="eastAsia" w:ascii="仿宋" w:hAnsi="仿宋" w:eastAsia="仿宋" w:cs="仿宋"/>
              <w:color w:val="auto"/>
              <w:sz w:val="22"/>
              <w:szCs w:val="22"/>
              <w:highlight w:val="none"/>
              <w:lang w:eastAsia="zh-CN"/>
            </w:rPr>
            <w:fldChar w:fldCharType="end"/>
          </w:r>
        </w:p>
        <w:p w14:paraId="31F79DB8">
          <w:pPr>
            <w:pStyle w:val="46"/>
            <w:keepNext w:val="0"/>
            <w:keepLines w:val="0"/>
            <w:pageBreakBefore w:val="0"/>
            <w:widowControl w:val="0"/>
            <w:tabs>
              <w:tab w:val="right" w:leader="dot" w:pos="9638"/>
            </w:tabs>
            <w:kinsoku/>
            <w:wordWrap/>
            <w:overflowPunct/>
            <w:topLinePunct w:val="0"/>
            <w:autoSpaceDE/>
            <w:autoSpaceDN/>
            <w:bidi w:val="0"/>
            <w:adjustRightInd/>
            <w:snapToGrid/>
            <w:spacing w:line="0" w:lineRule="atLeast"/>
            <w:textAlignment w:val="auto"/>
            <w:rPr>
              <w:rFonts w:hint="eastAsia" w:ascii="仿宋" w:hAnsi="仿宋" w:eastAsia="仿宋" w:cs="仿宋"/>
              <w:b/>
              <w:bCs/>
              <w:sz w:val="22"/>
              <w:szCs w:val="22"/>
            </w:rPr>
          </w:pPr>
          <w:r>
            <w:rPr>
              <w:rFonts w:hint="eastAsia" w:ascii="仿宋" w:hAnsi="仿宋" w:eastAsia="仿宋" w:cs="仿宋"/>
              <w:b/>
              <w:bCs/>
              <w:color w:val="auto"/>
              <w:sz w:val="22"/>
              <w:szCs w:val="22"/>
              <w:highlight w:val="none"/>
              <w:lang w:eastAsia="zh-CN"/>
            </w:rPr>
            <w:fldChar w:fldCharType="begin"/>
          </w:r>
          <w:r>
            <w:rPr>
              <w:rFonts w:hint="eastAsia" w:ascii="仿宋" w:hAnsi="仿宋" w:eastAsia="仿宋" w:cs="仿宋"/>
              <w:b/>
              <w:bCs/>
              <w:sz w:val="22"/>
              <w:szCs w:val="22"/>
              <w:highlight w:val="none"/>
              <w:lang w:eastAsia="zh-CN"/>
            </w:rPr>
            <w:instrText xml:space="preserve"> HYPERLINK \l _Toc12008 </w:instrText>
          </w:r>
          <w:r>
            <w:rPr>
              <w:rFonts w:hint="eastAsia" w:ascii="仿宋" w:hAnsi="仿宋" w:eastAsia="仿宋" w:cs="仿宋"/>
              <w:b/>
              <w:bCs/>
              <w:sz w:val="22"/>
              <w:szCs w:val="22"/>
              <w:highlight w:val="none"/>
              <w:lang w:eastAsia="zh-CN"/>
            </w:rPr>
            <w:fldChar w:fldCharType="separate"/>
          </w:r>
          <w:r>
            <w:rPr>
              <w:rFonts w:hint="eastAsia" w:ascii="仿宋" w:hAnsi="仿宋" w:eastAsia="仿宋" w:cs="仿宋"/>
              <w:b/>
              <w:bCs/>
              <w:sz w:val="22"/>
              <w:szCs w:val="22"/>
              <w:highlight w:val="none"/>
              <w:lang w:eastAsia="zh-CN"/>
            </w:rPr>
            <w:t>第</w:t>
          </w:r>
          <w:r>
            <w:rPr>
              <w:rFonts w:hint="eastAsia" w:ascii="仿宋" w:hAnsi="仿宋" w:eastAsia="仿宋" w:cs="仿宋"/>
              <w:b/>
              <w:bCs/>
              <w:sz w:val="22"/>
              <w:szCs w:val="22"/>
              <w:highlight w:val="none"/>
              <w:lang w:val="en-US" w:eastAsia="zh-CN"/>
            </w:rPr>
            <w:t>五</w:t>
          </w:r>
          <w:r>
            <w:rPr>
              <w:rFonts w:hint="eastAsia" w:ascii="仿宋" w:hAnsi="仿宋" w:eastAsia="仿宋" w:cs="仿宋"/>
              <w:b/>
              <w:bCs/>
              <w:sz w:val="22"/>
              <w:szCs w:val="22"/>
              <w:highlight w:val="none"/>
              <w:lang w:eastAsia="zh-CN"/>
            </w:rPr>
            <w:t>章</w:t>
          </w:r>
          <w:r>
            <w:rPr>
              <w:rFonts w:hint="eastAsia" w:ascii="仿宋" w:hAnsi="仿宋" w:eastAsia="仿宋" w:cs="仿宋"/>
              <w:b/>
              <w:bCs/>
              <w:sz w:val="22"/>
              <w:szCs w:val="22"/>
              <w:highlight w:val="none"/>
              <w:lang w:val="en-US" w:eastAsia="zh-CN"/>
            </w:rPr>
            <w:t xml:space="preserve"> </w:t>
          </w:r>
          <w:r>
            <w:rPr>
              <w:rFonts w:hint="eastAsia" w:ascii="仿宋" w:hAnsi="仿宋" w:eastAsia="仿宋" w:cs="仿宋"/>
              <w:b/>
              <w:bCs/>
              <w:sz w:val="22"/>
              <w:szCs w:val="22"/>
              <w:highlight w:val="none"/>
              <w:lang w:eastAsia="zh-CN"/>
            </w:rPr>
            <w:t>合同条款及格式</w:t>
          </w:r>
          <w:r>
            <w:rPr>
              <w:rFonts w:hint="eastAsia" w:ascii="仿宋" w:hAnsi="仿宋" w:eastAsia="仿宋" w:cs="仿宋"/>
              <w:b/>
              <w:bCs/>
              <w:sz w:val="22"/>
              <w:szCs w:val="22"/>
            </w:rPr>
            <w:tab/>
          </w:r>
          <w:r>
            <w:rPr>
              <w:rFonts w:hint="eastAsia" w:ascii="仿宋" w:hAnsi="仿宋" w:eastAsia="仿宋" w:cs="仿宋"/>
              <w:b/>
              <w:bCs/>
              <w:sz w:val="22"/>
              <w:szCs w:val="22"/>
            </w:rPr>
            <w:fldChar w:fldCharType="begin"/>
          </w:r>
          <w:r>
            <w:rPr>
              <w:rFonts w:hint="eastAsia" w:ascii="仿宋" w:hAnsi="仿宋" w:eastAsia="仿宋" w:cs="仿宋"/>
              <w:b/>
              <w:bCs/>
              <w:sz w:val="22"/>
              <w:szCs w:val="22"/>
            </w:rPr>
            <w:instrText xml:space="preserve"> PAGEREF _Toc12008 \h </w:instrText>
          </w:r>
          <w:r>
            <w:rPr>
              <w:rFonts w:hint="eastAsia" w:ascii="仿宋" w:hAnsi="仿宋" w:eastAsia="仿宋" w:cs="仿宋"/>
              <w:b/>
              <w:bCs/>
              <w:sz w:val="22"/>
              <w:szCs w:val="22"/>
            </w:rPr>
            <w:fldChar w:fldCharType="separate"/>
          </w:r>
          <w:r>
            <w:rPr>
              <w:rFonts w:hint="eastAsia" w:ascii="仿宋" w:hAnsi="仿宋" w:eastAsia="仿宋" w:cs="仿宋"/>
              <w:b/>
              <w:bCs/>
              <w:sz w:val="22"/>
              <w:szCs w:val="22"/>
            </w:rPr>
            <w:t>54</w:t>
          </w:r>
          <w:r>
            <w:rPr>
              <w:rFonts w:hint="eastAsia" w:ascii="仿宋" w:hAnsi="仿宋" w:eastAsia="仿宋" w:cs="仿宋"/>
              <w:b/>
              <w:bCs/>
              <w:sz w:val="22"/>
              <w:szCs w:val="22"/>
            </w:rPr>
            <w:fldChar w:fldCharType="end"/>
          </w:r>
          <w:r>
            <w:rPr>
              <w:rFonts w:hint="eastAsia" w:ascii="仿宋" w:hAnsi="仿宋" w:eastAsia="仿宋" w:cs="仿宋"/>
              <w:b/>
              <w:bCs/>
              <w:color w:val="auto"/>
              <w:sz w:val="22"/>
              <w:szCs w:val="22"/>
              <w:highlight w:val="none"/>
              <w:lang w:eastAsia="zh-CN"/>
            </w:rPr>
            <w:fldChar w:fldCharType="end"/>
          </w:r>
        </w:p>
        <w:p w14:paraId="0A44B879">
          <w:pPr>
            <w:pStyle w:val="56"/>
            <w:keepNext w:val="0"/>
            <w:keepLines w:val="0"/>
            <w:pageBreakBefore w:val="0"/>
            <w:widowControl w:val="0"/>
            <w:tabs>
              <w:tab w:val="right" w:leader="dot" w:pos="9638"/>
            </w:tabs>
            <w:kinsoku/>
            <w:wordWrap/>
            <w:overflowPunct/>
            <w:topLinePunct w:val="0"/>
            <w:autoSpaceDE/>
            <w:autoSpaceDN/>
            <w:bidi w:val="0"/>
            <w:adjustRightInd/>
            <w:snapToGrid/>
            <w:spacing w:line="0" w:lineRule="atLeast"/>
            <w:ind w:left="0" w:leftChars="0" w:firstLine="440" w:firstLineChars="200"/>
            <w:textAlignment w:val="auto"/>
            <w:rPr>
              <w:rFonts w:hint="eastAsia" w:ascii="仿宋" w:hAnsi="仿宋" w:eastAsia="仿宋" w:cs="仿宋"/>
              <w:sz w:val="22"/>
              <w:szCs w:val="22"/>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sz w:val="22"/>
              <w:szCs w:val="22"/>
              <w:highlight w:val="none"/>
              <w:lang w:eastAsia="zh-CN"/>
            </w:rPr>
            <w:instrText xml:space="preserve"> HYPERLINK \l _Toc31298 </w:instrText>
          </w:r>
          <w:r>
            <w:rPr>
              <w:rFonts w:hint="eastAsia" w:ascii="仿宋" w:hAnsi="仿宋" w:eastAsia="仿宋" w:cs="仿宋"/>
              <w:sz w:val="22"/>
              <w:szCs w:val="22"/>
              <w:highlight w:val="none"/>
              <w:lang w:eastAsia="zh-CN"/>
            </w:rPr>
            <w:fldChar w:fldCharType="separate"/>
          </w:r>
          <w:r>
            <w:rPr>
              <w:rFonts w:hint="eastAsia" w:ascii="仿宋" w:hAnsi="仿宋" w:eastAsia="仿宋" w:cs="仿宋"/>
              <w:bCs/>
              <w:kern w:val="0"/>
              <w:sz w:val="22"/>
              <w:szCs w:val="22"/>
              <w:highlight w:val="none"/>
            </w:rPr>
            <w:t>第</w:t>
          </w:r>
          <w:r>
            <w:rPr>
              <w:rFonts w:hint="eastAsia" w:ascii="仿宋" w:hAnsi="仿宋" w:eastAsia="仿宋" w:cs="仿宋"/>
              <w:bCs/>
              <w:sz w:val="22"/>
              <w:szCs w:val="22"/>
              <w:highlight w:val="none"/>
            </w:rPr>
            <w:t>一部分</w:t>
          </w:r>
          <w:r>
            <w:rPr>
              <w:rFonts w:hint="eastAsia" w:ascii="仿宋" w:hAnsi="仿宋" w:eastAsia="仿宋" w:cs="仿宋"/>
              <w:bCs/>
              <w:kern w:val="0"/>
              <w:sz w:val="22"/>
              <w:szCs w:val="22"/>
              <w:highlight w:val="none"/>
            </w:rPr>
            <w:t xml:space="preserve"> 政府采购合同协议书</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_Toc31298 \h </w:instrText>
          </w:r>
          <w:r>
            <w:rPr>
              <w:rFonts w:hint="eastAsia" w:ascii="仿宋" w:hAnsi="仿宋" w:eastAsia="仿宋" w:cs="仿宋"/>
              <w:sz w:val="22"/>
              <w:szCs w:val="22"/>
            </w:rPr>
            <w:fldChar w:fldCharType="separate"/>
          </w:r>
          <w:r>
            <w:rPr>
              <w:rFonts w:hint="eastAsia" w:ascii="仿宋" w:hAnsi="仿宋" w:eastAsia="仿宋" w:cs="仿宋"/>
              <w:sz w:val="22"/>
              <w:szCs w:val="22"/>
            </w:rPr>
            <w:t>55</w:t>
          </w:r>
          <w:r>
            <w:rPr>
              <w:rFonts w:hint="eastAsia" w:ascii="仿宋" w:hAnsi="仿宋" w:eastAsia="仿宋" w:cs="仿宋"/>
              <w:sz w:val="22"/>
              <w:szCs w:val="22"/>
            </w:rPr>
            <w:fldChar w:fldCharType="end"/>
          </w:r>
          <w:r>
            <w:rPr>
              <w:rFonts w:hint="eastAsia" w:ascii="仿宋" w:hAnsi="仿宋" w:eastAsia="仿宋" w:cs="仿宋"/>
              <w:color w:val="auto"/>
              <w:sz w:val="22"/>
              <w:szCs w:val="22"/>
              <w:highlight w:val="none"/>
              <w:lang w:eastAsia="zh-CN"/>
            </w:rPr>
            <w:fldChar w:fldCharType="end"/>
          </w:r>
        </w:p>
        <w:p w14:paraId="3C342819">
          <w:pPr>
            <w:pStyle w:val="56"/>
            <w:keepNext w:val="0"/>
            <w:keepLines w:val="0"/>
            <w:pageBreakBefore w:val="0"/>
            <w:widowControl w:val="0"/>
            <w:tabs>
              <w:tab w:val="right" w:leader="dot" w:pos="9638"/>
            </w:tabs>
            <w:kinsoku/>
            <w:wordWrap/>
            <w:overflowPunct/>
            <w:topLinePunct w:val="0"/>
            <w:autoSpaceDE/>
            <w:autoSpaceDN/>
            <w:bidi w:val="0"/>
            <w:adjustRightInd/>
            <w:snapToGrid/>
            <w:spacing w:line="0" w:lineRule="atLeast"/>
            <w:ind w:left="0" w:leftChars="0" w:firstLine="440" w:firstLineChars="200"/>
            <w:textAlignment w:val="auto"/>
            <w:rPr>
              <w:rFonts w:hint="eastAsia" w:ascii="仿宋" w:hAnsi="仿宋" w:eastAsia="仿宋" w:cs="仿宋"/>
              <w:sz w:val="22"/>
              <w:szCs w:val="22"/>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sz w:val="22"/>
              <w:szCs w:val="22"/>
              <w:highlight w:val="none"/>
              <w:lang w:eastAsia="zh-CN"/>
            </w:rPr>
            <w:instrText xml:space="preserve"> HYPERLINK \l _Toc15002 </w:instrText>
          </w:r>
          <w:r>
            <w:rPr>
              <w:rFonts w:hint="eastAsia" w:ascii="仿宋" w:hAnsi="仿宋" w:eastAsia="仿宋" w:cs="仿宋"/>
              <w:sz w:val="22"/>
              <w:szCs w:val="22"/>
              <w:highlight w:val="none"/>
              <w:lang w:eastAsia="zh-CN"/>
            </w:rPr>
            <w:fldChar w:fldCharType="separate"/>
          </w:r>
          <w:r>
            <w:rPr>
              <w:rFonts w:hint="eastAsia" w:ascii="仿宋" w:hAnsi="仿宋" w:eastAsia="仿宋" w:cs="仿宋"/>
              <w:bCs/>
              <w:sz w:val="22"/>
              <w:szCs w:val="22"/>
              <w:highlight w:val="none"/>
            </w:rPr>
            <w:t>第二部分 政府采购合同通用条款</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_Toc15002 \h </w:instrText>
          </w:r>
          <w:r>
            <w:rPr>
              <w:rFonts w:hint="eastAsia" w:ascii="仿宋" w:hAnsi="仿宋" w:eastAsia="仿宋" w:cs="仿宋"/>
              <w:sz w:val="22"/>
              <w:szCs w:val="22"/>
            </w:rPr>
            <w:fldChar w:fldCharType="separate"/>
          </w:r>
          <w:r>
            <w:rPr>
              <w:rFonts w:hint="eastAsia" w:ascii="仿宋" w:hAnsi="仿宋" w:eastAsia="仿宋" w:cs="仿宋"/>
              <w:sz w:val="22"/>
              <w:szCs w:val="22"/>
            </w:rPr>
            <w:t>61</w:t>
          </w:r>
          <w:r>
            <w:rPr>
              <w:rFonts w:hint="eastAsia" w:ascii="仿宋" w:hAnsi="仿宋" w:eastAsia="仿宋" w:cs="仿宋"/>
              <w:sz w:val="22"/>
              <w:szCs w:val="22"/>
            </w:rPr>
            <w:fldChar w:fldCharType="end"/>
          </w:r>
          <w:r>
            <w:rPr>
              <w:rFonts w:hint="eastAsia" w:ascii="仿宋" w:hAnsi="仿宋" w:eastAsia="仿宋" w:cs="仿宋"/>
              <w:color w:val="auto"/>
              <w:sz w:val="22"/>
              <w:szCs w:val="22"/>
              <w:highlight w:val="none"/>
              <w:lang w:eastAsia="zh-CN"/>
            </w:rPr>
            <w:fldChar w:fldCharType="end"/>
          </w:r>
        </w:p>
        <w:p w14:paraId="3292523D">
          <w:pPr>
            <w:pStyle w:val="56"/>
            <w:keepNext w:val="0"/>
            <w:keepLines w:val="0"/>
            <w:pageBreakBefore w:val="0"/>
            <w:widowControl w:val="0"/>
            <w:tabs>
              <w:tab w:val="right" w:leader="dot" w:pos="9638"/>
            </w:tabs>
            <w:kinsoku/>
            <w:wordWrap/>
            <w:overflowPunct/>
            <w:topLinePunct w:val="0"/>
            <w:autoSpaceDE/>
            <w:autoSpaceDN/>
            <w:bidi w:val="0"/>
            <w:adjustRightInd/>
            <w:snapToGrid/>
            <w:spacing w:line="0" w:lineRule="atLeast"/>
            <w:ind w:left="0" w:leftChars="0" w:firstLine="440" w:firstLineChars="200"/>
            <w:textAlignment w:val="auto"/>
            <w:rPr>
              <w:rFonts w:hint="eastAsia" w:ascii="仿宋" w:hAnsi="仿宋" w:eastAsia="仿宋" w:cs="仿宋"/>
              <w:sz w:val="22"/>
              <w:szCs w:val="22"/>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sz w:val="22"/>
              <w:szCs w:val="22"/>
              <w:highlight w:val="none"/>
              <w:lang w:eastAsia="zh-CN"/>
            </w:rPr>
            <w:instrText xml:space="preserve"> HYPERLINK \l _Toc29242 </w:instrText>
          </w:r>
          <w:r>
            <w:rPr>
              <w:rFonts w:hint="eastAsia" w:ascii="仿宋" w:hAnsi="仿宋" w:eastAsia="仿宋" w:cs="仿宋"/>
              <w:sz w:val="22"/>
              <w:szCs w:val="22"/>
              <w:highlight w:val="none"/>
              <w:lang w:eastAsia="zh-CN"/>
            </w:rPr>
            <w:fldChar w:fldCharType="separate"/>
          </w:r>
          <w:r>
            <w:rPr>
              <w:rFonts w:hint="eastAsia" w:ascii="仿宋" w:hAnsi="仿宋" w:eastAsia="仿宋" w:cs="仿宋"/>
              <w:bCs/>
              <w:sz w:val="22"/>
              <w:szCs w:val="22"/>
              <w:highlight w:val="none"/>
            </w:rPr>
            <w:t>第三部分 政府采购合同专用条款</w:t>
          </w:r>
          <w:r>
            <w:rPr>
              <w:rFonts w:hint="eastAsia" w:ascii="仿宋" w:hAnsi="仿宋" w:eastAsia="仿宋" w:cs="仿宋"/>
              <w:sz w:val="22"/>
              <w:szCs w:val="22"/>
            </w:rPr>
            <w:tab/>
          </w:r>
          <w:r>
            <w:rPr>
              <w:rFonts w:hint="eastAsia" w:ascii="仿宋" w:hAnsi="仿宋" w:eastAsia="仿宋" w:cs="仿宋"/>
              <w:sz w:val="22"/>
              <w:szCs w:val="22"/>
            </w:rPr>
            <w:fldChar w:fldCharType="begin"/>
          </w:r>
          <w:r>
            <w:rPr>
              <w:rFonts w:hint="eastAsia" w:ascii="仿宋" w:hAnsi="仿宋" w:eastAsia="仿宋" w:cs="仿宋"/>
              <w:sz w:val="22"/>
              <w:szCs w:val="22"/>
            </w:rPr>
            <w:instrText xml:space="preserve"> PAGEREF _Toc29242 \h </w:instrText>
          </w:r>
          <w:r>
            <w:rPr>
              <w:rFonts w:hint="eastAsia" w:ascii="仿宋" w:hAnsi="仿宋" w:eastAsia="仿宋" w:cs="仿宋"/>
              <w:sz w:val="22"/>
              <w:szCs w:val="22"/>
            </w:rPr>
            <w:fldChar w:fldCharType="separate"/>
          </w:r>
          <w:r>
            <w:rPr>
              <w:rFonts w:hint="eastAsia" w:ascii="仿宋" w:hAnsi="仿宋" w:eastAsia="仿宋" w:cs="仿宋"/>
              <w:sz w:val="22"/>
              <w:szCs w:val="22"/>
            </w:rPr>
            <w:t>68</w:t>
          </w:r>
          <w:r>
            <w:rPr>
              <w:rFonts w:hint="eastAsia" w:ascii="仿宋" w:hAnsi="仿宋" w:eastAsia="仿宋" w:cs="仿宋"/>
              <w:sz w:val="22"/>
              <w:szCs w:val="22"/>
            </w:rPr>
            <w:fldChar w:fldCharType="end"/>
          </w:r>
          <w:r>
            <w:rPr>
              <w:rFonts w:hint="eastAsia" w:ascii="仿宋" w:hAnsi="仿宋" w:eastAsia="仿宋" w:cs="仿宋"/>
              <w:color w:val="auto"/>
              <w:sz w:val="22"/>
              <w:szCs w:val="22"/>
              <w:highlight w:val="none"/>
              <w:lang w:eastAsia="zh-CN"/>
            </w:rPr>
            <w:fldChar w:fldCharType="end"/>
          </w:r>
        </w:p>
        <w:p w14:paraId="2B8585CA">
          <w:pPr>
            <w:pStyle w:val="46"/>
            <w:keepNext w:val="0"/>
            <w:keepLines w:val="0"/>
            <w:pageBreakBefore w:val="0"/>
            <w:widowControl w:val="0"/>
            <w:tabs>
              <w:tab w:val="right" w:leader="dot" w:pos="9638"/>
            </w:tabs>
            <w:kinsoku/>
            <w:wordWrap/>
            <w:overflowPunct/>
            <w:topLinePunct w:val="0"/>
            <w:autoSpaceDE/>
            <w:autoSpaceDN/>
            <w:bidi w:val="0"/>
            <w:adjustRightInd/>
            <w:snapToGrid/>
            <w:spacing w:line="0" w:lineRule="atLeast"/>
            <w:textAlignment w:val="auto"/>
            <w:rPr>
              <w:rFonts w:hint="eastAsia" w:ascii="仿宋" w:hAnsi="仿宋" w:eastAsia="仿宋" w:cs="仿宋"/>
              <w:b/>
              <w:bCs/>
              <w:sz w:val="22"/>
              <w:szCs w:val="22"/>
            </w:rPr>
          </w:pPr>
          <w:r>
            <w:rPr>
              <w:rFonts w:hint="eastAsia" w:ascii="仿宋" w:hAnsi="仿宋" w:eastAsia="仿宋" w:cs="仿宋"/>
              <w:b/>
              <w:bCs/>
              <w:color w:val="auto"/>
              <w:sz w:val="22"/>
              <w:szCs w:val="22"/>
              <w:highlight w:val="none"/>
              <w:lang w:eastAsia="zh-CN"/>
            </w:rPr>
            <w:fldChar w:fldCharType="begin"/>
          </w:r>
          <w:r>
            <w:rPr>
              <w:rFonts w:hint="eastAsia" w:ascii="仿宋" w:hAnsi="仿宋" w:eastAsia="仿宋" w:cs="仿宋"/>
              <w:b/>
              <w:bCs/>
              <w:sz w:val="22"/>
              <w:szCs w:val="22"/>
              <w:highlight w:val="none"/>
              <w:lang w:eastAsia="zh-CN"/>
            </w:rPr>
            <w:instrText xml:space="preserve"> HYPERLINK \l _Toc25682 </w:instrText>
          </w:r>
          <w:r>
            <w:rPr>
              <w:rFonts w:hint="eastAsia" w:ascii="仿宋" w:hAnsi="仿宋" w:eastAsia="仿宋" w:cs="仿宋"/>
              <w:b/>
              <w:bCs/>
              <w:sz w:val="22"/>
              <w:szCs w:val="22"/>
              <w:highlight w:val="none"/>
              <w:lang w:eastAsia="zh-CN"/>
            </w:rPr>
            <w:fldChar w:fldCharType="separate"/>
          </w:r>
          <w:r>
            <w:rPr>
              <w:rFonts w:hint="eastAsia" w:ascii="仿宋" w:hAnsi="仿宋" w:eastAsia="仿宋" w:cs="仿宋"/>
              <w:b/>
              <w:bCs/>
              <w:sz w:val="22"/>
              <w:szCs w:val="22"/>
              <w:highlight w:val="none"/>
              <w:lang w:eastAsia="zh-CN"/>
            </w:rPr>
            <w:t>第六章</w:t>
          </w:r>
          <w:r>
            <w:rPr>
              <w:rFonts w:hint="eastAsia" w:ascii="仿宋" w:hAnsi="仿宋" w:eastAsia="仿宋" w:cs="仿宋"/>
              <w:b/>
              <w:bCs/>
              <w:sz w:val="22"/>
              <w:szCs w:val="22"/>
              <w:highlight w:val="none"/>
              <w:lang w:val="en-US" w:eastAsia="zh-CN"/>
            </w:rPr>
            <w:t xml:space="preserve"> </w:t>
          </w:r>
          <w:r>
            <w:rPr>
              <w:rFonts w:hint="eastAsia" w:ascii="仿宋" w:hAnsi="仿宋" w:eastAsia="仿宋" w:cs="仿宋"/>
              <w:b/>
              <w:bCs/>
              <w:sz w:val="22"/>
              <w:szCs w:val="22"/>
              <w:highlight w:val="none"/>
              <w:lang w:eastAsia="zh-CN"/>
            </w:rPr>
            <w:t>投标文件格式</w:t>
          </w:r>
          <w:r>
            <w:rPr>
              <w:rFonts w:hint="eastAsia" w:ascii="仿宋" w:hAnsi="仿宋" w:eastAsia="仿宋" w:cs="仿宋"/>
              <w:b/>
              <w:bCs/>
              <w:sz w:val="22"/>
              <w:szCs w:val="22"/>
            </w:rPr>
            <w:tab/>
          </w:r>
          <w:r>
            <w:rPr>
              <w:rFonts w:hint="eastAsia" w:ascii="仿宋" w:hAnsi="仿宋" w:eastAsia="仿宋" w:cs="仿宋"/>
              <w:b/>
              <w:bCs/>
              <w:sz w:val="22"/>
              <w:szCs w:val="22"/>
            </w:rPr>
            <w:fldChar w:fldCharType="begin"/>
          </w:r>
          <w:r>
            <w:rPr>
              <w:rFonts w:hint="eastAsia" w:ascii="仿宋" w:hAnsi="仿宋" w:eastAsia="仿宋" w:cs="仿宋"/>
              <w:b/>
              <w:bCs/>
              <w:sz w:val="22"/>
              <w:szCs w:val="22"/>
            </w:rPr>
            <w:instrText xml:space="preserve"> PAGEREF _Toc25682 \h </w:instrText>
          </w:r>
          <w:r>
            <w:rPr>
              <w:rFonts w:hint="eastAsia" w:ascii="仿宋" w:hAnsi="仿宋" w:eastAsia="仿宋" w:cs="仿宋"/>
              <w:b/>
              <w:bCs/>
              <w:sz w:val="22"/>
              <w:szCs w:val="22"/>
            </w:rPr>
            <w:fldChar w:fldCharType="separate"/>
          </w:r>
          <w:r>
            <w:rPr>
              <w:rFonts w:hint="eastAsia" w:ascii="仿宋" w:hAnsi="仿宋" w:eastAsia="仿宋" w:cs="仿宋"/>
              <w:b/>
              <w:bCs/>
              <w:sz w:val="22"/>
              <w:szCs w:val="22"/>
            </w:rPr>
            <w:t>79</w:t>
          </w:r>
          <w:r>
            <w:rPr>
              <w:rFonts w:hint="eastAsia" w:ascii="仿宋" w:hAnsi="仿宋" w:eastAsia="仿宋" w:cs="仿宋"/>
              <w:b/>
              <w:bCs/>
              <w:sz w:val="22"/>
              <w:szCs w:val="22"/>
            </w:rPr>
            <w:fldChar w:fldCharType="end"/>
          </w:r>
          <w:r>
            <w:rPr>
              <w:rFonts w:hint="eastAsia" w:ascii="仿宋" w:hAnsi="仿宋" w:eastAsia="仿宋" w:cs="仿宋"/>
              <w:b/>
              <w:bCs/>
              <w:color w:val="auto"/>
              <w:sz w:val="22"/>
              <w:szCs w:val="22"/>
              <w:highlight w:val="none"/>
              <w:lang w:eastAsia="zh-CN"/>
            </w:rPr>
            <w:fldChar w:fldCharType="end"/>
          </w:r>
        </w:p>
        <w:p w14:paraId="14635E43">
          <w:pPr>
            <w:keepNext w:val="0"/>
            <w:keepLines w:val="0"/>
            <w:pageBreakBefore w:val="0"/>
            <w:widowControl w:val="0"/>
            <w:tabs>
              <w:tab w:val="left" w:pos="561"/>
            </w:tabs>
            <w:kinsoku/>
            <w:wordWrap w:val="0"/>
            <w:overflowPunct/>
            <w:topLinePunct/>
            <w:autoSpaceDE/>
            <w:autoSpaceDN/>
            <w:bidi w:val="0"/>
            <w:adjustRightInd/>
            <w:snapToGrid/>
            <w:spacing w:before="0" w:beforeLines="0" w:after="0" w:afterLines="0" w:line="240" w:lineRule="auto"/>
            <w:ind w:left="0" w:leftChars="0" w:right="0" w:rightChars="0" w:firstLine="0" w:firstLineChars="0"/>
            <w:jc w:val="both"/>
            <w:textAlignment w:val="auto"/>
            <w:rPr>
              <w:rFonts w:hint="eastAsia" w:ascii="仿宋" w:hAnsi="仿宋" w:eastAsia="仿宋" w:cs="仿宋"/>
              <w:color w:val="auto"/>
              <w:sz w:val="32"/>
              <w:szCs w:val="28"/>
              <w:highlight w:val="none"/>
              <w:lang w:eastAsia="zh-CN"/>
            </w:rPr>
          </w:pPr>
          <w:r>
            <w:rPr>
              <w:rFonts w:hint="eastAsia" w:ascii="仿宋" w:hAnsi="仿宋" w:eastAsia="仿宋" w:cs="仿宋"/>
              <w:color w:val="auto"/>
              <w:szCs w:val="28"/>
              <w:highlight w:val="none"/>
              <w:lang w:eastAsia="zh-CN"/>
            </w:rPr>
            <w:fldChar w:fldCharType="end"/>
          </w:r>
        </w:p>
      </w:sdtContent>
    </w:sdt>
    <w:p w14:paraId="0BD1B495">
      <w:pPr>
        <w:pStyle w:val="3"/>
        <w:keepNext w:val="0"/>
        <w:keepLines w:val="0"/>
        <w:pageBreakBefore w:val="0"/>
        <w:widowControl w:val="0"/>
        <w:kinsoku/>
        <w:wordWrap w:val="0"/>
        <w:overflowPunct/>
        <w:topLinePunct/>
        <w:autoSpaceDE/>
        <w:autoSpaceDN/>
        <w:bidi w:val="0"/>
        <w:adjustRightInd/>
        <w:snapToGrid/>
        <w:spacing w:before="0" w:after="0" w:line="0" w:lineRule="atLeast"/>
        <w:ind w:left="0" w:leftChars="0" w:right="0"/>
        <w:textAlignment w:val="auto"/>
        <w:outlineLvl w:val="9"/>
        <w:rPr>
          <w:rStyle w:val="89"/>
          <w:rFonts w:hint="eastAsia" w:ascii="仿宋" w:hAnsi="仿宋" w:eastAsia="仿宋" w:cs="仿宋"/>
          <w:b/>
          <w:color w:val="auto"/>
          <w:highlight w:val="none"/>
          <w:lang w:eastAsia="zh-CN"/>
        </w:rPr>
        <w:sectPr>
          <w:pgSz w:w="11906" w:h="16838"/>
          <w:pgMar w:top="1134" w:right="1134" w:bottom="1134" w:left="1134" w:header="709" w:footer="737" w:gutter="0"/>
          <w:pgBorders>
            <w:top w:val="none" w:sz="0" w:space="0"/>
            <w:left w:val="none" w:sz="0" w:space="0"/>
            <w:bottom w:val="none" w:sz="0" w:space="0"/>
            <w:right w:val="none" w:sz="0" w:space="0"/>
          </w:pgBorders>
          <w:pgNumType w:fmt="decimal" w:start="1"/>
          <w:cols w:space="720" w:num="1"/>
          <w:titlePg/>
          <w:rtlGutter w:val="0"/>
          <w:docGrid w:linePitch="299" w:charSpace="0"/>
        </w:sectPr>
      </w:pPr>
      <w:bookmarkStart w:id="4" w:name="_Toc497486315"/>
    </w:p>
    <w:bookmarkEnd w:id="4"/>
    <w:p w14:paraId="2E193640">
      <w:pPr>
        <w:pStyle w:val="3"/>
        <w:keepNext w:val="0"/>
        <w:keepLines w:val="0"/>
        <w:pageBreakBefore w:val="0"/>
        <w:widowControl w:val="0"/>
        <w:numPr>
          <w:ilvl w:val="0"/>
          <w:numId w:val="16"/>
        </w:numPr>
        <w:kinsoku/>
        <w:wordWrap w:val="0"/>
        <w:overflowPunct/>
        <w:topLinePunct/>
        <w:autoSpaceDE/>
        <w:autoSpaceDN/>
        <w:bidi w:val="0"/>
        <w:adjustRightInd/>
        <w:snapToGrid/>
        <w:spacing w:before="0" w:after="0" w:line="240" w:lineRule="auto"/>
        <w:ind w:left="0" w:leftChars="0" w:right="0"/>
        <w:textAlignment w:val="auto"/>
        <w:outlineLvl w:val="0"/>
        <w:rPr>
          <w:rStyle w:val="89"/>
          <w:rFonts w:hint="eastAsia" w:ascii="仿宋" w:hAnsi="仿宋" w:eastAsia="仿宋" w:cs="仿宋"/>
          <w:b/>
          <w:color w:val="auto"/>
          <w:highlight w:val="none"/>
          <w:lang w:eastAsia="zh-CN"/>
        </w:rPr>
      </w:pPr>
      <w:bookmarkStart w:id="5" w:name="_Toc9848"/>
      <w:bookmarkStart w:id="6" w:name="_Toc3851"/>
      <w:bookmarkStart w:id="7" w:name="_Hlk145057294"/>
      <w:r>
        <w:rPr>
          <w:rStyle w:val="89"/>
          <w:rFonts w:hint="eastAsia" w:ascii="仿宋" w:hAnsi="仿宋" w:eastAsia="仿宋" w:cs="仿宋"/>
          <w:b/>
          <w:color w:val="auto"/>
          <w:highlight w:val="none"/>
          <w:lang w:eastAsia="zh-CN"/>
        </w:rPr>
        <w:t>招标公告</w:t>
      </w:r>
      <w:bookmarkEnd w:id="5"/>
      <w:bookmarkEnd w:id="6"/>
    </w:p>
    <w:bookmarkEnd w:id="7"/>
    <w:p w14:paraId="5B46E720">
      <w:pPr>
        <w:pStyle w:val="3"/>
        <w:keepNext w:val="0"/>
        <w:keepLines w:val="0"/>
        <w:pageBreakBefore w:val="0"/>
        <w:widowControl w:val="0"/>
        <w:kinsoku/>
        <w:wordWrap w:val="0"/>
        <w:overflowPunct/>
        <w:topLinePunct/>
        <w:autoSpaceDE/>
        <w:autoSpaceDN/>
        <w:bidi w:val="0"/>
        <w:adjustRightInd/>
        <w:snapToGrid/>
        <w:spacing w:before="0" w:after="0" w:line="360" w:lineRule="auto"/>
        <w:ind w:left="0" w:firstLine="422" w:firstLineChars="200"/>
        <w:jc w:val="left"/>
        <w:textAlignment w:val="auto"/>
        <w:rPr>
          <w:rFonts w:hint="eastAsia" w:ascii="仿宋" w:hAnsi="仿宋" w:eastAsia="仿宋" w:cs="仿宋"/>
          <w:color w:val="auto"/>
          <w:sz w:val="21"/>
          <w:szCs w:val="21"/>
          <w:highlight w:val="none"/>
          <w:lang w:eastAsia="zh-CN"/>
        </w:rPr>
      </w:pPr>
      <w:bookmarkStart w:id="8" w:name="_Toc145067542"/>
      <w:bookmarkStart w:id="9" w:name="_Toc22060"/>
      <w:bookmarkStart w:id="10" w:name="_Toc26729"/>
      <w:bookmarkStart w:id="11" w:name="_Toc144646644"/>
      <w:bookmarkStart w:id="12" w:name="_Toc88646720"/>
      <w:bookmarkStart w:id="13" w:name="_Toc88638735"/>
      <w:bookmarkStart w:id="14" w:name="_Toc9329733"/>
      <w:bookmarkStart w:id="15" w:name="_Hlk66894590"/>
      <w:bookmarkStart w:id="16" w:name="_Hlk149487957"/>
      <w:bookmarkStart w:id="17" w:name="_Hlk102052857"/>
      <w:r>
        <w:rPr>
          <w:rFonts w:hint="eastAsia" w:ascii="仿宋" w:hAnsi="仿宋" w:eastAsia="仿宋" w:cs="仿宋"/>
          <w:color w:val="auto"/>
          <w:sz w:val="21"/>
          <w:szCs w:val="21"/>
          <w:highlight w:val="none"/>
          <w:lang w:eastAsia="zh-CN"/>
        </w:rPr>
        <w:t>项目概况</w:t>
      </w:r>
      <w:bookmarkEnd w:id="8"/>
      <w:bookmarkEnd w:id="9"/>
      <w:bookmarkEnd w:id="10"/>
      <w:bookmarkEnd w:id="11"/>
      <w:bookmarkEnd w:id="12"/>
      <w:bookmarkEnd w:id="13"/>
    </w:p>
    <w:p w14:paraId="35B58E0F">
      <w:pPr>
        <w:keepNext w:val="0"/>
        <w:keepLines w:val="0"/>
        <w:pageBreakBefore w:val="0"/>
        <w:widowControl w:val="0"/>
        <w:kinsoku/>
        <w:wordWrap w:val="0"/>
        <w:overflowPunct/>
        <w:topLinePunct/>
        <w:autoSpaceDE/>
        <w:autoSpaceDN/>
        <w:bidi w:val="0"/>
        <w:adjustRightInd/>
        <w:snapToGrid/>
        <w:spacing w:line="360" w:lineRule="auto"/>
        <w:ind w:left="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楚雄彝族自治州人民医院2026年行政后勤物资采购项目</w:t>
      </w:r>
      <w:r>
        <w:rPr>
          <w:rFonts w:hint="eastAsia" w:ascii="仿宋" w:hAnsi="仿宋" w:eastAsia="仿宋" w:cs="仿宋"/>
          <w:color w:val="auto"/>
          <w:sz w:val="21"/>
          <w:szCs w:val="21"/>
          <w:highlight w:val="none"/>
          <w:lang w:eastAsia="zh-CN"/>
        </w:rPr>
        <w:t>的潜在</w:t>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lang w:eastAsia="zh-CN"/>
        </w:rPr>
        <w:t>应在</w:t>
      </w:r>
      <w:r>
        <w:rPr>
          <w:rFonts w:hint="eastAsia" w:ascii="仿宋" w:hAnsi="仿宋" w:eastAsia="仿宋" w:cs="仿宋"/>
          <w:color w:val="auto"/>
          <w:sz w:val="21"/>
          <w:szCs w:val="21"/>
          <w:highlight w:val="none"/>
          <w:lang w:val="en-US" w:eastAsia="zh-CN"/>
        </w:rPr>
        <w:t>政府采购云平台（https://www.zcygov.cn/）获取招标文件</w:t>
      </w:r>
      <w:r>
        <w:rPr>
          <w:rFonts w:hint="eastAsia" w:ascii="仿宋" w:hAnsi="仿宋" w:eastAsia="仿宋" w:cs="仿宋"/>
          <w:color w:val="auto"/>
          <w:sz w:val="21"/>
          <w:szCs w:val="21"/>
          <w:highlight w:val="none"/>
          <w:lang w:eastAsia="zh-CN"/>
        </w:rPr>
        <w:t>，并于</w:t>
      </w:r>
      <w:bookmarkStart w:id="18" w:name="_Hlk146221035"/>
      <w:r>
        <w:rPr>
          <w:rFonts w:hint="eastAsia" w:ascii="仿宋" w:hAnsi="仿宋" w:eastAsia="仿宋" w:cs="仿宋"/>
          <w:color w:val="auto"/>
          <w:sz w:val="21"/>
          <w:szCs w:val="21"/>
          <w:highlight w:val="none"/>
          <w:u w:val="single"/>
          <w:lang w:eastAsia="zh-CN"/>
        </w:rPr>
        <w:t>202</w:t>
      </w:r>
      <w:r>
        <w:rPr>
          <w:rFonts w:hint="eastAsia" w:ascii="仿宋" w:hAnsi="仿宋" w:eastAsia="仿宋" w:cs="仿宋"/>
          <w:color w:val="auto"/>
          <w:sz w:val="21"/>
          <w:szCs w:val="21"/>
          <w:highlight w:val="none"/>
          <w:u w:val="single"/>
          <w:lang w:val="en-US" w:eastAsia="zh-CN"/>
        </w:rPr>
        <w:t>6</w:t>
      </w:r>
      <w:r>
        <w:rPr>
          <w:rFonts w:hint="eastAsia" w:ascii="仿宋" w:hAnsi="仿宋" w:eastAsia="仿宋" w:cs="仿宋"/>
          <w:color w:val="auto"/>
          <w:sz w:val="21"/>
          <w:szCs w:val="21"/>
          <w:highlight w:val="none"/>
          <w:lang w:eastAsia="zh-CN"/>
        </w:rPr>
        <w:t>年</w:t>
      </w:r>
      <w:r>
        <w:rPr>
          <w:rFonts w:hint="eastAsia" w:ascii="仿宋" w:hAnsi="仿宋" w:eastAsia="仿宋" w:cs="仿宋"/>
          <w:color w:val="auto"/>
          <w:sz w:val="21"/>
          <w:szCs w:val="21"/>
          <w:highlight w:val="none"/>
          <w:u w:val="single"/>
          <w:lang w:val="en-US" w:eastAsia="zh-CN"/>
        </w:rPr>
        <w:t>5</w:t>
      </w:r>
      <w:r>
        <w:rPr>
          <w:rFonts w:hint="eastAsia" w:ascii="仿宋" w:hAnsi="仿宋" w:eastAsia="仿宋" w:cs="仿宋"/>
          <w:color w:val="auto"/>
          <w:sz w:val="21"/>
          <w:szCs w:val="21"/>
          <w:highlight w:val="none"/>
          <w:lang w:eastAsia="zh-CN"/>
        </w:rPr>
        <w:t>月</w:t>
      </w:r>
      <w:r>
        <w:rPr>
          <w:rFonts w:hint="eastAsia" w:ascii="仿宋" w:hAnsi="仿宋" w:eastAsia="仿宋" w:cs="仿宋"/>
          <w:color w:val="auto"/>
          <w:sz w:val="21"/>
          <w:szCs w:val="21"/>
          <w:highlight w:val="none"/>
          <w:u w:val="single"/>
          <w:lang w:val="en-US" w:eastAsia="zh-CN"/>
        </w:rPr>
        <w:t xml:space="preserve"> 27 </w:t>
      </w:r>
      <w:r>
        <w:rPr>
          <w:rFonts w:hint="eastAsia" w:ascii="仿宋" w:hAnsi="仿宋" w:eastAsia="仿宋" w:cs="仿宋"/>
          <w:color w:val="auto"/>
          <w:sz w:val="21"/>
          <w:szCs w:val="21"/>
          <w:highlight w:val="none"/>
          <w:lang w:eastAsia="zh-CN"/>
        </w:rPr>
        <w:t>日</w:t>
      </w:r>
      <w:r>
        <w:rPr>
          <w:rFonts w:hint="eastAsia" w:ascii="仿宋" w:hAnsi="仿宋" w:eastAsia="仿宋" w:cs="仿宋"/>
          <w:color w:val="auto"/>
          <w:sz w:val="21"/>
          <w:szCs w:val="21"/>
          <w:highlight w:val="none"/>
          <w:u w:val="single"/>
          <w:lang w:val="en-US" w:eastAsia="zh-CN"/>
        </w:rPr>
        <w:t>09</w:t>
      </w:r>
      <w:r>
        <w:rPr>
          <w:rFonts w:hint="eastAsia" w:ascii="仿宋" w:hAnsi="仿宋" w:eastAsia="仿宋" w:cs="仿宋"/>
          <w:color w:val="auto"/>
          <w:sz w:val="21"/>
          <w:szCs w:val="21"/>
          <w:highlight w:val="none"/>
          <w:lang w:eastAsia="zh-CN"/>
        </w:rPr>
        <w:t>时</w:t>
      </w:r>
      <w:r>
        <w:rPr>
          <w:rFonts w:hint="eastAsia" w:ascii="仿宋" w:hAnsi="仿宋" w:eastAsia="仿宋" w:cs="仿宋"/>
          <w:color w:val="auto"/>
          <w:sz w:val="21"/>
          <w:szCs w:val="21"/>
          <w:highlight w:val="none"/>
          <w:u w:val="single"/>
          <w:lang w:val="en-US" w:eastAsia="zh-CN"/>
        </w:rPr>
        <w:t>00</w:t>
      </w:r>
      <w:r>
        <w:rPr>
          <w:rFonts w:hint="eastAsia" w:ascii="仿宋" w:hAnsi="仿宋" w:eastAsia="仿宋" w:cs="仿宋"/>
          <w:color w:val="auto"/>
          <w:sz w:val="21"/>
          <w:szCs w:val="21"/>
          <w:highlight w:val="none"/>
          <w:lang w:eastAsia="zh-CN"/>
        </w:rPr>
        <w:t>分</w:t>
      </w:r>
      <w:bookmarkEnd w:id="18"/>
      <w:r>
        <w:rPr>
          <w:rFonts w:hint="eastAsia" w:ascii="仿宋" w:hAnsi="仿宋" w:eastAsia="仿宋" w:cs="仿宋"/>
          <w:color w:val="auto"/>
          <w:sz w:val="21"/>
          <w:szCs w:val="21"/>
          <w:highlight w:val="none"/>
          <w:lang w:eastAsia="zh-CN"/>
        </w:rPr>
        <w:t>（北京时间）前递交投标文件。</w:t>
      </w:r>
    </w:p>
    <w:p w14:paraId="60CBE365">
      <w:pPr>
        <w:pStyle w:val="3"/>
        <w:keepNext w:val="0"/>
        <w:keepLines w:val="0"/>
        <w:pageBreakBefore w:val="0"/>
        <w:widowControl w:val="0"/>
        <w:kinsoku/>
        <w:wordWrap w:val="0"/>
        <w:overflowPunct/>
        <w:topLinePunct/>
        <w:autoSpaceDE/>
        <w:autoSpaceDN/>
        <w:bidi w:val="0"/>
        <w:adjustRightInd/>
        <w:snapToGrid/>
        <w:spacing w:before="0" w:after="0" w:line="360" w:lineRule="auto"/>
        <w:ind w:left="0" w:firstLine="422" w:firstLineChars="200"/>
        <w:jc w:val="left"/>
        <w:textAlignment w:val="auto"/>
        <w:rPr>
          <w:rFonts w:hint="eastAsia" w:ascii="仿宋" w:hAnsi="仿宋" w:eastAsia="仿宋" w:cs="仿宋"/>
          <w:color w:val="auto"/>
          <w:sz w:val="21"/>
          <w:szCs w:val="21"/>
          <w:highlight w:val="none"/>
          <w:lang w:eastAsia="zh-CN"/>
        </w:rPr>
      </w:pPr>
      <w:bookmarkStart w:id="19" w:name="_Toc145067543"/>
      <w:bookmarkStart w:id="20" w:name="_Toc88646721"/>
      <w:bookmarkStart w:id="21" w:name="_Toc28013"/>
      <w:bookmarkStart w:id="22" w:name="_Toc19055"/>
      <w:bookmarkStart w:id="23" w:name="_Toc88638737"/>
      <w:r>
        <w:rPr>
          <w:rFonts w:hint="eastAsia" w:ascii="仿宋" w:hAnsi="仿宋" w:eastAsia="仿宋" w:cs="仿宋"/>
          <w:color w:val="auto"/>
          <w:sz w:val="21"/>
          <w:szCs w:val="21"/>
          <w:highlight w:val="none"/>
          <w:lang w:eastAsia="zh-CN"/>
        </w:rPr>
        <w:t>一</w:t>
      </w:r>
      <w:bookmarkEnd w:id="14"/>
      <w:r>
        <w:rPr>
          <w:rFonts w:hint="eastAsia" w:ascii="仿宋" w:hAnsi="仿宋" w:eastAsia="仿宋" w:cs="仿宋"/>
          <w:color w:val="auto"/>
          <w:sz w:val="21"/>
          <w:szCs w:val="21"/>
          <w:highlight w:val="none"/>
          <w:lang w:eastAsia="zh-CN"/>
        </w:rPr>
        <w:t>、项目基本情况</w:t>
      </w:r>
      <w:bookmarkEnd w:id="19"/>
      <w:bookmarkEnd w:id="20"/>
      <w:bookmarkEnd w:id="21"/>
      <w:bookmarkEnd w:id="22"/>
      <w:bookmarkEnd w:id="23"/>
    </w:p>
    <w:p w14:paraId="294317E4">
      <w:pPr>
        <w:pStyle w:val="28"/>
        <w:keepNext w:val="0"/>
        <w:keepLines w:val="0"/>
        <w:pageBreakBefore w:val="0"/>
        <w:widowControl w:val="0"/>
        <w:tabs>
          <w:tab w:val="left" w:pos="2412"/>
          <w:tab w:val="left" w:pos="2832"/>
          <w:tab w:val="left" w:pos="3472"/>
          <w:tab w:val="left" w:pos="5610"/>
          <w:tab w:val="left" w:pos="7270"/>
        </w:tabs>
        <w:kinsoku/>
        <w:wordWrap w:val="0"/>
        <w:overflowPunct/>
        <w:topLinePunct/>
        <w:autoSpaceDE/>
        <w:autoSpaceDN/>
        <w:bidi w:val="0"/>
        <w:adjustRightInd/>
        <w:snapToGrid/>
        <w:spacing w:line="360" w:lineRule="auto"/>
        <w:ind w:left="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1.项目编号：</w:t>
      </w:r>
      <w:r>
        <w:rPr>
          <w:rFonts w:hint="eastAsia" w:ascii="仿宋" w:hAnsi="仿宋" w:eastAsia="仿宋" w:cs="仿宋"/>
          <w:color w:val="000000" w:themeColor="text1"/>
          <w:sz w:val="21"/>
          <w:szCs w:val="21"/>
          <w:highlight w:val="none"/>
          <w:lang w:val="en-US" w:eastAsia="zh-CN"/>
          <w14:textFill>
            <w14:solidFill>
              <w14:schemeClr w14:val="tx1"/>
            </w14:solidFill>
          </w14:textFill>
        </w:rPr>
        <w:fldChar w:fldCharType="begin"/>
      </w:r>
      <w:r>
        <w:rPr>
          <w:rFonts w:hint="eastAsia" w:ascii="仿宋" w:hAnsi="仿宋" w:eastAsia="仿宋" w:cs="仿宋"/>
          <w:color w:val="000000" w:themeColor="text1"/>
          <w:sz w:val="21"/>
          <w:szCs w:val="21"/>
          <w:highlight w:val="none"/>
          <w:lang w:val="en-US" w:eastAsia="zh-CN"/>
          <w14:textFill>
            <w14:solidFill>
              <w14:schemeClr w14:val="tx1"/>
            </w14:solidFill>
          </w14:textFill>
        </w:rPr>
        <w:instrText xml:space="preserve"> HYPERLINK "https://www.zcygov.cn/gaea/api/project/flow/redirect?projectId=7287227477569830927&amp;newUrl=https://www.zcygov.cn/micro-app-back-index/blank?_flow_type_=agency&amp;_flow_projectId_=7287227477569830927&amp;_jump_page_type_=project_procurement_management_flow&amp;_app_=zcy.procurement&amp;oldUrl=https://www.zcygov.cn/project-center/_procurement_/project-result-detail/7287227477569830927" \t "https://www.zcygov.cn/project-center/_procurement_/self-project/_blank" </w:instrText>
      </w:r>
      <w:r>
        <w:rPr>
          <w:rFonts w:hint="eastAsia" w:ascii="仿宋" w:hAnsi="仿宋" w:eastAsia="仿宋" w:cs="仿宋"/>
          <w:color w:val="000000" w:themeColor="text1"/>
          <w:sz w:val="21"/>
          <w:szCs w:val="21"/>
          <w:highlight w:val="none"/>
          <w:lang w:val="en-US" w:eastAsia="zh-CN"/>
          <w14:textFill>
            <w14:solidFill>
              <w14:schemeClr w14:val="tx1"/>
            </w14:solidFill>
          </w14:textFill>
        </w:rPr>
        <w:fldChar w:fldCharType="separate"/>
      </w:r>
      <w:r>
        <w:rPr>
          <w:rFonts w:hint="eastAsia" w:ascii="仿宋" w:hAnsi="仿宋" w:eastAsia="仿宋" w:cs="仿宋"/>
          <w:color w:val="000000" w:themeColor="text1"/>
          <w:sz w:val="21"/>
          <w:szCs w:val="21"/>
          <w:highlight w:val="none"/>
          <w:lang w:val="en-US" w:eastAsia="zh-CN"/>
          <w14:textFill>
            <w14:solidFill>
              <w14:schemeClr w14:val="tx1"/>
            </w14:solidFill>
          </w14:textFill>
        </w:rPr>
        <w:t>CXZC2026-G1-00248-YNYM-0008</w:t>
      </w:r>
      <w:r>
        <w:rPr>
          <w:rFonts w:hint="eastAsia" w:ascii="仿宋" w:hAnsi="仿宋" w:eastAsia="仿宋" w:cs="仿宋"/>
          <w:color w:val="000000" w:themeColor="text1"/>
          <w:sz w:val="21"/>
          <w:szCs w:val="21"/>
          <w:highlight w:val="none"/>
          <w:lang w:val="en-US" w:eastAsia="zh-CN"/>
          <w14:textFill>
            <w14:solidFill>
              <w14:schemeClr w14:val="tx1"/>
            </w14:solidFill>
          </w14:textFill>
        </w:rPr>
        <w:fldChar w:fldCharType="end"/>
      </w:r>
      <w:r>
        <w:rPr>
          <w:rFonts w:hint="eastAsia" w:ascii="仿宋" w:hAnsi="仿宋" w:eastAsia="仿宋" w:cs="仿宋"/>
          <w:color w:val="auto"/>
          <w:sz w:val="21"/>
          <w:szCs w:val="21"/>
          <w:highlight w:val="none"/>
          <w:lang w:eastAsia="zh-CN"/>
        </w:rPr>
        <w:t>；</w:t>
      </w:r>
    </w:p>
    <w:p w14:paraId="68F71CFE">
      <w:pPr>
        <w:pStyle w:val="28"/>
        <w:keepNext w:val="0"/>
        <w:keepLines w:val="0"/>
        <w:pageBreakBefore w:val="0"/>
        <w:widowControl w:val="0"/>
        <w:tabs>
          <w:tab w:val="left" w:pos="2412"/>
          <w:tab w:val="left" w:pos="2832"/>
          <w:tab w:val="left" w:pos="3472"/>
          <w:tab w:val="left" w:pos="5610"/>
          <w:tab w:val="left" w:pos="7270"/>
        </w:tabs>
        <w:kinsoku/>
        <w:wordWrap w:val="0"/>
        <w:overflowPunct/>
        <w:topLinePunct/>
        <w:autoSpaceDE/>
        <w:autoSpaceDN/>
        <w:bidi w:val="0"/>
        <w:adjustRightInd/>
        <w:snapToGrid/>
        <w:spacing w:line="360" w:lineRule="auto"/>
        <w:ind w:left="0" w:right="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2.项目名称：</w:t>
      </w:r>
      <w:r>
        <w:rPr>
          <w:rFonts w:hint="eastAsia" w:ascii="仿宋" w:hAnsi="仿宋" w:eastAsia="仿宋" w:cs="仿宋"/>
          <w:color w:val="auto"/>
          <w:sz w:val="21"/>
          <w:szCs w:val="21"/>
          <w:highlight w:val="none"/>
          <w:lang w:val="en-US" w:eastAsia="zh-CN"/>
        </w:rPr>
        <w:t>楚雄彝族自治州人民医院2026年行政后勤物资采购项目；</w:t>
      </w:r>
    </w:p>
    <w:p w14:paraId="59AF71CE">
      <w:pPr>
        <w:pStyle w:val="28"/>
        <w:keepNext w:val="0"/>
        <w:keepLines w:val="0"/>
        <w:pageBreakBefore w:val="0"/>
        <w:widowControl w:val="0"/>
        <w:tabs>
          <w:tab w:val="left" w:pos="2412"/>
          <w:tab w:val="left" w:pos="2832"/>
          <w:tab w:val="left" w:pos="3472"/>
          <w:tab w:val="left" w:pos="5610"/>
          <w:tab w:val="left" w:pos="7270"/>
        </w:tabs>
        <w:kinsoku/>
        <w:wordWrap w:val="0"/>
        <w:overflowPunct/>
        <w:topLinePunct/>
        <w:autoSpaceDE/>
        <w:autoSpaceDN/>
        <w:bidi w:val="0"/>
        <w:adjustRightInd/>
        <w:snapToGrid/>
        <w:spacing w:line="360" w:lineRule="auto"/>
        <w:ind w:left="0" w:right="0" w:firstLine="420" w:firstLineChars="200"/>
        <w:jc w:val="left"/>
        <w:textAlignment w:val="auto"/>
        <w:outlineLvl w:val="2"/>
        <w:rPr>
          <w:rFonts w:hint="eastAsia" w:ascii="仿宋" w:hAnsi="仿宋" w:eastAsia="仿宋" w:cs="仿宋"/>
          <w:color w:val="auto"/>
          <w:sz w:val="21"/>
          <w:szCs w:val="21"/>
          <w:highlight w:val="none"/>
          <w:lang w:val="en-US" w:eastAsia="zh-CN"/>
        </w:rPr>
      </w:pPr>
      <w:bookmarkStart w:id="24" w:name="_Toc7005"/>
      <w:bookmarkStart w:id="25" w:name="_Toc14608"/>
      <w:r>
        <w:rPr>
          <w:rFonts w:hint="eastAsia" w:ascii="仿宋" w:hAnsi="仿宋" w:eastAsia="仿宋" w:cs="仿宋"/>
          <w:color w:val="auto"/>
          <w:sz w:val="21"/>
          <w:szCs w:val="21"/>
          <w:highlight w:val="none"/>
          <w:lang w:eastAsia="zh-CN"/>
        </w:rPr>
        <w:t>3.预算金额：</w:t>
      </w:r>
      <w:r>
        <w:rPr>
          <w:rFonts w:hint="eastAsia" w:ascii="仿宋" w:hAnsi="仿宋" w:eastAsia="仿宋" w:cs="仿宋"/>
          <w:color w:val="auto"/>
          <w:sz w:val="21"/>
          <w:szCs w:val="21"/>
          <w:highlight w:val="none"/>
          <w:u w:val="none"/>
          <w:lang w:val="en-US" w:eastAsia="zh-CN"/>
        </w:rPr>
        <w:t>140</w:t>
      </w:r>
      <w:r>
        <w:rPr>
          <w:rFonts w:hint="eastAsia" w:ascii="仿宋" w:hAnsi="仿宋" w:eastAsia="仿宋" w:cs="仿宋"/>
          <w:color w:val="auto"/>
          <w:sz w:val="21"/>
          <w:szCs w:val="21"/>
          <w:highlight w:val="none"/>
          <w:lang w:val="en-US" w:eastAsia="zh-CN"/>
        </w:rPr>
        <w:t>万</w:t>
      </w:r>
      <w:r>
        <w:rPr>
          <w:rFonts w:hint="eastAsia" w:ascii="仿宋" w:hAnsi="仿宋" w:eastAsia="仿宋" w:cs="仿宋"/>
          <w:color w:val="auto"/>
          <w:sz w:val="21"/>
          <w:szCs w:val="21"/>
          <w:highlight w:val="none"/>
          <w:lang w:eastAsia="zh-CN"/>
        </w:rPr>
        <w:t>元；</w:t>
      </w:r>
      <w:bookmarkEnd w:id="24"/>
      <w:bookmarkEnd w:id="25"/>
    </w:p>
    <w:p w14:paraId="448C7021">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color w:val="auto"/>
          <w:sz w:val="21"/>
          <w:szCs w:val="21"/>
          <w:highlight w:val="none"/>
          <w:lang w:val="en-US" w:eastAsia="zh-CN"/>
        </w:rPr>
        <w:t>4.最高限价：</w:t>
      </w:r>
      <w:r>
        <w:rPr>
          <w:rFonts w:hint="eastAsia" w:ascii="仿宋" w:hAnsi="仿宋" w:eastAsia="仿宋" w:cs="仿宋"/>
          <w:color w:val="auto"/>
          <w:sz w:val="21"/>
          <w:szCs w:val="21"/>
          <w:highlight w:val="none"/>
          <w:u w:val="none"/>
          <w:lang w:val="en-US" w:eastAsia="zh-CN"/>
        </w:rPr>
        <w:t>140</w:t>
      </w:r>
      <w:r>
        <w:rPr>
          <w:rFonts w:hint="eastAsia" w:ascii="仿宋" w:hAnsi="仿宋" w:eastAsia="仿宋" w:cs="仿宋"/>
          <w:color w:val="auto"/>
          <w:sz w:val="21"/>
          <w:szCs w:val="21"/>
          <w:highlight w:val="none"/>
          <w:lang w:val="en-US" w:eastAsia="zh-CN"/>
        </w:rPr>
        <w:t>万</w:t>
      </w:r>
      <w:r>
        <w:rPr>
          <w:rFonts w:hint="eastAsia" w:ascii="仿宋" w:hAnsi="仿宋" w:eastAsia="仿宋" w:cs="仿宋"/>
          <w:color w:val="auto"/>
          <w:sz w:val="21"/>
          <w:szCs w:val="21"/>
          <w:highlight w:val="none"/>
          <w:lang w:eastAsia="zh-CN"/>
        </w:rPr>
        <w:t>元</w:t>
      </w:r>
      <w:r>
        <w:rPr>
          <w:rFonts w:hint="eastAsia" w:ascii="仿宋" w:hAnsi="仿宋" w:eastAsia="仿宋" w:cs="仿宋"/>
          <w:b w:val="0"/>
          <w:bCs w:val="0"/>
          <w:color w:val="auto"/>
          <w:sz w:val="21"/>
          <w:szCs w:val="21"/>
          <w:highlight w:val="none"/>
          <w:lang w:val="en-US" w:eastAsia="zh-CN"/>
        </w:rPr>
        <w:t>；</w:t>
      </w:r>
    </w:p>
    <w:p w14:paraId="197E626C">
      <w:pPr>
        <w:keepNext w:val="0"/>
        <w:keepLines w:val="0"/>
        <w:pageBreakBefore w:val="0"/>
        <w:widowControl w:val="0"/>
        <w:kinsoku/>
        <w:wordWrap w:val="0"/>
        <w:overflowPunct/>
        <w:topLinePunct/>
        <w:autoSpaceDE/>
        <w:autoSpaceDN/>
        <w:bidi w:val="0"/>
        <w:adjustRightInd/>
        <w:snapToGrid/>
        <w:spacing w:line="360" w:lineRule="auto"/>
        <w:ind w:left="0" w:right="0" w:firstLine="420" w:firstLineChars="200"/>
        <w:jc w:val="left"/>
        <w:textAlignment w:val="auto"/>
        <w:outlineLvl w:val="2"/>
        <w:rPr>
          <w:rFonts w:hint="default" w:ascii="仿宋" w:hAnsi="仿宋" w:eastAsia="仿宋" w:cs="仿宋"/>
          <w:color w:val="auto"/>
          <w:sz w:val="21"/>
          <w:szCs w:val="21"/>
          <w:highlight w:val="none"/>
          <w:vertAlign w:val="baseline"/>
          <w:lang w:val="en-US" w:eastAsia="zh-CN"/>
        </w:rPr>
      </w:pPr>
      <w:bookmarkStart w:id="26" w:name="_Toc23516"/>
      <w:bookmarkStart w:id="27" w:name="_Toc24215"/>
      <w:r>
        <w:rPr>
          <w:rFonts w:hint="eastAsia" w:ascii="仿宋" w:hAnsi="仿宋" w:eastAsia="仿宋" w:cs="仿宋"/>
          <w:color w:val="auto"/>
          <w:sz w:val="21"/>
          <w:szCs w:val="21"/>
          <w:highlight w:val="none"/>
          <w:lang w:val="en-US" w:eastAsia="zh-CN"/>
        </w:rPr>
        <w:t>5.采购需求：</w:t>
      </w:r>
      <w:bookmarkEnd w:id="26"/>
      <w:bookmarkEnd w:id="27"/>
      <w:r>
        <w:rPr>
          <w:rFonts w:hint="eastAsia" w:ascii="仿宋" w:hAnsi="仿宋" w:eastAsia="仿宋" w:cs="仿宋"/>
          <w:color w:val="auto"/>
          <w:sz w:val="21"/>
          <w:szCs w:val="21"/>
          <w:highlight w:val="none"/>
          <w:lang w:val="en-US" w:eastAsia="zh-CN"/>
        </w:rPr>
        <w:t>按医院要求完成包括办公用品、日用品、五金等后行政勤物资供应。</w:t>
      </w:r>
    </w:p>
    <w:p w14:paraId="7544DDCA">
      <w:pPr>
        <w:keepNext w:val="0"/>
        <w:keepLines w:val="0"/>
        <w:pageBreakBefore w:val="0"/>
        <w:widowControl w:val="0"/>
        <w:kinsoku/>
        <w:wordWrap w:val="0"/>
        <w:overflowPunct/>
        <w:topLinePunct/>
        <w:autoSpaceDE/>
        <w:autoSpaceDN/>
        <w:bidi w:val="0"/>
        <w:adjustRightInd/>
        <w:snapToGrid/>
        <w:spacing w:line="360" w:lineRule="auto"/>
        <w:ind w:left="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6.合同履行期限：</w:t>
      </w:r>
      <w:r>
        <w:rPr>
          <w:rFonts w:hint="eastAsia" w:ascii="仿宋" w:hAnsi="仿宋" w:eastAsia="仿宋" w:cs="仿宋"/>
          <w:color w:val="auto"/>
          <w:sz w:val="21"/>
          <w:szCs w:val="21"/>
          <w:highlight w:val="none"/>
          <w:lang w:val="en-US" w:eastAsia="zh-CN"/>
        </w:rPr>
        <w:t>自合同签订之日起累计结算金额达到本项目采购预算止</w:t>
      </w:r>
      <w:r>
        <w:rPr>
          <w:rFonts w:hint="eastAsia" w:ascii="仿宋" w:hAnsi="仿宋" w:eastAsia="仿宋" w:cs="仿宋"/>
          <w:color w:val="auto"/>
          <w:sz w:val="21"/>
          <w:szCs w:val="21"/>
          <w:highlight w:val="none"/>
          <w:lang w:val="zh-CN" w:eastAsia="zh-CN"/>
        </w:rPr>
        <w:t>（中标人若有违背服务合同的有关条款，则采购人有权随时终止服务合同）</w:t>
      </w:r>
      <w:r>
        <w:rPr>
          <w:rFonts w:hint="eastAsia" w:ascii="仿宋" w:hAnsi="仿宋" w:eastAsia="仿宋" w:cs="仿宋"/>
          <w:color w:val="auto"/>
          <w:sz w:val="21"/>
          <w:szCs w:val="21"/>
          <w:highlight w:val="none"/>
          <w:lang w:eastAsia="zh-CN"/>
        </w:rPr>
        <w:t>；</w:t>
      </w:r>
    </w:p>
    <w:p w14:paraId="03F25D1A">
      <w:pPr>
        <w:pStyle w:val="28"/>
        <w:keepNext w:val="0"/>
        <w:keepLines w:val="0"/>
        <w:pageBreakBefore w:val="0"/>
        <w:widowControl w:val="0"/>
        <w:tabs>
          <w:tab w:val="left" w:pos="2412"/>
          <w:tab w:val="left" w:pos="2832"/>
          <w:tab w:val="left" w:pos="3472"/>
          <w:tab w:val="left" w:pos="5610"/>
          <w:tab w:val="left" w:pos="7270"/>
        </w:tabs>
        <w:kinsoku/>
        <w:wordWrap w:val="0"/>
        <w:overflowPunct/>
        <w:topLinePunct/>
        <w:autoSpaceDE/>
        <w:autoSpaceDN/>
        <w:bidi w:val="0"/>
        <w:adjustRightInd/>
        <w:snapToGrid/>
        <w:spacing w:line="360" w:lineRule="auto"/>
        <w:ind w:left="0" w:right="0" w:firstLine="420" w:firstLineChars="200"/>
        <w:jc w:val="left"/>
        <w:textAlignment w:val="auto"/>
        <w:outlineLvl w:val="2"/>
        <w:rPr>
          <w:rFonts w:hint="eastAsia" w:ascii="仿宋" w:hAnsi="仿宋" w:eastAsia="仿宋" w:cs="仿宋"/>
          <w:color w:val="auto"/>
          <w:sz w:val="21"/>
          <w:szCs w:val="21"/>
          <w:highlight w:val="none"/>
          <w:lang w:eastAsia="zh-CN"/>
        </w:rPr>
      </w:pPr>
      <w:bookmarkStart w:id="28" w:name="_Toc24491"/>
      <w:bookmarkStart w:id="29" w:name="_Toc19743"/>
      <w:r>
        <w:rPr>
          <w:rFonts w:hint="eastAsia" w:ascii="仿宋" w:hAnsi="仿宋" w:eastAsia="仿宋" w:cs="仿宋"/>
          <w:color w:val="auto"/>
          <w:sz w:val="21"/>
          <w:szCs w:val="21"/>
          <w:highlight w:val="none"/>
          <w:lang w:eastAsia="zh-CN"/>
        </w:rPr>
        <w:t>7.本项目</w:t>
      </w:r>
      <w:r>
        <w:rPr>
          <w:rFonts w:hint="eastAsia" w:ascii="仿宋" w:hAnsi="仿宋" w:eastAsia="仿宋" w:cs="仿宋"/>
          <w:b/>
          <w:bCs/>
          <w:i w:val="0"/>
          <w:iCs w:val="0"/>
          <w:color w:val="auto"/>
          <w:sz w:val="21"/>
          <w:szCs w:val="21"/>
          <w:highlight w:val="none"/>
          <w:lang w:eastAsia="zh-CN"/>
        </w:rPr>
        <w:t>（</w:t>
      </w:r>
      <w:r>
        <w:rPr>
          <w:rFonts w:hint="eastAsia" w:ascii="仿宋" w:hAnsi="仿宋" w:eastAsia="仿宋" w:cs="仿宋"/>
          <w:b/>
          <w:bCs/>
          <w:i w:val="0"/>
          <w:iCs w:val="0"/>
          <w:color w:val="auto"/>
          <w:sz w:val="21"/>
          <w:szCs w:val="21"/>
          <w:highlight w:val="none"/>
          <w:lang w:val="en-US" w:eastAsia="zh-CN"/>
        </w:rPr>
        <w:t>不接受</w:t>
      </w:r>
      <w:r>
        <w:rPr>
          <w:rFonts w:hint="eastAsia" w:ascii="仿宋" w:hAnsi="仿宋" w:eastAsia="仿宋" w:cs="仿宋"/>
          <w:b/>
          <w:bCs/>
          <w:i w:val="0"/>
          <w:iCs w:val="0"/>
          <w:color w:val="auto"/>
          <w:sz w:val="21"/>
          <w:szCs w:val="21"/>
          <w:highlight w:val="none"/>
          <w:lang w:eastAsia="zh-CN"/>
        </w:rPr>
        <w:t>）</w:t>
      </w:r>
      <w:r>
        <w:rPr>
          <w:rFonts w:hint="eastAsia" w:ascii="仿宋" w:hAnsi="仿宋" w:eastAsia="仿宋" w:cs="仿宋"/>
          <w:color w:val="auto"/>
          <w:sz w:val="21"/>
          <w:szCs w:val="21"/>
          <w:highlight w:val="none"/>
          <w:lang w:eastAsia="zh-CN"/>
        </w:rPr>
        <w:t>联合体投标。</w:t>
      </w:r>
      <w:bookmarkEnd w:id="28"/>
      <w:bookmarkEnd w:id="29"/>
    </w:p>
    <w:p w14:paraId="3E3B338A">
      <w:pPr>
        <w:pStyle w:val="3"/>
        <w:keepNext w:val="0"/>
        <w:keepLines w:val="0"/>
        <w:pageBreakBefore w:val="0"/>
        <w:widowControl w:val="0"/>
        <w:kinsoku/>
        <w:wordWrap w:val="0"/>
        <w:overflowPunct/>
        <w:topLinePunct/>
        <w:autoSpaceDE/>
        <w:autoSpaceDN/>
        <w:bidi w:val="0"/>
        <w:adjustRightInd/>
        <w:snapToGrid/>
        <w:spacing w:before="0" w:after="0" w:line="360" w:lineRule="auto"/>
        <w:ind w:left="0" w:firstLine="422" w:firstLineChars="200"/>
        <w:jc w:val="left"/>
        <w:textAlignment w:val="auto"/>
        <w:rPr>
          <w:rFonts w:hint="eastAsia" w:ascii="仿宋" w:hAnsi="仿宋" w:eastAsia="仿宋" w:cs="仿宋"/>
          <w:color w:val="auto"/>
          <w:sz w:val="21"/>
          <w:szCs w:val="21"/>
          <w:highlight w:val="none"/>
          <w:lang w:eastAsia="zh-CN"/>
        </w:rPr>
      </w:pPr>
      <w:bookmarkStart w:id="30" w:name="_Toc15184"/>
      <w:bookmarkStart w:id="31" w:name="_Toc15309"/>
      <w:bookmarkStart w:id="32" w:name="_Toc88638738"/>
      <w:bookmarkStart w:id="33" w:name="_Toc88646722"/>
      <w:bookmarkStart w:id="34" w:name="_Toc145067544"/>
      <w:r>
        <w:rPr>
          <w:rFonts w:hint="eastAsia" w:ascii="仿宋" w:hAnsi="仿宋" w:eastAsia="仿宋" w:cs="仿宋"/>
          <w:color w:val="auto"/>
          <w:sz w:val="21"/>
          <w:szCs w:val="21"/>
          <w:highlight w:val="none"/>
          <w:lang w:eastAsia="zh-CN"/>
        </w:rPr>
        <w:t>二、</w:t>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lang w:eastAsia="zh-CN"/>
        </w:rPr>
        <w:t>的资格要求</w:t>
      </w:r>
      <w:bookmarkEnd w:id="30"/>
      <w:bookmarkEnd w:id="31"/>
      <w:bookmarkEnd w:id="32"/>
      <w:bookmarkEnd w:id="33"/>
      <w:bookmarkEnd w:id="34"/>
    </w:p>
    <w:p w14:paraId="38730754">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right="0" w:firstLine="420" w:firstLineChars="200"/>
        <w:jc w:val="left"/>
        <w:textAlignment w:val="auto"/>
        <w:outlineLvl w:val="2"/>
        <w:rPr>
          <w:rFonts w:hint="eastAsia" w:ascii="仿宋" w:hAnsi="仿宋" w:eastAsia="仿宋" w:cs="仿宋"/>
          <w:b w:val="0"/>
          <w:bCs w:val="0"/>
          <w:color w:val="auto"/>
          <w:sz w:val="21"/>
          <w:szCs w:val="21"/>
          <w:highlight w:val="none"/>
          <w:lang w:eastAsia="zh-CN"/>
        </w:rPr>
      </w:pPr>
      <w:bookmarkStart w:id="35" w:name="_Toc3038"/>
      <w:bookmarkStart w:id="36" w:name="_Toc27552"/>
      <w:bookmarkStart w:id="37" w:name="_Toc22018"/>
      <w:bookmarkStart w:id="38" w:name="_Toc16025"/>
      <w:bookmarkStart w:id="39" w:name="_Toc1018"/>
      <w:bookmarkStart w:id="40" w:name="_Toc525"/>
      <w:bookmarkStart w:id="41" w:name="_Toc2450"/>
      <w:bookmarkStart w:id="42" w:name="_Toc19792"/>
      <w:bookmarkStart w:id="43" w:name="_Toc30773"/>
      <w:bookmarkStart w:id="44" w:name="_Toc27003"/>
      <w:bookmarkStart w:id="45" w:name="_Toc18326"/>
      <w:bookmarkStart w:id="46" w:name="_Toc32252"/>
      <w:bookmarkStart w:id="47" w:name="_Toc4717"/>
      <w:bookmarkStart w:id="48" w:name="_Toc21500"/>
      <w:bookmarkStart w:id="49" w:name="_Toc13679"/>
      <w:bookmarkStart w:id="50" w:name="_Toc28501"/>
      <w:bookmarkStart w:id="51" w:name="_Toc6293"/>
      <w:bookmarkStart w:id="52" w:name="_Toc20770"/>
      <w:bookmarkStart w:id="53" w:name="_Toc1678"/>
      <w:bookmarkStart w:id="54" w:name="_Toc3720"/>
      <w:bookmarkStart w:id="55" w:name="_Toc13026"/>
      <w:bookmarkStart w:id="56" w:name="_Toc18413"/>
      <w:bookmarkStart w:id="57" w:name="_Toc12895"/>
      <w:bookmarkStart w:id="58" w:name="_Toc16725"/>
      <w:bookmarkStart w:id="59" w:name="_Toc7073"/>
      <w:bookmarkStart w:id="60" w:name="_Toc21596"/>
      <w:r>
        <w:rPr>
          <w:rFonts w:hint="eastAsia" w:ascii="仿宋" w:hAnsi="仿宋" w:eastAsia="仿宋" w:cs="仿宋"/>
          <w:b w:val="0"/>
          <w:bCs w:val="0"/>
          <w:color w:val="auto"/>
          <w:sz w:val="21"/>
          <w:szCs w:val="21"/>
          <w:highlight w:val="none"/>
          <w:lang w:eastAsia="zh-CN"/>
        </w:rPr>
        <w:t>1.满足《中华人民共和国政府采购法》第二十二条规定；</w:t>
      </w:r>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p>
    <w:p w14:paraId="342B3AB3">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right="0" w:firstLine="420" w:firstLineChars="200"/>
        <w:jc w:val="left"/>
        <w:textAlignment w:val="auto"/>
        <w:outlineLvl w:val="2"/>
        <w:rPr>
          <w:rFonts w:hint="eastAsia" w:ascii="仿宋" w:hAnsi="仿宋" w:eastAsia="仿宋" w:cs="仿宋"/>
          <w:b w:val="0"/>
          <w:bCs w:val="0"/>
          <w:color w:val="auto"/>
          <w:sz w:val="21"/>
          <w:szCs w:val="21"/>
          <w:highlight w:val="none"/>
          <w:lang w:eastAsia="zh-CN"/>
        </w:rPr>
      </w:pPr>
      <w:bookmarkStart w:id="61" w:name="_Toc25972"/>
      <w:bookmarkStart w:id="62" w:name="_Toc31284"/>
      <w:bookmarkStart w:id="63" w:name="_Toc11050"/>
      <w:bookmarkStart w:id="64" w:name="_Toc19813"/>
      <w:bookmarkStart w:id="65" w:name="_Toc29269"/>
      <w:bookmarkStart w:id="66" w:name="_Toc1855"/>
      <w:bookmarkStart w:id="67" w:name="_Toc16652"/>
      <w:bookmarkStart w:id="68" w:name="_Toc3905"/>
      <w:bookmarkStart w:id="69" w:name="_Toc9407"/>
      <w:bookmarkStart w:id="70" w:name="_Toc11026"/>
      <w:bookmarkStart w:id="71" w:name="_Toc19263"/>
      <w:bookmarkStart w:id="72" w:name="_Toc8275"/>
      <w:bookmarkStart w:id="73" w:name="_Toc19856"/>
      <w:bookmarkStart w:id="74" w:name="_Toc28179"/>
      <w:bookmarkStart w:id="75" w:name="_Toc14096"/>
      <w:bookmarkStart w:id="76" w:name="_Toc26864"/>
      <w:bookmarkStart w:id="77" w:name="_Toc1169"/>
      <w:bookmarkStart w:id="78" w:name="_Toc21835"/>
      <w:bookmarkStart w:id="79" w:name="_Toc568"/>
      <w:bookmarkStart w:id="80" w:name="_Toc22475"/>
      <w:bookmarkStart w:id="81" w:name="_Toc20673"/>
      <w:bookmarkStart w:id="82" w:name="_Toc10628"/>
      <w:bookmarkStart w:id="83" w:name="_Toc7143"/>
      <w:bookmarkStart w:id="84" w:name="_Toc4631"/>
      <w:bookmarkStart w:id="85" w:name="_Toc18951"/>
      <w:bookmarkStart w:id="86" w:name="_Toc20300"/>
      <w:r>
        <w:rPr>
          <w:rFonts w:hint="eastAsia" w:ascii="仿宋" w:hAnsi="仿宋" w:eastAsia="仿宋" w:cs="仿宋"/>
          <w:b w:val="0"/>
          <w:bCs w:val="0"/>
          <w:color w:val="auto"/>
          <w:sz w:val="21"/>
          <w:szCs w:val="21"/>
          <w:highlight w:val="none"/>
          <w:lang w:val="en-US" w:eastAsia="zh-CN"/>
        </w:rPr>
        <w:t>2</w:t>
      </w:r>
      <w:r>
        <w:rPr>
          <w:rFonts w:hint="eastAsia" w:ascii="仿宋" w:hAnsi="仿宋" w:eastAsia="仿宋" w:cs="仿宋"/>
          <w:b w:val="0"/>
          <w:bCs w:val="0"/>
          <w:color w:val="auto"/>
          <w:sz w:val="21"/>
          <w:szCs w:val="21"/>
          <w:highlight w:val="none"/>
          <w:lang w:eastAsia="zh-CN"/>
        </w:rPr>
        <w:t>.落实政府采购政策需满足的资格要求：</w:t>
      </w:r>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p>
    <w:p w14:paraId="1AE91A69">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right="0" w:firstLine="420" w:firstLineChars="200"/>
        <w:jc w:val="left"/>
        <w:textAlignment w:val="auto"/>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lang w:eastAsia="zh-CN"/>
        </w:rPr>
        <w:t>（1）本项目</w:t>
      </w:r>
      <w:r>
        <w:rPr>
          <w:rFonts w:hint="eastAsia" w:ascii="仿宋" w:hAnsi="仿宋" w:eastAsia="仿宋" w:cs="仿宋"/>
          <w:b/>
          <w:bCs/>
          <w:i w:val="0"/>
          <w:iCs w:val="0"/>
          <w:color w:val="auto"/>
          <w:sz w:val="21"/>
          <w:szCs w:val="21"/>
          <w:highlight w:val="none"/>
          <w:u w:val="none"/>
          <w:lang w:eastAsia="zh-CN"/>
        </w:rPr>
        <w:t>（不属于）</w:t>
      </w:r>
      <w:r>
        <w:rPr>
          <w:rFonts w:hint="eastAsia" w:ascii="仿宋" w:hAnsi="仿宋" w:eastAsia="仿宋" w:cs="仿宋"/>
          <w:b w:val="0"/>
          <w:bCs w:val="0"/>
          <w:color w:val="auto"/>
          <w:sz w:val="21"/>
          <w:szCs w:val="21"/>
          <w:highlight w:val="none"/>
          <w:lang w:eastAsia="zh-CN"/>
        </w:rPr>
        <w:t xml:space="preserve">专门面向中小企业采购的项目； </w:t>
      </w:r>
    </w:p>
    <w:p w14:paraId="1B019037">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right="0" w:firstLine="420" w:firstLineChars="200"/>
        <w:jc w:val="left"/>
        <w:textAlignment w:val="auto"/>
        <w:rPr>
          <w:rFonts w:hint="eastAsia" w:ascii="仿宋" w:hAnsi="仿宋" w:eastAsia="仿宋" w:cs="仿宋"/>
          <w:b w:val="0"/>
          <w:bCs w:val="0"/>
          <w:color w:val="auto"/>
          <w:sz w:val="21"/>
          <w:szCs w:val="21"/>
          <w:highlight w:val="none"/>
          <w:u w:val="none"/>
          <w:lang w:eastAsia="zh-CN"/>
        </w:rPr>
      </w:pPr>
      <w:r>
        <w:rPr>
          <w:rFonts w:hint="eastAsia" w:ascii="仿宋" w:hAnsi="仿宋" w:eastAsia="仿宋" w:cs="仿宋"/>
          <w:b w:val="0"/>
          <w:bCs w:val="0"/>
          <w:color w:val="auto"/>
          <w:sz w:val="21"/>
          <w:szCs w:val="21"/>
          <w:highlight w:val="none"/>
          <w:lang w:eastAsia="zh-CN"/>
        </w:rPr>
        <w:t>（2）本项目需要落实的政府采购政策：《政府采购促进中小企业发展管理办法》（财库〔2020〕46号）、《关于进一步加大政府采购支持中小企业力度的通知》（财库〔2022〕19号）、《财政部民政部中国残疾人联合会关于促进残疾人就业政府采购政策的通知》（财库〔2017〕141号）、《关于政府采购支持监狱企业发展有关问题的通知》（财库〔2014〕68号）、《云南省财政厅</w:t>
      </w:r>
      <w:r>
        <w:rPr>
          <w:rFonts w:hint="eastAsia" w:ascii="仿宋" w:hAnsi="仿宋" w:eastAsia="仿宋" w:cs="仿宋"/>
          <w:b w:val="0"/>
          <w:bCs w:val="0"/>
          <w:color w:val="auto"/>
          <w:sz w:val="21"/>
          <w:szCs w:val="21"/>
          <w:highlight w:val="none"/>
          <w:lang w:val="en-US" w:eastAsia="zh-CN"/>
        </w:rPr>
        <w:t xml:space="preserve"> </w:t>
      </w:r>
      <w:r>
        <w:rPr>
          <w:rFonts w:hint="eastAsia" w:ascii="仿宋" w:hAnsi="仿宋" w:eastAsia="仿宋" w:cs="仿宋"/>
          <w:b w:val="0"/>
          <w:bCs w:val="0"/>
          <w:color w:val="auto"/>
          <w:sz w:val="21"/>
          <w:szCs w:val="21"/>
          <w:highlight w:val="none"/>
          <w:lang w:eastAsia="zh-CN"/>
        </w:rPr>
        <w:t>云南省工业和信息化厅</w:t>
      </w:r>
      <w:r>
        <w:rPr>
          <w:rFonts w:hint="eastAsia" w:ascii="仿宋" w:hAnsi="仿宋" w:eastAsia="仿宋" w:cs="仿宋"/>
          <w:b w:val="0"/>
          <w:bCs w:val="0"/>
          <w:color w:val="auto"/>
          <w:sz w:val="21"/>
          <w:szCs w:val="21"/>
          <w:highlight w:val="none"/>
          <w:lang w:val="en-US" w:eastAsia="zh-CN"/>
        </w:rPr>
        <w:t xml:space="preserve"> </w:t>
      </w:r>
      <w:r>
        <w:rPr>
          <w:rFonts w:hint="eastAsia" w:ascii="仿宋" w:hAnsi="仿宋" w:eastAsia="仿宋" w:cs="仿宋"/>
          <w:b w:val="0"/>
          <w:bCs w:val="0"/>
          <w:color w:val="auto"/>
          <w:sz w:val="21"/>
          <w:szCs w:val="21"/>
          <w:highlight w:val="none"/>
          <w:lang w:eastAsia="zh-CN"/>
        </w:rPr>
        <w:t>关于落实政府采购促进中小企业发展政策意见的通知》（</w:t>
      </w:r>
      <w:r>
        <w:rPr>
          <w:rFonts w:hint="eastAsia" w:ascii="仿宋" w:hAnsi="仿宋" w:eastAsia="仿宋" w:cs="仿宋"/>
          <w:b w:val="0"/>
          <w:bCs w:val="0"/>
          <w:color w:val="auto"/>
          <w:sz w:val="21"/>
          <w:szCs w:val="21"/>
          <w:highlight w:val="none"/>
          <w:lang w:val="en-US" w:eastAsia="zh-CN"/>
        </w:rPr>
        <w:t>云财规</w:t>
      </w:r>
      <w:r>
        <w:rPr>
          <w:rFonts w:hint="eastAsia" w:ascii="仿宋" w:hAnsi="仿宋" w:eastAsia="仿宋" w:cs="仿宋"/>
          <w:b w:val="0"/>
          <w:bCs w:val="0"/>
          <w:color w:val="auto"/>
          <w:sz w:val="21"/>
          <w:szCs w:val="21"/>
          <w:highlight w:val="none"/>
          <w:lang w:eastAsia="zh-CN"/>
        </w:rPr>
        <w:t>〔20</w:t>
      </w:r>
      <w:r>
        <w:rPr>
          <w:rFonts w:hint="eastAsia" w:ascii="仿宋" w:hAnsi="仿宋" w:eastAsia="仿宋" w:cs="仿宋"/>
          <w:b w:val="0"/>
          <w:bCs w:val="0"/>
          <w:color w:val="auto"/>
          <w:sz w:val="21"/>
          <w:szCs w:val="21"/>
          <w:highlight w:val="none"/>
          <w:lang w:val="en-US" w:eastAsia="zh-CN"/>
        </w:rPr>
        <w:t>22</w:t>
      </w: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sz w:val="21"/>
          <w:szCs w:val="21"/>
          <w:highlight w:val="none"/>
          <w:lang w:val="en-US" w:eastAsia="zh-CN"/>
        </w:rPr>
        <w:t>13号</w:t>
      </w:r>
      <w:r>
        <w:rPr>
          <w:rFonts w:hint="eastAsia" w:ascii="仿宋" w:hAnsi="仿宋" w:eastAsia="仿宋" w:cs="仿宋"/>
          <w:b w:val="0"/>
          <w:bCs w:val="0"/>
          <w:color w:val="auto"/>
          <w:sz w:val="21"/>
          <w:szCs w:val="21"/>
          <w:highlight w:val="none"/>
          <w:lang w:eastAsia="zh-CN"/>
        </w:rPr>
        <w:t>）等。</w:t>
      </w:r>
      <w:r>
        <w:rPr>
          <w:rFonts w:hint="eastAsia" w:ascii="仿宋" w:hAnsi="仿宋" w:eastAsia="仿宋" w:cs="仿宋"/>
          <w:b w:val="0"/>
          <w:bCs w:val="0"/>
          <w:color w:val="auto"/>
          <w:sz w:val="21"/>
          <w:szCs w:val="21"/>
          <w:highlight w:val="none"/>
          <w:u w:val="none"/>
          <w:lang w:eastAsia="zh-CN"/>
        </w:rPr>
        <w:t>评审时小微型企业产品享受10%的价格下浮率。监狱企业、残疾人福利性单位视同小微型企业。</w:t>
      </w:r>
    </w:p>
    <w:p w14:paraId="7DD7DEA1">
      <w:pPr>
        <w:pStyle w:val="28"/>
        <w:keepNext w:val="0"/>
        <w:keepLines w:val="0"/>
        <w:pageBreakBefore w:val="0"/>
        <w:widowControl w:val="0"/>
        <w:tabs>
          <w:tab w:val="left" w:pos="2812"/>
          <w:tab w:val="left" w:pos="4300"/>
        </w:tabs>
        <w:kinsoku/>
        <w:wordWrap w:val="0"/>
        <w:overflowPunct/>
        <w:topLinePunct/>
        <w:autoSpaceDE/>
        <w:autoSpaceDN/>
        <w:bidi w:val="0"/>
        <w:adjustRightInd/>
        <w:snapToGrid/>
        <w:spacing w:line="360" w:lineRule="auto"/>
        <w:ind w:left="0" w:right="0" w:firstLine="420" w:firstLineChars="200"/>
        <w:jc w:val="left"/>
        <w:textAlignment w:val="auto"/>
        <w:outlineLvl w:val="2"/>
        <w:rPr>
          <w:rFonts w:hint="eastAsia" w:ascii="仿宋" w:hAnsi="仿宋" w:eastAsia="仿宋" w:cs="仿宋"/>
          <w:b w:val="0"/>
          <w:bCs w:val="0"/>
          <w:color w:val="auto"/>
          <w:sz w:val="21"/>
          <w:szCs w:val="21"/>
          <w:highlight w:val="none"/>
          <w:lang w:eastAsia="zh-CN"/>
        </w:rPr>
      </w:pPr>
      <w:bookmarkStart w:id="87" w:name="_Toc1066"/>
      <w:bookmarkStart w:id="88" w:name="_Toc575"/>
      <w:bookmarkStart w:id="89" w:name="_Toc28890"/>
      <w:bookmarkStart w:id="90" w:name="_Toc8165"/>
      <w:bookmarkStart w:id="91" w:name="_Toc16609"/>
      <w:bookmarkStart w:id="92" w:name="_Toc8016"/>
      <w:bookmarkStart w:id="93" w:name="_Toc25518"/>
      <w:bookmarkStart w:id="94" w:name="_Toc18135"/>
      <w:bookmarkStart w:id="95" w:name="_Toc23913"/>
      <w:bookmarkStart w:id="96" w:name="_Toc18164"/>
      <w:bookmarkStart w:id="97" w:name="_Toc15921"/>
      <w:bookmarkStart w:id="98" w:name="_Toc31525"/>
      <w:bookmarkStart w:id="99" w:name="_Toc20720"/>
      <w:bookmarkStart w:id="100" w:name="_Toc30599"/>
      <w:bookmarkStart w:id="101" w:name="_Toc6423"/>
      <w:bookmarkStart w:id="102" w:name="_Toc30118"/>
      <w:bookmarkStart w:id="103" w:name="_Toc9787"/>
      <w:bookmarkStart w:id="104" w:name="_Toc15349"/>
      <w:bookmarkStart w:id="105" w:name="_Toc16706"/>
      <w:bookmarkStart w:id="106" w:name="_Toc9689"/>
      <w:bookmarkStart w:id="107" w:name="_Toc16668"/>
      <w:bookmarkStart w:id="108" w:name="_Toc1089"/>
      <w:bookmarkStart w:id="109" w:name="_Toc28915"/>
      <w:bookmarkStart w:id="110" w:name="_Toc13138"/>
      <w:bookmarkStart w:id="111" w:name="_Toc25407"/>
      <w:bookmarkStart w:id="112" w:name="_Toc16739"/>
      <w:r>
        <w:rPr>
          <w:rFonts w:hint="eastAsia" w:ascii="仿宋" w:hAnsi="仿宋" w:eastAsia="仿宋" w:cs="仿宋"/>
          <w:b w:val="0"/>
          <w:bCs w:val="0"/>
          <w:color w:val="auto"/>
          <w:sz w:val="21"/>
          <w:szCs w:val="21"/>
          <w:highlight w:val="none"/>
          <w:lang w:val="en-US" w:eastAsia="zh-CN"/>
        </w:rPr>
        <w:t>3</w:t>
      </w:r>
      <w:r>
        <w:rPr>
          <w:rFonts w:hint="eastAsia" w:ascii="仿宋" w:hAnsi="仿宋" w:eastAsia="仿宋" w:cs="仿宋"/>
          <w:b w:val="0"/>
          <w:bCs w:val="0"/>
          <w:color w:val="auto"/>
          <w:sz w:val="21"/>
          <w:szCs w:val="21"/>
          <w:highlight w:val="none"/>
          <w:lang w:eastAsia="zh-CN"/>
        </w:rPr>
        <w:t>.本项目的特定资格要求：</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p w14:paraId="14C619FC">
      <w:pPr>
        <w:pStyle w:val="28"/>
        <w:keepNext w:val="0"/>
        <w:keepLines w:val="0"/>
        <w:pageBreakBefore w:val="0"/>
        <w:widowControl w:val="0"/>
        <w:tabs>
          <w:tab w:val="left" w:pos="2812"/>
          <w:tab w:val="left" w:pos="4300"/>
        </w:tabs>
        <w:kinsoku/>
        <w:wordWrap w:val="0"/>
        <w:overflowPunct/>
        <w:topLinePunct/>
        <w:autoSpaceDE/>
        <w:autoSpaceDN/>
        <w:bidi w:val="0"/>
        <w:adjustRightInd/>
        <w:snapToGrid/>
        <w:spacing w:line="360" w:lineRule="auto"/>
        <w:ind w:left="0" w:right="0" w:firstLine="420" w:firstLineChars="200"/>
        <w:jc w:val="left"/>
        <w:textAlignment w:val="auto"/>
        <w:rPr>
          <w:rFonts w:hint="eastAsia" w:ascii="仿宋" w:hAnsi="仿宋" w:eastAsia="仿宋" w:cs="仿宋"/>
          <w:b w:val="0"/>
          <w:bCs w:val="0"/>
          <w:color w:val="auto"/>
          <w:sz w:val="21"/>
          <w:szCs w:val="21"/>
          <w:highlight w:val="none"/>
          <w:lang w:eastAsia="zh-CN"/>
        </w:rPr>
      </w:pPr>
      <w:bookmarkStart w:id="113" w:name="_Toc145067545"/>
      <w:bookmarkStart w:id="114" w:name="_Toc88646723"/>
      <w:bookmarkStart w:id="115" w:name="_Toc88638742"/>
      <w:bookmarkStart w:id="116" w:name="_Toc13748"/>
      <w:bookmarkStart w:id="117" w:name="_Toc15823"/>
      <w:r>
        <w:rPr>
          <w:rFonts w:hint="eastAsia" w:ascii="仿宋" w:hAnsi="仿宋" w:eastAsia="仿宋" w:cs="仿宋"/>
          <w:b w:val="0"/>
          <w:bCs w:val="0"/>
          <w:color w:val="auto"/>
          <w:sz w:val="21"/>
          <w:szCs w:val="21"/>
          <w:highlight w:val="none"/>
          <w:lang w:eastAsia="zh-CN"/>
        </w:rPr>
        <w:t>（1）投标人应遵守国家有关的法律、法令和条例，以及符合并承认和履行招标文件中的各项规定；</w:t>
      </w:r>
    </w:p>
    <w:p w14:paraId="13A96B94">
      <w:pPr>
        <w:pStyle w:val="28"/>
        <w:keepNext w:val="0"/>
        <w:keepLines w:val="0"/>
        <w:pageBreakBefore w:val="0"/>
        <w:widowControl w:val="0"/>
        <w:tabs>
          <w:tab w:val="left" w:pos="2812"/>
          <w:tab w:val="left" w:pos="4300"/>
        </w:tabs>
        <w:kinsoku/>
        <w:wordWrap w:val="0"/>
        <w:overflowPunct/>
        <w:topLinePunct/>
        <w:autoSpaceDE/>
        <w:autoSpaceDN/>
        <w:bidi w:val="0"/>
        <w:adjustRightInd/>
        <w:snapToGrid/>
        <w:spacing w:line="360" w:lineRule="auto"/>
        <w:ind w:left="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sz w:val="21"/>
          <w:szCs w:val="21"/>
          <w:highlight w:val="none"/>
          <w:lang w:val="en-US" w:eastAsia="zh-CN"/>
        </w:rPr>
        <w:t>2</w:t>
      </w:r>
      <w:r>
        <w:rPr>
          <w:rFonts w:hint="eastAsia" w:ascii="仿宋" w:hAnsi="仿宋" w:eastAsia="仿宋" w:cs="仿宋"/>
          <w:b w:val="0"/>
          <w:bCs w:val="0"/>
          <w:color w:val="auto"/>
          <w:sz w:val="21"/>
          <w:szCs w:val="21"/>
          <w:highlight w:val="none"/>
          <w:lang w:eastAsia="zh-CN"/>
        </w:rPr>
        <w:t>）单位负责人为同一人或者存在直接控股、管理关系的不同投标人，不得参加同一合同项下的政府采购活动</w:t>
      </w:r>
      <w:r>
        <w:rPr>
          <w:rFonts w:hint="eastAsia" w:ascii="仿宋" w:hAnsi="仿宋" w:eastAsia="仿宋" w:cs="仿宋"/>
          <w:color w:val="auto"/>
          <w:sz w:val="21"/>
          <w:szCs w:val="21"/>
          <w:highlight w:val="none"/>
          <w:lang w:eastAsia="zh-CN"/>
        </w:rPr>
        <w:t>。</w:t>
      </w:r>
    </w:p>
    <w:p w14:paraId="0D21C70D">
      <w:pPr>
        <w:pStyle w:val="3"/>
        <w:keepNext w:val="0"/>
        <w:keepLines w:val="0"/>
        <w:pageBreakBefore w:val="0"/>
        <w:widowControl w:val="0"/>
        <w:kinsoku/>
        <w:wordWrap w:val="0"/>
        <w:overflowPunct/>
        <w:topLinePunct/>
        <w:autoSpaceDE/>
        <w:autoSpaceDN/>
        <w:bidi w:val="0"/>
        <w:adjustRightInd/>
        <w:snapToGrid/>
        <w:spacing w:before="0" w:after="0" w:line="360" w:lineRule="auto"/>
        <w:ind w:left="0" w:firstLine="422"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三、获取招标文件</w:t>
      </w:r>
      <w:bookmarkEnd w:id="113"/>
      <w:bookmarkEnd w:id="114"/>
      <w:bookmarkEnd w:id="115"/>
      <w:bookmarkEnd w:id="116"/>
      <w:bookmarkEnd w:id="117"/>
    </w:p>
    <w:bookmarkEnd w:id="15"/>
    <w:p w14:paraId="3E595324">
      <w:pPr>
        <w:pStyle w:val="28"/>
        <w:keepNext w:val="0"/>
        <w:keepLines w:val="0"/>
        <w:pageBreakBefore w:val="0"/>
        <w:widowControl w:val="0"/>
        <w:tabs>
          <w:tab w:val="left" w:pos="2812"/>
          <w:tab w:val="left" w:pos="4300"/>
        </w:tabs>
        <w:kinsoku/>
        <w:wordWrap w:val="0"/>
        <w:overflowPunct/>
        <w:topLinePunct/>
        <w:autoSpaceDE/>
        <w:autoSpaceDN/>
        <w:bidi w:val="0"/>
        <w:adjustRightInd/>
        <w:snapToGrid/>
        <w:spacing w:line="360" w:lineRule="auto"/>
        <w:ind w:left="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1.时间：</w:t>
      </w:r>
      <w:r>
        <w:rPr>
          <w:rFonts w:hint="eastAsia" w:ascii="仿宋" w:hAnsi="仿宋" w:eastAsia="仿宋" w:cs="仿宋"/>
          <w:color w:val="000000" w:themeColor="text1"/>
          <w:sz w:val="21"/>
          <w:szCs w:val="21"/>
          <w:highlight w:val="none"/>
          <w:lang w:eastAsia="zh-CN"/>
          <w14:textFill>
            <w14:solidFill>
              <w14:schemeClr w14:val="tx1"/>
            </w14:solidFill>
          </w14:textFill>
        </w:rPr>
        <w:t>202</w:t>
      </w:r>
      <w:r>
        <w:rPr>
          <w:rFonts w:hint="eastAsia" w:ascii="仿宋" w:hAnsi="仿宋" w:eastAsia="仿宋" w:cs="仿宋"/>
          <w:color w:val="000000" w:themeColor="text1"/>
          <w:sz w:val="21"/>
          <w:szCs w:val="21"/>
          <w:highlight w:val="none"/>
          <w:u w:val="none"/>
          <w:lang w:val="en-US" w:eastAsia="zh-CN"/>
          <w14:textFill>
            <w14:solidFill>
              <w14:schemeClr w14:val="tx1"/>
            </w14:solidFill>
          </w14:textFill>
        </w:rPr>
        <w:t>6</w:t>
      </w:r>
      <w:r>
        <w:rPr>
          <w:rFonts w:hint="eastAsia" w:ascii="仿宋" w:hAnsi="仿宋" w:eastAsia="仿宋" w:cs="仿宋"/>
          <w:color w:val="000000" w:themeColor="text1"/>
          <w:sz w:val="21"/>
          <w:szCs w:val="21"/>
          <w:highlight w:val="none"/>
          <w:lang w:val="en-US" w:eastAsia="zh-CN"/>
          <w14:textFill>
            <w14:solidFill>
              <w14:schemeClr w14:val="tx1"/>
            </w14:solidFill>
          </w14:textFill>
        </w:rPr>
        <w:t>年5</w:t>
      </w:r>
      <w:r>
        <w:rPr>
          <w:rFonts w:hint="eastAsia" w:ascii="仿宋" w:hAnsi="仿宋" w:eastAsia="仿宋" w:cs="仿宋"/>
          <w:color w:val="000000" w:themeColor="text1"/>
          <w:sz w:val="21"/>
          <w:szCs w:val="21"/>
          <w:highlight w:val="none"/>
          <w:u w:val="none"/>
          <w:lang w:val="en-US" w:eastAsia="zh-CN"/>
          <w14:textFill>
            <w14:solidFill>
              <w14:schemeClr w14:val="tx1"/>
            </w14:solidFill>
          </w14:textFill>
        </w:rPr>
        <w:t>月6</w:t>
      </w:r>
      <w:r>
        <w:rPr>
          <w:rFonts w:hint="eastAsia" w:ascii="仿宋" w:hAnsi="仿宋" w:eastAsia="仿宋" w:cs="仿宋"/>
          <w:color w:val="000000" w:themeColor="text1"/>
          <w:sz w:val="21"/>
          <w:szCs w:val="21"/>
          <w:highlight w:val="none"/>
          <w:lang w:val="en-US" w:eastAsia="zh-CN"/>
          <w14:textFill>
            <w14:solidFill>
              <w14:schemeClr w14:val="tx1"/>
            </w14:solidFill>
          </w14:textFill>
        </w:rPr>
        <w:t>日</w:t>
      </w:r>
      <w:r>
        <w:rPr>
          <w:rFonts w:hint="eastAsia" w:ascii="仿宋" w:hAnsi="仿宋" w:eastAsia="仿宋" w:cs="仿宋"/>
          <w:color w:val="000000" w:themeColor="text1"/>
          <w:sz w:val="21"/>
          <w:szCs w:val="21"/>
          <w:highlight w:val="none"/>
          <w:lang w:eastAsia="zh-CN"/>
          <w14:textFill>
            <w14:solidFill>
              <w14:schemeClr w14:val="tx1"/>
            </w14:solidFill>
          </w14:textFill>
        </w:rPr>
        <w:t>06</w:t>
      </w:r>
      <w:r>
        <w:rPr>
          <w:rFonts w:hint="eastAsia" w:ascii="仿宋" w:hAnsi="仿宋" w:eastAsia="仿宋" w:cs="仿宋"/>
          <w:color w:val="000000" w:themeColor="text1"/>
          <w:sz w:val="21"/>
          <w:szCs w:val="21"/>
          <w:highlight w:val="none"/>
          <w:lang w:val="en-US" w:eastAsia="zh-CN"/>
          <w14:textFill>
            <w14:solidFill>
              <w14:schemeClr w14:val="tx1"/>
            </w14:solidFill>
          </w14:textFill>
        </w:rPr>
        <w:t>时</w:t>
      </w:r>
      <w:r>
        <w:rPr>
          <w:rFonts w:hint="eastAsia" w:ascii="仿宋" w:hAnsi="仿宋" w:eastAsia="仿宋" w:cs="仿宋"/>
          <w:color w:val="000000" w:themeColor="text1"/>
          <w:sz w:val="21"/>
          <w:szCs w:val="21"/>
          <w:highlight w:val="none"/>
          <w:lang w:eastAsia="zh-CN"/>
          <w14:textFill>
            <w14:solidFill>
              <w14:schemeClr w14:val="tx1"/>
            </w14:solidFill>
          </w14:textFill>
        </w:rPr>
        <w:t>00</w:t>
      </w:r>
      <w:r>
        <w:rPr>
          <w:rFonts w:hint="eastAsia" w:ascii="仿宋" w:hAnsi="仿宋" w:eastAsia="仿宋" w:cs="仿宋"/>
          <w:color w:val="000000" w:themeColor="text1"/>
          <w:sz w:val="21"/>
          <w:szCs w:val="21"/>
          <w:highlight w:val="none"/>
          <w:lang w:val="en-US" w:eastAsia="zh-CN"/>
          <w14:textFill>
            <w14:solidFill>
              <w14:schemeClr w14:val="tx1"/>
            </w14:solidFill>
          </w14:textFill>
        </w:rPr>
        <w:t>分</w:t>
      </w:r>
      <w:r>
        <w:rPr>
          <w:rFonts w:hint="eastAsia" w:ascii="仿宋" w:hAnsi="仿宋" w:eastAsia="仿宋" w:cs="仿宋"/>
          <w:color w:val="000000" w:themeColor="text1"/>
          <w:sz w:val="21"/>
          <w:szCs w:val="21"/>
          <w:highlight w:val="none"/>
          <w:lang w:eastAsia="zh-CN"/>
          <w14:textFill>
            <w14:solidFill>
              <w14:schemeClr w14:val="tx1"/>
            </w14:solidFill>
          </w14:textFill>
        </w:rPr>
        <w:t>至202</w:t>
      </w:r>
      <w:r>
        <w:rPr>
          <w:rFonts w:hint="eastAsia" w:ascii="仿宋" w:hAnsi="仿宋" w:eastAsia="仿宋" w:cs="仿宋"/>
          <w:color w:val="000000" w:themeColor="text1"/>
          <w:sz w:val="21"/>
          <w:szCs w:val="21"/>
          <w:highlight w:val="none"/>
          <w:u w:val="none"/>
          <w:lang w:val="en-US" w:eastAsia="zh-CN"/>
          <w14:textFill>
            <w14:solidFill>
              <w14:schemeClr w14:val="tx1"/>
            </w14:solidFill>
          </w14:textFill>
        </w:rPr>
        <w:t>6</w:t>
      </w:r>
      <w:r>
        <w:rPr>
          <w:rFonts w:hint="eastAsia" w:ascii="仿宋" w:hAnsi="仿宋" w:eastAsia="仿宋" w:cs="仿宋"/>
          <w:color w:val="000000" w:themeColor="text1"/>
          <w:sz w:val="21"/>
          <w:szCs w:val="21"/>
          <w:highlight w:val="none"/>
          <w:lang w:val="en-US" w:eastAsia="zh-CN"/>
          <w14:textFill>
            <w14:solidFill>
              <w14:schemeClr w14:val="tx1"/>
            </w14:solidFill>
          </w14:textFill>
        </w:rPr>
        <w:t>年</w:t>
      </w:r>
      <w:r>
        <w:rPr>
          <w:rFonts w:hint="eastAsia" w:ascii="仿宋" w:hAnsi="仿宋" w:eastAsia="仿宋" w:cs="仿宋"/>
          <w:color w:val="000000" w:themeColor="text1"/>
          <w:sz w:val="21"/>
          <w:szCs w:val="21"/>
          <w:highlight w:val="none"/>
          <w:u w:val="none"/>
          <w:lang w:val="en-US" w:eastAsia="zh-CN"/>
          <w14:textFill>
            <w14:solidFill>
              <w14:schemeClr w14:val="tx1"/>
            </w14:solidFill>
          </w14:textFill>
        </w:rPr>
        <w:t>5</w:t>
      </w:r>
      <w:r>
        <w:rPr>
          <w:rFonts w:hint="eastAsia" w:ascii="仿宋" w:hAnsi="仿宋" w:eastAsia="仿宋" w:cs="仿宋"/>
          <w:color w:val="000000" w:themeColor="text1"/>
          <w:sz w:val="21"/>
          <w:szCs w:val="21"/>
          <w:highlight w:val="none"/>
          <w:lang w:val="en-US" w:eastAsia="zh-CN"/>
          <w14:textFill>
            <w14:solidFill>
              <w14:schemeClr w14:val="tx1"/>
            </w14:solidFill>
          </w14:textFill>
        </w:rPr>
        <w:t>月</w:t>
      </w:r>
      <w:r>
        <w:rPr>
          <w:rFonts w:hint="eastAsia" w:ascii="仿宋" w:hAnsi="仿宋" w:eastAsia="仿宋" w:cs="仿宋"/>
          <w:color w:val="000000" w:themeColor="text1"/>
          <w:sz w:val="21"/>
          <w:szCs w:val="21"/>
          <w:highlight w:val="none"/>
          <w:u w:val="none"/>
          <w:lang w:val="en-US" w:eastAsia="zh-CN"/>
          <w14:textFill>
            <w14:solidFill>
              <w14:schemeClr w14:val="tx1"/>
            </w14:solidFill>
          </w14:textFill>
        </w:rPr>
        <w:t>12</w:t>
      </w:r>
      <w:r>
        <w:rPr>
          <w:rFonts w:hint="eastAsia" w:ascii="仿宋" w:hAnsi="仿宋" w:eastAsia="仿宋" w:cs="仿宋"/>
          <w:color w:val="000000" w:themeColor="text1"/>
          <w:sz w:val="21"/>
          <w:szCs w:val="21"/>
          <w:highlight w:val="none"/>
          <w:lang w:val="en-US" w:eastAsia="zh-CN"/>
          <w14:textFill>
            <w14:solidFill>
              <w14:schemeClr w14:val="tx1"/>
            </w14:solidFill>
          </w14:textFill>
        </w:rPr>
        <w:t>日</w:t>
      </w:r>
      <w:r>
        <w:rPr>
          <w:rFonts w:hint="eastAsia" w:ascii="仿宋" w:hAnsi="仿宋" w:eastAsia="仿宋" w:cs="仿宋"/>
          <w:color w:val="auto"/>
          <w:sz w:val="21"/>
          <w:szCs w:val="21"/>
          <w:highlight w:val="none"/>
          <w:lang w:eastAsia="zh-CN"/>
        </w:rPr>
        <w:t>23</w:t>
      </w:r>
      <w:r>
        <w:rPr>
          <w:rFonts w:hint="eastAsia" w:ascii="仿宋" w:hAnsi="仿宋" w:eastAsia="仿宋" w:cs="仿宋"/>
          <w:color w:val="auto"/>
          <w:sz w:val="21"/>
          <w:szCs w:val="21"/>
          <w:highlight w:val="none"/>
          <w:lang w:val="en-US" w:eastAsia="zh-CN"/>
        </w:rPr>
        <w:t>时</w:t>
      </w:r>
      <w:r>
        <w:rPr>
          <w:rFonts w:hint="eastAsia" w:ascii="仿宋" w:hAnsi="仿宋" w:eastAsia="仿宋" w:cs="仿宋"/>
          <w:color w:val="auto"/>
          <w:sz w:val="21"/>
          <w:szCs w:val="21"/>
          <w:highlight w:val="none"/>
          <w:lang w:eastAsia="zh-CN"/>
        </w:rPr>
        <w:t>59</w:t>
      </w:r>
      <w:r>
        <w:rPr>
          <w:rFonts w:hint="eastAsia" w:ascii="仿宋" w:hAnsi="仿宋" w:eastAsia="仿宋" w:cs="仿宋"/>
          <w:color w:val="auto"/>
          <w:sz w:val="21"/>
          <w:szCs w:val="21"/>
          <w:highlight w:val="none"/>
          <w:lang w:val="en-US" w:eastAsia="zh-CN"/>
        </w:rPr>
        <w:t>分</w:t>
      </w:r>
      <w:r>
        <w:rPr>
          <w:rFonts w:hint="eastAsia" w:ascii="仿宋" w:hAnsi="仿宋" w:eastAsia="仿宋" w:cs="仿宋"/>
          <w:color w:val="auto"/>
          <w:sz w:val="21"/>
          <w:szCs w:val="21"/>
          <w:highlight w:val="none"/>
          <w:lang w:eastAsia="zh-CN"/>
        </w:rPr>
        <w:t>，每天上午06:00至12:00，下午12:00至23:59（北京时间，法定节假日除外）。</w:t>
      </w:r>
    </w:p>
    <w:p w14:paraId="4F1F4914">
      <w:pPr>
        <w:pStyle w:val="28"/>
        <w:keepNext w:val="0"/>
        <w:keepLines w:val="0"/>
        <w:pageBreakBefore w:val="0"/>
        <w:widowControl w:val="0"/>
        <w:tabs>
          <w:tab w:val="left" w:pos="2812"/>
          <w:tab w:val="left" w:pos="4300"/>
        </w:tabs>
        <w:kinsoku/>
        <w:wordWrap w:val="0"/>
        <w:overflowPunct/>
        <w:topLinePunct/>
        <w:autoSpaceDE/>
        <w:autoSpaceDN/>
        <w:bidi w:val="0"/>
        <w:adjustRightInd/>
        <w:snapToGrid/>
        <w:spacing w:line="360" w:lineRule="auto"/>
        <w:ind w:left="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2.地点：云南省政府采购电子交易平台（政采云https://www.zcygov.cn/）线上获取。</w:t>
      </w:r>
    </w:p>
    <w:p w14:paraId="474D9F4E">
      <w:pPr>
        <w:pStyle w:val="28"/>
        <w:keepNext w:val="0"/>
        <w:keepLines w:val="0"/>
        <w:pageBreakBefore w:val="0"/>
        <w:widowControl w:val="0"/>
        <w:tabs>
          <w:tab w:val="left" w:pos="2812"/>
          <w:tab w:val="left" w:pos="4300"/>
        </w:tabs>
        <w:kinsoku/>
        <w:wordWrap w:val="0"/>
        <w:overflowPunct/>
        <w:topLinePunct/>
        <w:autoSpaceDE/>
        <w:autoSpaceDN/>
        <w:bidi w:val="0"/>
        <w:adjustRightInd/>
        <w:snapToGrid/>
        <w:spacing w:line="360" w:lineRule="auto"/>
        <w:ind w:left="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3.方式：（1）凡有意参加投标者，须在政采云平台办理数字证书（CA），并在政采云绑定数字证书（CA）后线上获取招标文件及其他采购资料。CA申领链接：https://middle.zcygov.cn/ca/apply/list?_app_=zcy.sys，CA申领后需登录政采云平台完成数字证书（CA）绑定才可以使用，数字证书（CA）详见其办理流程。（2）按上述要求获取文件的投标人视为合法获取了本项目招标文件，具备本项目的投标资格。</w:t>
      </w:r>
    </w:p>
    <w:p w14:paraId="6357A8AC">
      <w:pPr>
        <w:pStyle w:val="28"/>
        <w:keepNext w:val="0"/>
        <w:keepLines w:val="0"/>
        <w:pageBreakBefore w:val="0"/>
        <w:widowControl w:val="0"/>
        <w:tabs>
          <w:tab w:val="left" w:pos="2812"/>
          <w:tab w:val="left" w:pos="4300"/>
        </w:tabs>
        <w:kinsoku/>
        <w:wordWrap w:val="0"/>
        <w:overflowPunct/>
        <w:topLinePunct/>
        <w:autoSpaceDE/>
        <w:autoSpaceDN/>
        <w:bidi w:val="0"/>
        <w:adjustRightInd/>
        <w:snapToGrid/>
        <w:spacing w:line="360" w:lineRule="auto"/>
        <w:ind w:left="0" w:right="0" w:firstLine="420" w:firstLineChars="200"/>
        <w:jc w:val="left"/>
        <w:textAlignment w:val="auto"/>
        <w:outlineLvl w:val="2"/>
        <w:rPr>
          <w:rFonts w:hint="eastAsia" w:ascii="仿宋" w:hAnsi="仿宋" w:eastAsia="仿宋" w:cs="仿宋"/>
          <w:color w:val="auto"/>
          <w:sz w:val="21"/>
          <w:szCs w:val="21"/>
          <w:highlight w:val="none"/>
          <w:lang w:eastAsia="zh-CN"/>
        </w:rPr>
      </w:pPr>
      <w:bookmarkStart w:id="118" w:name="_Toc20506"/>
      <w:bookmarkStart w:id="119" w:name="_Toc14971"/>
      <w:r>
        <w:rPr>
          <w:rFonts w:hint="eastAsia" w:ascii="仿宋" w:hAnsi="仿宋" w:eastAsia="仿宋" w:cs="仿宋"/>
          <w:color w:val="auto"/>
          <w:sz w:val="21"/>
          <w:szCs w:val="21"/>
          <w:highlight w:val="none"/>
          <w:lang w:eastAsia="zh-CN"/>
        </w:rPr>
        <w:t>4.售价：</w:t>
      </w:r>
      <w:r>
        <w:rPr>
          <w:rFonts w:hint="eastAsia" w:ascii="仿宋" w:hAnsi="仿宋" w:eastAsia="仿宋" w:cs="仿宋"/>
          <w:color w:val="auto"/>
          <w:sz w:val="21"/>
          <w:szCs w:val="21"/>
          <w:highlight w:val="none"/>
          <w:lang w:val="en-US" w:eastAsia="zh-CN"/>
        </w:rPr>
        <w:t>0</w:t>
      </w:r>
      <w:r>
        <w:rPr>
          <w:rFonts w:hint="eastAsia" w:ascii="仿宋" w:hAnsi="仿宋" w:eastAsia="仿宋" w:cs="仿宋"/>
          <w:color w:val="auto"/>
          <w:sz w:val="21"/>
          <w:szCs w:val="21"/>
          <w:highlight w:val="none"/>
          <w:lang w:eastAsia="zh-CN"/>
        </w:rPr>
        <w:t>元。</w:t>
      </w:r>
      <w:bookmarkEnd w:id="118"/>
      <w:bookmarkEnd w:id="119"/>
    </w:p>
    <w:p w14:paraId="48C9EF75">
      <w:pPr>
        <w:pStyle w:val="3"/>
        <w:keepNext w:val="0"/>
        <w:keepLines w:val="0"/>
        <w:pageBreakBefore w:val="0"/>
        <w:widowControl w:val="0"/>
        <w:kinsoku/>
        <w:wordWrap w:val="0"/>
        <w:overflowPunct/>
        <w:topLinePunct/>
        <w:autoSpaceDE/>
        <w:autoSpaceDN/>
        <w:bidi w:val="0"/>
        <w:adjustRightInd/>
        <w:snapToGrid/>
        <w:spacing w:before="0" w:after="0" w:line="360" w:lineRule="auto"/>
        <w:ind w:left="0" w:firstLine="422" w:firstLineChars="200"/>
        <w:jc w:val="left"/>
        <w:textAlignment w:val="auto"/>
        <w:rPr>
          <w:rFonts w:hint="eastAsia" w:ascii="仿宋" w:hAnsi="仿宋" w:eastAsia="仿宋" w:cs="仿宋"/>
          <w:color w:val="auto"/>
          <w:sz w:val="21"/>
          <w:szCs w:val="21"/>
          <w:highlight w:val="none"/>
          <w:lang w:eastAsia="zh-CN"/>
        </w:rPr>
      </w:pPr>
      <w:bookmarkStart w:id="120" w:name="_Toc88638747"/>
      <w:bookmarkStart w:id="121" w:name="_Toc16746"/>
      <w:bookmarkStart w:id="122" w:name="_Toc145067546"/>
      <w:bookmarkStart w:id="123" w:name="_Toc9280"/>
      <w:bookmarkStart w:id="124" w:name="_Toc88646724"/>
      <w:bookmarkStart w:id="125" w:name="_Toc10822"/>
      <w:bookmarkStart w:id="126" w:name="_Toc29477"/>
      <w:r>
        <w:rPr>
          <w:rFonts w:hint="eastAsia" w:ascii="仿宋" w:hAnsi="仿宋" w:eastAsia="仿宋" w:cs="仿宋"/>
          <w:color w:val="auto"/>
          <w:sz w:val="21"/>
          <w:szCs w:val="21"/>
          <w:highlight w:val="none"/>
          <w:lang w:eastAsia="zh-CN"/>
        </w:rPr>
        <w:t>四、提交投标文件截止时间、开标时间和地点</w:t>
      </w:r>
      <w:bookmarkEnd w:id="120"/>
      <w:bookmarkEnd w:id="121"/>
      <w:bookmarkEnd w:id="122"/>
      <w:bookmarkEnd w:id="123"/>
      <w:bookmarkEnd w:id="124"/>
      <w:bookmarkEnd w:id="125"/>
      <w:bookmarkEnd w:id="126"/>
    </w:p>
    <w:p w14:paraId="3A9BE6A0">
      <w:pPr>
        <w:pStyle w:val="28"/>
        <w:keepNext w:val="0"/>
        <w:keepLines w:val="0"/>
        <w:pageBreakBefore w:val="0"/>
        <w:widowControl w:val="0"/>
        <w:tabs>
          <w:tab w:val="left" w:pos="2812"/>
          <w:tab w:val="left" w:pos="4300"/>
        </w:tabs>
        <w:kinsoku/>
        <w:wordWrap w:val="0"/>
        <w:overflowPunct/>
        <w:topLinePunct/>
        <w:autoSpaceDE/>
        <w:autoSpaceDN/>
        <w:bidi w:val="0"/>
        <w:adjustRightInd/>
        <w:snapToGrid/>
        <w:spacing w:line="360" w:lineRule="auto"/>
        <w:ind w:left="0" w:right="0" w:firstLine="420" w:firstLineChars="200"/>
        <w:jc w:val="left"/>
        <w:textAlignment w:val="auto"/>
        <w:rPr>
          <w:rFonts w:hint="eastAsia" w:ascii="仿宋" w:hAnsi="仿宋" w:eastAsia="仿宋" w:cs="仿宋"/>
          <w:color w:val="000000" w:themeColor="text1"/>
          <w:sz w:val="21"/>
          <w:szCs w:val="21"/>
          <w:highlight w:val="none"/>
          <w:lang w:eastAsia="zh-CN"/>
          <w14:textFill>
            <w14:solidFill>
              <w14:schemeClr w14:val="tx1"/>
            </w14:solidFill>
          </w14:textFill>
        </w:rPr>
      </w:pPr>
      <w:bookmarkStart w:id="127" w:name="_Toc88638749"/>
      <w:r>
        <w:rPr>
          <w:rFonts w:hint="eastAsia" w:ascii="仿宋" w:hAnsi="仿宋" w:eastAsia="仿宋" w:cs="仿宋"/>
          <w:color w:val="auto"/>
          <w:sz w:val="21"/>
          <w:szCs w:val="21"/>
          <w:highlight w:val="none"/>
          <w:lang w:eastAsia="zh-CN"/>
        </w:rPr>
        <w:t>1.投标文件递交的截止时间及开标时间：</w:t>
      </w:r>
      <w:r>
        <w:rPr>
          <w:rFonts w:hint="eastAsia" w:ascii="仿宋" w:hAnsi="仿宋" w:eastAsia="仿宋" w:cs="仿宋"/>
          <w:color w:val="000000" w:themeColor="text1"/>
          <w:sz w:val="21"/>
          <w:szCs w:val="21"/>
          <w:highlight w:val="none"/>
          <w:lang w:eastAsia="zh-CN"/>
          <w14:textFill>
            <w14:solidFill>
              <w14:schemeClr w14:val="tx1"/>
            </w14:solidFill>
          </w14:textFill>
        </w:rPr>
        <w:t>202</w:t>
      </w:r>
      <w:r>
        <w:rPr>
          <w:rFonts w:hint="eastAsia" w:ascii="仿宋" w:hAnsi="仿宋" w:eastAsia="仿宋" w:cs="仿宋"/>
          <w:color w:val="000000" w:themeColor="text1"/>
          <w:sz w:val="21"/>
          <w:szCs w:val="21"/>
          <w:highlight w:val="none"/>
          <w:lang w:val="en-US" w:eastAsia="zh-CN"/>
          <w14:textFill>
            <w14:solidFill>
              <w14:schemeClr w14:val="tx1"/>
            </w14:solidFill>
          </w14:textFill>
        </w:rPr>
        <w:t>6</w:t>
      </w:r>
      <w:r>
        <w:rPr>
          <w:rFonts w:hint="eastAsia" w:ascii="仿宋" w:hAnsi="仿宋" w:eastAsia="仿宋" w:cs="仿宋"/>
          <w:color w:val="000000" w:themeColor="text1"/>
          <w:sz w:val="21"/>
          <w:szCs w:val="21"/>
          <w:highlight w:val="none"/>
          <w:lang w:eastAsia="zh-CN"/>
          <w14:textFill>
            <w14:solidFill>
              <w14:schemeClr w14:val="tx1"/>
            </w14:solidFill>
          </w14:textFill>
        </w:rPr>
        <w:t>年</w:t>
      </w:r>
      <w:r>
        <w:rPr>
          <w:rFonts w:hint="eastAsia" w:ascii="仿宋" w:hAnsi="仿宋" w:eastAsia="仿宋" w:cs="仿宋"/>
          <w:color w:val="000000" w:themeColor="text1"/>
          <w:sz w:val="21"/>
          <w:szCs w:val="21"/>
          <w:highlight w:val="none"/>
          <w:lang w:val="en-US" w:eastAsia="zh-CN"/>
          <w14:textFill>
            <w14:solidFill>
              <w14:schemeClr w14:val="tx1"/>
            </w14:solidFill>
          </w14:textFill>
        </w:rPr>
        <w:t>5</w:t>
      </w:r>
      <w:r>
        <w:rPr>
          <w:rFonts w:hint="eastAsia" w:ascii="仿宋" w:hAnsi="仿宋" w:eastAsia="仿宋" w:cs="仿宋"/>
          <w:color w:val="000000" w:themeColor="text1"/>
          <w:sz w:val="21"/>
          <w:szCs w:val="21"/>
          <w:highlight w:val="none"/>
          <w:lang w:eastAsia="zh-CN"/>
          <w14:textFill>
            <w14:solidFill>
              <w14:schemeClr w14:val="tx1"/>
            </w14:solidFill>
          </w14:textFill>
        </w:rPr>
        <w:t>月</w:t>
      </w:r>
      <w:r>
        <w:rPr>
          <w:rFonts w:hint="eastAsia" w:ascii="仿宋" w:hAnsi="仿宋" w:eastAsia="仿宋" w:cs="仿宋"/>
          <w:color w:val="000000" w:themeColor="text1"/>
          <w:sz w:val="21"/>
          <w:szCs w:val="21"/>
          <w:highlight w:val="none"/>
          <w:lang w:val="en-US" w:eastAsia="zh-CN"/>
          <w14:textFill>
            <w14:solidFill>
              <w14:schemeClr w14:val="tx1"/>
            </w14:solidFill>
          </w14:textFill>
        </w:rPr>
        <w:t>27</w:t>
      </w:r>
      <w:r>
        <w:rPr>
          <w:rFonts w:hint="eastAsia" w:ascii="仿宋" w:hAnsi="仿宋" w:eastAsia="仿宋" w:cs="仿宋"/>
          <w:color w:val="000000" w:themeColor="text1"/>
          <w:sz w:val="21"/>
          <w:szCs w:val="21"/>
          <w:highlight w:val="none"/>
          <w:lang w:eastAsia="zh-CN"/>
          <w14:textFill>
            <w14:solidFill>
              <w14:schemeClr w14:val="tx1"/>
            </w14:solidFill>
          </w14:textFill>
        </w:rPr>
        <w:t>日09时00分（北京时间）。</w:t>
      </w:r>
    </w:p>
    <w:p w14:paraId="1E244033">
      <w:pPr>
        <w:pStyle w:val="28"/>
        <w:keepNext w:val="0"/>
        <w:keepLines w:val="0"/>
        <w:pageBreakBefore w:val="0"/>
        <w:widowControl w:val="0"/>
        <w:tabs>
          <w:tab w:val="left" w:pos="2812"/>
          <w:tab w:val="left" w:pos="4300"/>
        </w:tabs>
        <w:kinsoku/>
        <w:wordWrap w:val="0"/>
        <w:overflowPunct/>
        <w:topLinePunct/>
        <w:autoSpaceDE/>
        <w:autoSpaceDN/>
        <w:bidi w:val="0"/>
        <w:adjustRightInd/>
        <w:snapToGrid/>
        <w:spacing w:line="360" w:lineRule="auto"/>
        <w:ind w:left="0" w:right="0" w:firstLine="420" w:firstLineChars="200"/>
        <w:jc w:val="left"/>
        <w:textAlignment w:val="auto"/>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2.地点：</w:t>
      </w:r>
      <w:bookmarkEnd w:id="127"/>
      <w:r>
        <w:rPr>
          <w:rFonts w:hint="eastAsia" w:ascii="仿宋" w:hAnsi="仿宋" w:eastAsia="仿宋" w:cs="仿宋"/>
          <w:color w:val="000000" w:themeColor="text1"/>
          <w:sz w:val="21"/>
          <w:szCs w:val="21"/>
          <w:highlight w:val="none"/>
          <w:lang w:eastAsia="zh-CN"/>
          <w14:textFill>
            <w14:solidFill>
              <w14:schemeClr w14:val="tx1"/>
            </w14:solidFill>
          </w14:textFill>
        </w:rPr>
        <w:t>请登录云南省政府采购电子交易平台（政采云）投标客户端投标。</w:t>
      </w:r>
    </w:p>
    <w:p w14:paraId="4F37EB99">
      <w:pPr>
        <w:pStyle w:val="3"/>
        <w:keepNext w:val="0"/>
        <w:keepLines w:val="0"/>
        <w:pageBreakBefore w:val="0"/>
        <w:widowControl w:val="0"/>
        <w:kinsoku/>
        <w:wordWrap w:val="0"/>
        <w:overflowPunct/>
        <w:topLinePunct/>
        <w:autoSpaceDE/>
        <w:autoSpaceDN/>
        <w:bidi w:val="0"/>
        <w:adjustRightInd/>
        <w:snapToGrid/>
        <w:spacing w:before="0" w:after="0" w:line="360" w:lineRule="auto"/>
        <w:ind w:left="0" w:firstLine="422" w:firstLineChars="200"/>
        <w:jc w:val="left"/>
        <w:textAlignment w:val="auto"/>
        <w:rPr>
          <w:rFonts w:hint="eastAsia" w:ascii="仿宋" w:hAnsi="仿宋" w:eastAsia="仿宋" w:cs="仿宋"/>
          <w:color w:val="000000" w:themeColor="text1"/>
          <w:sz w:val="21"/>
          <w:szCs w:val="21"/>
          <w:highlight w:val="none"/>
          <w:lang w:eastAsia="zh-CN"/>
          <w14:textFill>
            <w14:solidFill>
              <w14:schemeClr w14:val="tx1"/>
            </w14:solidFill>
          </w14:textFill>
        </w:rPr>
      </w:pPr>
      <w:bookmarkStart w:id="128" w:name="_Toc13390"/>
      <w:bookmarkStart w:id="129" w:name="_Toc20150"/>
      <w:bookmarkStart w:id="130" w:name="_Toc145067547"/>
      <w:bookmarkStart w:id="131" w:name="_Toc19357"/>
      <w:bookmarkStart w:id="132" w:name="_Toc17155"/>
      <w:bookmarkStart w:id="133" w:name="_Toc89951815"/>
      <w:r>
        <w:rPr>
          <w:rFonts w:hint="eastAsia" w:ascii="仿宋" w:hAnsi="仿宋" w:eastAsia="仿宋" w:cs="仿宋"/>
          <w:color w:val="000000" w:themeColor="text1"/>
          <w:sz w:val="21"/>
          <w:szCs w:val="21"/>
          <w:highlight w:val="none"/>
          <w:lang w:eastAsia="zh-CN"/>
          <w14:textFill>
            <w14:solidFill>
              <w14:schemeClr w14:val="tx1"/>
            </w14:solidFill>
          </w14:textFill>
        </w:rPr>
        <w:t>五、公告期限</w:t>
      </w:r>
      <w:bookmarkEnd w:id="128"/>
      <w:bookmarkEnd w:id="129"/>
      <w:bookmarkEnd w:id="130"/>
      <w:bookmarkEnd w:id="131"/>
      <w:bookmarkEnd w:id="132"/>
      <w:bookmarkEnd w:id="133"/>
    </w:p>
    <w:p w14:paraId="594EE535">
      <w:pPr>
        <w:pStyle w:val="28"/>
        <w:keepNext w:val="0"/>
        <w:keepLines w:val="0"/>
        <w:pageBreakBefore w:val="0"/>
        <w:widowControl w:val="0"/>
        <w:kinsoku/>
        <w:wordWrap w:val="0"/>
        <w:overflowPunct/>
        <w:topLinePunct/>
        <w:autoSpaceDE/>
        <w:autoSpaceDN/>
        <w:bidi w:val="0"/>
        <w:adjustRightInd/>
        <w:snapToGrid/>
        <w:spacing w:line="360" w:lineRule="auto"/>
        <w:ind w:left="0" w:right="0" w:firstLine="420" w:firstLineChars="200"/>
        <w:jc w:val="left"/>
        <w:textAlignment w:val="auto"/>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自本公告发布之日起5个工作日。</w:t>
      </w:r>
    </w:p>
    <w:p w14:paraId="693C57DA">
      <w:pPr>
        <w:pStyle w:val="3"/>
        <w:keepNext w:val="0"/>
        <w:keepLines w:val="0"/>
        <w:pageBreakBefore w:val="0"/>
        <w:widowControl w:val="0"/>
        <w:kinsoku/>
        <w:wordWrap w:val="0"/>
        <w:overflowPunct/>
        <w:topLinePunct/>
        <w:autoSpaceDE/>
        <w:autoSpaceDN/>
        <w:bidi w:val="0"/>
        <w:adjustRightInd/>
        <w:snapToGrid/>
        <w:spacing w:before="0" w:after="0" w:line="360" w:lineRule="auto"/>
        <w:ind w:left="0" w:firstLine="422" w:firstLineChars="200"/>
        <w:jc w:val="left"/>
        <w:textAlignment w:val="auto"/>
        <w:rPr>
          <w:rFonts w:hint="eastAsia" w:ascii="仿宋" w:hAnsi="仿宋" w:eastAsia="仿宋" w:cs="仿宋"/>
          <w:color w:val="000000" w:themeColor="text1"/>
          <w:sz w:val="21"/>
          <w:szCs w:val="21"/>
          <w:highlight w:val="none"/>
          <w:lang w:val="en-US" w:eastAsia="zh-CN"/>
          <w14:textFill>
            <w14:solidFill>
              <w14:schemeClr w14:val="tx1"/>
            </w14:solidFill>
          </w14:textFill>
        </w:rPr>
      </w:pPr>
      <w:bookmarkStart w:id="134" w:name="_Toc11235"/>
      <w:bookmarkStart w:id="135" w:name="_Toc30630"/>
      <w:bookmarkStart w:id="136" w:name="_Toc11846"/>
      <w:bookmarkStart w:id="137" w:name="_Toc145067548"/>
      <w:bookmarkStart w:id="138" w:name="_Toc23745"/>
      <w:bookmarkStart w:id="139" w:name="_Toc89951816"/>
      <w:r>
        <w:rPr>
          <w:rFonts w:hint="eastAsia" w:ascii="仿宋" w:hAnsi="仿宋" w:eastAsia="仿宋" w:cs="仿宋"/>
          <w:color w:val="000000" w:themeColor="text1"/>
          <w:sz w:val="21"/>
          <w:szCs w:val="21"/>
          <w:highlight w:val="none"/>
          <w:lang w:val="en-US" w:eastAsia="zh-CN"/>
          <w14:textFill>
            <w14:solidFill>
              <w14:schemeClr w14:val="tx1"/>
            </w14:solidFill>
          </w14:textFill>
        </w:rPr>
        <w:t>六、其他补充事宜</w:t>
      </w:r>
      <w:bookmarkEnd w:id="134"/>
      <w:bookmarkEnd w:id="135"/>
      <w:bookmarkEnd w:id="136"/>
    </w:p>
    <w:p w14:paraId="69D9E0D5">
      <w:pPr>
        <w:keepNext w:val="0"/>
        <w:keepLines w:val="0"/>
        <w:pageBreakBefore w:val="0"/>
        <w:widowControl w:val="0"/>
        <w:kinsoku/>
        <w:wordWrap w:val="0"/>
        <w:overflowPunct/>
        <w:topLinePunct/>
        <w:autoSpaceDE/>
        <w:autoSpaceDN/>
        <w:bidi w:val="0"/>
        <w:adjustRightInd/>
        <w:snapToGrid/>
        <w:spacing w:line="360" w:lineRule="auto"/>
        <w:ind w:left="0" w:firstLine="420" w:firstLineChars="200"/>
        <w:jc w:val="left"/>
        <w:textAlignment w:val="auto"/>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开标方式：网上开标；</w:t>
      </w:r>
    </w:p>
    <w:p w14:paraId="1ED608E1">
      <w:pPr>
        <w:keepNext w:val="0"/>
        <w:keepLines w:val="0"/>
        <w:pageBreakBefore w:val="0"/>
        <w:widowControl w:val="0"/>
        <w:kinsoku/>
        <w:wordWrap w:val="0"/>
        <w:overflowPunct/>
        <w:topLinePunct/>
        <w:autoSpaceDE/>
        <w:autoSpaceDN/>
        <w:bidi w:val="0"/>
        <w:adjustRightInd/>
        <w:snapToGrid/>
        <w:spacing w:line="360" w:lineRule="auto"/>
        <w:ind w:left="0" w:firstLine="420" w:firstLineChars="200"/>
        <w:textAlignment w:val="auto"/>
        <w:rPr>
          <w:rFonts w:hint="eastAsia" w:ascii="仿宋" w:hAnsi="仿宋" w:eastAsia="仿宋" w:cs="仿宋"/>
          <w:bCs/>
          <w:color w:val="000000" w:themeColor="text1"/>
          <w:sz w:val="21"/>
          <w:szCs w:val="21"/>
          <w:highlight w:val="none"/>
          <w:lang w:eastAsia="zh-CN" w:bidi="ar"/>
          <w14:textFill>
            <w14:solidFill>
              <w14:schemeClr w14:val="tx1"/>
            </w14:solidFill>
          </w14:textFill>
        </w:rPr>
      </w:pPr>
      <w:r>
        <w:rPr>
          <w:rFonts w:hint="eastAsia" w:ascii="仿宋" w:hAnsi="仿宋" w:eastAsia="仿宋" w:cs="仿宋"/>
          <w:bCs/>
          <w:color w:val="000000" w:themeColor="text1"/>
          <w:sz w:val="21"/>
          <w:szCs w:val="21"/>
          <w:highlight w:val="none"/>
          <w:lang w:bidi="ar"/>
          <w14:textFill>
            <w14:solidFill>
              <w14:schemeClr w14:val="tx1"/>
            </w14:solidFill>
          </w14:textFill>
        </w:rPr>
        <w:t>是否需要缴纳投标保证金：</w:t>
      </w:r>
      <w:r>
        <w:rPr>
          <w:rFonts w:hint="eastAsia" w:ascii="仿宋" w:hAnsi="仿宋" w:eastAsia="仿宋" w:cs="仿宋"/>
          <w:b w:val="0"/>
          <w:bCs/>
          <w:i w:val="0"/>
          <w:iCs w:val="0"/>
          <w:color w:val="000000" w:themeColor="text1"/>
          <w:sz w:val="21"/>
          <w:szCs w:val="21"/>
          <w:highlight w:val="none"/>
          <w:lang w:bidi="ar"/>
          <w14:textFill>
            <w14:solidFill>
              <w14:schemeClr w14:val="tx1"/>
            </w14:solidFill>
          </w14:textFill>
        </w:rPr>
        <w:t>是</w:t>
      </w:r>
      <w:r>
        <w:rPr>
          <w:rFonts w:hint="eastAsia" w:ascii="仿宋" w:hAnsi="仿宋" w:eastAsia="仿宋" w:cs="仿宋"/>
          <w:bCs/>
          <w:color w:val="000000" w:themeColor="text1"/>
          <w:sz w:val="21"/>
          <w:szCs w:val="21"/>
          <w:highlight w:val="none"/>
          <w:lang w:eastAsia="zh-CN" w:bidi="ar"/>
          <w14:textFill>
            <w14:solidFill>
              <w14:schemeClr w14:val="tx1"/>
            </w14:solidFill>
          </w14:textFill>
        </w:rPr>
        <w:t>；</w:t>
      </w:r>
    </w:p>
    <w:p w14:paraId="0E506E4D">
      <w:pPr>
        <w:keepNext w:val="0"/>
        <w:keepLines w:val="0"/>
        <w:pageBreakBefore w:val="0"/>
        <w:widowControl w:val="0"/>
        <w:kinsoku/>
        <w:wordWrap w:val="0"/>
        <w:overflowPunct/>
        <w:topLinePunct/>
        <w:autoSpaceDE/>
        <w:autoSpaceDN/>
        <w:bidi w:val="0"/>
        <w:adjustRightInd/>
        <w:snapToGrid/>
        <w:spacing w:line="360" w:lineRule="auto"/>
        <w:ind w:left="0" w:firstLine="420" w:firstLineChars="200"/>
        <w:textAlignment w:val="auto"/>
        <w:rPr>
          <w:rFonts w:hint="eastAsia" w:ascii="仿宋" w:hAnsi="仿宋" w:eastAsia="仿宋" w:cs="仿宋"/>
          <w:bCs/>
          <w:color w:val="000000" w:themeColor="text1"/>
          <w:sz w:val="21"/>
          <w:szCs w:val="21"/>
          <w:highlight w:val="none"/>
          <w:lang w:eastAsia="zh-CN" w:bidi="ar"/>
          <w14:textFill>
            <w14:solidFill>
              <w14:schemeClr w14:val="tx1"/>
            </w14:solidFill>
          </w14:textFill>
        </w:rPr>
      </w:pPr>
      <w:r>
        <w:rPr>
          <w:rFonts w:hint="eastAsia" w:ascii="仿宋" w:hAnsi="仿宋" w:eastAsia="仿宋" w:cs="仿宋"/>
          <w:bCs/>
          <w:color w:val="000000" w:themeColor="text1"/>
          <w:sz w:val="21"/>
          <w:szCs w:val="21"/>
          <w:highlight w:val="none"/>
          <w:lang w:val="en-US" w:eastAsia="zh-CN" w:bidi="ar"/>
          <w14:textFill>
            <w14:solidFill>
              <w14:schemeClr w14:val="tx1"/>
            </w14:solidFill>
          </w14:textFill>
        </w:rPr>
        <w:t>保证金金额：14000.00</w:t>
      </w:r>
      <w:r>
        <w:rPr>
          <w:rFonts w:hint="eastAsia" w:ascii="仿宋" w:hAnsi="仿宋" w:eastAsia="仿宋" w:cs="仿宋"/>
          <w:bCs/>
          <w:color w:val="000000" w:themeColor="text1"/>
          <w:sz w:val="21"/>
          <w:szCs w:val="21"/>
          <w:highlight w:val="none"/>
          <w:u w:val="none"/>
          <w:lang w:bidi="ar"/>
          <w14:textFill>
            <w14:solidFill>
              <w14:schemeClr w14:val="tx1"/>
            </w14:solidFill>
          </w14:textFill>
        </w:rPr>
        <w:t>元</w:t>
      </w:r>
      <w:r>
        <w:rPr>
          <w:rFonts w:hint="eastAsia" w:ascii="仿宋" w:hAnsi="仿宋" w:eastAsia="仿宋" w:cs="仿宋"/>
          <w:bCs/>
          <w:color w:val="000000" w:themeColor="text1"/>
          <w:sz w:val="21"/>
          <w:szCs w:val="21"/>
          <w:highlight w:val="none"/>
          <w:lang w:eastAsia="zh-CN" w:bidi="ar"/>
          <w14:textFill>
            <w14:solidFill>
              <w14:schemeClr w14:val="tx1"/>
            </w14:solidFill>
          </w14:textFill>
        </w:rPr>
        <w:t>；</w:t>
      </w:r>
    </w:p>
    <w:p w14:paraId="60687746">
      <w:pPr>
        <w:keepNext w:val="0"/>
        <w:keepLines w:val="0"/>
        <w:pageBreakBefore w:val="0"/>
        <w:widowControl w:val="0"/>
        <w:kinsoku/>
        <w:wordWrap w:val="0"/>
        <w:overflowPunct/>
        <w:topLinePunct/>
        <w:autoSpaceDE/>
        <w:autoSpaceDN/>
        <w:bidi w:val="0"/>
        <w:adjustRightInd/>
        <w:snapToGrid/>
        <w:spacing w:line="360" w:lineRule="auto"/>
        <w:ind w:left="0" w:firstLine="420" w:firstLineChars="200"/>
        <w:textAlignment w:val="auto"/>
        <w:rPr>
          <w:rFonts w:hint="eastAsia" w:ascii="仿宋" w:hAnsi="仿宋" w:eastAsia="仿宋" w:cs="仿宋"/>
          <w:bCs/>
          <w:color w:val="000000" w:themeColor="text1"/>
          <w:sz w:val="21"/>
          <w:szCs w:val="21"/>
          <w:highlight w:val="none"/>
          <w:lang w:eastAsia="zh-CN" w:bidi="ar"/>
          <w14:textFill>
            <w14:solidFill>
              <w14:schemeClr w14:val="tx1"/>
            </w14:solidFill>
          </w14:textFill>
        </w:rPr>
      </w:pPr>
      <w:r>
        <w:rPr>
          <w:rFonts w:hint="eastAsia" w:ascii="仿宋" w:hAnsi="仿宋" w:eastAsia="仿宋" w:cs="仿宋"/>
          <w:bCs/>
          <w:color w:val="000000" w:themeColor="text1"/>
          <w:sz w:val="21"/>
          <w:szCs w:val="21"/>
          <w:highlight w:val="none"/>
          <w:lang w:bidi="ar"/>
          <w14:textFill>
            <w14:solidFill>
              <w14:schemeClr w14:val="tx1"/>
            </w14:solidFill>
          </w14:textFill>
        </w:rPr>
        <w:t>保证金缴纳方式：支票、汇票、本票、保函或者网银转账、电汇等</w:t>
      </w:r>
      <w:r>
        <w:rPr>
          <w:rFonts w:hint="eastAsia" w:ascii="仿宋" w:hAnsi="仿宋" w:eastAsia="仿宋" w:cs="仿宋"/>
          <w:bCs/>
          <w:color w:val="000000" w:themeColor="text1"/>
          <w:sz w:val="21"/>
          <w:szCs w:val="21"/>
          <w:highlight w:val="none"/>
          <w:lang w:val="en-US" w:eastAsia="zh-CN" w:bidi="ar"/>
          <w14:textFill>
            <w14:solidFill>
              <w14:schemeClr w14:val="tx1"/>
            </w14:solidFill>
          </w14:textFill>
        </w:rPr>
        <w:t>非现金</w:t>
      </w:r>
      <w:r>
        <w:rPr>
          <w:rFonts w:hint="eastAsia" w:ascii="仿宋" w:hAnsi="仿宋" w:eastAsia="仿宋" w:cs="仿宋"/>
          <w:bCs/>
          <w:color w:val="000000" w:themeColor="text1"/>
          <w:sz w:val="21"/>
          <w:szCs w:val="21"/>
          <w:highlight w:val="none"/>
          <w:lang w:bidi="ar"/>
          <w14:textFill>
            <w14:solidFill>
              <w14:schemeClr w14:val="tx1"/>
            </w14:solidFill>
          </w14:textFill>
        </w:rPr>
        <w:t>形式</w:t>
      </w:r>
      <w:r>
        <w:rPr>
          <w:rFonts w:hint="eastAsia" w:ascii="仿宋" w:hAnsi="仿宋" w:eastAsia="仿宋" w:cs="仿宋"/>
          <w:bCs/>
          <w:color w:val="000000" w:themeColor="text1"/>
          <w:sz w:val="21"/>
          <w:szCs w:val="21"/>
          <w:highlight w:val="none"/>
          <w:lang w:eastAsia="zh-CN" w:bidi="ar"/>
          <w14:textFill>
            <w14:solidFill>
              <w14:schemeClr w14:val="tx1"/>
            </w14:solidFill>
          </w14:textFill>
        </w:rPr>
        <w:t>，投标人可根据实际情况，选择保证金的缴纳方式；</w:t>
      </w:r>
    </w:p>
    <w:p w14:paraId="6CFABC7E">
      <w:pPr>
        <w:keepNext w:val="0"/>
        <w:keepLines w:val="0"/>
        <w:pageBreakBefore w:val="0"/>
        <w:widowControl w:val="0"/>
        <w:kinsoku/>
        <w:wordWrap w:val="0"/>
        <w:overflowPunct/>
        <w:topLinePunct/>
        <w:autoSpaceDE/>
        <w:autoSpaceDN/>
        <w:bidi w:val="0"/>
        <w:adjustRightInd/>
        <w:snapToGrid/>
        <w:spacing w:line="360" w:lineRule="auto"/>
        <w:ind w:lef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bCs/>
          <w:color w:val="000000" w:themeColor="text1"/>
          <w:sz w:val="21"/>
          <w:szCs w:val="21"/>
          <w:highlight w:val="none"/>
          <w:lang w:bidi="ar"/>
          <w14:textFill>
            <w14:solidFill>
              <w14:schemeClr w14:val="tx1"/>
            </w14:solidFill>
          </w14:textFill>
        </w:rPr>
        <w:t>投标保证金缴纳截止时间：</w:t>
      </w:r>
      <w:r>
        <w:rPr>
          <w:rFonts w:hint="eastAsia" w:ascii="仿宋" w:hAnsi="仿宋" w:eastAsia="仿宋" w:cs="仿宋"/>
          <w:bCs/>
          <w:color w:val="000000" w:themeColor="text1"/>
          <w:sz w:val="21"/>
          <w:szCs w:val="21"/>
          <w:highlight w:val="none"/>
          <w:lang w:eastAsia="zh-CN" w:bidi="ar"/>
          <w14:textFill>
            <w14:solidFill>
              <w14:schemeClr w14:val="tx1"/>
            </w14:solidFill>
          </w14:textFill>
        </w:rPr>
        <w:t>202</w:t>
      </w:r>
      <w:r>
        <w:rPr>
          <w:rFonts w:hint="eastAsia" w:ascii="仿宋" w:hAnsi="仿宋" w:eastAsia="仿宋" w:cs="仿宋"/>
          <w:bCs/>
          <w:color w:val="000000" w:themeColor="text1"/>
          <w:sz w:val="21"/>
          <w:szCs w:val="21"/>
          <w:highlight w:val="none"/>
          <w:lang w:val="en-US" w:eastAsia="zh-CN" w:bidi="ar"/>
          <w14:textFill>
            <w14:solidFill>
              <w14:schemeClr w14:val="tx1"/>
            </w14:solidFill>
          </w14:textFill>
        </w:rPr>
        <w:t>6</w:t>
      </w:r>
      <w:r>
        <w:rPr>
          <w:rFonts w:hint="eastAsia" w:ascii="仿宋" w:hAnsi="仿宋" w:eastAsia="仿宋" w:cs="仿宋"/>
          <w:bCs/>
          <w:color w:val="000000" w:themeColor="text1"/>
          <w:sz w:val="21"/>
          <w:szCs w:val="21"/>
          <w:highlight w:val="none"/>
          <w:lang w:eastAsia="zh-CN" w:bidi="ar"/>
          <w14:textFill>
            <w14:solidFill>
              <w14:schemeClr w14:val="tx1"/>
            </w14:solidFill>
          </w14:textFill>
        </w:rPr>
        <w:t>年</w:t>
      </w:r>
      <w:r>
        <w:rPr>
          <w:rFonts w:hint="eastAsia" w:ascii="仿宋" w:hAnsi="仿宋" w:eastAsia="仿宋" w:cs="仿宋"/>
          <w:bCs/>
          <w:color w:val="000000" w:themeColor="text1"/>
          <w:sz w:val="21"/>
          <w:szCs w:val="21"/>
          <w:highlight w:val="none"/>
          <w:lang w:val="en-US" w:eastAsia="zh-CN" w:bidi="ar"/>
          <w14:textFill>
            <w14:solidFill>
              <w14:schemeClr w14:val="tx1"/>
            </w14:solidFill>
          </w14:textFill>
        </w:rPr>
        <w:t>5</w:t>
      </w:r>
      <w:r>
        <w:rPr>
          <w:rFonts w:hint="eastAsia" w:ascii="仿宋" w:hAnsi="仿宋" w:eastAsia="仿宋" w:cs="仿宋"/>
          <w:bCs/>
          <w:color w:val="000000" w:themeColor="text1"/>
          <w:sz w:val="21"/>
          <w:szCs w:val="21"/>
          <w:highlight w:val="none"/>
          <w:lang w:eastAsia="zh-CN" w:bidi="ar"/>
          <w14:textFill>
            <w14:solidFill>
              <w14:schemeClr w14:val="tx1"/>
            </w14:solidFill>
          </w14:textFill>
        </w:rPr>
        <w:t>月</w:t>
      </w:r>
      <w:r>
        <w:rPr>
          <w:rFonts w:hint="eastAsia" w:ascii="仿宋" w:hAnsi="仿宋" w:eastAsia="仿宋" w:cs="仿宋"/>
          <w:bCs/>
          <w:color w:val="000000" w:themeColor="text1"/>
          <w:sz w:val="21"/>
          <w:szCs w:val="21"/>
          <w:highlight w:val="none"/>
          <w:lang w:val="en-US" w:eastAsia="zh-CN" w:bidi="ar"/>
          <w14:textFill>
            <w14:solidFill>
              <w14:schemeClr w14:val="tx1"/>
            </w14:solidFill>
          </w14:textFill>
        </w:rPr>
        <w:t>27</w:t>
      </w:r>
      <w:r>
        <w:rPr>
          <w:rFonts w:hint="eastAsia" w:ascii="仿宋" w:hAnsi="仿宋" w:eastAsia="仿宋" w:cs="仿宋"/>
          <w:bCs/>
          <w:color w:val="000000" w:themeColor="text1"/>
          <w:sz w:val="21"/>
          <w:szCs w:val="21"/>
          <w:highlight w:val="none"/>
          <w:lang w:eastAsia="zh-CN" w:bidi="ar"/>
          <w14:textFill>
            <w14:solidFill>
              <w14:schemeClr w14:val="tx1"/>
            </w14:solidFill>
          </w14:textFill>
        </w:rPr>
        <w:t>日09时00分</w:t>
      </w:r>
      <w:r>
        <w:rPr>
          <w:rFonts w:hint="eastAsia" w:ascii="仿宋" w:hAnsi="仿宋" w:eastAsia="仿宋" w:cs="仿宋"/>
          <w:color w:val="auto"/>
          <w:sz w:val="21"/>
          <w:szCs w:val="21"/>
          <w:highlight w:val="none"/>
          <w:lang w:eastAsia="zh-CN"/>
        </w:rPr>
        <w:t>（北京时间）</w:t>
      </w:r>
      <w:r>
        <w:rPr>
          <w:rFonts w:hint="eastAsia" w:ascii="仿宋" w:hAnsi="仿宋" w:eastAsia="仿宋" w:cs="仿宋"/>
          <w:color w:val="auto"/>
          <w:sz w:val="21"/>
          <w:szCs w:val="21"/>
          <w:highlight w:val="none"/>
        </w:rPr>
        <w:t>。</w:t>
      </w:r>
    </w:p>
    <w:p w14:paraId="01570F8B">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firstLine="420" w:firstLineChars="200"/>
        <w:jc w:val="left"/>
        <w:textAlignment w:val="auto"/>
        <w:outlineLvl w:val="2"/>
        <w:rPr>
          <w:rFonts w:hint="eastAsia" w:ascii="仿宋" w:hAnsi="仿宋" w:eastAsia="仿宋" w:cs="仿宋"/>
          <w:color w:val="auto"/>
          <w:sz w:val="21"/>
          <w:szCs w:val="21"/>
          <w:highlight w:val="none"/>
          <w:lang w:eastAsia="zh-CN"/>
        </w:rPr>
      </w:pPr>
      <w:bookmarkStart w:id="140" w:name="_Toc10497"/>
      <w:bookmarkStart w:id="141" w:name="_Toc2135"/>
      <w:r>
        <w:rPr>
          <w:rFonts w:hint="eastAsia" w:ascii="仿宋" w:hAnsi="仿宋" w:eastAsia="仿宋" w:cs="仿宋"/>
          <w:color w:val="auto"/>
          <w:sz w:val="21"/>
          <w:szCs w:val="21"/>
          <w:highlight w:val="none"/>
          <w:lang w:eastAsia="zh-CN"/>
        </w:rPr>
        <w:t>其他：</w:t>
      </w:r>
      <w:bookmarkEnd w:id="140"/>
      <w:bookmarkEnd w:id="141"/>
      <w:r>
        <w:rPr>
          <w:rFonts w:hint="eastAsia" w:ascii="仿宋" w:hAnsi="仿宋" w:eastAsia="仿宋" w:cs="仿宋"/>
          <w:color w:val="auto"/>
          <w:sz w:val="21"/>
          <w:szCs w:val="21"/>
          <w:highlight w:val="none"/>
          <w:lang w:eastAsia="zh-CN"/>
        </w:rPr>
        <w:t>1</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lang w:eastAsia="zh-CN"/>
        </w:rPr>
        <w:t>发布公告的媒介：本次招标公告在《云南省政府采购网》、《政府采购云平台》上发布，采购人及采购代理机构对其他网站发布或转载的公告内容不承担任何责任。2.本项目实行网上投标，采用电子投标文件；3.各投标人应在开标前应确保成为政采云平台供应商，并完成CA数字证书申领。因未注册入库、未办理CA数字证书等原因造成无法投标或投标失败等后果由供应商自行承担。凡有意参加投标的投标人，须在政采云平台办理数字证书（CA）CA申领链接：https://middle.zcygov.cn/ca/apply/list?_app_=zcy.sys，并通过政采云绑定数字证书（CA）后在网上获取采购文件及其它采购资料，数字证书（CA）详见其办理流程； 4.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进行咨询以及云南CA操作问题：请致电云南CA，4006727666；云南CA紧急联系方式：15288315056。云南壹证通CA操作问题请致电：4000040628；云南壹证通CA紧急联系方式：19988166369。如因供应商自身原因导致在规定时间内无法正常解密的（如：浏览器故障、未安装相关驱动、网络故障、加密CA与解密CA不一致等），代理机构不予异常处理，视为供应商自动弃标。</w:t>
      </w:r>
    </w:p>
    <w:p w14:paraId="6B48517C">
      <w:pPr>
        <w:pStyle w:val="3"/>
        <w:keepNext w:val="0"/>
        <w:keepLines w:val="0"/>
        <w:pageBreakBefore w:val="0"/>
        <w:widowControl w:val="0"/>
        <w:kinsoku/>
        <w:wordWrap w:val="0"/>
        <w:overflowPunct/>
        <w:topLinePunct/>
        <w:autoSpaceDE/>
        <w:autoSpaceDN/>
        <w:bidi w:val="0"/>
        <w:adjustRightInd/>
        <w:snapToGrid/>
        <w:spacing w:before="0" w:after="0" w:line="360" w:lineRule="auto"/>
        <w:ind w:left="0" w:firstLine="422" w:firstLineChars="200"/>
        <w:jc w:val="left"/>
        <w:textAlignment w:val="auto"/>
        <w:rPr>
          <w:rFonts w:hint="eastAsia" w:ascii="仿宋" w:hAnsi="仿宋" w:eastAsia="仿宋" w:cs="仿宋"/>
          <w:color w:val="auto"/>
          <w:sz w:val="21"/>
          <w:szCs w:val="21"/>
          <w:highlight w:val="none"/>
          <w:lang w:eastAsia="zh-CN"/>
        </w:rPr>
      </w:pPr>
      <w:bookmarkStart w:id="142" w:name="_Toc21677"/>
      <w:bookmarkStart w:id="143" w:name="_Toc27105"/>
      <w:bookmarkStart w:id="144" w:name="_Toc8808"/>
      <w:r>
        <w:rPr>
          <w:rFonts w:hint="eastAsia" w:ascii="仿宋" w:hAnsi="仿宋" w:eastAsia="仿宋" w:cs="仿宋"/>
          <w:color w:val="auto"/>
          <w:sz w:val="21"/>
          <w:szCs w:val="21"/>
          <w:highlight w:val="none"/>
          <w:lang w:val="en-US" w:eastAsia="zh-CN"/>
        </w:rPr>
        <w:t>七</w:t>
      </w:r>
      <w:r>
        <w:rPr>
          <w:rFonts w:hint="eastAsia" w:ascii="仿宋" w:hAnsi="仿宋" w:eastAsia="仿宋" w:cs="仿宋"/>
          <w:color w:val="auto"/>
          <w:sz w:val="21"/>
          <w:szCs w:val="21"/>
          <w:highlight w:val="none"/>
          <w:lang w:eastAsia="zh-CN"/>
        </w:rPr>
        <w:t>、对本次招标提出询问，请按以下方式联系</w:t>
      </w:r>
      <w:bookmarkEnd w:id="137"/>
      <w:bookmarkEnd w:id="138"/>
      <w:bookmarkEnd w:id="139"/>
      <w:bookmarkEnd w:id="142"/>
      <w:bookmarkEnd w:id="143"/>
      <w:bookmarkEnd w:id="144"/>
    </w:p>
    <w:p w14:paraId="48CD3E82">
      <w:pPr>
        <w:pStyle w:val="28"/>
        <w:keepNext w:val="0"/>
        <w:keepLines w:val="0"/>
        <w:pageBreakBefore w:val="0"/>
        <w:widowControl w:val="0"/>
        <w:kinsoku/>
        <w:wordWrap w:val="0"/>
        <w:overflowPunct/>
        <w:topLinePunct/>
        <w:autoSpaceDE/>
        <w:autoSpaceDN/>
        <w:bidi w:val="0"/>
        <w:adjustRightInd/>
        <w:snapToGrid/>
        <w:spacing w:line="360" w:lineRule="auto"/>
        <w:ind w:left="0" w:right="0" w:firstLine="422" w:firstLineChars="200"/>
        <w:jc w:val="left"/>
        <w:textAlignment w:val="auto"/>
        <w:outlineLvl w:val="2"/>
        <w:rPr>
          <w:rFonts w:hint="eastAsia" w:ascii="仿宋" w:hAnsi="仿宋" w:eastAsia="仿宋" w:cs="仿宋"/>
          <w:b/>
          <w:bCs w:val="0"/>
          <w:color w:val="auto"/>
          <w:sz w:val="21"/>
          <w:szCs w:val="21"/>
          <w:highlight w:val="none"/>
          <w:lang w:val="en-US" w:eastAsia="zh-CN"/>
        </w:rPr>
      </w:pPr>
      <w:bookmarkStart w:id="145" w:name="_Toc18988"/>
      <w:bookmarkStart w:id="146" w:name="_Toc9957"/>
      <w:bookmarkStart w:id="147" w:name="_Toc17368"/>
      <w:bookmarkStart w:id="148" w:name="_Toc13623"/>
      <w:bookmarkStart w:id="149" w:name="_Toc29602"/>
      <w:bookmarkStart w:id="150" w:name="_Toc21117"/>
      <w:bookmarkStart w:id="151" w:name="_Toc30252"/>
      <w:bookmarkStart w:id="152" w:name="_Toc17790"/>
      <w:bookmarkStart w:id="153" w:name="_Toc4060"/>
      <w:bookmarkStart w:id="154" w:name="_Toc3586"/>
      <w:bookmarkStart w:id="155" w:name="_Toc20672"/>
      <w:bookmarkStart w:id="156" w:name="_Toc31963"/>
      <w:bookmarkStart w:id="157" w:name="_Toc20322"/>
      <w:bookmarkStart w:id="158" w:name="_Toc8969"/>
      <w:bookmarkStart w:id="159" w:name="_Toc14289"/>
      <w:bookmarkStart w:id="160" w:name="_Toc26358"/>
      <w:bookmarkStart w:id="161" w:name="_Toc13650"/>
      <w:bookmarkStart w:id="162" w:name="_Toc5640"/>
      <w:bookmarkStart w:id="163" w:name="_Toc981"/>
      <w:bookmarkStart w:id="164" w:name="_Toc11211"/>
      <w:bookmarkStart w:id="165" w:name="_Toc1032"/>
      <w:bookmarkStart w:id="166" w:name="_Toc20492"/>
      <w:bookmarkStart w:id="167" w:name="_Toc26411"/>
      <w:bookmarkStart w:id="168" w:name="_Toc15037"/>
      <w:bookmarkStart w:id="169" w:name="_Toc31871"/>
      <w:bookmarkStart w:id="170" w:name="_Toc3120"/>
      <w:bookmarkStart w:id="171" w:name="_Toc7985"/>
      <w:bookmarkStart w:id="172" w:name="_Toc29685"/>
      <w:bookmarkStart w:id="173" w:name="_Toc31234"/>
      <w:bookmarkStart w:id="174" w:name="_Toc29317"/>
      <w:bookmarkStart w:id="175" w:name="_Toc27795"/>
      <w:bookmarkStart w:id="176" w:name="_Toc20671"/>
      <w:bookmarkStart w:id="177" w:name="_Toc29920"/>
      <w:bookmarkStart w:id="178" w:name="_Toc8117"/>
      <w:bookmarkStart w:id="179" w:name="_Toc23104"/>
      <w:bookmarkStart w:id="180" w:name="_Toc10177"/>
      <w:bookmarkStart w:id="181" w:name="_Toc30836"/>
      <w:bookmarkStart w:id="182" w:name="_Toc17354"/>
      <w:bookmarkStart w:id="183" w:name="_Toc2842"/>
      <w:bookmarkStart w:id="184" w:name="_Toc4751"/>
      <w:bookmarkStart w:id="185" w:name="_Toc14432"/>
      <w:bookmarkStart w:id="186" w:name="_Toc7929"/>
      <w:bookmarkStart w:id="187" w:name="_Toc22215"/>
      <w:bookmarkStart w:id="188" w:name="_Toc23581"/>
      <w:bookmarkStart w:id="189" w:name="_Toc32512"/>
      <w:bookmarkStart w:id="190" w:name="_Toc17041"/>
      <w:bookmarkStart w:id="191" w:name="_Toc27405"/>
      <w:bookmarkStart w:id="192" w:name="_Toc3653"/>
      <w:bookmarkStart w:id="193" w:name="_Toc15330"/>
      <w:r>
        <w:rPr>
          <w:rFonts w:hint="eastAsia" w:ascii="仿宋" w:hAnsi="仿宋" w:eastAsia="仿宋" w:cs="仿宋"/>
          <w:b/>
          <w:bCs w:val="0"/>
          <w:color w:val="auto"/>
          <w:sz w:val="21"/>
          <w:szCs w:val="21"/>
          <w:highlight w:val="none"/>
          <w:lang w:val="en-US" w:eastAsia="zh-CN"/>
        </w:rPr>
        <w:t>1.采购人信息</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p w14:paraId="4AAED9D1">
      <w:pPr>
        <w:pStyle w:val="28"/>
        <w:keepNext w:val="0"/>
        <w:keepLines w:val="0"/>
        <w:pageBreakBefore w:val="0"/>
        <w:widowControl w:val="0"/>
        <w:kinsoku/>
        <w:wordWrap w:val="0"/>
        <w:overflowPunct/>
        <w:topLinePunct/>
        <w:autoSpaceDE/>
        <w:autoSpaceDN/>
        <w:bidi w:val="0"/>
        <w:adjustRightInd/>
        <w:snapToGrid/>
        <w:spacing w:line="360" w:lineRule="auto"/>
        <w:ind w:left="0" w:right="0" w:firstLine="420" w:firstLineChars="200"/>
        <w:jc w:val="left"/>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val="en-US" w:eastAsia="zh-CN"/>
        </w:rPr>
        <w:t>名    称</w:t>
      </w:r>
      <w:r>
        <w:rPr>
          <w:rFonts w:hint="eastAsia" w:ascii="仿宋" w:hAnsi="仿宋" w:eastAsia="仿宋" w:cs="仿宋"/>
          <w:b w:val="0"/>
          <w:bCs/>
          <w:color w:val="auto"/>
          <w:sz w:val="21"/>
          <w:szCs w:val="21"/>
          <w:highlight w:val="none"/>
          <w:lang w:eastAsia="zh-CN"/>
        </w:rPr>
        <w:t>：楚雄彝族自治州人民医院</w:t>
      </w:r>
    </w:p>
    <w:p w14:paraId="46FF2805">
      <w:pPr>
        <w:pStyle w:val="28"/>
        <w:keepNext w:val="0"/>
        <w:keepLines w:val="0"/>
        <w:pageBreakBefore w:val="0"/>
        <w:widowControl w:val="0"/>
        <w:kinsoku/>
        <w:wordWrap w:val="0"/>
        <w:overflowPunct/>
        <w:topLinePunct/>
        <w:autoSpaceDE/>
        <w:autoSpaceDN/>
        <w:bidi w:val="0"/>
        <w:adjustRightInd/>
        <w:snapToGrid/>
        <w:spacing w:line="360" w:lineRule="auto"/>
        <w:ind w:left="0" w:right="0" w:firstLine="420" w:firstLineChars="200"/>
        <w:jc w:val="left"/>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eastAsia="zh-CN"/>
        </w:rPr>
        <w:t>地</w:t>
      </w:r>
      <w:r>
        <w:rPr>
          <w:rFonts w:hint="eastAsia" w:ascii="仿宋" w:hAnsi="仿宋" w:eastAsia="仿宋" w:cs="仿宋"/>
          <w:b w:val="0"/>
          <w:bCs/>
          <w:color w:val="auto"/>
          <w:sz w:val="21"/>
          <w:szCs w:val="21"/>
          <w:highlight w:val="none"/>
          <w:lang w:val="en-US" w:eastAsia="zh-CN"/>
        </w:rPr>
        <w:t xml:space="preserve">    </w:t>
      </w:r>
      <w:r>
        <w:rPr>
          <w:rFonts w:hint="eastAsia" w:ascii="仿宋" w:hAnsi="仿宋" w:eastAsia="仿宋" w:cs="仿宋"/>
          <w:b w:val="0"/>
          <w:bCs/>
          <w:color w:val="auto"/>
          <w:sz w:val="21"/>
          <w:szCs w:val="21"/>
          <w:highlight w:val="none"/>
          <w:lang w:eastAsia="zh-CN"/>
        </w:rPr>
        <w:t>址：云南省楚雄市鹿城南路317号</w:t>
      </w:r>
    </w:p>
    <w:p w14:paraId="490E02FE">
      <w:pPr>
        <w:pStyle w:val="28"/>
        <w:keepNext w:val="0"/>
        <w:keepLines w:val="0"/>
        <w:pageBreakBefore w:val="0"/>
        <w:widowControl w:val="0"/>
        <w:kinsoku/>
        <w:wordWrap w:val="0"/>
        <w:overflowPunct/>
        <w:topLinePunct/>
        <w:autoSpaceDE/>
        <w:autoSpaceDN/>
        <w:bidi w:val="0"/>
        <w:adjustRightInd/>
        <w:snapToGrid/>
        <w:spacing w:line="360" w:lineRule="auto"/>
        <w:ind w:left="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联系</w:t>
      </w:r>
      <w:r>
        <w:rPr>
          <w:rFonts w:hint="eastAsia" w:ascii="仿宋" w:hAnsi="仿宋" w:eastAsia="仿宋" w:cs="仿宋"/>
          <w:color w:val="auto"/>
          <w:sz w:val="21"/>
          <w:szCs w:val="21"/>
          <w:highlight w:val="none"/>
          <w:lang w:val="en-US" w:eastAsia="zh-CN"/>
        </w:rPr>
        <w:t>方式</w:t>
      </w:r>
      <w:r>
        <w:rPr>
          <w:rFonts w:hint="eastAsia" w:ascii="仿宋" w:hAnsi="仿宋" w:eastAsia="仿宋" w:cs="仿宋"/>
          <w:color w:val="auto"/>
          <w:sz w:val="21"/>
          <w:szCs w:val="21"/>
          <w:highlight w:val="none"/>
          <w:lang w:eastAsia="zh-CN"/>
        </w:rPr>
        <w:t>：0878-3113019</w:t>
      </w:r>
    </w:p>
    <w:p w14:paraId="7FB4615C">
      <w:pPr>
        <w:pStyle w:val="28"/>
        <w:keepNext w:val="0"/>
        <w:keepLines w:val="0"/>
        <w:pageBreakBefore w:val="0"/>
        <w:widowControl w:val="0"/>
        <w:kinsoku/>
        <w:wordWrap w:val="0"/>
        <w:overflowPunct/>
        <w:topLinePunct/>
        <w:autoSpaceDE/>
        <w:autoSpaceDN/>
        <w:bidi w:val="0"/>
        <w:adjustRightInd/>
        <w:snapToGrid/>
        <w:spacing w:line="360" w:lineRule="auto"/>
        <w:ind w:left="0" w:right="0" w:firstLine="422" w:firstLineChars="200"/>
        <w:jc w:val="left"/>
        <w:textAlignment w:val="auto"/>
        <w:outlineLvl w:val="2"/>
        <w:rPr>
          <w:rFonts w:hint="eastAsia" w:ascii="仿宋" w:hAnsi="仿宋" w:eastAsia="仿宋" w:cs="仿宋"/>
          <w:b/>
          <w:bCs w:val="0"/>
          <w:color w:val="auto"/>
          <w:sz w:val="21"/>
          <w:szCs w:val="21"/>
          <w:highlight w:val="none"/>
          <w:lang w:val="en-US" w:eastAsia="zh-CN"/>
        </w:rPr>
      </w:pPr>
      <w:bookmarkStart w:id="194" w:name="_Toc16278"/>
      <w:bookmarkStart w:id="195" w:name="_Toc12715"/>
      <w:bookmarkStart w:id="196" w:name="_Toc6736"/>
      <w:bookmarkStart w:id="197" w:name="_Toc18377"/>
      <w:bookmarkStart w:id="198" w:name="_Toc15284"/>
      <w:bookmarkStart w:id="199" w:name="_Toc23063"/>
      <w:bookmarkStart w:id="200" w:name="_Toc7344"/>
      <w:bookmarkStart w:id="201" w:name="_Toc19335"/>
      <w:bookmarkStart w:id="202" w:name="_Toc3354"/>
      <w:bookmarkStart w:id="203" w:name="_Toc1068"/>
      <w:bookmarkStart w:id="204" w:name="_Toc14384"/>
      <w:bookmarkStart w:id="205" w:name="_Toc1725"/>
      <w:bookmarkStart w:id="206" w:name="_Toc16712"/>
      <w:bookmarkStart w:id="207" w:name="_Toc17270"/>
      <w:bookmarkStart w:id="208" w:name="_Toc26452"/>
      <w:bookmarkStart w:id="209" w:name="_Toc19348"/>
      <w:bookmarkStart w:id="210" w:name="_Toc815"/>
      <w:bookmarkStart w:id="211" w:name="_Toc22224"/>
      <w:bookmarkStart w:id="212" w:name="_Toc24218"/>
      <w:bookmarkStart w:id="213" w:name="_Toc2801"/>
      <w:bookmarkStart w:id="214" w:name="_Toc22792"/>
      <w:bookmarkStart w:id="215" w:name="_Toc23934"/>
      <w:bookmarkStart w:id="216" w:name="_Toc7669"/>
      <w:bookmarkStart w:id="217" w:name="_Toc11632"/>
      <w:bookmarkStart w:id="218" w:name="_Toc16577"/>
      <w:bookmarkStart w:id="219" w:name="_Toc32538"/>
      <w:bookmarkStart w:id="220" w:name="_Toc30653"/>
      <w:bookmarkStart w:id="221" w:name="_Toc15130"/>
      <w:bookmarkStart w:id="222" w:name="_Toc23275"/>
      <w:bookmarkStart w:id="223" w:name="_Toc15470"/>
      <w:bookmarkStart w:id="224" w:name="_Toc27813"/>
      <w:bookmarkStart w:id="225" w:name="_Toc30797"/>
      <w:bookmarkStart w:id="226" w:name="_Toc11511"/>
      <w:bookmarkStart w:id="227" w:name="_Toc30344"/>
      <w:bookmarkStart w:id="228" w:name="_Toc6206"/>
      <w:bookmarkStart w:id="229" w:name="_Toc22272"/>
      <w:bookmarkStart w:id="230" w:name="_Toc579"/>
      <w:bookmarkStart w:id="231" w:name="_Toc25855"/>
      <w:bookmarkStart w:id="232" w:name="_Toc19890"/>
      <w:bookmarkStart w:id="233" w:name="_Toc12646"/>
      <w:bookmarkStart w:id="234" w:name="_Toc6941"/>
      <w:bookmarkStart w:id="235" w:name="_Toc2924"/>
      <w:bookmarkStart w:id="236" w:name="_Toc31520"/>
      <w:bookmarkStart w:id="237" w:name="_Toc32028"/>
      <w:bookmarkStart w:id="238" w:name="_Toc14613"/>
      <w:bookmarkStart w:id="239" w:name="_Toc31458"/>
      <w:bookmarkStart w:id="240" w:name="_Toc16296"/>
      <w:bookmarkStart w:id="241" w:name="_Toc18785"/>
      <w:bookmarkStart w:id="242" w:name="_Toc30092"/>
      <w:r>
        <w:rPr>
          <w:rFonts w:hint="eastAsia" w:ascii="仿宋" w:hAnsi="仿宋" w:eastAsia="仿宋" w:cs="仿宋"/>
          <w:b/>
          <w:bCs w:val="0"/>
          <w:color w:val="auto"/>
          <w:sz w:val="21"/>
          <w:szCs w:val="21"/>
          <w:highlight w:val="none"/>
          <w:lang w:val="en-US" w:eastAsia="zh-CN"/>
        </w:rPr>
        <w:t>2.招标代理机构信息</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p>
    <w:p w14:paraId="580E10CB">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val="en-US" w:eastAsia="zh-CN"/>
        </w:rPr>
      </w:pPr>
      <w:bookmarkStart w:id="243" w:name="_Toc5067"/>
      <w:bookmarkStart w:id="244" w:name="_Toc1050"/>
      <w:bookmarkStart w:id="245" w:name="_Toc27231"/>
      <w:bookmarkStart w:id="246" w:name="_Toc8379"/>
      <w:bookmarkStart w:id="247" w:name="_Toc29134"/>
      <w:bookmarkStart w:id="248" w:name="_Toc556"/>
      <w:bookmarkStart w:id="249" w:name="_Toc26158"/>
      <w:bookmarkStart w:id="250" w:name="_Toc7977"/>
      <w:bookmarkStart w:id="251" w:name="_Toc15169"/>
      <w:bookmarkStart w:id="252" w:name="_Toc10316"/>
      <w:bookmarkStart w:id="253" w:name="_Toc8748"/>
      <w:bookmarkStart w:id="254" w:name="_Toc7185"/>
      <w:bookmarkStart w:id="255" w:name="_Toc5611"/>
      <w:bookmarkStart w:id="256" w:name="_Toc25419"/>
      <w:bookmarkStart w:id="257" w:name="_Toc13241"/>
      <w:bookmarkStart w:id="258" w:name="_Toc28359087"/>
      <w:bookmarkStart w:id="259" w:name="_Toc9285"/>
      <w:bookmarkStart w:id="260" w:name="_Toc4004"/>
      <w:bookmarkStart w:id="261" w:name="_Toc11563"/>
      <w:bookmarkStart w:id="262" w:name="_Toc20485"/>
      <w:bookmarkStart w:id="263" w:name="_Toc27292"/>
      <w:bookmarkStart w:id="264" w:name="_Toc28359010"/>
      <w:bookmarkStart w:id="265" w:name="_Toc2557"/>
      <w:bookmarkStart w:id="266" w:name="_Toc13945"/>
      <w:bookmarkStart w:id="267" w:name="_Toc19488"/>
      <w:bookmarkStart w:id="268" w:name="_Toc17293"/>
      <w:bookmarkStart w:id="269" w:name="_Toc17609"/>
      <w:bookmarkStart w:id="270" w:name="_Toc266"/>
      <w:bookmarkStart w:id="271" w:name="_Toc25623"/>
      <w:bookmarkStart w:id="272" w:name="_Toc17426"/>
      <w:bookmarkStart w:id="273" w:name="_Toc28765"/>
      <w:bookmarkStart w:id="274" w:name="_Toc22759"/>
      <w:bookmarkStart w:id="275" w:name="_Toc20534"/>
      <w:bookmarkStart w:id="276" w:name="_Toc10182"/>
      <w:bookmarkStart w:id="277" w:name="_Toc7450"/>
      <w:bookmarkStart w:id="278" w:name="_Toc19261"/>
      <w:bookmarkStart w:id="279" w:name="_Toc894"/>
      <w:bookmarkStart w:id="280" w:name="_Toc7911"/>
      <w:bookmarkStart w:id="281" w:name="_Toc12019"/>
      <w:bookmarkStart w:id="282" w:name="_Toc26738"/>
      <w:bookmarkStart w:id="283" w:name="_Toc3104"/>
      <w:bookmarkStart w:id="284" w:name="_Toc12438"/>
      <w:bookmarkStart w:id="285" w:name="_Toc21306"/>
      <w:bookmarkStart w:id="286" w:name="_Toc21036"/>
      <w:bookmarkStart w:id="287" w:name="_Toc5487"/>
      <w:bookmarkStart w:id="288" w:name="_Toc1735"/>
      <w:r>
        <w:rPr>
          <w:rFonts w:hint="eastAsia" w:ascii="仿宋" w:hAnsi="仿宋" w:eastAsia="仿宋" w:cs="仿宋"/>
          <w:color w:val="auto"/>
          <w:sz w:val="21"/>
          <w:szCs w:val="21"/>
          <w:highlight w:val="none"/>
          <w:lang w:val="en-US" w:eastAsia="zh-CN"/>
        </w:rPr>
        <w:t>名    称：云南咏名工程管理咨询有限公司</w:t>
      </w:r>
    </w:p>
    <w:p w14:paraId="046FDC03">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地　  址：楚雄市鹿城镇新安路水泥厂小区40号三楼</w:t>
      </w:r>
    </w:p>
    <w:p w14:paraId="0D45BBA1">
      <w:pPr>
        <w:keepNext w:val="0"/>
        <w:keepLines w:val="0"/>
        <w:pageBreakBefore w:val="0"/>
        <w:widowControl w:val="0"/>
        <w:kinsoku/>
        <w:wordWrap w:val="0"/>
        <w:overflowPunct/>
        <w:topLinePunct/>
        <w:autoSpaceDE/>
        <w:autoSpaceDN/>
        <w:bidi w:val="0"/>
        <w:adjustRightInd/>
        <w:snapToGrid/>
        <w:spacing w:line="360" w:lineRule="auto"/>
        <w:ind w:left="0" w:right="0" w:firstLine="420" w:firstLineChars="200"/>
        <w:jc w:val="left"/>
        <w:textAlignment w:val="auto"/>
        <w:outlineLvl w:val="2"/>
        <w:rPr>
          <w:rFonts w:hint="eastAsia" w:ascii="仿宋" w:hAnsi="仿宋" w:eastAsia="仿宋" w:cs="仿宋"/>
          <w:color w:val="auto"/>
          <w:sz w:val="21"/>
          <w:szCs w:val="21"/>
          <w:highlight w:val="none"/>
          <w:lang w:val="en-US" w:eastAsia="zh-CN"/>
        </w:rPr>
      </w:pPr>
      <w:bookmarkStart w:id="289" w:name="_Toc14221"/>
      <w:bookmarkStart w:id="290" w:name="_Toc25810"/>
      <w:bookmarkStart w:id="291" w:name="_Toc557"/>
      <w:bookmarkStart w:id="292" w:name="_Toc25596"/>
      <w:bookmarkStart w:id="293" w:name="_Toc31617"/>
      <w:r>
        <w:rPr>
          <w:rFonts w:hint="eastAsia" w:ascii="仿宋" w:hAnsi="仿宋" w:eastAsia="仿宋" w:cs="仿宋"/>
          <w:color w:val="auto"/>
          <w:sz w:val="21"/>
          <w:szCs w:val="21"/>
          <w:highlight w:val="none"/>
          <w:lang w:val="en-US" w:eastAsia="zh-CN"/>
        </w:rPr>
        <w:t>联系方式：</w:t>
      </w:r>
      <w:bookmarkEnd w:id="289"/>
      <w:bookmarkEnd w:id="290"/>
      <w:bookmarkEnd w:id="291"/>
      <w:bookmarkEnd w:id="292"/>
      <w:bookmarkEnd w:id="293"/>
      <w:r>
        <w:rPr>
          <w:rFonts w:hint="eastAsia" w:ascii="仿宋" w:hAnsi="仿宋" w:eastAsia="仿宋" w:cs="仿宋"/>
          <w:color w:val="auto"/>
          <w:sz w:val="21"/>
          <w:szCs w:val="21"/>
          <w:highlight w:val="none"/>
          <w:lang w:val="en-US" w:eastAsia="zh-CN"/>
        </w:rPr>
        <w:t>15887515874、18787864354、0878-3033838</w:t>
      </w:r>
    </w:p>
    <w:p w14:paraId="5B6433D2">
      <w:pPr>
        <w:keepNext w:val="0"/>
        <w:keepLines w:val="0"/>
        <w:pageBreakBefore w:val="0"/>
        <w:widowControl w:val="0"/>
        <w:kinsoku/>
        <w:wordWrap w:val="0"/>
        <w:overflowPunct/>
        <w:topLinePunct/>
        <w:autoSpaceDE/>
        <w:autoSpaceDN/>
        <w:bidi w:val="0"/>
        <w:adjustRightInd/>
        <w:snapToGrid/>
        <w:spacing w:line="360" w:lineRule="auto"/>
        <w:ind w:left="0" w:right="0" w:firstLine="422" w:firstLineChars="200"/>
        <w:jc w:val="left"/>
        <w:textAlignment w:val="auto"/>
        <w:outlineLvl w:val="2"/>
        <w:rPr>
          <w:rFonts w:hint="eastAsia" w:ascii="仿宋" w:hAnsi="仿宋" w:eastAsia="仿宋" w:cs="仿宋"/>
          <w:b/>
          <w:bCs/>
          <w:color w:val="auto"/>
          <w:sz w:val="21"/>
          <w:szCs w:val="21"/>
          <w:highlight w:val="none"/>
          <w:lang w:val="en-US" w:eastAsia="zh-CN"/>
        </w:rPr>
      </w:pPr>
      <w:bookmarkStart w:id="294" w:name="_Toc21577"/>
      <w:bookmarkStart w:id="295" w:name="_Toc13054"/>
      <w:bookmarkStart w:id="296" w:name="_Toc2180"/>
      <w:bookmarkStart w:id="297" w:name="_Toc8842"/>
      <w:bookmarkStart w:id="298" w:name="_Toc19424"/>
      <w:r>
        <w:rPr>
          <w:rFonts w:hint="eastAsia" w:ascii="仿宋" w:hAnsi="仿宋" w:eastAsia="仿宋" w:cs="仿宋"/>
          <w:b/>
          <w:bCs/>
          <w:color w:val="auto"/>
          <w:sz w:val="21"/>
          <w:szCs w:val="21"/>
          <w:highlight w:val="none"/>
          <w:lang w:val="en-US" w:eastAsia="zh-CN"/>
        </w:rPr>
        <w:t>3.项目联系方式</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94"/>
      <w:bookmarkEnd w:id="295"/>
      <w:bookmarkEnd w:id="296"/>
      <w:bookmarkEnd w:id="297"/>
      <w:bookmarkEnd w:id="298"/>
    </w:p>
    <w:p w14:paraId="7AFFC017">
      <w:pPr>
        <w:pStyle w:val="28"/>
        <w:keepNext w:val="0"/>
        <w:keepLines w:val="0"/>
        <w:pageBreakBefore w:val="0"/>
        <w:widowControl w:val="0"/>
        <w:kinsoku/>
        <w:wordWrap w:val="0"/>
        <w:overflowPunct/>
        <w:topLinePunct/>
        <w:autoSpaceDE/>
        <w:autoSpaceDN/>
        <w:bidi w:val="0"/>
        <w:adjustRightInd/>
        <w:snapToGrid/>
        <w:spacing w:line="360" w:lineRule="auto"/>
        <w:ind w:left="0" w:right="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项目联系人：马子洲、蒋学能、施红波、郭玉杰</w:t>
      </w:r>
    </w:p>
    <w:p w14:paraId="694318DE">
      <w:pPr>
        <w:pStyle w:val="28"/>
        <w:keepNext w:val="0"/>
        <w:keepLines w:val="0"/>
        <w:pageBreakBefore w:val="0"/>
        <w:widowControl w:val="0"/>
        <w:kinsoku/>
        <w:wordWrap w:val="0"/>
        <w:overflowPunct/>
        <w:topLinePunct/>
        <w:autoSpaceDE/>
        <w:autoSpaceDN/>
        <w:bidi w:val="0"/>
        <w:adjustRightInd/>
        <w:snapToGrid/>
        <w:spacing w:line="360" w:lineRule="auto"/>
        <w:ind w:left="0" w:right="0" w:firstLine="42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1"/>
          <w:szCs w:val="21"/>
          <w:highlight w:val="none"/>
          <w:lang w:val="en-US" w:eastAsia="zh-CN"/>
        </w:rPr>
        <w:t>电      话：15887515874、18787864354、0878-3033838</w:t>
      </w:r>
    </w:p>
    <w:p w14:paraId="44C9264B">
      <w:pPr>
        <w:pStyle w:val="28"/>
        <w:keepNext w:val="0"/>
        <w:keepLines w:val="0"/>
        <w:pageBreakBefore w:val="0"/>
        <w:widowControl w:val="0"/>
        <w:kinsoku/>
        <w:wordWrap w:val="0"/>
        <w:overflowPunct/>
        <w:topLinePunct/>
        <w:autoSpaceDE/>
        <w:autoSpaceDN/>
        <w:bidi w:val="0"/>
        <w:adjustRightInd/>
        <w:snapToGrid/>
        <w:spacing w:line="430" w:lineRule="exact"/>
        <w:ind w:left="0" w:right="0" w:firstLine="480" w:firstLineChars="200"/>
        <w:jc w:val="left"/>
        <w:textAlignment w:val="auto"/>
        <w:rPr>
          <w:rFonts w:hint="eastAsia" w:ascii="仿宋" w:hAnsi="仿宋" w:eastAsia="仿宋" w:cs="仿宋"/>
          <w:color w:val="auto"/>
          <w:sz w:val="24"/>
          <w:szCs w:val="24"/>
          <w:highlight w:val="none"/>
          <w:lang w:eastAsia="zh-CN"/>
        </w:rPr>
      </w:pPr>
    </w:p>
    <w:bookmarkEnd w:id="16"/>
    <w:bookmarkEnd w:id="17"/>
    <w:p w14:paraId="281299CC">
      <w:pPr>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left"/>
        <w:textAlignment w:val="auto"/>
        <w:rPr>
          <w:rFonts w:hint="eastAsia" w:ascii="仿宋" w:hAnsi="仿宋" w:eastAsia="仿宋" w:cs="仿宋"/>
          <w:b/>
          <w:color w:val="auto"/>
          <w:kern w:val="2"/>
          <w:sz w:val="24"/>
          <w:szCs w:val="24"/>
          <w:highlight w:val="none"/>
          <w:lang w:eastAsia="zh-CN"/>
        </w:rPr>
        <w:sectPr>
          <w:footerReference r:id="rId4" w:type="first"/>
          <w:footerReference r:id="rId3" w:type="default"/>
          <w:pgSz w:w="11906" w:h="16838"/>
          <w:pgMar w:top="1134" w:right="1134" w:bottom="1134" w:left="1134" w:header="709" w:footer="907" w:gutter="0"/>
          <w:pgBorders>
            <w:top w:val="none" w:sz="0" w:space="0"/>
            <w:left w:val="none" w:sz="0" w:space="0"/>
            <w:bottom w:val="none" w:sz="0" w:space="0"/>
            <w:right w:val="none" w:sz="0" w:space="0"/>
          </w:pgBorders>
          <w:pgNumType w:fmt="decimal" w:start="1"/>
          <w:cols w:space="720" w:num="1"/>
          <w:titlePg/>
          <w:rtlGutter w:val="0"/>
          <w:docGrid w:linePitch="299" w:charSpace="0"/>
        </w:sectPr>
      </w:pPr>
    </w:p>
    <w:p w14:paraId="0FA5BA45">
      <w:pPr>
        <w:pStyle w:val="3"/>
        <w:keepNext w:val="0"/>
        <w:keepLines w:val="0"/>
        <w:pageBreakBefore w:val="0"/>
        <w:widowControl w:val="0"/>
        <w:kinsoku/>
        <w:wordWrap w:val="0"/>
        <w:overflowPunct/>
        <w:topLinePunct/>
        <w:autoSpaceDE/>
        <w:autoSpaceDN/>
        <w:bidi w:val="0"/>
        <w:adjustRightInd/>
        <w:snapToGrid/>
        <w:spacing w:before="0" w:after="0"/>
        <w:ind w:left="0" w:leftChars="0" w:right="0"/>
        <w:textAlignment w:val="auto"/>
        <w:outlineLvl w:val="0"/>
        <w:rPr>
          <w:rFonts w:hint="eastAsia" w:ascii="仿宋" w:hAnsi="仿宋" w:eastAsia="仿宋" w:cs="仿宋"/>
          <w:bCs/>
          <w:color w:val="auto"/>
          <w:sz w:val="40"/>
          <w:highlight w:val="none"/>
          <w:lang w:eastAsia="zh-CN"/>
        </w:rPr>
      </w:pPr>
      <w:bookmarkStart w:id="299" w:name="_Toc561"/>
      <w:bookmarkStart w:id="300" w:name="_Toc27980"/>
      <w:bookmarkStart w:id="301" w:name="_Toc497486316"/>
      <w:r>
        <w:rPr>
          <w:rStyle w:val="89"/>
          <w:rFonts w:hint="eastAsia" w:ascii="仿宋" w:hAnsi="仿宋" w:eastAsia="仿宋" w:cs="仿宋"/>
          <w:b/>
          <w:color w:val="auto"/>
          <w:highlight w:val="none"/>
          <w:lang w:eastAsia="zh-CN"/>
        </w:rPr>
        <w:t>第二章</w:t>
      </w:r>
      <w:r>
        <w:rPr>
          <w:rStyle w:val="89"/>
          <w:rFonts w:hint="eastAsia" w:ascii="仿宋" w:hAnsi="仿宋" w:eastAsia="仿宋" w:cs="仿宋"/>
          <w:b/>
          <w:color w:val="auto"/>
          <w:highlight w:val="none"/>
          <w:lang w:val="en-US" w:eastAsia="zh-CN"/>
        </w:rPr>
        <w:t xml:space="preserve"> </w:t>
      </w:r>
      <w:r>
        <w:rPr>
          <w:rStyle w:val="89"/>
          <w:rFonts w:hint="eastAsia" w:ascii="仿宋" w:hAnsi="仿宋" w:eastAsia="仿宋" w:cs="仿宋"/>
          <w:b/>
          <w:color w:val="auto"/>
          <w:highlight w:val="none"/>
          <w:lang w:eastAsia="zh-CN"/>
        </w:rPr>
        <w:t>投标人须知</w:t>
      </w:r>
      <w:bookmarkEnd w:id="299"/>
      <w:bookmarkEnd w:id="300"/>
      <w:bookmarkEnd w:id="301"/>
    </w:p>
    <w:p w14:paraId="216F97EF">
      <w:pPr>
        <w:pStyle w:val="3"/>
        <w:keepNext w:val="0"/>
        <w:keepLines w:val="0"/>
        <w:pageBreakBefore w:val="0"/>
        <w:widowControl w:val="0"/>
        <w:kinsoku/>
        <w:wordWrap w:val="0"/>
        <w:overflowPunct/>
        <w:topLinePunct/>
        <w:autoSpaceDE/>
        <w:autoSpaceDN/>
        <w:bidi w:val="0"/>
        <w:adjustRightInd/>
        <w:snapToGrid/>
        <w:spacing w:before="0" w:after="0"/>
        <w:ind w:left="0" w:leftChars="0" w:right="0"/>
        <w:textAlignment w:val="auto"/>
        <w:rPr>
          <w:rFonts w:hint="eastAsia" w:ascii="仿宋" w:hAnsi="仿宋" w:eastAsia="仿宋" w:cs="仿宋"/>
          <w:color w:val="auto"/>
          <w:sz w:val="21"/>
          <w:szCs w:val="21"/>
          <w:highlight w:val="none"/>
          <w:lang w:eastAsia="zh-CN"/>
        </w:rPr>
      </w:pPr>
      <w:bookmarkStart w:id="302" w:name="_Toc88646729"/>
      <w:bookmarkStart w:id="303" w:name="_Toc145067563"/>
      <w:bookmarkStart w:id="304" w:name="_Toc1485"/>
      <w:bookmarkStart w:id="305" w:name="_Toc8822"/>
      <w:bookmarkStart w:id="306" w:name="_Toc88638755"/>
      <w:r>
        <w:rPr>
          <w:rFonts w:hint="eastAsia" w:ascii="仿宋" w:hAnsi="仿宋" w:eastAsia="仿宋" w:cs="仿宋"/>
          <w:color w:val="auto"/>
          <w:sz w:val="21"/>
          <w:szCs w:val="21"/>
          <w:highlight w:val="none"/>
          <w:lang w:eastAsia="zh-CN"/>
        </w:rPr>
        <w:t>投标人须知前附表</w:t>
      </w:r>
      <w:bookmarkEnd w:id="302"/>
      <w:bookmarkEnd w:id="303"/>
      <w:bookmarkEnd w:id="304"/>
      <w:bookmarkEnd w:id="305"/>
      <w:bookmarkEnd w:id="306"/>
    </w:p>
    <w:p w14:paraId="1A467FA3">
      <w:pPr>
        <w:spacing w:line="360" w:lineRule="auto"/>
        <w:ind w:firstLine="48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本表是对投标人须知的具体补充和修改，如有矛盾，均以本资料表为准。标记</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的选项意为适用于本项目，标记</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的选项意为不适用于本项目。</w:t>
      </w:r>
    </w:p>
    <w:tbl>
      <w:tblPr>
        <w:tblStyle w:val="67"/>
        <w:tblW w:w="103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71"/>
        <w:gridCol w:w="8087"/>
      </w:tblGrid>
      <w:tr w14:paraId="5D5CBE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vAlign w:val="center"/>
          </w:tcPr>
          <w:p w14:paraId="74F96147">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color w:val="auto"/>
                <w:sz w:val="21"/>
                <w:szCs w:val="21"/>
                <w:highlight w:val="none"/>
              </w:rPr>
            </w:pPr>
            <w:bookmarkStart w:id="307" w:name="_Toc88646733"/>
            <w:bookmarkStart w:id="308" w:name="_Toc144646679"/>
            <w:bookmarkStart w:id="309" w:name="_Toc88638759"/>
            <w:r>
              <w:rPr>
                <w:rFonts w:hint="eastAsia" w:ascii="仿宋" w:hAnsi="仿宋" w:eastAsia="仿宋" w:cs="仿宋"/>
                <w:b/>
                <w:color w:val="auto"/>
                <w:sz w:val="21"/>
                <w:szCs w:val="21"/>
                <w:highlight w:val="none"/>
              </w:rPr>
              <w:t>条款名称</w:t>
            </w:r>
          </w:p>
        </w:tc>
        <w:tc>
          <w:tcPr>
            <w:tcW w:w="8087" w:type="dxa"/>
            <w:vAlign w:val="center"/>
          </w:tcPr>
          <w:p w14:paraId="7ED86B8D">
            <w:pPr>
              <w:keepNext w:val="0"/>
              <w:keepLines w:val="0"/>
              <w:pageBreakBefore w:val="0"/>
              <w:widowControl w:val="0"/>
              <w:kinsoku/>
              <w:wordWrap w:val="0"/>
              <w:overflowPunct/>
              <w:topLinePunct/>
              <w:autoSpaceDE/>
              <w:autoSpaceDN/>
              <w:bidi w:val="0"/>
              <w:adjustRightInd/>
              <w:snapToGrid/>
              <w:spacing w:line="360" w:lineRule="auto"/>
              <w:ind w:right="0" w:rightChars="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b/>
                <w:color w:val="auto"/>
                <w:sz w:val="21"/>
                <w:szCs w:val="21"/>
                <w:highlight w:val="none"/>
                <w:lang w:eastAsia="zh-CN"/>
              </w:rPr>
              <w:t>编列内容</w:t>
            </w:r>
          </w:p>
        </w:tc>
      </w:tr>
      <w:tr w14:paraId="08B70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jc w:val="center"/>
        </w:trPr>
        <w:tc>
          <w:tcPr>
            <w:tcW w:w="2271" w:type="dxa"/>
            <w:vAlign w:val="center"/>
          </w:tcPr>
          <w:p w14:paraId="69916E22">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采购人</w:t>
            </w:r>
          </w:p>
        </w:tc>
        <w:tc>
          <w:tcPr>
            <w:tcW w:w="8087" w:type="dxa"/>
            <w:vAlign w:val="center"/>
          </w:tcPr>
          <w:p w14:paraId="563A42B0">
            <w:pPr>
              <w:keepNext w:val="0"/>
              <w:keepLines w:val="0"/>
              <w:pageBreakBefore w:val="0"/>
              <w:widowControl w:val="0"/>
              <w:kinsoku/>
              <w:wordWrap w:val="0"/>
              <w:overflowPunct/>
              <w:topLinePunct/>
              <w:autoSpaceDE/>
              <w:autoSpaceDN/>
              <w:bidi w:val="0"/>
              <w:adjustRightInd/>
              <w:snapToGrid/>
              <w:spacing w:line="360" w:lineRule="auto"/>
              <w:ind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名    称</w:t>
            </w:r>
            <w:r>
              <w:rPr>
                <w:rFonts w:hint="eastAsia" w:ascii="仿宋" w:hAnsi="仿宋" w:eastAsia="仿宋" w:cs="仿宋"/>
                <w:color w:val="auto"/>
                <w:sz w:val="21"/>
                <w:szCs w:val="21"/>
                <w:highlight w:val="none"/>
                <w:lang w:eastAsia="zh-CN"/>
              </w:rPr>
              <w:t>：楚雄彝族自治州人民医院</w:t>
            </w:r>
          </w:p>
          <w:p w14:paraId="6A67333C">
            <w:pPr>
              <w:keepNext w:val="0"/>
              <w:keepLines w:val="0"/>
              <w:pageBreakBefore w:val="0"/>
              <w:widowControl w:val="0"/>
              <w:kinsoku/>
              <w:wordWrap w:val="0"/>
              <w:overflowPunct/>
              <w:topLinePunct/>
              <w:autoSpaceDE/>
              <w:autoSpaceDN/>
              <w:bidi w:val="0"/>
              <w:adjustRightInd/>
              <w:snapToGrid/>
              <w:spacing w:line="360" w:lineRule="auto"/>
              <w:ind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地    址：云南省楚雄市鹿城南路317号</w:t>
            </w:r>
          </w:p>
          <w:p w14:paraId="3A9ABCE0">
            <w:pPr>
              <w:keepNext w:val="0"/>
              <w:keepLines w:val="0"/>
              <w:pageBreakBefore w:val="0"/>
              <w:widowControl w:val="0"/>
              <w:kinsoku/>
              <w:wordWrap w:val="0"/>
              <w:overflowPunct/>
              <w:topLinePunct/>
              <w:autoSpaceDE/>
              <w:autoSpaceDN/>
              <w:bidi w:val="0"/>
              <w:adjustRightInd/>
              <w:snapToGrid/>
              <w:spacing w:line="360" w:lineRule="auto"/>
              <w:ind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联 系 人：杨老师、王老师、蔺老师</w:t>
            </w:r>
          </w:p>
          <w:p w14:paraId="37005BAF">
            <w:pPr>
              <w:keepNext w:val="0"/>
              <w:keepLines w:val="0"/>
              <w:pageBreakBefore w:val="0"/>
              <w:widowControl w:val="0"/>
              <w:kinsoku/>
              <w:wordWrap w:val="0"/>
              <w:overflowPunct/>
              <w:topLinePunct/>
              <w:autoSpaceDE/>
              <w:autoSpaceDN/>
              <w:bidi w:val="0"/>
              <w:adjustRightInd/>
              <w:snapToGrid/>
              <w:spacing w:line="360" w:lineRule="auto"/>
              <w:ind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电    话：0878-3113019</w:t>
            </w:r>
          </w:p>
        </w:tc>
      </w:tr>
      <w:tr w14:paraId="3C3787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vAlign w:val="center"/>
          </w:tcPr>
          <w:p w14:paraId="1B96B924">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采购代理机构</w:t>
            </w:r>
          </w:p>
        </w:tc>
        <w:tc>
          <w:tcPr>
            <w:tcW w:w="8087" w:type="dxa"/>
            <w:vAlign w:val="center"/>
          </w:tcPr>
          <w:p w14:paraId="0FE53314">
            <w:pPr>
              <w:keepNext w:val="0"/>
              <w:keepLines w:val="0"/>
              <w:pageBreakBefore w:val="0"/>
              <w:widowControl w:val="0"/>
              <w:kinsoku/>
              <w:wordWrap w:val="0"/>
              <w:overflowPunct/>
              <w:topLinePunct/>
              <w:autoSpaceDE/>
              <w:autoSpaceDN/>
              <w:bidi w:val="0"/>
              <w:adjustRightInd/>
              <w:snapToGrid/>
              <w:spacing w:line="360" w:lineRule="auto"/>
              <w:ind w:right="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名    称：云南咏名工程管理咨询有限公司</w:t>
            </w:r>
          </w:p>
          <w:p w14:paraId="37C724F2">
            <w:pPr>
              <w:keepNext w:val="0"/>
              <w:keepLines w:val="0"/>
              <w:pageBreakBefore w:val="0"/>
              <w:widowControl w:val="0"/>
              <w:kinsoku/>
              <w:wordWrap w:val="0"/>
              <w:overflowPunct/>
              <w:topLinePunct/>
              <w:autoSpaceDE/>
              <w:autoSpaceDN/>
              <w:bidi w:val="0"/>
              <w:adjustRightInd/>
              <w:snapToGrid/>
              <w:spacing w:line="360" w:lineRule="auto"/>
              <w:ind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地　  址：楚雄市鹿城镇新安路水泥厂小区40号三楼</w:t>
            </w:r>
          </w:p>
          <w:p w14:paraId="0F996997">
            <w:pPr>
              <w:keepNext w:val="0"/>
              <w:keepLines w:val="0"/>
              <w:pageBreakBefore w:val="0"/>
              <w:widowControl w:val="0"/>
              <w:kinsoku/>
              <w:wordWrap w:val="0"/>
              <w:overflowPunct/>
              <w:topLinePunct/>
              <w:autoSpaceDE/>
              <w:autoSpaceDN/>
              <w:bidi w:val="0"/>
              <w:adjustRightInd/>
              <w:snapToGrid/>
              <w:spacing w:line="360" w:lineRule="auto"/>
              <w:ind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联 系 人：马子洲、蒋学能、施红波、郭玉杰</w:t>
            </w:r>
          </w:p>
          <w:p w14:paraId="4765E73F">
            <w:pPr>
              <w:keepNext w:val="0"/>
              <w:keepLines w:val="0"/>
              <w:pageBreakBefore w:val="0"/>
              <w:widowControl w:val="0"/>
              <w:kinsoku/>
              <w:wordWrap w:val="0"/>
              <w:overflowPunct/>
              <w:topLinePunct/>
              <w:autoSpaceDE/>
              <w:autoSpaceDN/>
              <w:bidi w:val="0"/>
              <w:adjustRightInd/>
              <w:snapToGrid/>
              <w:spacing w:line="360" w:lineRule="auto"/>
              <w:ind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电    话：15887515874、18787864354、0878-3033838</w:t>
            </w:r>
          </w:p>
        </w:tc>
      </w:tr>
      <w:tr w14:paraId="5B6F44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vAlign w:val="center"/>
          </w:tcPr>
          <w:p w14:paraId="40A03E16">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项目名称</w:t>
            </w:r>
          </w:p>
        </w:tc>
        <w:tc>
          <w:tcPr>
            <w:tcW w:w="8087" w:type="dxa"/>
            <w:vAlign w:val="center"/>
          </w:tcPr>
          <w:p w14:paraId="5F11D501">
            <w:pPr>
              <w:keepNext w:val="0"/>
              <w:keepLines w:val="0"/>
              <w:pageBreakBefore w:val="0"/>
              <w:widowControl w:val="0"/>
              <w:kinsoku/>
              <w:wordWrap w:val="0"/>
              <w:overflowPunct/>
              <w:topLinePunct/>
              <w:autoSpaceDE/>
              <w:autoSpaceDN/>
              <w:bidi w:val="0"/>
              <w:adjustRightInd/>
              <w:snapToGrid/>
              <w:spacing w:line="360" w:lineRule="auto"/>
              <w:ind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楚雄彝族自治州人民医院2026年行政后勤物资采购项目</w:t>
            </w:r>
          </w:p>
        </w:tc>
      </w:tr>
      <w:tr w14:paraId="0B9536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vAlign w:val="center"/>
          </w:tcPr>
          <w:p w14:paraId="7B1F4076">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项目编号</w:t>
            </w:r>
          </w:p>
        </w:tc>
        <w:tc>
          <w:tcPr>
            <w:tcW w:w="8087" w:type="dxa"/>
            <w:vAlign w:val="center"/>
          </w:tcPr>
          <w:p w14:paraId="088805A1">
            <w:pPr>
              <w:keepNext w:val="0"/>
              <w:keepLines w:val="0"/>
              <w:pageBreakBefore w:val="0"/>
              <w:widowControl w:val="0"/>
              <w:kinsoku/>
              <w:wordWrap w:val="0"/>
              <w:overflowPunct/>
              <w:topLinePunct/>
              <w:autoSpaceDE/>
              <w:autoSpaceDN/>
              <w:bidi w:val="0"/>
              <w:adjustRightInd/>
              <w:snapToGrid/>
              <w:spacing w:line="360" w:lineRule="auto"/>
              <w:ind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fldChar w:fldCharType="begin"/>
            </w:r>
            <w:r>
              <w:rPr>
                <w:rFonts w:hint="eastAsia" w:ascii="仿宋" w:hAnsi="仿宋" w:eastAsia="仿宋" w:cs="仿宋"/>
                <w:color w:val="auto"/>
                <w:sz w:val="21"/>
                <w:szCs w:val="21"/>
                <w:highlight w:val="none"/>
                <w:lang w:val="en-US" w:eastAsia="zh-CN"/>
              </w:rPr>
              <w:instrText xml:space="preserve"> HYPERLINK "https://www.zcygov.cn/gaea/api/project/flow/redirect?projectId=7287227477569830927&amp;newUrl=https://www.zcygov.cn/micro-app-back-index/blank?_flow_type_=agency&amp;_flow_projectId_=7287227477569830927&amp;_jump_page_type_=project_procurement_management_flow&amp;_app_=zcy.procurement&amp;oldUrl=https://www.zcygov.cn/project-center/_procurement_/project-result-detail/7287227477569830927" \t "https://www.zcygov.cn/project-center/_procurement_/self-project/_blank" </w:instrText>
            </w:r>
            <w:r>
              <w:rPr>
                <w:rFonts w:hint="eastAsia" w:ascii="仿宋" w:hAnsi="仿宋" w:eastAsia="仿宋" w:cs="仿宋"/>
                <w:color w:val="auto"/>
                <w:sz w:val="21"/>
                <w:szCs w:val="21"/>
                <w:highlight w:val="none"/>
                <w:lang w:val="en-US" w:eastAsia="zh-CN"/>
              </w:rPr>
              <w:fldChar w:fldCharType="separate"/>
            </w:r>
            <w:r>
              <w:rPr>
                <w:rFonts w:hint="eastAsia" w:ascii="仿宋" w:hAnsi="仿宋" w:eastAsia="仿宋" w:cs="仿宋"/>
                <w:color w:val="auto"/>
                <w:sz w:val="21"/>
                <w:szCs w:val="21"/>
                <w:highlight w:val="none"/>
                <w:lang w:val="en-US" w:eastAsia="zh-CN"/>
              </w:rPr>
              <w:t>CXZC2026-G1-00248-YNYM-0008</w:t>
            </w:r>
            <w:r>
              <w:rPr>
                <w:rFonts w:hint="eastAsia" w:ascii="仿宋" w:hAnsi="仿宋" w:eastAsia="仿宋" w:cs="仿宋"/>
                <w:color w:val="auto"/>
                <w:sz w:val="21"/>
                <w:szCs w:val="21"/>
                <w:highlight w:val="none"/>
                <w:lang w:val="en-US" w:eastAsia="zh-CN"/>
              </w:rPr>
              <w:fldChar w:fldCharType="end"/>
            </w:r>
          </w:p>
        </w:tc>
      </w:tr>
      <w:tr w14:paraId="736BAC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vAlign w:val="center"/>
          </w:tcPr>
          <w:p w14:paraId="03236DA3">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资金落实情况</w:t>
            </w:r>
          </w:p>
        </w:tc>
        <w:tc>
          <w:tcPr>
            <w:tcW w:w="8087" w:type="dxa"/>
            <w:vAlign w:val="center"/>
          </w:tcPr>
          <w:p w14:paraId="158F2345">
            <w:pPr>
              <w:keepNext w:val="0"/>
              <w:keepLines w:val="0"/>
              <w:pageBreakBefore w:val="0"/>
              <w:widowControl w:val="0"/>
              <w:kinsoku/>
              <w:wordWrap w:val="0"/>
              <w:overflowPunct/>
              <w:topLinePunct/>
              <w:autoSpaceDE/>
              <w:autoSpaceDN/>
              <w:bidi w:val="0"/>
              <w:adjustRightInd/>
              <w:snapToGrid/>
              <w:spacing w:line="360" w:lineRule="auto"/>
              <w:ind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已落实</w:t>
            </w:r>
          </w:p>
        </w:tc>
      </w:tr>
      <w:tr w14:paraId="260077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vAlign w:val="center"/>
          </w:tcPr>
          <w:p w14:paraId="5EBC7B96">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000000"/>
                <w:kern w:val="0"/>
                <w:sz w:val="21"/>
                <w:szCs w:val="21"/>
                <w:lang w:val="en-US" w:eastAsia="zh-CN" w:bidi="ar-SA"/>
              </w:rPr>
            </w:pPr>
            <w:r>
              <w:rPr>
                <w:rFonts w:hint="eastAsia" w:ascii="仿宋" w:hAnsi="仿宋" w:eastAsia="仿宋" w:cs="仿宋"/>
                <w:color w:val="000000"/>
                <w:kern w:val="0"/>
                <w:sz w:val="21"/>
                <w:szCs w:val="21"/>
                <w:lang w:val="en-US" w:eastAsia="zh-CN"/>
              </w:rPr>
              <w:t>投标报价</w:t>
            </w:r>
          </w:p>
        </w:tc>
        <w:tc>
          <w:tcPr>
            <w:tcW w:w="8087" w:type="dxa"/>
            <w:vAlign w:val="center"/>
          </w:tcPr>
          <w:p w14:paraId="0D2A1D82">
            <w:pPr>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color w:val="000000"/>
                <w:kern w:val="0"/>
                <w:sz w:val="21"/>
                <w:szCs w:val="21"/>
                <w:lang w:val="en-US" w:eastAsia="zh-CN"/>
              </w:rPr>
            </w:pPr>
            <w:r>
              <w:rPr>
                <w:rFonts w:hint="eastAsia" w:ascii="仿宋" w:hAnsi="仿宋" w:eastAsia="仿宋" w:cs="仿宋"/>
                <w:sz w:val="21"/>
                <w:szCs w:val="21"/>
                <w:lang w:val="zh-CN"/>
              </w:rPr>
              <w:t>本项目报价为</w:t>
            </w:r>
            <w:r>
              <w:rPr>
                <w:rFonts w:hint="eastAsia" w:ascii="仿宋" w:hAnsi="仿宋" w:eastAsia="仿宋" w:cs="仿宋"/>
                <w:color w:val="FF0000"/>
                <w:sz w:val="21"/>
                <w:szCs w:val="21"/>
                <w:u w:val="single"/>
              </w:rPr>
              <w:t>固定</w:t>
            </w:r>
            <w:r>
              <w:rPr>
                <w:rFonts w:hint="eastAsia" w:ascii="仿宋" w:hAnsi="仿宋" w:eastAsia="仿宋" w:cs="仿宋"/>
                <w:color w:val="FF0000"/>
                <w:sz w:val="21"/>
                <w:szCs w:val="21"/>
                <w:u w:val="single"/>
                <w:lang w:val="en-US" w:eastAsia="zh-CN"/>
              </w:rPr>
              <w:t>单价</w:t>
            </w:r>
            <w:r>
              <w:rPr>
                <w:rFonts w:hint="eastAsia" w:ascii="仿宋" w:hAnsi="仿宋" w:eastAsia="仿宋" w:cs="仿宋"/>
                <w:sz w:val="21"/>
                <w:szCs w:val="21"/>
                <w:lang w:val="zh-CN"/>
              </w:rPr>
              <w:t>，</w:t>
            </w:r>
            <w:r>
              <w:rPr>
                <w:rFonts w:hint="eastAsia" w:ascii="仿宋" w:hAnsi="仿宋" w:eastAsia="仿宋" w:cs="仿宋"/>
                <w:sz w:val="21"/>
                <w:szCs w:val="21"/>
                <w:lang w:val="en-US" w:eastAsia="zh-CN"/>
              </w:rPr>
              <w:t>投标</w:t>
            </w:r>
            <w:r>
              <w:rPr>
                <w:rFonts w:hint="eastAsia" w:ascii="仿宋" w:hAnsi="仿宋" w:eastAsia="仿宋" w:cs="仿宋"/>
                <w:sz w:val="21"/>
                <w:szCs w:val="21"/>
                <w:lang w:val="zh-CN"/>
              </w:rPr>
              <w:t>报价应</w:t>
            </w:r>
            <w:r>
              <w:rPr>
                <w:rFonts w:hint="eastAsia" w:ascii="仿宋" w:hAnsi="仿宋" w:eastAsia="仿宋" w:cs="仿宋"/>
                <w:color w:val="000000"/>
                <w:kern w:val="0"/>
                <w:sz w:val="21"/>
                <w:szCs w:val="21"/>
                <w:lang w:val="en-US" w:eastAsia="zh-CN"/>
              </w:rPr>
              <w:t>包括但不仅限于货物的出厂价、随机备品备件、运杂费、采购代理服务费、投标人技术服务费、保证期内缺陷的修复补救费用、市场价格变化的风险费用、利润、税金等响应采购文件所有技术、商务要求的价格总和，该报价应考虑市场风险、政策性风险、汇率风险等因素，并能保证投标人完成履行合同所需的全部工作，此价格在合同签订后不得调整。</w:t>
            </w:r>
          </w:p>
          <w:p w14:paraId="7FED77BD">
            <w:pPr>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color w:val="000000"/>
                <w:kern w:val="0"/>
                <w:sz w:val="21"/>
                <w:szCs w:val="21"/>
                <w:lang w:val="en-US" w:eastAsia="zh-CN" w:bidi="ar-SA"/>
              </w:rPr>
            </w:pPr>
            <w:r>
              <w:rPr>
                <w:rFonts w:hint="eastAsia" w:ascii="仿宋" w:hAnsi="仿宋" w:eastAsia="仿宋" w:cs="仿宋"/>
                <w:color w:val="000000"/>
                <w:kern w:val="0"/>
                <w:sz w:val="21"/>
                <w:szCs w:val="21"/>
                <w:lang w:val="en-US" w:eastAsia="zh-CN"/>
              </w:rPr>
              <w:t>凡投标人在报价中未列的项目或遗漏项目，采购人将一律视为已包括在其报价中，在合同执行中将不予考虑。投标人应根据现场实际情况进行复核，如需调整视为投标人风险自担，采购人将不在采购报价外追加费用。</w:t>
            </w:r>
          </w:p>
        </w:tc>
      </w:tr>
      <w:tr w14:paraId="0C8839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vAlign w:val="center"/>
          </w:tcPr>
          <w:p w14:paraId="591D70AA">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000000"/>
                <w:kern w:val="0"/>
                <w:sz w:val="21"/>
                <w:szCs w:val="21"/>
                <w:lang w:val="en-US" w:eastAsia="zh-CN" w:bidi="ar-SA"/>
              </w:rPr>
            </w:pPr>
            <w:r>
              <w:rPr>
                <w:rFonts w:hint="eastAsia" w:ascii="仿宋" w:hAnsi="仿宋" w:eastAsia="仿宋" w:cs="仿宋"/>
                <w:color w:val="000000"/>
                <w:kern w:val="0"/>
                <w:sz w:val="21"/>
                <w:szCs w:val="21"/>
                <w:lang w:val="en-US" w:eastAsia="zh-CN"/>
              </w:rPr>
              <w:t>报价方式</w:t>
            </w:r>
          </w:p>
        </w:tc>
        <w:tc>
          <w:tcPr>
            <w:tcW w:w="8087" w:type="dxa"/>
            <w:vAlign w:val="center"/>
          </w:tcPr>
          <w:p w14:paraId="418A0B35">
            <w:pPr>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color w:val="000000"/>
                <w:kern w:val="0"/>
                <w:sz w:val="21"/>
                <w:szCs w:val="21"/>
                <w:lang w:val="en-US" w:eastAsia="zh-CN"/>
              </w:rPr>
            </w:pPr>
            <w:r>
              <w:rPr>
                <w:rFonts w:hint="eastAsia" w:ascii="仿宋" w:hAnsi="仿宋" w:eastAsia="仿宋" w:cs="仿宋"/>
                <w:color w:val="000000"/>
                <w:kern w:val="0"/>
                <w:sz w:val="21"/>
                <w:szCs w:val="21"/>
                <w:lang w:val="en-US" w:eastAsia="zh-CN"/>
              </w:rPr>
              <w:t>本项目采用统一单价下浮率进行报价</w:t>
            </w:r>
          </w:p>
          <w:p w14:paraId="6CCFC266">
            <w:pPr>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color w:val="000000"/>
                <w:kern w:val="0"/>
                <w:sz w:val="21"/>
                <w:szCs w:val="21"/>
                <w:lang w:val="en-US" w:eastAsia="zh-CN" w:bidi="ar-SA"/>
              </w:rPr>
            </w:pPr>
            <w:r>
              <w:rPr>
                <w:rFonts w:hint="eastAsia" w:ascii="仿宋" w:hAnsi="仿宋" w:eastAsia="仿宋" w:cs="仿宋"/>
                <w:color w:val="000000"/>
                <w:kern w:val="0"/>
                <w:sz w:val="21"/>
                <w:szCs w:val="21"/>
                <w:lang w:val="en-US" w:eastAsia="zh-CN"/>
              </w:rPr>
              <w:t>下浮率的计算公式为：下浮率（%）=（原价-优惠价）/原价*100%。</w:t>
            </w:r>
          </w:p>
        </w:tc>
      </w:tr>
      <w:tr w14:paraId="0A20F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jc w:val="center"/>
        </w:trPr>
        <w:tc>
          <w:tcPr>
            <w:tcW w:w="2271" w:type="dxa"/>
            <w:vAlign w:val="center"/>
          </w:tcPr>
          <w:p w14:paraId="6764205D">
            <w:pPr>
              <w:keepNext w:val="0"/>
              <w:keepLines w:val="0"/>
              <w:pageBreakBefore w:val="0"/>
              <w:widowControl w:val="0"/>
              <w:shd w:val="clear" w:color="auto" w:fill="FFFFFF"/>
              <w:kinsoku/>
              <w:wordWrap w:val="0"/>
              <w:overflowPunct/>
              <w:topLinePunct/>
              <w:autoSpaceDE/>
              <w:autoSpaceDN/>
              <w:bidi w:val="0"/>
              <w:adjustRightInd/>
              <w:snapToGrid/>
              <w:spacing w:line="360" w:lineRule="auto"/>
              <w:ind w:left="0" w:leftChars="0" w:right="0" w:rightChars="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是否采用电子化招标投标</w:t>
            </w:r>
          </w:p>
        </w:tc>
        <w:tc>
          <w:tcPr>
            <w:tcW w:w="8087" w:type="dxa"/>
            <w:vAlign w:val="center"/>
          </w:tcPr>
          <w:p w14:paraId="42E05959">
            <w:pPr>
              <w:pStyle w:val="654"/>
              <w:keepNext w:val="0"/>
              <w:keepLines w:val="0"/>
              <w:pageBreakBefore w:val="0"/>
              <w:widowControl w:val="0"/>
              <w:kinsoku/>
              <w:wordWrap w:val="0"/>
              <w:overflowPunct/>
              <w:topLinePunct/>
              <w:autoSpaceDE/>
              <w:autoSpaceDN/>
              <w:bidi w:val="0"/>
              <w:adjustRightInd/>
              <w:snapToGrid/>
              <w:spacing w:line="360" w:lineRule="auto"/>
              <w:ind w:right="0" w:firstLine="420" w:firstLineChars="200"/>
              <w:textAlignment w:val="auto"/>
              <w:rPr>
                <w:rFonts w:hint="eastAsia" w:ascii="仿宋" w:hAnsi="仿宋" w:eastAsia="仿宋" w:cs="仿宋"/>
                <w:color w:val="auto"/>
                <w:spacing w:val="-2"/>
                <w:kern w:val="2"/>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pacing w:val="-2"/>
                <w:kern w:val="2"/>
                <w:sz w:val="21"/>
                <w:szCs w:val="21"/>
                <w:highlight w:val="none"/>
              </w:rPr>
              <w:t>否：本项目非电子化招投标项目，</w:t>
            </w:r>
            <w:r>
              <w:rPr>
                <w:rFonts w:hint="eastAsia" w:ascii="仿宋" w:hAnsi="仿宋" w:eastAsia="仿宋" w:cs="仿宋"/>
                <w:color w:val="auto"/>
                <w:spacing w:val="-2"/>
                <w:kern w:val="2"/>
                <w:sz w:val="21"/>
                <w:szCs w:val="21"/>
                <w:highlight w:val="none"/>
                <w:lang w:eastAsia="zh-CN"/>
              </w:rPr>
              <w:t>投标人</w:t>
            </w:r>
            <w:r>
              <w:rPr>
                <w:rFonts w:hint="eastAsia" w:ascii="仿宋" w:hAnsi="仿宋" w:eastAsia="仿宋" w:cs="仿宋"/>
                <w:color w:val="auto"/>
                <w:spacing w:val="-2"/>
                <w:kern w:val="2"/>
                <w:sz w:val="21"/>
                <w:szCs w:val="21"/>
                <w:highlight w:val="none"/>
              </w:rPr>
              <w:t>无需遵照招标文件中有关电子化招标投标的内容及规定。</w:t>
            </w:r>
          </w:p>
          <w:p w14:paraId="1C0DFDF1">
            <w:pPr>
              <w:pStyle w:val="654"/>
              <w:keepNext w:val="0"/>
              <w:keepLines w:val="0"/>
              <w:pageBreakBefore w:val="0"/>
              <w:widowControl w:val="0"/>
              <w:kinsoku/>
              <w:wordWrap w:val="0"/>
              <w:overflowPunct/>
              <w:topLinePunct/>
              <w:autoSpaceDE/>
              <w:autoSpaceDN/>
              <w:bidi w:val="0"/>
              <w:adjustRightInd/>
              <w:snapToGrid/>
              <w:spacing w:line="360" w:lineRule="auto"/>
              <w:ind w:right="0" w:rightChars="0" w:firstLine="420" w:firstLineChars="20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pacing w:val="-2"/>
                <w:kern w:val="2"/>
                <w:sz w:val="21"/>
                <w:szCs w:val="21"/>
                <w:highlight w:val="none"/>
              </w:rPr>
              <w:t>是：</w:t>
            </w:r>
            <w:r>
              <w:rPr>
                <w:rFonts w:hint="eastAsia" w:ascii="仿宋" w:hAnsi="仿宋" w:eastAsia="仿宋" w:cs="仿宋"/>
                <w:color w:val="auto"/>
                <w:sz w:val="21"/>
                <w:szCs w:val="21"/>
                <w:highlight w:val="none"/>
              </w:rPr>
              <w:t>详见</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第一章</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招标公告</w:t>
            </w:r>
            <w:r>
              <w:rPr>
                <w:rFonts w:hint="eastAsia" w:ascii="仿宋" w:hAnsi="仿宋" w:eastAsia="仿宋" w:cs="仿宋"/>
                <w:color w:val="auto"/>
                <w:sz w:val="21"/>
                <w:szCs w:val="21"/>
                <w:highlight w:val="none"/>
                <w:lang w:eastAsia="zh-CN"/>
              </w:rPr>
              <w:t>”</w:t>
            </w:r>
          </w:p>
        </w:tc>
      </w:tr>
      <w:tr w14:paraId="7A35A7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2271" w:type="dxa"/>
            <w:vAlign w:val="center"/>
          </w:tcPr>
          <w:p w14:paraId="649E8FE0">
            <w:pPr>
              <w:pStyle w:val="35"/>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eastAsia="zh-CN"/>
              </w:rPr>
              <w:t>评审</w:t>
            </w:r>
            <w:r>
              <w:rPr>
                <w:rFonts w:hint="eastAsia" w:ascii="仿宋" w:hAnsi="仿宋" w:eastAsia="仿宋" w:cs="仿宋"/>
                <w:color w:val="auto"/>
                <w:sz w:val="21"/>
                <w:szCs w:val="21"/>
                <w:highlight w:val="none"/>
              </w:rPr>
              <w:t>方法</w:t>
            </w:r>
          </w:p>
        </w:tc>
        <w:tc>
          <w:tcPr>
            <w:tcW w:w="8087" w:type="dxa"/>
            <w:vAlign w:val="center"/>
          </w:tcPr>
          <w:p w14:paraId="57E5BFF1">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综合评分法，见“</w:t>
            </w:r>
            <w:r>
              <w:rPr>
                <w:rFonts w:hint="eastAsia" w:ascii="仿宋" w:hAnsi="仿宋" w:eastAsia="仿宋" w:cs="仿宋"/>
                <w:color w:val="auto"/>
                <w:sz w:val="21"/>
                <w:szCs w:val="21"/>
                <w:highlight w:val="none"/>
                <w:lang w:eastAsia="zh-CN"/>
              </w:rPr>
              <w:t>第三章</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评审办法（综合评分法）</w:t>
            </w:r>
            <w:r>
              <w:rPr>
                <w:rFonts w:hint="eastAsia" w:ascii="仿宋" w:hAnsi="仿宋" w:eastAsia="仿宋" w:cs="仿宋"/>
                <w:color w:val="auto"/>
                <w:sz w:val="21"/>
                <w:szCs w:val="21"/>
                <w:highlight w:val="none"/>
              </w:rPr>
              <w:t>”</w:t>
            </w:r>
          </w:p>
        </w:tc>
      </w:tr>
      <w:tr w14:paraId="17363D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4" w:hRule="atLeast"/>
          <w:jc w:val="center"/>
        </w:trPr>
        <w:tc>
          <w:tcPr>
            <w:tcW w:w="2271" w:type="dxa"/>
            <w:vAlign w:val="center"/>
          </w:tcPr>
          <w:p w14:paraId="1BD7BC90">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项目属性</w:t>
            </w:r>
          </w:p>
        </w:tc>
        <w:tc>
          <w:tcPr>
            <w:tcW w:w="8087" w:type="dxa"/>
            <w:vAlign w:val="center"/>
          </w:tcPr>
          <w:p w14:paraId="6C97A595">
            <w:pPr>
              <w:keepNext w:val="0"/>
              <w:keepLines w:val="0"/>
              <w:pageBreakBefore w:val="0"/>
              <w:widowControl w:val="0"/>
              <w:kinsoku/>
              <w:wordWrap w:val="0"/>
              <w:overflowPunct/>
              <w:topLinePunct/>
              <w:autoSpaceDE/>
              <w:autoSpaceDN/>
              <w:bidi w:val="0"/>
              <w:adjustRightInd/>
              <w:snapToGrid/>
              <w:spacing w:line="360" w:lineRule="auto"/>
              <w:ind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货物：是指各种形态和种类的物品，包括原材料、燃料、设备、产品等。</w:t>
            </w:r>
          </w:p>
          <w:p w14:paraId="25F983DB">
            <w:pPr>
              <w:keepNext w:val="0"/>
              <w:keepLines w:val="0"/>
              <w:pageBreakBefore w:val="0"/>
              <w:widowControl w:val="0"/>
              <w:kinsoku/>
              <w:wordWrap w:val="0"/>
              <w:overflowPunct/>
              <w:topLinePunct/>
              <w:autoSpaceDE/>
              <w:autoSpaceDN/>
              <w:bidi w:val="0"/>
              <w:adjustRightInd/>
              <w:snapToGrid/>
              <w:spacing w:line="360" w:lineRule="auto"/>
              <w:ind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sym w:font="Wingdings" w:char="00A8"/>
            </w:r>
            <w:r>
              <w:rPr>
                <w:rFonts w:hint="eastAsia" w:ascii="仿宋" w:hAnsi="仿宋" w:eastAsia="仿宋" w:cs="仿宋"/>
                <w:color w:val="auto"/>
                <w:sz w:val="21"/>
                <w:szCs w:val="21"/>
                <w:highlight w:val="none"/>
                <w:lang w:val="en-US" w:eastAsia="zh-CN"/>
              </w:rPr>
              <w:t>工程：是指建设工程，包括建筑物和构筑物的新建、改建、扩建、装修、拆除、修缮等。</w:t>
            </w:r>
          </w:p>
          <w:p w14:paraId="2E6628EC">
            <w:pPr>
              <w:keepNext w:val="0"/>
              <w:keepLines w:val="0"/>
              <w:pageBreakBefore w:val="0"/>
              <w:widowControl w:val="0"/>
              <w:kinsoku/>
              <w:wordWrap w:val="0"/>
              <w:overflowPunct/>
              <w:topLinePunct/>
              <w:autoSpaceDE/>
              <w:autoSpaceDN/>
              <w:bidi w:val="0"/>
              <w:adjustRightInd/>
              <w:snapToGrid/>
              <w:spacing w:line="360" w:lineRule="auto"/>
              <w:ind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sym w:font="Wingdings" w:char="00A8"/>
            </w:r>
            <w:r>
              <w:rPr>
                <w:rFonts w:hint="eastAsia" w:ascii="仿宋" w:hAnsi="仿宋" w:eastAsia="仿宋" w:cs="仿宋"/>
                <w:color w:val="auto"/>
                <w:sz w:val="21"/>
                <w:szCs w:val="21"/>
                <w:highlight w:val="none"/>
                <w:lang w:val="en-US" w:eastAsia="zh-CN"/>
              </w:rPr>
              <w:t>服务：是指除货物和工程以外的其他采购对象。</w:t>
            </w:r>
          </w:p>
        </w:tc>
      </w:tr>
      <w:tr w14:paraId="5B3510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jc w:val="center"/>
        </w:trPr>
        <w:tc>
          <w:tcPr>
            <w:tcW w:w="2271" w:type="dxa"/>
            <w:vAlign w:val="center"/>
          </w:tcPr>
          <w:p w14:paraId="40C05BE6">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snapToGrid w:val="0"/>
                <w:color w:val="auto"/>
                <w:kern w:val="0"/>
                <w:sz w:val="21"/>
                <w:szCs w:val="21"/>
                <w:highlight w:val="none"/>
                <w:lang w:val="en-US" w:eastAsia="en-US" w:bidi="ar-SA"/>
              </w:rPr>
            </w:pPr>
            <w:r>
              <w:rPr>
                <w:rFonts w:hint="eastAsia" w:ascii="仿宋" w:hAnsi="仿宋" w:eastAsia="仿宋" w:cs="仿宋"/>
                <w:color w:val="auto"/>
                <w:sz w:val="21"/>
                <w:szCs w:val="21"/>
                <w:highlight w:val="none"/>
              </w:rPr>
              <w:t>核心产品</w:t>
            </w:r>
          </w:p>
        </w:tc>
        <w:tc>
          <w:tcPr>
            <w:tcW w:w="8087" w:type="dxa"/>
            <w:vAlign w:val="center"/>
          </w:tcPr>
          <w:p w14:paraId="543BB25F">
            <w:pPr>
              <w:keepNext w:val="0"/>
              <w:keepLines w:val="0"/>
              <w:pageBreakBefore w:val="0"/>
              <w:widowControl w:val="0"/>
              <w:kinsoku/>
              <w:wordWrap w:val="0"/>
              <w:overflowPunct/>
              <w:topLinePunct/>
              <w:autoSpaceDE/>
              <w:autoSpaceDN/>
              <w:bidi w:val="0"/>
              <w:adjustRightInd/>
              <w:snapToGrid/>
              <w:spacing w:line="360" w:lineRule="auto"/>
              <w:ind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□关于核心产品本项目不适用。</w:t>
            </w:r>
          </w:p>
          <w:p w14:paraId="29D28B13">
            <w:pPr>
              <w:keepNext w:val="0"/>
              <w:keepLines w:val="0"/>
              <w:pageBreakBefore w:val="0"/>
              <w:widowControl w:val="0"/>
              <w:kinsoku/>
              <w:wordWrap w:val="0"/>
              <w:overflowPunct/>
              <w:topLinePunct/>
              <w:autoSpaceDE/>
              <w:autoSpaceDN/>
              <w:bidi w:val="0"/>
              <w:adjustRightInd/>
              <w:snapToGrid/>
              <w:spacing w:line="360" w:lineRule="auto"/>
              <w:ind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□本项目</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为单一产品采购项目。</w:t>
            </w:r>
          </w:p>
          <w:p w14:paraId="3C916B6A">
            <w:pPr>
              <w:keepNext w:val="0"/>
              <w:keepLines w:val="0"/>
              <w:pageBreakBefore w:val="0"/>
              <w:widowControl w:val="0"/>
              <w:kinsoku/>
              <w:wordWrap w:val="0"/>
              <w:overflowPunct/>
              <w:topLinePunct/>
              <w:autoSpaceDE/>
              <w:autoSpaceDN/>
              <w:bidi w:val="0"/>
              <w:adjustRightInd/>
              <w:snapToGrid/>
              <w:spacing w:line="360" w:lineRule="auto"/>
              <w:ind w:right="0" w:rightChars="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本项目为非单一产品采购项目。核心产品为：详见《第四章采购需求及要求》。</w:t>
            </w:r>
          </w:p>
        </w:tc>
      </w:tr>
      <w:tr w14:paraId="361C2B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vAlign w:val="center"/>
          </w:tcPr>
          <w:p w14:paraId="28613F99">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同品牌</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中标候选资格推选方式</w:t>
            </w:r>
          </w:p>
        </w:tc>
        <w:tc>
          <w:tcPr>
            <w:tcW w:w="8087" w:type="dxa"/>
            <w:vAlign w:val="center"/>
          </w:tcPr>
          <w:p w14:paraId="26A27EB9">
            <w:pPr>
              <w:keepNext w:val="0"/>
              <w:keepLines w:val="0"/>
              <w:pageBreakBefore w:val="0"/>
              <w:widowControl w:val="0"/>
              <w:kinsoku/>
              <w:wordWrap w:val="0"/>
              <w:overflowPunct/>
              <w:topLinePunct/>
              <w:autoSpaceDE/>
              <w:autoSpaceDN/>
              <w:bidi w:val="0"/>
              <w:adjustRightInd/>
              <w:snapToGrid/>
              <w:spacing w:line="360" w:lineRule="auto"/>
              <w:ind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详见“第二章 投标人须知”</w:t>
            </w:r>
          </w:p>
        </w:tc>
      </w:tr>
      <w:tr w14:paraId="046324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00" w:hRule="atLeast"/>
          <w:jc w:val="center"/>
        </w:trPr>
        <w:tc>
          <w:tcPr>
            <w:tcW w:w="2271" w:type="dxa"/>
            <w:vAlign w:val="center"/>
          </w:tcPr>
          <w:p w14:paraId="68B52F1E">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eastAsia" w:ascii="仿宋" w:hAnsi="仿宋" w:eastAsia="仿宋" w:cs="仿宋"/>
                <w:snapToGrid w:val="0"/>
                <w:color w:val="auto"/>
                <w:kern w:val="0"/>
                <w:sz w:val="21"/>
                <w:szCs w:val="21"/>
                <w:highlight w:val="none"/>
                <w:lang w:val="en-US" w:eastAsia="en-US" w:bidi="ar-SA"/>
              </w:rPr>
            </w:pPr>
            <w:r>
              <w:rPr>
                <w:rFonts w:hint="eastAsia" w:ascii="仿宋" w:hAnsi="仿宋" w:eastAsia="仿宋" w:cs="仿宋"/>
                <w:color w:val="auto"/>
                <w:sz w:val="21"/>
                <w:szCs w:val="21"/>
                <w:highlight w:val="none"/>
              </w:rPr>
              <w:t>现场考察</w:t>
            </w:r>
          </w:p>
        </w:tc>
        <w:tc>
          <w:tcPr>
            <w:tcW w:w="8087" w:type="dxa"/>
            <w:vAlign w:val="center"/>
          </w:tcPr>
          <w:p w14:paraId="0807A295">
            <w:pPr>
              <w:keepNext w:val="0"/>
              <w:keepLines w:val="0"/>
              <w:pageBreakBefore w:val="0"/>
              <w:widowControl w:val="0"/>
              <w:kinsoku/>
              <w:wordWrap w:val="0"/>
              <w:overflowPunct/>
              <w:topLinePunct/>
              <w:autoSpaceDE/>
              <w:autoSpaceDN/>
              <w:bidi w:val="0"/>
              <w:adjustRightInd/>
              <w:snapToGrid/>
              <w:spacing w:line="360" w:lineRule="auto"/>
              <w:ind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不组织</w:t>
            </w:r>
          </w:p>
          <w:p w14:paraId="09F45B94">
            <w:pPr>
              <w:keepNext w:val="0"/>
              <w:keepLines w:val="0"/>
              <w:pageBreakBefore w:val="0"/>
              <w:widowControl w:val="0"/>
              <w:tabs>
                <w:tab w:val="left" w:pos="7665"/>
              </w:tabs>
              <w:kinsoku/>
              <w:wordWrap w:val="0"/>
              <w:overflowPunct/>
              <w:topLinePunct/>
              <w:autoSpaceDE/>
              <w:autoSpaceDN/>
              <w:bidi w:val="0"/>
              <w:adjustRightInd/>
              <w:snapToGrid/>
              <w:spacing w:line="360" w:lineRule="auto"/>
              <w:ind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组织</w:t>
            </w:r>
          </w:p>
          <w:p w14:paraId="2CE24FEB">
            <w:pPr>
              <w:keepNext w:val="0"/>
              <w:keepLines w:val="0"/>
              <w:pageBreakBefore w:val="0"/>
              <w:widowControl w:val="0"/>
              <w:tabs>
                <w:tab w:val="left" w:pos="7665"/>
              </w:tabs>
              <w:kinsoku/>
              <w:wordWrap w:val="0"/>
              <w:overflowPunct/>
              <w:topLinePunct/>
              <w:autoSpaceDE/>
              <w:autoSpaceDN/>
              <w:bidi w:val="0"/>
              <w:adjustRightInd/>
              <w:snapToGrid/>
              <w:spacing w:line="360" w:lineRule="auto"/>
              <w:ind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踏勘时间：202</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日，时间</w:t>
            </w:r>
            <w:r>
              <w:rPr>
                <w:rFonts w:hint="eastAsia" w:ascii="仿宋" w:hAnsi="仿宋" w:eastAsia="仿宋" w:cs="仿宋"/>
                <w:color w:val="auto"/>
                <w:sz w:val="21"/>
                <w:szCs w:val="21"/>
                <w:highlight w:val="none"/>
                <w:lang w:val="en-US" w:eastAsia="zh-CN"/>
              </w:rPr>
              <w:t>下</w:t>
            </w:r>
            <w:r>
              <w:rPr>
                <w:rFonts w:hint="eastAsia" w:ascii="仿宋" w:hAnsi="仿宋" w:eastAsia="仿宋" w:cs="仿宋"/>
                <w:color w:val="auto"/>
                <w:sz w:val="21"/>
                <w:szCs w:val="21"/>
                <w:highlight w:val="none"/>
              </w:rPr>
              <w:t>午</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至</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以前在</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集合，逾期不</w:t>
            </w:r>
            <w:r>
              <w:rPr>
                <w:rFonts w:hint="eastAsia" w:ascii="仿宋" w:hAnsi="仿宋" w:eastAsia="仿宋" w:cs="仿宋"/>
                <w:color w:val="auto"/>
                <w:sz w:val="21"/>
                <w:szCs w:val="21"/>
                <w:highlight w:val="none"/>
                <w:lang w:eastAsia="zh-CN"/>
              </w:rPr>
              <w:t>再</w:t>
            </w:r>
            <w:r>
              <w:rPr>
                <w:rFonts w:hint="eastAsia" w:ascii="仿宋" w:hAnsi="仿宋" w:eastAsia="仿宋" w:cs="仿宋"/>
                <w:color w:val="auto"/>
                <w:sz w:val="21"/>
                <w:szCs w:val="21"/>
                <w:highlight w:val="none"/>
              </w:rPr>
              <w:t>组织踏勘。现场踏勘所发生的一切费用及安全责任由</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自行承担。</w:t>
            </w:r>
          </w:p>
          <w:p w14:paraId="5CDB3D8A">
            <w:pPr>
              <w:pStyle w:val="35"/>
              <w:keepNext w:val="0"/>
              <w:keepLines w:val="0"/>
              <w:pageBreakBefore w:val="0"/>
              <w:widowControl w:val="0"/>
              <w:kinsoku/>
              <w:wordWrap w:val="0"/>
              <w:overflowPunct/>
              <w:topLinePunct/>
              <w:autoSpaceDE/>
              <w:autoSpaceDN/>
              <w:bidi w:val="0"/>
              <w:adjustRightInd/>
              <w:snapToGrid/>
              <w:spacing w:line="360" w:lineRule="auto"/>
              <w:ind w:right="0" w:rightChars="0" w:firstLine="420" w:firstLineChars="200"/>
              <w:textAlignment w:val="auto"/>
              <w:rPr>
                <w:rFonts w:hint="eastAsia" w:ascii="仿宋" w:hAnsi="仿宋" w:eastAsia="仿宋" w:cs="仿宋"/>
                <w:snapToGrid w:val="0"/>
                <w:color w:val="auto"/>
                <w:kern w:val="2"/>
                <w:sz w:val="21"/>
                <w:szCs w:val="21"/>
                <w:highlight w:val="none"/>
                <w:lang w:val="en-US" w:eastAsia="zh-CN" w:bidi="ar-SA"/>
              </w:rPr>
            </w:pPr>
            <w:r>
              <w:rPr>
                <w:rFonts w:hint="eastAsia" w:ascii="仿宋" w:hAnsi="仿宋" w:eastAsia="仿宋" w:cs="仿宋"/>
                <w:color w:val="auto"/>
                <w:sz w:val="21"/>
                <w:szCs w:val="21"/>
                <w:highlight w:val="none"/>
                <w:lang w:val="zh-CN" w:eastAsia="zh-CN"/>
              </w:rPr>
              <w:t>现场</w:t>
            </w:r>
            <w:r>
              <w:rPr>
                <w:rFonts w:hint="eastAsia" w:ascii="仿宋" w:hAnsi="仿宋" w:eastAsia="仿宋" w:cs="仿宋"/>
                <w:color w:val="auto"/>
                <w:sz w:val="21"/>
                <w:szCs w:val="21"/>
                <w:highlight w:val="none"/>
                <w:lang w:val="zh-CN"/>
              </w:rPr>
              <w:t>踏勘</w:t>
            </w:r>
            <w:r>
              <w:rPr>
                <w:rFonts w:hint="eastAsia" w:ascii="仿宋" w:hAnsi="仿宋" w:eastAsia="仿宋" w:cs="仿宋"/>
                <w:color w:val="auto"/>
                <w:sz w:val="21"/>
                <w:szCs w:val="21"/>
                <w:highlight w:val="none"/>
                <w:lang w:val="zh-CN" w:eastAsia="zh-CN"/>
              </w:rPr>
              <w:t>包括勘查、测量、制平面图、咨询等，</w:t>
            </w:r>
            <w:r>
              <w:rPr>
                <w:rFonts w:hint="eastAsia" w:ascii="仿宋" w:hAnsi="仿宋" w:eastAsia="仿宋" w:cs="仿宋"/>
                <w:color w:val="auto"/>
                <w:sz w:val="21"/>
                <w:szCs w:val="21"/>
                <w:highlight w:val="none"/>
                <w:lang w:val="zh-CN"/>
              </w:rPr>
              <w:t>踏勘</w:t>
            </w:r>
            <w:r>
              <w:rPr>
                <w:rFonts w:hint="eastAsia" w:ascii="仿宋" w:hAnsi="仿宋" w:eastAsia="仿宋" w:cs="仿宋"/>
                <w:color w:val="auto"/>
                <w:sz w:val="21"/>
                <w:szCs w:val="21"/>
                <w:highlight w:val="none"/>
                <w:lang w:val="zh-CN" w:eastAsia="zh-CN"/>
              </w:rPr>
              <w:t>结果与招标清单相互补充、支撑共同形成工程完整方案。满足使用功能要求和标准，风险共担，不作调整和签证。</w:t>
            </w:r>
          </w:p>
        </w:tc>
      </w:tr>
      <w:tr w14:paraId="6C753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jc w:val="center"/>
        </w:trPr>
        <w:tc>
          <w:tcPr>
            <w:tcW w:w="2271" w:type="dxa"/>
            <w:vAlign w:val="center"/>
          </w:tcPr>
          <w:p w14:paraId="5D247907">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eastAsia" w:ascii="仿宋" w:hAnsi="仿宋" w:eastAsia="仿宋" w:cs="仿宋"/>
                <w:snapToGrid w:val="0"/>
                <w:color w:val="auto"/>
                <w:kern w:val="0"/>
                <w:sz w:val="21"/>
                <w:szCs w:val="21"/>
                <w:highlight w:val="none"/>
                <w:lang w:val="en-US" w:eastAsia="en-US" w:bidi="ar-SA"/>
              </w:rPr>
            </w:pPr>
            <w:r>
              <w:rPr>
                <w:rFonts w:hint="eastAsia" w:ascii="仿宋" w:hAnsi="仿宋" w:eastAsia="仿宋" w:cs="仿宋"/>
                <w:color w:val="auto"/>
                <w:sz w:val="21"/>
                <w:szCs w:val="21"/>
                <w:highlight w:val="none"/>
              </w:rPr>
              <w:t>开标前答疑会</w:t>
            </w:r>
          </w:p>
        </w:tc>
        <w:tc>
          <w:tcPr>
            <w:tcW w:w="8087" w:type="dxa"/>
            <w:vAlign w:val="center"/>
          </w:tcPr>
          <w:p w14:paraId="052726E1">
            <w:pPr>
              <w:keepNext w:val="0"/>
              <w:keepLines w:val="0"/>
              <w:pageBreakBefore w:val="0"/>
              <w:widowControl w:val="0"/>
              <w:kinsoku/>
              <w:wordWrap w:val="0"/>
              <w:overflowPunct/>
              <w:topLinePunct/>
              <w:autoSpaceDE/>
              <w:autoSpaceDN/>
              <w:bidi w:val="0"/>
              <w:adjustRightInd/>
              <w:snapToGrid/>
              <w:spacing w:line="360" w:lineRule="auto"/>
              <w:ind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不召开</w:t>
            </w:r>
          </w:p>
          <w:p w14:paraId="41C36B69">
            <w:pPr>
              <w:keepNext w:val="0"/>
              <w:keepLines w:val="0"/>
              <w:pageBreakBefore w:val="0"/>
              <w:widowControl w:val="0"/>
              <w:kinsoku/>
              <w:wordWrap w:val="0"/>
              <w:overflowPunct/>
              <w:topLinePunct/>
              <w:autoSpaceDE/>
              <w:autoSpaceDN/>
              <w:bidi w:val="0"/>
              <w:adjustRightInd/>
              <w:snapToGrid/>
              <w:spacing w:line="360" w:lineRule="auto"/>
              <w:ind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召开，召开时间：</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日</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bCs/>
                <w:color w:val="auto"/>
                <w:sz w:val="21"/>
                <w:szCs w:val="21"/>
                <w:highlight w:val="none"/>
              </w:rPr>
              <w:t>点</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bCs/>
                <w:color w:val="auto"/>
                <w:sz w:val="21"/>
                <w:szCs w:val="21"/>
                <w:highlight w:val="none"/>
              </w:rPr>
              <w:t>分</w:t>
            </w:r>
          </w:p>
          <w:p w14:paraId="7F3D825D">
            <w:pPr>
              <w:keepNext w:val="0"/>
              <w:keepLines w:val="0"/>
              <w:pageBreakBefore w:val="0"/>
              <w:widowControl w:val="0"/>
              <w:kinsoku/>
              <w:wordWrap w:val="0"/>
              <w:overflowPunct/>
              <w:topLinePunct/>
              <w:autoSpaceDE/>
              <w:autoSpaceDN/>
              <w:bidi w:val="0"/>
              <w:adjustRightInd/>
              <w:snapToGrid/>
              <w:spacing w:line="360" w:lineRule="auto"/>
              <w:ind w:right="0" w:rightChars="0" w:firstLine="420" w:firstLineChars="200"/>
              <w:jc w:val="left"/>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rPr>
              <w:t>召开地点：</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w:t>
            </w:r>
          </w:p>
        </w:tc>
      </w:tr>
      <w:tr w14:paraId="4B8DE7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3" w:hRule="atLeast"/>
          <w:jc w:val="center"/>
        </w:trPr>
        <w:tc>
          <w:tcPr>
            <w:tcW w:w="2271" w:type="dxa"/>
            <w:vAlign w:val="center"/>
          </w:tcPr>
          <w:p w14:paraId="74D56FDE">
            <w:pPr>
              <w:pStyle w:val="35"/>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snapToGrid w:val="0"/>
                <w:color w:val="auto"/>
                <w:kern w:val="2"/>
                <w:sz w:val="21"/>
                <w:szCs w:val="21"/>
                <w:highlight w:val="none"/>
                <w:lang w:val="en-US" w:eastAsia="zh-CN" w:bidi="ar-SA"/>
              </w:rPr>
            </w:pPr>
            <w:r>
              <w:rPr>
                <w:rFonts w:hint="eastAsia" w:ascii="仿宋" w:hAnsi="仿宋" w:eastAsia="仿宋" w:cs="仿宋"/>
                <w:color w:val="auto"/>
                <w:sz w:val="21"/>
                <w:szCs w:val="21"/>
                <w:highlight w:val="none"/>
              </w:rPr>
              <w:t>是否政府购买服务项目</w:t>
            </w:r>
          </w:p>
        </w:tc>
        <w:tc>
          <w:tcPr>
            <w:tcW w:w="8087" w:type="dxa"/>
            <w:vAlign w:val="center"/>
          </w:tcPr>
          <w:p w14:paraId="6E6B1499">
            <w:pPr>
              <w:pStyle w:val="35"/>
              <w:keepNext w:val="0"/>
              <w:keepLines w:val="0"/>
              <w:pageBreakBefore w:val="0"/>
              <w:widowControl w:val="0"/>
              <w:kinsoku/>
              <w:wordWrap w:val="0"/>
              <w:overflowPunct/>
              <w:topLinePunct/>
              <w:autoSpaceDE/>
              <w:autoSpaceDN/>
              <w:bidi w:val="0"/>
              <w:adjustRightInd/>
              <w:snapToGrid/>
              <w:spacing w:line="360" w:lineRule="auto"/>
              <w:ind w:right="0" w:firstLine="420" w:firstLineChars="200"/>
              <w:jc w:val="left"/>
              <w:textAlignment w:val="auto"/>
              <w:rPr>
                <w:rFonts w:hint="eastAsia" w:ascii="仿宋" w:hAnsi="仿宋" w:eastAsia="仿宋" w:cs="仿宋"/>
                <w:snapToGrid w:val="0"/>
                <w:color w:val="auto"/>
                <w:kern w:val="2"/>
                <w:sz w:val="21"/>
                <w:szCs w:val="21"/>
                <w:highlight w:val="none"/>
                <w:lang w:val="en-US" w:eastAsia="zh-CN" w:bidi="ar-SA"/>
              </w:rPr>
            </w:pPr>
            <w:r>
              <w:rPr>
                <w:rFonts w:hint="eastAsia" w:ascii="仿宋" w:hAnsi="仿宋" w:eastAsia="仿宋" w:cs="仿宋"/>
                <w:color w:val="auto"/>
                <w:sz w:val="21"/>
                <w:szCs w:val="21"/>
                <w:highlight w:val="none"/>
              </w:rPr>
              <w:t xml:space="preserve">□是      </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否</w:t>
            </w:r>
          </w:p>
        </w:tc>
      </w:tr>
      <w:tr w14:paraId="0BD37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5" w:hRule="atLeast"/>
          <w:jc w:val="center"/>
        </w:trPr>
        <w:tc>
          <w:tcPr>
            <w:tcW w:w="2271" w:type="dxa"/>
            <w:vAlign w:val="center"/>
          </w:tcPr>
          <w:p w14:paraId="6383F061">
            <w:pPr>
              <w:pStyle w:val="35"/>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是否</w:t>
            </w:r>
            <w:r>
              <w:rPr>
                <w:rFonts w:hint="eastAsia" w:ascii="仿宋" w:hAnsi="仿宋" w:eastAsia="仿宋" w:cs="仿宋"/>
                <w:color w:val="auto"/>
                <w:sz w:val="21"/>
                <w:szCs w:val="21"/>
                <w:highlight w:val="none"/>
                <w:lang w:val="en-US" w:eastAsia="zh-CN"/>
              </w:rPr>
              <w:t>属于专门面向中小企业采购项目</w:t>
            </w:r>
          </w:p>
        </w:tc>
        <w:tc>
          <w:tcPr>
            <w:tcW w:w="8087" w:type="dxa"/>
            <w:vAlign w:val="center"/>
          </w:tcPr>
          <w:p w14:paraId="4225388F">
            <w:pPr>
              <w:pStyle w:val="35"/>
              <w:keepNext w:val="0"/>
              <w:keepLines w:val="0"/>
              <w:pageBreakBefore w:val="0"/>
              <w:widowControl w:val="0"/>
              <w:kinsoku/>
              <w:wordWrap w:val="0"/>
              <w:overflowPunct/>
              <w:topLinePunct/>
              <w:autoSpaceDE/>
              <w:autoSpaceDN/>
              <w:bidi w:val="0"/>
              <w:adjustRightInd/>
              <w:snapToGrid/>
              <w:spacing w:line="360" w:lineRule="auto"/>
              <w:ind w:right="0" w:firstLine="420" w:firstLineChars="200"/>
              <w:jc w:val="left"/>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lang w:val="en-US" w:eastAsia="zh-CN"/>
              </w:rPr>
              <w:t xml:space="preserve">属于    </w:t>
            </w:r>
          </w:p>
          <w:p w14:paraId="5E7E6192">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422" w:firstLineChars="200"/>
              <w:contextualSpacing/>
              <w:jc w:val="left"/>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eastAsia="zh-CN"/>
              </w:rPr>
              <w:t>价格扣除优惠比例：</w:t>
            </w:r>
          </w:p>
          <w:p w14:paraId="72B78CAC">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420" w:firstLineChars="200"/>
              <w:contextualSpacing/>
              <w:jc w:val="left"/>
              <w:textAlignment w:val="auto"/>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lang w:val="en-US" w:eastAsia="zh-CN"/>
              </w:rPr>
              <w:t>①中</w:t>
            </w:r>
            <w:r>
              <w:rPr>
                <w:rFonts w:hint="eastAsia" w:ascii="仿宋" w:hAnsi="仿宋" w:eastAsia="仿宋" w:cs="仿宋"/>
                <w:b w:val="0"/>
                <w:bCs w:val="0"/>
                <w:color w:val="auto"/>
                <w:sz w:val="21"/>
                <w:szCs w:val="21"/>
                <w:highlight w:val="none"/>
                <w:lang w:eastAsia="zh-CN"/>
              </w:rPr>
              <w:t>小企业价格扣除优惠比例：</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u w:val="single"/>
                <w:lang w:val="en-US" w:eastAsia="zh-CN"/>
              </w:rPr>
              <w:t>0</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lang w:eastAsia="zh-CN"/>
              </w:rPr>
              <w:t>%；</w:t>
            </w:r>
          </w:p>
          <w:p w14:paraId="7E1F952D">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420" w:firstLineChars="200"/>
              <w:contextualSpacing/>
              <w:jc w:val="left"/>
              <w:textAlignment w:val="auto"/>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lang w:val="en-US" w:eastAsia="zh-CN"/>
              </w:rPr>
              <w:t>②</w:t>
            </w:r>
            <w:r>
              <w:rPr>
                <w:rFonts w:hint="eastAsia" w:ascii="仿宋" w:hAnsi="仿宋" w:eastAsia="仿宋" w:cs="仿宋"/>
                <w:b w:val="0"/>
                <w:bCs w:val="0"/>
                <w:color w:val="auto"/>
                <w:sz w:val="21"/>
                <w:szCs w:val="21"/>
                <w:highlight w:val="none"/>
                <w:lang w:eastAsia="zh-CN"/>
              </w:rPr>
              <w:t>大中企业与</w:t>
            </w:r>
            <w:r>
              <w:rPr>
                <w:rFonts w:hint="eastAsia" w:ascii="仿宋" w:hAnsi="仿宋" w:eastAsia="仿宋" w:cs="仿宋"/>
                <w:b w:val="0"/>
                <w:bCs w:val="0"/>
                <w:color w:val="auto"/>
                <w:sz w:val="21"/>
                <w:szCs w:val="21"/>
                <w:highlight w:val="none"/>
                <w:lang w:val="en-US" w:eastAsia="zh-CN"/>
              </w:rPr>
              <w:t>中</w:t>
            </w:r>
            <w:r>
              <w:rPr>
                <w:rFonts w:hint="eastAsia" w:ascii="仿宋" w:hAnsi="仿宋" w:eastAsia="仿宋" w:cs="仿宋"/>
                <w:b w:val="0"/>
                <w:bCs w:val="0"/>
                <w:color w:val="auto"/>
                <w:sz w:val="21"/>
                <w:szCs w:val="21"/>
                <w:highlight w:val="none"/>
                <w:lang w:eastAsia="zh-CN"/>
              </w:rPr>
              <w:t>小企业组成联合体评审优惠比例：</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u w:val="single"/>
                <w:lang w:val="en-US" w:eastAsia="zh-CN"/>
              </w:rPr>
              <w:t>0</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lang w:eastAsia="zh-CN"/>
              </w:rPr>
              <w:t>%；</w:t>
            </w:r>
          </w:p>
          <w:p w14:paraId="2D168738">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420" w:firstLineChars="200"/>
              <w:contextualSpacing/>
              <w:jc w:val="left"/>
              <w:textAlignment w:val="auto"/>
              <w:rPr>
                <w:rFonts w:hint="eastAsia" w:ascii="仿宋" w:hAnsi="仿宋" w:eastAsia="仿宋" w:cs="仿宋"/>
                <w:bCs/>
                <w:color w:val="auto"/>
                <w:sz w:val="21"/>
                <w:szCs w:val="21"/>
                <w:highlight w:val="none"/>
                <w:lang w:eastAsia="zh-CN"/>
              </w:rPr>
            </w:pPr>
            <w:r>
              <w:rPr>
                <w:rFonts w:hint="eastAsia" w:ascii="仿宋" w:hAnsi="仿宋" w:eastAsia="仿宋" w:cs="仿宋"/>
                <w:b w:val="0"/>
                <w:bCs w:val="0"/>
                <w:color w:val="auto"/>
                <w:sz w:val="21"/>
                <w:szCs w:val="21"/>
                <w:highlight w:val="none"/>
                <w:lang w:val="en-US" w:eastAsia="zh-CN"/>
              </w:rPr>
              <w:t>③</w:t>
            </w:r>
            <w:r>
              <w:rPr>
                <w:rFonts w:hint="eastAsia" w:ascii="仿宋" w:hAnsi="仿宋" w:eastAsia="仿宋" w:cs="仿宋"/>
                <w:b w:val="0"/>
                <w:bCs w:val="0"/>
                <w:color w:val="auto"/>
                <w:sz w:val="21"/>
                <w:szCs w:val="21"/>
                <w:highlight w:val="none"/>
                <w:lang w:eastAsia="zh-CN"/>
              </w:rPr>
              <w:t>大中企业向</w:t>
            </w:r>
            <w:r>
              <w:rPr>
                <w:rFonts w:hint="eastAsia" w:ascii="仿宋" w:hAnsi="仿宋" w:eastAsia="仿宋" w:cs="仿宋"/>
                <w:b w:val="0"/>
                <w:bCs w:val="0"/>
                <w:color w:val="auto"/>
                <w:sz w:val="21"/>
                <w:szCs w:val="21"/>
                <w:highlight w:val="none"/>
                <w:lang w:val="en-US" w:eastAsia="zh-CN"/>
              </w:rPr>
              <w:t>中</w:t>
            </w:r>
            <w:r>
              <w:rPr>
                <w:rFonts w:hint="eastAsia" w:ascii="仿宋" w:hAnsi="仿宋" w:eastAsia="仿宋" w:cs="仿宋"/>
                <w:b w:val="0"/>
                <w:bCs w:val="0"/>
                <w:color w:val="auto"/>
                <w:sz w:val="21"/>
                <w:szCs w:val="21"/>
                <w:highlight w:val="none"/>
                <w:lang w:eastAsia="zh-CN"/>
              </w:rPr>
              <w:t>小企业合同分包评审优惠比例：</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u w:val="single"/>
                <w:lang w:val="en-US" w:eastAsia="zh-CN"/>
              </w:rPr>
              <w:t>0</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snapToGrid w:val="0"/>
                <w:color w:val="auto"/>
                <w:kern w:val="0"/>
                <w:sz w:val="21"/>
                <w:szCs w:val="21"/>
                <w:highlight w:val="none"/>
                <w:lang w:val="en-US" w:eastAsia="zh-CN"/>
              </w:rPr>
              <w:t>。</w:t>
            </w:r>
          </w:p>
          <w:p w14:paraId="533770F6">
            <w:pPr>
              <w:pStyle w:val="683"/>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420" w:firstLineChars="200"/>
              <w:contextualSpacing/>
              <w:jc w:val="left"/>
              <w:textAlignment w:val="auto"/>
              <w:rPr>
                <w:rFonts w:hint="eastAsia" w:ascii="仿宋" w:hAnsi="仿宋" w:eastAsia="仿宋" w:cs="仿宋"/>
                <w:bCs/>
                <w:color w:val="auto"/>
                <w:sz w:val="21"/>
                <w:szCs w:val="21"/>
                <w:highlight w:val="none"/>
                <w:lang w:eastAsia="zh-CN"/>
              </w:rPr>
            </w:pPr>
          </w:p>
          <w:p w14:paraId="5D5EDE86">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420" w:firstLineChars="200"/>
              <w:contextualSpacing/>
              <w:jc w:val="left"/>
              <w:textAlignment w:val="auto"/>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sz w:val="21"/>
                <w:szCs w:val="21"/>
                <w:highlight w:val="none"/>
              </w:rPr>
              <w:t>不</w:t>
            </w:r>
            <w:r>
              <w:rPr>
                <w:rFonts w:hint="eastAsia" w:ascii="仿宋" w:hAnsi="仿宋" w:eastAsia="仿宋" w:cs="仿宋"/>
                <w:bCs/>
                <w:color w:val="auto"/>
                <w:sz w:val="21"/>
                <w:szCs w:val="21"/>
                <w:highlight w:val="none"/>
                <w:lang w:val="en-US" w:eastAsia="zh-CN"/>
              </w:rPr>
              <w:t>属于</w:t>
            </w:r>
          </w:p>
          <w:p w14:paraId="0A8C3FF0">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422" w:firstLineChars="200"/>
              <w:contextualSpacing/>
              <w:jc w:val="left"/>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eastAsia="zh-CN"/>
              </w:rPr>
              <w:t>价格扣除优惠比例：</w:t>
            </w:r>
          </w:p>
          <w:p w14:paraId="2334C368">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420" w:firstLineChars="200"/>
              <w:contextualSpacing/>
              <w:jc w:val="left"/>
              <w:textAlignment w:val="auto"/>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lang w:val="en-US" w:eastAsia="zh-CN"/>
              </w:rPr>
              <w:t>①</w:t>
            </w:r>
            <w:r>
              <w:rPr>
                <w:rFonts w:hint="eastAsia" w:ascii="仿宋" w:hAnsi="仿宋" w:eastAsia="仿宋" w:cs="仿宋"/>
                <w:b w:val="0"/>
                <w:bCs w:val="0"/>
                <w:color w:val="auto"/>
                <w:sz w:val="21"/>
                <w:szCs w:val="21"/>
                <w:highlight w:val="none"/>
                <w:lang w:eastAsia="zh-CN"/>
              </w:rPr>
              <w:t>小微企业价格扣除优惠比例：</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u w:val="single"/>
                <w:lang w:eastAsia="zh-CN"/>
              </w:rPr>
              <w:t>10</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lang w:eastAsia="zh-CN"/>
              </w:rPr>
              <w:t>%；</w:t>
            </w:r>
          </w:p>
          <w:p w14:paraId="2814A98D">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420" w:firstLineChars="200"/>
              <w:contextualSpacing/>
              <w:jc w:val="left"/>
              <w:textAlignment w:val="auto"/>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lang w:val="en-US" w:eastAsia="zh-CN"/>
              </w:rPr>
              <w:t>②</w:t>
            </w:r>
            <w:r>
              <w:rPr>
                <w:rFonts w:hint="eastAsia" w:ascii="仿宋" w:hAnsi="仿宋" w:eastAsia="仿宋" w:cs="仿宋"/>
                <w:b w:val="0"/>
                <w:bCs w:val="0"/>
                <w:color w:val="auto"/>
                <w:sz w:val="21"/>
                <w:szCs w:val="21"/>
                <w:highlight w:val="none"/>
                <w:lang w:eastAsia="zh-CN"/>
              </w:rPr>
              <w:t>大中企业与</w:t>
            </w:r>
            <w:r>
              <w:rPr>
                <w:rFonts w:hint="eastAsia" w:ascii="仿宋" w:hAnsi="仿宋" w:eastAsia="仿宋" w:cs="仿宋"/>
                <w:b w:val="0"/>
                <w:bCs w:val="0"/>
                <w:color w:val="auto"/>
                <w:sz w:val="21"/>
                <w:szCs w:val="21"/>
                <w:highlight w:val="none"/>
                <w:lang w:val="en-US" w:eastAsia="zh-CN"/>
              </w:rPr>
              <w:t>中</w:t>
            </w:r>
            <w:r>
              <w:rPr>
                <w:rFonts w:hint="eastAsia" w:ascii="仿宋" w:hAnsi="仿宋" w:eastAsia="仿宋" w:cs="仿宋"/>
                <w:b w:val="0"/>
                <w:bCs w:val="0"/>
                <w:color w:val="auto"/>
                <w:sz w:val="21"/>
                <w:szCs w:val="21"/>
                <w:highlight w:val="none"/>
                <w:lang w:eastAsia="zh-CN"/>
              </w:rPr>
              <w:t>小企业组成联合体评审优惠比例：</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u w:val="single"/>
                <w:lang w:eastAsia="zh-CN"/>
              </w:rPr>
              <w:t>4</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lang w:eastAsia="zh-CN"/>
              </w:rPr>
              <w:t>%；</w:t>
            </w:r>
          </w:p>
          <w:p w14:paraId="7C1411DF">
            <w:pPr>
              <w:pStyle w:val="35"/>
              <w:keepNext w:val="0"/>
              <w:keepLines w:val="0"/>
              <w:pageBreakBefore w:val="0"/>
              <w:widowControl w:val="0"/>
              <w:kinsoku/>
              <w:wordWrap w:val="0"/>
              <w:overflowPunct/>
              <w:topLinePunct/>
              <w:autoSpaceDE/>
              <w:autoSpaceDN/>
              <w:bidi w:val="0"/>
              <w:adjustRightInd/>
              <w:snapToGrid/>
              <w:spacing w:line="360" w:lineRule="auto"/>
              <w:ind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b w:val="0"/>
                <w:bCs w:val="0"/>
                <w:color w:val="auto"/>
                <w:sz w:val="21"/>
                <w:szCs w:val="21"/>
                <w:highlight w:val="none"/>
                <w:lang w:val="en-US" w:eastAsia="zh-CN"/>
              </w:rPr>
              <w:t>③</w:t>
            </w:r>
            <w:r>
              <w:rPr>
                <w:rFonts w:hint="eastAsia" w:ascii="仿宋" w:hAnsi="仿宋" w:eastAsia="仿宋" w:cs="仿宋"/>
                <w:b w:val="0"/>
                <w:bCs w:val="0"/>
                <w:color w:val="auto"/>
                <w:sz w:val="21"/>
                <w:szCs w:val="21"/>
                <w:highlight w:val="none"/>
                <w:lang w:eastAsia="zh-CN"/>
              </w:rPr>
              <w:t>大中企业向</w:t>
            </w:r>
            <w:r>
              <w:rPr>
                <w:rFonts w:hint="eastAsia" w:ascii="仿宋" w:hAnsi="仿宋" w:eastAsia="仿宋" w:cs="仿宋"/>
                <w:b w:val="0"/>
                <w:bCs w:val="0"/>
                <w:color w:val="auto"/>
                <w:sz w:val="21"/>
                <w:szCs w:val="21"/>
                <w:highlight w:val="none"/>
                <w:lang w:val="en-US" w:eastAsia="zh-CN"/>
              </w:rPr>
              <w:t>中</w:t>
            </w:r>
            <w:r>
              <w:rPr>
                <w:rFonts w:hint="eastAsia" w:ascii="仿宋" w:hAnsi="仿宋" w:eastAsia="仿宋" w:cs="仿宋"/>
                <w:b w:val="0"/>
                <w:bCs w:val="0"/>
                <w:color w:val="auto"/>
                <w:sz w:val="21"/>
                <w:szCs w:val="21"/>
                <w:highlight w:val="none"/>
                <w:lang w:eastAsia="zh-CN"/>
              </w:rPr>
              <w:t>小企业合同分包评审优惠比例：</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u w:val="single"/>
                <w:lang w:eastAsia="zh-CN"/>
              </w:rPr>
              <w:t>4</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snapToGrid w:val="0"/>
                <w:color w:val="auto"/>
                <w:kern w:val="0"/>
                <w:sz w:val="21"/>
                <w:szCs w:val="21"/>
                <w:highlight w:val="none"/>
                <w:lang w:val="en-US" w:eastAsia="zh-CN"/>
              </w:rPr>
              <w:t>。</w:t>
            </w:r>
          </w:p>
        </w:tc>
      </w:tr>
      <w:tr w14:paraId="605A8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53" w:hRule="atLeast"/>
          <w:jc w:val="center"/>
        </w:trPr>
        <w:tc>
          <w:tcPr>
            <w:tcW w:w="2271" w:type="dxa"/>
            <w:vAlign w:val="center"/>
          </w:tcPr>
          <w:p w14:paraId="727F90F0">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snapToGrid w:val="0"/>
                <w:color w:val="auto"/>
                <w:kern w:val="0"/>
                <w:sz w:val="21"/>
                <w:szCs w:val="21"/>
                <w:highlight w:val="none"/>
                <w:lang w:val="zh-CN" w:eastAsia="zh-CN" w:bidi="ar-SA"/>
              </w:rPr>
            </w:pPr>
            <w:r>
              <w:rPr>
                <w:rFonts w:hint="eastAsia" w:ascii="仿宋" w:hAnsi="仿宋" w:eastAsia="仿宋" w:cs="仿宋"/>
                <w:snapToGrid w:val="0"/>
                <w:color w:val="auto"/>
                <w:kern w:val="0"/>
                <w:sz w:val="21"/>
                <w:szCs w:val="21"/>
                <w:highlight w:val="none"/>
              </w:rPr>
              <w:t>落实政府采购政策</w:t>
            </w:r>
          </w:p>
        </w:tc>
        <w:tc>
          <w:tcPr>
            <w:tcW w:w="8087" w:type="dxa"/>
            <w:vAlign w:val="center"/>
          </w:tcPr>
          <w:p w14:paraId="4C43AB10">
            <w:pPr>
              <w:pStyle w:val="683"/>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211" w:firstLineChars="100"/>
              <w:contextualSpacing/>
              <w:jc w:val="left"/>
              <w:textAlignment w:val="auto"/>
              <w:rPr>
                <w:rFonts w:hint="eastAsia" w:ascii="仿宋" w:hAnsi="仿宋" w:eastAsia="仿宋" w:cs="仿宋"/>
                <w:b/>
                <w:bCs/>
                <w:snapToGrid w:val="0"/>
                <w:color w:val="auto"/>
                <w:kern w:val="0"/>
                <w:sz w:val="21"/>
                <w:szCs w:val="21"/>
                <w:highlight w:val="none"/>
                <w:lang w:val="en-US" w:eastAsia="zh-CN"/>
              </w:rPr>
            </w:pPr>
            <w:r>
              <w:rPr>
                <w:rFonts w:hint="eastAsia" w:ascii="仿宋" w:hAnsi="仿宋" w:eastAsia="仿宋" w:cs="仿宋"/>
                <w:b/>
                <w:bCs w:val="0"/>
                <w:color w:val="auto"/>
                <w:sz w:val="21"/>
                <w:szCs w:val="21"/>
                <w:highlight w:val="none"/>
                <w:lang w:val="en-US" w:eastAsia="zh-CN"/>
              </w:rPr>
              <w:t>一、</w:t>
            </w:r>
            <w:r>
              <w:rPr>
                <w:rFonts w:hint="eastAsia" w:ascii="仿宋" w:hAnsi="仿宋" w:eastAsia="仿宋" w:cs="仿宋"/>
                <w:b/>
                <w:bCs/>
                <w:snapToGrid w:val="0"/>
                <w:color w:val="auto"/>
                <w:kern w:val="0"/>
                <w:sz w:val="21"/>
                <w:szCs w:val="21"/>
                <w:highlight w:val="none"/>
                <w:lang w:val="en-US" w:eastAsia="zh-CN"/>
              </w:rPr>
              <w:t>中小企业价格扣除评分优惠政策</w:t>
            </w:r>
          </w:p>
          <w:p w14:paraId="7CB8E02B">
            <w:pPr>
              <w:pStyle w:val="683"/>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420" w:firstLineChars="200"/>
              <w:contextualSpacing/>
              <w:jc w:val="left"/>
              <w:textAlignment w:val="auto"/>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是否适用于本项目：</w:t>
            </w: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sz w:val="21"/>
                <w:szCs w:val="21"/>
                <w:highlight w:val="none"/>
              </w:rPr>
              <w:t>适用</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不适用</w:t>
            </w:r>
            <w:r>
              <w:rPr>
                <w:rFonts w:hint="eastAsia" w:ascii="仿宋" w:hAnsi="仿宋" w:eastAsia="仿宋" w:cs="仿宋"/>
                <w:snapToGrid w:val="0"/>
                <w:color w:val="auto"/>
                <w:kern w:val="0"/>
                <w:sz w:val="21"/>
                <w:szCs w:val="21"/>
                <w:highlight w:val="none"/>
                <w:lang w:val="en-US" w:eastAsia="zh-CN"/>
              </w:rPr>
              <w:t>。</w:t>
            </w:r>
          </w:p>
          <w:p w14:paraId="6D7270BE">
            <w:pPr>
              <w:pStyle w:val="683"/>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420" w:firstLineChars="200"/>
              <w:contextualSpacing/>
              <w:jc w:val="left"/>
              <w:textAlignment w:val="auto"/>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按照工信部联企业〔2011〕300 号文《关于印发中小企业划型标准规定的通知》及财政部、工信部《政府采购促进中小企业发展管理办法》（财库〔2020〕46 号）的规定提供《中小企业声明函》，否则评审时不予承认。</w:t>
            </w:r>
          </w:p>
          <w:p w14:paraId="32099640">
            <w:pPr>
              <w:keepNext w:val="0"/>
              <w:keepLines w:val="0"/>
              <w:pageBreakBefore w:val="0"/>
              <w:widowControl w:val="0"/>
              <w:kinsoku/>
              <w:wordWrap w:val="0"/>
              <w:overflowPunct/>
              <w:topLinePunct/>
              <w:autoSpaceDE/>
              <w:autoSpaceDN/>
              <w:bidi w:val="0"/>
              <w:adjustRightInd/>
              <w:snapToGrid/>
              <w:spacing w:line="360" w:lineRule="auto"/>
              <w:ind w:left="0" w:leftChars="0" w:right="0" w:firstLine="211" w:firstLineChars="100"/>
              <w:jc w:val="left"/>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注：</w:t>
            </w:r>
          </w:p>
          <w:p w14:paraId="081F2AE9">
            <w:pPr>
              <w:keepNext w:val="0"/>
              <w:keepLines w:val="0"/>
              <w:pageBreakBefore w:val="0"/>
              <w:widowControl w:val="0"/>
              <w:kinsoku/>
              <w:wordWrap w:val="0"/>
              <w:overflowPunct/>
              <w:topLinePunct/>
              <w:autoSpaceDE/>
              <w:autoSpaceDN/>
              <w:bidi w:val="0"/>
              <w:adjustRightInd/>
              <w:snapToGrid/>
              <w:spacing w:line="360" w:lineRule="auto"/>
              <w:ind w:left="0" w:leftChars="0" w:right="0" w:firstLine="211" w:firstLineChars="100"/>
              <w:jc w:val="left"/>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①.中小企业提供《中小企业声明函》时，标的名称须根据本次采购标的名称逐项填写。</w:t>
            </w:r>
          </w:p>
          <w:p w14:paraId="6167A6AB">
            <w:pPr>
              <w:keepNext w:val="0"/>
              <w:keepLines w:val="0"/>
              <w:pageBreakBefore w:val="0"/>
              <w:widowControl w:val="0"/>
              <w:kinsoku/>
              <w:wordWrap w:val="0"/>
              <w:overflowPunct/>
              <w:topLinePunct/>
              <w:autoSpaceDE/>
              <w:autoSpaceDN/>
              <w:bidi w:val="0"/>
              <w:adjustRightInd/>
              <w:snapToGrid/>
              <w:spacing w:line="360" w:lineRule="auto"/>
              <w:ind w:left="0" w:leftChars="0" w:right="0" w:firstLine="211" w:firstLineChars="100"/>
              <w:jc w:val="left"/>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②.投标人提供声明函内容不实的，属于提供虚假材料谋取中标、成交，依照《中华人民共和国政府采购法》等国家有关规定追究相应责任。</w:t>
            </w:r>
          </w:p>
          <w:p w14:paraId="2A49ACCD">
            <w:pPr>
              <w:keepNext w:val="0"/>
              <w:keepLines w:val="0"/>
              <w:pageBreakBefore w:val="0"/>
              <w:widowControl w:val="0"/>
              <w:kinsoku/>
              <w:wordWrap w:val="0"/>
              <w:overflowPunct/>
              <w:topLinePunct/>
              <w:autoSpaceDE/>
              <w:autoSpaceDN/>
              <w:bidi w:val="0"/>
              <w:adjustRightInd/>
              <w:snapToGrid/>
              <w:spacing w:line="360" w:lineRule="auto"/>
              <w:ind w:left="0" w:leftChars="0" w:right="0" w:firstLine="211" w:firstLineChars="100"/>
              <w:jc w:val="left"/>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③.中标人享受本办法（财库〔2020〕46号）规定的中小企业扶持政策的，采购代理机构随中标结果公开中标人的《中小企业声明函》，接受社会监督。</w:t>
            </w:r>
          </w:p>
          <w:p w14:paraId="3D1ADA89">
            <w:pPr>
              <w:keepNext w:val="0"/>
              <w:keepLines w:val="0"/>
              <w:pageBreakBefore w:val="0"/>
              <w:widowControl w:val="0"/>
              <w:kinsoku/>
              <w:wordWrap w:val="0"/>
              <w:overflowPunct/>
              <w:topLinePunct/>
              <w:autoSpaceDE/>
              <w:autoSpaceDN/>
              <w:bidi w:val="0"/>
              <w:adjustRightInd/>
              <w:snapToGrid/>
              <w:spacing w:line="360" w:lineRule="auto"/>
              <w:ind w:left="0" w:leftChars="0" w:right="0"/>
              <w:textAlignment w:val="auto"/>
              <w:rPr>
                <w:rFonts w:hint="eastAsia" w:ascii="仿宋" w:hAnsi="仿宋" w:eastAsia="仿宋" w:cs="仿宋"/>
                <w:b/>
                <w:bCs/>
                <w:color w:val="auto"/>
                <w:sz w:val="21"/>
                <w:szCs w:val="21"/>
                <w:highlight w:val="none"/>
                <w:lang w:val="en-US" w:eastAsia="zh-CN"/>
              </w:rPr>
            </w:pPr>
          </w:p>
          <w:p w14:paraId="4081664C">
            <w:pPr>
              <w:keepNext w:val="0"/>
              <w:keepLines w:val="0"/>
              <w:pageBreakBefore w:val="0"/>
              <w:widowControl w:val="0"/>
              <w:kinsoku/>
              <w:wordWrap w:val="0"/>
              <w:overflowPunct/>
              <w:topLinePunct/>
              <w:autoSpaceDE/>
              <w:autoSpaceDN/>
              <w:bidi w:val="0"/>
              <w:adjustRightInd/>
              <w:snapToGrid/>
              <w:spacing w:line="360" w:lineRule="auto"/>
              <w:ind w:left="0" w:leftChars="0" w:right="0" w:firstLine="211" w:firstLineChars="100"/>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二</w:t>
            </w:r>
            <w:r>
              <w:rPr>
                <w:rFonts w:hint="eastAsia" w:ascii="仿宋" w:hAnsi="仿宋" w:eastAsia="仿宋" w:cs="仿宋"/>
                <w:b/>
                <w:bCs/>
                <w:color w:val="auto"/>
                <w:sz w:val="21"/>
                <w:szCs w:val="21"/>
                <w:highlight w:val="none"/>
              </w:rPr>
              <w:t>、监狱企业价格扣除评分优惠政策</w:t>
            </w:r>
          </w:p>
          <w:p w14:paraId="39147EF8">
            <w:pPr>
              <w:keepNext w:val="0"/>
              <w:keepLines w:val="0"/>
              <w:pageBreakBefore w:val="0"/>
              <w:widowControl w:val="0"/>
              <w:kinsoku/>
              <w:wordWrap w:val="0"/>
              <w:overflowPunct/>
              <w:topLinePunct/>
              <w:autoSpaceDE/>
              <w:autoSpaceDN/>
              <w:bidi w:val="0"/>
              <w:adjustRightInd/>
              <w:snapToGrid/>
              <w:spacing w:line="360" w:lineRule="auto"/>
              <w:ind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是否适用于本项目：</w:t>
            </w: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sz w:val="21"/>
                <w:szCs w:val="21"/>
                <w:highlight w:val="none"/>
              </w:rPr>
              <w:t>适用</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不适用</w:t>
            </w:r>
            <w:r>
              <w:rPr>
                <w:rFonts w:hint="eastAsia" w:ascii="仿宋" w:hAnsi="仿宋" w:eastAsia="仿宋" w:cs="仿宋"/>
                <w:color w:val="auto"/>
                <w:sz w:val="21"/>
                <w:szCs w:val="21"/>
                <w:highlight w:val="none"/>
                <w:lang w:eastAsia="zh-CN"/>
              </w:rPr>
              <w:t>。</w:t>
            </w:r>
          </w:p>
          <w:p w14:paraId="5D588997">
            <w:pPr>
              <w:pStyle w:val="683"/>
              <w:keepNext w:val="0"/>
              <w:keepLines w:val="0"/>
              <w:pageBreakBefore w:val="0"/>
              <w:widowControl w:val="0"/>
              <w:numPr>
                <w:ilvl w:val="0"/>
                <w:numId w:val="0"/>
              </w:numPr>
              <w:kinsoku/>
              <w:wordWrap w:val="0"/>
              <w:overflowPunct/>
              <w:topLinePunct/>
              <w:autoSpaceDE/>
              <w:autoSpaceDN/>
              <w:bidi w:val="0"/>
              <w:adjustRightInd/>
              <w:snapToGrid/>
              <w:spacing w:after="0" w:line="360" w:lineRule="auto"/>
              <w:ind w:right="0" w:rightChars="0" w:firstLine="420" w:firstLineChars="200"/>
              <w:contextualSpacing/>
              <w:jc w:val="left"/>
              <w:textAlignment w:val="auto"/>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 xml:space="preserve">若投标人为监狱企业，按照财政部、司法部发布的《关于政府采购支持监狱企业发展有关问题的通知》的规定，在政府采购活动中，监狱企业视同小型、微型企业，享受评审中价格扣除的政府采购政策。监狱企业在投标价格评审中给予10%的价格扣除优惠，须提供省级以上监狱管理局、戒毒管理局（含新疆生产建设兵团）出具的属于监狱企业的证明文件复印件，否则评审时不予承认。  </w:t>
            </w:r>
          </w:p>
          <w:p w14:paraId="45334AE7">
            <w:pPr>
              <w:pStyle w:val="683"/>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422" w:firstLineChars="200"/>
              <w:contextualSpacing/>
              <w:jc w:val="left"/>
              <w:textAlignment w:val="auto"/>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b/>
                <w:bCs/>
                <w:color w:val="auto"/>
                <w:sz w:val="21"/>
                <w:szCs w:val="21"/>
                <w:highlight w:val="none"/>
                <w:lang w:val="en-US" w:eastAsia="zh-CN"/>
              </w:rPr>
              <w:t>注：监狱企业参加政府采购活动时，应当提供由省级以上监狱管理局、戒毒管理局（含新疆生产建设兵团）出具的属于监狱企业的证明文件。</w:t>
            </w:r>
          </w:p>
          <w:p w14:paraId="4441A8A4">
            <w:pPr>
              <w:pStyle w:val="683"/>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420" w:firstLineChars="200"/>
              <w:contextualSpacing/>
              <w:jc w:val="left"/>
              <w:textAlignment w:val="auto"/>
              <w:rPr>
                <w:rFonts w:hint="eastAsia" w:ascii="仿宋" w:hAnsi="仿宋" w:eastAsia="仿宋" w:cs="仿宋"/>
                <w:snapToGrid w:val="0"/>
                <w:color w:val="auto"/>
                <w:kern w:val="0"/>
                <w:sz w:val="21"/>
                <w:szCs w:val="21"/>
                <w:highlight w:val="none"/>
                <w:lang w:val="en-US" w:eastAsia="zh-CN" w:bidi="ar-SA"/>
              </w:rPr>
            </w:pPr>
          </w:p>
          <w:p w14:paraId="6320A3C0">
            <w:pPr>
              <w:keepNext w:val="0"/>
              <w:keepLines w:val="0"/>
              <w:pageBreakBefore w:val="0"/>
              <w:widowControl w:val="0"/>
              <w:kinsoku/>
              <w:wordWrap w:val="0"/>
              <w:overflowPunct/>
              <w:topLinePunct/>
              <w:autoSpaceDE/>
              <w:autoSpaceDN/>
              <w:bidi w:val="0"/>
              <w:adjustRightInd/>
              <w:snapToGrid/>
              <w:spacing w:line="360" w:lineRule="auto"/>
              <w:ind w:left="0" w:leftChars="0" w:right="0" w:firstLine="211" w:firstLineChars="100"/>
              <w:jc w:val="left"/>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三</w:t>
            </w:r>
            <w:r>
              <w:rPr>
                <w:rFonts w:hint="eastAsia" w:ascii="仿宋" w:hAnsi="仿宋" w:eastAsia="仿宋" w:cs="仿宋"/>
                <w:b/>
                <w:bCs/>
                <w:color w:val="auto"/>
                <w:sz w:val="21"/>
                <w:szCs w:val="21"/>
                <w:highlight w:val="none"/>
              </w:rPr>
              <w:t>、残疾人福利性单位价格扣除优惠政策</w:t>
            </w:r>
          </w:p>
          <w:p w14:paraId="1FF153A0">
            <w:pPr>
              <w:keepNext w:val="0"/>
              <w:keepLines w:val="0"/>
              <w:pageBreakBefore w:val="0"/>
              <w:widowControl w:val="0"/>
              <w:kinsoku/>
              <w:wordWrap w:val="0"/>
              <w:overflowPunct/>
              <w:topLinePunct/>
              <w:autoSpaceDE/>
              <w:autoSpaceDN/>
              <w:bidi w:val="0"/>
              <w:adjustRightInd/>
              <w:snapToGrid/>
              <w:spacing w:line="360" w:lineRule="auto"/>
              <w:ind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是否适用于本项目：</w:t>
            </w: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sz w:val="21"/>
                <w:szCs w:val="21"/>
                <w:highlight w:val="none"/>
              </w:rPr>
              <w:t>适用</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不适用</w:t>
            </w:r>
            <w:r>
              <w:rPr>
                <w:rFonts w:hint="eastAsia" w:ascii="仿宋" w:hAnsi="仿宋" w:eastAsia="仿宋" w:cs="仿宋"/>
                <w:color w:val="auto"/>
                <w:sz w:val="21"/>
                <w:szCs w:val="21"/>
                <w:highlight w:val="none"/>
                <w:lang w:eastAsia="zh-CN"/>
              </w:rPr>
              <w:t>。</w:t>
            </w:r>
          </w:p>
          <w:p w14:paraId="2CB0C74B">
            <w:pPr>
              <w:keepNext w:val="0"/>
              <w:keepLines w:val="0"/>
              <w:pageBreakBefore w:val="0"/>
              <w:widowControl w:val="0"/>
              <w:kinsoku/>
              <w:wordWrap w:val="0"/>
              <w:overflowPunct/>
              <w:topLinePunct/>
              <w:autoSpaceDE/>
              <w:autoSpaceDN/>
              <w:bidi w:val="0"/>
              <w:adjustRightInd/>
              <w:snapToGrid/>
              <w:spacing w:line="360" w:lineRule="auto"/>
              <w:ind w:right="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投标人如属残疾人福利性单位，产品价格需扣除的，须按照关于促进残疾人就业政府采购政策的通知（财库〔2017〕141 号）的规定提供《残疾人福利性单位声明函》复印件，否则评审时不予承认。在政府采购活动中，残疾人福利性单位视同小型、微型企业，享受评审中价格扣除等促进中小企业发展的政府采购政策。</w:t>
            </w:r>
          </w:p>
          <w:p w14:paraId="70A5A009">
            <w:pPr>
              <w:pStyle w:val="683"/>
              <w:keepNext w:val="0"/>
              <w:keepLines w:val="0"/>
              <w:pageBreakBefore w:val="0"/>
              <w:widowControl w:val="0"/>
              <w:numPr>
                <w:ilvl w:val="0"/>
                <w:numId w:val="0"/>
              </w:numPr>
              <w:kinsoku/>
              <w:wordWrap w:val="0"/>
              <w:overflowPunct/>
              <w:topLinePunct/>
              <w:autoSpaceDE/>
              <w:autoSpaceDN/>
              <w:bidi w:val="0"/>
              <w:adjustRightInd/>
              <w:snapToGrid/>
              <w:spacing w:after="0" w:line="360" w:lineRule="auto"/>
              <w:ind w:right="0" w:rightChars="0" w:firstLine="422" w:firstLineChars="200"/>
              <w:contextualSpacing/>
              <w:jc w:val="left"/>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b/>
                <w:bCs/>
                <w:snapToGrid w:val="0"/>
                <w:color w:val="auto"/>
                <w:kern w:val="0"/>
                <w:sz w:val="21"/>
                <w:szCs w:val="21"/>
                <w:highlight w:val="none"/>
                <w:lang w:val="en-US" w:eastAsia="zh-CN" w:bidi="ar-SA"/>
              </w:rPr>
              <w:t>注：残疾人福利性单位在参加政府采购活动时，应当提供《残疾人福利性单位声明函》，并对声明的真实性负责。中标、中标人为残疾人福利性单位的，采购人或者其委托的采购代理机构应当随中标、中标结果同时公告其《残疾人福利性单位声明函》，接受社会监督</w:t>
            </w:r>
            <w:r>
              <w:rPr>
                <w:rFonts w:hint="eastAsia" w:ascii="仿宋" w:hAnsi="仿宋" w:eastAsia="仿宋" w:cs="仿宋"/>
                <w:snapToGrid w:val="0"/>
                <w:color w:val="auto"/>
                <w:kern w:val="0"/>
                <w:sz w:val="21"/>
                <w:szCs w:val="21"/>
                <w:highlight w:val="none"/>
                <w:lang w:val="en-US" w:eastAsia="zh-CN" w:bidi="ar-SA"/>
              </w:rPr>
              <w:t>。</w:t>
            </w:r>
          </w:p>
          <w:p w14:paraId="2348C7FD">
            <w:pPr>
              <w:pStyle w:val="683"/>
              <w:keepNext w:val="0"/>
              <w:keepLines w:val="0"/>
              <w:pageBreakBefore w:val="0"/>
              <w:widowControl w:val="0"/>
              <w:numPr>
                <w:ilvl w:val="0"/>
                <w:numId w:val="0"/>
              </w:numPr>
              <w:kinsoku/>
              <w:wordWrap w:val="0"/>
              <w:overflowPunct/>
              <w:topLinePunct/>
              <w:autoSpaceDE/>
              <w:autoSpaceDN/>
              <w:bidi w:val="0"/>
              <w:adjustRightInd/>
              <w:snapToGrid/>
              <w:spacing w:after="0" w:line="360" w:lineRule="auto"/>
              <w:ind w:left="0" w:leftChars="0" w:right="0" w:rightChars="0" w:firstLine="422" w:firstLineChars="200"/>
              <w:contextualSpacing/>
              <w:jc w:val="left"/>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b/>
                <w:bCs/>
                <w:color w:val="auto"/>
                <w:sz w:val="21"/>
                <w:szCs w:val="21"/>
                <w:highlight w:val="none"/>
                <w:u w:val="none"/>
              </w:rPr>
              <w:t>监狱企业</w:t>
            </w:r>
            <w:r>
              <w:rPr>
                <w:rFonts w:hint="eastAsia" w:ascii="仿宋" w:hAnsi="仿宋" w:eastAsia="仿宋" w:cs="仿宋"/>
                <w:b/>
                <w:bCs/>
                <w:color w:val="auto"/>
                <w:sz w:val="21"/>
                <w:szCs w:val="21"/>
                <w:highlight w:val="none"/>
                <w:u w:val="none"/>
                <w:lang w:eastAsia="zh-CN"/>
              </w:rPr>
              <w:t>、</w:t>
            </w:r>
            <w:r>
              <w:rPr>
                <w:rFonts w:hint="eastAsia" w:ascii="仿宋" w:hAnsi="仿宋" w:eastAsia="仿宋" w:cs="仿宋"/>
                <w:b/>
                <w:bCs/>
                <w:snapToGrid w:val="0"/>
                <w:color w:val="auto"/>
                <w:kern w:val="0"/>
                <w:sz w:val="21"/>
                <w:szCs w:val="21"/>
                <w:highlight w:val="none"/>
                <w:u w:val="none"/>
                <w:lang w:val="en-US" w:eastAsia="zh-CN"/>
              </w:rPr>
              <w:t>残疾人福利性单位属于小型、微型企业的，不重复享受政策。</w:t>
            </w:r>
          </w:p>
          <w:p w14:paraId="485B7B11">
            <w:pPr>
              <w:keepNext w:val="0"/>
              <w:keepLines w:val="0"/>
              <w:pageBreakBefore w:val="0"/>
              <w:widowControl w:val="0"/>
              <w:kinsoku/>
              <w:wordWrap w:val="0"/>
              <w:overflowPunct/>
              <w:topLinePunct/>
              <w:autoSpaceDE/>
              <w:autoSpaceDN/>
              <w:bidi w:val="0"/>
              <w:adjustRightInd/>
              <w:snapToGrid/>
              <w:spacing w:line="360" w:lineRule="auto"/>
              <w:ind w:left="0" w:leftChars="0" w:right="0" w:firstLine="422" w:firstLineChars="200"/>
              <w:jc w:val="left"/>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lang w:val="en-US" w:eastAsia="zh-CN"/>
              </w:rPr>
              <w:t>四</w:t>
            </w:r>
            <w:r>
              <w:rPr>
                <w:rFonts w:hint="eastAsia" w:ascii="仿宋" w:hAnsi="仿宋" w:eastAsia="仿宋" w:cs="仿宋"/>
                <w:b/>
                <w:color w:val="auto"/>
                <w:sz w:val="21"/>
                <w:szCs w:val="21"/>
                <w:highlight w:val="none"/>
              </w:rPr>
              <w:t>、节能产品、环境标志产品</w:t>
            </w:r>
          </w:p>
          <w:p w14:paraId="2D4957F5">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是否适用于本项目：</w:t>
            </w: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sz w:val="21"/>
                <w:szCs w:val="21"/>
                <w:highlight w:val="none"/>
              </w:rPr>
              <w:t>适用</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不适用。</w:t>
            </w:r>
          </w:p>
          <w:p w14:paraId="12A53922">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若投标产品为节能产品、环境标志产品且能提供有效的认证证书及相关证明材料的（相关证明材料指：最新版的政府采购节能产品、环境标志产品认证机构名录、节能产品政府采购品目清单、环境标志产品政府采购品目清单等），在</w:t>
            </w:r>
            <w:r>
              <w:rPr>
                <w:rFonts w:hint="eastAsia" w:ascii="仿宋" w:hAnsi="仿宋" w:eastAsia="仿宋" w:cs="仿宋"/>
                <w:bCs/>
                <w:color w:val="auto"/>
                <w:sz w:val="21"/>
                <w:szCs w:val="21"/>
                <w:highlight w:val="none"/>
                <w:lang w:val="en-US" w:eastAsia="zh-CN"/>
              </w:rPr>
              <w:t>商务</w:t>
            </w:r>
            <w:r>
              <w:rPr>
                <w:rFonts w:hint="eastAsia" w:ascii="仿宋" w:hAnsi="仿宋" w:eastAsia="仿宋" w:cs="仿宋"/>
                <w:bCs/>
                <w:color w:val="auto"/>
                <w:sz w:val="21"/>
                <w:szCs w:val="21"/>
                <w:highlight w:val="none"/>
              </w:rPr>
              <w:t>评分时给予对应的</w:t>
            </w:r>
            <w:r>
              <w:rPr>
                <w:rFonts w:hint="eastAsia" w:ascii="仿宋" w:hAnsi="仿宋" w:eastAsia="仿宋" w:cs="仿宋"/>
                <w:bCs/>
                <w:color w:val="auto"/>
                <w:sz w:val="21"/>
                <w:szCs w:val="21"/>
                <w:highlight w:val="none"/>
                <w:lang w:val="en-US" w:eastAsia="zh-CN"/>
              </w:rPr>
              <w:t>加分</w:t>
            </w:r>
            <w:r>
              <w:rPr>
                <w:rFonts w:hint="eastAsia" w:ascii="仿宋" w:hAnsi="仿宋" w:eastAsia="仿宋" w:cs="仿宋"/>
                <w:bCs/>
                <w:color w:val="auto"/>
                <w:sz w:val="21"/>
                <w:szCs w:val="21"/>
                <w:highlight w:val="none"/>
              </w:rPr>
              <w:t>（若项目需求及技术要求为政府强制采购产品，则不再对节能进行评审价格的扣除）。</w:t>
            </w:r>
          </w:p>
          <w:p w14:paraId="4C1D781D">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b/>
                <w:bCs/>
                <w:color w:val="auto"/>
                <w:sz w:val="21"/>
                <w:szCs w:val="21"/>
                <w:highlight w:val="none"/>
              </w:rPr>
            </w:pPr>
            <w:r>
              <w:rPr>
                <w:rFonts w:hint="eastAsia" w:ascii="仿宋" w:hAnsi="仿宋" w:eastAsia="仿宋" w:cs="仿宋"/>
                <w:bCs/>
                <w:color w:val="auto"/>
                <w:sz w:val="21"/>
                <w:szCs w:val="21"/>
                <w:highlight w:val="none"/>
              </w:rPr>
              <w:t>节能产品、环境标志产品清单可通过中国政府采购网（http://www.ccgp.gov.cn/）、国家发展改革委网站（http://hzs.ndrc.gov.cn/）查阅、下载；</w:t>
            </w:r>
            <w:r>
              <w:rPr>
                <w:rFonts w:hint="eastAsia" w:ascii="仿宋" w:hAnsi="仿宋" w:eastAsia="仿宋" w:cs="仿宋"/>
                <w:bCs/>
                <w:color w:val="auto"/>
                <w:sz w:val="21"/>
                <w:szCs w:val="21"/>
                <w:highlight w:val="none"/>
                <w:lang w:eastAsia="zh-CN"/>
              </w:rPr>
              <w:t>生态环境部</w:t>
            </w:r>
            <w:r>
              <w:rPr>
                <w:rFonts w:hint="eastAsia" w:ascii="仿宋" w:hAnsi="仿宋" w:eastAsia="仿宋" w:cs="仿宋"/>
                <w:bCs/>
                <w:color w:val="auto"/>
                <w:sz w:val="21"/>
                <w:szCs w:val="21"/>
                <w:highlight w:val="none"/>
              </w:rPr>
              <w:t>网（http://www.sepa.gov.cn/）查阅、下载。</w:t>
            </w:r>
          </w:p>
          <w:p w14:paraId="45A9105B">
            <w:pPr>
              <w:keepNext w:val="0"/>
              <w:keepLines w:val="0"/>
              <w:pageBreakBefore w:val="0"/>
              <w:widowControl w:val="0"/>
              <w:kinsoku/>
              <w:wordWrap w:val="0"/>
              <w:overflowPunct/>
              <w:topLinePunct/>
              <w:autoSpaceDE/>
              <w:autoSpaceDN/>
              <w:bidi w:val="0"/>
              <w:adjustRightInd/>
              <w:snapToGrid/>
              <w:spacing w:line="360" w:lineRule="auto"/>
              <w:ind w:left="0" w:leftChars="0" w:right="0" w:firstLine="422" w:firstLineChars="200"/>
              <w:jc w:val="left"/>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五</w:t>
            </w:r>
            <w:r>
              <w:rPr>
                <w:rFonts w:hint="eastAsia" w:ascii="仿宋" w:hAnsi="仿宋" w:eastAsia="仿宋" w:cs="仿宋"/>
                <w:b/>
                <w:bCs/>
                <w:color w:val="auto"/>
                <w:sz w:val="21"/>
                <w:szCs w:val="21"/>
                <w:highlight w:val="none"/>
              </w:rPr>
              <w:t>、强制采购节能产品</w:t>
            </w: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u w:val="single"/>
              </w:rPr>
              <w:t xml:space="preserve"> /</w:t>
            </w:r>
            <w:r>
              <w:rPr>
                <w:rFonts w:hint="eastAsia" w:ascii="仿宋" w:hAnsi="仿宋" w:eastAsia="仿宋" w:cs="仿宋"/>
                <w:b/>
                <w:bCs/>
                <w:color w:val="auto"/>
                <w:sz w:val="21"/>
                <w:szCs w:val="21"/>
                <w:highlight w:val="none"/>
                <w:u w:val="single"/>
                <w:lang w:val="en-US" w:eastAsia="zh-CN"/>
              </w:rPr>
              <w:t xml:space="preserve"> </w:t>
            </w:r>
          </w:p>
          <w:p w14:paraId="3795FAE7">
            <w:pPr>
              <w:pStyle w:val="683"/>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420" w:firstLineChars="200"/>
              <w:contextualSpacing/>
              <w:jc w:val="left"/>
              <w:textAlignment w:val="auto"/>
              <w:rPr>
                <w:rFonts w:hint="eastAsia" w:ascii="仿宋" w:hAnsi="仿宋" w:eastAsia="仿宋" w:cs="仿宋"/>
                <w:b w:val="0"/>
                <w:bCs w:val="0"/>
                <w:color w:val="auto"/>
                <w:sz w:val="21"/>
                <w:szCs w:val="21"/>
                <w:highlight w:val="none"/>
                <w:u w:val="none"/>
                <w:lang w:val="en-US" w:eastAsia="zh-CN"/>
              </w:rPr>
            </w:pPr>
            <w:r>
              <w:rPr>
                <w:rFonts w:hint="eastAsia" w:ascii="仿宋" w:hAnsi="仿宋" w:eastAsia="仿宋" w:cs="仿宋"/>
                <w:b w:val="0"/>
                <w:bCs w:val="0"/>
                <w:color w:val="auto"/>
                <w:sz w:val="21"/>
                <w:szCs w:val="21"/>
                <w:highlight w:val="none"/>
                <w:u w:val="none"/>
                <w:lang w:val="en-US" w:eastAsia="zh-CN"/>
              </w:rPr>
              <w:t>台式计算机，便携式计算机，平板式微型计算机，激光打印机，针式打印机，液晶显示器，制冷压缩机，空调机组，专用制冷、空调设备，镇流器，空调机，电热水器，普通照明用双端荧光灯，电视设备，视频设备，便器，水嘴等品目为政府强制采购的节能产品。</w:t>
            </w:r>
          </w:p>
          <w:p w14:paraId="450E3623">
            <w:pPr>
              <w:keepNext w:val="0"/>
              <w:keepLines w:val="0"/>
              <w:pageBreakBefore w:val="0"/>
              <w:widowControl w:val="0"/>
              <w:kinsoku/>
              <w:wordWrap w:val="0"/>
              <w:overflowPunct/>
              <w:topLinePunct/>
              <w:autoSpaceDE/>
              <w:autoSpaceDN/>
              <w:bidi w:val="0"/>
              <w:adjustRightInd/>
              <w:snapToGrid/>
              <w:spacing w:line="360" w:lineRule="auto"/>
              <w:ind w:left="0" w:leftChars="0" w:right="0" w:firstLine="422" w:firstLineChars="200"/>
              <w:jc w:val="left"/>
              <w:textAlignment w:val="auto"/>
              <w:rPr>
                <w:rFonts w:hint="eastAsia" w:ascii="仿宋" w:hAnsi="仿宋" w:eastAsia="仿宋" w:cs="仿宋"/>
                <w:b/>
                <w:bCs/>
                <w:color w:val="auto"/>
                <w:sz w:val="21"/>
                <w:szCs w:val="21"/>
                <w:highlight w:val="none"/>
                <w:lang w:eastAsia="zh-CN"/>
              </w:rPr>
            </w:pPr>
            <w:r>
              <w:rPr>
                <w:rFonts w:hint="eastAsia" w:ascii="仿宋" w:hAnsi="仿宋" w:eastAsia="仿宋" w:cs="仿宋"/>
                <w:b/>
                <w:bCs/>
                <w:snapToGrid w:val="0"/>
                <w:color w:val="auto"/>
                <w:kern w:val="0"/>
                <w:sz w:val="21"/>
                <w:szCs w:val="21"/>
                <w:highlight w:val="none"/>
                <w:u w:val="none"/>
                <w:lang w:val="en-US" w:eastAsia="zh-CN"/>
              </w:rPr>
              <w:t>六、对本国产品的支持政策</w:t>
            </w:r>
            <w:r>
              <w:rPr>
                <w:rFonts w:hint="eastAsia" w:ascii="仿宋" w:hAnsi="仿宋" w:eastAsia="仿宋" w:cs="仿宋"/>
                <w:b/>
                <w:bCs/>
                <w:color w:val="auto"/>
                <w:sz w:val="21"/>
                <w:szCs w:val="21"/>
                <w:highlight w:val="none"/>
                <w:lang w:eastAsia="zh-CN"/>
              </w:rPr>
              <w:t>：</w:t>
            </w:r>
          </w:p>
          <w:p w14:paraId="6341CA10">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Cs/>
                <w:color w:val="auto"/>
                <w:sz w:val="21"/>
                <w:szCs w:val="21"/>
                <w:highlight w:val="none"/>
              </w:rPr>
              <w:t>是否适用于本项目：</w:t>
            </w: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sz w:val="21"/>
                <w:szCs w:val="21"/>
                <w:highlight w:val="none"/>
              </w:rPr>
              <w:t>适用</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不适用。</w:t>
            </w:r>
          </w:p>
          <w:p w14:paraId="0339508F">
            <w:pPr>
              <w:pStyle w:val="683"/>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420" w:firstLineChars="200"/>
              <w:contextualSpacing/>
              <w:jc w:val="left"/>
              <w:textAlignment w:val="auto"/>
              <w:rPr>
                <w:rFonts w:hint="eastAsia" w:ascii="仿宋" w:hAnsi="仿宋" w:eastAsia="仿宋" w:cs="仿宋"/>
                <w:color w:val="auto"/>
                <w:kern w:val="2"/>
                <w:sz w:val="21"/>
                <w:szCs w:val="21"/>
                <w:highlight w:val="none"/>
                <w:lang w:val="en-US" w:eastAsia="zh-CN" w:bidi="ar-SA"/>
              </w:rPr>
            </w:pPr>
            <w:r>
              <w:rPr>
                <w:rFonts w:hint="default" w:ascii="仿宋" w:hAnsi="仿宋" w:eastAsia="仿宋" w:cs="仿宋"/>
                <w:b w:val="0"/>
                <w:bCs w:val="0"/>
                <w:color w:val="auto"/>
                <w:sz w:val="21"/>
                <w:szCs w:val="21"/>
                <w:highlight w:val="none"/>
                <w:u w:val="none"/>
                <w:lang w:val="en-US" w:eastAsia="zh-CN"/>
              </w:rPr>
              <w:t>依据《国务院办公厅关于在政府采购中实施本国产品标准及相关政策的通知》（国办发〔2025〕34号）“三、对本国产品的支持政策 政府采购活动中既有本国产品又有非本国产品参与竞争的，依法对本国产品给予价格评审优惠，对本国产品的报价给予20%的价格扣除，用扣除后的价格参与评审。当采购项目或者采购包中含有多种产品，</w:t>
            </w:r>
            <w:r>
              <w:rPr>
                <w:rFonts w:hint="eastAsia" w:ascii="仿宋" w:hAnsi="仿宋" w:eastAsia="仿宋" w:cs="仿宋"/>
                <w:b w:val="0"/>
                <w:bCs w:val="0"/>
                <w:color w:val="auto"/>
                <w:sz w:val="21"/>
                <w:szCs w:val="21"/>
                <w:highlight w:val="none"/>
                <w:u w:val="none"/>
                <w:lang w:val="en-US" w:eastAsia="zh-CN"/>
              </w:rPr>
              <w:t>投标人</w:t>
            </w:r>
            <w:r>
              <w:rPr>
                <w:rFonts w:hint="default" w:ascii="仿宋" w:hAnsi="仿宋" w:eastAsia="仿宋" w:cs="仿宋"/>
                <w:b w:val="0"/>
                <w:bCs w:val="0"/>
                <w:color w:val="auto"/>
                <w:sz w:val="21"/>
                <w:szCs w:val="21"/>
                <w:highlight w:val="none"/>
                <w:u w:val="none"/>
                <w:lang w:val="en-US" w:eastAsia="zh-CN"/>
              </w:rPr>
              <w:t>为该采购项目或者采购包提供的符合本国产品标准的产品成本之和占该</w:t>
            </w:r>
            <w:r>
              <w:rPr>
                <w:rFonts w:hint="eastAsia" w:ascii="仿宋" w:hAnsi="仿宋" w:eastAsia="仿宋" w:cs="仿宋"/>
                <w:b w:val="0"/>
                <w:bCs w:val="0"/>
                <w:color w:val="auto"/>
                <w:sz w:val="21"/>
                <w:szCs w:val="21"/>
                <w:highlight w:val="none"/>
                <w:u w:val="none"/>
                <w:lang w:val="en-US" w:eastAsia="zh-CN"/>
              </w:rPr>
              <w:t>投标人</w:t>
            </w:r>
            <w:r>
              <w:rPr>
                <w:rFonts w:hint="default" w:ascii="仿宋" w:hAnsi="仿宋" w:eastAsia="仿宋" w:cs="仿宋"/>
                <w:b w:val="0"/>
                <w:bCs w:val="0"/>
                <w:color w:val="auto"/>
                <w:sz w:val="21"/>
                <w:szCs w:val="21"/>
                <w:highlight w:val="none"/>
                <w:u w:val="none"/>
                <w:lang w:val="en-US" w:eastAsia="zh-CN"/>
              </w:rPr>
              <w:t>提供的全部产品成本之和的比例达到80%以上时，依法对该</w:t>
            </w:r>
            <w:r>
              <w:rPr>
                <w:rFonts w:hint="eastAsia" w:ascii="仿宋" w:hAnsi="仿宋" w:eastAsia="仿宋" w:cs="仿宋"/>
                <w:b w:val="0"/>
                <w:bCs w:val="0"/>
                <w:color w:val="auto"/>
                <w:sz w:val="21"/>
                <w:szCs w:val="21"/>
                <w:highlight w:val="none"/>
                <w:u w:val="none"/>
                <w:lang w:val="en-US" w:eastAsia="zh-CN"/>
              </w:rPr>
              <w:t>投标人</w:t>
            </w:r>
            <w:r>
              <w:rPr>
                <w:rFonts w:hint="default" w:ascii="仿宋" w:hAnsi="仿宋" w:eastAsia="仿宋" w:cs="仿宋"/>
                <w:b w:val="0"/>
                <w:bCs w:val="0"/>
                <w:color w:val="auto"/>
                <w:sz w:val="21"/>
                <w:szCs w:val="21"/>
                <w:highlight w:val="none"/>
                <w:u w:val="none"/>
                <w:lang w:val="en-US" w:eastAsia="zh-CN"/>
              </w:rPr>
              <w:t>提供的全部产品给予价格评审优惠，即对该</w:t>
            </w:r>
            <w:r>
              <w:rPr>
                <w:rFonts w:hint="eastAsia" w:ascii="仿宋" w:hAnsi="仿宋" w:eastAsia="仿宋" w:cs="仿宋"/>
                <w:b w:val="0"/>
                <w:bCs w:val="0"/>
                <w:color w:val="auto"/>
                <w:sz w:val="21"/>
                <w:szCs w:val="21"/>
                <w:highlight w:val="none"/>
                <w:u w:val="none"/>
                <w:lang w:val="en-US" w:eastAsia="zh-CN"/>
              </w:rPr>
              <w:t>投标人</w:t>
            </w:r>
            <w:r>
              <w:rPr>
                <w:rFonts w:hint="default" w:ascii="仿宋" w:hAnsi="仿宋" w:eastAsia="仿宋" w:cs="仿宋"/>
                <w:b w:val="0"/>
                <w:bCs w:val="0"/>
                <w:color w:val="auto"/>
                <w:sz w:val="21"/>
                <w:szCs w:val="21"/>
                <w:highlight w:val="none"/>
                <w:u w:val="none"/>
                <w:lang w:val="en-US" w:eastAsia="zh-CN"/>
              </w:rPr>
              <w:t>提供的全部产品的总报价给予20%的价格扣除，用扣除后的价格参与评审。</w:t>
            </w:r>
          </w:p>
        </w:tc>
      </w:tr>
      <w:tr w14:paraId="368F93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41" w:hRule="atLeast"/>
          <w:jc w:val="center"/>
        </w:trPr>
        <w:tc>
          <w:tcPr>
            <w:tcW w:w="2271" w:type="dxa"/>
            <w:vAlign w:val="center"/>
          </w:tcPr>
          <w:p w14:paraId="67C02AD1">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标的所属行业</w:t>
            </w:r>
          </w:p>
        </w:tc>
        <w:tc>
          <w:tcPr>
            <w:tcW w:w="8087" w:type="dxa"/>
            <w:vAlign w:val="center"/>
          </w:tcPr>
          <w:p w14:paraId="0D4FF77F">
            <w:pPr>
              <w:keepNext w:val="0"/>
              <w:keepLines w:val="0"/>
              <w:pageBreakBefore w:val="0"/>
              <w:widowControl w:val="0"/>
              <w:kinsoku/>
              <w:wordWrap w:val="0"/>
              <w:overflowPunct/>
              <w:topLinePunct/>
              <w:autoSpaceDE/>
              <w:autoSpaceDN/>
              <w:bidi w:val="0"/>
              <w:adjustRightInd/>
              <w:snapToGrid/>
              <w:spacing w:line="360" w:lineRule="auto"/>
              <w:ind w:right="0" w:rightChars="0" w:firstLine="210" w:firstLineChars="1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本项目采购标的对应的中小企业划分标准所属行业。</w:t>
            </w:r>
            <w:r>
              <w:rPr>
                <w:rFonts w:hint="eastAsia" w:ascii="仿宋" w:hAnsi="仿宋" w:eastAsia="仿宋" w:cs="仿宋"/>
                <w:b w:val="0"/>
                <w:bCs/>
                <w:color w:val="auto"/>
                <w:sz w:val="21"/>
                <w:szCs w:val="21"/>
                <w:highlight w:val="none"/>
                <w:lang w:val="en-US" w:eastAsia="zh-CN"/>
              </w:rPr>
              <w:t>符合条件的投标人根据下表内容填写《中小企业声明函》</w:t>
            </w:r>
            <w:r>
              <w:rPr>
                <w:rFonts w:hint="eastAsia" w:ascii="仿宋" w:hAnsi="仿宋" w:eastAsia="仿宋" w:cs="仿宋"/>
                <w:color w:val="auto"/>
                <w:sz w:val="21"/>
                <w:szCs w:val="21"/>
                <w:highlight w:val="none"/>
                <w:lang w:val="en-US" w:eastAsia="zh-CN"/>
              </w:rPr>
              <w:t>：</w:t>
            </w:r>
          </w:p>
          <w:tbl>
            <w:tblPr>
              <w:tblStyle w:val="67"/>
              <w:tblW w:w="80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42"/>
              <w:gridCol w:w="3501"/>
            </w:tblGrid>
            <w:tr w14:paraId="357AC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542" w:type="dxa"/>
                  <w:tcBorders>
                    <w:top w:val="single" w:color="auto" w:sz="4" w:space="0"/>
                    <w:left w:val="single" w:color="auto" w:sz="4" w:space="0"/>
                    <w:bottom w:val="single" w:color="auto" w:sz="4" w:space="0"/>
                    <w:right w:val="single" w:color="auto" w:sz="4" w:space="0"/>
                  </w:tcBorders>
                  <w:vAlign w:val="center"/>
                </w:tcPr>
                <w:p w14:paraId="37BD910A">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标  项</w:t>
                  </w:r>
                </w:p>
              </w:tc>
              <w:tc>
                <w:tcPr>
                  <w:tcW w:w="3501" w:type="dxa"/>
                  <w:tcBorders>
                    <w:top w:val="single" w:color="auto" w:sz="4" w:space="0"/>
                    <w:left w:val="single" w:color="auto" w:sz="4" w:space="0"/>
                    <w:bottom w:val="single" w:color="auto" w:sz="4" w:space="0"/>
                    <w:right w:val="single" w:color="auto" w:sz="4" w:space="0"/>
                  </w:tcBorders>
                  <w:vAlign w:val="center"/>
                </w:tcPr>
                <w:p w14:paraId="2D7A34B7">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中小企业划分标准所属行业</w:t>
                  </w:r>
                </w:p>
              </w:tc>
            </w:tr>
            <w:tr w14:paraId="60B2D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542" w:type="dxa"/>
                  <w:tcBorders>
                    <w:top w:val="single" w:color="auto" w:sz="4" w:space="0"/>
                    <w:left w:val="single" w:color="auto" w:sz="4" w:space="0"/>
                    <w:bottom w:val="single" w:color="auto" w:sz="4" w:space="0"/>
                    <w:right w:val="single" w:color="auto" w:sz="4" w:space="0"/>
                  </w:tcBorders>
                  <w:vAlign w:val="center"/>
                </w:tcPr>
                <w:p w14:paraId="1990D650">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楚雄彝族自治州人民医院2026年行政后勤物资采购项目</w:t>
                  </w:r>
                </w:p>
              </w:tc>
              <w:tc>
                <w:tcPr>
                  <w:tcW w:w="3501" w:type="dxa"/>
                  <w:tcBorders>
                    <w:top w:val="single" w:color="auto" w:sz="4" w:space="0"/>
                    <w:left w:val="single" w:color="auto" w:sz="4" w:space="0"/>
                    <w:bottom w:val="single" w:color="auto" w:sz="4" w:space="0"/>
                    <w:right w:val="single" w:color="auto" w:sz="4" w:space="0"/>
                  </w:tcBorders>
                  <w:vAlign w:val="center"/>
                </w:tcPr>
                <w:p w14:paraId="25691A09">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default" w:ascii="仿宋" w:hAnsi="仿宋" w:eastAsia="仿宋" w:cs="仿宋"/>
                      <w:b/>
                      <w:bCs/>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零售业</w:t>
                  </w:r>
                </w:p>
              </w:tc>
            </w:tr>
          </w:tbl>
          <w:p w14:paraId="5A86A21F">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备注：现行中小企业划分标准行业包括农、林、牧、渔业，工业，建筑业，批发业，零售业，交通运输业，仓储业，邮政业，住宿业，餐饮业，信息传输业，软件和信息技术服务业，房地产开发经营，物业管理，租赁和商业服务业和其他未列明行业等十六类。</w:t>
            </w:r>
          </w:p>
        </w:tc>
      </w:tr>
      <w:tr w14:paraId="6FAF87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2271" w:type="dxa"/>
            <w:vAlign w:val="center"/>
          </w:tcPr>
          <w:p w14:paraId="70D59346">
            <w:pPr>
              <w:pStyle w:val="270"/>
              <w:keepNext w:val="0"/>
              <w:keepLines w:val="0"/>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eastAsia" w:ascii="仿宋" w:hAnsi="仿宋" w:eastAsia="仿宋" w:cs="仿宋"/>
                <w:snapToGrid w:val="0"/>
                <w:color w:val="auto"/>
                <w:kern w:val="0"/>
                <w:sz w:val="21"/>
                <w:szCs w:val="21"/>
                <w:highlight w:val="none"/>
                <w:lang w:val="en-US" w:eastAsia="en-US" w:bidi="ar-SA"/>
              </w:rPr>
            </w:pPr>
            <w:r>
              <w:rPr>
                <w:rFonts w:hint="eastAsia" w:ascii="仿宋" w:hAnsi="仿宋" w:eastAsia="仿宋" w:cs="仿宋"/>
                <w:b/>
                <w:bCs/>
                <w:color w:val="auto"/>
                <w:sz w:val="21"/>
                <w:szCs w:val="21"/>
                <w:highlight w:val="none"/>
                <w:lang w:val="en-US"/>
              </w:rPr>
              <w:t>政府采购活动中中小企业的判定</w:t>
            </w:r>
          </w:p>
        </w:tc>
        <w:tc>
          <w:tcPr>
            <w:tcW w:w="8087" w:type="dxa"/>
            <w:vAlign w:val="center"/>
          </w:tcPr>
          <w:p w14:paraId="4AA09333">
            <w:pPr>
              <w:keepNext w:val="0"/>
              <w:keepLines w:val="0"/>
              <w:pageBreakBefore w:val="0"/>
              <w:widowControl w:val="0"/>
              <w:kinsoku/>
              <w:wordWrap w:val="0"/>
              <w:overflowPunct/>
              <w:topLinePunct/>
              <w:autoSpaceDE/>
              <w:autoSpaceDN/>
              <w:bidi w:val="0"/>
              <w:adjustRightInd/>
              <w:snapToGrid/>
              <w:spacing w:line="360" w:lineRule="auto"/>
              <w:ind w:left="0" w:leftChars="0" w:right="0" w:firstLine="422" w:firstLineChars="200"/>
              <w:textAlignment w:val="auto"/>
              <w:rPr>
                <w:rFonts w:hint="eastAsia" w:ascii="仿宋" w:hAnsi="仿宋" w:eastAsia="仿宋" w:cs="仿宋"/>
                <w:b/>
                <w:bCs/>
                <w:color w:val="auto"/>
                <w:sz w:val="21"/>
                <w:szCs w:val="21"/>
                <w:highlight w:val="none"/>
                <w:lang w:val="en-US"/>
              </w:rPr>
            </w:pPr>
            <w:r>
              <w:rPr>
                <w:rFonts w:hint="eastAsia" w:ascii="仿宋" w:hAnsi="仿宋" w:eastAsia="仿宋" w:cs="仿宋"/>
                <w:b/>
                <w:bCs/>
                <w:color w:val="auto"/>
                <w:sz w:val="21"/>
                <w:szCs w:val="21"/>
                <w:highlight w:val="none"/>
                <w:lang w:val="en-US" w:eastAsia="zh-CN"/>
              </w:rPr>
              <w:t>一、</w:t>
            </w:r>
            <w:r>
              <w:rPr>
                <w:rFonts w:hint="eastAsia" w:ascii="仿宋" w:hAnsi="仿宋" w:eastAsia="仿宋" w:cs="仿宋"/>
                <w:b/>
                <w:bCs/>
                <w:color w:val="auto"/>
                <w:sz w:val="21"/>
                <w:szCs w:val="21"/>
                <w:highlight w:val="none"/>
                <w:lang w:val="en-US"/>
              </w:rPr>
              <w:t>可以判别为中小企业的情形</w:t>
            </w:r>
          </w:p>
          <w:p w14:paraId="0CD8A8E8">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rPr>
              <w:fldChar w:fldCharType="begin"/>
            </w:r>
            <w:r>
              <w:rPr>
                <w:rFonts w:hint="eastAsia" w:ascii="仿宋" w:hAnsi="仿宋" w:eastAsia="仿宋" w:cs="仿宋"/>
                <w:color w:val="auto"/>
                <w:sz w:val="21"/>
                <w:szCs w:val="21"/>
                <w:highlight w:val="none"/>
                <w:lang w:val="en-US"/>
              </w:rPr>
              <w:instrText xml:space="preserve"> = 1 \* GB3 \* MERGEFORMAT </w:instrText>
            </w:r>
            <w:r>
              <w:rPr>
                <w:rFonts w:hint="eastAsia" w:ascii="仿宋" w:hAnsi="仿宋" w:eastAsia="仿宋" w:cs="仿宋"/>
                <w:color w:val="auto"/>
                <w:sz w:val="21"/>
                <w:szCs w:val="21"/>
                <w:highlight w:val="none"/>
                <w:lang w:val="en-US"/>
              </w:rPr>
              <w:fldChar w:fldCharType="separate"/>
            </w:r>
            <w:r>
              <w:rPr>
                <w:rFonts w:hint="eastAsia" w:ascii="仿宋" w:hAnsi="仿宋" w:eastAsia="仿宋" w:cs="仿宋"/>
                <w:color w:val="auto"/>
                <w:sz w:val="21"/>
                <w:szCs w:val="21"/>
                <w:highlight w:val="none"/>
                <w:lang w:val="en-US"/>
              </w:rPr>
              <w:t>①</w:t>
            </w:r>
            <w:r>
              <w:rPr>
                <w:rFonts w:hint="eastAsia" w:ascii="仿宋" w:hAnsi="仿宋" w:eastAsia="仿宋" w:cs="仿宋"/>
                <w:color w:val="auto"/>
                <w:sz w:val="21"/>
                <w:szCs w:val="21"/>
                <w:highlight w:val="none"/>
                <w:lang w:val="en-US"/>
              </w:rPr>
              <w:fldChar w:fldCharType="end"/>
            </w:r>
            <w:r>
              <w:rPr>
                <w:rFonts w:hint="eastAsia" w:ascii="仿宋" w:hAnsi="仿宋" w:eastAsia="仿宋" w:cs="仿宋"/>
                <w:color w:val="auto"/>
                <w:sz w:val="21"/>
                <w:szCs w:val="21"/>
                <w:highlight w:val="none"/>
                <w:lang w:val="en-US"/>
              </w:rPr>
              <w:t>在货物采购项目中，</w:t>
            </w:r>
            <w:r>
              <w:rPr>
                <w:rFonts w:hint="eastAsia" w:ascii="仿宋" w:hAnsi="仿宋" w:eastAsia="仿宋" w:cs="仿宋"/>
                <w:b w:val="0"/>
                <w:bCs w:val="0"/>
                <w:color w:val="auto"/>
                <w:sz w:val="21"/>
                <w:szCs w:val="21"/>
                <w:highlight w:val="none"/>
                <w:u w:val="none"/>
                <w:lang w:val="en-US"/>
              </w:rPr>
              <w:t>货物</w:t>
            </w:r>
            <w:r>
              <w:rPr>
                <w:rFonts w:hint="eastAsia" w:ascii="仿宋" w:hAnsi="仿宋" w:eastAsia="仿宋" w:cs="仿宋"/>
                <w:b w:val="0"/>
                <w:bCs w:val="0"/>
                <w:color w:val="auto"/>
                <w:sz w:val="21"/>
                <w:szCs w:val="21"/>
                <w:highlight w:val="none"/>
                <w:u w:val="none"/>
                <w:lang w:val="en-US" w:eastAsia="zh-CN"/>
              </w:rPr>
              <w:t>由</w:t>
            </w:r>
            <w:r>
              <w:rPr>
                <w:rFonts w:hint="eastAsia" w:ascii="仿宋" w:hAnsi="仿宋" w:eastAsia="仿宋" w:cs="仿宋"/>
                <w:color w:val="auto"/>
                <w:sz w:val="21"/>
                <w:szCs w:val="21"/>
                <w:highlight w:val="none"/>
                <w:lang w:val="en-US"/>
              </w:rPr>
              <w:t>中小企业制造，</w:t>
            </w:r>
            <w:r>
              <w:rPr>
                <w:rFonts w:hint="eastAsia" w:ascii="仿宋" w:hAnsi="仿宋" w:eastAsia="仿宋" w:cs="仿宋"/>
                <w:b w:val="0"/>
                <w:bCs w:val="0"/>
                <w:color w:val="auto"/>
                <w:sz w:val="21"/>
                <w:szCs w:val="21"/>
                <w:highlight w:val="none"/>
                <w:u w:val="none"/>
                <w:lang w:val="en-US"/>
              </w:rPr>
              <w:t>即货物</w:t>
            </w:r>
            <w:r>
              <w:rPr>
                <w:rFonts w:hint="eastAsia" w:ascii="仿宋" w:hAnsi="仿宋" w:eastAsia="仿宋" w:cs="仿宋"/>
                <w:b w:val="0"/>
                <w:bCs w:val="0"/>
                <w:color w:val="auto"/>
                <w:sz w:val="21"/>
                <w:szCs w:val="21"/>
                <w:highlight w:val="none"/>
                <w:u w:val="none"/>
                <w:lang w:val="en-US" w:eastAsia="zh-CN"/>
              </w:rPr>
              <w:t>由</w:t>
            </w:r>
            <w:r>
              <w:rPr>
                <w:rFonts w:hint="eastAsia" w:ascii="仿宋" w:hAnsi="仿宋" w:eastAsia="仿宋" w:cs="仿宋"/>
                <w:color w:val="auto"/>
                <w:sz w:val="21"/>
                <w:szCs w:val="21"/>
                <w:highlight w:val="none"/>
                <w:lang w:val="en-US"/>
              </w:rPr>
              <w:t>中小企业生产且使用该中小企业商号或注册商标</w:t>
            </w:r>
            <w:r>
              <w:rPr>
                <w:rFonts w:hint="eastAsia" w:ascii="仿宋" w:hAnsi="仿宋" w:eastAsia="仿宋" w:cs="仿宋"/>
                <w:color w:val="auto"/>
                <w:sz w:val="21"/>
                <w:szCs w:val="21"/>
                <w:highlight w:val="none"/>
                <w:lang w:val="en-US" w:eastAsia="zh-CN"/>
              </w:rPr>
              <w:t>；</w:t>
            </w:r>
            <w:r>
              <w:rPr>
                <w:rFonts w:hint="eastAsia" w:ascii="仿宋" w:hAnsi="仿宋" w:eastAsia="仿宋" w:cs="仿宋"/>
                <w:b/>
                <w:bCs/>
                <w:color w:val="auto"/>
                <w:sz w:val="21"/>
                <w:szCs w:val="21"/>
                <w:highlight w:val="none"/>
                <w:lang w:val="en-US" w:eastAsia="zh-CN"/>
              </w:rPr>
              <w:t>（若一个合同项内涉及多个采购标的物的，采购人或采购代理机构应当在采购文件中逐一明确所有采购标的对应的中小企业划分标准所属行业。投标人根据采购文件中明确的行业所对应的划分标准，逐一判断所投标的物是否属于中小企业产品，并进行声明。一般只将采购项目中的主要货物作为标的物，开关等配件一般不作为标的物，也不对其生产厂商做相应要求）</w:t>
            </w:r>
          </w:p>
          <w:p w14:paraId="13EB849C">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rPr>
              <w:fldChar w:fldCharType="begin"/>
            </w:r>
            <w:r>
              <w:rPr>
                <w:rFonts w:hint="eastAsia" w:ascii="仿宋" w:hAnsi="仿宋" w:eastAsia="仿宋" w:cs="仿宋"/>
                <w:color w:val="auto"/>
                <w:sz w:val="21"/>
                <w:szCs w:val="21"/>
                <w:highlight w:val="none"/>
                <w:lang w:val="en-US"/>
              </w:rPr>
              <w:instrText xml:space="preserve"> = 2 \* GB3 \* MERGEFORMAT </w:instrText>
            </w:r>
            <w:r>
              <w:rPr>
                <w:rFonts w:hint="eastAsia" w:ascii="仿宋" w:hAnsi="仿宋" w:eastAsia="仿宋" w:cs="仿宋"/>
                <w:color w:val="auto"/>
                <w:sz w:val="21"/>
                <w:szCs w:val="21"/>
                <w:highlight w:val="none"/>
                <w:lang w:val="en-US"/>
              </w:rPr>
              <w:fldChar w:fldCharType="separate"/>
            </w:r>
            <w:r>
              <w:rPr>
                <w:rFonts w:hint="eastAsia" w:ascii="仿宋" w:hAnsi="仿宋" w:eastAsia="仿宋" w:cs="仿宋"/>
                <w:color w:val="auto"/>
                <w:sz w:val="21"/>
                <w:szCs w:val="21"/>
                <w:highlight w:val="none"/>
                <w:lang w:val="en-US"/>
              </w:rPr>
              <w:t>②</w:t>
            </w:r>
            <w:r>
              <w:rPr>
                <w:rFonts w:hint="eastAsia" w:ascii="仿宋" w:hAnsi="仿宋" w:eastAsia="仿宋" w:cs="仿宋"/>
                <w:color w:val="auto"/>
                <w:sz w:val="21"/>
                <w:szCs w:val="21"/>
                <w:highlight w:val="none"/>
                <w:lang w:val="en-US"/>
              </w:rPr>
              <w:fldChar w:fldCharType="end"/>
            </w:r>
            <w:r>
              <w:rPr>
                <w:rFonts w:hint="eastAsia" w:ascii="仿宋" w:hAnsi="仿宋" w:eastAsia="仿宋" w:cs="仿宋"/>
                <w:color w:val="auto"/>
                <w:sz w:val="21"/>
                <w:szCs w:val="21"/>
                <w:highlight w:val="none"/>
                <w:lang w:val="en-US"/>
              </w:rPr>
              <w:t>在工程采购项目中，工程由中小企业承建，即工程施工单位为中小企业</w:t>
            </w:r>
            <w:r>
              <w:rPr>
                <w:rFonts w:hint="eastAsia" w:ascii="仿宋" w:hAnsi="仿宋" w:eastAsia="仿宋" w:cs="仿宋"/>
                <w:color w:val="auto"/>
                <w:sz w:val="21"/>
                <w:szCs w:val="21"/>
                <w:highlight w:val="none"/>
                <w:lang w:val="en-US" w:eastAsia="zh-CN"/>
              </w:rPr>
              <w:t>；</w:t>
            </w:r>
          </w:p>
          <w:p w14:paraId="1AF04FC0">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textAlignment w:val="auto"/>
              <w:rPr>
                <w:rFonts w:hint="eastAsia"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lang w:val="en-US"/>
              </w:rPr>
              <w:fldChar w:fldCharType="begin"/>
            </w:r>
            <w:r>
              <w:rPr>
                <w:rFonts w:hint="eastAsia" w:ascii="仿宋" w:hAnsi="仿宋" w:eastAsia="仿宋" w:cs="仿宋"/>
                <w:color w:val="auto"/>
                <w:sz w:val="21"/>
                <w:szCs w:val="21"/>
                <w:highlight w:val="none"/>
                <w:lang w:val="en-US"/>
              </w:rPr>
              <w:instrText xml:space="preserve"> = 3 \* GB3 \* MERGEFORMAT </w:instrText>
            </w:r>
            <w:r>
              <w:rPr>
                <w:rFonts w:hint="eastAsia" w:ascii="仿宋" w:hAnsi="仿宋" w:eastAsia="仿宋" w:cs="仿宋"/>
                <w:color w:val="auto"/>
                <w:sz w:val="21"/>
                <w:szCs w:val="21"/>
                <w:highlight w:val="none"/>
                <w:lang w:val="en-US"/>
              </w:rPr>
              <w:fldChar w:fldCharType="separate"/>
            </w:r>
            <w:r>
              <w:rPr>
                <w:rFonts w:hint="eastAsia" w:ascii="仿宋" w:hAnsi="仿宋" w:eastAsia="仿宋" w:cs="仿宋"/>
                <w:color w:val="auto"/>
                <w:sz w:val="21"/>
                <w:szCs w:val="21"/>
                <w:highlight w:val="none"/>
                <w:lang w:val="en-US"/>
              </w:rPr>
              <w:t>③</w:t>
            </w:r>
            <w:r>
              <w:rPr>
                <w:rFonts w:hint="eastAsia" w:ascii="仿宋" w:hAnsi="仿宋" w:eastAsia="仿宋" w:cs="仿宋"/>
                <w:color w:val="auto"/>
                <w:sz w:val="21"/>
                <w:szCs w:val="21"/>
                <w:highlight w:val="none"/>
                <w:lang w:val="en-US"/>
              </w:rPr>
              <w:fldChar w:fldCharType="end"/>
            </w:r>
            <w:r>
              <w:rPr>
                <w:rFonts w:hint="eastAsia" w:ascii="仿宋" w:hAnsi="仿宋" w:eastAsia="仿宋" w:cs="仿宋"/>
                <w:color w:val="auto"/>
                <w:sz w:val="21"/>
                <w:szCs w:val="21"/>
                <w:highlight w:val="none"/>
                <w:lang w:val="en-US"/>
              </w:rPr>
              <w:t>在服务采购项目中，服务由中小企业承接，即提供服务的人员为中小企业依照《中华人民共和国劳动合同法》订立劳动合同的从业人员。</w:t>
            </w:r>
          </w:p>
          <w:p w14:paraId="030473DF">
            <w:pPr>
              <w:keepNext w:val="0"/>
              <w:keepLines w:val="0"/>
              <w:pageBreakBefore w:val="0"/>
              <w:widowControl w:val="0"/>
              <w:kinsoku/>
              <w:wordWrap w:val="0"/>
              <w:overflowPunct/>
              <w:topLinePunct/>
              <w:autoSpaceDE/>
              <w:autoSpaceDN/>
              <w:bidi w:val="0"/>
              <w:adjustRightInd/>
              <w:snapToGrid/>
              <w:spacing w:line="360" w:lineRule="auto"/>
              <w:ind w:left="0" w:leftChars="0" w:right="0" w:firstLine="422" w:firstLineChars="200"/>
              <w:textAlignment w:val="auto"/>
              <w:rPr>
                <w:rFonts w:hint="eastAsia" w:ascii="仿宋" w:hAnsi="仿宋" w:eastAsia="仿宋" w:cs="仿宋"/>
                <w:b/>
                <w:bCs/>
                <w:color w:val="auto"/>
                <w:sz w:val="21"/>
                <w:szCs w:val="21"/>
                <w:highlight w:val="none"/>
                <w:lang w:val="en-US"/>
              </w:rPr>
            </w:pPr>
            <w:r>
              <w:rPr>
                <w:rFonts w:hint="eastAsia" w:ascii="仿宋" w:hAnsi="仿宋" w:eastAsia="仿宋" w:cs="仿宋"/>
                <w:b/>
                <w:bCs/>
                <w:color w:val="auto"/>
                <w:sz w:val="21"/>
                <w:szCs w:val="21"/>
                <w:highlight w:val="none"/>
                <w:lang w:val="en-US" w:eastAsia="zh-CN"/>
              </w:rPr>
              <w:t>二、</w:t>
            </w:r>
            <w:r>
              <w:rPr>
                <w:rFonts w:hint="eastAsia" w:ascii="仿宋" w:hAnsi="仿宋" w:eastAsia="仿宋" w:cs="仿宋"/>
                <w:b/>
                <w:bCs/>
                <w:color w:val="auto"/>
                <w:sz w:val="21"/>
                <w:szCs w:val="21"/>
                <w:highlight w:val="none"/>
                <w:lang w:val="en-US"/>
              </w:rPr>
              <w:t>不应判别为中小</w:t>
            </w:r>
            <w:r>
              <w:rPr>
                <w:rFonts w:hint="eastAsia" w:ascii="仿宋" w:hAnsi="仿宋" w:eastAsia="仿宋" w:cs="仿宋"/>
                <w:b/>
                <w:bCs/>
                <w:color w:val="auto"/>
                <w:sz w:val="21"/>
                <w:szCs w:val="21"/>
                <w:highlight w:val="none"/>
                <w:lang w:val="en-US" w:eastAsia="zh-CN"/>
              </w:rPr>
              <w:t>（</w:t>
            </w:r>
            <w:r>
              <w:rPr>
                <w:rFonts w:hint="eastAsia" w:ascii="仿宋" w:hAnsi="仿宋" w:eastAsia="仿宋" w:cs="仿宋"/>
                <w:b/>
                <w:bCs/>
                <w:color w:val="auto"/>
                <w:sz w:val="21"/>
                <w:szCs w:val="21"/>
                <w:highlight w:val="none"/>
                <w:lang w:val="en-US"/>
              </w:rPr>
              <w:t>微</w:t>
            </w:r>
            <w:r>
              <w:rPr>
                <w:rFonts w:hint="eastAsia" w:ascii="仿宋" w:hAnsi="仿宋" w:eastAsia="仿宋" w:cs="仿宋"/>
                <w:b/>
                <w:bCs/>
                <w:color w:val="auto"/>
                <w:sz w:val="21"/>
                <w:szCs w:val="21"/>
                <w:highlight w:val="none"/>
                <w:lang w:val="en-US" w:eastAsia="zh-CN"/>
              </w:rPr>
              <w:t>）</w:t>
            </w:r>
            <w:r>
              <w:rPr>
                <w:rFonts w:hint="eastAsia" w:ascii="仿宋" w:hAnsi="仿宋" w:eastAsia="仿宋" w:cs="仿宋"/>
                <w:b/>
                <w:bCs/>
                <w:color w:val="auto"/>
                <w:sz w:val="21"/>
                <w:szCs w:val="21"/>
                <w:highlight w:val="none"/>
                <w:lang w:val="en-US"/>
              </w:rPr>
              <w:t>企业的情形</w:t>
            </w:r>
          </w:p>
          <w:p w14:paraId="77CB6FFF">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420" w:firstLineChars="200"/>
              <w:textAlignment w:val="auto"/>
              <w:rPr>
                <w:rFonts w:hint="eastAsia"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lang w:val="en-US"/>
              </w:rPr>
              <w:fldChar w:fldCharType="begin"/>
            </w:r>
            <w:r>
              <w:rPr>
                <w:rFonts w:hint="eastAsia" w:ascii="仿宋" w:hAnsi="仿宋" w:eastAsia="仿宋" w:cs="仿宋"/>
                <w:color w:val="auto"/>
                <w:sz w:val="21"/>
                <w:szCs w:val="21"/>
                <w:highlight w:val="none"/>
                <w:lang w:val="en-US"/>
              </w:rPr>
              <w:instrText xml:space="preserve"> = 1 \* GB3 \* MERGEFORMAT </w:instrText>
            </w:r>
            <w:r>
              <w:rPr>
                <w:rFonts w:hint="eastAsia" w:ascii="仿宋" w:hAnsi="仿宋" w:eastAsia="仿宋" w:cs="仿宋"/>
                <w:color w:val="auto"/>
                <w:sz w:val="21"/>
                <w:szCs w:val="21"/>
                <w:highlight w:val="none"/>
                <w:lang w:val="en-US"/>
              </w:rPr>
              <w:fldChar w:fldCharType="separate"/>
            </w:r>
            <w:r>
              <w:rPr>
                <w:rFonts w:hint="eastAsia" w:ascii="仿宋" w:hAnsi="仿宋" w:eastAsia="仿宋" w:cs="仿宋"/>
                <w:color w:val="auto"/>
                <w:sz w:val="21"/>
                <w:szCs w:val="21"/>
                <w:highlight w:val="none"/>
                <w:lang w:val="en-US"/>
              </w:rPr>
              <w:t>①</w:t>
            </w:r>
            <w:r>
              <w:rPr>
                <w:rFonts w:hint="eastAsia" w:ascii="仿宋" w:hAnsi="仿宋" w:eastAsia="仿宋" w:cs="仿宋"/>
                <w:color w:val="auto"/>
                <w:sz w:val="21"/>
                <w:szCs w:val="21"/>
                <w:highlight w:val="none"/>
                <w:lang w:val="en-US"/>
              </w:rPr>
              <w:fldChar w:fldCharType="end"/>
            </w:r>
            <w:r>
              <w:rPr>
                <w:rFonts w:hint="eastAsia" w:ascii="仿宋" w:hAnsi="仿宋" w:eastAsia="仿宋" w:cs="仿宋"/>
                <w:color w:val="auto"/>
                <w:sz w:val="21"/>
                <w:szCs w:val="21"/>
                <w:highlight w:val="none"/>
                <w:lang w:val="en-US"/>
              </w:rPr>
              <w:t>在货物采购项目中，</w:t>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lang w:val="en-US"/>
              </w:rPr>
              <w:t>为中小企业，但所提供的货物为大型企业制造的，即货物由大型企业生产且使用大型企业</w:t>
            </w:r>
            <w:r>
              <w:rPr>
                <w:rFonts w:hint="eastAsia" w:ascii="仿宋" w:hAnsi="仿宋" w:eastAsia="仿宋" w:cs="仿宋"/>
                <w:color w:val="auto"/>
                <w:sz w:val="21"/>
                <w:szCs w:val="21"/>
                <w:highlight w:val="none"/>
                <w:lang w:val="en-US" w:eastAsia="zh-CN"/>
              </w:rPr>
              <w:t>商标</w:t>
            </w:r>
            <w:r>
              <w:rPr>
                <w:rFonts w:hint="eastAsia" w:ascii="仿宋" w:hAnsi="仿宋" w:eastAsia="仿宋" w:cs="仿宋"/>
                <w:color w:val="auto"/>
                <w:sz w:val="21"/>
                <w:szCs w:val="21"/>
                <w:highlight w:val="none"/>
                <w:lang w:val="en-US"/>
              </w:rPr>
              <w:t>或者注册商标的。不享受</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val="en-US"/>
              </w:rPr>
              <w:t>《办法》规定的中小企业扶持政策。</w:t>
            </w:r>
          </w:p>
          <w:p w14:paraId="05203329">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lang w:val="en-US"/>
              </w:rPr>
              <w:fldChar w:fldCharType="begin"/>
            </w:r>
            <w:r>
              <w:rPr>
                <w:rFonts w:hint="eastAsia" w:ascii="仿宋" w:hAnsi="仿宋" w:eastAsia="仿宋" w:cs="仿宋"/>
                <w:color w:val="auto"/>
                <w:sz w:val="21"/>
                <w:szCs w:val="21"/>
                <w:highlight w:val="none"/>
                <w:lang w:val="en-US"/>
              </w:rPr>
              <w:instrText xml:space="preserve"> = 2 \* GB3 \* MERGEFORMAT </w:instrText>
            </w:r>
            <w:r>
              <w:rPr>
                <w:rFonts w:hint="eastAsia" w:ascii="仿宋" w:hAnsi="仿宋" w:eastAsia="仿宋" w:cs="仿宋"/>
                <w:color w:val="auto"/>
                <w:sz w:val="21"/>
                <w:szCs w:val="21"/>
                <w:highlight w:val="none"/>
                <w:lang w:val="en-US"/>
              </w:rPr>
              <w:fldChar w:fldCharType="separate"/>
            </w:r>
            <w:r>
              <w:rPr>
                <w:rFonts w:hint="eastAsia" w:ascii="仿宋" w:hAnsi="仿宋" w:eastAsia="仿宋" w:cs="仿宋"/>
                <w:color w:val="auto"/>
                <w:sz w:val="21"/>
                <w:szCs w:val="21"/>
                <w:highlight w:val="none"/>
                <w:lang w:val="en-US"/>
              </w:rPr>
              <w:t>②</w:t>
            </w:r>
            <w:r>
              <w:rPr>
                <w:rFonts w:hint="eastAsia" w:ascii="仿宋" w:hAnsi="仿宋" w:eastAsia="仿宋" w:cs="仿宋"/>
                <w:color w:val="auto"/>
                <w:sz w:val="21"/>
                <w:szCs w:val="21"/>
                <w:highlight w:val="none"/>
                <w:lang w:val="en-US"/>
              </w:rPr>
              <w:fldChar w:fldCharType="end"/>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lang w:val="en-US"/>
              </w:rPr>
              <w:t>提供的货物既有中型企业制造，也有小微企业制造的，不享受《办法》规定的小微企业扶持政策。</w:t>
            </w:r>
          </w:p>
        </w:tc>
      </w:tr>
      <w:tr w14:paraId="185B45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vAlign w:val="center"/>
          </w:tcPr>
          <w:p w14:paraId="55A2EDC1">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采购内容</w:t>
            </w:r>
          </w:p>
        </w:tc>
        <w:tc>
          <w:tcPr>
            <w:tcW w:w="8087" w:type="dxa"/>
            <w:vAlign w:val="center"/>
          </w:tcPr>
          <w:p w14:paraId="57D9DE26">
            <w:pPr>
              <w:keepNext w:val="0"/>
              <w:keepLines w:val="0"/>
              <w:pageBreakBefore w:val="0"/>
              <w:widowControl w:val="0"/>
              <w:kinsoku/>
              <w:wordWrap w:val="0"/>
              <w:overflowPunct/>
              <w:topLinePunct/>
              <w:autoSpaceDE/>
              <w:autoSpaceDN/>
              <w:bidi w:val="0"/>
              <w:adjustRightInd/>
              <w:snapToGrid/>
              <w:spacing w:line="360" w:lineRule="auto"/>
              <w:ind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技术规格详见招标文件“第四章 采购需求及要求”</w:t>
            </w:r>
          </w:p>
        </w:tc>
      </w:tr>
      <w:tr w14:paraId="70817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vAlign w:val="center"/>
          </w:tcPr>
          <w:p w14:paraId="377B7F2E">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eastAsia="zh-CN"/>
              </w:rPr>
            </w:pPr>
            <w:r>
              <w:rPr>
                <w:rFonts w:hint="eastAsia" w:ascii="仿宋" w:hAnsi="仿宋" w:eastAsia="仿宋" w:cs="仿宋"/>
                <w:color w:val="auto"/>
                <w:sz w:val="21"/>
                <w:szCs w:val="21"/>
                <w:highlight w:val="none"/>
              </w:rPr>
              <w:t>合同履约期</w:t>
            </w:r>
          </w:p>
        </w:tc>
        <w:tc>
          <w:tcPr>
            <w:tcW w:w="8087" w:type="dxa"/>
            <w:vAlign w:val="center"/>
          </w:tcPr>
          <w:p w14:paraId="2A9B8306">
            <w:pPr>
              <w:keepNext w:val="0"/>
              <w:keepLines w:val="0"/>
              <w:pageBreakBefore w:val="0"/>
              <w:widowControl w:val="0"/>
              <w:kinsoku/>
              <w:wordWrap w:val="0"/>
              <w:overflowPunct/>
              <w:topLinePunct/>
              <w:autoSpaceDE/>
              <w:autoSpaceDN/>
              <w:bidi w:val="0"/>
              <w:adjustRightInd/>
              <w:snapToGrid/>
              <w:spacing w:line="360" w:lineRule="auto"/>
              <w:ind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bCs/>
                <w:color w:val="auto"/>
                <w:kern w:val="0"/>
                <w:sz w:val="21"/>
                <w:szCs w:val="21"/>
                <w:highlight w:val="none"/>
              </w:rPr>
              <w:t>自合同生效之日起至双方全部合同权利义务履行完毕之日止</w:t>
            </w:r>
            <w:r>
              <w:rPr>
                <w:rFonts w:hint="eastAsia" w:ascii="仿宋" w:hAnsi="仿宋" w:eastAsia="仿宋" w:cs="仿宋"/>
                <w:bCs/>
                <w:color w:val="auto"/>
                <w:kern w:val="0"/>
                <w:sz w:val="21"/>
                <w:szCs w:val="21"/>
                <w:highlight w:val="none"/>
                <w:lang w:eastAsia="zh-CN"/>
              </w:rPr>
              <w:t>。</w:t>
            </w:r>
          </w:p>
        </w:tc>
      </w:tr>
      <w:tr w14:paraId="2DA0A6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83" w:hRule="atLeast"/>
          <w:jc w:val="center"/>
        </w:trPr>
        <w:tc>
          <w:tcPr>
            <w:tcW w:w="2271" w:type="dxa"/>
            <w:vAlign w:val="center"/>
          </w:tcPr>
          <w:p w14:paraId="4802D3D0">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交货（交付）期</w:t>
            </w:r>
          </w:p>
        </w:tc>
        <w:tc>
          <w:tcPr>
            <w:tcW w:w="8087" w:type="dxa"/>
            <w:vAlign w:val="center"/>
          </w:tcPr>
          <w:p w14:paraId="070A4534">
            <w:pPr>
              <w:keepNext w:val="0"/>
              <w:keepLines w:val="0"/>
              <w:pageBreakBefore w:val="0"/>
              <w:widowControl w:val="0"/>
              <w:kinsoku/>
              <w:wordWrap w:val="0"/>
              <w:overflowPunct/>
              <w:topLinePunct/>
              <w:autoSpaceDE/>
              <w:autoSpaceDN/>
              <w:bidi w:val="0"/>
              <w:adjustRightInd/>
              <w:snapToGrid/>
              <w:spacing w:line="360" w:lineRule="auto"/>
              <w:ind w:right="0" w:rightChars="0"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sz w:val="21"/>
                <w:szCs w:val="21"/>
                <w:highlight w:val="none"/>
              </w:rPr>
              <w:t>适用</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不适用</w:t>
            </w:r>
          </w:p>
          <w:p w14:paraId="2FD17DC5">
            <w:pPr>
              <w:keepNext w:val="0"/>
              <w:keepLines w:val="0"/>
              <w:pageBreakBefore w:val="0"/>
              <w:widowControl w:val="0"/>
              <w:kinsoku/>
              <w:wordWrap w:val="0"/>
              <w:overflowPunct/>
              <w:topLinePunct/>
              <w:autoSpaceDE/>
              <w:autoSpaceDN/>
              <w:bidi w:val="0"/>
              <w:adjustRightInd/>
              <w:snapToGrid/>
              <w:spacing w:line="360" w:lineRule="auto"/>
              <w:ind w:right="0" w:rightChars="0" w:firstLine="420" w:firstLineChars="200"/>
              <w:textAlignment w:val="auto"/>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供货周期一年（自签订合同之日起计算），采购产品为一年用量，投标人根据采购人订货计划及时配送（在接到采购人订货通知后24个小时内送达），不确定年供货次数，投标人综合考虑配送成本</w:t>
            </w:r>
            <w:r>
              <w:rPr>
                <w:rFonts w:hint="eastAsia" w:ascii="仿宋" w:hAnsi="仿宋" w:eastAsia="仿宋" w:cs="仿宋"/>
                <w:color w:val="000000" w:themeColor="text1"/>
                <w:sz w:val="21"/>
                <w:szCs w:val="21"/>
                <w:highlight w:val="none"/>
                <w:lang w:eastAsia="zh-CN"/>
                <w14:textFill>
                  <w14:solidFill>
                    <w14:schemeClr w14:val="tx1"/>
                  </w14:solidFill>
                </w14:textFill>
              </w:rPr>
              <w:t>。</w:t>
            </w:r>
          </w:p>
          <w:p w14:paraId="68714576">
            <w:pPr>
              <w:keepNext w:val="0"/>
              <w:keepLines w:val="0"/>
              <w:pageBreakBefore w:val="0"/>
              <w:widowControl w:val="0"/>
              <w:kinsoku/>
              <w:wordWrap w:val="0"/>
              <w:overflowPunct/>
              <w:topLinePunct/>
              <w:autoSpaceDE/>
              <w:autoSpaceDN/>
              <w:bidi w:val="0"/>
              <w:adjustRightInd/>
              <w:snapToGrid/>
              <w:spacing w:line="360" w:lineRule="auto"/>
              <w:ind w:right="0" w:rightChars="0"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适用</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sz w:val="21"/>
                <w:szCs w:val="21"/>
                <w:highlight w:val="none"/>
              </w:rPr>
              <w:t>不适用</w:t>
            </w:r>
          </w:p>
          <w:p w14:paraId="336419E6">
            <w:pPr>
              <w:keepNext w:val="0"/>
              <w:keepLines w:val="0"/>
              <w:pageBreakBefore w:val="0"/>
              <w:widowControl w:val="0"/>
              <w:kinsoku/>
              <w:wordWrap w:val="0"/>
              <w:overflowPunct/>
              <w:topLinePunct/>
              <w:autoSpaceDE/>
              <w:autoSpaceDN/>
              <w:bidi w:val="0"/>
              <w:adjustRightInd/>
              <w:snapToGrid/>
              <w:spacing w:line="360" w:lineRule="auto"/>
              <w:ind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进口产品可以延长至90个日历天内交货（交付）。</w:t>
            </w:r>
          </w:p>
          <w:p w14:paraId="3CE9BE81">
            <w:pPr>
              <w:keepNext w:val="0"/>
              <w:keepLines w:val="0"/>
              <w:pageBreakBefore w:val="0"/>
              <w:widowControl w:val="0"/>
              <w:kinsoku/>
              <w:wordWrap w:val="0"/>
              <w:overflowPunct/>
              <w:topLinePunct/>
              <w:autoSpaceDE/>
              <w:autoSpaceDN/>
              <w:bidi w:val="0"/>
              <w:adjustRightInd/>
              <w:snapToGrid/>
              <w:spacing w:line="360" w:lineRule="auto"/>
              <w:ind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注：</w:t>
            </w:r>
            <w:r>
              <w:rPr>
                <w:rFonts w:hint="eastAsia" w:ascii="仿宋" w:hAnsi="仿宋" w:eastAsia="仿宋" w:cs="仿宋"/>
                <w:color w:val="auto"/>
                <w:sz w:val="21"/>
                <w:szCs w:val="21"/>
                <w:highlight w:val="none"/>
                <w:lang w:eastAsia="zh-CN"/>
              </w:rPr>
              <w:t>投标人可提供更优的交货（交付）期。</w:t>
            </w:r>
          </w:p>
        </w:tc>
      </w:tr>
      <w:tr w14:paraId="55653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6" w:hRule="atLeast"/>
          <w:jc w:val="center"/>
        </w:trPr>
        <w:tc>
          <w:tcPr>
            <w:tcW w:w="2271" w:type="dxa"/>
            <w:vAlign w:val="center"/>
          </w:tcPr>
          <w:p w14:paraId="5E9B9A04">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交货地点</w:t>
            </w:r>
          </w:p>
        </w:tc>
        <w:tc>
          <w:tcPr>
            <w:tcW w:w="8087" w:type="dxa"/>
            <w:vAlign w:val="center"/>
          </w:tcPr>
          <w:p w14:paraId="6F398388">
            <w:pPr>
              <w:keepNext w:val="0"/>
              <w:keepLines w:val="0"/>
              <w:pageBreakBefore w:val="0"/>
              <w:widowControl w:val="0"/>
              <w:kinsoku/>
              <w:wordWrap w:val="0"/>
              <w:overflowPunct/>
              <w:topLinePunct/>
              <w:autoSpaceDE/>
              <w:autoSpaceDN/>
              <w:bidi w:val="0"/>
              <w:adjustRightInd/>
              <w:snapToGrid/>
              <w:spacing w:line="360" w:lineRule="auto"/>
              <w:ind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楚雄彝族自治州人民医院（用户指定地点）</w:t>
            </w:r>
          </w:p>
        </w:tc>
      </w:tr>
      <w:tr w14:paraId="41B4B0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vAlign w:val="center"/>
          </w:tcPr>
          <w:p w14:paraId="2472372F">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投标人的资格要求</w:t>
            </w:r>
          </w:p>
        </w:tc>
        <w:tc>
          <w:tcPr>
            <w:tcW w:w="8087" w:type="dxa"/>
            <w:vAlign w:val="center"/>
          </w:tcPr>
          <w:p w14:paraId="0A4DB77F">
            <w:pPr>
              <w:keepNext w:val="0"/>
              <w:keepLines w:val="0"/>
              <w:pageBreakBefore w:val="0"/>
              <w:widowControl w:val="0"/>
              <w:kinsoku/>
              <w:wordWrap w:val="0"/>
              <w:overflowPunct/>
              <w:topLinePunct/>
              <w:autoSpaceDE/>
              <w:autoSpaceDN/>
              <w:bidi w:val="0"/>
              <w:adjustRightInd/>
              <w:snapToGrid/>
              <w:spacing w:line="360" w:lineRule="auto"/>
              <w:ind w:right="0" w:rightChars="0" w:firstLine="420" w:firstLineChars="200"/>
              <w:textAlignment w:val="auto"/>
              <w:rPr>
                <w:rFonts w:hint="eastAsia" w:ascii="仿宋" w:hAnsi="仿宋" w:eastAsia="仿宋" w:cs="仿宋"/>
                <w:b/>
                <w:bCs/>
                <w:color w:val="auto"/>
                <w:sz w:val="21"/>
                <w:szCs w:val="21"/>
                <w:highlight w:val="none"/>
                <w:lang w:eastAsia="zh-CN"/>
              </w:rPr>
            </w:pPr>
            <w:bookmarkStart w:id="310" w:name="_Toc145164039"/>
            <w:bookmarkStart w:id="311" w:name="_Toc145163961"/>
            <w:r>
              <w:rPr>
                <w:rFonts w:hint="eastAsia" w:ascii="仿宋" w:hAnsi="仿宋" w:eastAsia="仿宋" w:cs="仿宋"/>
                <w:color w:val="auto"/>
                <w:sz w:val="21"/>
                <w:szCs w:val="21"/>
                <w:highlight w:val="none"/>
                <w:lang w:eastAsia="zh-CN"/>
              </w:rPr>
              <w:t>详见第一章 招标公告“二、</w:t>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lang w:eastAsia="zh-CN"/>
              </w:rPr>
              <w:t>的资格要求”</w:t>
            </w:r>
            <w:bookmarkEnd w:id="310"/>
            <w:bookmarkEnd w:id="311"/>
          </w:p>
        </w:tc>
      </w:tr>
      <w:tr w14:paraId="3F8A13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1" w:hRule="atLeast"/>
          <w:jc w:val="center"/>
        </w:trPr>
        <w:tc>
          <w:tcPr>
            <w:tcW w:w="2271" w:type="dxa"/>
            <w:vAlign w:val="center"/>
          </w:tcPr>
          <w:p w14:paraId="40DF3888">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是否接受联合体投标</w:t>
            </w:r>
          </w:p>
        </w:tc>
        <w:tc>
          <w:tcPr>
            <w:tcW w:w="8087" w:type="dxa"/>
            <w:vAlign w:val="center"/>
          </w:tcPr>
          <w:p w14:paraId="25ADFF3E">
            <w:pPr>
              <w:keepNext w:val="0"/>
              <w:keepLines w:val="0"/>
              <w:pageBreakBefore w:val="0"/>
              <w:widowControl w:val="0"/>
              <w:kinsoku/>
              <w:wordWrap w:val="0"/>
              <w:overflowPunct/>
              <w:topLinePunct/>
              <w:autoSpaceDE/>
              <w:autoSpaceDN/>
              <w:bidi w:val="0"/>
              <w:adjustRightInd/>
              <w:snapToGrid/>
              <w:spacing w:line="360" w:lineRule="auto"/>
              <w:ind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■不接受</w:t>
            </w:r>
          </w:p>
          <w:p w14:paraId="6D250C9D">
            <w:pPr>
              <w:keepNext w:val="0"/>
              <w:keepLines w:val="0"/>
              <w:pageBreakBefore w:val="0"/>
              <w:widowControl w:val="0"/>
              <w:kinsoku/>
              <w:wordWrap w:val="0"/>
              <w:overflowPunct/>
              <w:topLinePunct/>
              <w:autoSpaceDE/>
              <w:autoSpaceDN/>
              <w:bidi w:val="0"/>
              <w:adjustRightInd/>
              <w:snapToGrid/>
              <w:spacing w:line="360" w:lineRule="auto"/>
              <w:ind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□接受，应满足下列要求：</w:t>
            </w:r>
          </w:p>
        </w:tc>
      </w:tr>
      <w:tr w14:paraId="37A64F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2" w:hRule="atLeast"/>
          <w:jc w:val="center"/>
        </w:trPr>
        <w:tc>
          <w:tcPr>
            <w:tcW w:w="2271" w:type="dxa"/>
            <w:vAlign w:val="center"/>
          </w:tcPr>
          <w:p w14:paraId="3FA68403">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分包</w:t>
            </w:r>
          </w:p>
        </w:tc>
        <w:tc>
          <w:tcPr>
            <w:tcW w:w="8087" w:type="dxa"/>
            <w:vAlign w:val="center"/>
          </w:tcPr>
          <w:p w14:paraId="2E1F3B0C">
            <w:pPr>
              <w:keepNext w:val="0"/>
              <w:keepLines w:val="0"/>
              <w:pageBreakBefore w:val="0"/>
              <w:widowControl w:val="0"/>
              <w:kinsoku/>
              <w:wordWrap w:val="0"/>
              <w:overflowPunct/>
              <w:topLinePunct/>
              <w:autoSpaceDE/>
              <w:autoSpaceDN/>
              <w:bidi w:val="0"/>
              <w:adjustRightInd/>
              <w:snapToGrid/>
              <w:spacing w:line="360" w:lineRule="auto"/>
              <w:ind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■不允许</w:t>
            </w:r>
          </w:p>
          <w:p w14:paraId="7921945D">
            <w:pPr>
              <w:keepNext w:val="0"/>
              <w:keepLines w:val="0"/>
              <w:pageBreakBefore w:val="0"/>
              <w:widowControl w:val="0"/>
              <w:kinsoku/>
              <w:wordWrap w:val="0"/>
              <w:overflowPunct/>
              <w:topLinePunct/>
              <w:autoSpaceDE/>
              <w:autoSpaceDN/>
              <w:bidi w:val="0"/>
              <w:adjustRightInd/>
              <w:snapToGrid/>
              <w:spacing w:line="360" w:lineRule="auto"/>
              <w:ind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□允许，分包内容要求：</w:t>
            </w:r>
            <w:r>
              <w:rPr>
                <w:rFonts w:hint="eastAsia" w:ascii="仿宋" w:hAnsi="仿宋" w:eastAsia="仿宋" w:cs="仿宋"/>
                <w:color w:val="auto"/>
                <w:sz w:val="21"/>
                <w:szCs w:val="21"/>
                <w:highlight w:val="none"/>
                <w:u w:val="single"/>
                <w:lang w:eastAsia="zh-CN"/>
              </w:rPr>
              <w:t>/</w:t>
            </w:r>
          </w:p>
          <w:p w14:paraId="111BEE71">
            <w:pPr>
              <w:keepNext w:val="0"/>
              <w:keepLines w:val="0"/>
              <w:pageBreakBefore w:val="0"/>
              <w:widowControl w:val="0"/>
              <w:kinsoku/>
              <w:wordWrap w:val="0"/>
              <w:overflowPunct/>
              <w:topLinePunct/>
              <w:autoSpaceDE/>
              <w:autoSpaceDN/>
              <w:bidi w:val="0"/>
              <w:adjustRightInd/>
              <w:snapToGrid/>
              <w:spacing w:line="360" w:lineRule="auto"/>
              <w:ind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分包金额要求：</w:t>
            </w:r>
            <w:r>
              <w:rPr>
                <w:rFonts w:hint="eastAsia" w:ascii="仿宋" w:hAnsi="仿宋" w:eastAsia="仿宋" w:cs="仿宋"/>
                <w:color w:val="auto"/>
                <w:sz w:val="21"/>
                <w:szCs w:val="21"/>
                <w:highlight w:val="none"/>
                <w:u w:val="single"/>
                <w:lang w:eastAsia="zh-CN"/>
              </w:rPr>
              <w:t>/</w:t>
            </w:r>
          </w:p>
          <w:p w14:paraId="407E24CC">
            <w:pPr>
              <w:keepNext w:val="0"/>
              <w:keepLines w:val="0"/>
              <w:pageBreakBefore w:val="0"/>
              <w:widowControl w:val="0"/>
              <w:kinsoku/>
              <w:wordWrap w:val="0"/>
              <w:overflowPunct/>
              <w:topLinePunct/>
              <w:autoSpaceDE/>
              <w:autoSpaceDN/>
              <w:bidi w:val="0"/>
              <w:adjustRightInd/>
              <w:snapToGrid/>
              <w:spacing w:line="360" w:lineRule="auto"/>
              <w:ind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对分包人的资质要求：</w:t>
            </w:r>
            <w:r>
              <w:rPr>
                <w:rFonts w:hint="eastAsia" w:ascii="仿宋" w:hAnsi="仿宋" w:eastAsia="仿宋" w:cs="仿宋"/>
                <w:color w:val="auto"/>
                <w:sz w:val="21"/>
                <w:szCs w:val="21"/>
                <w:highlight w:val="none"/>
                <w:u w:val="single"/>
                <w:lang w:eastAsia="zh-CN"/>
              </w:rPr>
              <w:t>/</w:t>
            </w:r>
          </w:p>
        </w:tc>
      </w:tr>
      <w:tr w14:paraId="49520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1" w:hRule="atLeast"/>
          <w:jc w:val="center"/>
        </w:trPr>
        <w:tc>
          <w:tcPr>
            <w:tcW w:w="2271" w:type="dxa"/>
            <w:vAlign w:val="center"/>
          </w:tcPr>
          <w:p w14:paraId="0BC29B3B">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构成招标文件的其他资料</w:t>
            </w:r>
          </w:p>
        </w:tc>
        <w:tc>
          <w:tcPr>
            <w:tcW w:w="8087" w:type="dxa"/>
            <w:vAlign w:val="center"/>
          </w:tcPr>
          <w:p w14:paraId="4B4D7224">
            <w:pPr>
              <w:keepNext w:val="0"/>
              <w:keepLines w:val="0"/>
              <w:pageBreakBefore w:val="0"/>
              <w:widowControl w:val="0"/>
              <w:kinsoku/>
              <w:wordWrap w:val="0"/>
              <w:overflowPunct/>
              <w:topLinePunct/>
              <w:autoSpaceDE/>
              <w:autoSpaceDN/>
              <w:bidi w:val="0"/>
              <w:adjustRightInd/>
              <w:snapToGrid/>
              <w:spacing w:line="360" w:lineRule="auto"/>
              <w:ind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更正公告及补遗文件（若有）</w:t>
            </w:r>
          </w:p>
        </w:tc>
      </w:tr>
      <w:tr w14:paraId="463BBE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jc w:val="center"/>
        </w:trPr>
        <w:tc>
          <w:tcPr>
            <w:tcW w:w="2271" w:type="dxa"/>
            <w:vAlign w:val="center"/>
          </w:tcPr>
          <w:p w14:paraId="6281A33D">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招标</w:t>
            </w:r>
            <w:r>
              <w:rPr>
                <w:rFonts w:hint="eastAsia" w:ascii="仿宋" w:hAnsi="仿宋" w:eastAsia="仿宋" w:cs="仿宋"/>
                <w:color w:val="auto"/>
                <w:sz w:val="21"/>
                <w:szCs w:val="21"/>
                <w:highlight w:val="none"/>
                <w:lang w:eastAsia="zh-CN"/>
              </w:rPr>
              <w:t>文件澄清截止时间</w:t>
            </w:r>
          </w:p>
        </w:tc>
        <w:tc>
          <w:tcPr>
            <w:tcW w:w="8087" w:type="dxa"/>
            <w:vAlign w:val="center"/>
          </w:tcPr>
          <w:p w14:paraId="48255655">
            <w:pPr>
              <w:keepNext w:val="0"/>
              <w:keepLines w:val="0"/>
              <w:pageBreakBefore w:val="0"/>
              <w:widowControl w:val="0"/>
              <w:kinsoku/>
              <w:wordWrap w:val="0"/>
              <w:overflowPunct/>
              <w:topLinePunct/>
              <w:autoSpaceDE/>
              <w:autoSpaceDN/>
              <w:bidi w:val="0"/>
              <w:adjustRightInd/>
              <w:snapToGrid/>
              <w:spacing w:line="360" w:lineRule="auto"/>
              <w:ind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招标文件澄清截止时间：采购人或者采购代理机构应当在投标截止时间至少</w:t>
            </w:r>
            <w:r>
              <w:rPr>
                <w:rFonts w:hint="eastAsia" w:ascii="仿宋" w:hAnsi="仿宋" w:eastAsia="仿宋" w:cs="仿宋"/>
                <w:color w:val="auto"/>
                <w:sz w:val="21"/>
                <w:szCs w:val="21"/>
                <w:highlight w:val="none"/>
                <w:lang w:val="en-US" w:eastAsia="zh-CN"/>
              </w:rPr>
              <w:t>15</w:t>
            </w:r>
            <w:r>
              <w:rPr>
                <w:rFonts w:hint="eastAsia" w:ascii="仿宋" w:hAnsi="仿宋" w:eastAsia="仿宋" w:cs="仿宋"/>
                <w:color w:val="auto"/>
                <w:sz w:val="21"/>
                <w:szCs w:val="21"/>
                <w:highlight w:val="none"/>
                <w:lang w:eastAsia="zh-CN"/>
              </w:rPr>
              <w:t>日前，以书面形式通知所有获取招标文件的潜在投标人；不足</w:t>
            </w:r>
            <w:r>
              <w:rPr>
                <w:rFonts w:hint="eastAsia" w:ascii="仿宋" w:hAnsi="仿宋" w:eastAsia="仿宋" w:cs="仿宋"/>
                <w:color w:val="auto"/>
                <w:sz w:val="21"/>
                <w:szCs w:val="21"/>
                <w:highlight w:val="none"/>
                <w:lang w:val="en-US" w:eastAsia="zh-CN"/>
              </w:rPr>
              <w:t>15</w:t>
            </w:r>
            <w:r>
              <w:rPr>
                <w:rFonts w:hint="eastAsia" w:ascii="仿宋" w:hAnsi="仿宋" w:eastAsia="仿宋" w:cs="仿宋"/>
                <w:color w:val="auto"/>
                <w:sz w:val="21"/>
                <w:szCs w:val="21"/>
                <w:highlight w:val="none"/>
                <w:lang w:eastAsia="zh-CN"/>
              </w:rPr>
              <w:t>日的，采购人或者采购代理机构应当顺延提交投标文件的截止时间。</w:t>
            </w:r>
          </w:p>
        </w:tc>
      </w:tr>
      <w:tr w14:paraId="38D4C2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 w:hRule="atLeast"/>
          <w:jc w:val="center"/>
        </w:trPr>
        <w:tc>
          <w:tcPr>
            <w:tcW w:w="2271" w:type="dxa"/>
            <w:vAlign w:val="center"/>
          </w:tcPr>
          <w:p w14:paraId="18D0CF4C">
            <w:pPr>
              <w:keepNext w:val="0"/>
              <w:keepLines w:val="0"/>
              <w:pageBreakBefore w:val="0"/>
              <w:widowControl w:val="0"/>
              <w:shd w:val="clear" w:color="auto" w:fill="FFFFFF"/>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招标文件修改发出的形式</w:t>
            </w:r>
          </w:p>
        </w:tc>
        <w:tc>
          <w:tcPr>
            <w:tcW w:w="8087" w:type="dxa"/>
            <w:vAlign w:val="center"/>
          </w:tcPr>
          <w:p w14:paraId="74800AA3">
            <w:pPr>
              <w:keepNext w:val="0"/>
              <w:keepLines w:val="0"/>
              <w:pageBreakBefore w:val="0"/>
              <w:widowControl w:val="0"/>
              <w:kinsoku/>
              <w:wordWrap w:val="0"/>
              <w:overflowPunct/>
              <w:topLinePunct/>
              <w:autoSpaceDE/>
              <w:autoSpaceDN/>
              <w:bidi w:val="0"/>
              <w:adjustRightInd/>
              <w:snapToGrid/>
              <w:spacing w:line="360" w:lineRule="auto"/>
              <w:ind w:right="0" w:firstLine="420" w:firstLineChars="200"/>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在原招标公告发布媒体上发布澄清公告</w:t>
            </w:r>
          </w:p>
        </w:tc>
      </w:tr>
      <w:tr w14:paraId="62A6C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vAlign w:val="center"/>
          </w:tcPr>
          <w:p w14:paraId="60029119">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rPr>
              <w:t>开标时间和地点</w:t>
            </w:r>
          </w:p>
        </w:tc>
        <w:tc>
          <w:tcPr>
            <w:tcW w:w="8087" w:type="dxa"/>
            <w:vAlign w:val="center"/>
          </w:tcPr>
          <w:p w14:paraId="489213E2">
            <w:pPr>
              <w:keepNext w:val="0"/>
              <w:keepLines w:val="0"/>
              <w:pageBreakBefore w:val="0"/>
              <w:widowControl w:val="0"/>
              <w:kinsoku/>
              <w:wordWrap w:val="0"/>
              <w:overflowPunct/>
              <w:topLinePunct/>
              <w:autoSpaceDE/>
              <w:autoSpaceDN/>
              <w:bidi w:val="0"/>
              <w:adjustRightInd/>
              <w:snapToGrid/>
              <w:spacing w:line="360" w:lineRule="auto"/>
              <w:ind w:right="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lang w:val="en-US" w:eastAsia="zh-CN" w:bidi="ar-SA"/>
              </w:rPr>
              <w:t>开标时间：同投标文件提交截止时间；</w:t>
            </w:r>
          </w:p>
          <w:p w14:paraId="5D62298B">
            <w:pPr>
              <w:keepNext w:val="0"/>
              <w:keepLines w:val="0"/>
              <w:pageBreakBefore w:val="0"/>
              <w:widowControl w:val="0"/>
              <w:kinsoku/>
              <w:wordWrap w:val="0"/>
              <w:overflowPunct/>
              <w:topLinePunct/>
              <w:autoSpaceDE/>
              <w:autoSpaceDN/>
              <w:bidi w:val="0"/>
              <w:adjustRightInd/>
              <w:snapToGrid/>
              <w:spacing w:line="360" w:lineRule="auto"/>
              <w:ind w:right="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lang w:val="en-US" w:eastAsia="zh-CN" w:bidi="ar-SA"/>
              </w:rPr>
              <w:t>开标地点：政采云平台（http：//www.zcygov.cn）</w:t>
            </w:r>
          </w:p>
          <w:p w14:paraId="58DD5994">
            <w:pPr>
              <w:keepNext w:val="0"/>
              <w:keepLines w:val="0"/>
              <w:pageBreakBefore w:val="0"/>
              <w:widowControl w:val="0"/>
              <w:kinsoku/>
              <w:wordWrap w:val="0"/>
              <w:overflowPunct/>
              <w:topLinePunct/>
              <w:autoSpaceDE/>
              <w:autoSpaceDN/>
              <w:bidi w:val="0"/>
              <w:adjustRightInd/>
              <w:snapToGrid/>
              <w:spacing w:line="360" w:lineRule="auto"/>
              <w:ind w:right="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lang w:val="en-US" w:eastAsia="zh-CN" w:bidi="ar-SA"/>
              </w:rPr>
              <w:t>注：投标人无需到现场开标。</w:t>
            </w:r>
          </w:p>
          <w:p w14:paraId="438F4454">
            <w:pPr>
              <w:keepNext w:val="0"/>
              <w:keepLines w:val="0"/>
              <w:pageBreakBefore w:val="0"/>
              <w:widowControl w:val="0"/>
              <w:kinsoku/>
              <w:wordWrap w:val="0"/>
              <w:overflowPunct/>
              <w:topLinePunct/>
              <w:autoSpaceDE/>
              <w:autoSpaceDN/>
              <w:bidi w:val="0"/>
              <w:adjustRightInd/>
              <w:snapToGrid/>
              <w:spacing w:line="360" w:lineRule="auto"/>
              <w:ind w:right="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lang w:val="en-US" w:eastAsia="zh-CN" w:bidi="ar-SA"/>
              </w:rPr>
              <w:t>投标人应按照本项目采购文件和“政采云”平台的要求编制、加密后在投标文件提交截止时间前上传至“政采云”平台，按《投标人操作指南》（https://edu.zcygov.cn/luban/yunnan-dzjy-gys?utm=a0017.b3687.48.18.4b09ec80cbc911edb8a97356c5970511）完成远程投标文件解密等相关操作。投标文件提交截止时间前未完成投标文件上传的，视为撤回投标文件。若投标人未在规定时间完成投标文件解密，则视为无效投标，不再进入评审阶段。投标人在“政采云”平台提交电子版投标文件时，请填写参加远程采购活动经办人联系方式。</w:t>
            </w:r>
          </w:p>
        </w:tc>
      </w:tr>
      <w:tr w14:paraId="689E9C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7" w:hRule="atLeast"/>
          <w:jc w:val="center"/>
        </w:trPr>
        <w:tc>
          <w:tcPr>
            <w:tcW w:w="2271" w:type="dxa"/>
            <w:vAlign w:val="center"/>
          </w:tcPr>
          <w:p w14:paraId="2F2D3593">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构成投标文件的其他资料</w:t>
            </w:r>
          </w:p>
        </w:tc>
        <w:tc>
          <w:tcPr>
            <w:tcW w:w="8087" w:type="dxa"/>
            <w:vAlign w:val="center"/>
          </w:tcPr>
          <w:p w14:paraId="6976D8D4">
            <w:pPr>
              <w:keepNext w:val="0"/>
              <w:keepLines w:val="0"/>
              <w:pageBreakBefore w:val="0"/>
              <w:widowControl w:val="0"/>
              <w:kinsoku/>
              <w:wordWrap w:val="0"/>
              <w:overflowPunct/>
              <w:topLinePunct/>
              <w:autoSpaceDE/>
              <w:autoSpaceDN/>
              <w:bidi w:val="0"/>
              <w:adjustRightInd/>
              <w:snapToGrid/>
              <w:spacing w:line="360" w:lineRule="auto"/>
              <w:ind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1、“第四章 采购需求及要求”“第</w:t>
            </w:r>
            <w:r>
              <w:rPr>
                <w:rFonts w:hint="eastAsia" w:ascii="仿宋" w:hAnsi="仿宋" w:eastAsia="仿宋" w:cs="仿宋"/>
                <w:color w:val="auto"/>
                <w:sz w:val="21"/>
                <w:szCs w:val="21"/>
                <w:highlight w:val="none"/>
                <w:lang w:val="en-US" w:eastAsia="zh-CN"/>
              </w:rPr>
              <w:t>六</w:t>
            </w:r>
            <w:r>
              <w:rPr>
                <w:rFonts w:hint="eastAsia" w:ascii="仿宋" w:hAnsi="仿宋" w:eastAsia="仿宋" w:cs="仿宋"/>
                <w:color w:val="auto"/>
                <w:sz w:val="21"/>
                <w:szCs w:val="21"/>
                <w:highlight w:val="none"/>
                <w:lang w:eastAsia="zh-CN"/>
              </w:rPr>
              <w:t>章</w:t>
            </w:r>
            <w:r>
              <w:rPr>
                <w:rFonts w:hint="eastAsia" w:ascii="仿宋" w:hAnsi="仿宋" w:eastAsia="仿宋" w:cs="仿宋"/>
                <w:color w:val="auto"/>
                <w:sz w:val="21"/>
                <w:szCs w:val="21"/>
                <w:highlight w:val="none"/>
                <w:lang w:val="en-US" w:eastAsia="zh-CN"/>
              </w:rPr>
              <w:t xml:space="preserve"> 投标文件格式</w:t>
            </w:r>
            <w:r>
              <w:rPr>
                <w:rFonts w:hint="eastAsia" w:ascii="仿宋" w:hAnsi="仿宋" w:eastAsia="仿宋" w:cs="仿宋"/>
                <w:color w:val="auto"/>
                <w:sz w:val="21"/>
                <w:szCs w:val="21"/>
                <w:highlight w:val="none"/>
                <w:lang w:eastAsia="zh-CN"/>
              </w:rPr>
              <w:t>”中要求提供的其他资料；</w:t>
            </w:r>
          </w:p>
          <w:p w14:paraId="24B63334">
            <w:pPr>
              <w:keepNext w:val="0"/>
              <w:keepLines w:val="0"/>
              <w:pageBreakBefore w:val="0"/>
              <w:widowControl w:val="0"/>
              <w:kinsoku/>
              <w:wordWrap w:val="0"/>
              <w:overflowPunct/>
              <w:topLinePunct/>
              <w:autoSpaceDE/>
              <w:autoSpaceDN/>
              <w:bidi w:val="0"/>
              <w:adjustRightInd/>
              <w:snapToGrid/>
              <w:spacing w:line="360" w:lineRule="auto"/>
              <w:ind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2、招标文件中所涉及的相关资料及证明文件或投标人认为必须提供的其他相关资料。</w:t>
            </w:r>
          </w:p>
        </w:tc>
      </w:tr>
      <w:tr w14:paraId="51DD7B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vAlign w:val="center"/>
          </w:tcPr>
          <w:p w14:paraId="52BB0333">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lang w:eastAsia="zh-CN"/>
              </w:rPr>
              <w:t>投标文件的签署</w:t>
            </w:r>
          </w:p>
        </w:tc>
        <w:tc>
          <w:tcPr>
            <w:tcW w:w="8087" w:type="dxa"/>
            <w:vAlign w:val="center"/>
          </w:tcPr>
          <w:p w14:paraId="36C261E8">
            <w:pPr>
              <w:keepNext w:val="0"/>
              <w:keepLines w:val="0"/>
              <w:pageBreakBefore w:val="0"/>
              <w:widowControl w:val="0"/>
              <w:kinsoku/>
              <w:wordWrap w:val="0"/>
              <w:overflowPunct/>
              <w:topLinePunct/>
              <w:autoSpaceDE/>
              <w:autoSpaceDN/>
              <w:bidi w:val="0"/>
              <w:adjustRightInd/>
              <w:snapToGrid/>
              <w:spacing w:line="360" w:lineRule="auto"/>
              <w:ind w:right="0" w:rightChars="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lang w:val="en-US" w:eastAsia="zh-CN" w:bidi="ar-SA"/>
              </w:rPr>
              <w:t>按照投标文件格式，在规定的电子签名处逐一电子签名（电子签名或电子签章），要求盖章处应盖单位章（电子公章）。</w:t>
            </w:r>
          </w:p>
        </w:tc>
      </w:tr>
      <w:tr w14:paraId="4CFA32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vAlign w:val="center"/>
          </w:tcPr>
          <w:p w14:paraId="2F989099">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上传投标文件</w:t>
            </w:r>
          </w:p>
        </w:tc>
        <w:tc>
          <w:tcPr>
            <w:tcW w:w="8087" w:type="dxa"/>
            <w:vAlign w:val="center"/>
          </w:tcPr>
          <w:p w14:paraId="24A37681">
            <w:pPr>
              <w:keepNext w:val="0"/>
              <w:keepLines w:val="0"/>
              <w:pageBreakBefore w:val="0"/>
              <w:widowControl w:val="0"/>
              <w:kinsoku/>
              <w:wordWrap w:val="0"/>
              <w:overflowPunct/>
              <w:topLinePunct/>
              <w:autoSpaceDE/>
              <w:autoSpaceDN/>
              <w:bidi w:val="0"/>
              <w:adjustRightInd/>
              <w:snapToGrid/>
              <w:spacing w:line="360" w:lineRule="auto"/>
              <w:ind w:right="0" w:rightChars="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lang w:val="en-US" w:eastAsia="zh-CN"/>
              </w:rPr>
              <w:t>投标人在上传投标文件时，“商务及技术文件”部分须将整份标响应文件（含封面及目录）上传。</w:t>
            </w:r>
          </w:p>
        </w:tc>
      </w:tr>
      <w:tr w14:paraId="5D0C41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99" w:hRule="atLeast"/>
          <w:jc w:val="center"/>
        </w:trPr>
        <w:tc>
          <w:tcPr>
            <w:tcW w:w="2271" w:type="dxa"/>
            <w:vAlign w:val="center"/>
          </w:tcPr>
          <w:p w14:paraId="38AC1BDB">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lang w:eastAsia="zh-CN"/>
              </w:rPr>
              <w:t>评审</w:t>
            </w:r>
            <w:r>
              <w:rPr>
                <w:rFonts w:hint="eastAsia" w:ascii="仿宋" w:hAnsi="仿宋" w:eastAsia="仿宋" w:cs="仿宋"/>
                <w:color w:val="auto"/>
                <w:sz w:val="21"/>
                <w:szCs w:val="21"/>
                <w:highlight w:val="none"/>
              </w:rPr>
              <w:t>委员会的组建</w:t>
            </w:r>
          </w:p>
        </w:tc>
        <w:tc>
          <w:tcPr>
            <w:tcW w:w="8087" w:type="dxa"/>
            <w:vAlign w:val="center"/>
          </w:tcPr>
          <w:p w14:paraId="1EAB0ACA">
            <w:pPr>
              <w:keepNext w:val="0"/>
              <w:keepLines w:val="0"/>
              <w:pageBreakBefore w:val="0"/>
              <w:widowControl w:val="0"/>
              <w:kinsoku/>
              <w:wordWrap w:val="0"/>
              <w:overflowPunct/>
              <w:topLinePunct/>
              <w:autoSpaceDE/>
              <w:autoSpaceDN/>
              <w:bidi w:val="0"/>
              <w:adjustRightInd/>
              <w:snapToGrid/>
              <w:spacing w:line="360" w:lineRule="auto"/>
              <w:ind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lang w:eastAsia="zh-CN"/>
              </w:rPr>
              <w:t>评审</w:t>
            </w:r>
            <w:r>
              <w:rPr>
                <w:rFonts w:hint="eastAsia" w:ascii="仿宋" w:hAnsi="仿宋" w:eastAsia="仿宋" w:cs="仿宋"/>
                <w:color w:val="auto"/>
                <w:sz w:val="21"/>
                <w:szCs w:val="21"/>
                <w:highlight w:val="none"/>
              </w:rPr>
              <w:t>委员会由</w:t>
            </w:r>
            <w:r>
              <w:rPr>
                <w:rFonts w:hint="eastAsia" w:ascii="仿宋" w:hAnsi="仿宋" w:eastAsia="仿宋" w:cs="仿宋"/>
                <w:color w:val="auto"/>
                <w:sz w:val="21"/>
                <w:szCs w:val="21"/>
                <w:highlight w:val="none"/>
                <w:lang w:eastAsia="zh-CN"/>
              </w:rPr>
              <w:t>采购人</w:t>
            </w:r>
            <w:r>
              <w:rPr>
                <w:rFonts w:hint="eastAsia" w:ascii="仿宋" w:hAnsi="仿宋" w:eastAsia="仿宋" w:cs="仿宋"/>
                <w:color w:val="auto"/>
                <w:sz w:val="21"/>
                <w:szCs w:val="21"/>
                <w:highlight w:val="none"/>
              </w:rPr>
              <w:t>代表和有关技术、经济等方面的专家组成，成员人数应当为5人或以上单数。技术、经济等方面的专家不得少于成员总数的三分之二。</w:t>
            </w:r>
          </w:p>
          <w:p w14:paraId="00864287">
            <w:pPr>
              <w:keepNext w:val="0"/>
              <w:keepLines w:val="0"/>
              <w:pageBreakBefore w:val="0"/>
              <w:widowControl w:val="0"/>
              <w:kinsoku/>
              <w:wordWrap w:val="0"/>
              <w:overflowPunct/>
              <w:topLinePunct/>
              <w:autoSpaceDE/>
              <w:autoSpaceDN/>
              <w:bidi w:val="0"/>
              <w:adjustRightInd/>
              <w:snapToGrid/>
              <w:spacing w:line="360" w:lineRule="auto"/>
              <w:ind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专家确定方式：从</w:t>
            </w:r>
            <w:r>
              <w:rPr>
                <w:rFonts w:hint="eastAsia" w:ascii="仿宋" w:hAnsi="仿宋" w:eastAsia="仿宋" w:cs="仿宋"/>
                <w:color w:val="auto"/>
                <w:sz w:val="21"/>
                <w:szCs w:val="21"/>
                <w:highlight w:val="none"/>
                <w:lang w:eastAsia="zh-CN"/>
              </w:rPr>
              <w:t>“云南省政府采购评审专家库”</w:t>
            </w:r>
            <w:r>
              <w:rPr>
                <w:rFonts w:hint="eastAsia" w:ascii="仿宋" w:hAnsi="仿宋" w:eastAsia="仿宋" w:cs="仿宋"/>
                <w:color w:val="auto"/>
                <w:sz w:val="21"/>
                <w:szCs w:val="21"/>
                <w:highlight w:val="none"/>
              </w:rPr>
              <w:t>中</w:t>
            </w:r>
            <w:r>
              <w:rPr>
                <w:rFonts w:hint="eastAsia" w:ascii="仿宋" w:hAnsi="仿宋" w:eastAsia="仿宋" w:cs="仿宋"/>
                <w:color w:val="auto"/>
                <w:sz w:val="21"/>
                <w:szCs w:val="21"/>
                <w:highlight w:val="none"/>
                <w:lang w:val="en-US" w:eastAsia="zh-CN"/>
              </w:rPr>
              <w:t>随机抽取</w:t>
            </w:r>
            <w:r>
              <w:rPr>
                <w:rFonts w:hint="eastAsia" w:ascii="仿宋" w:hAnsi="仿宋" w:eastAsia="仿宋" w:cs="仿宋"/>
                <w:color w:val="auto"/>
                <w:sz w:val="21"/>
                <w:szCs w:val="21"/>
                <w:highlight w:val="none"/>
              </w:rPr>
              <w:t>。</w:t>
            </w:r>
          </w:p>
          <w:p w14:paraId="0C5820B1">
            <w:pPr>
              <w:keepNext w:val="0"/>
              <w:keepLines w:val="0"/>
              <w:pageBreakBefore w:val="0"/>
              <w:widowControl w:val="0"/>
              <w:kinsoku/>
              <w:wordWrap w:val="0"/>
              <w:overflowPunct/>
              <w:topLinePunct/>
              <w:autoSpaceDE/>
              <w:autoSpaceDN/>
              <w:bidi w:val="0"/>
              <w:adjustRightInd/>
              <w:snapToGrid/>
              <w:spacing w:line="360" w:lineRule="auto"/>
              <w:ind w:right="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lang w:eastAsia="zh-CN"/>
              </w:rPr>
              <w:t>评审</w:t>
            </w:r>
            <w:r>
              <w:rPr>
                <w:rFonts w:hint="eastAsia" w:ascii="仿宋" w:hAnsi="仿宋" w:eastAsia="仿宋" w:cs="仿宋"/>
                <w:color w:val="auto"/>
                <w:sz w:val="21"/>
                <w:szCs w:val="21"/>
                <w:highlight w:val="none"/>
              </w:rPr>
              <w:t>委员会应当推选组长，但</w:t>
            </w:r>
            <w:r>
              <w:rPr>
                <w:rFonts w:hint="eastAsia" w:ascii="仿宋" w:hAnsi="仿宋" w:eastAsia="仿宋" w:cs="仿宋"/>
                <w:color w:val="auto"/>
                <w:sz w:val="21"/>
                <w:szCs w:val="21"/>
                <w:highlight w:val="none"/>
                <w:lang w:eastAsia="zh-CN"/>
              </w:rPr>
              <w:t>采购</w:t>
            </w:r>
            <w:r>
              <w:rPr>
                <w:rFonts w:hint="eastAsia" w:ascii="仿宋" w:hAnsi="仿宋" w:eastAsia="仿宋" w:cs="仿宋"/>
                <w:color w:val="auto"/>
                <w:sz w:val="21"/>
                <w:szCs w:val="21"/>
                <w:highlight w:val="none"/>
              </w:rPr>
              <w:t>人代表不得担任组长。</w:t>
            </w:r>
          </w:p>
        </w:tc>
      </w:tr>
      <w:tr w14:paraId="421E6E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 w:hRule="atLeast"/>
          <w:jc w:val="center"/>
        </w:trPr>
        <w:tc>
          <w:tcPr>
            <w:tcW w:w="2271" w:type="dxa"/>
            <w:vAlign w:val="center"/>
          </w:tcPr>
          <w:p w14:paraId="73E188B3">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采购预算</w:t>
            </w:r>
          </w:p>
          <w:p w14:paraId="47193F8F">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（最高限价）</w:t>
            </w:r>
          </w:p>
        </w:tc>
        <w:tc>
          <w:tcPr>
            <w:tcW w:w="8087" w:type="dxa"/>
            <w:vAlign w:val="center"/>
          </w:tcPr>
          <w:p w14:paraId="3B2161AD">
            <w:pPr>
              <w:keepNext w:val="0"/>
              <w:keepLines w:val="0"/>
              <w:pageBreakBefore w:val="0"/>
              <w:widowControl w:val="0"/>
              <w:kinsoku/>
              <w:wordWrap w:val="0"/>
              <w:overflowPunct/>
              <w:topLinePunct/>
              <w:autoSpaceDE/>
              <w:autoSpaceDN/>
              <w:bidi w:val="0"/>
              <w:adjustRightInd/>
              <w:snapToGrid/>
              <w:spacing w:line="360" w:lineRule="auto"/>
              <w:ind w:right="0" w:firstLine="211" w:firstLineChars="100"/>
              <w:textAlignment w:val="auto"/>
              <w:rPr>
                <w:rFonts w:hint="eastAsia" w:ascii="仿宋" w:hAnsi="仿宋" w:eastAsia="仿宋" w:cs="仿宋"/>
                <w:b/>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rPr>
              <w:t>最高限价：</w:t>
            </w:r>
            <w:r>
              <w:rPr>
                <w:rFonts w:hint="eastAsia" w:ascii="仿宋" w:hAnsi="仿宋" w:eastAsia="仿宋" w:cs="仿宋"/>
                <w:color w:val="auto"/>
                <w:sz w:val="21"/>
                <w:szCs w:val="21"/>
                <w:highlight w:val="none"/>
                <w:lang w:val="en-US" w:eastAsia="zh-CN"/>
              </w:rPr>
              <w:t>本项目为单价采购，投标人报价单价有任意一项超过最高单价的均作为无效投标处理，最高单价详见第四章《采购需求及要求及要求》。</w:t>
            </w:r>
          </w:p>
        </w:tc>
      </w:tr>
      <w:tr w14:paraId="4474BF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 w:hRule="atLeast"/>
          <w:jc w:val="center"/>
        </w:trPr>
        <w:tc>
          <w:tcPr>
            <w:tcW w:w="2271" w:type="dxa"/>
            <w:vAlign w:val="center"/>
          </w:tcPr>
          <w:p w14:paraId="2A97ACBE">
            <w:pPr>
              <w:keepNext w:val="0"/>
              <w:keepLines w:val="0"/>
              <w:pageBreakBefore w:val="0"/>
              <w:widowControl w:val="0"/>
              <w:shd w:val="clear" w:color="auto" w:fill="FFFFFF"/>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追加合同金额</w:t>
            </w:r>
          </w:p>
        </w:tc>
        <w:tc>
          <w:tcPr>
            <w:tcW w:w="8087" w:type="dxa"/>
            <w:vAlign w:val="center"/>
          </w:tcPr>
          <w:p w14:paraId="23714DA9">
            <w:pPr>
              <w:keepNext w:val="0"/>
              <w:keepLines w:val="0"/>
              <w:pageBreakBefore w:val="0"/>
              <w:widowControl w:val="0"/>
              <w:kinsoku/>
              <w:wordWrap w:val="0"/>
              <w:overflowPunct/>
              <w:topLinePunct/>
              <w:autoSpaceDE/>
              <w:autoSpaceDN/>
              <w:bidi w:val="0"/>
              <w:adjustRightInd/>
              <w:snapToGrid/>
              <w:spacing w:line="360" w:lineRule="auto"/>
              <w:ind w:left="0" w:right="0" w:firstLine="420" w:firstLineChars="200"/>
              <w:textAlignment w:val="auto"/>
              <w:rPr>
                <w:rFonts w:hint="eastAsia" w:ascii="仿宋" w:hAnsi="仿宋" w:eastAsia="仿宋" w:cs="仿宋"/>
                <w:b/>
                <w:color w:val="auto"/>
                <w:kern w:val="2"/>
                <w:sz w:val="21"/>
                <w:szCs w:val="21"/>
                <w:highlight w:val="none"/>
                <w:lang w:val="en-US" w:eastAsia="zh-CN" w:bidi="ar-SA"/>
              </w:rPr>
            </w:pPr>
            <w:r>
              <w:rPr>
                <w:rFonts w:hint="eastAsia" w:ascii="仿宋" w:hAnsi="仿宋" w:eastAsia="仿宋" w:cs="仿宋"/>
                <w:color w:val="auto"/>
                <w:sz w:val="21"/>
                <w:szCs w:val="21"/>
                <w:highlight w:val="none"/>
                <w:shd w:val="clear" w:color="auto" w:fill="FFFFFF"/>
              </w:rPr>
              <w:t>政府采购合同履行中，采购人需追加与合同标的相同的货物、工程或者服务的，在不改变合同其他条款的前提下，可以与中标人协商签订补充合同，但所有补充合同的采购金额不得超过原合同采购金额的</w:t>
            </w:r>
            <w:r>
              <w:rPr>
                <w:rFonts w:hint="eastAsia" w:ascii="仿宋" w:hAnsi="仿宋" w:eastAsia="仿宋" w:cs="仿宋"/>
                <w:color w:val="auto"/>
                <w:sz w:val="21"/>
                <w:szCs w:val="21"/>
                <w:highlight w:val="none"/>
                <w:shd w:val="clear" w:color="auto" w:fill="FFFFFF"/>
                <w:lang w:eastAsia="zh-CN"/>
              </w:rPr>
              <w:t>10%</w:t>
            </w:r>
            <w:r>
              <w:rPr>
                <w:rFonts w:hint="eastAsia" w:ascii="仿宋" w:hAnsi="仿宋" w:eastAsia="仿宋" w:cs="仿宋"/>
                <w:color w:val="auto"/>
                <w:sz w:val="21"/>
                <w:szCs w:val="21"/>
                <w:highlight w:val="none"/>
                <w:shd w:val="clear" w:color="auto" w:fill="FFFFFF"/>
              </w:rPr>
              <w:t>。</w:t>
            </w:r>
          </w:p>
        </w:tc>
      </w:tr>
      <w:tr w14:paraId="5181EB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vAlign w:val="center"/>
          </w:tcPr>
          <w:p w14:paraId="63915E85">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eastAsia" w:ascii="仿宋" w:hAnsi="仿宋" w:eastAsia="仿宋" w:cs="仿宋"/>
                <w:snapToGrid w:val="0"/>
                <w:color w:val="auto"/>
                <w:kern w:val="2"/>
                <w:sz w:val="21"/>
                <w:szCs w:val="21"/>
                <w:highlight w:val="none"/>
                <w:lang w:val="en-US" w:eastAsia="zh-CN" w:bidi="ar-SA"/>
              </w:rPr>
            </w:pPr>
            <w:r>
              <w:rPr>
                <w:rFonts w:hint="eastAsia" w:ascii="仿宋" w:hAnsi="仿宋" w:eastAsia="仿宋" w:cs="仿宋"/>
                <w:color w:val="auto"/>
                <w:sz w:val="21"/>
                <w:szCs w:val="21"/>
                <w:highlight w:val="none"/>
              </w:rPr>
              <w:t>投标报价</w:t>
            </w:r>
          </w:p>
        </w:tc>
        <w:tc>
          <w:tcPr>
            <w:tcW w:w="8087" w:type="dxa"/>
            <w:vAlign w:val="center"/>
          </w:tcPr>
          <w:p w14:paraId="1C8E959B">
            <w:pPr>
              <w:keepNext w:val="0"/>
              <w:keepLines w:val="0"/>
              <w:pageBreakBefore w:val="0"/>
              <w:widowControl w:val="0"/>
              <w:kinsoku/>
              <w:wordWrap w:val="0"/>
              <w:overflowPunct/>
              <w:topLinePunct/>
              <w:autoSpaceDE/>
              <w:autoSpaceDN/>
              <w:bidi w:val="0"/>
              <w:adjustRightInd/>
              <w:snapToGrid/>
              <w:spacing w:line="360" w:lineRule="auto"/>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投标报价的特殊规定：</w:t>
            </w:r>
          </w:p>
          <w:p w14:paraId="0BCDDF01">
            <w:pPr>
              <w:keepNext w:val="0"/>
              <w:keepLines w:val="0"/>
              <w:pageBreakBefore w:val="0"/>
              <w:widowControl w:val="0"/>
              <w:kinsoku/>
              <w:wordWrap w:val="0"/>
              <w:overflowPunct/>
              <w:topLinePunct/>
              <w:autoSpaceDE/>
              <w:autoSpaceDN/>
              <w:bidi w:val="0"/>
              <w:adjustRightInd/>
              <w:snapToGrid/>
              <w:spacing w:line="360" w:lineRule="auto"/>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无</w:t>
            </w:r>
          </w:p>
          <w:p w14:paraId="2C3DBFC8">
            <w:pPr>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■有</w:t>
            </w:r>
          </w:p>
          <w:p w14:paraId="12E3614F">
            <w:pPr>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jc w:val="left"/>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rPr>
              <w:t>具体情形：</w:t>
            </w:r>
            <w:r>
              <w:rPr>
                <w:rFonts w:hint="eastAsia" w:ascii="仿宋" w:hAnsi="仿宋" w:eastAsia="仿宋" w:cs="仿宋"/>
                <w:color w:val="auto"/>
                <w:sz w:val="21"/>
                <w:szCs w:val="21"/>
                <w:highlight w:val="none"/>
                <w:lang w:val="zh-CN"/>
              </w:rPr>
              <w:t xml:space="preserve">项目为交钥匙项目。人民币完税报价。 </w:t>
            </w:r>
          </w:p>
          <w:p w14:paraId="39954A95">
            <w:pPr>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jc w:val="left"/>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包括但不仅限于货物的出厂价、随机备品备件、运杂费、</w:t>
            </w:r>
            <w:r>
              <w:rPr>
                <w:rFonts w:hint="eastAsia" w:ascii="仿宋" w:hAnsi="仿宋" w:eastAsia="仿宋" w:cs="仿宋"/>
                <w:color w:val="auto"/>
                <w:sz w:val="21"/>
                <w:szCs w:val="21"/>
                <w:highlight w:val="none"/>
                <w:lang w:val="zh-CN" w:eastAsia="zh-CN"/>
              </w:rPr>
              <w:t>采购代理服务费、</w:t>
            </w:r>
            <w:r>
              <w:rPr>
                <w:rFonts w:hint="eastAsia" w:ascii="仿宋" w:hAnsi="仿宋" w:eastAsia="仿宋" w:cs="仿宋"/>
                <w:color w:val="auto"/>
                <w:sz w:val="21"/>
                <w:szCs w:val="21"/>
                <w:highlight w:val="none"/>
                <w:lang w:val="zh-CN"/>
              </w:rPr>
              <w:t>投标人技术服务费、保证期内缺陷的修复补救费用、市场价格变化的风险费用、利润、税金等响应招标文件所有技术、商务要求的价格总和，该报价应考虑市场风险、政策性风险、汇率风险等因素，并能保证投标人完成履行合同所需的全部工作，此价格在合同签订后不得调整。</w:t>
            </w:r>
          </w:p>
          <w:p w14:paraId="13AE101C">
            <w:pPr>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jc w:val="left"/>
              <w:textAlignment w:val="auto"/>
              <w:rPr>
                <w:rFonts w:hint="eastAsia" w:ascii="仿宋" w:hAnsi="仿宋" w:eastAsia="仿宋" w:cs="仿宋"/>
                <w:b/>
                <w:bCs/>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lang w:val="zh-CN"/>
              </w:rPr>
              <w:t>凡投标人在报价中未列的项目或遗漏项目，采购人将一律视为已包括在其报价中，在合同执行中将不予考虑。投标人应根据现场实际情况进行复核，如需调整视为投标人风险自担，采购人将不在采购报价外追加费用。</w:t>
            </w:r>
          </w:p>
        </w:tc>
      </w:tr>
      <w:tr w14:paraId="5B53F7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53" w:hRule="atLeast"/>
          <w:jc w:val="center"/>
        </w:trPr>
        <w:tc>
          <w:tcPr>
            <w:tcW w:w="2271" w:type="dxa"/>
            <w:vAlign w:val="center"/>
          </w:tcPr>
          <w:p w14:paraId="3CD61A3E">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投标</w:t>
            </w:r>
            <w:r>
              <w:rPr>
                <w:rFonts w:hint="eastAsia" w:ascii="仿宋" w:hAnsi="仿宋" w:eastAsia="仿宋" w:cs="仿宋"/>
                <w:color w:val="auto"/>
                <w:sz w:val="21"/>
                <w:szCs w:val="21"/>
                <w:highlight w:val="none"/>
              </w:rPr>
              <w:t>保证金</w:t>
            </w:r>
          </w:p>
        </w:tc>
        <w:tc>
          <w:tcPr>
            <w:tcW w:w="8087" w:type="dxa"/>
            <w:vAlign w:val="center"/>
          </w:tcPr>
          <w:p w14:paraId="0CD679E7">
            <w:pPr>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□不要求递交投标保证金</w:t>
            </w:r>
          </w:p>
          <w:p w14:paraId="4F845097">
            <w:pPr>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要求递交投标保证金</w:t>
            </w:r>
          </w:p>
          <w:p w14:paraId="19E8F815">
            <w:pPr>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投标保证金的缴纳时间以实际到账的时间为准，未按时到账的投标保证金无效。投标保证金的交付人和投标人的名称必须一致，否则其投标文件将被否决。</w:t>
            </w:r>
          </w:p>
          <w:p w14:paraId="5AA6E980">
            <w:pPr>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jc w:val="left"/>
              <w:textAlignment w:val="auto"/>
              <w:rPr>
                <w:rFonts w:hint="eastAsia" w:ascii="仿宋" w:hAnsi="仿宋" w:eastAsia="仿宋" w:cs="仿宋"/>
                <w:b/>
                <w:bCs/>
                <w:color w:val="auto"/>
                <w:sz w:val="21"/>
                <w:szCs w:val="21"/>
                <w:highlight w:val="none"/>
                <w:lang w:eastAsia="zh-CN"/>
              </w:rPr>
            </w:pPr>
            <w:r>
              <w:rPr>
                <w:rFonts w:hint="eastAsia" w:ascii="仿宋" w:hAnsi="仿宋" w:eastAsia="仿宋" w:cs="仿宋"/>
                <w:color w:val="auto"/>
                <w:sz w:val="21"/>
                <w:szCs w:val="21"/>
                <w:highlight w:val="none"/>
                <w:lang w:eastAsia="zh-CN"/>
              </w:rPr>
              <w:t>投标保证金的缴纳方式：</w:t>
            </w:r>
            <w:r>
              <w:rPr>
                <w:rFonts w:hint="eastAsia" w:ascii="仿宋" w:hAnsi="仿宋" w:eastAsia="仿宋" w:cs="仿宋"/>
                <w:bCs/>
                <w:color w:val="auto"/>
                <w:sz w:val="21"/>
                <w:szCs w:val="21"/>
                <w:highlight w:val="none"/>
                <w:lang w:bidi="ar"/>
              </w:rPr>
              <w:t>支票、汇票、本票、保函或者网银转账、电汇等形式</w:t>
            </w:r>
            <w:r>
              <w:rPr>
                <w:rFonts w:hint="eastAsia" w:ascii="仿宋" w:hAnsi="仿宋" w:eastAsia="仿宋" w:cs="仿宋"/>
                <w:color w:val="auto"/>
                <w:sz w:val="21"/>
                <w:szCs w:val="21"/>
                <w:highlight w:val="none"/>
                <w:lang w:eastAsia="zh-CN"/>
              </w:rPr>
              <w:t>，投标人可根据实际情况，选择保证金的缴纳方式。</w:t>
            </w:r>
          </w:p>
          <w:p w14:paraId="39D50CA7">
            <w:pPr>
              <w:keepNext w:val="0"/>
              <w:keepLines w:val="0"/>
              <w:pageBreakBefore w:val="0"/>
              <w:widowControl w:val="0"/>
              <w:kinsoku/>
              <w:wordWrap w:val="0"/>
              <w:overflowPunct/>
              <w:topLinePunct/>
              <w:autoSpaceDE/>
              <w:autoSpaceDN/>
              <w:bidi w:val="0"/>
              <w:adjustRightInd/>
              <w:snapToGrid/>
              <w:spacing w:line="360" w:lineRule="auto"/>
              <w:ind w:left="0" w:right="0" w:rightChars="0" w:firstLine="422" w:firstLineChars="200"/>
              <w:jc w:val="left"/>
              <w:textAlignment w:val="auto"/>
              <w:rPr>
                <w:rFonts w:hint="eastAsia" w:ascii="仿宋" w:hAnsi="仿宋" w:eastAsia="仿宋" w:cs="仿宋"/>
                <w:b w:val="0"/>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投标保证金金额：</w:t>
            </w:r>
            <w:r>
              <w:rPr>
                <w:rFonts w:hint="eastAsia" w:ascii="仿宋" w:hAnsi="仿宋" w:eastAsia="仿宋" w:cs="仿宋"/>
                <w:b w:val="0"/>
                <w:color w:val="auto"/>
                <w:sz w:val="21"/>
                <w:szCs w:val="21"/>
                <w:highlight w:val="none"/>
                <w:lang w:val="en-US" w:eastAsia="zh-CN"/>
              </w:rPr>
              <w:t>根据《云南省发展和改革委员会等部门关于鼓励减免政府投资项目投标保证金的通知》（云发改交易管理〔2023〕397号）文件精神，自2023年5月1日起，政府投资项目进行招标投标活动时，减免投标保证金，降幅不得低于现收取数额的50%，采购人、招标代理机构应当在招标文件中明确减免投标保证金的情况。本项目投标保证金均按标准下浮50%收取。</w:t>
            </w:r>
          </w:p>
          <w:p w14:paraId="303717B9">
            <w:pPr>
              <w:keepNext w:val="0"/>
              <w:keepLines w:val="0"/>
              <w:pageBreakBefore w:val="0"/>
              <w:widowControl w:val="0"/>
              <w:kinsoku/>
              <w:wordWrap w:val="0"/>
              <w:overflowPunct/>
              <w:topLinePunct/>
              <w:autoSpaceDE/>
              <w:autoSpaceDN/>
              <w:bidi w:val="0"/>
              <w:adjustRightInd/>
              <w:snapToGrid/>
              <w:spacing w:line="360" w:lineRule="auto"/>
              <w:ind w:left="0" w:firstLine="422" w:firstLineChars="200"/>
              <w:textAlignment w:val="auto"/>
              <w:rPr>
                <w:rFonts w:hint="eastAsia" w:ascii="仿宋" w:hAnsi="仿宋" w:eastAsia="仿宋" w:cs="仿宋"/>
                <w:b/>
                <w:bCs/>
                <w:color w:val="000000" w:themeColor="text1"/>
                <w:sz w:val="21"/>
                <w:szCs w:val="21"/>
                <w:highlight w:val="none"/>
                <w:lang w:eastAsia="zh-CN" w:bidi="ar"/>
                <w14:textFill>
                  <w14:solidFill>
                    <w14:schemeClr w14:val="tx1"/>
                  </w14:solidFill>
                </w14:textFill>
              </w:rPr>
            </w:pPr>
            <w:r>
              <w:rPr>
                <w:rFonts w:hint="eastAsia" w:ascii="仿宋" w:hAnsi="仿宋" w:eastAsia="仿宋" w:cs="仿宋"/>
                <w:b/>
                <w:bCs/>
                <w:color w:val="auto"/>
                <w:sz w:val="21"/>
                <w:szCs w:val="21"/>
                <w:highlight w:val="none"/>
                <w:lang w:val="en-US" w:eastAsia="zh-CN"/>
              </w:rPr>
              <w:t>实际收取</w:t>
            </w:r>
            <w:r>
              <w:rPr>
                <w:rFonts w:hint="eastAsia" w:ascii="仿宋" w:hAnsi="仿宋" w:eastAsia="仿宋" w:cs="仿宋"/>
                <w:b/>
                <w:bCs/>
                <w:color w:val="auto"/>
                <w:sz w:val="21"/>
                <w:szCs w:val="21"/>
                <w:highlight w:val="none"/>
              </w:rPr>
              <w:t>投标保证金金额：</w:t>
            </w: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14000.00</w:t>
            </w:r>
            <w:r>
              <w:rPr>
                <w:rFonts w:hint="eastAsia" w:ascii="仿宋" w:hAnsi="仿宋" w:eastAsia="仿宋" w:cs="仿宋"/>
                <w:b/>
                <w:bCs/>
                <w:color w:val="000000" w:themeColor="text1"/>
                <w:sz w:val="21"/>
                <w:szCs w:val="21"/>
                <w:highlight w:val="none"/>
                <w:u w:val="none"/>
                <w:lang w:val="en-US" w:eastAsia="zh-CN" w:bidi="ar"/>
                <w14:textFill>
                  <w14:solidFill>
                    <w14:schemeClr w14:val="tx1"/>
                  </w14:solidFill>
                </w14:textFill>
              </w:rPr>
              <w:t>元（壹万肆仟元整）。</w:t>
            </w:r>
          </w:p>
          <w:p w14:paraId="02139D03">
            <w:pPr>
              <w:keepNext w:val="0"/>
              <w:keepLines w:val="0"/>
              <w:pageBreakBefore w:val="0"/>
              <w:widowControl w:val="0"/>
              <w:kinsoku/>
              <w:wordWrap w:val="0"/>
              <w:overflowPunct/>
              <w:topLinePunct/>
              <w:autoSpaceDE/>
              <w:autoSpaceDN/>
              <w:bidi w:val="0"/>
              <w:adjustRightInd/>
              <w:snapToGrid/>
              <w:spacing w:line="360" w:lineRule="auto"/>
              <w:ind w:left="0" w:right="0" w:rightChars="0" w:firstLine="422"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（一）投标保证金采用网银转账方式的：</w:t>
            </w:r>
            <w:r>
              <w:rPr>
                <w:rFonts w:hint="eastAsia" w:ascii="仿宋" w:hAnsi="仿宋" w:eastAsia="仿宋" w:cs="仿宋"/>
                <w:color w:val="auto"/>
                <w:kern w:val="0"/>
                <w:sz w:val="21"/>
                <w:szCs w:val="21"/>
                <w:highlight w:val="none"/>
                <w:lang w:val="en-US" w:eastAsia="zh-CN" w:bidi="ar"/>
              </w:rPr>
              <w:t>应以投标人名义提交且必须从投标人基本账户转出，不得以分支机构及其他名义提交。投标人应在投标截止时间前递交保证金并注明项目名称或项目编号等信息，到账时间以实际到达已公布的项目银行账号时间为准，未在投标截止时间前到账的保证金视为未提交。</w:t>
            </w:r>
          </w:p>
          <w:p w14:paraId="2403AC19">
            <w:pPr>
              <w:keepNext w:val="0"/>
              <w:keepLines w:val="0"/>
              <w:pageBreakBefore w:val="0"/>
              <w:widowControl w:val="0"/>
              <w:kinsoku/>
              <w:wordWrap w:val="0"/>
              <w:overflowPunct/>
              <w:topLinePunct/>
              <w:autoSpaceDE/>
              <w:autoSpaceDN/>
              <w:bidi w:val="0"/>
              <w:adjustRightInd/>
              <w:snapToGrid/>
              <w:spacing w:line="360" w:lineRule="auto"/>
              <w:ind w:left="0" w:firstLine="420" w:firstLineChars="200"/>
              <w:jc w:val="left"/>
              <w:textAlignment w:val="auto"/>
              <w:rPr>
                <w:rFonts w:hint="eastAsia" w:ascii="仿宋" w:hAnsi="仿宋" w:eastAsia="仿宋" w:cs="仿宋"/>
                <w:b w:val="0"/>
                <w:color w:val="auto"/>
                <w:sz w:val="21"/>
                <w:szCs w:val="21"/>
                <w:highlight w:val="none"/>
                <w:lang w:val="en-US" w:eastAsia="zh-CN"/>
              </w:rPr>
            </w:pPr>
            <w:r>
              <w:rPr>
                <w:rFonts w:hint="eastAsia" w:ascii="仿宋" w:hAnsi="仿宋" w:eastAsia="仿宋" w:cs="仿宋"/>
                <w:b w:val="0"/>
                <w:color w:val="auto"/>
                <w:sz w:val="21"/>
                <w:szCs w:val="21"/>
                <w:highlight w:val="none"/>
                <w:lang w:val="en-US" w:eastAsia="zh-CN"/>
              </w:rPr>
              <w:t>开</w:t>
            </w:r>
            <w:r>
              <w:rPr>
                <w:rFonts w:hint="eastAsia" w:ascii="仿宋" w:hAnsi="仿宋" w:eastAsia="仿宋" w:cs="仿宋"/>
                <w:b w:val="0"/>
                <w:color w:val="auto"/>
                <w:sz w:val="21"/>
                <w:szCs w:val="21"/>
                <w:highlight w:val="none"/>
                <w:lang w:val="en-US"/>
              </w:rPr>
              <w:t>户名</w:t>
            </w:r>
            <w:r>
              <w:rPr>
                <w:rFonts w:hint="eastAsia" w:ascii="仿宋" w:hAnsi="仿宋" w:eastAsia="仿宋" w:cs="仿宋"/>
                <w:b w:val="0"/>
                <w:color w:val="auto"/>
                <w:sz w:val="21"/>
                <w:szCs w:val="21"/>
                <w:highlight w:val="none"/>
                <w:lang w:val="en-US" w:eastAsia="zh-CN"/>
              </w:rPr>
              <w:t>称</w:t>
            </w:r>
            <w:r>
              <w:rPr>
                <w:rFonts w:hint="eastAsia" w:ascii="仿宋" w:hAnsi="仿宋" w:eastAsia="仿宋" w:cs="仿宋"/>
                <w:b w:val="0"/>
                <w:color w:val="auto"/>
                <w:sz w:val="21"/>
                <w:szCs w:val="21"/>
                <w:highlight w:val="none"/>
                <w:lang w:val="en-US"/>
              </w:rPr>
              <w:t>：</w:t>
            </w:r>
            <w:r>
              <w:rPr>
                <w:rFonts w:hint="eastAsia" w:ascii="仿宋" w:hAnsi="仿宋" w:eastAsia="仿宋" w:cs="仿宋"/>
                <w:b w:val="0"/>
                <w:color w:val="auto"/>
                <w:sz w:val="21"/>
                <w:szCs w:val="21"/>
                <w:highlight w:val="none"/>
                <w:lang w:val="en-US" w:eastAsia="zh-CN"/>
              </w:rPr>
              <w:t>云南咏名工程管理咨询有限公司</w:t>
            </w:r>
          </w:p>
          <w:p w14:paraId="5D70A7AA">
            <w:pPr>
              <w:keepNext w:val="0"/>
              <w:keepLines w:val="0"/>
              <w:pageBreakBefore w:val="0"/>
              <w:widowControl w:val="0"/>
              <w:kinsoku/>
              <w:wordWrap w:val="0"/>
              <w:overflowPunct/>
              <w:topLinePunct/>
              <w:autoSpaceDE/>
              <w:autoSpaceDN/>
              <w:bidi w:val="0"/>
              <w:adjustRightInd/>
              <w:snapToGrid/>
              <w:spacing w:line="360" w:lineRule="auto"/>
              <w:ind w:left="0" w:firstLine="420" w:firstLineChars="200"/>
              <w:jc w:val="left"/>
              <w:textAlignment w:val="auto"/>
              <w:rPr>
                <w:rFonts w:hint="eastAsia" w:ascii="仿宋" w:hAnsi="仿宋" w:eastAsia="仿宋" w:cs="仿宋"/>
                <w:b w:val="0"/>
                <w:color w:val="auto"/>
                <w:sz w:val="21"/>
                <w:szCs w:val="21"/>
                <w:highlight w:val="none"/>
                <w:lang w:val="en-US"/>
              </w:rPr>
            </w:pPr>
            <w:r>
              <w:rPr>
                <w:rFonts w:hint="eastAsia" w:ascii="仿宋" w:hAnsi="仿宋" w:eastAsia="仿宋" w:cs="仿宋"/>
                <w:b w:val="0"/>
                <w:color w:val="auto"/>
                <w:sz w:val="21"/>
                <w:szCs w:val="21"/>
                <w:highlight w:val="none"/>
                <w:lang w:val="en-US"/>
              </w:rPr>
              <w:t>开</w:t>
            </w:r>
            <w:r>
              <w:rPr>
                <w:rFonts w:hint="eastAsia" w:ascii="仿宋" w:hAnsi="仿宋" w:eastAsia="仿宋" w:cs="仿宋"/>
                <w:b w:val="0"/>
                <w:color w:val="auto"/>
                <w:sz w:val="21"/>
                <w:szCs w:val="21"/>
                <w:highlight w:val="none"/>
                <w:lang w:val="en-US" w:eastAsia="zh-CN"/>
              </w:rPr>
              <w:t xml:space="preserve"> </w:t>
            </w:r>
            <w:r>
              <w:rPr>
                <w:rFonts w:hint="eastAsia" w:ascii="仿宋" w:hAnsi="仿宋" w:eastAsia="仿宋" w:cs="仿宋"/>
                <w:b w:val="0"/>
                <w:color w:val="auto"/>
                <w:sz w:val="21"/>
                <w:szCs w:val="21"/>
                <w:highlight w:val="none"/>
                <w:lang w:val="en-US"/>
              </w:rPr>
              <w:t>户</w:t>
            </w:r>
            <w:r>
              <w:rPr>
                <w:rFonts w:hint="eastAsia" w:ascii="仿宋" w:hAnsi="仿宋" w:eastAsia="仿宋" w:cs="仿宋"/>
                <w:b w:val="0"/>
                <w:color w:val="auto"/>
                <w:sz w:val="21"/>
                <w:szCs w:val="21"/>
                <w:highlight w:val="none"/>
                <w:lang w:val="en-US" w:eastAsia="zh-CN"/>
              </w:rPr>
              <w:t xml:space="preserve"> </w:t>
            </w:r>
            <w:r>
              <w:rPr>
                <w:rFonts w:hint="eastAsia" w:ascii="仿宋" w:hAnsi="仿宋" w:eastAsia="仿宋" w:cs="仿宋"/>
                <w:b w:val="0"/>
                <w:color w:val="auto"/>
                <w:sz w:val="21"/>
                <w:szCs w:val="21"/>
                <w:highlight w:val="none"/>
                <w:lang w:val="en-US"/>
              </w:rPr>
              <w:t>行：交通银行股份有限公司楚雄西路支行</w:t>
            </w:r>
          </w:p>
          <w:p w14:paraId="2EBB355B">
            <w:pPr>
              <w:keepNext w:val="0"/>
              <w:keepLines w:val="0"/>
              <w:pageBreakBefore w:val="0"/>
              <w:widowControl w:val="0"/>
              <w:kinsoku/>
              <w:wordWrap w:val="0"/>
              <w:overflowPunct/>
              <w:topLinePunct/>
              <w:autoSpaceDE/>
              <w:autoSpaceDN/>
              <w:bidi w:val="0"/>
              <w:adjustRightInd/>
              <w:snapToGrid/>
              <w:spacing w:line="360" w:lineRule="auto"/>
              <w:ind w:left="0" w:firstLine="420" w:firstLineChars="200"/>
              <w:jc w:val="left"/>
              <w:textAlignment w:val="auto"/>
              <w:rPr>
                <w:rFonts w:hint="eastAsia" w:ascii="仿宋" w:hAnsi="仿宋" w:eastAsia="仿宋" w:cs="仿宋"/>
                <w:b w:val="0"/>
                <w:color w:val="auto"/>
                <w:sz w:val="21"/>
                <w:szCs w:val="21"/>
                <w:highlight w:val="none"/>
                <w:lang w:val="en-US"/>
              </w:rPr>
            </w:pPr>
            <w:r>
              <w:rPr>
                <w:rFonts w:hint="eastAsia" w:ascii="仿宋" w:hAnsi="仿宋" w:eastAsia="仿宋" w:cs="仿宋"/>
                <w:b w:val="0"/>
                <w:color w:val="auto"/>
                <w:sz w:val="21"/>
                <w:szCs w:val="21"/>
                <w:highlight w:val="none"/>
                <w:lang w:val="en-US"/>
              </w:rPr>
              <w:t>账</w:t>
            </w:r>
            <w:r>
              <w:rPr>
                <w:rFonts w:hint="eastAsia" w:ascii="仿宋" w:hAnsi="仿宋" w:eastAsia="仿宋" w:cs="仿宋"/>
                <w:b w:val="0"/>
                <w:color w:val="auto"/>
                <w:sz w:val="21"/>
                <w:szCs w:val="21"/>
                <w:highlight w:val="none"/>
                <w:lang w:val="en-US" w:eastAsia="zh-CN"/>
              </w:rPr>
              <w:t xml:space="preserve">    </w:t>
            </w:r>
            <w:r>
              <w:rPr>
                <w:rFonts w:hint="eastAsia" w:ascii="仿宋" w:hAnsi="仿宋" w:eastAsia="仿宋" w:cs="仿宋"/>
                <w:b w:val="0"/>
                <w:color w:val="auto"/>
                <w:sz w:val="21"/>
                <w:szCs w:val="21"/>
                <w:highlight w:val="none"/>
                <w:lang w:val="en-US"/>
              </w:rPr>
              <w:t>号：</w:t>
            </w:r>
            <w:r>
              <w:rPr>
                <w:rFonts w:hint="eastAsia" w:ascii="仿宋" w:hAnsi="仿宋" w:eastAsia="仿宋" w:cs="仿宋"/>
                <w:b w:val="0"/>
                <w:color w:val="auto"/>
                <w:sz w:val="21"/>
                <w:szCs w:val="21"/>
                <w:highlight w:val="none"/>
                <w:lang w:val="en-US" w:eastAsia="zh-CN"/>
              </w:rPr>
              <w:t>552899991013000091157</w:t>
            </w:r>
          </w:p>
          <w:p w14:paraId="445408D5">
            <w:pPr>
              <w:keepNext w:val="0"/>
              <w:keepLines w:val="0"/>
              <w:pageBreakBefore w:val="0"/>
              <w:widowControl w:val="0"/>
              <w:kinsoku/>
              <w:wordWrap w:val="0"/>
              <w:overflowPunct/>
              <w:topLinePunct/>
              <w:autoSpaceDE/>
              <w:autoSpaceDN/>
              <w:bidi w:val="0"/>
              <w:adjustRightInd/>
              <w:snapToGrid/>
              <w:spacing w:line="360" w:lineRule="auto"/>
              <w:ind w:left="0" w:firstLine="420" w:firstLineChars="200"/>
              <w:jc w:val="left"/>
              <w:textAlignment w:val="auto"/>
              <w:rPr>
                <w:rFonts w:hint="eastAsia" w:ascii="仿宋" w:hAnsi="仿宋" w:eastAsia="仿宋" w:cs="仿宋"/>
                <w:b w:val="0"/>
                <w:color w:val="auto"/>
                <w:sz w:val="21"/>
                <w:szCs w:val="21"/>
                <w:highlight w:val="none"/>
                <w:lang w:val="en-US" w:eastAsia="zh-CN"/>
              </w:rPr>
            </w:pPr>
            <w:r>
              <w:rPr>
                <w:rFonts w:hint="eastAsia" w:ascii="仿宋" w:hAnsi="仿宋" w:eastAsia="仿宋" w:cs="仿宋"/>
                <w:b w:val="0"/>
                <w:color w:val="auto"/>
                <w:sz w:val="21"/>
                <w:szCs w:val="21"/>
                <w:highlight w:val="none"/>
                <w:lang w:val="en-US" w:eastAsia="zh-CN"/>
              </w:rPr>
              <w:t>行    号：301738000021</w:t>
            </w:r>
          </w:p>
          <w:p w14:paraId="7D642FC4">
            <w:pPr>
              <w:keepNext w:val="0"/>
              <w:keepLines w:val="0"/>
              <w:pageBreakBefore w:val="0"/>
              <w:widowControl w:val="0"/>
              <w:kinsoku/>
              <w:wordWrap w:val="0"/>
              <w:overflowPunct/>
              <w:topLinePunct/>
              <w:autoSpaceDE/>
              <w:autoSpaceDN/>
              <w:bidi w:val="0"/>
              <w:adjustRightInd/>
              <w:snapToGrid/>
              <w:spacing w:line="360" w:lineRule="auto"/>
              <w:ind w:left="0" w:firstLine="420" w:firstLineChars="200"/>
              <w:jc w:val="left"/>
              <w:textAlignment w:val="auto"/>
              <w:rPr>
                <w:rFonts w:hint="default" w:ascii="仿宋" w:hAnsi="仿宋" w:eastAsia="仿宋" w:cs="仿宋"/>
                <w:b w:val="0"/>
                <w:color w:val="auto"/>
                <w:sz w:val="21"/>
                <w:szCs w:val="21"/>
                <w:highlight w:val="none"/>
                <w:lang w:val="en-US" w:eastAsia="zh-CN"/>
              </w:rPr>
            </w:pPr>
            <w:r>
              <w:rPr>
                <w:rFonts w:hint="eastAsia" w:ascii="仿宋" w:hAnsi="仿宋" w:eastAsia="仿宋" w:cs="仿宋"/>
                <w:b w:val="0"/>
                <w:color w:val="auto"/>
                <w:sz w:val="21"/>
                <w:szCs w:val="21"/>
                <w:highlight w:val="none"/>
                <w:lang w:val="en-US" w:eastAsia="zh-CN"/>
              </w:rPr>
              <w:t>联 系 人：马子洲</w:t>
            </w:r>
          </w:p>
          <w:p w14:paraId="57B67EF6">
            <w:pPr>
              <w:keepNext w:val="0"/>
              <w:keepLines w:val="0"/>
              <w:pageBreakBefore w:val="0"/>
              <w:widowControl w:val="0"/>
              <w:suppressLineNumbers w:val="0"/>
              <w:kinsoku/>
              <w:wordWrap w:val="0"/>
              <w:overflowPunct/>
              <w:topLinePunct/>
              <w:autoSpaceDE/>
              <w:autoSpaceDN/>
              <w:bidi w:val="0"/>
              <w:adjustRightInd/>
              <w:snapToGrid/>
              <w:spacing w:line="360" w:lineRule="auto"/>
              <w:ind w:left="0" w:right="0" w:firstLine="420" w:firstLineChars="200"/>
              <w:jc w:val="left"/>
              <w:textAlignment w:val="auto"/>
              <w:rPr>
                <w:rFonts w:hint="default" w:ascii="仿宋" w:hAnsi="仿宋" w:eastAsia="仿宋" w:cs="仿宋"/>
                <w:b w:val="0"/>
                <w:color w:val="auto"/>
                <w:sz w:val="21"/>
                <w:szCs w:val="21"/>
                <w:highlight w:val="none"/>
                <w:lang w:val="en-US" w:eastAsia="zh-CN"/>
              </w:rPr>
            </w:pPr>
            <w:r>
              <w:rPr>
                <w:rFonts w:hint="eastAsia" w:ascii="仿宋" w:hAnsi="仿宋" w:eastAsia="仿宋" w:cs="仿宋"/>
                <w:b w:val="0"/>
                <w:color w:val="auto"/>
                <w:sz w:val="21"/>
                <w:szCs w:val="21"/>
                <w:highlight w:val="none"/>
                <w:lang w:val="en-US" w:eastAsia="zh-CN"/>
              </w:rPr>
              <w:t>联系电话：18787864354、0878-3033838</w:t>
            </w:r>
          </w:p>
          <w:p w14:paraId="63E2EACE">
            <w:pPr>
              <w:keepNext w:val="0"/>
              <w:keepLines w:val="0"/>
              <w:pageBreakBefore w:val="0"/>
              <w:widowControl w:val="0"/>
              <w:suppressLineNumbers w:val="0"/>
              <w:kinsoku/>
              <w:wordWrap w:val="0"/>
              <w:overflowPunct/>
              <w:topLinePunct/>
              <w:autoSpaceDE/>
              <w:autoSpaceDN/>
              <w:bidi w:val="0"/>
              <w:adjustRightInd/>
              <w:snapToGrid/>
              <w:spacing w:line="360" w:lineRule="auto"/>
              <w:ind w:left="0" w:right="0" w:firstLine="422"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（二）投标保证金采用银行保函方式的：</w:t>
            </w:r>
            <w:r>
              <w:rPr>
                <w:rFonts w:hint="eastAsia" w:ascii="仿宋" w:hAnsi="仿宋" w:eastAsia="仿宋" w:cs="仿宋"/>
                <w:color w:val="auto"/>
                <w:kern w:val="0"/>
                <w:sz w:val="21"/>
                <w:szCs w:val="21"/>
                <w:highlight w:val="none"/>
                <w:lang w:val="en-US" w:eastAsia="zh-CN" w:bidi="ar"/>
              </w:rPr>
              <w:t>保函投标人应是投标人，受益人应是采购人，保证人应是投标人基本账号的开户银行。银行保函应正确填写受益人和投标人的全称，并与招标文件规定的项目名称相一致，以免造成投标无效。当投标人违反政府采购法律法规规章等规定且符合保证金不予退回情形的，由银行按照银行保函合同对采购人代偿投标保证金额。</w:t>
            </w:r>
          </w:p>
          <w:p w14:paraId="3A2D017C">
            <w:pPr>
              <w:keepNext w:val="0"/>
              <w:keepLines w:val="0"/>
              <w:pageBreakBefore w:val="0"/>
              <w:widowControl w:val="0"/>
              <w:suppressLineNumbers w:val="0"/>
              <w:kinsoku/>
              <w:wordWrap w:val="0"/>
              <w:overflowPunct/>
              <w:topLinePunct/>
              <w:autoSpaceDE/>
              <w:autoSpaceDN/>
              <w:bidi w:val="0"/>
              <w:adjustRightInd/>
              <w:snapToGrid/>
              <w:spacing w:line="360" w:lineRule="auto"/>
              <w:ind w:left="0" w:right="0" w:firstLine="422"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b/>
                <w:bCs/>
                <w:color w:val="auto"/>
                <w:kern w:val="0"/>
                <w:sz w:val="21"/>
                <w:szCs w:val="21"/>
                <w:highlight w:val="none"/>
                <w:lang w:val="en-US" w:eastAsia="zh-CN" w:bidi="ar"/>
              </w:rPr>
              <w:t>（三）投标保证金采用电子保险保函方式的：</w:t>
            </w:r>
            <w:r>
              <w:rPr>
                <w:rFonts w:hint="eastAsia" w:ascii="仿宋" w:hAnsi="仿宋" w:eastAsia="仿宋" w:cs="仿宋"/>
                <w:color w:val="auto"/>
                <w:kern w:val="0"/>
                <w:sz w:val="21"/>
                <w:szCs w:val="21"/>
                <w:highlight w:val="none"/>
                <w:lang w:val="en-US" w:eastAsia="zh-CN" w:bidi="ar"/>
              </w:rPr>
              <w:t>在投标保证保险中，投标人为投保人，采购人为被保险人。当投标人违反法律法规且符合投标保证金不予退回情形的，由保险公司按照保险合同对采购人代偿投标保证金金额</w:t>
            </w:r>
            <w:r>
              <w:rPr>
                <w:rFonts w:hint="eastAsia" w:ascii="仿宋" w:hAnsi="仿宋" w:eastAsia="仿宋" w:cs="仿宋"/>
                <w:color w:val="auto"/>
                <w:sz w:val="21"/>
                <w:szCs w:val="21"/>
                <w:highlight w:val="none"/>
                <w:lang w:eastAsia="zh-CN"/>
              </w:rPr>
              <w:t>。</w:t>
            </w:r>
          </w:p>
        </w:tc>
      </w:tr>
      <w:tr w14:paraId="2DEEA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jc w:val="center"/>
        </w:trPr>
        <w:tc>
          <w:tcPr>
            <w:tcW w:w="2271" w:type="dxa"/>
            <w:vAlign w:val="center"/>
          </w:tcPr>
          <w:p w14:paraId="6712760A">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投标保证退还方式</w:t>
            </w:r>
          </w:p>
        </w:tc>
        <w:tc>
          <w:tcPr>
            <w:tcW w:w="8087" w:type="dxa"/>
            <w:vAlign w:val="center"/>
          </w:tcPr>
          <w:p w14:paraId="33AC8AF1">
            <w:pPr>
              <w:keepNext w:val="0"/>
              <w:keepLines w:val="0"/>
              <w:pageBreakBefore w:val="0"/>
              <w:widowControl w:val="0"/>
              <w:suppressLineNumbers w:val="0"/>
              <w:kinsoku/>
              <w:wordWrap w:val="0"/>
              <w:overflowPunct/>
              <w:topLinePunct/>
              <w:autoSpaceDE/>
              <w:autoSpaceDN/>
              <w:bidi w:val="0"/>
              <w:adjustRightInd/>
              <w:snapToGrid/>
              <w:spacing w:line="360" w:lineRule="auto"/>
              <w:ind w:left="0" w:right="0" w:firstLine="422" w:firstLineChars="200"/>
              <w:jc w:val="left"/>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eastAsia="zh-CN"/>
              </w:rPr>
              <w:t>投标保证退还方式：</w:t>
            </w:r>
          </w:p>
          <w:p w14:paraId="56BBF0A3">
            <w:pPr>
              <w:keepNext w:val="0"/>
              <w:keepLines w:val="0"/>
              <w:pageBreakBefore w:val="0"/>
              <w:widowControl w:val="0"/>
              <w:suppressLineNumbers w:val="0"/>
              <w:kinsoku/>
              <w:wordWrap w:val="0"/>
              <w:overflowPunct/>
              <w:topLinePunct/>
              <w:autoSpaceDE/>
              <w:autoSpaceDN/>
              <w:bidi w:val="0"/>
              <w:adjustRightInd/>
              <w:snapToGrid/>
              <w:spacing w:line="360" w:lineRule="auto"/>
              <w:ind w:left="0" w:right="0" w:firstLine="420" w:firstLineChars="20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lang w:eastAsia="zh-CN"/>
              </w:rPr>
              <w:t>以电汇、网银转账方式缴纳的保证金，以网银对公转账的方式退还到投标人打款账户；</w:t>
            </w:r>
          </w:p>
          <w:p w14:paraId="016EDB36">
            <w:pPr>
              <w:keepNext w:val="0"/>
              <w:keepLines w:val="0"/>
              <w:pageBreakBefore w:val="0"/>
              <w:widowControl w:val="0"/>
              <w:suppressLineNumbers w:val="0"/>
              <w:kinsoku/>
              <w:wordWrap w:val="0"/>
              <w:overflowPunct/>
              <w:topLinePunct/>
              <w:autoSpaceDE/>
              <w:autoSpaceDN/>
              <w:bidi w:val="0"/>
              <w:adjustRightInd/>
              <w:snapToGrid/>
              <w:spacing w:line="360" w:lineRule="auto"/>
              <w:ind w:left="0" w:right="0" w:firstLine="420" w:firstLineChars="200"/>
              <w:jc w:val="lef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lang w:eastAsia="zh-CN"/>
              </w:rPr>
              <w:t>以支票、汇票及本票等票据方式缴纳的保证金，经财务查账确认后以网银对公转账的方式退还到投标人开户账户；</w:t>
            </w:r>
          </w:p>
          <w:p w14:paraId="7A84373B">
            <w:pPr>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lang w:eastAsia="zh-CN"/>
              </w:rPr>
              <w:t>以银行保函或者保证保险方式缴纳的保证金由投标人自行联系出函机构进行退还。</w:t>
            </w:r>
          </w:p>
          <w:p w14:paraId="34A1D38D">
            <w:pPr>
              <w:keepNext w:val="0"/>
              <w:keepLines w:val="0"/>
              <w:pageBreakBefore w:val="0"/>
              <w:widowControl w:val="0"/>
              <w:kinsoku/>
              <w:wordWrap w:val="0"/>
              <w:overflowPunct/>
              <w:topLinePunct/>
              <w:autoSpaceDE/>
              <w:autoSpaceDN/>
              <w:bidi w:val="0"/>
              <w:adjustRightInd/>
              <w:snapToGrid/>
              <w:spacing w:line="360" w:lineRule="auto"/>
              <w:ind w:left="0" w:right="0" w:rightChars="0" w:firstLine="422" w:firstLineChars="200"/>
              <w:textAlignment w:val="auto"/>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eastAsia="zh-CN"/>
              </w:rPr>
              <w:t>其他可以不予退还投标保证金的情形：</w:t>
            </w:r>
          </w:p>
          <w:p w14:paraId="005BD0E9">
            <w:pPr>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1、如中标人不按照招标文件规定交纳代理服务费，其投标保证金将不予退还；</w:t>
            </w:r>
          </w:p>
          <w:p w14:paraId="20B14A1D">
            <w:pPr>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2、</w:t>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lang w:eastAsia="zh-CN"/>
              </w:rPr>
              <w:t>围标串标和弄虚作假的；</w:t>
            </w:r>
          </w:p>
          <w:p w14:paraId="36D34E79">
            <w:pPr>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3、投标人存在违法违规行为的；</w:t>
            </w:r>
          </w:p>
          <w:p w14:paraId="32F99ED9">
            <w:pPr>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4、投标人在投标文件中提供虚假材料的；</w:t>
            </w:r>
          </w:p>
          <w:p w14:paraId="58BCB1D4">
            <w:pPr>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5、中标人将中标项目转让给他人，或者在投标文件中未说明，且未经采购人同意，将中标项目分包给他人的；</w:t>
            </w:r>
          </w:p>
          <w:p w14:paraId="1C7E8D28">
            <w:pPr>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6、中标人中标后除因不可抗力拒绝与采购人签订合同的；</w:t>
            </w:r>
          </w:p>
          <w:p w14:paraId="73D63E2B">
            <w:pPr>
              <w:keepNext w:val="0"/>
              <w:keepLines w:val="0"/>
              <w:pageBreakBefore w:val="0"/>
              <w:widowControl w:val="0"/>
              <w:suppressLineNumbers w:val="0"/>
              <w:kinsoku/>
              <w:wordWrap w:val="0"/>
              <w:overflowPunct/>
              <w:topLinePunct/>
              <w:autoSpaceDE/>
              <w:autoSpaceDN/>
              <w:bidi w:val="0"/>
              <w:adjustRightInd/>
              <w:snapToGrid/>
              <w:spacing w:line="360" w:lineRule="auto"/>
              <w:ind w:left="0" w:right="0" w:firstLine="420" w:firstLineChars="20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7、招标文件规定的其他情形的。</w:t>
            </w:r>
          </w:p>
        </w:tc>
      </w:tr>
      <w:tr w14:paraId="0803EC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 w:hRule="atLeast"/>
          <w:jc w:val="center"/>
        </w:trPr>
        <w:tc>
          <w:tcPr>
            <w:tcW w:w="2271" w:type="dxa"/>
            <w:vAlign w:val="center"/>
          </w:tcPr>
          <w:p w14:paraId="0B5ADA63">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eastAsia" w:ascii="仿宋" w:hAnsi="仿宋" w:eastAsia="仿宋" w:cs="仿宋"/>
                <w:snapToGrid w:val="0"/>
                <w:color w:val="auto"/>
                <w:kern w:val="2"/>
                <w:sz w:val="21"/>
                <w:szCs w:val="21"/>
                <w:highlight w:val="none"/>
                <w:lang w:val="en-US" w:eastAsia="zh-CN" w:bidi="ar-SA"/>
              </w:rPr>
            </w:pPr>
            <w:r>
              <w:rPr>
                <w:rFonts w:hint="eastAsia" w:ascii="仿宋" w:hAnsi="仿宋" w:eastAsia="仿宋" w:cs="仿宋"/>
                <w:color w:val="auto"/>
                <w:sz w:val="21"/>
                <w:szCs w:val="21"/>
                <w:highlight w:val="none"/>
              </w:rPr>
              <w:t>投标有效期</w:t>
            </w:r>
          </w:p>
        </w:tc>
        <w:tc>
          <w:tcPr>
            <w:tcW w:w="8087" w:type="dxa"/>
            <w:vAlign w:val="center"/>
          </w:tcPr>
          <w:p w14:paraId="6AA433AF">
            <w:pPr>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jc w:val="left"/>
              <w:textAlignment w:val="auto"/>
              <w:rPr>
                <w:rFonts w:hint="eastAsia" w:ascii="仿宋" w:hAnsi="仿宋" w:eastAsia="仿宋" w:cs="仿宋"/>
                <w:snapToGrid w:val="0"/>
                <w:color w:val="auto"/>
                <w:kern w:val="2"/>
                <w:sz w:val="21"/>
                <w:szCs w:val="21"/>
                <w:highlight w:val="none"/>
                <w:lang w:val="en-US" w:eastAsia="zh-CN" w:bidi="ar-SA"/>
              </w:rPr>
            </w:pPr>
            <w:r>
              <w:rPr>
                <w:rFonts w:hint="eastAsia" w:ascii="仿宋" w:hAnsi="仿宋" w:eastAsia="仿宋" w:cs="仿宋"/>
                <w:color w:val="auto"/>
                <w:sz w:val="21"/>
                <w:szCs w:val="21"/>
                <w:highlight w:val="none"/>
              </w:rPr>
              <w:t>自提交投标文件的截止之日起算</w:t>
            </w:r>
            <w:r>
              <w:rPr>
                <w:rFonts w:hint="eastAsia" w:ascii="仿宋" w:hAnsi="仿宋" w:eastAsia="仿宋" w:cs="仿宋"/>
                <w:color w:val="auto"/>
                <w:sz w:val="21"/>
                <w:szCs w:val="21"/>
                <w:highlight w:val="none"/>
                <w:lang w:val="en-US" w:eastAsia="zh-CN"/>
              </w:rPr>
              <w:t>90</w:t>
            </w:r>
            <w:r>
              <w:rPr>
                <w:rFonts w:hint="eastAsia" w:ascii="仿宋" w:hAnsi="仿宋" w:eastAsia="仿宋" w:cs="仿宋"/>
                <w:color w:val="auto"/>
                <w:sz w:val="21"/>
                <w:szCs w:val="21"/>
                <w:highlight w:val="none"/>
              </w:rPr>
              <w:t>日历天。投标文件未明确投标有效期或者少于前述规定天数的，其投标文件按无效处理。</w:t>
            </w:r>
          </w:p>
        </w:tc>
      </w:tr>
      <w:tr w14:paraId="7F5E9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vAlign w:val="center"/>
          </w:tcPr>
          <w:p w14:paraId="612DEB4B">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提交投标文件截止时间</w:t>
            </w:r>
          </w:p>
        </w:tc>
        <w:tc>
          <w:tcPr>
            <w:tcW w:w="8087" w:type="dxa"/>
            <w:vAlign w:val="center"/>
          </w:tcPr>
          <w:p w14:paraId="576AD365">
            <w:pPr>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详见招标公告</w:t>
            </w:r>
          </w:p>
        </w:tc>
      </w:tr>
      <w:tr w14:paraId="2F0370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vAlign w:val="center"/>
          </w:tcPr>
          <w:p w14:paraId="1E0F36DF">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递交投标文件地点</w:t>
            </w:r>
          </w:p>
        </w:tc>
        <w:tc>
          <w:tcPr>
            <w:tcW w:w="8087" w:type="dxa"/>
            <w:vAlign w:val="center"/>
          </w:tcPr>
          <w:p w14:paraId="1210AA59">
            <w:pPr>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详见招标公告</w:t>
            </w:r>
          </w:p>
        </w:tc>
      </w:tr>
      <w:tr w14:paraId="664570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vAlign w:val="center"/>
          </w:tcPr>
          <w:p w14:paraId="0623FBA6">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投标文件是否退还</w:t>
            </w:r>
          </w:p>
        </w:tc>
        <w:tc>
          <w:tcPr>
            <w:tcW w:w="8087" w:type="dxa"/>
            <w:vAlign w:val="center"/>
          </w:tcPr>
          <w:p w14:paraId="0133D5F2">
            <w:pPr>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否</w:t>
            </w:r>
          </w:p>
          <w:p w14:paraId="05CCD88A">
            <w:pPr>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□是，退还时间：</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lang w:eastAsia="zh-CN"/>
              </w:rPr>
              <w:t>/</w:t>
            </w:r>
            <w:r>
              <w:rPr>
                <w:rFonts w:hint="eastAsia" w:ascii="仿宋" w:hAnsi="仿宋" w:eastAsia="仿宋" w:cs="仿宋"/>
                <w:color w:val="auto"/>
                <w:sz w:val="21"/>
                <w:szCs w:val="21"/>
                <w:highlight w:val="none"/>
                <w:u w:val="single"/>
                <w:lang w:val="en-US" w:eastAsia="zh-CN"/>
              </w:rPr>
              <w:t xml:space="preserve"> </w:t>
            </w:r>
          </w:p>
        </w:tc>
      </w:tr>
      <w:tr w14:paraId="61B907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6" w:hRule="atLeast"/>
          <w:jc w:val="center"/>
        </w:trPr>
        <w:tc>
          <w:tcPr>
            <w:tcW w:w="2271" w:type="dxa"/>
            <w:vAlign w:val="center"/>
          </w:tcPr>
          <w:p w14:paraId="11C42308">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eastAsia" w:ascii="仿宋" w:hAnsi="仿宋" w:eastAsia="仿宋" w:cs="仿宋"/>
                <w:snapToGrid w:val="0"/>
                <w:color w:val="auto"/>
                <w:kern w:val="2"/>
                <w:sz w:val="21"/>
                <w:szCs w:val="21"/>
                <w:highlight w:val="none"/>
                <w:lang w:val="en-US" w:eastAsia="zh-CN" w:bidi="ar-SA"/>
              </w:rPr>
            </w:pPr>
            <w:r>
              <w:rPr>
                <w:rFonts w:hint="eastAsia" w:ascii="仿宋" w:hAnsi="仿宋" w:eastAsia="仿宋" w:cs="仿宋"/>
                <w:color w:val="auto"/>
                <w:sz w:val="21"/>
                <w:szCs w:val="21"/>
                <w:highlight w:val="none"/>
              </w:rPr>
              <w:t>确定中标人</w:t>
            </w:r>
          </w:p>
        </w:tc>
        <w:tc>
          <w:tcPr>
            <w:tcW w:w="8087" w:type="dxa"/>
            <w:vAlign w:val="center"/>
          </w:tcPr>
          <w:p w14:paraId="5B15324C">
            <w:pPr>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中标候选人并列的，按照以下方式确定中标人： </w:t>
            </w:r>
          </w:p>
          <w:p w14:paraId="67FB0788">
            <w:pPr>
              <w:keepNext w:val="0"/>
              <w:keepLines w:val="0"/>
              <w:pageBreakBefore w:val="0"/>
              <w:widowControl w:val="0"/>
              <w:kinsoku/>
              <w:wordWrap w:val="0"/>
              <w:overflowPunct/>
              <w:topLinePunct/>
              <w:autoSpaceDE/>
              <w:autoSpaceDN/>
              <w:bidi w:val="0"/>
              <w:adjustRightInd/>
              <w:snapToGrid/>
              <w:spacing w:line="360" w:lineRule="auto"/>
              <w:ind w:left="0" w:right="0" w:rightChars="0" w:firstLine="422"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采用最低</w:t>
            </w:r>
            <w:r>
              <w:rPr>
                <w:rFonts w:hint="eastAsia" w:ascii="仿宋" w:hAnsi="仿宋" w:eastAsia="仿宋" w:cs="仿宋"/>
                <w:b/>
                <w:bCs/>
                <w:color w:val="auto"/>
                <w:sz w:val="21"/>
                <w:szCs w:val="21"/>
                <w:highlight w:val="none"/>
                <w:lang w:eastAsia="zh-CN"/>
              </w:rPr>
              <w:t>评审</w:t>
            </w:r>
            <w:r>
              <w:rPr>
                <w:rFonts w:hint="eastAsia" w:ascii="仿宋" w:hAnsi="仿宋" w:eastAsia="仿宋" w:cs="仿宋"/>
                <w:b/>
                <w:bCs/>
                <w:color w:val="auto"/>
                <w:sz w:val="21"/>
                <w:szCs w:val="21"/>
                <w:highlight w:val="none"/>
              </w:rPr>
              <w:t>价法的</w:t>
            </w:r>
            <w:r>
              <w:rPr>
                <w:rFonts w:hint="eastAsia" w:ascii="仿宋" w:hAnsi="仿宋" w:eastAsia="仿宋" w:cs="仿宋"/>
                <w:b/>
                <w:bCs/>
                <w:color w:val="auto"/>
                <w:sz w:val="21"/>
                <w:szCs w:val="21"/>
                <w:highlight w:val="none"/>
                <w:lang w:eastAsia="zh-CN"/>
              </w:rPr>
              <w:t>：</w:t>
            </w:r>
            <w:r>
              <w:rPr>
                <w:rFonts w:hint="eastAsia" w:ascii="仿宋" w:hAnsi="仿宋" w:eastAsia="仿宋" w:cs="仿宋"/>
                <w:color w:val="auto"/>
                <w:sz w:val="21"/>
                <w:szCs w:val="21"/>
                <w:highlight w:val="none"/>
                <w:lang w:eastAsia="zh-CN"/>
              </w:rPr>
              <w:t>评审</w:t>
            </w:r>
            <w:r>
              <w:rPr>
                <w:rFonts w:hint="eastAsia" w:ascii="仿宋" w:hAnsi="仿宋" w:eastAsia="仿宋" w:cs="仿宋"/>
                <w:color w:val="auto"/>
                <w:sz w:val="21"/>
                <w:szCs w:val="21"/>
                <w:highlight w:val="none"/>
              </w:rPr>
              <w:t>结果按投标报价由低到高顺序排列。投标报价相同的并列，投标文件满足招标文件全部实质性要求且投标报价最低的投标人为排名第一的中标候选人。</w:t>
            </w:r>
          </w:p>
          <w:p w14:paraId="1212EC30">
            <w:pPr>
              <w:keepNext w:val="0"/>
              <w:keepLines w:val="0"/>
              <w:pageBreakBefore w:val="0"/>
              <w:widowControl w:val="0"/>
              <w:kinsoku/>
              <w:wordWrap w:val="0"/>
              <w:overflowPunct/>
              <w:topLinePunct/>
              <w:autoSpaceDE/>
              <w:autoSpaceDN/>
              <w:bidi w:val="0"/>
              <w:adjustRightInd/>
              <w:snapToGrid/>
              <w:spacing w:line="360" w:lineRule="auto"/>
              <w:ind w:left="0" w:right="0" w:rightChars="0" w:firstLine="422" w:firstLineChars="200"/>
              <w:jc w:val="left"/>
              <w:textAlignment w:val="auto"/>
              <w:rPr>
                <w:rFonts w:hint="eastAsia" w:ascii="仿宋" w:hAnsi="仿宋" w:eastAsia="仿宋" w:cs="仿宋"/>
                <w:snapToGrid w:val="0"/>
                <w:color w:val="auto"/>
                <w:kern w:val="2"/>
                <w:sz w:val="21"/>
                <w:szCs w:val="21"/>
                <w:highlight w:val="none"/>
                <w:u w:val="single"/>
                <w:lang w:val="en-US" w:eastAsia="zh-CN" w:bidi="ar-SA"/>
              </w:rPr>
            </w:pPr>
            <w:r>
              <w:rPr>
                <w:rFonts w:hint="eastAsia" w:ascii="仿宋" w:hAnsi="仿宋" w:eastAsia="仿宋" w:cs="仿宋"/>
                <w:b/>
                <w:bCs/>
                <w:color w:val="auto"/>
                <w:sz w:val="21"/>
                <w:szCs w:val="21"/>
                <w:highlight w:val="none"/>
              </w:rPr>
              <w:t>采用综合评分法的</w:t>
            </w:r>
            <w:r>
              <w:rPr>
                <w:rFonts w:hint="eastAsia" w:ascii="仿宋" w:hAnsi="仿宋" w:eastAsia="仿宋" w:cs="仿宋"/>
                <w:b/>
                <w:bCs/>
                <w:color w:val="auto"/>
                <w:sz w:val="21"/>
                <w:szCs w:val="21"/>
                <w:highlight w:val="none"/>
                <w:lang w:eastAsia="zh-CN"/>
              </w:rPr>
              <w:t>：</w:t>
            </w:r>
            <w:r>
              <w:rPr>
                <w:rFonts w:hint="eastAsia" w:ascii="仿宋" w:hAnsi="仿宋" w:eastAsia="仿宋" w:cs="仿宋"/>
                <w:color w:val="auto"/>
                <w:sz w:val="21"/>
                <w:szCs w:val="21"/>
                <w:highlight w:val="none"/>
                <w:lang w:eastAsia="zh-CN"/>
              </w:rPr>
              <w:t>评审</w:t>
            </w:r>
            <w:r>
              <w:rPr>
                <w:rFonts w:hint="eastAsia" w:ascii="仿宋" w:hAnsi="仿宋" w:eastAsia="仿宋" w:cs="仿宋"/>
                <w:color w:val="auto"/>
                <w:sz w:val="21"/>
                <w:szCs w:val="21"/>
                <w:highlight w:val="none"/>
              </w:rPr>
              <w:t>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tc>
      </w:tr>
      <w:tr w14:paraId="6FFABD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9" w:hRule="atLeast"/>
          <w:jc w:val="center"/>
        </w:trPr>
        <w:tc>
          <w:tcPr>
            <w:tcW w:w="2271" w:type="dxa"/>
            <w:vAlign w:val="center"/>
          </w:tcPr>
          <w:p w14:paraId="7AE2EF3F">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snapToGrid w:val="0"/>
                <w:color w:val="auto"/>
                <w:kern w:val="0"/>
                <w:sz w:val="21"/>
                <w:szCs w:val="21"/>
                <w:highlight w:val="none"/>
                <w:lang w:val="en-US" w:eastAsia="en-US" w:bidi="ar-SA"/>
              </w:rPr>
            </w:pPr>
            <w:r>
              <w:rPr>
                <w:rFonts w:hint="eastAsia" w:ascii="仿宋" w:hAnsi="仿宋" w:eastAsia="仿宋" w:cs="仿宋"/>
                <w:color w:val="auto"/>
                <w:sz w:val="21"/>
                <w:szCs w:val="21"/>
                <w:highlight w:val="none"/>
              </w:rPr>
              <w:t>结果确认</w:t>
            </w:r>
          </w:p>
        </w:tc>
        <w:tc>
          <w:tcPr>
            <w:tcW w:w="8087" w:type="dxa"/>
            <w:vAlign w:val="center"/>
          </w:tcPr>
          <w:p w14:paraId="58D678BE">
            <w:pPr>
              <w:keepNext w:val="0"/>
              <w:keepLines w:val="0"/>
              <w:pageBreakBefore w:val="0"/>
              <w:widowControl w:val="0"/>
              <w:kinsoku/>
              <w:wordWrap w:val="0"/>
              <w:overflowPunct/>
              <w:topLinePunct/>
              <w:autoSpaceDE/>
              <w:autoSpaceDN/>
              <w:bidi w:val="0"/>
              <w:adjustRightInd/>
              <w:snapToGrid/>
              <w:spacing w:line="360" w:lineRule="auto"/>
              <w:ind w:left="0" w:right="0" w:firstLine="420" w:firstLineChars="200"/>
              <w:jc w:val="left"/>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rPr>
              <w:t>招标代理机构在评审结束后2个工作日内将</w:t>
            </w:r>
            <w:r>
              <w:rPr>
                <w:rFonts w:hint="eastAsia" w:ascii="仿宋" w:hAnsi="仿宋" w:eastAsia="仿宋" w:cs="仿宋"/>
                <w:color w:val="auto"/>
                <w:sz w:val="21"/>
                <w:szCs w:val="21"/>
                <w:highlight w:val="none"/>
                <w:lang w:eastAsia="zh-CN"/>
              </w:rPr>
              <w:t>评审</w:t>
            </w:r>
            <w:r>
              <w:rPr>
                <w:rFonts w:hint="eastAsia" w:ascii="仿宋" w:hAnsi="仿宋" w:eastAsia="仿宋" w:cs="仿宋"/>
                <w:color w:val="auto"/>
                <w:sz w:val="21"/>
                <w:szCs w:val="21"/>
                <w:highlight w:val="none"/>
              </w:rPr>
              <w:t>报告送达</w:t>
            </w:r>
            <w:r>
              <w:rPr>
                <w:rFonts w:hint="eastAsia" w:ascii="仿宋" w:hAnsi="仿宋" w:eastAsia="仿宋" w:cs="仿宋"/>
                <w:color w:val="auto"/>
                <w:sz w:val="21"/>
                <w:szCs w:val="21"/>
                <w:highlight w:val="none"/>
                <w:lang w:eastAsia="zh-CN"/>
              </w:rPr>
              <w:t>采购人</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采购人</w:t>
            </w:r>
            <w:r>
              <w:rPr>
                <w:rFonts w:hint="eastAsia" w:ascii="仿宋" w:hAnsi="仿宋" w:eastAsia="仿宋" w:cs="仿宋"/>
                <w:color w:val="auto"/>
                <w:sz w:val="21"/>
                <w:szCs w:val="21"/>
                <w:highlight w:val="none"/>
              </w:rPr>
              <w:t>应当自收到</w:t>
            </w:r>
            <w:r>
              <w:rPr>
                <w:rFonts w:hint="eastAsia" w:ascii="仿宋" w:hAnsi="仿宋" w:eastAsia="仿宋" w:cs="仿宋"/>
                <w:color w:val="auto"/>
                <w:sz w:val="21"/>
                <w:szCs w:val="21"/>
                <w:highlight w:val="none"/>
                <w:lang w:eastAsia="zh-CN"/>
              </w:rPr>
              <w:t>评审</w:t>
            </w:r>
            <w:r>
              <w:rPr>
                <w:rFonts w:hint="eastAsia" w:ascii="仿宋" w:hAnsi="仿宋" w:eastAsia="仿宋" w:cs="仿宋"/>
                <w:color w:val="auto"/>
                <w:sz w:val="21"/>
                <w:szCs w:val="21"/>
                <w:highlight w:val="none"/>
              </w:rPr>
              <w:t>报告之日起5个工作日内，在</w:t>
            </w:r>
            <w:r>
              <w:rPr>
                <w:rFonts w:hint="eastAsia" w:ascii="仿宋" w:hAnsi="仿宋" w:eastAsia="仿宋" w:cs="仿宋"/>
                <w:color w:val="auto"/>
                <w:sz w:val="21"/>
                <w:szCs w:val="21"/>
                <w:highlight w:val="none"/>
                <w:lang w:eastAsia="zh-CN"/>
              </w:rPr>
              <w:t>评审</w:t>
            </w:r>
            <w:r>
              <w:rPr>
                <w:rFonts w:hint="eastAsia" w:ascii="仿宋" w:hAnsi="仿宋" w:eastAsia="仿宋" w:cs="仿宋"/>
                <w:color w:val="auto"/>
                <w:sz w:val="21"/>
                <w:szCs w:val="21"/>
                <w:highlight w:val="none"/>
              </w:rPr>
              <w:t>报告确定的中标候选人名单中按顺序确定中标人。如</w:t>
            </w:r>
            <w:r>
              <w:rPr>
                <w:rFonts w:hint="eastAsia" w:ascii="仿宋" w:hAnsi="仿宋" w:eastAsia="仿宋" w:cs="仿宋"/>
                <w:color w:val="auto"/>
                <w:sz w:val="21"/>
                <w:szCs w:val="21"/>
                <w:highlight w:val="none"/>
                <w:lang w:eastAsia="zh-CN"/>
              </w:rPr>
              <w:t>采购人</w:t>
            </w:r>
            <w:r>
              <w:rPr>
                <w:rFonts w:hint="eastAsia" w:ascii="仿宋" w:hAnsi="仿宋" w:eastAsia="仿宋" w:cs="仿宋"/>
                <w:color w:val="auto"/>
                <w:sz w:val="21"/>
                <w:szCs w:val="21"/>
                <w:highlight w:val="none"/>
              </w:rPr>
              <w:t>5个工作日内未按</w:t>
            </w:r>
            <w:r>
              <w:rPr>
                <w:rFonts w:hint="eastAsia" w:ascii="仿宋" w:hAnsi="仿宋" w:eastAsia="仿宋" w:cs="仿宋"/>
                <w:color w:val="auto"/>
                <w:sz w:val="21"/>
                <w:szCs w:val="21"/>
                <w:highlight w:val="none"/>
                <w:lang w:eastAsia="zh-CN"/>
              </w:rPr>
              <w:t>评审</w:t>
            </w:r>
            <w:r>
              <w:rPr>
                <w:rFonts w:hint="eastAsia" w:ascii="仿宋" w:hAnsi="仿宋" w:eastAsia="仿宋" w:cs="仿宋"/>
                <w:color w:val="auto"/>
                <w:sz w:val="21"/>
                <w:szCs w:val="21"/>
                <w:highlight w:val="none"/>
              </w:rPr>
              <w:t>报告推荐的中标候选人顺序确定中标人，又不能说明合法理由的，视同按</w:t>
            </w:r>
            <w:r>
              <w:rPr>
                <w:rFonts w:hint="eastAsia" w:ascii="仿宋" w:hAnsi="仿宋" w:eastAsia="仿宋" w:cs="仿宋"/>
                <w:color w:val="auto"/>
                <w:sz w:val="21"/>
                <w:szCs w:val="21"/>
                <w:highlight w:val="none"/>
                <w:lang w:eastAsia="zh-CN"/>
              </w:rPr>
              <w:t>评审</w:t>
            </w:r>
            <w:r>
              <w:rPr>
                <w:rFonts w:hint="eastAsia" w:ascii="仿宋" w:hAnsi="仿宋" w:eastAsia="仿宋" w:cs="仿宋"/>
                <w:color w:val="auto"/>
                <w:sz w:val="21"/>
                <w:szCs w:val="21"/>
                <w:highlight w:val="none"/>
              </w:rPr>
              <w:t>报告推荐的顺序确定排名第一的中标候选人为中标人。</w:t>
            </w:r>
          </w:p>
        </w:tc>
      </w:tr>
      <w:tr w14:paraId="4BD3BD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3" w:hRule="atLeast"/>
          <w:jc w:val="center"/>
        </w:trPr>
        <w:tc>
          <w:tcPr>
            <w:tcW w:w="2271" w:type="dxa"/>
            <w:vAlign w:val="center"/>
          </w:tcPr>
          <w:p w14:paraId="6232BBE9">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履约担保</w:t>
            </w:r>
          </w:p>
        </w:tc>
        <w:tc>
          <w:tcPr>
            <w:tcW w:w="8087" w:type="dxa"/>
            <w:vAlign w:val="center"/>
          </w:tcPr>
          <w:p w14:paraId="6C2B38AC">
            <w:pPr>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是否要求中标人提交履约保证金：</w:t>
            </w:r>
          </w:p>
          <w:p w14:paraId="19F12A8A">
            <w:pPr>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要求</w:t>
            </w:r>
          </w:p>
          <w:p w14:paraId="1E3C9DC2">
            <w:pPr>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（1）履约保证金总金额：合同金额的</w:t>
            </w:r>
            <w:r>
              <w:rPr>
                <w:rFonts w:hint="eastAsia" w:ascii="仿宋" w:hAnsi="仿宋" w:eastAsia="仿宋" w:cs="仿宋"/>
                <w:color w:val="auto"/>
                <w:sz w:val="21"/>
                <w:szCs w:val="21"/>
                <w:highlight w:val="none"/>
                <w:u w:val="single"/>
                <w:lang w:eastAsia="zh-CN"/>
              </w:rPr>
              <w:t>10</w:t>
            </w:r>
            <w:r>
              <w:rPr>
                <w:rFonts w:hint="eastAsia" w:ascii="仿宋" w:hAnsi="仿宋" w:eastAsia="仿宋" w:cs="仿宋"/>
                <w:color w:val="auto"/>
                <w:sz w:val="21"/>
                <w:szCs w:val="21"/>
                <w:highlight w:val="none"/>
                <w:lang w:eastAsia="zh-CN"/>
              </w:rPr>
              <w:t>%；</w:t>
            </w:r>
          </w:p>
          <w:p w14:paraId="61B3067B">
            <w:pPr>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（2）向采购人指定的银行账户通过转账、支票、汇票、本票或者金融机构、担保机构出具的</w:t>
            </w:r>
            <w:r>
              <w:rPr>
                <w:rFonts w:hint="eastAsia" w:ascii="仿宋" w:hAnsi="仿宋" w:eastAsia="仿宋" w:cs="仿宋"/>
                <w:color w:val="auto"/>
                <w:sz w:val="21"/>
                <w:szCs w:val="21"/>
                <w:highlight w:val="none"/>
                <w:lang w:val="en-US" w:eastAsia="zh-CN"/>
              </w:rPr>
              <w:t>保险</w:t>
            </w:r>
            <w:r>
              <w:rPr>
                <w:rFonts w:hint="eastAsia" w:ascii="仿宋" w:hAnsi="仿宋" w:eastAsia="仿宋" w:cs="仿宋"/>
                <w:color w:val="auto"/>
                <w:sz w:val="21"/>
                <w:szCs w:val="21"/>
                <w:highlight w:val="none"/>
                <w:lang w:eastAsia="zh-CN"/>
              </w:rPr>
              <w:t>保函（</w:t>
            </w:r>
            <w:r>
              <w:rPr>
                <w:rFonts w:hint="eastAsia" w:ascii="仿宋" w:hAnsi="仿宋" w:eastAsia="仿宋" w:cs="仿宋"/>
                <w:color w:val="auto"/>
                <w:sz w:val="21"/>
                <w:szCs w:val="21"/>
                <w:highlight w:val="none"/>
                <w:lang w:val="en-US" w:eastAsia="zh-CN"/>
              </w:rPr>
              <w:t>受益人为采购人</w:t>
            </w:r>
            <w:r>
              <w:rPr>
                <w:rFonts w:hint="eastAsia" w:ascii="仿宋" w:hAnsi="仿宋" w:eastAsia="仿宋" w:cs="仿宋"/>
                <w:color w:val="auto"/>
                <w:sz w:val="21"/>
                <w:szCs w:val="21"/>
                <w:highlight w:val="none"/>
                <w:lang w:eastAsia="zh-CN"/>
              </w:rPr>
              <w:t>）等</w:t>
            </w:r>
            <w:r>
              <w:rPr>
                <w:rFonts w:hint="eastAsia" w:ascii="仿宋" w:hAnsi="仿宋" w:eastAsia="仿宋" w:cs="仿宋"/>
                <w:color w:val="auto"/>
                <w:sz w:val="21"/>
                <w:szCs w:val="21"/>
                <w:highlight w:val="none"/>
                <w:lang w:val="en-US" w:eastAsia="zh-CN"/>
              </w:rPr>
              <w:t>非现金</w:t>
            </w:r>
            <w:r>
              <w:rPr>
                <w:rFonts w:hint="eastAsia" w:ascii="仿宋" w:hAnsi="仿宋" w:eastAsia="仿宋" w:cs="仿宋"/>
                <w:color w:val="auto"/>
                <w:sz w:val="21"/>
                <w:szCs w:val="21"/>
                <w:highlight w:val="none"/>
                <w:lang w:eastAsia="zh-CN"/>
              </w:rPr>
              <w:t>形式缴纳履约保证金。</w:t>
            </w:r>
          </w:p>
          <w:p w14:paraId="40DB80D2">
            <w:pPr>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□不要求</w:t>
            </w:r>
          </w:p>
        </w:tc>
      </w:tr>
      <w:tr w14:paraId="68BA6D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39" w:hRule="atLeast"/>
          <w:jc w:val="center"/>
        </w:trPr>
        <w:tc>
          <w:tcPr>
            <w:tcW w:w="2271" w:type="dxa"/>
            <w:vAlign w:val="center"/>
          </w:tcPr>
          <w:p w14:paraId="0CB03CA4">
            <w:pPr>
              <w:keepNext w:val="0"/>
              <w:keepLines w:val="0"/>
              <w:pageBreakBefore w:val="0"/>
              <w:widowControl w:val="0"/>
              <w:shd w:val="clear" w:color="auto" w:fill="FFFFFF"/>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政府采购中标人须知</w:t>
            </w:r>
          </w:p>
        </w:tc>
        <w:tc>
          <w:tcPr>
            <w:tcW w:w="8087" w:type="dxa"/>
            <w:vAlign w:val="center"/>
          </w:tcPr>
          <w:p w14:paraId="356C558F">
            <w:pPr>
              <w:pStyle w:val="654"/>
              <w:keepNext w:val="0"/>
              <w:keepLines w:val="0"/>
              <w:pageBreakBefore w:val="0"/>
              <w:widowControl w:val="0"/>
              <w:kinsoku/>
              <w:wordWrap w:val="0"/>
              <w:overflowPunct/>
              <w:topLinePunct/>
              <w:autoSpaceDE/>
              <w:autoSpaceDN/>
              <w:bidi w:val="0"/>
              <w:adjustRightInd/>
              <w:snapToGrid/>
              <w:spacing w:line="360" w:lineRule="auto"/>
              <w:ind w:left="0" w:right="0" w:firstLine="420" w:firstLineChars="20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中标人在《云南省政府采购网》查询到中标公示后，需办理以下事宜：</w:t>
            </w:r>
          </w:p>
          <w:p w14:paraId="4ED40329">
            <w:pPr>
              <w:pStyle w:val="654"/>
              <w:keepNext w:val="0"/>
              <w:keepLines w:val="0"/>
              <w:pageBreakBefore w:val="0"/>
              <w:widowControl w:val="0"/>
              <w:kinsoku/>
              <w:wordWrap w:val="0"/>
              <w:overflowPunct/>
              <w:topLinePunct/>
              <w:autoSpaceDE/>
              <w:autoSpaceDN/>
              <w:bidi w:val="0"/>
              <w:adjustRightInd/>
              <w:snapToGrid/>
              <w:spacing w:line="360" w:lineRule="auto"/>
              <w:ind w:left="0" w:right="0" w:firstLine="420" w:firstLineChars="20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1、在《云南省政府采购网》（http://www.yngp.com）《政府采购云平台》（https://www.zcygov.cn）完成投标人信息录入成为正式投标人。</w:t>
            </w:r>
          </w:p>
          <w:p w14:paraId="39397129">
            <w:pPr>
              <w:pStyle w:val="654"/>
              <w:keepNext w:val="0"/>
              <w:keepLines w:val="0"/>
              <w:pageBreakBefore w:val="0"/>
              <w:widowControl w:val="0"/>
              <w:kinsoku/>
              <w:wordWrap w:val="0"/>
              <w:overflowPunct/>
              <w:topLinePunct/>
              <w:autoSpaceDE/>
              <w:autoSpaceDN/>
              <w:bidi w:val="0"/>
              <w:adjustRightInd/>
              <w:snapToGrid/>
              <w:spacing w:line="360" w:lineRule="auto"/>
              <w:ind w:left="0" w:right="0" w:firstLine="420" w:firstLineChars="20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2、缴纳招标代理服务费。</w:t>
            </w:r>
          </w:p>
          <w:p w14:paraId="68C44267">
            <w:pPr>
              <w:pStyle w:val="654"/>
              <w:keepNext w:val="0"/>
              <w:keepLines w:val="0"/>
              <w:pageBreakBefore w:val="0"/>
              <w:widowControl w:val="0"/>
              <w:kinsoku/>
              <w:wordWrap w:val="0"/>
              <w:overflowPunct/>
              <w:topLinePunct/>
              <w:autoSpaceDE/>
              <w:autoSpaceDN/>
              <w:bidi w:val="0"/>
              <w:adjustRightInd/>
              <w:snapToGrid/>
              <w:spacing w:line="360" w:lineRule="auto"/>
              <w:ind w:left="0" w:right="0" w:firstLine="420" w:firstLineChars="200"/>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3、领取中标通知书，并与采购人联系、洽谈采购合同。</w:t>
            </w:r>
          </w:p>
        </w:tc>
      </w:tr>
      <w:tr w14:paraId="45953D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vAlign w:val="center"/>
          </w:tcPr>
          <w:p w14:paraId="30DA6C22">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rPr>
              <w:t>采购代理服务费</w:t>
            </w:r>
          </w:p>
        </w:tc>
        <w:tc>
          <w:tcPr>
            <w:tcW w:w="8087" w:type="dxa"/>
            <w:vAlign w:val="center"/>
          </w:tcPr>
          <w:p w14:paraId="2A95E444">
            <w:pPr>
              <w:pStyle w:val="28"/>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收费对象：</w:t>
            </w:r>
          </w:p>
          <w:p w14:paraId="2F03637F">
            <w:pPr>
              <w:pStyle w:val="28"/>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采购人</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■中标人</w:t>
            </w:r>
          </w:p>
          <w:p w14:paraId="06A486F4">
            <w:pPr>
              <w:pStyle w:val="28"/>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textAlignment w:val="auto"/>
              <w:rPr>
                <w:rFonts w:hint="eastAsia" w:ascii="仿宋" w:hAnsi="仿宋" w:eastAsia="仿宋" w:cs="仿宋"/>
                <w:color w:val="FF0000"/>
                <w:sz w:val="21"/>
                <w:szCs w:val="21"/>
                <w:highlight w:val="none"/>
              </w:rPr>
            </w:pPr>
            <w:r>
              <w:rPr>
                <w:rFonts w:hint="eastAsia" w:ascii="仿宋" w:hAnsi="仿宋" w:eastAsia="仿宋" w:cs="仿宋"/>
                <w:color w:val="auto"/>
                <w:sz w:val="21"/>
                <w:szCs w:val="21"/>
                <w:highlight w:val="none"/>
                <w:lang w:val="en-US" w:eastAsia="zh-CN"/>
              </w:rPr>
              <w:t>2.收费标准：</w:t>
            </w:r>
            <w:r>
              <w:rPr>
                <w:rFonts w:hint="eastAsia" w:ascii="仿宋" w:hAnsi="仿宋" w:eastAsia="仿宋" w:cs="仿宋"/>
                <w:color w:val="auto"/>
                <w:sz w:val="21"/>
                <w:szCs w:val="21"/>
                <w:highlight w:val="none"/>
                <w:u w:val="single"/>
                <w:lang w:val="en-US" w:eastAsia="zh-CN"/>
              </w:rPr>
              <w:t>本项目采用差额定率累进的计算方式，具体收费标准</w:t>
            </w:r>
            <w:r>
              <w:rPr>
                <w:rFonts w:hint="eastAsia" w:ascii="仿宋" w:hAnsi="仿宋" w:eastAsia="仿宋" w:cs="仿宋"/>
                <w:color w:val="000000" w:themeColor="text1"/>
                <w:sz w:val="21"/>
                <w:szCs w:val="21"/>
                <w:highlight w:val="none"/>
                <w:u w:val="single"/>
                <w:lang w:eastAsia="zh-CN"/>
                <w14:textFill>
                  <w14:solidFill>
                    <w14:schemeClr w14:val="tx1"/>
                  </w14:solidFill>
                </w14:textFill>
              </w:rPr>
              <w:t>按</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下表“</w:t>
            </w:r>
            <w:r>
              <w:rPr>
                <w:rFonts w:hint="eastAsia" w:ascii="仿宋" w:hAnsi="仿宋" w:eastAsia="仿宋" w:cs="仿宋"/>
                <w:i w:val="0"/>
                <w:iCs w:val="0"/>
                <w:color w:val="000000" w:themeColor="text1"/>
                <w:sz w:val="21"/>
                <w:szCs w:val="21"/>
                <w:highlight w:val="none"/>
                <w:u w:val="single"/>
                <w:lang w:eastAsia="zh-CN"/>
                <w14:textFill>
                  <w14:solidFill>
                    <w14:schemeClr w14:val="tx1"/>
                  </w14:solidFill>
                </w14:textFill>
              </w:rPr>
              <w:t>收费标准</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”的货物招标下浮10%</w:t>
            </w:r>
            <w:r>
              <w:rPr>
                <w:rFonts w:hint="eastAsia" w:ascii="仿宋" w:hAnsi="仿宋" w:eastAsia="仿宋" w:cs="仿宋"/>
                <w:i w:val="0"/>
                <w:iCs w:val="0"/>
                <w:color w:val="000000" w:themeColor="text1"/>
                <w:sz w:val="21"/>
                <w:szCs w:val="21"/>
                <w:highlight w:val="none"/>
                <w:u w:val="single"/>
                <w:lang w:val="en-US" w:eastAsia="zh-CN"/>
                <w14:textFill>
                  <w14:solidFill>
                    <w14:schemeClr w14:val="tx1"/>
                  </w14:solidFill>
                </w14:textFill>
              </w:rPr>
              <w:t>进行计算</w:t>
            </w:r>
            <w:r>
              <w:rPr>
                <w:rFonts w:hint="eastAsia" w:ascii="仿宋" w:hAnsi="仿宋" w:eastAsia="仿宋" w:cs="仿宋"/>
                <w:color w:val="000000" w:themeColor="text1"/>
                <w:sz w:val="21"/>
                <w:szCs w:val="21"/>
                <w:highlight w:val="none"/>
                <w:lang w:eastAsia="zh-CN"/>
                <w14:textFill>
                  <w14:solidFill>
                    <w14:schemeClr w14:val="tx1"/>
                  </w14:solidFill>
                </w14:textFill>
              </w:rPr>
              <w:t>：</w:t>
            </w:r>
          </w:p>
          <w:tbl>
            <w:tblPr>
              <w:tblStyle w:val="67"/>
              <w:tblW w:w="7499" w:type="dxa"/>
              <w:jc w:val="center"/>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1971"/>
              <w:gridCol w:w="1633"/>
              <w:gridCol w:w="1633"/>
              <w:gridCol w:w="2262"/>
            </w:tblGrid>
            <w:tr w14:paraId="1D9F9726">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971" w:type="dxa"/>
                  <w:vMerge w:val="restart"/>
                  <w:noWrap w:val="0"/>
                  <w:vAlign w:val="center"/>
                </w:tcPr>
                <w:p w14:paraId="676C5801">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rPr>
                    <w:t>中标</w:t>
                  </w:r>
                  <w:r>
                    <w:rPr>
                      <w:rFonts w:hint="eastAsia" w:ascii="仿宋" w:hAnsi="仿宋" w:eastAsia="仿宋" w:cs="仿宋"/>
                      <w:color w:val="auto"/>
                      <w:kern w:val="0"/>
                      <w:sz w:val="21"/>
                      <w:szCs w:val="21"/>
                      <w:highlight w:val="none"/>
                    </w:rPr>
                    <w:t>金额</w:t>
                  </w:r>
                </w:p>
                <w:p w14:paraId="6FAADB03">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5528" w:type="dxa"/>
                  <w:gridSpan w:val="3"/>
                  <w:noWrap w:val="0"/>
                  <w:vAlign w:val="center"/>
                </w:tcPr>
                <w:p w14:paraId="4F387399">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收费标准</w:t>
                  </w:r>
                </w:p>
              </w:tc>
            </w:tr>
            <w:tr w14:paraId="46D96CA2">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971" w:type="dxa"/>
                  <w:vMerge w:val="continue"/>
                  <w:shd w:val="clear" w:color="auto" w:fill="auto"/>
                  <w:noWrap w:val="0"/>
                  <w:vAlign w:val="center"/>
                </w:tcPr>
                <w:p w14:paraId="6CBF815B">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color w:val="auto"/>
                      <w:kern w:val="0"/>
                      <w:sz w:val="21"/>
                      <w:szCs w:val="21"/>
                      <w:highlight w:val="none"/>
                    </w:rPr>
                  </w:pPr>
                </w:p>
              </w:tc>
              <w:tc>
                <w:tcPr>
                  <w:tcW w:w="1633" w:type="dxa"/>
                  <w:shd w:val="clear" w:color="auto" w:fill="auto"/>
                  <w:noWrap w:val="0"/>
                  <w:vAlign w:val="center"/>
                </w:tcPr>
                <w:p w14:paraId="5F1F29B7">
                  <w:pPr>
                    <w:keepNext w:val="0"/>
                    <w:keepLines w:val="0"/>
                    <w:pageBreakBefore w:val="0"/>
                    <w:widowControl w:val="0"/>
                    <w:kinsoku/>
                    <w:wordWrap w:val="0"/>
                    <w:overflowPunct/>
                    <w:topLinePunct/>
                    <w:autoSpaceDE/>
                    <w:autoSpaceDN/>
                    <w:bidi w:val="0"/>
                    <w:adjustRightInd/>
                    <w:snapToGrid/>
                    <w:spacing w:line="360" w:lineRule="auto"/>
                    <w:ind w:left="0" w:right="0"/>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货物招标</w:t>
                  </w:r>
                </w:p>
              </w:tc>
              <w:tc>
                <w:tcPr>
                  <w:tcW w:w="1633" w:type="dxa"/>
                  <w:noWrap w:val="0"/>
                  <w:vAlign w:val="center"/>
                </w:tcPr>
                <w:p w14:paraId="1E633C29">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服务招标</w:t>
                  </w:r>
                </w:p>
              </w:tc>
              <w:tc>
                <w:tcPr>
                  <w:tcW w:w="2262" w:type="dxa"/>
                  <w:noWrap w:val="0"/>
                  <w:vAlign w:val="center"/>
                </w:tcPr>
                <w:p w14:paraId="73735D1C">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工程招标</w:t>
                  </w:r>
                </w:p>
              </w:tc>
            </w:tr>
            <w:tr w14:paraId="12596FDF">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71" w:type="dxa"/>
                  <w:shd w:val="clear" w:color="auto" w:fill="auto"/>
                  <w:noWrap w:val="0"/>
                  <w:vAlign w:val="center"/>
                </w:tcPr>
                <w:p w14:paraId="5492D651">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100以下</w:t>
                  </w:r>
                </w:p>
              </w:tc>
              <w:tc>
                <w:tcPr>
                  <w:tcW w:w="1633" w:type="dxa"/>
                  <w:shd w:val="clear" w:color="auto" w:fill="auto"/>
                  <w:noWrap w:val="0"/>
                  <w:vAlign w:val="center"/>
                </w:tcPr>
                <w:p w14:paraId="1F7CD1B2">
                  <w:pPr>
                    <w:keepNext w:val="0"/>
                    <w:keepLines w:val="0"/>
                    <w:pageBreakBefore w:val="0"/>
                    <w:widowControl w:val="0"/>
                    <w:kinsoku/>
                    <w:wordWrap w:val="0"/>
                    <w:overflowPunct/>
                    <w:topLinePunct/>
                    <w:autoSpaceDE/>
                    <w:autoSpaceDN/>
                    <w:bidi w:val="0"/>
                    <w:adjustRightInd/>
                    <w:snapToGrid/>
                    <w:spacing w:line="360" w:lineRule="auto"/>
                    <w:ind w:left="0" w:right="0"/>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1.5%</w:t>
                  </w:r>
                </w:p>
              </w:tc>
              <w:tc>
                <w:tcPr>
                  <w:tcW w:w="1633" w:type="dxa"/>
                  <w:noWrap w:val="0"/>
                  <w:vAlign w:val="center"/>
                </w:tcPr>
                <w:p w14:paraId="3A446873">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1.5%</w:t>
                  </w:r>
                </w:p>
              </w:tc>
              <w:tc>
                <w:tcPr>
                  <w:tcW w:w="2262" w:type="dxa"/>
                  <w:noWrap w:val="0"/>
                  <w:vAlign w:val="center"/>
                </w:tcPr>
                <w:p w14:paraId="6BBD76FC">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w:t>
                  </w:r>
                </w:p>
              </w:tc>
            </w:tr>
            <w:tr w14:paraId="2271952E">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71" w:type="dxa"/>
                  <w:shd w:val="clear" w:color="auto" w:fill="auto"/>
                  <w:noWrap w:val="0"/>
                  <w:vAlign w:val="center"/>
                </w:tcPr>
                <w:p w14:paraId="33DD7C94">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100—500</w:t>
                  </w:r>
                </w:p>
              </w:tc>
              <w:tc>
                <w:tcPr>
                  <w:tcW w:w="1633" w:type="dxa"/>
                  <w:shd w:val="clear" w:color="auto" w:fill="auto"/>
                  <w:noWrap w:val="0"/>
                  <w:vAlign w:val="center"/>
                </w:tcPr>
                <w:p w14:paraId="62C9AC2B">
                  <w:pPr>
                    <w:keepNext w:val="0"/>
                    <w:keepLines w:val="0"/>
                    <w:pageBreakBefore w:val="0"/>
                    <w:widowControl w:val="0"/>
                    <w:kinsoku/>
                    <w:wordWrap w:val="0"/>
                    <w:overflowPunct/>
                    <w:topLinePunct/>
                    <w:autoSpaceDE/>
                    <w:autoSpaceDN/>
                    <w:bidi w:val="0"/>
                    <w:adjustRightInd/>
                    <w:snapToGrid/>
                    <w:spacing w:line="360" w:lineRule="auto"/>
                    <w:ind w:left="0" w:right="0"/>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1.1%</w:t>
                  </w:r>
                </w:p>
              </w:tc>
              <w:tc>
                <w:tcPr>
                  <w:tcW w:w="1633" w:type="dxa"/>
                  <w:noWrap w:val="0"/>
                  <w:vAlign w:val="center"/>
                </w:tcPr>
                <w:p w14:paraId="23343209">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0.8%</w:t>
                  </w:r>
                </w:p>
              </w:tc>
              <w:tc>
                <w:tcPr>
                  <w:tcW w:w="2262" w:type="dxa"/>
                  <w:noWrap w:val="0"/>
                  <w:vAlign w:val="center"/>
                </w:tcPr>
                <w:p w14:paraId="2EF66969">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0.7%</w:t>
                  </w:r>
                </w:p>
              </w:tc>
            </w:tr>
            <w:tr w14:paraId="22FB2DC2">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71" w:type="dxa"/>
                  <w:shd w:val="clear" w:color="auto" w:fill="auto"/>
                  <w:noWrap w:val="0"/>
                  <w:vAlign w:val="center"/>
                </w:tcPr>
                <w:p w14:paraId="67090EE9">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500—1000</w:t>
                  </w:r>
                </w:p>
              </w:tc>
              <w:tc>
                <w:tcPr>
                  <w:tcW w:w="1633" w:type="dxa"/>
                  <w:shd w:val="clear" w:color="auto" w:fill="auto"/>
                  <w:noWrap w:val="0"/>
                  <w:vAlign w:val="center"/>
                </w:tcPr>
                <w:p w14:paraId="4ADC765C">
                  <w:pPr>
                    <w:keepNext w:val="0"/>
                    <w:keepLines w:val="0"/>
                    <w:pageBreakBefore w:val="0"/>
                    <w:widowControl w:val="0"/>
                    <w:kinsoku/>
                    <w:wordWrap w:val="0"/>
                    <w:overflowPunct/>
                    <w:topLinePunct/>
                    <w:autoSpaceDE/>
                    <w:autoSpaceDN/>
                    <w:bidi w:val="0"/>
                    <w:adjustRightInd/>
                    <w:snapToGrid/>
                    <w:spacing w:line="360" w:lineRule="auto"/>
                    <w:ind w:left="0" w:right="0"/>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0.8%</w:t>
                  </w:r>
                </w:p>
              </w:tc>
              <w:tc>
                <w:tcPr>
                  <w:tcW w:w="1633" w:type="dxa"/>
                  <w:noWrap w:val="0"/>
                  <w:vAlign w:val="center"/>
                </w:tcPr>
                <w:p w14:paraId="4E0D9F7E">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0.45%</w:t>
                  </w:r>
                </w:p>
              </w:tc>
              <w:tc>
                <w:tcPr>
                  <w:tcW w:w="2262" w:type="dxa"/>
                  <w:noWrap w:val="0"/>
                  <w:vAlign w:val="center"/>
                </w:tcPr>
                <w:p w14:paraId="6699B339">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0.55%</w:t>
                  </w:r>
                </w:p>
              </w:tc>
            </w:tr>
            <w:tr w14:paraId="5936ADFC">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71" w:type="dxa"/>
                  <w:shd w:val="clear" w:color="auto" w:fill="auto"/>
                  <w:noWrap w:val="0"/>
                  <w:vAlign w:val="center"/>
                </w:tcPr>
                <w:p w14:paraId="0D473837">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1000—5000</w:t>
                  </w:r>
                </w:p>
              </w:tc>
              <w:tc>
                <w:tcPr>
                  <w:tcW w:w="1633" w:type="dxa"/>
                  <w:shd w:val="clear" w:color="auto" w:fill="auto"/>
                  <w:noWrap w:val="0"/>
                  <w:vAlign w:val="center"/>
                </w:tcPr>
                <w:p w14:paraId="6B9C3177">
                  <w:pPr>
                    <w:keepNext w:val="0"/>
                    <w:keepLines w:val="0"/>
                    <w:pageBreakBefore w:val="0"/>
                    <w:widowControl w:val="0"/>
                    <w:kinsoku/>
                    <w:wordWrap w:val="0"/>
                    <w:overflowPunct/>
                    <w:topLinePunct/>
                    <w:autoSpaceDE/>
                    <w:autoSpaceDN/>
                    <w:bidi w:val="0"/>
                    <w:adjustRightInd/>
                    <w:snapToGrid/>
                    <w:spacing w:line="360" w:lineRule="auto"/>
                    <w:ind w:left="0" w:right="0"/>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0.5%</w:t>
                  </w:r>
                </w:p>
              </w:tc>
              <w:tc>
                <w:tcPr>
                  <w:tcW w:w="1633" w:type="dxa"/>
                  <w:noWrap w:val="0"/>
                  <w:vAlign w:val="center"/>
                </w:tcPr>
                <w:p w14:paraId="07A474DA">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0.25%</w:t>
                  </w:r>
                </w:p>
              </w:tc>
              <w:tc>
                <w:tcPr>
                  <w:tcW w:w="2262" w:type="dxa"/>
                  <w:noWrap w:val="0"/>
                  <w:vAlign w:val="center"/>
                </w:tcPr>
                <w:p w14:paraId="3B0BBF13">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0.35%</w:t>
                  </w:r>
                </w:p>
              </w:tc>
            </w:tr>
            <w:tr w14:paraId="25626637">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71" w:type="dxa"/>
                  <w:shd w:val="clear" w:color="auto" w:fill="auto"/>
                  <w:noWrap w:val="0"/>
                  <w:vAlign w:val="center"/>
                </w:tcPr>
                <w:p w14:paraId="07F3C958">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5000—10000</w:t>
                  </w:r>
                </w:p>
              </w:tc>
              <w:tc>
                <w:tcPr>
                  <w:tcW w:w="1633" w:type="dxa"/>
                  <w:shd w:val="clear" w:color="auto" w:fill="auto"/>
                  <w:noWrap w:val="0"/>
                  <w:vAlign w:val="center"/>
                </w:tcPr>
                <w:p w14:paraId="3CC22103">
                  <w:pPr>
                    <w:keepNext w:val="0"/>
                    <w:keepLines w:val="0"/>
                    <w:pageBreakBefore w:val="0"/>
                    <w:widowControl w:val="0"/>
                    <w:kinsoku/>
                    <w:wordWrap w:val="0"/>
                    <w:overflowPunct/>
                    <w:topLinePunct/>
                    <w:autoSpaceDE/>
                    <w:autoSpaceDN/>
                    <w:bidi w:val="0"/>
                    <w:adjustRightInd/>
                    <w:snapToGrid/>
                    <w:spacing w:line="360" w:lineRule="auto"/>
                    <w:ind w:left="0" w:right="0"/>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0.25%</w:t>
                  </w:r>
                </w:p>
              </w:tc>
              <w:tc>
                <w:tcPr>
                  <w:tcW w:w="1633" w:type="dxa"/>
                  <w:noWrap w:val="0"/>
                  <w:vAlign w:val="center"/>
                </w:tcPr>
                <w:p w14:paraId="6D80062F">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0.1%</w:t>
                  </w:r>
                </w:p>
              </w:tc>
              <w:tc>
                <w:tcPr>
                  <w:tcW w:w="2262" w:type="dxa"/>
                  <w:noWrap w:val="0"/>
                  <w:vAlign w:val="center"/>
                </w:tcPr>
                <w:p w14:paraId="17648E49">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0.2%</w:t>
                  </w:r>
                </w:p>
              </w:tc>
            </w:tr>
          </w:tbl>
          <w:p w14:paraId="6A8547B4">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420" w:firstLineChars="200"/>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计算方式：预算价</w:t>
            </w:r>
            <w:r>
              <w:rPr>
                <w:rFonts w:hint="default" w:ascii="仿宋" w:hAnsi="仿宋" w:eastAsia="仿宋" w:cs="仿宋"/>
                <w:color w:val="auto"/>
                <w:kern w:val="0"/>
                <w:sz w:val="21"/>
                <w:szCs w:val="21"/>
                <w:highlight w:val="none"/>
                <w:lang w:val="en-US" w:eastAsia="zh-CN"/>
              </w:rPr>
              <w:t>×</w:t>
            </w:r>
            <w:r>
              <w:rPr>
                <w:rFonts w:hint="eastAsia" w:ascii="仿宋" w:hAnsi="仿宋" w:eastAsia="仿宋" w:cs="仿宋"/>
                <w:color w:val="auto"/>
                <w:kern w:val="0"/>
                <w:sz w:val="21"/>
                <w:szCs w:val="21"/>
                <w:highlight w:val="none"/>
                <w:lang w:val="en-US" w:eastAsia="zh-CN"/>
              </w:rPr>
              <w:t>（1-中标下浮率）</w:t>
            </w:r>
            <w:r>
              <w:rPr>
                <w:rFonts w:hint="default" w:ascii="仿宋" w:hAnsi="仿宋" w:eastAsia="仿宋" w:cs="仿宋"/>
                <w:color w:val="auto"/>
                <w:kern w:val="0"/>
                <w:sz w:val="21"/>
                <w:szCs w:val="21"/>
                <w:highlight w:val="none"/>
                <w:lang w:val="en-US" w:eastAsia="zh-CN"/>
              </w:rPr>
              <w:t>×</w:t>
            </w:r>
            <w:r>
              <w:rPr>
                <w:rFonts w:hint="eastAsia" w:ascii="仿宋" w:hAnsi="仿宋" w:eastAsia="仿宋" w:cs="仿宋"/>
                <w:color w:val="auto"/>
                <w:kern w:val="0"/>
                <w:sz w:val="21"/>
                <w:szCs w:val="21"/>
                <w:highlight w:val="none"/>
                <w:lang w:val="en-US" w:eastAsia="zh-CN"/>
              </w:rPr>
              <w:t>差额定率</w:t>
            </w:r>
            <w:r>
              <w:rPr>
                <w:rFonts w:hint="default" w:ascii="仿宋" w:hAnsi="仿宋" w:eastAsia="仿宋" w:cs="仿宋"/>
                <w:color w:val="auto"/>
                <w:kern w:val="0"/>
                <w:sz w:val="21"/>
                <w:szCs w:val="21"/>
                <w:highlight w:val="none"/>
                <w:lang w:val="en-US" w:eastAsia="zh-CN"/>
              </w:rPr>
              <w:t>×</w:t>
            </w:r>
            <w:r>
              <w:rPr>
                <w:rFonts w:hint="eastAsia" w:ascii="仿宋" w:hAnsi="仿宋" w:eastAsia="仿宋" w:cs="仿宋"/>
                <w:color w:val="auto"/>
                <w:kern w:val="0"/>
                <w:sz w:val="21"/>
                <w:szCs w:val="21"/>
                <w:highlight w:val="none"/>
                <w:lang w:val="en-US" w:eastAsia="zh-CN"/>
              </w:rPr>
              <w:t>（1-10%）</w:t>
            </w:r>
          </w:p>
          <w:p w14:paraId="0FB6EE5D">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420" w:firstLineChars="200"/>
              <w:textAlignment w:val="auto"/>
              <w:rPr>
                <w:rFonts w:hint="default" w:ascii="仿宋" w:hAnsi="仿宋" w:eastAsia="仿宋" w:cs="仿宋"/>
                <w:color w:val="auto"/>
                <w:kern w:val="0"/>
                <w:sz w:val="21"/>
                <w:szCs w:val="21"/>
                <w:highlight w:val="none"/>
                <w:lang w:val="en-US" w:eastAsia="zh-CN"/>
              </w:rPr>
            </w:pPr>
            <w:r>
              <w:rPr>
                <w:rFonts w:hint="default" w:ascii="仿宋" w:hAnsi="仿宋" w:eastAsia="仿宋" w:cs="仿宋"/>
                <w:color w:val="auto"/>
                <w:kern w:val="0"/>
                <w:sz w:val="21"/>
                <w:szCs w:val="21"/>
                <w:highlight w:val="none"/>
                <w:lang w:val="en-US" w:eastAsia="zh-CN"/>
              </w:rPr>
              <w:t>例如：</w:t>
            </w:r>
            <w:r>
              <w:rPr>
                <w:rFonts w:hint="eastAsia" w:ascii="仿宋" w:hAnsi="仿宋" w:eastAsia="仿宋" w:cs="仿宋"/>
                <w:color w:val="auto"/>
                <w:kern w:val="0"/>
                <w:sz w:val="21"/>
                <w:szCs w:val="21"/>
                <w:highlight w:val="none"/>
                <w:lang w:val="en-US" w:eastAsia="zh-CN"/>
              </w:rPr>
              <w:t>预算金额140</w:t>
            </w:r>
            <w:r>
              <w:rPr>
                <w:rFonts w:hint="default" w:ascii="仿宋" w:hAnsi="仿宋" w:eastAsia="仿宋" w:cs="仿宋"/>
                <w:color w:val="auto"/>
                <w:kern w:val="0"/>
                <w:sz w:val="21"/>
                <w:szCs w:val="21"/>
                <w:highlight w:val="none"/>
                <w:lang w:val="en-US" w:eastAsia="zh-CN"/>
              </w:rPr>
              <w:t>万元</w:t>
            </w:r>
            <w:r>
              <w:rPr>
                <w:rFonts w:hint="eastAsia" w:ascii="仿宋" w:hAnsi="仿宋" w:eastAsia="仿宋" w:cs="仿宋"/>
                <w:color w:val="auto"/>
                <w:kern w:val="0"/>
                <w:sz w:val="21"/>
                <w:szCs w:val="21"/>
                <w:highlight w:val="none"/>
                <w:lang w:val="en-US" w:eastAsia="zh-CN"/>
              </w:rPr>
              <w:t>，</w:t>
            </w:r>
            <w:r>
              <w:rPr>
                <w:rFonts w:hint="default" w:ascii="仿宋" w:hAnsi="仿宋" w:eastAsia="仿宋" w:cs="仿宋"/>
                <w:color w:val="auto"/>
                <w:kern w:val="0"/>
                <w:sz w:val="21"/>
                <w:szCs w:val="21"/>
                <w:highlight w:val="none"/>
                <w:lang w:val="en-US" w:eastAsia="zh-CN"/>
              </w:rPr>
              <w:t>中标下浮率为</w:t>
            </w:r>
            <w:r>
              <w:rPr>
                <w:rFonts w:hint="eastAsia" w:ascii="仿宋" w:hAnsi="仿宋" w:eastAsia="仿宋" w:cs="仿宋"/>
                <w:color w:val="auto"/>
                <w:kern w:val="0"/>
                <w:sz w:val="21"/>
                <w:szCs w:val="21"/>
                <w:highlight w:val="none"/>
                <w:lang w:val="en-US" w:eastAsia="zh-CN"/>
              </w:rPr>
              <w:t>10%</w:t>
            </w:r>
            <w:r>
              <w:rPr>
                <w:rFonts w:hint="default" w:ascii="仿宋" w:hAnsi="仿宋" w:eastAsia="仿宋" w:cs="仿宋"/>
                <w:color w:val="auto"/>
                <w:kern w:val="0"/>
                <w:sz w:val="21"/>
                <w:szCs w:val="21"/>
                <w:highlight w:val="none"/>
                <w:lang w:val="en-US" w:eastAsia="zh-CN"/>
              </w:rPr>
              <w:t>。计算采购代理服务收费额如下：</w:t>
            </w:r>
          </w:p>
          <w:p w14:paraId="4D7AA67C">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840" w:firstLineChars="400"/>
              <w:textAlignment w:val="auto"/>
              <w:rPr>
                <w:rFonts w:hint="default" w:ascii="仿宋" w:hAnsi="仿宋" w:eastAsia="仿宋" w:cs="仿宋"/>
                <w:color w:val="auto"/>
                <w:kern w:val="0"/>
                <w:sz w:val="21"/>
                <w:szCs w:val="21"/>
                <w:highlight w:val="none"/>
                <w:lang w:val="en-US" w:eastAsia="zh-CN"/>
              </w:rPr>
            </w:pPr>
            <w:r>
              <w:rPr>
                <w:rFonts w:hint="default" w:ascii="仿宋" w:hAnsi="仿宋" w:eastAsia="仿宋" w:cs="仿宋"/>
                <w:color w:val="auto"/>
                <w:kern w:val="0"/>
                <w:sz w:val="21"/>
                <w:szCs w:val="21"/>
                <w:highlight w:val="none"/>
                <w:lang w:val="en-US" w:eastAsia="zh-CN"/>
              </w:rPr>
              <w:t>140万元×</w:t>
            </w:r>
            <w:r>
              <w:rPr>
                <w:rFonts w:hint="eastAsia" w:ascii="仿宋" w:hAnsi="仿宋" w:eastAsia="仿宋" w:cs="仿宋"/>
                <w:color w:val="auto"/>
                <w:kern w:val="0"/>
                <w:sz w:val="21"/>
                <w:szCs w:val="21"/>
                <w:highlight w:val="none"/>
                <w:lang w:val="en-US" w:eastAsia="zh-CN"/>
              </w:rPr>
              <w:t>（1-10%）=126</w:t>
            </w:r>
            <w:r>
              <w:rPr>
                <w:rFonts w:hint="default" w:ascii="仿宋" w:hAnsi="仿宋" w:eastAsia="仿宋" w:cs="仿宋"/>
                <w:color w:val="auto"/>
                <w:kern w:val="0"/>
                <w:sz w:val="21"/>
                <w:szCs w:val="21"/>
                <w:highlight w:val="none"/>
                <w:lang w:val="en-US" w:eastAsia="zh-CN"/>
              </w:rPr>
              <w:t>万元</w:t>
            </w:r>
          </w:p>
          <w:p w14:paraId="2757D848">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840" w:firstLineChars="400"/>
              <w:textAlignment w:val="auto"/>
              <w:rPr>
                <w:rFonts w:hint="default" w:ascii="仿宋" w:hAnsi="仿宋" w:eastAsia="仿宋" w:cs="仿宋"/>
                <w:color w:val="auto"/>
                <w:kern w:val="0"/>
                <w:sz w:val="21"/>
                <w:szCs w:val="21"/>
                <w:highlight w:val="none"/>
                <w:lang w:val="en-US" w:eastAsia="zh-CN"/>
              </w:rPr>
            </w:pPr>
            <w:r>
              <w:rPr>
                <w:rFonts w:hint="default" w:ascii="仿宋" w:hAnsi="仿宋" w:eastAsia="仿宋" w:cs="仿宋"/>
                <w:color w:val="auto"/>
                <w:kern w:val="0"/>
                <w:sz w:val="21"/>
                <w:szCs w:val="21"/>
                <w:highlight w:val="none"/>
                <w:lang w:val="en-US" w:eastAsia="zh-CN"/>
              </w:rPr>
              <w:t>100万元×l.5％＝1.5万元</w:t>
            </w:r>
          </w:p>
          <w:p w14:paraId="7D678ECA">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840" w:firstLineChars="400"/>
              <w:textAlignment w:val="auto"/>
              <w:rPr>
                <w:rFonts w:hint="default" w:ascii="仿宋" w:hAnsi="仿宋" w:eastAsia="仿宋" w:cs="仿宋"/>
                <w:color w:val="auto"/>
                <w:kern w:val="0"/>
                <w:sz w:val="21"/>
                <w:szCs w:val="21"/>
                <w:highlight w:val="none"/>
                <w:lang w:val="en-US" w:eastAsia="zh-CN"/>
              </w:rPr>
            </w:pPr>
            <w:r>
              <w:rPr>
                <w:rFonts w:hint="default" w:ascii="仿宋" w:hAnsi="仿宋" w:eastAsia="仿宋" w:cs="仿宋"/>
                <w:color w:val="auto"/>
                <w:kern w:val="0"/>
                <w:sz w:val="21"/>
                <w:szCs w:val="21"/>
                <w:highlight w:val="none"/>
                <w:lang w:val="en-US" w:eastAsia="zh-CN"/>
              </w:rPr>
              <w:t>（</w:t>
            </w:r>
            <w:r>
              <w:rPr>
                <w:rFonts w:hint="eastAsia" w:ascii="仿宋" w:hAnsi="仿宋" w:eastAsia="仿宋" w:cs="仿宋"/>
                <w:color w:val="auto"/>
                <w:kern w:val="0"/>
                <w:sz w:val="21"/>
                <w:szCs w:val="21"/>
                <w:highlight w:val="none"/>
                <w:lang w:val="en-US" w:eastAsia="zh-CN"/>
              </w:rPr>
              <w:t>126</w:t>
            </w:r>
            <w:r>
              <w:rPr>
                <w:rFonts w:hint="default" w:ascii="仿宋" w:hAnsi="仿宋" w:eastAsia="仿宋" w:cs="仿宋"/>
                <w:color w:val="auto"/>
                <w:kern w:val="0"/>
                <w:sz w:val="21"/>
                <w:szCs w:val="21"/>
                <w:highlight w:val="none"/>
                <w:lang w:val="en-US" w:eastAsia="zh-CN"/>
              </w:rPr>
              <w:t>－100）万元×1.1％＝</w:t>
            </w:r>
            <w:r>
              <w:rPr>
                <w:rFonts w:hint="eastAsia" w:ascii="仿宋" w:hAnsi="仿宋" w:eastAsia="仿宋" w:cs="仿宋"/>
                <w:color w:val="auto"/>
                <w:kern w:val="0"/>
                <w:sz w:val="21"/>
                <w:szCs w:val="21"/>
                <w:highlight w:val="none"/>
                <w:lang w:val="en-US" w:eastAsia="zh-CN"/>
              </w:rPr>
              <w:t>0.286</w:t>
            </w:r>
            <w:r>
              <w:rPr>
                <w:rFonts w:hint="default" w:ascii="仿宋" w:hAnsi="仿宋" w:eastAsia="仿宋" w:cs="仿宋"/>
                <w:color w:val="auto"/>
                <w:kern w:val="0"/>
                <w:sz w:val="21"/>
                <w:szCs w:val="21"/>
                <w:highlight w:val="none"/>
                <w:lang w:val="en-US" w:eastAsia="zh-CN"/>
              </w:rPr>
              <w:t>万元</w:t>
            </w:r>
          </w:p>
          <w:p w14:paraId="62E69DF2">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840" w:firstLineChars="400"/>
              <w:textAlignment w:val="auto"/>
              <w:rPr>
                <w:rFonts w:hint="default" w:ascii="仿宋" w:hAnsi="仿宋" w:eastAsia="仿宋" w:cs="仿宋"/>
                <w:color w:val="auto"/>
                <w:kern w:val="0"/>
                <w:sz w:val="21"/>
                <w:szCs w:val="21"/>
                <w:highlight w:val="none"/>
                <w:lang w:val="en-US" w:eastAsia="zh-CN"/>
              </w:rPr>
            </w:pPr>
            <w:r>
              <w:rPr>
                <w:rFonts w:hint="default" w:ascii="仿宋" w:hAnsi="仿宋" w:eastAsia="仿宋" w:cs="仿宋"/>
                <w:color w:val="auto"/>
                <w:kern w:val="0"/>
                <w:sz w:val="21"/>
                <w:szCs w:val="21"/>
                <w:highlight w:val="none"/>
                <w:lang w:val="en-US" w:eastAsia="zh-CN"/>
              </w:rPr>
              <w:t>费用合计：（</w:t>
            </w:r>
            <w:r>
              <w:rPr>
                <w:rFonts w:hint="eastAsia" w:ascii="仿宋" w:hAnsi="仿宋" w:eastAsia="仿宋" w:cs="仿宋"/>
                <w:color w:val="auto"/>
                <w:kern w:val="0"/>
                <w:sz w:val="21"/>
                <w:szCs w:val="21"/>
                <w:highlight w:val="none"/>
                <w:lang w:val="en-US" w:eastAsia="zh-CN"/>
              </w:rPr>
              <w:t>1.5</w:t>
            </w:r>
            <w:r>
              <w:rPr>
                <w:rFonts w:hint="default" w:ascii="仿宋" w:hAnsi="仿宋" w:eastAsia="仿宋" w:cs="仿宋"/>
                <w:color w:val="auto"/>
                <w:kern w:val="0"/>
                <w:sz w:val="21"/>
                <w:szCs w:val="21"/>
                <w:highlight w:val="none"/>
                <w:lang w:val="en-US" w:eastAsia="zh-CN"/>
              </w:rPr>
              <w:t>+</w:t>
            </w:r>
            <w:r>
              <w:rPr>
                <w:rFonts w:hint="eastAsia" w:ascii="仿宋" w:hAnsi="仿宋" w:eastAsia="仿宋" w:cs="仿宋"/>
                <w:color w:val="auto"/>
                <w:kern w:val="0"/>
                <w:sz w:val="21"/>
                <w:szCs w:val="21"/>
                <w:highlight w:val="none"/>
                <w:lang w:val="en-US" w:eastAsia="zh-CN"/>
              </w:rPr>
              <w:t>0.286</w:t>
            </w:r>
            <w:r>
              <w:rPr>
                <w:rFonts w:hint="default" w:ascii="仿宋" w:hAnsi="仿宋" w:eastAsia="仿宋" w:cs="仿宋"/>
                <w:color w:val="auto"/>
                <w:kern w:val="0"/>
                <w:sz w:val="21"/>
                <w:szCs w:val="21"/>
                <w:highlight w:val="none"/>
                <w:lang w:val="en-US" w:eastAsia="zh-CN"/>
              </w:rPr>
              <w:t>）×（1-10%）=</w:t>
            </w:r>
            <w:r>
              <w:rPr>
                <w:rFonts w:hint="eastAsia" w:ascii="仿宋" w:hAnsi="仿宋" w:eastAsia="仿宋" w:cs="仿宋"/>
                <w:color w:val="auto"/>
                <w:kern w:val="0"/>
                <w:sz w:val="21"/>
                <w:szCs w:val="21"/>
                <w:highlight w:val="none"/>
                <w:lang w:val="en-US" w:eastAsia="zh-CN"/>
              </w:rPr>
              <w:t>1.6074</w:t>
            </w:r>
            <w:r>
              <w:rPr>
                <w:rFonts w:hint="default" w:ascii="仿宋" w:hAnsi="仿宋" w:eastAsia="仿宋" w:cs="仿宋"/>
                <w:color w:val="auto"/>
                <w:kern w:val="0"/>
                <w:sz w:val="21"/>
                <w:szCs w:val="21"/>
                <w:highlight w:val="none"/>
                <w:lang w:val="en-US" w:eastAsia="zh-CN"/>
              </w:rPr>
              <w:t>万元</w:t>
            </w:r>
          </w:p>
          <w:p w14:paraId="36434EF0">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缴纳代理费账户：</w:t>
            </w:r>
          </w:p>
          <w:p w14:paraId="69A79E88">
            <w:pPr>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开户名称：云南咏名工程管理咨询有限公司</w:t>
            </w:r>
          </w:p>
          <w:p w14:paraId="417C8999">
            <w:pPr>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开户行：交通银行股份有限公司楚雄西路支行</w:t>
            </w:r>
          </w:p>
          <w:p w14:paraId="45AB91D9">
            <w:pPr>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银行账号：552899991013000091157</w:t>
            </w:r>
          </w:p>
          <w:p w14:paraId="413296E7">
            <w:pPr>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行号：301738000021</w:t>
            </w:r>
          </w:p>
          <w:p w14:paraId="53B256A6">
            <w:pPr>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缴纳时间：中标人应在接受“中标通知书”前向</w:t>
            </w:r>
            <w:r>
              <w:rPr>
                <w:rFonts w:hint="eastAsia" w:ascii="仿宋" w:hAnsi="仿宋" w:eastAsia="仿宋" w:cs="仿宋"/>
                <w:color w:val="auto"/>
                <w:sz w:val="21"/>
                <w:szCs w:val="21"/>
                <w:highlight w:val="none"/>
                <w:lang w:val="en-US" w:eastAsia="zh-CN"/>
              </w:rPr>
              <w:t>采购</w:t>
            </w:r>
            <w:r>
              <w:rPr>
                <w:rFonts w:hint="eastAsia" w:ascii="仿宋" w:hAnsi="仿宋" w:eastAsia="仿宋" w:cs="仿宋"/>
                <w:color w:val="auto"/>
                <w:sz w:val="21"/>
                <w:szCs w:val="21"/>
                <w:highlight w:val="none"/>
                <w:lang w:eastAsia="zh-CN"/>
              </w:rPr>
              <w:t>代理机构</w:t>
            </w:r>
            <w:r>
              <w:rPr>
                <w:rFonts w:hint="eastAsia" w:ascii="仿宋" w:hAnsi="仿宋" w:eastAsia="仿宋" w:cs="仿宋"/>
                <w:color w:val="auto"/>
                <w:sz w:val="21"/>
                <w:szCs w:val="21"/>
                <w:highlight w:val="none"/>
              </w:rPr>
              <w:t>一次付清代理服务费。</w:t>
            </w:r>
          </w:p>
        </w:tc>
      </w:tr>
      <w:tr w14:paraId="6BA0BA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vAlign w:val="center"/>
          </w:tcPr>
          <w:p w14:paraId="3E0C4419">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baseline"/>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举报</w:t>
            </w:r>
          </w:p>
        </w:tc>
        <w:tc>
          <w:tcPr>
            <w:tcW w:w="8087" w:type="dxa"/>
            <w:vAlign w:val="center"/>
          </w:tcPr>
          <w:p w14:paraId="01B83D9D">
            <w:pPr>
              <w:keepNext w:val="0"/>
              <w:keepLines w:val="0"/>
              <w:pageBreakBefore w:val="0"/>
              <w:widowControl w:val="0"/>
              <w:kinsoku/>
              <w:wordWrap w:val="0"/>
              <w:overflowPunct/>
              <w:topLinePunct/>
              <w:autoSpaceDE/>
              <w:autoSpaceDN/>
              <w:bidi w:val="0"/>
              <w:adjustRightInd/>
              <w:snapToGrid/>
              <w:spacing w:line="360" w:lineRule="auto"/>
              <w:ind w:left="0" w:right="0" w:firstLine="420" w:firstLineChars="200"/>
              <w:textAlignment w:val="baseline"/>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在政府采购活动中，若投标人发现存在要求投标人支付专家评审费用、向投标人转嫁公证费用等违反《云南省财政厅关于进一步规范政府采购相关收费行为的通知（云财规〔2023〕13号）》的行为，请向财政主管部门举报。</w:t>
            </w:r>
          </w:p>
        </w:tc>
      </w:tr>
      <w:tr w14:paraId="664414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vAlign w:val="center"/>
          </w:tcPr>
          <w:p w14:paraId="1FE2ACCB">
            <w:pPr>
              <w:pStyle w:val="683"/>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0" w:firstLineChars="0"/>
              <w:contextualSpacing/>
              <w:jc w:val="center"/>
              <w:textAlignment w:val="auto"/>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rPr>
              <w:t>相关证明材料</w:t>
            </w:r>
            <w:r>
              <w:rPr>
                <w:rFonts w:hint="eastAsia" w:ascii="仿宋" w:hAnsi="仿宋" w:eastAsia="仿宋" w:cs="仿宋"/>
                <w:snapToGrid w:val="0"/>
                <w:color w:val="auto"/>
                <w:kern w:val="0"/>
                <w:sz w:val="21"/>
                <w:szCs w:val="21"/>
                <w:highlight w:val="none"/>
                <w:lang w:val="en-US" w:eastAsia="zh-CN"/>
              </w:rPr>
              <w:t>官方查询网站</w:t>
            </w:r>
          </w:p>
          <w:p w14:paraId="1FCDD3A2">
            <w:pPr>
              <w:pStyle w:val="683"/>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0" w:firstLineChars="0"/>
              <w:contextualSpacing/>
              <w:jc w:val="center"/>
              <w:textAlignment w:val="auto"/>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snapToGrid w:val="0"/>
                <w:color w:val="auto"/>
                <w:kern w:val="0"/>
                <w:sz w:val="21"/>
                <w:szCs w:val="21"/>
                <w:highlight w:val="none"/>
                <w:lang w:val="en-US" w:eastAsia="zh-CN"/>
              </w:rPr>
              <w:t>（若招标文件有要求的）</w:t>
            </w:r>
          </w:p>
        </w:tc>
        <w:tc>
          <w:tcPr>
            <w:tcW w:w="8087" w:type="dxa"/>
            <w:vAlign w:val="center"/>
          </w:tcPr>
          <w:p w14:paraId="7BDA711D">
            <w:pPr>
              <w:pStyle w:val="683"/>
              <w:keepNext w:val="0"/>
              <w:keepLines w:val="0"/>
              <w:pageBreakBefore w:val="0"/>
              <w:widowControl w:val="0"/>
              <w:kinsoku/>
              <w:wordWrap w:val="0"/>
              <w:overflowPunct/>
              <w:topLinePunct/>
              <w:autoSpaceDE/>
              <w:autoSpaceDN/>
              <w:bidi w:val="0"/>
              <w:adjustRightInd/>
              <w:snapToGrid/>
              <w:spacing w:after="0" w:line="360" w:lineRule="auto"/>
              <w:ind w:left="0" w:right="0" w:rightChars="0" w:firstLine="420" w:firstLineChars="200"/>
              <w:contextualSpacing/>
              <w:jc w:val="left"/>
              <w:textAlignment w:val="auto"/>
              <w:rPr>
                <w:rFonts w:hint="eastAsia" w:ascii="仿宋" w:hAnsi="仿宋" w:eastAsia="仿宋" w:cs="仿宋"/>
                <w:snapToGrid w:val="0"/>
                <w:color w:val="auto"/>
                <w:kern w:val="0"/>
                <w:sz w:val="21"/>
                <w:szCs w:val="21"/>
                <w:highlight w:val="none"/>
              </w:rPr>
            </w:pPr>
            <w:r>
              <w:rPr>
                <w:rFonts w:hint="eastAsia" w:ascii="仿宋" w:hAnsi="仿宋" w:eastAsia="仿宋" w:cs="仿宋"/>
                <w:b w:val="0"/>
                <w:bCs w:val="0"/>
                <w:color w:val="auto"/>
                <w:sz w:val="21"/>
                <w:szCs w:val="21"/>
                <w:highlight w:val="none"/>
                <w:lang w:val="en-US" w:eastAsia="zh-CN"/>
              </w:rPr>
              <w:t>①</w:t>
            </w:r>
            <w:r>
              <w:rPr>
                <w:rFonts w:hint="eastAsia" w:ascii="仿宋" w:hAnsi="仿宋" w:eastAsia="仿宋" w:cs="仿宋"/>
                <w:snapToGrid w:val="0"/>
                <w:color w:val="auto"/>
                <w:kern w:val="0"/>
                <w:sz w:val="21"/>
                <w:szCs w:val="21"/>
                <w:highlight w:val="none"/>
                <w:lang w:val="en-US" w:eastAsia="zh-CN"/>
              </w:rPr>
              <w:t>节能环保产品</w:t>
            </w:r>
            <w:r>
              <w:rPr>
                <w:rFonts w:hint="eastAsia" w:ascii="仿宋" w:hAnsi="仿宋" w:eastAsia="仿宋" w:cs="仿宋"/>
                <w:snapToGrid w:val="0"/>
                <w:color w:val="auto"/>
                <w:kern w:val="0"/>
                <w:sz w:val="21"/>
                <w:szCs w:val="21"/>
                <w:highlight w:val="none"/>
                <w:lang w:eastAsia="zh-CN"/>
              </w:rPr>
              <w:t>：</w:t>
            </w:r>
            <w:r>
              <w:rPr>
                <w:rFonts w:hint="eastAsia" w:ascii="仿宋" w:hAnsi="仿宋" w:eastAsia="仿宋" w:cs="仿宋"/>
                <w:snapToGrid w:val="0"/>
                <w:color w:val="auto"/>
                <w:kern w:val="0"/>
                <w:sz w:val="21"/>
                <w:szCs w:val="21"/>
                <w:highlight w:val="none"/>
              </w:rPr>
              <w:t>中国政府采购网（http://www.ccgp.gov.cn/）、国家发展改革委网站（http://hzs.ndrc.gov.cn/）、</w:t>
            </w:r>
            <w:r>
              <w:rPr>
                <w:rFonts w:hint="eastAsia" w:ascii="仿宋" w:hAnsi="仿宋" w:eastAsia="仿宋" w:cs="仿宋"/>
                <w:snapToGrid w:val="0"/>
                <w:color w:val="auto"/>
                <w:kern w:val="0"/>
                <w:sz w:val="21"/>
                <w:szCs w:val="21"/>
                <w:highlight w:val="none"/>
                <w:lang w:eastAsia="zh-CN"/>
              </w:rPr>
              <w:t>生态环境部</w:t>
            </w:r>
            <w:r>
              <w:rPr>
                <w:rFonts w:hint="eastAsia" w:ascii="仿宋" w:hAnsi="仿宋" w:eastAsia="仿宋" w:cs="仿宋"/>
                <w:snapToGrid w:val="0"/>
                <w:color w:val="auto"/>
                <w:kern w:val="0"/>
                <w:sz w:val="21"/>
                <w:szCs w:val="21"/>
                <w:highlight w:val="none"/>
              </w:rPr>
              <w:t>网（http://www.sepa.gov.cn/）查阅、下载。</w:t>
            </w:r>
          </w:p>
          <w:p w14:paraId="11C9E5A0">
            <w:pPr>
              <w:pStyle w:val="683"/>
              <w:keepNext w:val="0"/>
              <w:keepLines w:val="0"/>
              <w:pageBreakBefore w:val="0"/>
              <w:widowControl w:val="0"/>
              <w:kinsoku/>
              <w:wordWrap w:val="0"/>
              <w:overflowPunct/>
              <w:topLinePunct/>
              <w:autoSpaceDE/>
              <w:autoSpaceDN/>
              <w:bidi w:val="0"/>
              <w:adjustRightInd/>
              <w:snapToGrid/>
              <w:spacing w:after="0" w:line="360" w:lineRule="auto"/>
              <w:ind w:left="0" w:right="0" w:rightChars="0" w:firstLine="420" w:firstLineChars="200"/>
              <w:contextualSpacing/>
              <w:jc w:val="left"/>
              <w:textAlignment w:val="auto"/>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②认证认可检验检测相关证书</w:t>
            </w:r>
            <w:r>
              <w:rPr>
                <w:rFonts w:hint="eastAsia" w:ascii="仿宋" w:hAnsi="仿宋" w:eastAsia="仿宋" w:cs="仿宋"/>
                <w:snapToGrid w:val="0"/>
                <w:color w:val="auto"/>
                <w:kern w:val="0"/>
                <w:sz w:val="21"/>
                <w:szCs w:val="21"/>
                <w:highlight w:val="none"/>
                <w:lang w:eastAsia="zh-CN"/>
              </w:rPr>
              <w:t>：《</w:t>
            </w:r>
            <w:r>
              <w:rPr>
                <w:rFonts w:hint="eastAsia" w:ascii="仿宋" w:hAnsi="仿宋" w:eastAsia="仿宋" w:cs="仿宋"/>
                <w:snapToGrid w:val="0"/>
                <w:color w:val="auto"/>
                <w:kern w:val="0"/>
                <w:sz w:val="21"/>
                <w:szCs w:val="21"/>
                <w:highlight w:val="none"/>
                <w:lang w:val="en-US" w:eastAsia="zh-CN"/>
              </w:rPr>
              <w:t>全国认可认证信息公共服务平台</w:t>
            </w:r>
            <w:r>
              <w:rPr>
                <w:rFonts w:hint="eastAsia" w:ascii="仿宋" w:hAnsi="仿宋" w:eastAsia="仿宋" w:cs="仿宋"/>
                <w:snapToGrid w:val="0"/>
                <w:color w:val="auto"/>
                <w:kern w:val="0"/>
                <w:sz w:val="21"/>
                <w:szCs w:val="21"/>
                <w:highlight w:val="none"/>
                <w:lang w:eastAsia="zh-CN"/>
              </w:rPr>
              <w:t>》</w:t>
            </w:r>
            <w:r>
              <w:rPr>
                <w:rFonts w:hint="eastAsia" w:ascii="仿宋" w:hAnsi="仿宋" w:eastAsia="仿宋" w:cs="仿宋"/>
                <w:snapToGrid w:val="0"/>
                <w:color w:val="auto"/>
                <w:kern w:val="0"/>
                <w:sz w:val="21"/>
                <w:szCs w:val="21"/>
                <w:highlight w:val="none"/>
                <w:lang w:val="en-US" w:eastAsia="zh-CN"/>
              </w:rPr>
              <w:t>（https://zwfw.samr.gov.cn/needSearch）</w:t>
            </w:r>
            <w:r>
              <w:rPr>
                <w:rFonts w:hint="eastAsia" w:ascii="仿宋" w:hAnsi="仿宋" w:eastAsia="仿宋" w:cs="仿宋"/>
                <w:snapToGrid w:val="0"/>
                <w:color w:val="auto"/>
                <w:kern w:val="0"/>
                <w:sz w:val="21"/>
                <w:szCs w:val="21"/>
                <w:highlight w:val="none"/>
              </w:rPr>
              <w:t>查阅、下载</w:t>
            </w:r>
            <w:r>
              <w:rPr>
                <w:rFonts w:hint="eastAsia" w:ascii="仿宋" w:hAnsi="仿宋" w:eastAsia="仿宋" w:cs="仿宋"/>
                <w:snapToGrid w:val="0"/>
                <w:color w:val="auto"/>
                <w:kern w:val="0"/>
                <w:sz w:val="21"/>
                <w:szCs w:val="21"/>
                <w:highlight w:val="none"/>
                <w:lang w:val="en-US" w:eastAsia="zh-CN"/>
              </w:rPr>
              <w:t>。</w:t>
            </w:r>
          </w:p>
          <w:p w14:paraId="32F62B23">
            <w:pPr>
              <w:pStyle w:val="683"/>
              <w:keepNext w:val="0"/>
              <w:keepLines w:val="0"/>
              <w:pageBreakBefore w:val="0"/>
              <w:widowControl w:val="0"/>
              <w:kinsoku/>
              <w:wordWrap w:val="0"/>
              <w:overflowPunct/>
              <w:topLinePunct/>
              <w:autoSpaceDE/>
              <w:autoSpaceDN/>
              <w:bidi w:val="0"/>
              <w:adjustRightInd/>
              <w:snapToGrid/>
              <w:spacing w:after="0" w:line="360" w:lineRule="auto"/>
              <w:ind w:left="0" w:right="0" w:rightChars="0" w:firstLine="420" w:firstLineChars="200"/>
              <w:contextualSpacing/>
              <w:jc w:val="left"/>
              <w:textAlignment w:val="auto"/>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③技能人才评价证书全国联网查询系统。</w:t>
            </w:r>
          </w:p>
          <w:p w14:paraId="4C2BA0ED">
            <w:pPr>
              <w:pStyle w:val="683"/>
              <w:keepNext w:val="0"/>
              <w:keepLines w:val="0"/>
              <w:pageBreakBefore w:val="0"/>
              <w:widowControl w:val="0"/>
              <w:kinsoku/>
              <w:wordWrap w:val="0"/>
              <w:overflowPunct/>
              <w:topLinePunct/>
              <w:autoSpaceDE/>
              <w:autoSpaceDN/>
              <w:bidi w:val="0"/>
              <w:adjustRightInd/>
              <w:snapToGrid/>
              <w:spacing w:after="0" w:line="360" w:lineRule="auto"/>
              <w:ind w:left="0" w:right="0" w:rightChars="0" w:firstLine="420" w:firstLineChars="200"/>
              <w:contextualSpacing/>
              <w:jc w:val="left"/>
              <w:textAlignment w:val="auto"/>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④中国高等教育学生信息网。</w:t>
            </w:r>
          </w:p>
          <w:p w14:paraId="5E2279CB">
            <w:pPr>
              <w:pStyle w:val="683"/>
              <w:keepNext w:val="0"/>
              <w:keepLines w:val="0"/>
              <w:pageBreakBefore w:val="0"/>
              <w:widowControl w:val="0"/>
              <w:kinsoku/>
              <w:wordWrap w:val="0"/>
              <w:overflowPunct/>
              <w:topLinePunct/>
              <w:autoSpaceDE/>
              <w:autoSpaceDN/>
              <w:bidi w:val="0"/>
              <w:adjustRightInd/>
              <w:snapToGrid/>
              <w:spacing w:after="0" w:line="360" w:lineRule="auto"/>
              <w:ind w:left="0" w:right="0" w:rightChars="0" w:firstLine="420" w:firstLineChars="200"/>
              <w:contextualSpacing/>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napToGrid w:val="0"/>
                <w:color w:val="auto"/>
                <w:kern w:val="0"/>
                <w:sz w:val="21"/>
                <w:szCs w:val="21"/>
                <w:highlight w:val="none"/>
                <w:lang w:val="en-US" w:eastAsia="zh-CN"/>
              </w:rPr>
              <w:t>⑤全国建筑市场监管公共服务平台“四库一平台”等官方平台。</w:t>
            </w:r>
          </w:p>
        </w:tc>
      </w:tr>
      <w:tr w14:paraId="3AF196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vAlign w:val="center"/>
          </w:tcPr>
          <w:p w14:paraId="7071DBE3">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snapToGrid w:val="0"/>
                <w:color w:val="auto"/>
                <w:kern w:val="2"/>
                <w:sz w:val="21"/>
                <w:szCs w:val="21"/>
                <w:highlight w:val="none"/>
                <w:lang w:val="zh-CN" w:eastAsia="zh-CN" w:bidi="ar-SA"/>
              </w:rPr>
            </w:pPr>
            <w:r>
              <w:rPr>
                <w:rFonts w:hint="eastAsia" w:ascii="仿宋" w:hAnsi="仿宋" w:eastAsia="仿宋" w:cs="仿宋"/>
                <w:color w:val="auto"/>
                <w:sz w:val="21"/>
                <w:szCs w:val="21"/>
                <w:highlight w:val="none"/>
                <w:lang w:val="en-US" w:eastAsia="zh-CN"/>
              </w:rPr>
              <w:t>招标</w:t>
            </w:r>
            <w:r>
              <w:rPr>
                <w:rFonts w:hint="eastAsia" w:ascii="仿宋" w:hAnsi="仿宋" w:eastAsia="仿宋" w:cs="仿宋"/>
                <w:color w:val="auto"/>
                <w:sz w:val="21"/>
                <w:szCs w:val="21"/>
                <w:highlight w:val="none"/>
              </w:rPr>
              <w:t>文件的解释</w:t>
            </w:r>
          </w:p>
        </w:tc>
        <w:tc>
          <w:tcPr>
            <w:tcW w:w="8087" w:type="dxa"/>
            <w:vAlign w:val="center"/>
          </w:tcPr>
          <w:p w14:paraId="32B6C7EC">
            <w:pPr>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textAlignment w:val="auto"/>
              <w:rPr>
                <w:rFonts w:hint="eastAsia" w:ascii="仿宋" w:hAnsi="仿宋" w:eastAsia="仿宋" w:cs="仿宋"/>
                <w:snapToGrid w:val="0"/>
                <w:color w:val="auto"/>
                <w:kern w:val="2"/>
                <w:sz w:val="21"/>
                <w:szCs w:val="21"/>
                <w:highlight w:val="none"/>
                <w:lang w:val="en-US" w:eastAsia="zh-CN" w:bidi="ar-SA"/>
              </w:rPr>
            </w:pPr>
            <w:r>
              <w:rPr>
                <w:rFonts w:hint="eastAsia" w:ascii="仿宋" w:hAnsi="仿宋" w:eastAsia="仿宋" w:cs="仿宋"/>
                <w:color w:val="auto"/>
                <w:sz w:val="21"/>
                <w:szCs w:val="21"/>
                <w:highlight w:val="none"/>
              </w:rPr>
              <w:t>构成本</w:t>
            </w:r>
            <w:r>
              <w:rPr>
                <w:rFonts w:hint="eastAsia" w:ascii="仿宋" w:hAnsi="仿宋" w:eastAsia="仿宋" w:cs="仿宋"/>
                <w:color w:val="auto"/>
                <w:sz w:val="21"/>
                <w:szCs w:val="21"/>
                <w:highlight w:val="none"/>
                <w:lang w:val="en-US" w:eastAsia="zh-CN"/>
              </w:rPr>
              <w:t>招标</w:t>
            </w:r>
            <w:r>
              <w:rPr>
                <w:rFonts w:hint="eastAsia" w:ascii="仿宋" w:hAnsi="仿宋" w:eastAsia="仿宋" w:cs="仿宋"/>
                <w:color w:val="auto"/>
                <w:sz w:val="21"/>
                <w:szCs w:val="21"/>
                <w:highlight w:val="none"/>
              </w:rPr>
              <w:t>文件的各个组成文件应互为解释，互为说明；如有不明确或不一致，构成合同文件组成内容的，以合同文件约定内容为准，且以专用合同条款约定的合同文件优先顺序解释；除</w:t>
            </w:r>
            <w:r>
              <w:rPr>
                <w:rFonts w:hint="eastAsia" w:ascii="仿宋" w:hAnsi="仿宋" w:eastAsia="仿宋" w:cs="仿宋"/>
                <w:color w:val="auto"/>
                <w:sz w:val="21"/>
                <w:szCs w:val="21"/>
                <w:highlight w:val="none"/>
                <w:lang w:val="en-US" w:eastAsia="zh-CN"/>
              </w:rPr>
              <w:t>招标</w:t>
            </w:r>
            <w:r>
              <w:rPr>
                <w:rFonts w:hint="eastAsia" w:ascii="仿宋" w:hAnsi="仿宋" w:eastAsia="仿宋" w:cs="仿宋"/>
                <w:color w:val="auto"/>
                <w:sz w:val="21"/>
                <w:szCs w:val="21"/>
                <w:highlight w:val="none"/>
              </w:rPr>
              <w:t>文件中有特别规定外，仅适用于招标投标阶段的规定，按招标公告、</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须知、</w:t>
            </w:r>
            <w:r>
              <w:rPr>
                <w:rFonts w:hint="eastAsia" w:ascii="仿宋" w:hAnsi="仿宋" w:eastAsia="仿宋" w:cs="仿宋"/>
                <w:color w:val="auto"/>
                <w:sz w:val="21"/>
                <w:szCs w:val="21"/>
                <w:highlight w:val="none"/>
                <w:lang w:eastAsia="zh-CN"/>
              </w:rPr>
              <w:t>评审</w:t>
            </w:r>
            <w:r>
              <w:rPr>
                <w:rFonts w:hint="eastAsia" w:ascii="仿宋" w:hAnsi="仿宋" w:eastAsia="仿宋" w:cs="仿宋"/>
                <w:color w:val="auto"/>
                <w:sz w:val="21"/>
                <w:szCs w:val="21"/>
                <w:highlight w:val="none"/>
              </w:rPr>
              <w:t>办法、</w:t>
            </w:r>
            <w:r>
              <w:rPr>
                <w:rFonts w:hint="eastAsia" w:ascii="仿宋" w:hAnsi="仿宋" w:eastAsia="仿宋" w:cs="仿宋"/>
                <w:color w:val="auto"/>
                <w:sz w:val="21"/>
                <w:szCs w:val="21"/>
                <w:highlight w:val="none"/>
                <w:lang w:eastAsia="zh-CN"/>
              </w:rPr>
              <w:t>投标文件</w:t>
            </w:r>
            <w:r>
              <w:rPr>
                <w:rFonts w:hint="eastAsia" w:ascii="仿宋" w:hAnsi="仿宋" w:eastAsia="仿宋" w:cs="仿宋"/>
                <w:color w:val="auto"/>
                <w:sz w:val="21"/>
                <w:szCs w:val="21"/>
                <w:highlight w:val="none"/>
              </w:rPr>
              <w:t>格式的先后顺序解释；同一组成文件中就同一事项的规定或约定不一致的，以编排顺序在后者为准；同一组成文件不同版本之间有不一致的，以形成时间在后者为准。按本款前述规定仍不能形成结论的，由</w:t>
            </w:r>
            <w:r>
              <w:rPr>
                <w:rFonts w:hint="eastAsia" w:ascii="仿宋" w:hAnsi="仿宋" w:eastAsia="仿宋" w:cs="仿宋"/>
                <w:color w:val="auto"/>
                <w:sz w:val="21"/>
                <w:szCs w:val="21"/>
                <w:highlight w:val="none"/>
                <w:lang w:eastAsia="zh-CN"/>
              </w:rPr>
              <w:t>采购人</w:t>
            </w:r>
            <w:r>
              <w:rPr>
                <w:rFonts w:hint="eastAsia" w:ascii="仿宋" w:hAnsi="仿宋" w:eastAsia="仿宋" w:cs="仿宋"/>
                <w:color w:val="auto"/>
                <w:sz w:val="21"/>
                <w:szCs w:val="21"/>
                <w:highlight w:val="none"/>
                <w:lang w:val="en-US" w:eastAsia="zh-CN"/>
              </w:rPr>
              <w:t>或采购代理机构</w:t>
            </w:r>
            <w:r>
              <w:rPr>
                <w:rFonts w:hint="eastAsia" w:ascii="仿宋" w:hAnsi="仿宋" w:eastAsia="仿宋" w:cs="仿宋"/>
                <w:color w:val="auto"/>
                <w:sz w:val="21"/>
                <w:szCs w:val="21"/>
                <w:highlight w:val="none"/>
              </w:rPr>
              <w:t>负责解释。</w:t>
            </w:r>
          </w:p>
        </w:tc>
      </w:tr>
      <w:tr w14:paraId="22C084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vAlign w:val="center"/>
          </w:tcPr>
          <w:p w14:paraId="6C2AFEC4">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rPr>
              <w:t>信用状况</w:t>
            </w:r>
          </w:p>
        </w:tc>
        <w:tc>
          <w:tcPr>
            <w:tcW w:w="8087" w:type="dxa"/>
            <w:vAlign w:val="center"/>
          </w:tcPr>
          <w:p w14:paraId="1E565D0F">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投标人在投标截止时间前</w:t>
            </w:r>
            <w:r>
              <w:rPr>
                <w:rFonts w:hint="eastAsia" w:ascii="仿宋" w:hAnsi="仿宋" w:eastAsia="仿宋" w:cs="仿宋"/>
                <w:b w:val="0"/>
                <w:bCs w:val="0"/>
                <w:color w:val="auto"/>
                <w:sz w:val="21"/>
                <w:szCs w:val="21"/>
                <w:highlight w:val="none"/>
                <w:lang w:val="en-US" w:eastAsia="zh-CN"/>
              </w:rPr>
              <w:t>未被列入“信用中国”网站（www.creditchina.gov.cn）失信被执行人、重大税收违法失信主体及中国政府采购网（www.ccgp.gov.cn）“政府采购严重违法失信行为信息记录”</w:t>
            </w:r>
            <w:r>
              <w:rPr>
                <w:rFonts w:hint="eastAsia" w:ascii="仿宋" w:hAnsi="仿宋" w:eastAsia="仿宋" w:cs="仿宋"/>
                <w:color w:val="auto"/>
                <w:sz w:val="21"/>
                <w:szCs w:val="21"/>
                <w:highlight w:val="none"/>
                <w:lang w:eastAsia="zh-CN"/>
              </w:rPr>
              <w:t>（由投标人自行承诺，招标代理机构查询核实，上述网站信用信息查询结果的网页截图或网页打印稿作为证据留存）；</w:t>
            </w:r>
          </w:p>
          <w:p w14:paraId="39485944">
            <w:pPr>
              <w:keepNext w:val="0"/>
              <w:keepLines w:val="0"/>
              <w:pageBreakBefore w:val="0"/>
              <w:widowControl w:val="0"/>
              <w:kinsoku/>
              <w:wordWrap w:val="0"/>
              <w:overflowPunct/>
              <w:topLinePunct/>
              <w:autoSpaceDE/>
              <w:autoSpaceDN/>
              <w:bidi w:val="0"/>
              <w:adjustRightInd/>
              <w:snapToGrid/>
              <w:spacing w:line="360" w:lineRule="auto"/>
              <w:ind w:left="0" w:right="0" w:firstLine="422" w:firstLineChars="200"/>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b/>
                <w:bCs/>
                <w:color w:val="auto"/>
                <w:sz w:val="21"/>
                <w:szCs w:val="21"/>
                <w:highlight w:val="none"/>
                <w:lang w:eastAsia="zh-CN"/>
              </w:rPr>
              <w:t>失信信息材料，由</w:t>
            </w:r>
            <w:r>
              <w:rPr>
                <w:rFonts w:hint="eastAsia" w:ascii="仿宋" w:hAnsi="仿宋" w:eastAsia="仿宋" w:cs="仿宋"/>
                <w:b/>
                <w:bCs/>
                <w:color w:val="auto"/>
                <w:sz w:val="21"/>
                <w:szCs w:val="21"/>
                <w:highlight w:val="none"/>
                <w:lang w:val="en-US" w:eastAsia="zh-CN"/>
              </w:rPr>
              <w:t>采购人或</w:t>
            </w:r>
            <w:r>
              <w:rPr>
                <w:rFonts w:hint="eastAsia" w:ascii="仿宋" w:hAnsi="仿宋" w:eastAsia="仿宋" w:cs="仿宋"/>
                <w:b/>
                <w:bCs/>
                <w:color w:val="auto"/>
                <w:sz w:val="21"/>
                <w:szCs w:val="21"/>
                <w:highlight w:val="none"/>
                <w:lang w:eastAsia="zh-CN"/>
              </w:rPr>
              <w:t>招标（采购）代理机构负责查询</w:t>
            </w:r>
            <w:r>
              <w:rPr>
                <w:rFonts w:hint="eastAsia" w:ascii="仿宋" w:hAnsi="仿宋" w:eastAsia="仿宋" w:cs="仿宋"/>
                <w:b/>
                <w:bCs/>
                <w:color w:val="auto"/>
                <w:sz w:val="21"/>
                <w:szCs w:val="21"/>
                <w:highlight w:val="none"/>
                <w:lang w:val="en-US" w:eastAsia="zh-CN"/>
              </w:rPr>
              <w:t>并</w:t>
            </w:r>
            <w:r>
              <w:rPr>
                <w:rFonts w:hint="eastAsia" w:ascii="仿宋" w:hAnsi="仿宋" w:eastAsia="仿宋" w:cs="仿宋"/>
                <w:b/>
                <w:bCs/>
                <w:color w:val="auto"/>
                <w:sz w:val="21"/>
                <w:szCs w:val="21"/>
                <w:highlight w:val="none"/>
                <w:lang w:eastAsia="zh-CN"/>
              </w:rPr>
              <w:t>存档。</w:t>
            </w:r>
            <w:r>
              <w:rPr>
                <w:rFonts w:hint="eastAsia" w:ascii="仿宋" w:hAnsi="仿宋" w:eastAsia="仿宋" w:cs="仿宋"/>
                <w:b/>
                <w:bCs/>
                <w:color w:val="auto"/>
                <w:sz w:val="21"/>
                <w:szCs w:val="21"/>
                <w:highlight w:val="none"/>
                <w:lang w:val="en-US" w:eastAsia="zh-CN"/>
              </w:rPr>
              <w:t>对列入失信被执行人、重大税收违法失信主体、政府采购严重违法失信行为记录名单及其他不符合《中华人民共和国政府采购法》第二十二条规定条件的投标人，其投标将被拒绝</w:t>
            </w:r>
            <w:r>
              <w:rPr>
                <w:rFonts w:hint="eastAsia" w:ascii="仿宋" w:hAnsi="仿宋" w:eastAsia="仿宋" w:cs="仿宋"/>
                <w:b/>
                <w:bCs/>
                <w:color w:val="auto"/>
                <w:sz w:val="21"/>
                <w:szCs w:val="21"/>
                <w:highlight w:val="none"/>
                <w:lang w:eastAsia="zh-CN"/>
              </w:rPr>
              <w:t>。</w:t>
            </w:r>
          </w:p>
        </w:tc>
      </w:tr>
      <w:tr w14:paraId="7B2E1B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5" w:hRule="atLeast"/>
          <w:jc w:val="center"/>
        </w:trPr>
        <w:tc>
          <w:tcPr>
            <w:tcW w:w="2271" w:type="dxa"/>
            <w:vAlign w:val="center"/>
          </w:tcPr>
          <w:p w14:paraId="2FB7FD62">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snapToGrid w:val="0"/>
                <w:color w:val="auto"/>
                <w:kern w:val="2"/>
                <w:sz w:val="21"/>
                <w:szCs w:val="21"/>
                <w:highlight w:val="none"/>
                <w:lang w:val="en-US" w:eastAsia="en-US" w:bidi="ar-SA"/>
              </w:rPr>
            </w:pPr>
            <w:r>
              <w:rPr>
                <w:rFonts w:hint="eastAsia" w:ascii="仿宋" w:hAnsi="仿宋" w:eastAsia="仿宋" w:cs="仿宋"/>
                <w:color w:val="auto"/>
                <w:sz w:val="21"/>
                <w:szCs w:val="21"/>
                <w:highlight w:val="none"/>
                <w:lang w:val="zh-CN"/>
              </w:rPr>
              <w:t>承诺提醒</w:t>
            </w:r>
          </w:p>
        </w:tc>
        <w:tc>
          <w:tcPr>
            <w:tcW w:w="8087" w:type="dxa"/>
            <w:vAlign w:val="center"/>
          </w:tcPr>
          <w:p w14:paraId="5AA109C7">
            <w:pPr>
              <w:pStyle w:val="28"/>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textAlignment w:val="auto"/>
              <w:rPr>
                <w:rFonts w:hint="eastAsia" w:ascii="仿宋" w:hAnsi="仿宋" w:eastAsia="仿宋" w:cs="仿宋"/>
                <w:snapToGrid w:val="0"/>
                <w:color w:val="auto"/>
                <w:kern w:val="2"/>
                <w:sz w:val="21"/>
                <w:szCs w:val="21"/>
                <w:highlight w:val="none"/>
                <w:lang w:val="en-US" w:eastAsia="zh-CN" w:bidi="ar-SA"/>
              </w:rPr>
            </w:pPr>
            <w:r>
              <w:rPr>
                <w:rFonts w:hint="eastAsia" w:ascii="仿宋" w:hAnsi="仿宋" w:eastAsia="仿宋" w:cs="仿宋"/>
                <w:snapToGrid w:val="0"/>
                <w:color w:val="auto"/>
                <w:kern w:val="2"/>
                <w:sz w:val="21"/>
                <w:szCs w:val="21"/>
                <w:highlight w:val="none"/>
                <w:lang w:val="en-US" w:eastAsia="zh-CN" w:bidi="ar-SA"/>
              </w:rPr>
              <w:t>关于投标人针对本项目提出的相关资格或实质性要求的承诺（包括但不限于依法缴纳税收和社会保障资金），项目采购活动结束后，采购人或采购代理机构如有必要将核实投标人所作承诺真实性，如提供虚假承诺将报告监管部门严肃追究法律责任。</w:t>
            </w:r>
          </w:p>
          <w:p w14:paraId="4CF69AB1">
            <w:pPr>
              <w:pStyle w:val="28"/>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textAlignment w:val="auto"/>
              <w:rPr>
                <w:rFonts w:hint="eastAsia" w:ascii="仿宋" w:hAnsi="仿宋" w:eastAsia="仿宋" w:cs="仿宋"/>
                <w:snapToGrid w:val="0"/>
                <w:color w:val="auto"/>
                <w:kern w:val="2"/>
                <w:sz w:val="21"/>
                <w:szCs w:val="21"/>
                <w:highlight w:val="none"/>
                <w:lang w:val="en-US" w:eastAsia="zh-CN" w:bidi="ar-SA"/>
              </w:rPr>
            </w:pPr>
            <w:r>
              <w:rPr>
                <w:rFonts w:hint="eastAsia" w:ascii="仿宋" w:hAnsi="仿宋" w:eastAsia="仿宋" w:cs="仿宋"/>
                <w:snapToGrid w:val="0"/>
                <w:color w:val="auto"/>
                <w:kern w:val="2"/>
                <w:sz w:val="21"/>
                <w:szCs w:val="21"/>
                <w:highlight w:val="none"/>
                <w:lang w:val="en-US" w:eastAsia="zh-CN" w:bidi="ar-SA"/>
              </w:rPr>
              <w:t>投标人提供承诺函、第三方书面声明、检测报告、资质证件、业绩成果等材料作为投标文件组成部分的，投标人应保证资料内容书写正确、真实有效、完整一致。</w:t>
            </w:r>
          </w:p>
          <w:p w14:paraId="55FE62BD">
            <w:pPr>
              <w:pStyle w:val="28"/>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textAlignment w:val="auto"/>
              <w:rPr>
                <w:rFonts w:hint="eastAsia" w:ascii="仿宋" w:hAnsi="仿宋" w:eastAsia="仿宋" w:cs="仿宋"/>
                <w:snapToGrid w:val="0"/>
                <w:color w:val="auto"/>
                <w:kern w:val="2"/>
                <w:sz w:val="21"/>
                <w:szCs w:val="21"/>
                <w:highlight w:val="none"/>
                <w:lang w:val="en-US" w:eastAsia="zh-CN" w:bidi="ar-SA"/>
              </w:rPr>
            </w:pPr>
            <w:r>
              <w:rPr>
                <w:rFonts w:hint="eastAsia" w:ascii="仿宋" w:hAnsi="仿宋" w:eastAsia="仿宋" w:cs="仿宋"/>
                <w:snapToGrid w:val="0"/>
                <w:color w:val="auto"/>
                <w:kern w:val="2"/>
                <w:sz w:val="21"/>
                <w:szCs w:val="21"/>
                <w:highlight w:val="none"/>
                <w:lang w:val="en-US" w:eastAsia="zh-CN" w:bidi="ar-SA"/>
              </w:rPr>
              <w:t>按照相关规定可通过官方网站查询的资质证件，投标人应确保资质证件真实有效、线上可查。</w:t>
            </w:r>
          </w:p>
          <w:p w14:paraId="2803164E">
            <w:pPr>
              <w:pStyle w:val="28"/>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textAlignment w:val="auto"/>
              <w:rPr>
                <w:rFonts w:hint="eastAsia" w:ascii="仿宋" w:hAnsi="仿宋" w:eastAsia="仿宋" w:cs="仿宋"/>
                <w:snapToGrid w:val="0"/>
                <w:color w:val="auto"/>
                <w:kern w:val="2"/>
                <w:sz w:val="21"/>
                <w:szCs w:val="21"/>
                <w:highlight w:val="none"/>
                <w:lang w:val="en-US" w:eastAsia="zh-CN" w:bidi="ar-SA"/>
              </w:rPr>
            </w:pPr>
            <w:r>
              <w:rPr>
                <w:rFonts w:hint="eastAsia" w:ascii="仿宋" w:hAnsi="仿宋" w:eastAsia="仿宋" w:cs="仿宋"/>
                <w:snapToGrid w:val="0"/>
                <w:color w:val="auto"/>
                <w:kern w:val="2"/>
                <w:sz w:val="21"/>
                <w:szCs w:val="21"/>
                <w:highlight w:val="none"/>
                <w:lang w:val="en-US" w:eastAsia="zh-CN" w:bidi="ar-SA"/>
              </w:rPr>
              <w:t>采购文件要求提供检测报告的，投标人应当确保检测机构资质符合项目要求，检测报告内容、检测委托合同、相关发票等材料主体及信息一致。</w:t>
            </w:r>
          </w:p>
        </w:tc>
      </w:tr>
      <w:tr w14:paraId="71ADD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vAlign w:val="center"/>
          </w:tcPr>
          <w:p w14:paraId="22C8A9D7">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snapToGrid w:val="0"/>
                <w:color w:val="auto"/>
                <w:kern w:val="2"/>
                <w:sz w:val="21"/>
                <w:szCs w:val="21"/>
                <w:highlight w:val="none"/>
                <w:lang w:val="zh-CN" w:eastAsia="zh-CN" w:bidi="ar-SA"/>
              </w:rPr>
            </w:pPr>
            <w:r>
              <w:rPr>
                <w:rFonts w:hint="eastAsia" w:ascii="仿宋" w:hAnsi="仿宋" w:eastAsia="仿宋" w:cs="仿宋"/>
                <w:color w:val="auto"/>
                <w:sz w:val="21"/>
                <w:szCs w:val="21"/>
                <w:highlight w:val="none"/>
                <w:lang w:val="en-US" w:eastAsia="zh-CN"/>
              </w:rPr>
              <w:t>定义</w:t>
            </w:r>
          </w:p>
        </w:tc>
        <w:tc>
          <w:tcPr>
            <w:tcW w:w="8087" w:type="dxa"/>
            <w:vAlign w:val="center"/>
          </w:tcPr>
          <w:p w14:paraId="43888451">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right="0" w:firstLine="422" w:firstLineChars="200"/>
              <w:jc w:val="left"/>
              <w:rPr>
                <w:rFonts w:hint="eastAsia" w:ascii="仿宋" w:hAnsi="仿宋" w:eastAsia="仿宋" w:cs="仿宋"/>
                <w:color w:val="auto"/>
                <w:kern w:val="0"/>
                <w:sz w:val="21"/>
                <w:szCs w:val="21"/>
                <w:highlight w:val="none"/>
                <w:lang w:bidi="ar"/>
              </w:rPr>
            </w:pPr>
            <w:r>
              <w:rPr>
                <w:rFonts w:hint="eastAsia" w:ascii="仿宋" w:hAnsi="仿宋" w:eastAsia="仿宋" w:cs="仿宋"/>
                <w:b/>
                <w:bCs/>
                <w:color w:val="auto"/>
                <w:kern w:val="0"/>
                <w:sz w:val="21"/>
                <w:szCs w:val="21"/>
                <w:highlight w:val="none"/>
                <w:lang w:val="en-US" w:eastAsia="zh-CN" w:bidi="ar"/>
              </w:rPr>
              <w:t>1、</w:t>
            </w:r>
            <w:r>
              <w:rPr>
                <w:rFonts w:hint="eastAsia" w:ascii="仿宋" w:hAnsi="仿宋" w:eastAsia="仿宋" w:cs="仿宋"/>
                <w:b/>
                <w:bCs/>
                <w:color w:val="auto"/>
                <w:kern w:val="0"/>
                <w:sz w:val="21"/>
                <w:szCs w:val="21"/>
                <w:highlight w:val="none"/>
                <w:lang w:bidi="ar"/>
              </w:rPr>
              <w:t>原件：</w:t>
            </w:r>
            <w:r>
              <w:rPr>
                <w:rFonts w:hint="eastAsia" w:ascii="仿宋" w:hAnsi="仿宋" w:eastAsia="仿宋" w:cs="仿宋"/>
                <w:color w:val="auto"/>
                <w:kern w:val="0"/>
                <w:sz w:val="21"/>
                <w:szCs w:val="21"/>
                <w:highlight w:val="none"/>
                <w:lang w:bidi="ar"/>
              </w:rPr>
              <w:t>最初产生的区别于复制件（或复印件）的原始文件或文件的原本。</w:t>
            </w:r>
          </w:p>
          <w:p w14:paraId="1145CB37">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right="0" w:firstLine="422" w:firstLineChars="200"/>
              <w:jc w:val="left"/>
              <w:rPr>
                <w:rFonts w:hint="eastAsia" w:ascii="仿宋" w:hAnsi="仿宋" w:eastAsia="仿宋" w:cs="仿宋"/>
                <w:color w:val="auto"/>
                <w:kern w:val="0"/>
                <w:sz w:val="21"/>
                <w:szCs w:val="21"/>
                <w:highlight w:val="none"/>
                <w:lang w:val="zh-CN" w:bidi="ar"/>
              </w:rPr>
            </w:pPr>
            <w:r>
              <w:rPr>
                <w:rFonts w:hint="eastAsia" w:ascii="仿宋" w:hAnsi="仿宋" w:eastAsia="仿宋" w:cs="仿宋"/>
                <w:b/>
                <w:bCs/>
                <w:color w:val="auto"/>
                <w:kern w:val="0"/>
                <w:sz w:val="21"/>
                <w:szCs w:val="21"/>
                <w:highlight w:val="none"/>
                <w:lang w:val="zh-CN" w:eastAsia="zh-CN" w:bidi="ar"/>
              </w:rPr>
              <w:t>2、</w:t>
            </w:r>
            <w:r>
              <w:rPr>
                <w:rFonts w:hint="eastAsia" w:ascii="仿宋" w:hAnsi="仿宋" w:eastAsia="仿宋" w:cs="仿宋"/>
                <w:b/>
                <w:bCs/>
                <w:color w:val="auto"/>
                <w:kern w:val="0"/>
                <w:sz w:val="21"/>
                <w:szCs w:val="21"/>
                <w:highlight w:val="none"/>
                <w:lang w:bidi="ar"/>
              </w:rPr>
              <w:t>书面形式：</w:t>
            </w:r>
            <w:r>
              <w:rPr>
                <w:rFonts w:hint="eastAsia" w:ascii="仿宋" w:hAnsi="仿宋" w:eastAsia="仿宋" w:cs="仿宋"/>
                <w:color w:val="auto"/>
                <w:kern w:val="0"/>
                <w:sz w:val="21"/>
                <w:szCs w:val="21"/>
                <w:highlight w:val="none"/>
                <w:lang w:bidi="ar"/>
              </w:rPr>
              <w:t>包括文字的打印或复印件、传真、信函、电传、电报、电子邮件、</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云南省政府采购网》《政府采购云平台</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kern w:val="0"/>
                <w:sz w:val="21"/>
                <w:szCs w:val="21"/>
                <w:highlight w:val="none"/>
                <w:lang w:bidi="ar"/>
              </w:rPr>
              <w:t>发布的公告等可以有形地表现所载内容的形式。</w:t>
            </w:r>
          </w:p>
          <w:p w14:paraId="02470467">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right="0" w:firstLine="422" w:firstLineChars="200"/>
              <w:jc w:val="left"/>
              <w:rPr>
                <w:rFonts w:hint="eastAsia" w:ascii="仿宋" w:hAnsi="仿宋" w:eastAsia="仿宋" w:cs="仿宋"/>
                <w:color w:val="auto"/>
                <w:kern w:val="0"/>
                <w:sz w:val="21"/>
                <w:szCs w:val="21"/>
                <w:highlight w:val="none"/>
                <w:lang w:val="zh-CN" w:bidi="ar"/>
              </w:rPr>
            </w:pPr>
            <w:r>
              <w:rPr>
                <w:rFonts w:hint="eastAsia" w:ascii="仿宋" w:hAnsi="仿宋" w:eastAsia="仿宋" w:cs="仿宋"/>
                <w:b/>
                <w:bCs/>
                <w:color w:val="auto"/>
                <w:kern w:val="0"/>
                <w:sz w:val="21"/>
                <w:szCs w:val="21"/>
                <w:highlight w:val="none"/>
                <w:lang w:val="zh-CN" w:eastAsia="zh-CN" w:bidi="ar"/>
              </w:rPr>
              <w:t>3、</w:t>
            </w:r>
            <w:r>
              <w:rPr>
                <w:rFonts w:hint="eastAsia" w:ascii="仿宋" w:hAnsi="仿宋" w:eastAsia="仿宋" w:cs="仿宋"/>
                <w:b/>
                <w:bCs/>
                <w:color w:val="auto"/>
                <w:kern w:val="0"/>
                <w:sz w:val="21"/>
                <w:szCs w:val="21"/>
                <w:highlight w:val="none"/>
                <w:lang w:bidi="ar"/>
              </w:rPr>
              <w:t>证明文件的清晰度和可读性</w:t>
            </w:r>
            <w:r>
              <w:rPr>
                <w:rFonts w:hint="eastAsia" w:ascii="仿宋" w:hAnsi="仿宋" w:eastAsia="仿宋" w:cs="仿宋"/>
                <w:color w:val="auto"/>
                <w:kern w:val="0"/>
                <w:sz w:val="21"/>
                <w:szCs w:val="21"/>
                <w:highlight w:val="none"/>
                <w:lang w:bidi="ar"/>
              </w:rPr>
              <w:t>：</w:t>
            </w:r>
            <w:r>
              <w:rPr>
                <w:rFonts w:hint="eastAsia" w:ascii="仿宋" w:hAnsi="仿宋" w:eastAsia="仿宋" w:cs="仿宋"/>
                <w:color w:val="auto"/>
                <w:kern w:val="0"/>
                <w:sz w:val="21"/>
                <w:szCs w:val="21"/>
                <w:highlight w:val="none"/>
                <w:lang w:eastAsia="zh-CN" w:bidi="ar"/>
              </w:rPr>
              <w:t>投标人</w:t>
            </w:r>
            <w:r>
              <w:rPr>
                <w:rFonts w:hint="eastAsia" w:ascii="仿宋" w:hAnsi="仿宋" w:eastAsia="仿宋" w:cs="仿宋"/>
                <w:color w:val="auto"/>
                <w:kern w:val="0"/>
                <w:sz w:val="21"/>
                <w:szCs w:val="21"/>
                <w:highlight w:val="none"/>
                <w:lang w:bidi="ar"/>
              </w:rPr>
              <w:t>所提供的证明文件应清晰、完整地表达信息，并保证文本和图表的清晰度和可读性。如果证明文件因未提供或因无法辨识确认无法正确表达信息、阅读困难等情况的发生，</w:t>
            </w:r>
            <w:r>
              <w:rPr>
                <w:rFonts w:hint="eastAsia" w:ascii="仿宋" w:hAnsi="仿宋" w:eastAsia="仿宋" w:cs="仿宋"/>
                <w:color w:val="auto"/>
                <w:sz w:val="21"/>
                <w:szCs w:val="21"/>
                <w:highlight w:val="none"/>
              </w:rPr>
              <w:t>则</w:t>
            </w:r>
            <w:r>
              <w:rPr>
                <w:rFonts w:hint="eastAsia" w:ascii="仿宋" w:hAnsi="仿宋" w:eastAsia="仿宋" w:cs="仿宋"/>
                <w:color w:val="auto"/>
                <w:sz w:val="21"/>
                <w:szCs w:val="21"/>
                <w:highlight w:val="none"/>
                <w:lang w:eastAsia="zh-CN"/>
              </w:rPr>
              <w:t>评审</w:t>
            </w:r>
            <w:r>
              <w:rPr>
                <w:rFonts w:hint="eastAsia" w:ascii="仿宋" w:hAnsi="仿宋" w:eastAsia="仿宋" w:cs="仿宋"/>
                <w:color w:val="auto"/>
                <w:sz w:val="21"/>
                <w:szCs w:val="21"/>
                <w:highlight w:val="none"/>
              </w:rPr>
              <w:t>委员会有权视具体情形评分时予以处理，乃至作出不利于</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的认定</w:t>
            </w:r>
            <w:r>
              <w:rPr>
                <w:rFonts w:hint="eastAsia" w:ascii="仿宋" w:hAnsi="仿宋" w:eastAsia="仿宋" w:cs="仿宋"/>
                <w:color w:val="auto"/>
                <w:kern w:val="0"/>
                <w:sz w:val="21"/>
                <w:szCs w:val="21"/>
                <w:highlight w:val="none"/>
                <w:lang w:bidi="ar"/>
              </w:rPr>
              <w:t>。（涉及商业秘密的可以做模糊处理）</w:t>
            </w:r>
          </w:p>
          <w:p w14:paraId="3E12BDA6">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right="0" w:firstLine="422" w:firstLineChars="200"/>
              <w:jc w:val="left"/>
              <w:rPr>
                <w:rFonts w:hint="eastAsia" w:ascii="仿宋" w:hAnsi="仿宋" w:eastAsia="仿宋" w:cs="仿宋"/>
                <w:color w:val="auto"/>
                <w:kern w:val="0"/>
                <w:sz w:val="21"/>
                <w:szCs w:val="21"/>
                <w:highlight w:val="none"/>
                <w:lang w:bidi="ar"/>
              </w:rPr>
            </w:pPr>
            <w:r>
              <w:rPr>
                <w:rFonts w:hint="eastAsia" w:ascii="仿宋" w:hAnsi="仿宋" w:eastAsia="仿宋" w:cs="仿宋"/>
                <w:b/>
                <w:bCs/>
                <w:color w:val="auto"/>
                <w:kern w:val="0"/>
                <w:sz w:val="21"/>
                <w:szCs w:val="21"/>
                <w:highlight w:val="none"/>
                <w:lang w:val="zh-CN" w:eastAsia="zh-CN" w:bidi="ar"/>
              </w:rPr>
              <w:t>4、</w:t>
            </w:r>
            <w:r>
              <w:rPr>
                <w:rFonts w:hint="eastAsia" w:ascii="仿宋" w:hAnsi="仿宋" w:eastAsia="仿宋" w:cs="仿宋"/>
                <w:b/>
                <w:bCs/>
                <w:color w:val="auto"/>
                <w:kern w:val="0"/>
                <w:sz w:val="21"/>
                <w:szCs w:val="21"/>
                <w:highlight w:val="none"/>
                <w:lang w:bidi="ar"/>
              </w:rPr>
              <w:t>证明文件的完整性：</w:t>
            </w:r>
            <w:r>
              <w:rPr>
                <w:rFonts w:hint="eastAsia" w:ascii="仿宋" w:hAnsi="仿宋" w:eastAsia="仿宋" w:cs="仿宋"/>
                <w:color w:val="auto"/>
                <w:kern w:val="0"/>
                <w:sz w:val="21"/>
                <w:szCs w:val="21"/>
                <w:highlight w:val="none"/>
                <w:lang w:eastAsia="zh-CN" w:bidi="ar"/>
              </w:rPr>
              <w:t>投标人</w:t>
            </w:r>
            <w:r>
              <w:rPr>
                <w:rFonts w:hint="eastAsia" w:ascii="仿宋" w:hAnsi="仿宋" w:eastAsia="仿宋" w:cs="仿宋"/>
                <w:color w:val="auto"/>
                <w:kern w:val="0"/>
                <w:sz w:val="21"/>
                <w:szCs w:val="21"/>
                <w:highlight w:val="none"/>
                <w:lang w:bidi="ar"/>
              </w:rPr>
              <w:t>所提供的证明文件应保证文件完整，包括所有必要的页码和附件。如有多份复印件，应确保每份复制品均为完整的副本。</w:t>
            </w:r>
          </w:p>
          <w:p w14:paraId="7AF0E1C4">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right="0" w:firstLine="422" w:firstLineChars="200"/>
              <w:jc w:val="left"/>
              <w:rPr>
                <w:rFonts w:hint="eastAsia" w:ascii="仿宋" w:hAnsi="仿宋" w:eastAsia="仿宋" w:cs="仿宋"/>
                <w:snapToGrid w:val="0"/>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zh-CN" w:eastAsia="zh-CN" w:bidi="ar"/>
              </w:rPr>
              <w:t>5、</w:t>
            </w:r>
            <w:r>
              <w:rPr>
                <w:rFonts w:hint="eastAsia" w:ascii="仿宋" w:hAnsi="仿宋" w:eastAsia="仿宋" w:cs="仿宋"/>
                <w:b/>
                <w:bCs/>
                <w:color w:val="auto"/>
                <w:kern w:val="0"/>
                <w:sz w:val="21"/>
                <w:szCs w:val="21"/>
                <w:highlight w:val="none"/>
                <w:lang w:val="en-US" w:eastAsia="zh-CN" w:bidi="ar"/>
              </w:rPr>
              <w:t>时限（年份、月份等）计算：</w:t>
            </w:r>
            <w:r>
              <w:rPr>
                <w:rFonts w:hint="eastAsia" w:ascii="仿宋" w:hAnsi="仿宋" w:eastAsia="仿宋" w:cs="仿宋"/>
                <w:color w:val="auto"/>
                <w:kern w:val="0"/>
                <w:sz w:val="21"/>
                <w:szCs w:val="21"/>
                <w:highlight w:val="none"/>
                <w:lang w:val="en-US" w:eastAsia="zh-CN" w:bidi="ar"/>
              </w:rPr>
              <w:t>系指从开标之日向前追溯X年/月（“X”为“一”及以后整数）起算。</w:t>
            </w:r>
          </w:p>
        </w:tc>
      </w:tr>
      <w:tr w14:paraId="33FAD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41" w:hRule="atLeast"/>
          <w:jc w:val="center"/>
        </w:trPr>
        <w:tc>
          <w:tcPr>
            <w:tcW w:w="2271" w:type="dxa"/>
            <w:vAlign w:val="center"/>
          </w:tcPr>
          <w:p w14:paraId="7554A097">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snapToGrid w:val="0"/>
                <w:color w:val="auto"/>
                <w:kern w:val="2"/>
                <w:sz w:val="21"/>
                <w:szCs w:val="21"/>
                <w:highlight w:val="none"/>
                <w:lang w:val="zh-CN" w:eastAsia="zh-CN" w:bidi="ar-SA"/>
              </w:rPr>
            </w:pPr>
            <w:r>
              <w:rPr>
                <w:rFonts w:hint="eastAsia" w:ascii="仿宋" w:hAnsi="仿宋" w:eastAsia="仿宋" w:cs="仿宋"/>
                <w:b w:val="0"/>
                <w:bCs w:val="0"/>
                <w:color w:val="auto"/>
                <w:kern w:val="0"/>
                <w:sz w:val="21"/>
                <w:szCs w:val="21"/>
                <w:highlight w:val="none"/>
                <w:lang w:val="zh-CN"/>
              </w:rPr>
              <w:t>业绩要求</w:t>
            </w:r>
            <w:r>
              <w:rPr>
                <w:rFonts w:hint="eastAsia" w:ascii="仿宋" w:hAnsi="仿宋" w:eastAsia="仿宋" w:cs="仿宋"/>
                <w:b w:val="0"/>
                <w:bCs w:val="0"/>
                <w:color w:val="auto"/>
                <w:kern w:val="0"/>
                <w:sz w:val="21"/>
                <w:szCs w:val="21"/>
                <w:highlight w:val="none"/>
                <w:lang w:val="en-US" w:eastAsia="zh-CN"/>
              </w:rPr>
              <w:t>说明</w:t>
            </w:r>
          </w:p>
        </w:tc>
        <w:tc>
          <w:tcPr>
            <w:tcW w:w="8087" w:type="dxa"/>
            <w:vAlign w:val="center"/>
          </w:tcPr>
          <w:p w14:paraId="625A40B4">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right="0" w:rightChars="0" w:firstLine="422" w:firstLineChars="200"/>
              <w:jc w:val="left"/>
              <w:textAlignment w:val="auto"/>
              <w:rPr>
                <w:rFonts w:hint="eastAsia" w:ascii="仿宋" w:hAnsi="仿宋" w:eastAsia="仿宋" w:cs="仿宋"/>
                <w:b w:val="0"/>
                <w:bCs/>
                <w:color w:val="auto"/>
                <w:kern w:val="2"/>
                <w:sz w:val="21"/>
                <w:szCs w:val="21"/>
                <w:highlight w:val="none"/>
              </w:rPr>
            </w:pPr>
            <w:r>
              <w:rPr>
                <w:rFonts w:hint="eastAsia" w:ascii="仿宋" w:hAnsi="仿宋" w:eastAsia="仿宋" w:cs="仿宋"/>
                <w:b/>
                <w:bCs w:val="0"/>
                <w:color w:val="auto"/>
                <w:kern w:val="2"/>
                <w:sz w:val="21"/>
                <w:szCs w:val="21"/>
                <w:highlight w:val="none"/>
                <w:lang w:val="en-US" w:eastAsia="zh-CN"/>
              </w:rPr>
              <w:t>1、类似业绩：</w:t>
            </w:r>
          </w:p>
          <w:p w14:paraId="2D296E4A">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right="0" w:rightChars="0" w:firstLine="420" w:firstLineChars="200"/>
              <w:jc w:val="left"/>
              <w:textAlignment w:val="auto"/>
              <w:rPr>
                <w:rFonts w:hint="eastAsia" w:ascii="仿宋" w:hAnsi="仿宋" w:eastAsia="仿宋" w:cs="仿宋"/>
                <w:b w:val="0"/>
                <w:bCs/>
                <w:color w:val="auto"/>
                <w:kern w:val="2"/>
                <w:sz w:val="21"/>
                <w:szCs w:val="21"/>
                <w:highlight w:val="none"/>
                <w:lang w:val="en-US" w:eastAsia="zh-CN"/>
              </w:rPr>
            </w:pPr>
            <w:r>
              <w:rPr>
                <w:rFonts w:hint="eastAsia" w:ascii="仿宋" w:hAnsi="仿宋" w:eastAsia="仿宋" w:cs="仿宋"/>
                <w:b w:val="0"/>
                <w:bCs/>
                <w:color w:val="auto"/>
                <w:kern w:val="2"/>
                <w:sz w:val="21"/>
                <w:szCs w:val="21"/>
                <w:highlight w:val="none"/>
                <w:lang w:val="en-US" w:eastAsia="zh-CN"/>
              </w:rPr>
              <w:t>1）工程：结构形式、使用功能、建设规模相同或相近的项目；</w:t>
            </w:r>
          </w:p>
          <w:p w14:paraId="4CDB7EA8">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right="0" w:rightChars="0" w:firstLine="420" w:firstLineChars="200"/>
              <w:jc w:val="left"/>
              <w:textAlignment w:val="auto"/>
              <w:rPr>
                <w:rFonts w:hint="eastAsia" w:ascii="仿宋" w:hAnsi="仿宋" w:eastAsia="仿宋" w:cs="仿宋"/>
                <w:b w:val="0"/>
                <w:bCs/>
                <w:color w:val="auto"/>
                <w:kern w:val="2"/>
                <w:sz w:val="21"/>
                <w:szCs w:val="21"/>
                <w:highlight w:val="none"/>
              </w:rPr>
            </w:pPr>
            <w:r>
              <w:rPr>
                <w:rFonts w:hint="eastAsia" w:ascii="仿宋" w:hAnsi="仿宋" w:eastAsia="仿宋" w:cs="仿宋"/>
                <w:b w:val="0"/>
                <w:bCs/>
                <w:color w:val="auto"/>
                <w:kern w:val="2"/>
                <w:sz w:val="21"/>
                <w:szCs w:val="21"/>
                <w:highlight w:val="none"/>
                <w:lang w:val="en-US" w:eastAsia="zh-CN"/>
              </w:rPr>
              <w:t>2）货物或设备类：与本项目采购标的物使用功能、应用范围、应用场景相同或相近的项目；</w:t>
            </w:r>
          </w:p>
          <w:p w14:paraId="395E0226">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right="0" w:rightChars="0" w:firstLine="420" w:firstLineChars="200"/>
              <w:jc w:val="left"/>
              <w:textAlignment w:val="auto"/>
              <w:rPr>
                <w:rFonts w:hint="eastAsia" w:ascii="仿宋" w:hAnsi="仿宋" w:eastAsia="仿宋" w:cs="仿宋"/>
                <w:b w:val="0"/>
                <w:bCs/>
                <w:color w:val="auto"/>
                <w:kern w:val="2"/>
                <w:sz w:val="21"/>
                <w:szCs w:val="21"/>
                <w:highlight w:val="none"/>
              </w:rPr>
            </w:pPr>
            <w:r>
              <w:rPr>
                <w:rFonts w:hint="eastAsia" w:ascii="仿宋" w:hAnsi="仿宋" w:eastAsia="仿宋" w:cs="仿宋"/>
                <w:b w:val="0"/>
                <w:bCs/>
                <w:color w:val="auto"/>
                <w:kern w:val="2"/>
                <w:sz w:val="21"/>
                <w:szCs w:val="21"/>
                <w:highlight w:val="none"/>
                <w:lang w:val="en-US" w:eastAsia="zh-CN"/>
              </w:rPr>
              <w:t>3）服务类：内容、质量、标准相同或相近的项目</w:t>
            </w:r>
            <w:r>
              <w:rPr>
                <w:rFonts w:hint="eastAsia" w:ascii="仿宋" w:hAnsi="仿宋" w:eastAsia="仿宋" w:cs="仿宋"/>
                <w:b w:val="0"/>
                <w:bCs/>
                <w:color w:val="auto"/>
                <w:kern w:val="2"/>
                <w:sz w:val="21"/>
                <w:szCs w:val="21"/>
                <w:highlight w:val="none"/>
              </w:rPr>
              <w:t>。</w:t>
            </w:r>
          </w:p>
          <w:p w14:paraId="6E953A7A">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right="0" w:rightChars="0" w:firstLine="422" w:firstLineChars="200"/>
              <w:jc w:val="left"/>
              <w:textAlignment w:val="auto"/>
              <w:rPr>
                <w:rFonts w:hint="eastAsia" w:ascii="仿宋" w:hAnsi="仿宋" w:eastAsia="仿宋" w:cs="仿宋"/>
                <w:b/>
                <w:bCs w:val="0"/>
                <w:color w:val="auto"/>
                <w:kern w:val="0"/>
                <w:sz w:val="21"/>
                <w:szCs w:val="21"/>
                <w:highlight w:val="none"/>
                <w:lang w:val="en-US" w:eastAsia="zh-CN" w:bidi="ar-SA"/>
              </w:rPr>
            </w:pPr>
            <w:r>
              <w:rPr>
                <w:rFonts w:hint="eastAsia" w:ascii="仿宋" w:hAnsi="仿宋" w:eastAsia="仿宋" w:cs="仿宋"/>
                <w:b/>
                <w:bCs w:val="0"/>
                <w:color w:val="auto"/>
                <w:kern w:val="2"/>
                <w:sz w:val="21"/>
                <w:szCs w:val="21"/>
                <w:highlight w:val="none"/>
                <w:lang w:val="en-US" w:eastAsia="zh-CN"/>
              </w:rPr>
              <w:t>2、业绩证明文件的签署人</w:t>
            </w:r>
          </w:p>
          <w:p w14:paraId="455B549F">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right="0" w:rightChars="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kern w:val="2"/>
                <w:sz w:val="21"/>
                <w:szCs w:val="21"/>
                <w:highlight w:val="none"/>
                <w:lang w:val="en-US" w:eastAsia="zh-CN" w:bidi="ar-SA"/>
              </w:rPr>
              <w:t>1）</w:t>
            </w:r>
            <w:r>
              <w:rPr>
                <w:rFonts w:hint="eastAsia" w:ascii="仿宋" w:hAnsi="仿宋" w:eastAsia="仿宋" w:cs="仿宋"/>
                <w:color w:val="auto"/>
                <w:sz w:val="21"/>
                <w:szCs w:val="21"/>
                <w:highlight w:val="none"/>
                <w:lang w:eastAsia="zh-CN"/>
              </w:rPr>
              <w:t>中标（成交）通知书：</w:t>
            </w:r>
            <w:r>
              <w:rPr>
                <w:rFonts w:hint="eastAsia" w:ascii="仿宋" w:hAnsi="仿宋" w:eastAsia="仿宋" w:cs="仿宋"/>
                <w:color w:val="auto"/>
                <w:sz w:val="21"/>
                <w:szCs w:val="21"/>
                <w:highlight w:val="none"/>
                <w:lang w:val="en-US" w:eastAsia="zh-CN"/>
              </w:rPr>
              <w:t>中标（成交）人必须</w:t>
            </w:r>
            <w:r>
              <w:rPr>
                <w:rFonts w:hint="eastAsia" w:ascii="仿宋" w:hAnsi="仿宋" w:eastAsia="仿宋" w:cs="仿宋"/>
                <w:color w:val="auto"/>
                <w:sz w:val="21"/>
                <w:szCs w:val="21"/>
                <w:highlight w:val="none"/>
                <w:lang w:eastAsia="zh-CN"/>
              </w:rPr>
              <w:t>为</w:t>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lang w:eastAsia="zh-CN"/>
              </w:rPr>
              <w:t>自身；</w:t>
            </w:r>
          </w:p>
          <w:p w14:paraId="615F14D0">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2）</w:t>
            </w:r>
            <w:r>
              <w:rPr>
                <w:rFonts w:hint="eastAsia" w:ascii="仿宋" w:hAnsi="仿宋" w:eastAsia="仿宋" w:cs="仿宋"/>
                <w:color w:val="auto"/>
                <w:sz w:val="21"/>
                <w:szCs w:val="21"/>
                <w:highlight w:val="none"/>
              </w:rPr>
              <w:t>合同协议书</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签署人一方</w:t>
            </w:r>
            <w:r>
              <w:rPr>
                <w:rFonts w:hint="eastAsia" w:ascii="仿宋" w:hAnsi="仿宋" w:eastAsia="仿宋" w:cs="仿宋"/>
                <w:color w:val="auto"/>
                <w:sz w:val="21"/>
                <w:szCs w:val="21"/>
                <w:highlight w:val="none"/>
                <w:lang w:eastAsia="zh-CN"/>
              </w:rPr>
              <w:t>必须为</w:t>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lang w:eastAsia="zh-CN"/>
              </w:rPr>
              <w:t>自身；</w:t>
            </w:r>
          </w:p>
          <w:p w14:paraId="4AB5316F">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right="0" w:rightChars="0" w:firstLine="420" w:firstLineChars="200"/>
              <w:jc w:val="left"/>
              <w:textAlignment w:val="auto"/>
              <w:rPr>
                <w:rFonts w:hint="eastAsia" w:ascii="仿宋" w:hAnsi="仿宋" w:eastAsia="仿宋" w:cs="仿宋"/>
                <w:bCs/>
                <w:color w:val="auto"/>
                <w:kern w:val="2"/>
                <w:sz w:val="21"/>
                <w:szCs w:val="21"/>
                <w:highlight w:val="none"/>
              </w:rPr>
            </w:pPr>
            <w:r>
              <w:rPr>
                <w:rFonts w:hint="eastAsia" w:ascii="仿宋" w:hAnsi="仿宋" w:eastAsia="仿宋" w:cs="仿宋"/>
                <w:color w:val="auto"/>
                <w:kern w:val="0"/>
                <w:sz w:val="21"/>
                <w:szCs w:val="21"/>
                <w:highlight w:val="none"/>
                <w:lang w:val="en-US" w:eastAsia="zh-CN" w:bidi="ar-SA"/>
              </w:rPr>
              <w:t>3）</w:t>
            </w:r>
            <w:r>
              <w:rPr>
                <w:rFonts w:hint="eastAsia" w:ascii="仿宋" w:hAnsi="仿宋" w:eastAsia="仿宋" w:cs="仿宋"/>
                <w:color w:val="auto"/>
                <w:sz w:val="21"/>
                <w:szCs w:val="21"/>
                <w:highlight w:val="none"/>
              </w:rPr>
              <w:t>验收证明文件</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必须能体现出验收项目的实施主体（项目实施方</w:t>
            </w:r>
            <w:r>
              <w:rPr>
                <w:rFonts w:hint="eastAsia" w:ascii="仿宋" w:hAnsi="仿宋" w:eastAsia="仿宋" w:cs="仿宋"/>
                <w:color w:val="auto"/>
                <w:sz w:val="21"/>
                <w:szCs w:val="21"/>
                <w:highlight w:val="none"/>
                <w:lang w:eastAsia="zh-CN"/>
              </w:rPr>
              <w:t>必须为</w:t>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lang w:eastAsia="zh-CN"/>
              </w:rPr>
              <w:t>自身</w:t>
            </w:r>
            <w:r>
              <w:rPr>
                <w:rFonts w:hint="eastAsia" w:ascii="仿宋" w:hAnsi="仿宋" w:eastAsia="仿宋" w:cs="仿宋"/>
                <w:color w:val="auto"/>
                <w:sz w:val="21"/>
                <w:szCs w:val="21"/>
                <w:highlight w:val="none"/>
                <w:lang w:val="en-US" w:eastAsia="zh-CN"/>
              </w:rPr>
              <w:t>）及双方信息及产品信息</w:t>
            </w:r>
            <w:r>
              <w:rPr>
                <w:rFonts w:hint="eastAsia" w:ascii="仿宋" w:hAnsi="仿宋" w:eastAsia="仿宋" w:cs="仿宋"/>
                <w:color w:val="auto"/>
                <w:sz w:val="21"/>
                <w:szCs w:val="21"/>
                <w:highlight w:val="none"/>
              </w:rPr>
              <w:t>等</w:t>
            </w:r>
            <w:r>
              <w:rPr>
                <w:rFonts w:hint="eastAsia" w:ascii="仿宋" w:hAnsi="仿宋" w:eastAsia="仿宋" w:cs="仿宋"/>
                <w:color w:val="auto"/>
                <w:sz w:val="21"/>
                <w:szCs w:val="21"/>
                <w:highlight w:val="none"/>
                <w:lang w:val="en-US" w:eastAsia="zh-CN"/>
              </w:rPr>
              <w:t>有效证明文件</w:t>
            </w:r>
            <w:r>
              <w:rPr>
                <w:rFonts w:hint="eastAsia" w:ascii="仿宋" w:hAnsi="仿宋" w:eastAsia="仿宋" w:cs="仿宋"/>
                <w:bCs/>
                <w:color w:val="auto"/>
                <w:kern w:val="2"/>
                <w:sz w:val="21"/>
                <w:szCs w:val="21"/>
                <w:highlight w:val="none"/>
              </w:rPr>
              <w:t>。</w:t>
            </w:r>
          </w:p>
          <w:p w14:paraId="341F6BFE">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right="0" w:rightChars="0" w:firstLine="422" w:firstLineChars="200"/>
              <w:jc w:val="left"/>
              <w:textAlignment w:val="auto"/>
              <w:rPr>
                <w:rFonts w:hint="eastAsia" w:ascii="仿宋" w:hAnsi="仿宋" w:eastAsia="仿宋" w:cs="仿宋"/>
                <w:b/>
                <w:bCs w:val="0"/>
                <w:color w:val="auto"/>
                <w:kern w:val="2"/>
                <w:sz w:val="21"/>
                <w:szCs w:val="21"/>
                <w:highlight w:val="none"/>
                <w:lang w:val="en-US" w:eastAsia="zh-CN"/>
              </w:rPr>
            </w:pPr>
            <w:r>
              <w:rPr>
                <w:rFonts w:hint="eastAsia" w:ascii="仿宋" w:hAnsi="仿宋" w:eastAsia="仿宋" w:cs="仿宋"/>
                <w:b/>
                <w:bCs w:val="0"/>
                <w:color w:val="auto"/>
                <w:kern w:val="2"/>
                <w:sz w:val="21"/>
                <w:szCs w:val="21"/>
                <w:highlight w:val="none"/>
                <w:lang w:val="en-US" w:eastAsia="zh-CN"/>
              </w:rPr>
              <w:t>3、业绩证明材料</w:t>
            </w:r>
          </w:p>
          <w:p w14:paraId="7C15862C">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right="0" w:rightChars="0" w:firstLine="420" w:firstLineChars="200"/>
              <w:jc w:val="left"/>
              <w:textAlignment w:val="auto"/>
              <w:rPr>
                <w:rFonts w:hint="eastAsia" w:ascii="仿宋" w:hAnsi="仿宋" w:eastAsia="仿宋" w:cs="仿宋"/>
                <w:bCs/>
                <w:color w:val="auto"/>
                <w:kern w:val="2"/>
                <w:sz w:val="21"/>
                <w:szCs w:val="21"/>
                <w:highlight w:val="none"/>
                <w:lang w:val="en-US" w:eastAsia="zh-CN"/>
              </w:rPr>
            </w:pPr>
            <w:r>
              <w:rPr>
                <w:rFonts w:hint="eastAsia" w:ascii="仿宋" w:hAnsi="仿宋" w:eastAsia="仿宋" w:cs="仿宋"/>
                <w:bCs/>
                <w:color w:val="auto"/>
                <w:kern w:val="2"/>
                <w:sz w:val="21"/>
                <w:szCs w:val="21"/>
                <w:highlight w:val="none"/>
              </w:rPr>
              <w:t>■</w:t>
            </w:r>
            <w:r>
              <w:rPr>
                <w:rFonts w:hint="eastAsia" w:ascii="仿宋" w:hAnsi="仿宋" w:eastAsia="仿宋" w:cs="仿宋"/>
                <w:bCs/>
                <w:color w:val="auto"/>
                <w:kern w:val="2"/>
                <w:sz w:val="21"/>
                <w:szCs w:val="21"/>
                <w:highlight w:val="none"/>
                <w:lang w:val="en-US" w:eastAsia="zh-CN"/>
              </w:rPr>
              <w:t>合同</w:t>
            </w:r>
          </w:p>
          <w:p w14:paraId="157488DD">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right="0" w:rightChars="0" w:firstLine="420" w:firstLineChars="200"/>
              <w:jc w:val="left"/>
              <w:textAlignment w:val="auto"/>
              <w:rPr>
                <w:rFonts w:hint="eastAsia" w:ascii="仿宋" w:hAnsi="仿宋" w:eastAsia="仿宋" w:cs="仿宋"/>
                <w:bCs/>
                <w:color w:val="auto"/>
                <w:kern w:val="2"/>
                <w:sz w:val="21"/>
                <w:szCs w:val="21"/>
                <w:highlight w:val="none"/>
                <w:lang w:val="en-US" w:eastAsia="zh-CN"/>
              </w:rPr>
            </w:pPr>
            <w:r>
              <w:rPr>
                <w:rFonts w:hint="eastAsia" w:ascii="仿宋" w:hAnsi="仿宋" w:eastAsia="仿宋" w:cs="仿宋"/>
                <w:bCs/>
                <w:color w:val="auto"/>
                <w:kern w:val="2"/>
                <w:sz w:val="21"/>
                <w:szCs w:val="21"/>
                <w:highlight w:val="none"/>
              </w:rPr>
              <w:t>■</w:t>
            </w:r>
            <w:r>
              <w:rPr>
                <w:rFonts w:hint="eastAsia" w:ascii="仿宋" w:hAnsi="仿宋" w:eastAsia="仿宋" w:cs="仿宋"/>
                <w:bCs/>
                <w:color w:val="auto"/>
                <w:kern w:val="2"/>
                <w:sz w:val="21"/>
                <w:szCs w:val="21"/>
                <w:highlight w:val="none"/>
                <w:lang w:val="en-US" w:eastAsia="zh-CN"/>
              </w:rPr>
              <w:t>中标通知书/成交通知书</w:t>
            </w:r>
          </w:p>
          <w:p w14:paraId="75BE8DC5">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right="0" w:rightChars="0" w:firstLine="420" w:firstLineChars="200"/>
              <w:jc w:val="left"/>
              <w:textAlignment w:val="auto"/>
              <w:rPr>
                <w:rFonts w:hint="eastAsia" w:ascii="仿宋" w:hAnsi="仿宋" w:eastAsia="仿宋" w:cs="仿宋"/>
                <w:bCs/>
                <w:color w:val="auto"/>
                <w:kern w:val="2"/>
                <w:sz w:val="21"/>
                <w:szCs w:val="21"/>
                <w:highlight w:val="none"/>
                <w:lang w:val="en-US" w:eastAsia="zh-CN"/>
              </w:rPr>
            </w:pPr>
            <w:r>
              <w:rPr>
                <w:rFonts w:hint="eastAsia" w:ascii="仿宋" w:hAnsi="仿宋" w:eastAsia="仿宋" w:cs="仿宋"/>
                <w:bCs/>
                <w:color w:val="auto"/>
                <w:kern w:val="2"/>
                <w:sz w:val="21"/>
                <w:szCs w:val="21"/>
                <w:highlight w:val="none"/>
              </w:rPr>
              <w:t>■</w:t>
            </w:r>
            <w:r>
              <w:rPr>
                <w:rFonts w:hint="eastAsia" w:ascii="仿宋" w:hAnsi="仿宋" w:eastAsia="仿宋" w:cs="仿宋"/>
                <w:bCs/>
                <w:color w:val="auto"/>
                <w:kern w:val="2"/>
                <w:sz w:val="21"/>
                <w:szCs w:val="21"/>
                <w:highlight w:val="none"/>
                <w:lang w:val="en-US" w:eastAsia="zh-CN"/>
              </w:rPr>
              <w:t>竣工验收报告/验收证明</w:t>
            </w:r>
          </w:p>
          <w:p w14:paraId="017FBA77">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right="0" w:rightChars="0" w:firstLine="420" w:firstLineChars="200"/>
              <w:jc w:val="left"/>
              <w:textAlignment w:val="auto"/>
              <w:rPr>
                <w:rFonts w:hint="eastAsia" w:ascii="仿宋" w:hAnsi="仿宋" w:eastAsia="仿宋" w:cs="仿宋"/>
                <w:bCs/>
                <w:color w:val="auto"/>
                <w:kern w:val="2"/>
                <w:sz w:val="21"/>
                <w:szCs w:val="21"/>
                <w:highlight w:val="none"/>
                <w:lang w:val="en-US" w:eastAsia="zh-CN"/>
              </w:rPr>
            </w:pPr>
            <w:r>
              <w:rPr>
                <w:rFonts w:hint="eastAsia" w:ascii="仿宋" w:hAnsi="仿宋" w:eastAsia="仿宋" w:cs="仿宋"/>
                <w:bCs/>
                <w:color w:val="auto"/>
                <w:kern w:val="2"/>
                <w:sz w:val="21"/>
                <w:szCs w:val="21"/>
                <w:highlight w:val="none"/>
                <w:lang w:eastAsia="zh-CN"/>
              </w:rPr>
              <w:t>□</w:t>
            </w:r>
            <w:r>
              <w:rPr>
                <w:rFonts w:hint="eastAsia" w:ascii="仿宋" w:hAnsi="仿宋" w:eastAsia="仿宋" w:cs="仿宋"/>
                <w:bCs/>
                <w:color w:val="auto"/>
                <w:kern w:val="2"/>
                <w:sz w:val="21"/>
                <w:szCs w:val="21"/>
                <w:highlight w:val="none"/>
                <w:lang w:val="en-US" w:eastAsia="zh-CN"/>
              </w:rPr>
              <w:t>业主证明</w:t>
            </w:r>
          </w:p>
          <w:p w14:paraId="0CD71D84">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right="0" w:rightChars="0" w:firstLine="420" w:firstLineChars="200"/>
              <w:jc w:val="left"/>
              <w:textAlignment w:val="auto"/>
              <w:rPr>
                <w:rFonts w:hint="eastAsia" w:ascii="仿宋" w:hAnsi="仿宋" w:eastAsia="仿宋" w:cs="仿宋"/>
                <w:bCs/>
                <w:color w:val="auto"/>
                <w:kern w:val="2"/>
                <w:sz w:val="21"/>
                <w:szCs w:val="21"/>
                <w:highlight w:val="none"/>
                <w:lang w:val="en-US" w:eastAsia="zh-CN"/>
              </w:rPr>
            </w:pPr>
            <w:r>
              <w:rPr>
                <w:rFonts w:hint="eastAsia" w:ascii="仿宋" w:hAnsi="仿宋" w:eastAsia="仿宋" w:cs="仿宋"/>
                <w:bCs/>
                <w:color w:val="auto"/>
                <w:kern w:val="2"/>
                <w:sz w:val="21"/>
                <w:szCs w:val="21"/>
                <w:highlight w:val="none"/>
                <w:lang w:eastAsia="zh-CN"/>
              </w:rPr>
              <w:t>□</w:t>
            </w:r>
            <w:r>
              <w:rPr>
                <w:rFonts w:hint="eastAsia" w:ascii="仿宋" w:hAnsi="仿宋" w:eastAsia="仿宋" w:cs="仿宋"/>
                <w:bCs/>
                <w:color w:val="auto"/>
                <w:kern w:val="2"/>
                <w:sz w:val="21"/>
                <w:szCs w:val="21"/>
                <w:highlight w:val="none"/>
                <w:lang w:val="en-US" w:eastAsia="zh-CN"/>
              </w:rPr>
              <w:t xml:space="preserve">其他材料：           </w:t>
            </w:r>
          </w:p>
          <w:p w14:paraId="5EDC4D62">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right="0" w:rightChars="0" w:firstLine="422" w:firstLineChars="200"/>
              <w:jc w:val="left"/>
              <w:textAlignment w:val="auto"/>
              <w:rPr>
                <w:rFonts w:hint="eastAsia" w:ascii="仿宋" w:hAnsi="仿宋" w:eastAsia="仿宋" w:cs="仿宋"/>
                <w:b/>
                <w:bCs w:val="0"/>
                <w:color w:val="auto"/>
                <w:kern w:val="2"/>
                <w:sz w:val="21"/>
                <w:szCs w:val="21"/>
                <w:highlight w:val="none"/>
                <w:lang w:val="en-US" w:eastAsia="zh-CN"/>
              </w:rPr>
            </w:pPr>
            <w:r>
              <w:rPr>
                <w:rFonts w:hint="eastAsia" w:ascii="仿宋" w:hAnsi="仿宋" w:eastAsia="仿宋" w:cs="仿宋"/>
                <w:b/>
                <w:bCs w:val="0"/>
                <w:color w:val="auto"/>
                <w:kern w:val="2"/>
                <w:sz w:val="21"/>
                <w:szCs w:val="21"/>
                <w:highlight w:val="none"/>
                <w:lang w:val="en-US" w:eastAsia="zh-CN"/>
              </w:rPr>
              <w:t>4、业绩证明材料种类要求：</w:t>
            </w:r>
          </w:p>
          <w:p w14:paraId="416626F7">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right="0" w:rightChars="0" w:firstLine="420" w:firstLineChars="200"/>
              <w:jc w:val="left"/>
              <w:textAlignment w:val="auto"/>
              <w:rPr>
                <w:rFonts w:hint="eastAsia" w:ascii="仿宋" w:hAnsi="仿宋" w:eastAsia="仿宋" w:cs="仿宋"/>
                <w:bCs/>
                <w:color w:val="auto"/>
                <w:kern w:val="2"/>
                <w:sz w:val="21"/>
                <w:szCs w:val="21"/>
                <w:highlight w:val="none"/>
                <w:lang w:val="en-US" w:eastAsia="zh-CN"/>
              </w:rPr>
            </w:pPr>
            <w:r>
              <w:rPr>
                <w:rFonts w:hint="eastAsia" w:ascii="仿宋" w:hAnsi="仿宋" w:eastAsia="仿宋" w:cs="仿宋"/>
                <w:bCs/>
                <w:color w:val="auto"/>
                <w:kern w:val="2"/>
                <w:sz w:val="21"/>
                <w:szCs w:val="21"/>
                <w:highlight w:val="none"/>
              </w:rPr>
              <w:t>■</w:t>
            </w:r>
            <w:r>
              <w:rPr>
                <w:rFonts w:hint="eastAsia" w:ascii="仿宋" w:hAnsi="仿宋" w:eastAsia="仿宋" w:cs="仿宋"/>
                <w:bCs/>
                <w:color w:val="auto"/>
                <w:kern w:val="2"/>
                <w:sz w:val="21"/>
                <w:szCs w:val="21"/>
                <w:highlight w:val="none"/>
                <w:lang w:val="en-US" w:eastAsia="zh-CN"/>
              </w:rPr>
              <w:t>提供上述勾选的任一项证明材料即可</w:t>
            </w:r>
          </w:p>
          <w:p w14:paraId="7356E4EF">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right="0" w:rightChars="0" w:firstLine="420" w:firstLineChars="200"/>
              <w:jc w:val="left"/>
              <w:textAlignment w:val="auto"/>
              <w:rPr>
                <w:rFonts w:hint="eastAsia" w:ascii="仿宋" w:hAnsi="仿宋" w:eastAsia="仿宋" w:cs="仿宋"/>
                <w:bCs/>
                <w:color w:val="auto"/>
                <w:kern w:val="2"/>
                <w:sz w:val="21"/>
                <w:szCs w:val="21"/>
                <w:highlight w:val="none"/>
                <w:lang w:val="en-US" w:eastAsia="zh-CN"/>
              </w:rPr>
            </w:pPr>
            <w:r>
              <w:rPr>
                <w:rFonts w:hint="eastAsia" w:ascii="仿宋" w:hAnsi="仿宋" w:eastAsia="仿宋" w:cs="仿宋"/>
                <w:bCs/>
                <w:color w:val="auto"/>
                <w:kern w:val="2"/>
                <w:sz w:val="21"/>
                <w:szCs w:val="21"/>
                <w:highlight w:val="none"/>
                <w:lang w:eastAsia="zh-CN"/>
              </w:rPr>
              <w:t>□</w:t>
            </w:r>
            <w:r>
              <w:rPr>
                <w:rFonts w:hint="eastAsia" w:ascii="仿宋" w:hAnsi="仿宋" w:eastAsia="仿宋" w:cs="仿宋"/>
                <w:bCs/>
                <w:color w:val="auto"/>
                <w:kern w:val="2"/>
                <w:sz w:val="21"/>
                <w:szCs w:val="21"/>
                <w:highlight w:val="none"/>
                <w:lang w:val="en-US" w:eastAsia="zh-CN"/>
              </w:rPr>
              <w:t>需同时提供上述勾选的所有证明材料</w:t>
            </w:r>
          </w:p>
          <w:p w14:paraId="60F2CA70">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right="0" w:rightChars="0" w:firstLine="422" w:firstLineChars="200"/>
              <w:jc w:val="left"/>
              <w:textAlignment w:val="auto"/>
              <w:rPr>
                <w:rFonts w:hint="eastAsia" w:ascii="仿宋" w:hAnsi="仿宋" w:eastAsia="仿宋" w:cs="仿宋"/>
                <w:b/>
                <w:bCs/>
                <w:snapToGrid w:val="0"/>
                <w:color w:val="auto"/>
                <w:kern w:val="0"/>
                <w:sz w:val="21"/>
                <w:szCs w:val="21"/>
                <w:highlight w:val="none"/>
                <w:lang w:val="zh-CN" w:eastAsia="zh-CN" w:bidi="ar"/>
              </w:rPr>
            </w:pPr>
            <w:r>
              <w:rPr>
                <w:rFonts w:hint="eastAsia" w:ascii="仿宋" w:hAnsi="仿宋" w:eastAsia="仿宋" w:cs="仿宋"/>
                <w:b/>
                <w:bCs w:val="0"/>
                <w:color w:val="auto"/>
                <w:kern w:val="2"/>
                <w:sz w:val="21"/>
                <w:szCs w:val="21"/>
                <w:highlight w:val="none"/>
                <w:lang w:val="en-US" w:eastAsia="zh-CN"/>
              </w:rPr>
              <w:t>5、统招分签的合同按一个合同业绩计</w:t>
            </w:r>
          </w:p>
        </w:tc>
      </w:tr>
      <w:tr w14:paraId="1BC73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vAlign w:val="center"/>
          </w:tcPr>
          <w:p w14:paraId="09942CCA">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val="0"/>
                <w:snapToGrid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rPr>
              <w:t>进口产品的说明</w:t>
            </w:r>
          </w:p>
        </w:tc>
        <w:tc>
          <w:tcPr>
            <w:tcW w:w="8087" w:type="dxa"/>
            <w:vAlign w:val="center"/>
          </w:tcPr>
          <w:p w14:paraId="7BF379FC">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right="0" w:rightChars="0" w:firstLine="420" w:firstLineChars="200"/>
              <w:jc w:val="left"/>
              <w:textAlignment w:val="auto"/>
              <w:rPr>
                <w:rFonts w:hint="eastAsia" w:ascii="仿宋" w:hAnsi="仿宋" w:eastAsia="仿宋" w:cs="仿宋"/>
                <w:bCs/>
                <w:color w:val="auto"/>
                <w:kern w:val="2"/>
                <w:sz w:val="21"/>
                <w:szCs w:val="21"/>
                <w:highlight w:val="none"/>
                <w:lang w:val="en-US" w:eastAsia="zh-CN"/>
              </w:rPr>
            </w:pPr>
            <w:r>
              <w:rPr>
                <w:rFonts w:hint="eastAsia" w:ascii="仿宋" w:hAnsi="仿宋" w:eastAsia="仿宋" w:cs="仿宋"/>
                <w:bCs/>
                <w:color w:val="auto"/>
                <w:kern w:val="2"/>
                <w:sz w:val="21"/>
                <w:szCs w:val="21"/>
                <w:highlight w:val="none"/>
                <w:lang w:val="en-US" w:eastAsia="zh-CN" w:bidi="ar-SA"/>
              </w:rPr>
              <w:t>1、进口产品是指通过中国海关报关验放进入中国境内且产自关境外的产品</w:t>
            </w:r>
            <w:r>
              <w:rPr>
                <w:rFonts w:hint="eastAsia" w:ascii="仿宋" w:hAnsi="仿宋" w:eastAsia="仿宋" w:cs="仿宋"/>
                <w:bCs/>
                <w:color w:val="auto"/>
                <w:kern w:val="2"/>
                <w:sz w:val="21"/>
                <w:szCs w:val="21"/>
                <w:highlight w:val="none"/>
                <w:lang w:val="en-US" w:eastAsia="zh-CN"/>
              </w:rPr>
              <w:t>。</w:t>
            </w:r>
          </w:p>
          <w:p w14:paraId="7EEFAAB4">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right="0" w:rightChars="0" w:firstLine="420" w:firstLineChars="200"/>
              <w:jc w:val="left"/>
              <w:textAlignment w:val="auto"/>
              <w:rPr>
                <w:rFonts w:hint="eastAsia" w:ascii="仿宋" w:hAnsi="仿宋" w:eastAsia="仿宋" w:cs="仿宋"/>
                <w:bCs/>
                <w:color w:val="auto"/>
                <w:kern w:val="2"/>
                <w:sz w:val="21"/>
                <w:szCs w:val="21"/>
                <w:highlight w:val="none"/>
                <w:lang w:val="en-US" w:eastAsia="zh-CN"/>
              </w:rPr>
            </w:pPr>
            <w:r>
              <w:rPr>
                <w:rFonts w:hint="eastAsia" w:ascii="仿宋" w:hAnsi="仿宋" w:eastAsia="仿宋" w:cs="仿宋"/>
                <w:bCs/>
                <w:color w:val="auto"/>
                <w:kern w:val="2"/>
                <w:sz w:val="21"/>
                <w:szCs w:val="21"/>
                <w:highlight w:val="none"/>
                <w:lang w:val="en-US" w:eastAsia="zh-CN" w:bidi="ar-SA"/>
              </w:rPr>
              <w:t>2、</w:t>
            </w:r>
            <w:r>
              <w:rPr>
                <w:rFonts w:hint="eastAsia" w:ascii="仿宋" w:hAnsi="仿宋" w:eastAsia="仿宋" w:cs="仿宋"/>
                <w:bCs/>
                <w:color w:val="auto"/>
                <w:kern w:val="2"/>
                <w:sz w:val="21"/>
                <w:szCs w:val="21"/>
                <w:highlight w:val="none"/>
                <w:lang w:val="en-US" w:eastAsia="zh-CN"/>
              </w:rPr>
              <w:t>零配件全部进口或者部分进口，在国内组装成成品的产品不属于进口产品。国内组装后一般会贴上国内的品牌，属于国产产品。</w:t>
            </w:r>
          </w:p>
          <w:p w14:paraId="26E22F13">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right="0" w:rightChars="0" w:firstLine="420" w:firstLineChars="200"/>
              <w:jc w:val="left"/>
              <w:textAlignment w:val="auto"/>
              <w:rPr>
                <w:rFonts w:hint="eastAsia" w:ascii="仿宋" w:hAnsi="仿宋" w:eastAsia="仿宋" w:cs="仿宋"/>
                <w:bCs/>
                <w:snapToGrid w:val="0"/>
                <w:color w:val="auto"/>
                <w:kern w:val="2"/>
                <w:sz w:val="21"/>
                <w:szCs w:val="21"/>
                <w:highlight w:val="none"/>
                <w:lang w:val="en-US" w:eastAsia="zh-CN" w:bidi="ar-SA"/>
              </w:rPr>
            </w:pPr>
            <w:r>
              <w:rPr>
                <w:rFonts w:hint="eastAsia" w:ascii="仿宋" w:hAnsi="仿宋" w:eastAsia="仿宋" w:cs="仿宋"/>
                <w:bCs/>
                <w:color w:val="auto"/>
                <w:kern w:val="2"/>
                <w:sz w:val="21"/>
                <w:szCs w:val="21"/>
                <w:highlight w:val="none"/>
                <w:lang w:val="en-US" w:eastAsia="zh-CN"/>
              </w:rPr>
              <w:t>注：不涉及采购进口产品时，投标人不得提供进口产品进行响应；涉及采购进口产品时，如国产产品满足采购需求，也可提供国产产品进行响应。</w:t>
            </w:r>
          </w:p>
        </w:tc>
      </w:tr>
      <w:tr w14:paraId="5A84D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vAlign w:val="center"/>
          </w:tcPr>
          <w:p w14:paraId="71FC9381">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snapToGrid w:val="0"/>
                <w:color w:val="auto"/>
                <w:kern w:val="0"/>
                <w:sz w:val="21"/>
                <w:szCs w:val="21"/>
                <w:highlight w:val="none"/>
                <w:lang w:val="zh-CN" w:eastAsia="en-US" w:bidi="ar-SA"/>
              </w:rPr>
            </w:pPr>
            <w:r>
              <w:rPr>
                <w:rFonts w:hint="eastAsia" w:ascii="仿宋" w:hAnsi="仿宋" w:eastAsia="仿宋" w:cs="仿宋"/>
                <w:color w:val="auto"/>
                <w:sz w:val="21"/>
                <w:szCs w:val="21"/>
                <w:highlight w:val="none"/>
                <w:lang w:val="en-US" w:eastAsia="zh-CN"/>
              </w:rPr>
              <w:t>其他</w:t>
            </w:r>
          </w:p>
        </w:tc>
        <w:tc>
          <w:tcPr>
            <w:tcW w:w="8087" w:type="dxa"/>
            <w:vAlign w:val="center"/>
          </w:tcPr>
          <w:p w14:paraId="2C3600E9">
            <w:pPr>
              <w:pStyle w:val="28"/>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lang w:eastAsia="zh-CN"/>
              </w:rPr>
              <w:t>、中标人所签订的合同不得对招标文件确定的事项和中标人的投标文件做实质性修改。</w:t>
            </w:r>
          </w:p>
          <w:p w14:paraId="7F4236CD">
            <w:pPr>
              <w:pStyle w:val="28"/>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lang w:eastAsia="zh-CN"/>
              </w:rPr>
              <w:t>、合同终止条件：</w:t>
            </w:r>
          </w:p>
          <w:p w14:paraId="16022C6D">
            <w:pPr>
              <w:pStyle w:val="28"/>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（1）违反相关法律法规、医疗行业准则规定、疫情防控管理规定以及违反采购人单位相关管理规定；</w:t>
            </w:r>
          </w:p>
          <w:p w14:paraId="48FE130D">
            <w:pPr>
              <w:pStyle w:val="28"/>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（2）未按中标人投标文件中相关承诺履行约定；</w:t>
            </w:r>
          </w:p>
          <w:p w14:paraId="2DBEFC5B">
            <w:pPr>
              <w:pStyle w:val="28"/>
              <w:keepNext w:val="0"/>
              <w:keepLines w:val="0"/>
              <w:pageBreakBefore w:val="0"/>
              <w:widowControl w:val="0"/>
              <w:kinsoku/>
              <w:wordWrap w:val="0"/>
              <w:overflowPunct/>
              <w:topLinePunct/>
              <w:autoSpaceDE/>
              <w:autoSpaceDN/>
              <w:bidi w:val="0"/>
              <w:adjustRightInd/>
              <w:snapToGrid/>
              <w:spacing w:line="360" w:lineRule="auto"/>
              <w:ind w:left="0" w:right="0" w:rightChars="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lang w:eastAsia="zh-CN"/>
              </w:rPr>
              <w:t>（3）采购人将在采购合同签订前对中标人投标文件中提供的所有认证资料进行真实性核验，发现存在弄虚作假的情况。因上述合同终止条件导致合同终止的，采购人将追究中标人给采购人造成的一切经济损失和法律责任。</w:t>
            </w:r>
          </w:p>
        </w:tc>
      </w:tr>
      <w:tr w14:paraId="781AB6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vAlign w:val="center"/>
          </w:tcPr>
          <w:p w14:paraId="2EDBD5E9">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lang w:val="en-US" w:eastAsia="zh-CN"/>
              </w:rPr>
              <w:t>采购活动中串通投标行为认定</w:t>
            </w:r>
          </w:p>
        </w:tc>
        <w:tc>
          <w:tcPr>
            <w:tcW w:w="8087" w:type="dxa"/>
            <w:vAlign w:val="center"/>
          </w:tcPr>
          <w:p w14:paraId="532ACF21">
            <w:pPr>
              <w:keepNext w:val="0"/>
              <w:keepLines w:val="0"/>
              <w:pageBreakBefore w:val="0"/>
              <w:widowControl w:val="0"/>
              <w:suppressLineNumbers w:val="0"/>
              <w:kinsoku/>
              <w:wordWrap w:val="0"/>
              <w:overflowPunct/>
              <w:topLinePunct/>
              <w:autoSpaceDE/>
              <w:autoSpaceDN/>
              <w:bidi w:val="0"/>
              <w:adjustRightInd/>
              <w:snapToGrid/>
              <w:spacing w:line="360" w:lineRule="auto"/>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val="en-US" w:eastAsia="zh-CN" w:bidi="ar"/>
              </w:rPr>
              <w:t xml:space="preserve">根据《政府采购货物和服务招标投标管理办法》（财政部令第87号）第三十七条规定有下列情形之一的，视为投标人串通投标，其投标无效： </w:t>
            </w:r>
          </w:p>
          <w:p w14:paraId="7E219007">
            <w:pPr>
              <w:keepNext w:val="0"/>
              <w:keepLines w:val="0"/>
              <w:pageBreakBefore w:val="0"/>
              <w:widowControl w:val="0"/>
              <w:suppressLineNumbers w:val="0"/>
              <w:kinsoku/>
              <w:wordWrap w:val="0"/>
              <w:overflowPunct/>
              <w:topLinePunct/>
              <w:autoSpaceDE/>
              <w:autoSpaceDN/>
              <w:bidi w:val="0"/>
              <w:adjustRightInd/>
              <w:snapToGrid/>
              <w:spacing w:line="360" w:lineRule="auto"/>
              <w:ind w:left="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 xml:space="preserve">（一）不同投标人的投标文件由同一单位或者个人编制； </w:t>
            </w:r>
          </w:p>
          <w:p w14:paraId="4BBEE4DD">
            <w:pPr>
              <w:keepNext w:val="0"/>
              <w:keepLines w:val="0"/>
              <w:pageBreakBefore w:val="0"/>
              <w:widowControl w:val="0"/>
              <w:suppressLineNumbers w:val="0"/>
              <w:kinsoku/>
              <w:wordWrap w:val="0"/>
              <w:overflowPunct/>
              <w:topLinePunct/>
              <w:autoSpaceDE/>
              <w:autoSpaceDN/>
              <w:bidi w:val="0"/>
              <w:adjustRightInd/>
              <w:snapToGrid/>
              <w:spacing w:line="360" w:lineRule="auto"/>
              <w:ind w:left="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 xml:space="preserve">（二）不同投标人委托同一单位或者个人办理投标事宜； </w:t>
            </w:r>
          </w:p>
          <w:p w14:paraId="392947BC">
            <w:pPr>
              <w:keepNext w:val="0"/>
              <w:keepLines w:val="0"/>
              <w:pageBreakBefore w:val="0"/>
              <w:widowControl w:val="0"/>
              <w:suppressLineNumbers w:val="0"/>
              <w:kinsoku/>
              <w:wordWrap w:val="0"/>
              <w:overflowPunct/>
              <w:topLinePunct/>
              <w:autoSpaceDE/>
              <w:autoSpaceDN/>
              <w:bidi w:val="0"/>
              <w:adjustRightInd/>
              <w:snapToGrid/>
              <w:spacing w:line="360" w:lineRule="auto"/>
              <w:ind w:left="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 xml:space="preserve">（三）不同投标人的投标文件载明的项目管理成员或者联系人员为同一人； </w:t>
            </w:r>
          </w:p>
          <w:p w14:paraId="0B7699C1">
            <w:pPr>
              <w:keepNext w:val="0"/>
              <w:keepLines w:val="0"/>
              <w:pageBreakBefore w:val="0"/>
              <w:widowControl w:val="0"/>
              <w:suppressLineNumbers w:val="0"/>
              <w:kinsoku/>
              <w:wordWrap w:val="0"/>
              <w:overflowPunct/>
              <w:topLinePunct/>
              <w:autoSpaceDE/>
              <w:autoSpaceDN/>
              <w:bidi w:val="0"/>
              <w:adjustRightInd/>
              <w:snapToGrid/>
              <w:spacing w:line="360" w:lineRule="auto"/>
              <w:ind w:left="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 xml:space="preserve">（四）不同投标人的投标文件异常一致或者投标报价呈规律性差异； </w:t>
            </w:r>
          </w:p>
          <w:p w14:paraId="61A162FD">
            <w:pPr>
              <w:keepNext w:val="0"/>
              <w:keepLines w:val="0"/>
              <w:pageBreakBefore w:val="0"/>
              <w:widowControl w:val="0"/>
              <w:suppressLineNumbers w:val="0"/>
              <w:kinsoku/>
              <w:wordWrap w:val="0"/>
              <w:overflowPunct/>
              <w:topLinePunct/>
              <w:autoSpaceDE/>
              <w:autoSpaceDN/>
              <w:bidi w:val="0"/>
              <w:adjustRightInd/>
              <w:snapToGrid/>
              <w:spacing w:line="360" w:lineRule="auto"/>
              <w:ind w:left="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 xml:space="preserve">（五）不同投标人的投标文件相互混装； </w:t>
            </w:r>
          </w:p>
          <w:p w14:paraId="1B014801">
            <w:pPr>
              <w:keepNext w:val="0"/>
              <w:keepLines w:val="0"/>
              <w:pageBreakBefore w:val="0"/>
              <w:widowControl w:val="0"/>
              <w:suppressLineNumbers w:val="0"/>
              <w:kinsoku/>
              <w:wordWrap w:val="0"/>
              <w:overflowPunct/>
              <w:topLinePunct/>
              <w:autoSpaceDE/>
              <w:autoSpaceDN/>
              <w:bidi w:val="0"/>
              <w:adjustRightInd/>
              <w:snapToGrid/>
              <w:spacing w:line="360" w:lineRule="auto"/>
              <w:ind w:left="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（六）不同投标人的投标保证金从同一单位或者个人的账户转出；</w:t>
            </w:r>
          </w:p>
          <w:p w14:paraId="7DDBFA18">
            <w:pPr>
              <w:keepNext w:val="0"/>
              <w:keepLines w:val="0"/>
              <w:pageBreakBefore w:val="0"/>
              <w:widowControl w:val="0"/>
              <w:suppressLineNumbers w:val="0"/>
              <w:kinsoku/>
              <w:wordWrap w:val="0"/>
              <w:overflowPunct/>
              <w:topLinePunct/>
              <w:autoSpaceDE/>
              <w:autoSpaceDN/>
              <w:bidi w:val="0"/>
              <w:adjustRightInd/>
              <w:snapToGrid/>
              <w:spacing w:line="360" w:lineRule="auto"/>
              <w:ind w:left="0" w:right="0" w:firstLine="420" w:firstLineChars="200"/>
              <w:jc w:val="left"/>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
              </w:rPr>
              <w:t>（七）不同投标人的电子投标文件在同一台电脑上编制（芯片序列号、硬盘序列号、网卡序列号一致，视为由同一台电脑编制）、加密或者上传。</w:t>
            </w:r>
          </w:p>
        </w:tc>
      </w:tr>
      <w:bookmarkEnd w:id="307"/>
      <w:bookmarkEnd w:id="308"/>
      <w:bookmarkEnd w:id="309"/>
    </w:tbl>
    <w:p w14:paraId="12B3111B">
      <w:pPr>
        <w:pStyle w:val="4"/>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jc w:val="left"/>
        <w:textAlignment w:val="auto"/>
        <w:outlineLvl w:val="1"/>
        <w:rPr>
          <w:rFonts w:hint="eastAsia" w:ascii="仿宋" w:hAnsi="仿宋" w:eastAsia="仿宋" w:cs="仿宋"/>
          <w:b w:val="0"/>
          <w:color w:val="auto"/>
          <w:sz w:val="21"/>
          <w:szCs w:val="21"/>
          <w:highlight w:val="none"/>
          <w:lang w:eastAsia="zh-CN"/>
        </w:rPr>
      </w:pPr>
      <w:bookmarkStart w:id="312" w:name="_Toc6126"/>
      <w:bookmarkStart w:id="313" w:name="_Toc4205"/>
      <w:bookmarkStart w:id="314" w:name="_Toc4183"/>
      <w:bookmarkStart w:id="315" w:name="_Toc17164"/>
      <w:bookmarkStart w:id="316" w:name="_Toc10319"/>
      <w:r>
        <w:rPr>
          <w:rStyle w:val="90"/>
          <w:rFonts w:hint="eastAsia" w:ascii="仿宋" w:hAnsi="仿宋" w:eastAsia="仿宋" w:cs="仿宋"/>
          <w:b/>
          <w:color w:val="auto"/>
          <w:sz w:val="21"/>
          <w:szCs w:val="21"/>
          <w:highlight w:val="none"/>
          <w:lang w:eastAsia="zh-CN"/>
        </w:rPr>
        <w:t>1.总则</w:t>
      </w:r>
      <w:bookmarkEnd w:id="312"/>
      <w:bookmarkEnd w:id="313"/>
      <w:bookmarkEnd w:id="314"/>
      <w:bookmarkEnd w:id="315"/>
      <w:bookmarkEnd w:id="316"/>
    </w:p>
    <w:p w14:paraId="5D530C35">
      <w:pPr>
        <w:pStyle w:val="5"/>
        <w:keepNext w:val="0"/>
        <w:keepLines w:val="0"/>
        <w:pageBreakBefore w:val="0"/>
        <w:widowControl w:val="0"/>
        <w:kinsoku/>
        <w:wordWrap w:val="0"/>
        <w:overflowPunct/>
        <w:topLinePunct/>
        <w:autoSpaceDE/>
        <w:autoSpaceDN/>
        <w:bidi w:val="0"/>
        <w:adjustRightInd/>
        <w:snapToGrid/>
        <w:spacing w:after="150" w:afterLines="50" w:line="360" w:lineRule="auto"/>
        <w:ind w:left="0" w:leftChars="0" w:right="0" w:firstLine="422" w:firstLineChars="200"/>
        <w:jc w:val="left"/>
        <w:textAlignment w:val="auto"/>
        <w:outlineLvl w:val="2"/>
        <w:rPr>
          <w:rFonts w:hint="eastAsia" w:ascii="仿宋" w:hAnsi="仿宋" w:eastAsia="仿宋" w:cs="仿宋"/>
          <w:b/>
          <w:color w:val="auto"/>
          <w:sz w:val="21"/>
          <w:szCs w:val="21"/>
          <w:highlight w:val="none"/>
          <w:lang w:eastAsia="zh-CN"/>
        </w:rPr>
      </w:pPr>
      <w:bookmarkStart w:id="317" w:name="_Toc29394"/>
      <w:bookmarkStart w:id="318" w:name="_Toc24748"/>
      <w:bookmarkStart w:id="319" w:name="_Toc18419"/>
      <w:bookmarkStart w:id="320" w:name="_Toc19352"/>
      <w:bookmarkStart w:id="321" w:name="_Toc25216"/>
      <w:bookmarkStart w:id="322" w:name="_Toc30363"/>
      <w:bookmarkStart w:id="323" w:name="_Toc10540"/>
      <w:bookmarkStart w:id="324" w:name="_Toc21548"/>
      <w:bookmarkStart w:id="325" w:name="_Toc23526"/>
      <w:bookmarkStart w:id="326" w:name="_Toc31784"/>
      <w:bookmarkStart w:id="327" w:name="_Toc4972"/>
      <w:bookmarkStart w:id="328" w:name="_Toc12259"/>
      <w:bookmarkStart w:id="329" w:name="_Toc29923"/>
      <w:bookmarkStart w:id="330" w:name="_Toc28724"/>
      <w:bookmarkStart w:id="331" w:name="_Toc28388"/>
      <w:bookmarkStart w:id="332" w:name="_Toc11829"/>
      <w:bookmarkStart w:id="333" w:name="_Toc2994"/>
      <w:bookmarkStart w:id="334" w:name="_Toc4997"/>
      <w:bookmarkStart w:id="335" w:name="_Toc5151"/>
      <w:bookmarkStart w:id="336" w:name="_Toc5937"/>
      <w:bookmarkStart w:id="337" w:name="_Toc7505"/>
      <w:bookmarkStart w:id="338" w:name="_Toc20450"/>
      <w:bookmarkStart w:id="339" w:name="_Toc8677"/>
      <w:bookmarkStart w:id="340" w:name="_Toc25047"/>
      <w:bookmarkStart w:id="341" w:name="_Toc26624"/>
      <w:bookmarkStart w:id="342" w:name="_Toc11393"/>
      <w:r>
        <w:rPr>
          <w:rFonts w:hint="eastAsia" w:ascii="仿宋" w:hAnsi="仿宋" w:eastAsia="仿宋" w:cs="仿宋"/>
          <w:b/>
          <w:color w:val="auto"/>
          <w:sz w:val="21"/>
          <w:szCs w:val="21"/>
          <w:highlight w:val="none"/>
          <w:lang w:eastAsia="zh-CN"/>
        </w:rPr>
        <w:t>1.1招标项目概况</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57FFD3F6">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1.1.1本项目招标文件的编制依据《中华人民共和国政府采购法》《中华人民共和国政府采购法实施条例》《政府采购货物和服务招标投标管理办法》（财政部令第87号）</w:t>
      </w:r>
      <w:r>
        <w:rPr>
          <w:rFonts w:hint="eastAsia" w:ascii="仿宋" w:hAnsi="仿宋" w:eastAsia="仿宋" w:cs="仿宋"/>
          <w:color w:val="auto"/>
          <w:sz w:val="21"/>
          <w:szCs w:val="21"/>
          <w:highlight w:val="none"/>
        </w:rPr>
        <w:t>和其他有关法律法规规定</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本项目已具备招标条件，现对本项目进行公开招标。</w:t>
      </w:r>
    </w:p>
    <w:p w14:paraId="79ADFBBF">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1.1.</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lang w:eastAsia="zh-CN"/>
        </w:rPr>
        <w:t>采购人：见投标人须知前附表。</w:t>
      </w:r>
    </w:p>
    <w:p w14:paraId="47AFEBEB">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1.1.</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lang w:eastAsia="zh-CN"/>
        </w:rPr>
        <w:t>采购代理机构：见投标人须知前附表。</w:t>
      </w:r>
    </w:p>
    <w:p w14:paraId="63FA19AD">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1.1.</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lang w:eastAsia="zh-CN"/>
        </w:rPr>
        <w:t>项目名称：见投标人须知前附表。</w:t>
      </w:r>
    </w:p>
    <w:p w14:paraId="3E133E58">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1.1.</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lang w:eastAsia="zh-CN"/>
        </w:rPr>
        <w:t>项目编号：见投标人须知前附表。</w:t>
      </w:r>
    </w:p>
    <w:p w14:paraId="00DE3C81">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2" w:firstLineChars="200"/>
        <w:jc w:val="left"/>
        <w:textAlignment w:val="auto"/>
        <w:outlineLvl w:val="2"/>
        <w:rPr>
          <w:rFonts w:hint="eastAsia" w:ascii="仿宋" w:hAnsi="仿宋" w:eastAsia="仿宋" w:cs="仿宋"/>
          <w:b/>
          <w:color w:val="auto"/>
          <w:sz w:val="21"/>
          <w:szCs w:val="21"/>
          <w:highlight w:val="none"/>
          <w:lang w:eastAsia="zh-CN"/>
        </w:rPr>
      </w:pPr>
      <w:bookmarkStart w:id="343" w:name="_Toc26037"/>
      <w:bookmarkStart w:id="344" w:name="_Toc1907"/>
      <w:bookmarkStart w:id="345" w:name="_Toc29148"/>
      <w:bookmarkStart w:id="346" w:name="_Toc24585"/>
      <w:bookmarkStart w:id="347" w:name="_Toc19878"/>
      <w:bookmarkStart w:id="348" w:name="_Toc19870"/>
      <w:bookmarkStart w:id="349" w:name="_Toc13912"/>
      <w:bookmarkStart w:id="350" w:name="_Toc7591"/>
      <w:bookmarkStart w:id="351" w:name="_Toc27350"/>
      <w:bookmarkStart w:id="352" w:name="_Toc18977"/>
      <w:bookmarkStart w:id="353" w:name="_Toc21862"/>
      <w:bookmarkStart w:id="354" w:name="_Toc1579"/>
      <w:bookmarkStart w:id="355" w:name="_Toc18791"/>
      <w:bookmarkStart w:id="356" w:name="_Toc21449"/>
      <w:bookmarkStart w:id="357" w:name="_Toc2667"/>
      <w:bookmarkStart w:id="358" w:name="_Toc15621"/>
      <w:bookmarkStart w:id="359" w:name="_Toc22798"/>
      <w:bookmarkStart w:id="360" w:name="_Toc5838"/>
      <w:bookmarkStart w:id="361" w:name="_Toc11359"/>
      <w:bookmarkStart w:id="362" w:name="_Toc26046"/>
      <w:bookmarkStart w:id="363" w:name="_Toc31227"/>
      <w:bookmarkStart w:id="364" w:name="_Toc10795"/>
      <w:bookmarkStart w:id="365" w:name="_Toc14895"/>
      <w:bookmarkStart w:id="366" w:name="_Toc27860"/>
      <w:bookmarkStart w:id="367" w:name="_Toc25905"/>
      <w:bookmarkStart w:id="368" w:name="_Toc14906"/>
      <w:r>
        <w:rPr>
          <w:rFonts w:hint="eastAsia" w:ascii="仿宋" w:hAnsi="仿宋" w:eastAsia="仿宋" w:cs="仿宋"/>
          <w:b/>
          <w:color w:val="auto"/>
          <w:sz w:val="21"/>
          <w:szCs w:val="21"/>
          <w:highlight w:val="none"/>
          <w:lang w:eastAsia="zh-CN"/>
        </w:rPr>
        <w:t>1.2 招标项目的资金落实情况</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0BB896C4">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1.2.1资金落实情况：见投标人须知前附表。</w:t>
      </w:r>
    </w:p>
    <w:p w14:paraId="28C07C3D">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2" w:firstLineChars="200"/>
        <w:jc w:val="left"/>
        <w:textAlignment w:val="auto"/>
        <w:outlineLvl w:val="2"/>
        <w:rPr>
          <w:rFonts w:hint="eastAsia" w:ascii="仿宋" w:hAnsi="仿宋" w:eastAsia="仿宋" w:cs="仿宋"/>
          <w:b/>
          <w:color w:val="auto"/>
          <w:sz w:val="21"/>
          <w:szCs w:val="21"/>
          <w:highlight w:val="none"/>
          <w:lang w:eastAsia="zh-CN"/>
        </w:rPr>
      </w:pPr>
      <w:bookmarkStart w:id="369" w:name="_Toc16529"/>
      <w:bookmarkStart w:id="370" w:name="_Toc21045"/>
      <w:bookmarkStart w:id="371" w:name="_Toc25994"/>
      <w:bookmarkStart w:id="372" w:name="_Toc32663"/>
      <w:bookmarkStart w:id="373" w:name="_Toc2407"/>
      <w:bookmarkStart w:id="374" w:name="_Toc21441"/>
      <w:bookmarkStart w:id="375" w:name="_Toc7228"/>
      <w:bookmarkStart w:id="376" w:name="_Toc31621"/>
      <w:bookmarkStart w:id="377" w:name="_Toc2692"/>
      <w:bookmarkStart w:id="378" w:name="_Toc31661"/>
      <w:bookmarkStart w:id="379" w:name="_Toc19875"/>
      <w:bookmarkStart w:id="380" w:name="_Toc18305"/>
      <w:bookmarkStart w:id="381" w:name="_Toc21032"/>
      <w:bookmarkStart w:id="382" w:name="_Toc9708"/>
      <w:bookmarkStart w:id="383" w:name="_Toc15182"/>
      <w:bookmarkStart w:id="384" w:name="_Toc24610"/>
      <w:bookmarkStart w:id="385" w:name="_Toc22370"/>
      <w:bookmarkStart w:id="386" w:name="_Toc25328"/>
      <w:bookmarkStart w:id="387" w:name="_Toc4879"/>
      <w:bookmarkStart w:id="388" w:name="_Toc17172"/>
      <w:bookmarkStart w:id="389" w:name="_Toc16965"/>
      <w:bookmarkStart w:id="390" w:name="_Toc4088"/>
      <w:bookmarkStart w:id="391" w:name="_Toc454"/>
      <w:bookmarkStart w:id="392" w:name="_Toc2850"/>
      <w:bookmarkStart w:id="393" w:name="_Toc13143"/>
      <w:bookmarkStart w:id="394" w:name="_Toc10032"/>
      <w:r>
        <w:rPr>
          <w:rFonts w:hint="eastAsia" w:ascii="仿宋" w:hAnsi="仿宋" w:eastAsia="仿宋" w:cs="仿宋"/>
          <w:b/>
          <w:color w:val="auto"/>
          <w:sz w:val="21"/>
          <w:szCs w:val="21"/>
          <w:highlight w:val="none"/>
          <w:lang w:eastAsia="zh-CN"/>
        </w:rPr>
        <w:t>1.3采购内容、交货（交付）期、交货地点</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p w14:paraId="4A7A930B">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1.3.1采购内容：见投标人须知前附表。</w:t>
      </w:r>
    </w:p>
    <w:p w14:paraId="35DC548B">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1.3.2 交货（交付）期：见投标人须知前附表。</w:t>
      </w:r>
    </w:p>
    <w:p w14:paraId="5B269353">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1.3.3交货地点：见投标人须知前附表。</w:t>
      </w:r>
    </w:p>
    <w:p w14:paraId="51444B12">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2" w:firstLineChars="200"/>
        <w:jc w:val="left"/>
        <w:textAlignment w:val="auto"/>
        <w:outlineLvl w:val="2"/>
        <w:rPr>
          <w:rFonts w:hint="eastAsia" w:ascii="仿宋" w:hAnsi="仿宋" w:eastAsia="仿宋" w:cs="仿宋"/>
          <w:b/>
          <w:color w:val="auto"/>
          <w:sz w:val="21"/>
          <w:szCs w:val="21"/>
          <w:highlight w:val="none"/>
          <w:lang w:eastAsia="zh-CN"/>
        </w:rPr>
      </w:pPr>
      <w:bookmarkStart w:id="395" w:name="_Toc6135"/>
      <w:bookmarkStart w:id="396" w:name="_Toc16869"/>
      <w:bookmarkStart w:id="397" w:name="_Toc18642"/>
      <w:bookmarkStart w:id="398" w:name="_Toc10286"/>
      <w:bookmarkStart w:id="399" w:name="_Toc839"/>
      <w:bookmarkStart w:id="400" w:name="_Toc11505"/>
      <w:bookmarkStart w:id="401" w:name="_Toc2570"/>
      <w:bookmarkStart w:id="402" w:name="_Toc6787"/>
      <w:bookmarkStart w:id="403" w:name="_Toc8396"/>
      <w:bookmarkStart w:id="404" w:name="_Toc27499"/>
      <w:bookmarkStart w:id="405" w:name="_Toc25906"/>
      <w:bookmarkStart w:id="406" w:name="_Toc6203"/>
      <w:bookmarkStart w:id="407" w:name="_Toc28834"/>
      <w:bookmarkStart w:id="408" w:name="_Toc26537"/>
      <w:bookmarkStart w:id="409" w:name="_Toc31477"/>
      <w:bookmarkStart w:id="410" w:name="_Toc11304"/>
      <w:bookmarkStart w:id="411" w:name="_Toc32705"/>
      <w:bookmarkStart w:id="412" w:name="_Toc7564"/>
      <w:bookmarkStart w:id="413" w:name="_Toc13389"/>
      <w:bookmarkStart w:id="414" w:name="_Toc15995"/>
      <w:bookmarkStart w:id="415" w:name="_Toc1922"/>
      <w:bookmarkStart w:id="416" w:name="_Toc29374"/>
      <w:bookmarkStart w:id="417" w:name="_Toc23809"/>
      <w:bookmarkStart w:id="418" w:name="_Toc16728"/>
      <w:bookmarkStart w:id="419" w:name="_Toc23130"/>
      <w:bookmarkStart w:id="420" w:name="_Toc20228"/>
      <w:r>
        <w:rPr>
          <w:rFonts w:hint="eastAsia" w:ascii="仿宋" w:hAnsi="仿宋" w:eastAsia="仿宋" w:cs="仿宋"/>
          <w:b/>
          <w:color w:val="auto"/>
          <w:sz w:val="21"/>
          <w:szCs w:val="21"/>
          <w:highlight w:val="none"/>
          <w:lang w:eastAsia="zh-CN"/>
        </w:rPr>
        <w:t>1.4投标人的资格要求</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0AFE593E">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1.4.1投标人应具备承担本项目的资质条件、能力和信誉，详见投标人须知前附表。</w:t>
      </w:r>
    </w:p>
    <w:p w14:paraId="76E35899">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1.4.2单位负责人为同一人或者存在直接控股、管理关系的不同投标人，不得参加同一合同项下的政府采购活动。</w:t>
      </w:r>
    </w:p>
    <w:p w14:paraId="521B5409">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1.4.3投标人须知前附表规定接受联合体投标的，联合体除应符合本章第 1.4.1项和投标人须知前附表的要求外，还应遵守以下规定：</w:t>
      </w:r>
    </w:p>
    <w:p w14:paraId="15B69F55">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lang w:eastAsia="zh-CN"/>
        </w:rPr>
        <w:t>） 联合体中有同类资质的投标人按照联合体分工承担相同工作的，应当按照资质等级较低的投标人确定资质等级；</w:t>
      </w:r>
    </w:p>
    <w:p w14:paraId="00041CC2">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（2）联合体各方之间应当签订共同投标协议，明确约定联合体各方承担的工作和相应的责任；</w:t>
      </w:r>
    </w:p>
    <w:p w14:paraId="69603C7B">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（3）以联合体形式参加政府采购活动的，联合体各方不得再单独参加或者与其他投标人另外组成联合体参加同一项目包下的政府采购活动。</w:t>
      </w:r>
    </w:p>
    <w:p w14:paraId="5C213FCB">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1.4.4 符合上述条件的投标人应承担投标及履约中应承担的全部责任与义务。</w:t>
      </w:r>
    </w:p>
    <w:p w14:paraId="1283F882">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lang w:eastAsia="zh-CN"/>
        </w:rPr>
        <w:t>4.</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lang w:eastAsia="zh-CN"/>
        </w:rPr>
        <w:t>“投标人须知前附表”中说明本项目属于政府购买服务的，投标人不得为公益一类事业单位或使用事业编制且由财政拨款保障的群团组织。</w:t>
      </w:r>
    </w:p>
    <w:p w14:paraId="469BD183">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2" w:firstLineChars="200"/>
        <w:jc w:val="left"/>
        <w:textAlignment w:val="auto"/>
        <w:outlineLvl w:val="2"/>
        <w:rPr>
          <w:rFonts w:hint="eastAsia" w:ascii="仿宋" w:hAnsi="仿宋" w:eastAsia="仿宋" w:cs="仿宋"/>
          <w:b/>
          <w:color w:val="auto"/>
          <w:sz w:val="21"/>
          <w:szCs w:val="21"/>
          <w:highlight w:val="none"/>
          <w:lang w:eastAsia="zh-CN"/>
        </w:rPr>
      </w:pPr>
      <w:bookmarkStart w:id="421" w:name="_Toc25310"/>
      <w:bookmarkStart w:id="422" w:name="_Toc30847"/>
      <w:bookmarkStart w:id="423" w:name="_Toc19917"/>
      <w:bookmarkStart w:id="424" w:name="_Toc3338"/>
      <w:bookmarkStart w:id="425" w:name="_Toc1672"/>
      <w:bookmarkStart w:id="426" w:name="_Toc6086"/>
      <w:bookmarkStart w:id="427" w:name="_Toc22624"/>
      <w:bookmarkStart w:id="428" w:name="_Toc32664"/>
      <w:bookmarkStart w:id="429" w:name="_Toc18306"/>
      <w:bookmarkStart w:id="430" w:name="_Toc25861"/>
      <w:bookmarkStart w:id="431" w:name="_Toc5116"/>
      <w:bookmarkStart w:id="432" w:name="_Toc21908"/>
      <w:bookmarkStart w:id="433" w:name="_Toc28440"/>
      <w:bookmarkStart w:id="434" w:name="_Toc28370"/>
      <w:bookmarkStart w:id="435" w:name="_Toc3595"/>
      <w:bookmarkStart w:id="436" w:name="_Toc13961"/>
      <w:bookmarkStart w:id="437" w:name="_Toc10256"/>
      <w:bookmarkStart w:id="438" w:name="_Toc31561"/>
      <w:bookmarkStart w:id="439" w:name="_Toc31441"/>
      <w:bookmarkStart w:id="440" w:name="_Toc30868"/>
      <w:bookmarkStart w:id="441" w:name="_Toc26079"/>
      <w:bookmarkStart w:id="442" w:name="_Toc6352"/>
      <w:bookmarkStart w:id="443" w:name="_Toc11452"/>
      <w:bookmarkStart w:id="444" w:name="_Toc2358"/>
      <w:bookmarkStart w:id="445" w:name="_Toc14229"/>
      <w:bookmarkStart w:id="446" w:name="_Toc32133"/>
      <w:r>
        <w:rPr>
          <w:rFonts w:hint="eastAsia" w:ascii="仿宋" w:hAnsi="仿宋" w:eastAsia="仿宋" w:cs="仿宋"/>
          <w:b/>
          <w:color w:val="auto"/>
          <w:sz w:val="21"/>
          <w:szCs w:val="21"/>
          <w:highlight w:val="none"/>
          <w:lang w:eastAsia="zh-CN"/>
        </w:rPr>
        <w:t>1.5 费用承担</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p>
    <w:p w14:paraId="55ABB751">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投标人准备和参加投标活动发生的费用自理。</w:t>
      </w:r>
    </w:p>
    <w:p w14:paraId="58E43631">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2" w:firstLineChars="200"/>
        <w:jc w:val="left"/>
        <w:textAlignment w:val="auto"/>
        <w:outlineLvl w:val="2"/>
        <w:rPr>
          <w:rFonts w:hint="eastAsia" w:ascii="仿宋" w:hAnsi="仿宋" w:eastAsia="仿宋" w:cs="仿宋"/>
          <w:b/>
          <w:color w:val="auto"/>
          <w:sz w:val="21"/>
          <w:szCs w:val="21"/>
          <w:highlight w:val="none"/>
          <w:lang w:eastAsia="zh-CN"/>
        </w:rPr>
      </w:pPr>
      <w:bookmarkStart w:id="447" w:name="_Toc5813"/>
      <w:bookmarkStart w:id="448" w:name="_Toc857"/>
      <w:bookmarkStart w:id="449" w:name="_Toc30343"/>
      <w:bookmarkStart w:id="450" w:name="_Toc8583"/>
      <w:bookmarkStart w:id="451" w:name="_Toc9507"/>
      <w:bookmarkStart w:id="452" w:name="_Toc29575"/>
      <w:bookmarkStart w:id="453" w:name="_Toc27057"/>
      <w:bookmarkStart w:id="454" w:name="_Toc1944"/>
      <w:bookmarkStart w:id="455" w:name="_Toc20627"/>
      <w:bookmarkStart w:id="456" w:name="_Toc8483"/>
      <w:bookmarkStart w:id="457" w:name="_Toc25767"/>
      <w:bookmarkStart w:id="458" w:name="_Toc8550"/>
      <w:bookmarkStart w:id="459" w:name="_Toc24178"/>
      <w:bookmarkStart w:id="460" w:name="_Toc25967"/>
      <w:bookmarkStart w:id="461" w:name="_Toc31151"/>
      <w:bookmarkStart w:id="462" w:name="_Toc18097"/>
      <w:bookmarkStart w:id="463" w:name="_Toc11828"/>
      <w:bookmarkStart w:id="464" w:name="_Toc23055"/>
      <w:bookmarkStart w:id="465" w:name="_Toc21312"/>
      <w:bookmarkStart w:id="466" w:name="_Toc928"/>
      <w:bookmarkStart w:id="467" w:name="_Toc7556"/>
      <w:bookmarkStart w:id="468" w:name="_Toc7272"/>
      <w:bookmarkStart w:id="469" w:name="_Toc2313"/>
      <w:bookmarkStart w:id="470" w:name="_Toc7515"/>
      <w:bookmarkStart w:id="471" w:name="_Toc4182"/>
      <w:r>
        <w:rPr>
          <w:rFonts w:hint="eastAsia" w:ascii="仿宋" w:hAnsi="仿宋" w:eastAsia="仿宋" w:cs="仿宋"/>
          <w:b/>
          <w:color w:val="auto"/>
          <w:sz w:val="21"/>
          <w:szCs w:val="21"/>
          <w:highlight w:val="none"/>
          <w:lang w:eastAsia="zh-CN"/>
        </w:rPr>
        <w:t>1.6 保密</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p w14:paraId="473C0846">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参与招标投标活动的各方应对招标文件和投标文件中的商业和技术等秘密保密，否则应承担相应的法律责任。</w:t>
      </w:r>
    </w:p>
    <w:p w14:paraId="5C3B3756">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2" w:firstLineChars="200"/>
        <w:jc w:val="left"/>
        <w:textAlignment w:val="auto"/>
        <w:outlineLvl w:val="2"/>
        <w:rPr>
          <w:rFonts w:hint="eastAsia" w:ascii="仿宋" w:hAnsi="仿宋" w:eastAsia="仿宋" w:cs="仿宋"/>
          <w:b/>
          <w:color w:val="auto"/>
          <w:sz w:val="21"/>
          <w:szCs w:val="21"/>
          <w:highlight w:val="none"/>
          <w:lang w:eastAsia="zh-CN"/>
        </w:rPr>
      </w:pPr>
      <w:bookmarkStart w:id="472" w:name="_Toc32490"/>
      <w:bookmarkStart w:id="473" w:name="_Toc17451"/>
      <w:bookmarkStart w:id="474" w:name="_Toc811"/>
      <w:bookmarkStart w:id="475" w:name="_Toc23177"/>
      <w:bookmarkStart w:id="476" w:name="_Toc6466"/>
      <w:bookmarkStart w:id="477" w:name="_Toc9524"/>
      <w:bookmarkStart w:id="478" w:name="_Toc24327"/>
      <w:bookmarkStart w:id="479" w:name="_Toc8055"/>
      <w:bookmarkStart w:id="480" w:name="_Toc9442"/>
      <w:bookmarkStart w:id="481" w:name="_Toc27110"/>
      <w:bookmarkStart w:id="482" w:name="_Toc21486"/>
      <w:bookmarkStart w:id="483" w:name="_Toc20998"/>
      <w:bookmarkStart w:id="484" w:name="_Toc22591"/>
      <w:bookmarkStart w:id="485" w:name="_Toc256"/>
      <w:bookmarkStart w:id="486" w:name="_Toc10480"/>
      <w:bookmarkStart w:id="487" w:name="_Toc5854"/>
      <w:bookmarkStart w:id="488" w:name="_Toc3687"/>
      <w:bookmarkStart w:id="489" w:name="_Toc3928"/>
      <w:bookmarkStart w:id="490" w:name="_Toc16975"/>
      <w:bookmarkStart w:id="491" w:name="_Toc28184"/>
      <w:bookmarkStart w:id="492" w:name="_Toc29830"/>
      <w:bookmarkStart w:id="493" w:name="_Toc8871"/>
      <w:bookmarkStart w:id="494" w:name="_Toc5725"/>
      <w:bookmarkStart w:id="495" w:name="_Toc2621"/>
      <w:bookmarkStart w:id="496" w:name="_Toc31613"/>
      <w:bookmarkStart w:id="497" w:name="_Toc17610"/>
      <w:r>
        <w:rPr>
          <w:rFonts w:hint="eastAsia" w:ascii="仿宋" w:hAnsi="仿宋" w:eastAsia="仿宋" w:cs="仿宋"/>
          <w:b/>
          <w:color w:val="auto"/>
          <w:sz w:val="21"/>
          <w:szCs w:val="21"/>
          <w:highlight w:val="none"/>
          <w:lang w:eastAsia="zh-CN"/>
        </w:rPr>
        <w:t>1.7 语言文字</w:t>
      </w:r>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p>
    <w:p w14:paraId="1EDDD82F">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招标投标文件使用的语言文字为中文。专用术语使用外文的，应附有中文注释。</w:t>
      </w:r>
    </w:p>
    <w:p w14:paraId="0D1ECF24">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2" w:firstLineChars="200"/>
        <w:jc w:val="left"/>
        <w:textAlignment w:val="auto"/>
        <w:outlineLvl w:val="2"/>
        <w:rPr>
          <w:rFonts w:hint="eastAsia" w:ascii="仿宋" w:hAnsi="仿宋" w:eastAsia="仿宋" w:cs="仿宋"/>
          <w:b/>
          <w:color w:val="auto"/>
          <w:sz w:val="21"/>
          <w:szCs w:val="21"/>
          <w:highlight w:val="none"/>
          <w:lang w:eastAsia="zh-CN"/>
        </w:rPr>
      </w:pPr>
      <w:bookmarkStart w:id="498" w:name="_Toc13338"/>
      <w:bookmarkStart w:id="499" w:name="_Toc25862"/>
      <w:bookmarkStart w:id="500" w:name="_Toc23529"/>
      <w:bookmarkStart w:id="501" w:name="_Toc31122"/>
      <w:bookmarkStart w:id="502" w:name="_Toc12926"/>
      <w:bookmarkStart w:id="503" w:name="_Toc21141"/>
      <w:bookmarkStart w:id="504" w:name="_Toc25549"/>
      <w:bookmarkStart w:id="505" w:name="_Toc28991"/>
      <w:bookmarkStart w:id="506" w:name="_Toc22395"/>
      <w:bookmarkStart w:id="507" w:name="_Toc11399"/>
      <w:bookmarkStart w:id="508" w:name="_Toc14680"/>
      <w:bookmarkStart w:id="509" w:name="_Toc20190"/>
      <w:bookmarkStart w:id="510" w:name="_Toc3511"/>
      <w:bookmarkStart w:id="511" w:name="_Toc22415"/>
      <w:bookmarkStart w:id="512" w:name="_Toc31199"/>
      <w:bookmarkStart w:id="513" w:name="_Toc10576"/>
      <w:bookmarkStart w:id="514" w:name="_Toc16553"/>
      <w:bookmarkStart w:id="515" w:name="_Toc1223"/>
      <w:bookmarkStart w:id="516" w:name="_Toc17561"/>
      <w:bookmarkStart w:id="517" w:name="_Toc31209"/>
      <w:bookmarkStart w:id="518" w:name="_Toc29552"/>
      <w:bookmarkStart w:id="519" w:name="_Toc15102"/>
      <w:bookmarkStart w:id="520" w:name="_Toc20253"/>
      <w:bookmarkStart w:id="521" w:name="_Toc27240"/>
      <w:bookmarkStart w:id="522" w:name="_Toc20725"/>
      <w:bookmarkStart w:id="523" w:name="_Toc27705"/>
      <w:r>
        <w:rPr>
          <w:rFonts w:hint="eastAsia" w:ascii="仿宋" w:hAnsi="仿宋" w:eastAsia="仿宋" w:cs="仿宋"/>
          <w:b/>
          <w:color w:val="auto"/>
          <w:sz w:val="21"/>
          <w:szCs w:val="21"/>
          <w:highlight w:val="none"/>
          <w:lang w:eastAsia="zh-CN"/>
        </w:rPr>
        <w:t>1.8计量单位</w:t>
      </w:r>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p>
    <w:p w14:paraId="40049914">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所有计量均采用中华人民共和国法定计量单位。</w:t>
      </w:r>
    </w:p>
    <w:p w14:paraId="744E1FE0">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2" w:firstLineChars="200"/>
        <w:jc w:val="left"/>
        <w:textAlignment w:val="auto"/>
        <w:outlineLvl w:val="2"/>
        <w:rPr>
          <w:rFonts w:hint="eastAsia" w:ascii="仿宋" w:hAnsi="仿宋" w:eastAsia="仿宋" w:cs="仿宋"/>
          <w:b/>
          <w:color w:val="auto"/>
          <w:sz w:val="21"/>
          <w:szCs w:val="21"/>
          <w:highlight w:val="none"/>
          <w:lang w:eastAsia="zh-CN"/>
        </w:rPr>
      </w:pPr>
      <w:bookmarkStart w:id="524" w:name="_Toc21697"/>
      <w:bookmarkStart w:id="525" w:name="_Toc5985"/>
      <w:bookmarkStart w:id="526" w:name="_Toc15315"/>
      <w:bookmarkStart w:id="527" w:name="_Toc1905"/>
      <w:bookmarkStart w:id="528" w:name="_Toc24638"/>
      <w:bookmarkStart w:id="529" w:name="_Toc18664"/>
      <w:bookmarkStart w:id="530" w:name="_Toc28456"/>
      <w:bookmarkStart w:id="531" w:name="_Toc22185"/>
      <w:bookmarkStart w:id="532" w:name="_Toc22241"/>
      <w:bookmarkStart w:id="533" w:name="_Toc8105"/>
      <w:bookmarkStart w:id="534" w:name="_Toc6908"/>
      <w:bookmarkStart w:id="535" w:name="_Toc27195"/>
      <w:bookmarkStart w:id="536" w:name="_Toc11784"/>
      <w:bookmarkStart w:id="537" w:name="_Toc22543"/>
      <w:bookmarkStart w:id="538" w:name="_Toc20944"/>
      <w:bookmarkStart w:id="539" w:name="_Toc2646"/>
      <w:bookmarkStart w:id="540" w:name="_Toc29177"/>
      <w:bookmarkStart w:id="541" w:name="_Toc23249"/>
      <w:bookmarkStart w:id="542" w:name="_Toc16241"/>
      <w:bookmarkStart w:id="543" w:name="_Toc1620"/>
      <w:bookmarkStart w:id="544" w:name="_Toc15215"/>
      <w:bookmarkStart w:id="545" w:name="_Toc6804"/>
      <w:bookmarkStart w:id="546" w:name="_Toc6122"/>
      <w:bookmarkStart w:id="547" w:name="_Toc14620"/>
      <w:bookmarkStart w:id="548" w:name="_Toc29970"/>
      <w:bookmarkStart w:id="549" w:name="_Toc4273"/>
      <w:r>
        <w:rPr>
          <w:rFonts w:hint="eastAsia" w:ascii="仿宋" w:hAnsi="仿宋" w:eastAsia="仿宋" w:cs="仿宋"/>
          <w:b/>
          <w:color w:val="auto"/>
          <w:sz w:val="21"/>
          <w:szCs w:val="21"/>
          <w:highlight w:val="none"/>
          <w:lang w:eastAsia="zh-CN"/>
        </w:rPr>
        <w:t>1.9分包</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p>
    <w:p w14:paraId="7D65A047">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1.9.1投标人拟在中标后将中标项目的非主体设备进行分包的，应符合投标人须知前附表规定的分包内容、分包金额和资质要求等限制性条件，除投标人须知前附表规定的非主体设备外，其他工作不得分包。</w:t>
      </w:r>
    </w:p>
    <w:p w14:paraId="1D2FBEE7">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1.9.2中标人不得向他人转让中标项目，接受分包的人不得再次分包。中标人应当就分包 项目向采购人负责，接受分包的人就分包项目承担连带责任。</w:t>
      </w:r>
    </w:p>
    <w:p w14:paraId="18C5D118">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2" w:firstLineChars="200"/>
        <w:jc w:val="left"/>
        <w:textAlignment w:val="auto"/>
        <w:outlineLvl w:val="2"/>
        <w:rPr>
          <w:rFonts w:hint="eastAsia" w:ascii="仿宋" w:hAnsi="仿宋" w:eastAsia="仿宋" w:cs="仿宋"/>
          <w:b/>
          <w:color w:val="auto"/>
          <w:sz w:val="21"/>
          <w:szCs w:val="21"/>
          <w:highlight w:val="none"/>
          <w:lang w:eastAsia="zh-CN"/>
        </w:rPr>
      </w:pPr>
      <w:bookmarkStart w:id="550" w:name="_Toc15212"/>
      <w:bookmarkStart w:id="551" w:name="_Toc31669"/>
      <w:bookmarkStart w:id="552" w:name="_Toc2015"/>
      <w:bookmarkStart w:id="553" w:name="_Toc25782"/>
      <w:bookmarkStart w:id="554" w:name="_Toc9064"/>
      <w:bookmarkStart w:id="555" w:name="_Toc49"/>
      <w:bookmarkStart w:id="556" w:name="_Toc22191"/>
      <w:bookmarkStart w:id="557" w:name="_Toc28180"/>
      <w:bookmarkStart w:id="558" w:name="_Toc21029"/>
      <w:bookmarkStart w:id="559" w:name="_Toc28908"/>
      <w:bookmarkStart w:id="560" w:name="_Toc9244"/>
      <w:bookmarkStart w:id="561" w:name="_Toc23429"/>
      <w:bookmarkStart w:id="562" w:name="_Toc19299"/>
      <w:bookmarkStart w:id="563" w:name="_Toc4895"/>
      <w:bookmarkStart w:id="564" w:name="_Toc23186"/>
      <w:bookmarkStart w:id="565" w:name="_Toc10272"/>
      <w:bookmarkStart w:id="566" w:name="_Toc24015"/>
      <w:bookmarkStart w:id="567" w:name="_Toc19077"/>
      <w:bookmarkStart w:id="568" w:name="_Toc15890"/>
      <w:bookmarkStart w:id="569" w:name="_Toc22358"/>
      <w:bookmarkStart w:id="570" w:name="_Toc28861"/>
      <w:bookmarkStart w:id="571" w:name="_Toc718"/>
      <w:bookmarkStart w:id="572" w:name="_Toc27148"/>
      <w:bookmarkStart w:id="573" w:name="_Toc9154"/>
      <w:bookmarkStart w:id="574" w:name="_Toc5137"/>
      <w:bookmarkStart w:id="575" w:name="_Toc25705"/>
      <w:r>
        <w:rPr>
          <w:rFonts w:hint="eastAsia" w:ascii="仿宋" w:hAnsi="仿宋" w:eastAsia="仿宋" w:cs="仿宋"/>
          <w:b/>
          <w:color w:val="auto"/>
          <w:sz w:val="21"/>
          <w:szCs w:val="21"/>
          <w:highlight w:val="none"/>
          <w:lang w:eastAsia="zh-CN"/>
        </w:rPr>
        <w:t>1.10 质疑和投诉</w:t>
      </w:r>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p w14:paraId="1F3BB09C">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kern w:val="2"/>
          <w:sz w:val="21"/>
          <w:szCs w:val="21"/>
          <w:highlight w:val="none"/>
          <w:lang w:eastAsia="zh-CN"/>
        </w:rPr>
      </w:pPr>
      <w:bookmarkStart w:id="576" w:name="_Toc88646734"/>
      <w:bookmarkStart w:id="577" w:name="_Toc88638760"/>
      <w:r>
        <w:rPr>
          <w:rFonts w:hint="eastAsia" w:ascii="仿宋" w:hAnsi="仿宋" w:eastAsia="仿宋" w:cs="仿宋"/>
          <w:color w:val="auto"/>
          <w:kern w:val="2"/>
          <w:sz w:val="21"/>
          <w:szCs w:val="21"/>
          <w:highlight w:val="none"/>
          <w:lang w:eastAsia="zh-CN"/>
        </w:rPr>
        <w:t>1.10.1投标人认为采购文件、采购过程、中标或者成交结果使自己的合法权益受到损害的，在知道或者应知其权益受到损害之日起7个工作日内，可以向采购人、采购代理机构提出质疑。</w:t>
      </w:r>
    </w:p>
    <w:p w14:paraId="01BA64DB">
      <w:pPr>
        <w:keepNext w:val="0"/>
        <w:keepLines w:val="0"/>
        <w:pageBreakBefore w:val="0"/>
        <w:widowControl w:val="0"/>
        <w:kinsoku/>
        <w:wordWrap w:val="0"/>
        <w:overflowPunct/>
        <w:topLinePunct/>
        <w:autoSpaceDE/>
        <w:autoSpaceDN/>
        <w:bidi w:val="0"/>
        <w:adjustRightInd/>
        <w:snapToGrid/>
        <w:spacing w:line="360" w:lineRule="auto"/>
        <w:ind w:left="0" w:leftChars="0" w:right="0" w:firstLine="422" w:firstLineChars="200"/>
        <w:jc w:val="left"/>
        <w:textAlignment w:val="auto"/>
        <w:rPr>
          <w:rFonts w:hint="eastAsia" w:ascii="仿宋" w:hAnsi="仿宋" w:eastAsia="仿宋" w:cs="仿宋"/>
          <w:b/>
          <w:bCs/>
          <w:color w:val="auto"/>
          <w:kern w:val="2"/>
          <w:sz w:val="21"/>
          <w:szCs w:val="21"/>
          <w:highlight w:val="none"/>
          <w:lang w:eastAsia="zh-CN"/>
        </w:rPr>
      </w:pPr>
      <w:r>
        <w:rPr>
          <w:rFonts w:hint="eastAsia" w:ascii="仿宋" w:hAnsi="仿宋" w:eastAsia="仿宋" w:cs="仿宋"/>
          <w:b/>
          <w:bCs/>
          <w:color w:val="auto"/>
          <w:kern w:val="2"/>
          <w:sz w:val="21"/>
          <w:szCs w:val="21"/>
          <w:highlight w:val="none"/>
          <w:lang w:eastAsia="zh-CN"/>
        </w:rPr>
        <w:t>“知道或者应知其权益受到损害之日”是指：</w:t>
      </w:r>
      <w:r>
        <w:rPr>
          <w:rFonts w:hint="eastAsia" w:ascii="仿宋" w:hAnsi="仿宋" w:eastAsia="仿宋" w:cs="仿宋"/>
          <w:b/>
          <w:bCs/>
          <w:color w:val="auto"/>
          <w:kern w:val="2"/>
          <w:sz w:val="21"/>
          <w:szCs w:val="21"/>
          <w:highlight w:val="none"/>
          <w:lang w:eastAsia="zh-CN"/>
        </w:rPr>
        <w:tab/>
      </w:r>
    </w:p>
    <w:p w14:paraId="32EB467B">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（一）对可以质疑的采购文件提出质疑的，为收到采购文件之日或者采购文件公告期限届满之日；</w:t>
      </w:r>
    </w:p>
    <w:p w14:paraId="32151379">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（二）对采购过程提出质疑的，为各采购程序环节结束之日；</w:t>
      </w:r>
    </w:p>
    <w:p w14:paraId="766D1A66">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（三）对中标或者成交结果提出质疑的，为中标或者成交结果公告期限届满之日。</w:t>
      </w:r>
    </w:p>
    <w:p w14:paraId="45D3BC34">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投标人针对同一采购程序环节的质疑应当在法定质疑期内一次性提出，提出质疑时应当有明确的请求和必要的证明材料。</w:t>
      </w:r>
    </w:p>
    <w:p w14:paraId="005CE6A4">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kern w:val="2"/>
          <w:sz w:val="21"/>
          <w:szCs w:val="21"/>
          <w:highlight w:val="none"/>
          <w:lang w:eastAsia="zh-CN"/>
        </w:rPr>
        <w:t>投标人对采购人、采购代理机构的答复不满意或者采购人、采购代理机构未在规定的时间内作出答复的，可以在答复期满后15个工作日内向行政监督部门提出投诉，但</w:t>
      </w:r>
      <w:r>
        <w:rPr>
          <w:rFonts w:hint="eastAsia" w:ascii="仿宋" w:hAnsi="仿宋" w:eastAsia="仿宋" w:cs="仿宋"/>
          <w:color w:val="auto"/>
          <w:sz w:val="21"/>
          <w:szCs w:val="21"/>
          <w:highlight w:val="none"/>
          <w:lang w:eastAsia="zh-CN"/>
        </w:rPr>
        <w:t>投诉人必须首先经过质疑程序。</w:t>
      </w:r>
    </w:p>
    <w:p w14:paraId="08E7A5D7">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kern w:val="2"/>
          <w:sz w:val="21"/>
          <w:szCs w:val="21"/>
          <w:highlight w:val="none"/>
          <w:lang w:val="en-US" w:eastAsia="zh-CN"/>
        </w:rPr>
      </w:pPr>
      <w:bookmarkStart w:id="578" w:name="_Toc144646680"/>
      <w:bookmarkStart w:id="579" w:name="_Toc145067578"/>
      <w:r>
        <w:rPr>
          <w:rFonts w:hint="eastAsia" w:ascii="仿宋" w:hAnsi="仿宋" w:eastAsia="仿宋" w:cs="仿宋"/>
          <w:color w:val="auto"/>
          <w:kern w:val="2"/>
          <w:sz w:val="21"/>
          <w:szCs w:val="21"/>
          <w:highlight w:val="none"/>
          <w:lang w:eastAsia="zh-CN"/>
        </w:rPr>
        <w:t>1.10.2</w:t>
      </w:r>
      <w:bookmarkEnd w:id="578"/>
      <w:bookmarkEnd w:id="579"/>
      <w:bookmarkStart w:id="580" w:name="_Toc145067584"/>
      <w:bookmarkStart w:id="581" w:name="_Toc144646686"/>
      <w:r>
        <w:rPr>
          <w:rFonts w:hint="eastAsia" w:ascii="仿宋" w:hAnsi="仿宋" w:eastAsia="仿宋" w:cs="仿宋"/>
          <w:color w:val="auto"/>
          <w:kern w:val="2"/>
          <w:sz w:val="21"/>
          <w:szCs w:val="21"/>
          <w:highlight w:val="none"/>
          <w:lang w:val="en-US" w:eastAsia="zh-CN"/>
        </w:rPr>
        <w:t>本项目实行全流程电子化交易和在线监督，投标人询问、质疑可通过线上方式进行，也可采用线下纸质书面方式进行。</w:t>
      </w:r>
    </w:p>
    <w:p w14:paraId="7202990C">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lang w:val="en-US" w:eastAsia="zh-CN"/>
        </w:rPr>
        <w:t>1.10.3根据系统功能和要求，直接参与具体项目交易的投标人可线上询问、质疑，使用CA数字证书通过“政采云”平台（https://www.zcygov.cn/）“投标人”模块进行提交。</w:t>
      </w:r>
    </w:p>
    <w:p w14:paraId="7265FA53">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lang w:val="en-US" w:eastAsia="zh-CN"/>
        </w:rPr>
        <w:t>1.10.4采购人及采购代理机构对线上询问、质疑的，采用线上方式进行受理答复，对采用线下询问、质疑的，采用线下方式进行受理答复。</w:t>
      </w:r>
    </w:p>
    <w:p w14:paraId="06F6B72B">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val="en-US" w:eastAsia="zh-CN"/>
        </w:rPr>
        <w:t>1.10.5就同一内容同时进行线上询问、质疑和提交纸质询问、质疑的，以线上答复为主，通过在线答复后不再进行书面答复。</w:t>
      </w:r>
    </w:p>
    <w:bookmarkEnd w:id="580"/>
    <w:bookmarkEnd w:id="581"/>
    <w:p w14:paraId="58E8AE6D">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1.10.</w:t>
      </w:r>
      <w:r>
        <w:rPr>
          <w:rFonts w:hint="eastAsia" w:ascii="仿宋" w:hAnsi="仿宋" w:eastAsia="仿宋" w:cs="仿宋"/>
          <w:color w:val="auto"/>
          <w:kern w:val="2"/>
          <w:sz w:val="21"/>
          <w:szCs w:val="21"/>
          <w:highlight w:val="none"/>
          <w:lang w:val="en-US" w:eastAsia="zh-CN"/>
        </w:rPr>
        <w:t>6</w:t>
      </w:r>
      <w:r>
        <w:rPr>
          <w:rFonts w:hint="eastAsia" w:ascii="仿宋" w:hAnsi="仿宋" w:eastAsia="仿宋" w:cs="仿宋"/>
          <w:color w:val="auto"/>
          <w:kern w:val="2"/>
          <w:sz w:val="21"/>
          <w:szCs w:val="21"/>
          <w:highlight w:val="none"/>
          <w:lang w:eastAsia="zh-CN"/>
        </w:rPr>
        <w:t>质疑内容不得含有虚假、恶意成分。当事人对自己提出的主张，有责任提供证据，提出质疑时应同时提交相关证据材料和注明事实的确切来源。</w:t>
      </w:r>
    </w:p>
    <w:p w14:paraId="058A1D0D">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1.10.</w:t>
      </w:r>
      <w:r>
        <w:rPr>
          <w:rFonts w:hint="eastAsia" w:ascii="仿宋" w:hAnsi="仿宋" w:eastAsia="仿宋" w:cs="仿宋"/>
          <w:color w:val="auto"/>
          <w:kern w:val="2"/>
          <w:sz w:val="21"/>
          <w:szCs w:val="21"/>
          <w:highlight w:val="none"/>
          <w:lang w:val="en-US" w:eastAsia="zh-CN"/>
        </w:rPr>
        <w:t>7</w:t>
      </w:r>
      <w:r>
        <w:rPr>
          <w:rFonts w:hint="eastAsia" w:ascii="仿宋" w:hAnsi="仿宋" w:eastAsia="仿宋" w:cs="仿宋"/>
          <w:color w:val="auto"/>
          <w:kern w:val="2"/>
          <w:sz w:val="21"/>
          <w:szCs w:val="21"/>
          <w:highlight w:val="none"/>
          <w:lang w:eastAsia="zh-CN"/>
        </w:rPr>
        <w:t>投标人提供的质疑函应符合中华人民共和国财政部第94号令《政府采购质疑和投诉办法》的规定。投标人提供的质疑函（质疑函应当使用中文。相关当事人提供外文书证或者外国语视听资料的，应当附有中文译本，由翻译机构盖章或者翻译人员签名）应当包括以下主要内容：</w:t>
      </w:r>
    </w:p>
    <w:p w14:paraId="7BCF92A3">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（1）投标人的姓名或者名称、地址、邮编、联系人及联系电话；</w:t>
      </w:r>
    </w:p>
    <w:p w14:paraId="1133A107">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（2）质疑项目的名称、编号；</w:t>
      </w:r>
    </w:p>
    <w:p w14:paraId="0A5F2AB1">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（3）具体、明确的质疑事项和与质疑事项相关的请求；</w:t>
      </w:r>
    </w:p>
    <w:p w14:paraId="1B40EFA4">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（4）事实依据；</w:t>
      </w:r>
    </w:p>
    <w:p w14:paraId="0B99EEF8">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（5）必要的法律依据；</w:t>
      </w:r>
    </w:p>
    <w:p w14:paraId="0697021E">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kern w:val="2"/>
          <w:sz w:val="21"/>
          <w:szCs w:val="21"/>
          <w:highlight w:val="none"/>
          <w:lang w:eastAsia="zh-CN"/>
        </w:rPr>
        <w:t>（6）提出质疑的日期。</w:t>
      </w:r>
    </w:p>
    <w:p w14:paraId="6507AE7C">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1.10.7投标人为自然人的，应当由本人签字；投标人为法人或者其他组织的，应当由法定代表人、主要负责人，或者其授权代表签字或者盖章，并加盖公章。</w:t>
      </w:r>
    </w:p>
    <w:p w14:paraId="56B36178">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lang w:eastAsia="zh-CN"/>
        </w:rPr>
        <w:t>质疑书实行实名制，并提交由法定代表人或其授权代理人签字并加盖单位章的原件。</w:t>
      </w:r>
    </w:p>
    <w:p w14:paraId="17B631C2">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lang w:eastAsia="zh-CN"/>
        </w:rPr>
        <w:t>接收质疑函的方式：</w:t>
      </w:r>
      <w:r>
        <w:rPr>
          <w:rFonts w:hint="eastAsia" w:ascii="仿宋" w:hAnsi="仿宋" w:eastAsia="仿宋" w:cs="仿宋"/>
          <w:b w:val="0"/>
          <w:bCs w:val="0"/>
          <w:color w:val="auto"/>
          <w:sz w:val="21"/>
          <w:szCs w:val="21"/>
          <w:highlight w:val="none"/>
          <w:u w:val="none"/>
          <w:lang w:eastAsia="zh-CN"/>
        </w:rPr>
        <w:t>书面方式</w:t>
      </w:r>
      <w:r>
        <w:rPr>
          <w:rFonts w:hint="eastAsia" w:ascii="仿宋" w:hAnsi="仿宋" w:eastAsia="仿宋" w:cs="仿宋"/>
          <w:b w:val="0"/>
          <w:bCs w:val="0"/>
          <w:color w:val="auto"/>
          <w:sz w:val="21"/>
          <w:szCs w:val="21"/>
          <w:highlight w:val="none"/>
          <w:lang w:eastAsia="zh-CN"/>
        </w:rPr>
        <w:t>；</w:t>
      </w:r>
    </w:p>
    <w:p w14:paraId="1AB983B1">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lang w:eastAsia="zh-CN"/>
        </w:rPr>
        <w:t>接收质疑函的部门：云南咏名工程管理咨询有限公司；</w:t>
      </w:r>
    </w:p>
    <w:p w14:paraId="5CEE7BEC">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eastAsia="zh-CN"/>
        </w:rPr>
        <w:t>联系人：马子洲、蒋学能、施红波、郭玉杰；</w:t>
      </w:r>
    </w:p>
    <w:p w14:paraId="13C6023D">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lang w:val="en-US" w:eastAsia="zh-CN"/>
        </w:rPr>
        <w:t>电话：15887515874、18787864354、0878-3033838</w:t>
      </w:r>
      <w:r>
        <w:rPr>
          <w:rFonts w:hint="eastAsia" w:ascii="仿宋" w:hAnsi="仿宋" w:eastAsia="仿宋" w:cs="仿宋"/>
          <w:b w:val="0"/>
          <w:bCs w:val="0"/>
          <w:color w:val="auto"/>
          <w:sz w:val="21"/>
          <w:szCs w:val="21"/>
          <w:highlight w:val="none"/>
          <w:lang w:eastAsia="zh-CN"/>
        </w:rPr>
        <w:t>；</w:t>
      </w:r>
    </w:p>
    <w:p w14:paraId="4F3BB007">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lang w:eastAsia="zh-CN"/>
        </w:rPr>
        <w:t>通讯地址：</w:t>
      </w:r>
      <w:r>
        <w:rPr>
          <w:rFonts w:hint="eastAsia" w:ascii="仿宋" w:hAnsi="仿宋" w:eastAsia="仿宋" w:cs="仿宋"/>
          <w:b w:val="0"/>
          <w:bCs w:val="0"/>
          <w:color w:val="auto"/>
          <w:sz w:val="21"/>
          <w:szCs w:val="21"/>
          <w:highlight w:val="none"/>
          <w:lang w:val="en-US" w:eastAsia="zh-CN"/>
        </w:rPr>
        <w:t>楚雄市鹿城镇新安路水泥厂小区40号三楼</w:t>
      </w:r>
      <w:r>
        <w:rPr>
          <w:rFonts w:hint="eastAsia" w:ascii="仿宋" w:hAnsi="仿宋" w:eastAsia="仿宋" w:cs="仿宋"/>
          <w:b w:val="0"/>
          <w:bCs w:val="0"/>
          <w:color w:val="auto"/>
          <w:sz w:val="21"/>
          <w:szCs w:val="21"/>
          <w:highlight w:val="none"/>
          <w:lang w:eastAsia="zh-CN"/>
        </w:rPr>
        <w:t>。</w:t>
      </w:r>
    </w:p>
    <w:p w14:paraId="287BEDD5">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1.10.8采购人、采购代理机构将在收到投标人的书面质疑后七个工作日内作出答复，并以书面形式通知质疑投标人和其他有关投标人，质疑答复的内容不涉及商业秘密。</w:t>
      </w:r>
    </w:p>
    <w:p w14:paraId="5EBD5CF5">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1.10.9参与政府采购活动的投标人对评审过程、中标或者成交结果提出质疑的，采购人或采购代理机构可以组织原评审委员会协助答复质疑事项，并依据评审委员会出具的意见进行答复。质疑答复导致中标结果改变的，采购人或采购代理机构应当将相关情况书面报财政部门备案。</w:t>
      </w:r>
    </w:p>
    <w:p w14:paraId="3CC02758">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jc w:val="left"/>
        <w:textAlignment w:val="auto"/>
        <w:rPr>
          <w:rFonts w:hint="eastAsia" w:ascii="仿宋" w:hAnsi="仿宋" w:eastAsia="仿宋" w:cs="仿宋"/>
          <w:color w:val="auto"/>
          <w:sz w:val="21"/>
          <w:szCs w:val="21"/>
          <w:highlight w:val="none"/>
          <w:lang w:eastAsia="zh-CN"/>
        </w:rPr>
      </w:pPr>
      <w:bookmarkStart w:id="582" w:name="_Toc12223"/>
      <w:bookmarkStart w:id="583" w:name="_Toc27601"/>
      <w:bookmarkStart w:id="584" w:name="_Toc31404"/>
      <w:bookmarkStart w:id="585" w:name="_Toc29045"/>
      <w:r>
        <w:rPr>
          <w:rFonts w:hint="eastAsia" w:ascii="仿宋" w:hAnsi="仿宋" w:eastAsia="仿宋" w:cs="仿宋"/>
          <w:color w:val="auto"/>
          <w:sz w:val="21"/>
          <w:szCs w:val="21"/>
          <w:highlight w:val="none"/>
          <w:lang w:eastAsia="zh-CN"/>
        </w:rPr>
        <w:t>2.招标文件</w:t>
      </w:r>
      <w:bookmarkEnd w:id="576"/>
      <w:bookmarkEnd w:id="577"/>
      <w:bookmarkEnd w:id="582"/>
      <w:bookmarkEnd w:id="583"/>
      <w:bookmarkEnd w:id="584"/>
      <w:bookmarkEnd w:id="585"/>
    </w:p>
    <w:p w14:paraId="55B610D4">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2" w:firstLineChars="200"/>
        <w:jc w:val="left"/>
        <w:textAlignment w:val="auto"/>
        <w:outlineLvl w:val="2"/>
        <w:rPr>
          <w:rFonts w:hint="eastAsia" w:ascii="仿宋" w:hAnsi="仿宋" w:eastAsia="仿宋" w:cs="仿宋"/>
          <w:b/>
          <w:color w:val="auto"/>
          <w:sz w:val="21"/>
          <w:szCs w:val="21"/>
          <w:highlight w:val="none"/>
          <w:lang w:eastAsia="zh-CN"/>
        </w:rPr>
      </w:pPr>
      <w:bookmarkStart w:id="586" w:name="_Toc10780"/>
      <w:bookmarkStart w:id="587" w:name="_Toc26425"/>
      <w:bookmarkStart w:id="588" w:name="_Toc21745"/>
      <w:bookmarkStart w:id="589" w:name="_Toc17407"/>
      <w:bookmarkStart w:id="590" w:name="_Toc28238"/>
      <w:bookmarkStart w:id="591" w:name="_Toc11162"/>
      <w:bookmarkStart w:id="592" w:name="_Toc23648"/>
      <w:bookmarkStart w:id="593" w:name="_Toc658"/>
      <w:bookmarkStart w:id="594" w:name="_Toc5712"/>
      <w:bookmarkStart w:id="595" w:name="_Toc15978"/>
      <w:bookmarkStart w:id="596" w:name="_Toc21911"/>
      <w:bookmarkStart w:id="597" w:name="_Toc31399"/>
      <w:bookmarkStart w:id="598" w:name="_Toc11244"/>
      <w:bookmarkStart w:id="599" w:name="_Toc21640"/>
      <w:bookmarkStart w:id="600" w:name="_Toc16619"/>
      <w:bookmarkStart w:id="601" w:name="_Toc28399"/>
      <w:bookmarkStart w:id="602" w:name="_Toc9382"/>
      <w:bookmarkStart w:id="603" w:name="_Toc27618"/>
      <w:bookmarkStart w:id="604" w:name="_Toc24733"/>
      <w:bookmarkStart w:id="605" w:name="_Toc28133"/>
      <w:bookmarkStart w:id="606" w:name="_Toc23607"/>
      <w:bookmarkStart w:id="607" w:name="_Toc27846"/>
      <w:bookmarkStart w:id="608" w:name="_Toc22220"/>
      <w:bookmarkStart w:id="609" w:name="_Toc9505"/>
      <w:r>
        <w:rPr>
          <w:rFonts w:hint="eastAsia" w:ascii="仿宋" w:hAnsi="仿宋" w:eastAsia="仿宋" w:cs="仿宋"/>
          <w:b/>
          <w:color w:val="auto"/>
          <w:sz w:val="21"/>
          <w:szCs w:val="21"/>
          <w:highlight w:val="none"/>
          <w:lang w:eastAsia="zh-CN"/>
        </w:rPr>
        <w:t>2.1  招标文件的组成</w:t>
      </w:r>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p>
    <w:p w14:paraId="65E0E5C0">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本招标文件包括：</w:t>
      </w:r>
    </w:p>
    <w:p w14:paraId="77DD425C">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（1）招标公告；</w:t>
      </w:r>
    </w:p>
    <w:p w14:paraId="7E57ACE8">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（2）投标人须知；</w:t>
      </w:r>
    </w:p>
    <w:p w14:paraId="0404CFB8">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（3）</w:t>
      </w:r>
      <w:r>
        <w:rPr>
          <w:rFonts w:hint="eastAsia" w:ascii="仿宋" w:hAnsi="仿宋" w:eastAsia="仿宋" w:cs="仿宋"/>
          <w:color w:val="auto"/>
          <w:sz w:val="21"/>
          <w:szCs w:val="21"/>
          <w:highlight w:val="none"/>
          <w:lang w:val="en-US" w:eastAsia="zh-CN"/>
        </w:rPr>
        <w:t>评审办法（综合评分法）</w:t>
      </w:r>
      <w:r>
        <w:rPr>
          <w:rFonts w:hint="eastAsia" w:ascii="仿宋" w:hAnsi="仿宋" w:eastAsia="仿宋" w:cs="仿宋"/>
          <w:color w:val="auto"/>
          <w:sz w:val="21"/>
          <w:szCs w:val="21"/>
          <w:highlight w:val="none"/>
          <w:lang w:eastAsia="zh-CN"/>
        </w:rPr>
        <w:t>；</w:t>
      </w:r>
    </w:p>
    <w:p w14:paraId="6B4A2B68">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（4）</w:t>
      </w:r>
      <w:r>
        <w:rPr>
          <w:rFonts w:hint="eastAsia" w:ascii="仿宋" w:hAnsi="仿宋" w:eastAsia="仿宋" w:cs="仿宋"/>
          <w:color w:val="auto"/>
          <w:sz w:val="21"/>
          <w:szCs w:val="21"/>
          <w:highlight w:val="none"/>
          <w:lang w:val="en-US" w:eastAsia="zh-CN"/>
        </w:rPr>
        <w:t>采购需求及要求</w:t>
      </w:r>
      <w:r>
        <w:rPr>
          <w:rFonts w:hint="eastAsia" w:ascii="仿宋" w:hAnsi="仿宋" w:eastAsia="仿宋" w:cs="仿宋"/>
          <w:color w:val="auto"/>
          <w:sz w:val="21"/>
          <w:szCs w:val="21"/>
          <w:highlight w:val="none"/>
          <w:lang w:eastAsia="zh-CN"/>
        </w:rPr>
        <w:t>；</w:t>
      </w:r>
    </w:p>
    <w:p w14:paraId="27EB83D1">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（5）合同条款及格式；</w:t>
      </w:r>
    </w:p>
    <w:p w14:paraId="2619378A">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（6）投标文件格式。</w:t>
      </w:r>
    </w:p>
    <w:p w14:paraId="56D1B7C2">
      <w:pPr>
        <w:pStyle w:val="28"/>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w:t>
      </w:r>
    </w:p>
    <w:p w14:paraId="75827691">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根据本章第2.2款和第2.3款对招标文件所做的澄清、修改，构成招标文件的组成部分。</w:t>
      </w:r>
    </w:p>
    <w:p w14:paraId="35489EF9">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2" w:firstLineChars="200"/>
        <w:jc w:val="left"/>
        <w:textAlignment w:val="auto"/>
        <w:outlineLvl w:val="2"/>
        <w:rPr>
          <w:rFonts w:hint="eastAsia" w:ascii="仿宋" w:hAnsi="仿宋" w:eastAsia="仿宋" w:cs="仿宋"/>
          <w:b/>
          <w:color w:val="auto"/>
          <w:sz w:val="21"/>
          <w:szCs w:val="21"/>
          <w:highlight w:val="none"/>
          <w:lang w:eastAsia="zh-CN"/>
        </w:rPr>
      </w:pPr>
      <w:bookmarkStart w:id="610" w:name="_Toc26636"/>
      <w:bookmarkStart w:id="611" w:name="_Toc29275"/>
      <w:bookmarkStart w:id="612" w:name="_Toc24400"/>
      <w:bookmarkStart w:id="613" w:name="_Toc25886"/>
      <w:bookmarkStart w:id="614" w:name="_Toc16956"/>
      <w:bookmarkStart w:id="615" w:name="_Toc542"/>
      <w:bookmarkStart w:id="616" w:name="_Toc31280"/>
      <w:bookmarkStart w:id="617" w:name="_Toc19223"/>
      <w:bookmarkStart w:id="618" w:name="_Toc18948"/>
      <w:bookmarkStart w:id="619" w:name="_Toc29981"/>
      <w:bookmarkStart w:id="620" w:name="_Toc3457"/>
      <w:bookmarkStart w:id="621" w:name="_Toc11680"/>
      <w:bookmarkStart w:id="622" w:name="_Toc4281"/>
      <w:bookmarkStart w:id="623" w:name="_Toc3087"/>
      <w:bookmarkStart w:id="624" w:name="_Toc18798"/>
      <w:bookmarkStart w:id="625" w:name="_Toc24194"/>
      <w:bookmarkStart w:id="626" w:name="_Toc26568"/>
      <w:bookmarkStart w:id="627" w:name="_Toc11705"/>
      <w:bookmarkStart w:id="628" w:name="_Toc26410"/>
      <w:bookmarkStart w:id="629" w:name="_Toc20487"/>
      <w:bookmarkStart w:id="630" w:name="_Toc19056"/>
      <w:bookmarkStart w:id="631" w:name="_Toc10577"/>
      <w:bookmarkStart w:id="632" w:name="_Toc25028"/>
      <w:bookmarkStart w:id="633" w:name="_Toc32350"/>
      <w:bookmarkStart w:id="634" w:name="_Toc31231"/>
      <w:r>
        <w:rPr>
          <w:rFonts w:hint="eastAsia" w:ascii="仿宋" w:hAnsi="仿宋" w:eastAsia="仿宋" w:cs="仿宋"/>
          <w:b/>
          <w:color w:val="auto"/>
          <w:sz w:val="21"/>
          <w:szCs w:val="21"/>
          <w:highlight w:val="none"/>
          <w:lang w:eastAsia="zh-CN"/>
        </w:rPr>
        <w:t>2.2  招标文件的澄清</w:t>
      </w:r>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p>
    <w:p w14:paraId="419B1385">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2.2.1任何要求对招标文件进行澄清的潜在投标人，均以书面形式通知采购代理机构。采购代理机构收到的对招标文件的澄清要求均以书面形式予以答复，同时将书面答复通知每个</w:t>
      </w:r>
      <w:r>
        <w:rPr>
          <w:rFonts w:hint="eastAsia" w:ascii="仿宋" w:hAnsi="仿宋" w:eastAsia="仿宋" w:cs="仿宋"/>
          <w:color w:val="auto"/>
          <w:sz w:val="21"/>
          <w:szCs w:val="21"/>
          <w:highlight w:val="none"/>
          <w:lang w:val="en-US" w:eastAsia="zh-CN"/>
        </w:rPr>
        <w:t>获取</w:t>
      </w:r>
      <w:r>
        <w:rPr>
          <w:rFonts w:hint="eastAsia" w:ascii="仿宋" w:hAnsi="仿宋" w:eastAsia="仿宋" w:cs="仿宋"/>
          <w:color w:val="auto"/>
          <w:sz w:val="21"/>
          <w:szCs w:val="21"/>
          <w:highlight w:val="none"/>
          <w:lang w:eastAsia="zh-CN"/>
        </w:rPr>
        <w:t>招标文件的投标人，答复中包括所问问题，但不包括问题的来源；逾期提交的疑问问题将不予回答。</w:t>
      </w:r>
    </w:p>
    <w:p w14:paraId="09BAC683">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2.2.2　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4414ADDF">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2" w:firstLineChars="200"/>
        <w:jc w:val="left"/>
        <w:textAlignment w:val="auto"/>
        <w:outlineLvl w:val="2"/>
        <w:rPr>
          <w:rFonts w:hint="eastAsia" w:ascii="仿宋" w:hAnsi="仿宋" w:eastAsia="仿宋" w:cs="仿宋"/>
          <w:b/>
          <w:color w:val="auto"/>
          <w:sz w:val="21"/>
          <w:szCs w:val="21"/>
          <w:highlight w:val="none"/>
          <w:lang w:eastAsia="zh-CN"/>
        </w:rPr>
      </w:pPr>
      <w:bookmarkStart w:id="635" w:name="_Toc23694"/>
      <w:bookmarkStart w:id="636" w:name="_Toc1527"/>
      <w:bookmarkStart w:id="637" w:name="_Toc30128"/>
      <w:bookmarkStart w:id="638" w:name="_Toc13086"/>
      <w:bookmarkStart w:id="639" w:name="_Toc17277"/>
      <w:bookmarkStart w:id="640" w:name="_Toc20863"/>
      <w:bookmarkStart w:id="641" w:name="_Toc9604"/>
      <w:bookmarkStart w:id="642" w:name="_Toc11385"/>
      <w:bookmarkStart w:id="643" w:name="_Toc15601"/>
      <w:bookmarkStart w:id="644" w:name="_Toc16871"/>
      <w:bookmarkStart w:id="645" w:name="_Toc13676"/>
      <w:bookmarkStart w:id="646" w:name="_Toc13493"/>
      <w:bookmarkStart w:id="647" w:name="_Toc18656"/>
      <w:bookmarkStart w:id="648" w:name="_Toc17326"/>
      <w:bookmarkStart w:id="649" w:name="_Toc9232"/>
      <w:bookmarkStart w:id="650" w:name="_Toc26174"/>
      <w:bookmarkStart w:id="651" w:name="_Toc7184"/>
      <w:bookmarkStart w:id="652" w:name="_Toc9425"/>
      <w:bookmarkStart w:id="653" w:name="_Toc22243"/>
      <w:bookmarkStart w:id="654" w:name="_Toc5771"/>
      <w:bookmarkStart w:id="655" w:name="_Toc14785"/>
      <w:bookmarkStart w:id="656" w:name="_Toc5412"/>
      <w:bookmarkStart w:id="657" w:name="_Toc2702"/>
      <w:bookmarkStart w:id="658" w:name="_Toc3912"/>
      <w:bookmarkStart w:id="659" w:name="_Toc9663"/>
      <w:r>
        <w:rPr>
          <w:rFonts w:hint="eastAsia" w:ascii="仿宋" w:hAnsi="仿宋" w:eastAsia="仿宋" w:cs="仿宋"/>
          <w:b/>
          <w:color w:val="auto"/>
          <w:sz w:val="21"/>
          <w:szCs w:val="21"/>
          <w:highlight w:val="none"/>
          <w:lang w:eastAsia="zh-CN"/>
        </w:rPr>
        <w:t>2.3  招标文件的修改</w:t>
      </w:r>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p>
    <w:p w14:paraId="6F404D95">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2.3.1</w:t>
      </w:r>
      <w:r>
        <w:rPr>
          <w:rFonts w:hint="eastAsia" w:ascii="仿宋" w:hAnsi="仿宋" w:eastAsia="仿宋" w:cs="仿宋"/>
          <w:color w:val="auto"/>
          <w:sz w:val="21"/>
          <w:szCs w:val="21"/>
          <w:highlight w:val="none"/>
          <w:lang w:eastAsia="zh-CN"/>
        </w:rPr>
        <w:t>采购代理机构对已发出的招标文件进行必要澄清或者修改的，在财政部门指定的政府采购信息发布媒体上发布更正公告，并以书面形式通知所有获取招标文件的投标人。该澄清或者修改的内容为招标文件的组成部分。</w:t>
      </w:r>
    </w:p>
    <w:p w14:paraId="7938268E">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2.3</w:t>
      </w:r>
      <w:r>
        <w:rPr>
          <w:rFonts w:hint="eastAsia" w:ascii="仿宋" w:hAnsi="仿宋" w:eastAsia="仿宋" w:cs="仿宋"/>
          <w:color w:val="auto"/>
          <w:sz w:val="21"/>
          <w:szCs w:val="21"/>
          <w:highlight w:val="none"/>
          <w:lang w:eastAsia="zh-CN"/>
        </w:rPr>
        <w:t>.2澄清或者修改的内容可能影响投标文件编制的，采购代理机构在投标截止时间至少15日前，以书面形式通知所有获取招标文件的潜在投标人；不足15日的，采购代理机构将顺延提交投标文件的截止时间。</w:t>
      </w:r>
    </w:p>
    <w:p w14:paraId="75B8A586">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2.3</w:t>
      </w:r>
      <w:r>
        <w:rPr>
          <w:rFonts w:hint="eastAsia" w:ascii="仿宋" w:hAnsi="仿宋" w:eastAsia="仿宋" w:cs="仿宋"/>
          <w:color w:val="auto"/>
          <w:sz w:val="21"/>
          <w:szCs w:val="21"/>
          <w:highlight w:val="none"/>
          <w:lang w:eastAsia="zh-CN"/>
        </w:rPr>
        <w:t>.3采购代理机构和采购单位可以视项目具体情况，延长投标截止时间和推迟开标时间，但至少在招标文件要求提交投标文件的截止时间前将变更时间书面通知所有获取招标文件的投标人，并在财政部门指定的政府采购信息发布媒体上发布变更公告。</w:t>
      </w:r>
    </w:p>
    <w:p w14:paraId="5A0B9708">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jc w:val="left"/>
        <w:textAlignment w:val="auto"/>
        <w:rPr>
          <w:rFonts w:hint="eastAsia" w:ascii="仿宋" w:hAnsi="仿宋" w:eastAsia="仿宋" w:cs="仿宋"/>
          <w:b/>
          <w:color w:val="auto"/>
          <w:sz w:val="21"/>
          <w:szCs w:val="21"/>
          <w:highlight w:val="none"/>
          <w:lang w:val="en-US" w:eastAsia="zh-CN"/>
        </w:rPr>
      </w:pPr>
      <w:bookmarkStart w:id="660" w:name="_Toc88638761"/>
      <w:bookmarkStart w:id="661" w:name="_Toc6927"/>
      <w:bookmarkStart w:id="662" w:name="_Toc88646735"/>
      <w:bookmarkStart w:id="663" w:name="_Toc2432"/>
      <w:bookmarkStart w:id="664" w:name="_Toc351"/>
      <w:bookmarkStart w:id="665" w:name="_Toc21180"/>
      <w:r>
        <w:rPr>
          <w:rFonts w:hint="eastAsia" w:ascii="仿宋" w:hAnsi="仿宋" w:eastAsia="仿宋" w:cs="仿宋"/>
          <w:color w:val="auto"/>
          <w:sz w:val="21"/>
          <w:szCs w:val="21"/>
          <w:highlight w:val="none"/>
          <w:lang w:eastAsia="zh-CN"/>
        </w:rPr>
        <w:t>3.投标文件</w:t>
      </w:r>
      <w:bookmarkEnd w:id="660"/>
      <w:bookmarkEnd w:id="661"/>
      <w:bookmarkEnd w:id="662"/>
      <w:bookmarkEnd w:id="663"/>
      <w:bookmarkEnd w:id="664"/>
      <w:bookmarkEnd w:id="665"/>
    </w:p>
    <w:p w14:paraId="21FEACA0">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2" w:firstLineChars="200"/>
        <w:jc w:val="left"/>
        <w:textAlignment w:val="auto"/>
        <w:outlineLvl w:val="2"/>
        <w:rPr>
          <w:rFonts w:hint="eastAsia" w:ascii="仿宋" w:hAnsi="仿宋" w:eastAsia="仿宋" w:cs="仿宋"/>
          <w:b/>
          <w:color w:val="auto"/>
          <w:sz w:val="21"/>
          <w:szCs w:val="21"/>
          <w:highlight w:val="none"/>
        </w:rPr>
      </w:pPr>
      <w:bookmarkStart w:id="666" w:name="_Toc13439"/>
      <w:bookmarkStart w:id="667" w:name="_Toc17186"/>
      <w:r>
        <w:rPr>
          <w:rFonts w:hint="eastAsia" w:ascii="仿宋" w:hAnsi="仿宋" w:eastAsia="仿宋" w:cs="仿宋"/>
          <w:b/>
          <w:color w:val="auto"/>
          <w:sz w:val="21"/>
          <w:szCs w:val="21"/>
          <w:highlight w:val="none"/>
          <w:lang w:val="en-US" w:eastAsia="zh-CN"/>
        </w:rPr>
        <w:t xml:space="preserve">3.1 </w:t>
      </w:r>
      <w:r>
        <w:rPr>
          <w:rFonts w:hint="eastAsia" w:ascii="仿宋" w:hAnsi="仿宋" w:eastAsia="仿宋" w:cs="仿宋"/>
          <w:b/>
          <w:color w:val="auto"/>
          <w:sz w:val="21"/>
          <w:szCs w:val="21"/>
          <w:highlight w:val="none"/>
        </w:rPr>
        <w:t>投标文件编写注意事项</w:t>
      </w:r>
      <w:bookmarkEnd w:id="666"/>
      <w:bookmarkEnd w:id="667"/>
    </w:p>
    <w:p w14:paraId="2048512E">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3.1</w:t>
      </w: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应仔细阅读招标文件，在完全了解采购的内容、技术性能要求和商务条件后，编写投标文件。招标文件中标注★号的条款为实质性要求和条件，投标文件必须作出实质性响应，不满足任何一项标注★号的条款，将导致投标无效。</w:t>
      </w:r>
    </w:p>
    <w:p w14:paraId="3AF84375">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b/>
          <w:bCs/>
          <w:color w:val="auto"/>
          <w:sz w:val="21"/>
          <w:szCs w:val="21"/>
          <w:highlight w:val="none"/>
          <w:lang w:eastAsia="zh-CN"/>
        </w:rPr>
      </w:pPr>
      <w:r>
        <w:rPr>
          <w:rFonts w:hint="eastAsia" w:ascii="仿宋" w:hAnsi="仿宋" w:eastAsia="仿宋" w:cs="仿宋"/>
          <w:color w:val="auto"/>
          <w:sz w:val="21"/>
          <w:szCs w:val="21"/>
          <w:highlight w:val="none"/>
          <w:lang w:val="en-US" w:eastAsia="zh-CN"/>
        </w:rPr>
        <w:t>3.1</w:t>
      </w:r>
      <w:r>
        <w:rPr>
          <w:rFonts w:hint="eastAsia" w:ascii="仿宋" w:hAnsi="仿宋" w:eastAsia="仿宋" w:cs="仿宋"/>
          <w:color w:val="auto"/>
          <w:sz w:val="21"/>
          <w:szCs w:val="21"/>
          <w:highlight w:val="none"/>
        </w:rPr>
        <w:t>.2对招标文件提出的实质性要求和条件作出响应是指：</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必须对招标文件中的实质性要求和条件的内容作出满足或者优于招标文件要求和条件的承诺，并按招标文件要求提供相应的证明材料。</w:t>
      </w:r>
    </w:p>
    <w:p w14:paraId="05E08FF8">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2" w:firstLineChars="200"/>
        <w:jc w:val="left"/>
        <w:textAlignment w:val="auto"/>
        <w:outlineLvl w:val="2"/>
        <w:rPr>
          <w:rFonts w:hint="eastAsia" w:ascii="仿宋" w:hAnsi="仿宋" w:eastAsia="仿宋" w:cs="仿宋"/>
          <w:b/>
          <w:color w:val="auto"/>
          <w:sz w:val="21"/>
          <w:szCs w:val="21"/>
          <w:highlight w:val="none"/>
          <w:lang w:eastAsia="zh-CN"/>
        </w:rPr>
      </w:pPr>
      <w:bookmarkStart w:id="668" w:name="_Toc9145"/>
      <w:bookmarkStart w:id="669" w:name="_Toc12712"/>
      <w:bookmarkStart w:id="670" w:name="_Toc4336"/>
      <w:bookmarkStart w:id="671" w:name="_Toc24941"/>
      <w:bookmarkStart w:id="672" w:name="_Toc13881"/>
      <w:bookmarkStart w:id="673" w:name="_Toc14941"/>
      <w:bookmarkStart w:id="674" w:name="_Toc17397"/>
      <w:bookmarkStart w:id="675" w:name="_Toc1578"/>
      <w:bookmarkStart w:id="676" w:name="_Toc5763"/>
      <w:bookmarkStart w:id="677" w:name="_Toc22636"/>
      <w:bookmarkStart w:id="678" w:name="_Toc20342"/>
      <w:bookmarkStart w:id="679" w:name="_Toc6621"/>
      <w:bookmarkStart w:id="680" w:name="_Toc22014"/>
      <w:bookmarkStart w:id="681" w:name="_Toc1612"/>
      <w:bookmarkStart w:id="682" w:name="_Toc165"/>
      <w:bookmarkStart w:id="683" w:name="_Toc14013"/>
      <w:bookmarkStart w:id="684" w:name="_Toc10703"/>
      <w:bookmarkStart w:id="685" w:name="_Toc6796"/>
      <w:bookmarkStart w:id="686" w:name="_Toc4960"/>
      <w:bookmarkStart w:id="687" w:name="_Toc23089"/>
      <w:bookmarkStart w:id="688" w:name="_Toc5378"/>
      <w:bookmarkStart w:id="689" w:name="_Toc12728"/>
      <w:bookmarkStart w:id="690" w:name="_Toc6470"/>
      <w:bookmarkStart w:id="691" w:name="_Toc5445"/>
      <w:bookmarkStart w:id="692" w:name="_Toc3892"/>
      <w:r>
        <w:rPr>
          <w:rFonts w:hint="eastAsia" w:ascii="仿宋" w:hAnsi="仿宋" w:eastAsia="仿宋" w:cs="仿宋"/>
          <w:b/>
          <w:color w:val="auto"/>
          <w:sz w:val="21"/>
          <w:szCs w:val="21"/>
          <w:highlight w:val="none"/>
          <w:lang w:eastAsia="zh-CN"/>
        </w:rPr>
        <w:t>3.</w:t>
      </w:r>
      <w:r>
        <w:rPr>
          <w:rFonts w:hint="eastAsia" w:ascii="仿宋" w:hAnsi="仿宋" w:eastAsia="仿宋" w:cs="仿宋"/>
          <w:b/>
          <w:color w:val="auto"/>
          <w:sz w:val="21"/>
          <w:szCs w:val="21"/>
          <w:highlight w:val="none"/>
          <w:lang w:val="en-US" w:eastAsia="zh-CN"/>
        </w:rPr>
        <w:t>2</w:t>
      </w:r>
      <w:r>
        <w:rPr>
          <w:rFonts w:hint="eastAsia" w:ascii="仿宋" w:hAnsi="仿宋" w:eastAsia="仿宋" w:cs="仿宋"/>
          <w:b/>
          <w:color w:val="auto"/>
          <w:sz w:val="21"/>
          <w:szCs w:val="21"/>
          <w:highlight w:val="none"/>
          <w:lang w:eastAsia="zh-CN"/>
        </w:rPr>
        <w:t xml:space="preserve"> 投标文件的组成</w:t>
      </w:r>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p>
    <w:p w14:paraId="0CD9614D">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投标人编写的投标文件应由下列部分构成，并按“第六章</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投标文件格式”要求填写。</w:t>
      </w:r>
    </w:p>
    <w:p w14:paraId="5CA36545">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3.</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lang w:eastAsia="zh-CN"/>
        </w:rPr>
        <w:t>.1</w:t>
      </w:r>
      <w:r>
        <w:rPr>
          <w:rFonts w:hint="eastAsia" w:ascii="仿宋" w:hAnsi="仿宋" w:eastAsia="仿宋" w:cs="仿宋"/>
          <w:color w:val="auto"/>
          <w:sz w:val="21"/>
          <w:szCs w:val="21"/>
          <w:highlight w:val="none"/>
          <w:lang w:val="en-US" w:eastAsia="zh-CN"/>
        </w:rPr>
        <w:t>资格文件</w:t>
      </w:r>
      <w:r>
        <w:rPr>
          <w:rFonts w:hint="eastAsia" w:ascii="仿宋" w:hAnsi="仿宋" w:eastAsia="仿宋" w:cs="仿宋"/>
          <w:color w:val="auto"/>
          <w:sz w:val="21"/>
          <w:szCs w:val="21"/>
          <w:highlight w:val="none"/>
          <w:lang w:eastAsia="zh-CN"/>
        </w:rPr>
        <w:t>；</w:t>
      </w:r>
    </w:p>
    <w:p w14:paraId="2A2DF055">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3.</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2报价文件</w:t>
      </w:r>
    </w:p>
    <w:p w14:paraId="0E0B32D0">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3.</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3商务技术文件</w:t>
      </w:r>
    </w:p>
    <w:p w14:paraId="47865B0C">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3.</w:t>
      </w:r>
      <w:r>
        <w:rPr>
          <w:rFonts w:hint="eastAsia" w:ascii="仿宋" w:hAnsi="仿宋" w:eastAsia="仿宋" w:cs="仿宋"/>
          <w:color w:val="auto"/>
          <w:sz w:val="21"/>
          <w:szCs w:val="21"/>
          <w:highlight w:val="none"/>
          <w:lang w:val="en-US" w:eastAsia="zh-CN"/>
        </w:rPr>
        <w:t>3.4</w:t>
      </w:r>
      <w:r>
        <w:rPr>
          <w:rFonts w:hint="eastAsia" w:ascii="仿宋" w:hAnsi="仿宋" w:eastAsia="仿宋" w:cs="仿宋"/>
          <w:color w:val="auto"/>
          <w:sz w:val="21"/>
          <w:szCs w:val="21"/>
          <w:highlight w:val="none"/>
          <w:lang w:eastAsia="zh-CN"/>
        </w:rPr>
        <w:t>投标人同时投多个包的，投标文件应按包分别编制，单独成册。</w:t>
      </w:r>
    </w:p>
    <w:p w14:paraId="4696D34A">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2" w:firstLineChars="200"/>
        <w:jc w:val="left"/>
        <w:textAlignment w:val="auto"/>
        <w:outlineLvl w:val="2"/>
        <w:rPr>
          <w:rFonts w:hint="eastAsia" w:ascii="仿宋" w:hAnsi="仿宋" w:eastAsia="仿宋" w:cs="仿宋"/>
          <w:b/>
          <w:color w:val="auto"/>
          <w:sz w:val="21"/>
          <w:szCs w:val="21"/>
          <w:highlight w:val="none"/>
          <w:lang w:eastAsia="zh-CN"/>
        </w:rPr>
      </w:pPr>
      <w:bookmarkStart w:id="693" w:name="_Toc29118"/>
      <w:bookmarkStart w:id="694" w:name="_Toc27586"/>
      <w:bookmarkStart w:id="695" w:name="_Toc11133"/>
      <w:bookmarkStart w:id="696" w:name="_Toc28693"/>
      <w:bookmarkStart w:id="697" w:name="_Toc10943"/>
      <w:bookmarkStart w:id="698" w:name="_Toc15438"/>
      <w:bookmarkStart w:id="699" w:name="_Toc1848"/>
      <w:bookmarkStart w:id="700" w:name="_Toc19889"/>
      <w:bookmarkStart w:id="701" w:name="_Toc21886"/>
      <w:bookmarkStart w:id="702" w:name="_Toc6996"/>
      <w:bookmarkStart w:id="703" w:name="_Toc14196"/>
      <w:bookmarkStart w:id="704" w:name="_Toc21801"/>
      <w:bookmarkStart w:id="705" w:name="_Toc7888"/>
      <w:bookmarkStart w:id="706" w:name="_Toc13605"/>
      <w:bookmarkStart w:id="707" w:name="_Toc2666"/>
      <w:bookmarkStart w:id="708" w:name="_Toc3572"/>
      <w:bookmarkStart w:id="709" w:name="_Toc9788"/>
      <w:bookmarkStart w:id="710" w:name="_Toc6894"/>
      <w:bookmarkStart w:id="711" w:name="_Toc8207"/>
      <w:bookmarkStart w:id="712" w:name="_Toc16944"/>
      <w:bookmarkStart w:id="713" w:name="_Toc18738"/>
      <w:bookmarkStart w:id="714" w:name="_Toc5971"/>
      <w:bookmarkStart w:id="715" w:name="_Toc32688"/>
      <w:bookmarkStart w:id="716" w:name="_Toc29292"/>
      <w:bookmarkStart w:id="717" w:name="_Toc13696"/>
      <w:r>
        <w:rPr>
          <w:rFonts w:hint="eastAsia" w:ascii="仿宋" w:hAnsi="仿宋" w:eastAsia="仿宋" w:cs="仿宋"/>
          <w:b/>
          <w:color w:val="auto"/>
          <w:sz w:val="21"/>
          <w:szCs w:val="21"/>
          <w:highlight w:val="none"/>
          <w:lang w:eastAsia="zh-CN"/>
        </w:rPr>
        <w:t>3.</w:t>
      </w:r>
      <w:r>
        <w:rPr>
          <w:rFonts w:hint="eastAsia" w:ascii="仿宋" w:hAnsi="仿宋" w:eastAsia="仿宋" w:cs="仿宋"/>
          <w:b/>
          <w:color w:val="auto"/>
          <w:sz w:val="21"/>
          <w:szCs w:val="21"/>
          <w:highlight w:val="none"/>
          <w:lang w:val="en-US" w:eastAsia="zh-CN"/>
        </w:rPr>
        <w:t>3</w:t>
      </w:r>
      <w:r>
        <w:rPr>
          <w:rFonts w:hint="eastAsia" w:ascii="仿宋" w:hAnsi="仿宋" w:eastAsia="仿宋" w:cs="仿宋"/>
          <w:b/>
          <w:color w:val="auto"/>
          <w:sz w:val="21"/>
          <w:szCs w:val="21"/>
          <w:highlight w:val="none"/>
          <w:lang w:eastAsia="zh-CN"/>
        </w:rPr>
        <w:t xml:space="preserve"> 投标报价</w:t>
      </w:r>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p>
    <w:p w14:paraId="466FC06F">
      <w:pPr>
        <w:pStyle w:val="35"/>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3.3</w:t>
      </w:r>
      <w:r>
        <w:rPr>
          <w:rFonts w:hint="eastAsia" w:ascii="仿宋" w:hAnsi="仿宋" w:eastAsia="仿宋" w:cs="仿宋"/>
          <w:color w:val="auto"/>
          <w:sz w:val="21"/>
          <w:szCs w:val="21"/>
          <w:highlight w:val="none"/>
        </w:rPr>
        <w:t>.1本项目预算金额及最高限价见“</w:t>
      </w:r>
      <w:r>
        <w:rPr>
          <w:rFonts w:hint="eastAsia" w:ascii="仿宋" w:hAnsi="仿宋" w:eastAsia="仿宋" w:cs="仿宋"/>
          <w:b/>
          <w:bCs/>
          <w:color w:val="auto"/>
          <w:sz w:val="21"/>
          <w:szCs w:val="21"/>
          <w:highlight w:val="none"/>
          <w:lang w:eastAsia="zh-CN"/>
        </w:rPr>
        <w:t>投标人</w:t>
      </w:r>
      <w:r>
        <w:rPr>
          <w:rFonts w:hint="eastAsia" w:ascii="仿宋" w:hAnsi="仿宋" w:eastAsia="仿宋" w:cs="仿宋"/>
          <w:b/>
          <w:bCs/>
          <w:color w:val="auto"/>
          <w:sz w:val="21"/>
          <w:szCs w:val="21"/>
          <w:highlight w:val="none"/>
        </w:rPr>
        <w:t>须知前附表</w:t>
      </w:r>
      <w:r>
        <w:rPr>
          <w:rFonts w:hint="eastAsia" w:ascii="仿宋" w:hAnsi="仿宋" w:eastAsia="仿宋" w:cs="仿宋"/>
          <w:color w:val="auto"/>
          <w:sz w:val="21"/>
          <w:szCs w:val="21"/>
          <w:highlight w:val="none"/>
        </w:rPr>
        <w:t>”，若</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的投标报价超过最高限价，</w:t>
      </w:r>
      <w:r>
        <w:rPr>
          <w:rFonts w:hint="eastAsia" w:ascii="仿宋" w:hAnsi="仿宋" w:eastAsia="仿宋" w:cs="仿宋"/>
          <w:bCs/>
          <w:color w:val="auto"/>
          <w:sz w:val="21"/>
          <w:szCs w:val="21"/>
          <w:highlight w:val="none"/>
        </w:rPr>
        <w:t>按不实质性响应招标文件要求处理</w:t>
      </w:r>
      <w:r>
        <w:rPr>
          <w:rFonts w:hint="eastAsia" w:ascii="仿宋" w:hAnsi="仿宋" w:eastAsia="仿宋" w:cs="仿宋"/>
          <w:color w:val="auto"/>
          <w:sz w:val="21"/>
          <w:szCs w:val="21"/>
          <w:highlight w:val="none"/>
        </w:rPr>
        <w:t>。</w:t>
      </w:r>
    </w:p>
    <w:p w14:paraId="11085C30">
      <w:pPr>
        <w:pStyle w:val="35"/>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3.3</w:t>
      </w:r>
      <w:r>
        <w:rPr>
          <w:rFonts w:hint="eastAsia" w:ascii="仿宋" w:hAnsi="仿宋" w:eastAsia="仿宋" w:cs="仿宋"/>
          <w:color w:val="auto"/>
          <w:sz w:val="21"/>
          <w:szCs w:val="21"/>
          <w:highlight w:val="none"/>
        </w:rPr>
        <w:t>.2</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须就“</w:t>
      </w:r>
      <w:r>
        <w:rPr>
          <w:rFonts w:hint="eastAsia" w:ascii="仿宋" w:hAnsi="仿宋" w:eastAsia="仿宋" w:cs="仿宋"/>
          <w:b/>
          <w:bCs/>
          <w:color w:val="auto"/>
          <w:sz w:val="21"/>
          <w:szCs w:val="21"/>
          <w:highlight w:val="none"/>
          <w:lang w:val="en-US" w:eastAsia="zh-CN"/>
        </w:rPr>
        <w:t>第四章 采购需求及要求</w:t>
      </w:r>
      <w:r>
        <w:rPr>
          <w:rFonts w:hint="eastAsia" w:ascii="仿宋" w:hAnsi="仿宋" w:eastAsia="仿宋" w:cs="仿宋"/>
          <w:color w:val="auto"/>
          <w:sz w:val="21"/>
          <w:szCs w:val="21"/>
          <w:highlight w:val="none"/>
        </w:rPr>
        <w:t>”中的</w:t>
      </w:r>
      <w:r>
        <w:rPr>
          <w:rFonts w:hint="eastAsia" w:ascii="仿宋" w:hAnsi="仿宋" w:eastAsia="仿宋" w:cs="仿宋"/>
          <w:b/>
          <w:bCs/>
          <w:color w:val="auto"/>
          <w:sz w:val="21"/>
          <w:szCs w:val="21"/>
          <w:highlight w:val="none"/>
        </w:rPr>
        <w:t>所投货物</w:t>
      </w:r>
      <w:r>
        <w:rPr>
          <w:rFonts w:hint="eastAsia" w:ascii="仿宋" w:hAnsi="仿宋" w:eastAsia="仿宋" w:cs="仿宋"/>
          <w:b/>
          <w:bCs/>
          <w:color w:val="auto"/>
          <w:sz w:val="21"/>
          <w:szCs w:val="21"/>
          <w:highlight w:val="none"/>
          <w:lang w:val="en-US" w:eastAsia="zh-CN"/>
        </w:rPr>
        <w:t>及伴随的服务</w:t>
      </w:r>
      <w:r>
        <w:rPr>
          <w:rFonts w:hint="eastAsia" w:ascii="仿宋" w:hAnsi="仿宋" w:eastAsia="仿宋" w:cs="仿宋"/>
          <w:b/>
          <w:bCs/>
          <w:color w:val="auto"/>
          <w:sz w:val="21"/>
          <w:szCs w:val="21"/>
          <w:highlight w:val="none"/>
        </w:rPr>
        <w:t>内容作完整唯一报价</w:t>
      </w:r>
      <w:r>
        <w:rPr>
          <w:rFonts w:hint="eastAsia" w:ascii="仿宋" w:hAnsi="仿宋" w:eastAsia="仿宋" w:cs="仿宋"/>
          <w:color w:val="auto"/>
          <w:sz w:val="21"/>
          <w:szCs w:val="21"/>
          <w:highlight w:val="none"/>
        </w:rPr>
        <w:t>。</w:t>
      </w:r>
    </w:p>
    <w:p w14:paraId="3999EBDB">
      <w:pPr>
        <w:pStyle w:val="35"/>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3.3</w:t>
      </w:r>
      <w:r>
        <w:rPr>
          <w:rFonts w:hint="eastAsia" w:ascii="仿宋" w:hAnsi="仿宋" w:eastAsia="仿宋" w:cs="仿宋"/>
          <w:color w:val="auto"/>
          <w:sz w:val="21"/>
          <w:szCs w:val="21"/>
          <w:highlight w:val="none"/>
        </w:rPr>
        <w:t>.3</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应依据招标文件的要求及有关资料，按国家或行业现行技术经济标准、定额及规范，自行测算出满足招标要求的投标货物的竞争性报价。</w:t>
      </w:r>
      <w:r>
        <w:rPr>
          <w:rFonts w:hint="eastAsia" w:ascii="仿宋" w:hAnsi="仿宋" w:eastAsia="仿宋" w:cs="仿宋"/>
          <w:b/>
          <w:color w:val="auto"/>
          <w:sz w:val="21"/>
          <w:szCs w:val="21"/>
          <w:highlight w:val="none"/>
        </w:rPr>
        <w:t>投标报价</w:t>
      </w:r>
      <w:r>
        <w:rPr>
          <w:rFonts w:hint="eastAsia" w:ascii="仿宋" w:hAnsi="仿宋" w:eastAsia="仿宋" w:cs="仿宋"/>
          <w:color w:val="auto"/>
          <w:sz w:val="21"/>
          <w:szCs w:val="21"/>
          <w:highlight w:val="none"/>
        </w:rPr>
        <w:t>包括但不仅限于货物的出厂价、随机备品备件、运杂费、</w:t>
      </w:r>
      <w:r>
        <w:rPr>
          <w:rFonts w:hint="eastAsia" w:ascii="仿宋" w:hAnsi="仿宋" w:eastAsia="仿宋" w:cs="仿宋"/>
          <w:color w:val="auto"/>
          <w:sz w:val="21"/>
          <w:szCs w:val="21"/>
          <w:highlight w:val="none"/>
          <w:lang w:val="en-US" w:eastAsia="zh-CN"/>
        </w:rPr>
        <w:t>招标代理服务费</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技术服务费、保证期内缺陷的修复补救费用、市场价格变化的风险费用、利润、税金等响应招标文件所有技术、商务要求的价格总和，该报价应考虑市场风险、政策性风险、汇率风险等因素，并能保证</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完成履行合同所需的全部工作，此价格在合同签订后不得调整。</w:t>
      </w:r>
    </w:p>
    <w:p w14:paraId="1823EAFD">
      <w:pPr>
        <w:pStyle w:val="35"/>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3.3</w:t>
      </w:r>
      <w:r>
        <w:rPr>
          <w:rFonts w:hint="eastAsia" w:ascii="仿宋" w:hAnsi="仿宋" w:eastAsia="仿宋" w:cs="仿宋"/>
          <w:color w:val="auto"/>
          <w:sz w:val="21"/>
          <w:szCs w:val="21"/>
          <w:highlight w:val="none"/>
        </w:rPr>
        <w:t>.4货物的</w:t>
      </w:r>
      <w:r>
        <w:rPr>
          <w:rFonts w:hint="eastAsia" w:ascii="仿宋" w:hAnsi="仿宋" w:eastAsia="仿宋" w:cs="仿宋"/>
          <w:b/>
          <w:color w:val="auto"/>
          <w:sz w:val="21"/>
          <w:szCs w:val="21"/>
          <w:highlight w:val="none"/>
        </w:rPr>
        <w:t>出厂价</w:t>
      </w:r>
      <w:r>
        <w:rPr>
          <w:rFonts w:hint="eastAsia" w:ascii="仿宋" w:hAnsi="仿宋" w:eastAsia="仿宋" w:cs="仿宋"/>
          <w:color w:val="auto"/>
          <w:sz w:val="21"/>
          <w:szCs w:val="21"/>
          <w:highlight w:val="none"/>
        </w:rPr>
        <w:t>指制造厂生产的，满足招标要求及符合国家质量检测标准的货物的价格。包括但不仅限于产品的设计费、</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为取得生产制造投标货物所需的图纸或为采购人提供所生产货物的图纸和技术资料的费用、生产所需的材料费、加工费、辅助材料费、专用工具费、废品损失费、外购配套件费、包装费、利润和税金等费用。还包括必不可少的部件、标准备件、专用工具</w:t>
      </w:r>
      <w:r>
        <w:rPr>
          <w:rFonts w:hint="eastAsia" w:ascii="仿宋" w:hAnsi="仿宋" w:eastAsia="仿宋" w:cs="仿宋"/>
          <w:bCs/>
          <w:color w:val="auto"/>
          <w:sz w:val="21"/>
          <w:szCs w:val="21"/>
          <w:highlight w:val="none"/>
        </w:rPr>
        <w:t>的价格</w:t>
      </w:r>
      <w:r>
        <w:rPr>
          <w:rFonts w:hint="eastAsia" w:ascii="仿宋" w:hAnsi="仿宋" w:eastAsia="仿宋" w:cs="仿宋"/>
          <w:color w:val="auto"/>
          <w:sz w:val="21"/>
          <w:szCs w:val="21"/>
          <w:highlight w:val="none"/>
        </w:rPr>
        <w:t>。</w:t>
      </w:r>
    </w:p>
    <w:p w14:paraId="3E6437FF">
      <w:pPr>
        <w:pStyle w:val="35"/>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3.3</w:t>
      </w:r>
      <w:r>
        <w:rPr>
          <w:rFonts w:hint="eastAsia" w:ascii="仿宋" w:hAnsi="仿宋" w:eastAsia="仿宋" w:cs="仿宋"/>
          <w:color w:val="auto"/>
          <w:sz w:val="21"/>
          <w:szCs w:val="21"/>
          <w:highlight w:val="none"/>
        </w:rPr>
        <w:t>.5进口组部件、元器件或全进口产品的全部费用须折合成人民币报价，并注明进口件的原产地，交货时需提供商检证明。汇率风险由</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自行承担。</w:t>
      </w:r>
    </w:p>
    <w:p w14:paraId="2F312C91">
      <w:pPr>
        <w:pStyle w:val="35"/>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3.3</w:t>
      </w:r>
      <w:r>
        <w:rPr>
          <w:rFonts w:hint="eastAsia" w:ascii="仿宋" w:hAnsi="仿宋" w:eastAsia="仿宋" w:cs="仿宋"/>
          <w:bCs/>
          <w:color w:val="auto"/>
          <w:sz w:val="21"/>
          <w:szCs w:val="21"/>
          <w:highlight w:val="none"/>
        </w:rPr>
        <w:t>.6</w:t>
      </w:r>
      <w:r>
        <w:rPr>
          <w:rFonts w:hint="eastAsia" w:ascii="仿宋" w:hAnsi="仿宋" w:eastAsia="仿宋" w:cs="仿宋"/>
          <w:b/>
          <w:color w:val="auto"/>
          <w:sz w:val="21"/>
          <w:szCs w:val="21"/>
          <w:highlight w:val="none"/>
        </w:rPr>
        <w:t>运杂费用</w:t>
      </w:r>
      <w:r>
        <w:rPr>
          <w:rFonts w:hint="eastAsia" w:ascii="仿宋" w:hAnsi="仿宋" w:eastAsia="仿宋" w:cs="仿宋"/>
          <w:color w:val="auto"/>
          <w:sz w:val="21"/>
          <w:szCs w:val="21"/>
          <w:highlight w:val="none"/>
        </w:rPr>
        <w:t>：即投标货物到交货地点前的所有费用，包括铁路或公路运费、提货及转运费用、短途运费、包装费、装卸费用、加固费用、保险费等。</w:t>
      </w:r>
    </w:p>
    <w:p w14:paraId="049FA8C5">
      <w:pPr>
        <w:pStyle w:val="35"/>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3.3</w:t>
      </w:r>
      <w:r>
        <w:rPr>
          <w:rFonts w:hint="eastAsia" w:ascii="仿宋" w:hAnsi="仿宋" w:eastAsia="仿宋" w:cs="仿宋"/>
          <w:color w:val="auto"/>
          <w:sz w:val="21"/>
          <w:szCs w:val="21"/>
          <w:highlight w:val="none"/>
        </w:rPr>
        <w:t>.7</w:t>
      </w:r>
      <w:r>
        <w:rPr>
          <w:rFonts w:hint="eastAsia" w:ascii="仿宋" w:hAnsi="仿宋" w:eastAsia="仿宋" w:cs="仿宋"/>
          <w:b/>
          <w:color w:val="auto"/>
          <w:sz w:val="21"/>
          <w:szCs w:val="21"/>
          <w:highlight w:val="none"/>
        </w:rPr>
        <w:t>技术服务费用</w:t>
      </w:r>
      <w:r>
        <w:rPr>
          <w:rFonts w:hint="eastAsia" w:ascii="仿宋" w:hAnsi="仿宋" w:eastAsia="仿宋" w:cs="仿宋"/>
          <w:color w:val="auto"/>
          <w:sz w:val="21"/>
          <w:szCs w:val="21"/>
          <w:highlight w:val="none"/>
        </w:rPr>
        <w:t>包括：设计联络费用、现场服务（包括安装和调试费用）和人员培训的费用、技术资料费以及技术咨询协调费用等</w:t>
      </w:r>
      <w:r>
        <w:rPr>
          <w:rFonts w:hint="eastAsia" w:ascii="仿宋" w:hAnsi="仿宋" w:eastAsia="仿宋" w:cs="仿宋"/>
          <w:color w:val="auto"/>
          <w:sz w:val="21"/>
          <w:szCs w:val="21"/>
          <w:highlight w:val="none"/>
          <w:lang w:eastAsia="zh-CN"/>
        </w:rPr>
        <w:t>。</w:t>
      </w:r>
    </w:p>
    <w:p w14:paraId="40AC5C53">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2" w:firstLineChars="200"/>
        <w:jc w:val="left"/>
        <w:textAlignment w:val="auto"/>
        <w:outlineLvl w:val="2"/>
        <w:rPr>
          <w:rFonts w:hint="eastAsia" w:ascii="仿宋" w:hAnsi="仿宋" w:eastAsia="仿宋" w:cs="仿宋"/>
          <w:b/>
          <w:color w:val="auto"/>
          <w:sz w:val="21"/>
          <w:szCs w:val="21"/>
          <w:highlight w:val="none"/>
          <w:lang w:eastAsia="zh-CN"/>
        </w:rPr>
      </w:pPr>
      <w:bookmarkStart w:id="718" w:name="_Toc12162"/>
      <w:bookmarkStart w:id="719" w:name="_Toc1529"/>
      <w:bookmarkStart w:id="720" w:name="_Toc7965"/>
      <w:bookmarkStart w:id="721" w:name="_Toc19861"/>
      <w:bookmarkStart w:id="722" w:name="_Toc1479"/>
      <w:bookmarkStart w:id="723" w:name="_Toc13665"/>
      <w:bookmarkStart w:id="724" w:name="_Toc12978"/>
      <w:bookmarkStart w:id="725" w:name="_Toc4270"/>
      <w:bookmarkStart w:id="726" w:name="_Toc11774"/>
      <w:bookmarkStart w:id="727" w:name="_Toc6834"/>
      <w:bookmarkStart w:id="728" w:name="_Toc10993"/>
      <w:bookmarkStart w:id="729" w:name="_Toc19035"/>
      <w:bookmarkStart w:id="730" w:name="_Toc26958"/>
      <w:bookmarkStart w:id="731" w:name="_Toc21021"/>
      <w:bookmarkStart w:id="732" w:name="_Toc13264"/>
      <w:bookmarkStart w:id="733" w:name="_Toc10050"/>
      <w:bookmarkStart w:id="734" w:name="_Toc31623"/>
      <w:bookmarkStart w:id="735" w:name="_Toc12286"/>
      <w:bookmarkStart w:id="736" w:name="_Toc24196"/>
      <w:bookmarkStart w:id="737" w:name="_Toc18844"/>
      <w:bookmarkStart w:id="738" w:name="_Toc7211"/>
      <w:bookmarkStart w:id="739" w:name="_Toc12853"/>
      <w:bookmarkStart w:id="740" w:name="_Toc2105"/>
      <w:bookmarkStart w:id="741" w:name="_Toc2343"/>
      <w:bookmarkStart w:id="742" w:name="_Toc17928"/>
      <w:r>
        <w:rPr>
          <w:rFonts w:hint="eastAsia" w:ascii="仿宋" w:hAnsi="仿宋" w:eastAsia="仿宋" w:cs="仿宋"/>
          <w:b/>
          <w:color w:val="auto"/>
          <w:sz w:val="21"/>
          <w:szCs w:val="21"/>
          <w:highlight w:val="none"/>
          <w:lang w:eastAsia="zh-CN"/>
        </w:rPr>
        <w:t>3.</w:t>
      </w:r>
      <w:r>
        <w:rPr>
          <w:rFonts w:hint="eastAsia" w:ascii="仿宋" w:hAnsi="仿宋" w:eastAsia="仿宋" w:cs="仿宋"/>
          <w:b/>
          <w:color w:val="auto"/>
          <w:sz w:val="21"/>
          <w:szCs w:val="21"/>
          <w:highlight w:val="none"/>
          <w:lang w:val="en-US" w:eastAsia="zh-CN"/>
        </w:rPr>
        <w:t>4</w:t>
      </w:r>
      <w:r>
        <w:rPr>
          <w:rFonts w:hint="eastAsia" w:ascii="仿宋" w:hAnsi="仿宋" w:eastAsia="仿宋" w:cs="仿宋"/>
          <w:b/>
          <w:color w:val="auto"/>
          <w:sz w:val="21"/>
          <w:szCs w:val="21"/>
          <w:highlight w:val="none"/>
          <w:lang w:eastAsia="zh-CN"/>
        </w:rPr>
        <w:t xml:space="preserve"> 投标有效期</w:t>
      </w:r>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p>
    <w:p w14:paraId="1A0252CF">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3.4</w:t>
      </w:r>
      <w:r>
        <w:rPr>
          <w:rFonts w:hint="eastAsia" w:ascii="仿宋" w:hAnsi="仿宋" w:eastAsia="仿宋" w:cs="仿宋"/>
          <w:color w:val="auto"/>
          <w:sz w:val="21"/>
          <w:szCs w:val="21"/>
          <w:highlight w:val="none"/>
          <w:lang w:eastAsia="zh-CN"/>
        </w:rPr>
        <w:t>.1在“投标人须知前附表”规定的投标有效期内，投标人不得要求撤销或修改其投标文件。</w:t>
      </w:r>
    </w:p>
    <w:p w14:paraId="788179A8">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3.4</w:t>
      </w:r>
      <w:r>
        <w:rPr>
          <w:rFonts w:hint="eastAsia" w:ascii="仿宋" w:hAnsi="仿宋" w:eastAsia="仿宋" w:cs="仿宋"/>
          <w:color w:val="auto"/>
          <w:sz w:val="21"/>
          <w:szCs w:val="21"/>
          <w:highlight w:val="none"/>
          <w:lang w:eastAsia="zh-CN"/>
        </w:rPr>
        <w:t>.2投标有效期从提交投标文件的截止之日起算。投标文件中承诺的投标有效期应当不少于招标文件中载明的投标有效期。投标有效期内投标人撤销投标文件的，采购代理机构可以不退还投标保证金。</w:t>
      </w:r>
    </w:p>
    <w:p w14:paraId="76AAC2A6">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3.4</w:t>
      </w:r>
      <w:r>
        <w:rPr>
          <w:rFonts w:hint="eastAsia" w:ascii="仿宋" w:hAnsi="仿宋" w:eastAsia="仿宋" w:cs="仿宋"/>
          <w:color w:val="auto"/>
          <w:sz w:val="21"/>
          <w:szCs w:val="21"/>
          <w:highlight w:val="none"/>
          <w:lang w:eastAsia="zh-CN"/>
        </w:rPr>
        <w:t>.3在特殊情况需要延长投标有效期的，采购人以书面形式通知所有投标人延长投标有效期。投标人同意延长的，应相应延长其投标保证金的有效期，但不得要求或被允许修改或撤销其投标文件；投标人拒绝延长的，其投标文件失效，但投标人有权收回其投标保证金。</w:t>
      </w:r>
    </w:p>
    <w:p w14:paraId="7438AB42">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2" w:firstLineChars="200"/>
        <w:jc w:val="left"/>
        <w:textAlignment w:val="auto"/>
        <w:outlineLvl w:val="2"/>
        <w:rPr>
          <w:rFonts w:hint="eastAsia" w:ascii="仿宋" w:hAnsi="仿宋" w:eastAsia="仿宋" w:cs="仿宋"/>
          <w:b/>
          <w:color w:val="auto"/>
          <w:sz w:val="21"/>
          <w:szCs w:val="21"/>
          <w:highlight w:val="none"/>
          <w:lang w:eastAsia="zh-CN"/>
        </w:rPr>
      </w:pPr>
      <w:bookmarkStart w:id="743" w:name="_Toc14695"/>
      <w:bookmarkStart w:id="744" w:name="_Toc9017"/>
      <w:bookmarkStart w:id="745" w:name="_Toc31071"/>
      <w:bookmarkStart w:id="746" w:name="_Toc267"/>
      <w:bookmarkStart w:id="747" w:name="_Toc16261"/>
      <w:bookmarkStart w:id="748" w:name="_Toc17053"/>
      <w:bookmarkStart w:id="749" w:name="_Toc18821"/>
      <w:bookmarkStart w:id="750" w:name="_Toc29639"/>
      <w:bookmarkStart w:id="751" w:name="_Toc9199"/>
      <w:bookmarkStart w:id="752" w:name="_Toc3986"/>
      <w:bookmarkStart w:id="753" w:name="_Toc24505"/>
      <w:bookmarkStart w:id="754" w:name="_Toc13859"/>
      <w:bookmarkStart w:id="755" w:name="_Toc5338"/>
      <w:bookmarkStart w:id="756" w:name="_Toc19745"/>
      <w:bookmarkStart w:id="757" w:name="_Toc27044"/>
      <w:bookmarkStart w:id="758" w:name="_Toc26012"/>
      <w:bookmarkStart w:id="759" w:name="_Toc5773"/>
      <w:bookmarkStart w:id="760" w:name="_Toc29250"/>
      <w:bookmarkStart w:id="761" w:name="_Toc25259"/>
      <w:bookmarkStart w:id="762" w:name="_Toc13302"/>
      <w:bookmarkStart w:id="763" w:name="_Toc32544"/>
      <w:bookmarkStart w:id="764" w:name="_Toc13851"/>
      <w:bookmarkStart w:id="765" w:name="_Toc11517"/>
      <w:bookmarkStart w:id="766" w:name="_Toc7309"/>
      <w:bookmarkStart w:id="767" w:name="_Toc14258"/>
      <w:r>
        <w:rPr>
          <w:rFonts w:hint="eastAsia" w:ascii="仿宋" w:hAnsi="仿宋" w:eastAsia="仿宋" w:cs="仿宋"/>
          <w:b/>
          <w:color w:val="auto"/>
          <w:sz w:val="21"/>
          <w:szCs w:val="21"/>
          <w:highlight w:val="none"/>
          <w:lang w:eastAsia="zh-CN"/>
        </w:rPr>
        <w:t>3.</w:t>
      </w:r>
      <w:r>
        <w:rPr>
          <w:rFonts w:hint="eastAsia" w:ascii="仿宋" w:hAnsi="仿宋" w:eastAsia="仿宋" w:cs="仿宋"/>
          <w:b/>
          <w:color w:val="auto"/>
          <w:sz w:val="21"/>
          <w:szCs w:val="21"/>
          <w:highlight w:val="none"/>
          <w:lang w:val="en-US" w:eastAsia="zh-CN"/>
        </w:rPr>
        <w:t>5</w:t>
      </w:r>
      <w:r>
        <w:rPr>
          <w:rFonts w:hint="eastAsia" w:ascii="仿宋" w:hAnsi="仿宋" w:eastAsia="仿宋" w:cs="仿宋"/>
          <w:b/>
          <w:color w:val="auto"/>
          <w:sz w:val="21"/>
          <w:szCs w:val="21"/>
          <w:highlight w:val="none"/>
          <w:lang w:eastAsia="zh-CN"/>
        </w:rPr>
        <w:t xml:space="preserve"> 投标保证金</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p>
    <w:p w14:paraId="1994AE76">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3.</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lang w:eastAsia="zh-CN"/>
        </w:rPr>
        <w:t>.1投标人在递交投标文件的同时，应按投标人须知前附表规定的金额、形式递交投标保证金。联合体投标的，其投标保证金可以由牵头人递交。</w:t>
      </w:r>
    </w:p>
    <w:p w14:paraId="1B83B525">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3.</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lang w:eastAsia="zh-CN"/>
        </w:rPr>
        <w:t>.2 投标人不按本章第3.</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lang w:eastAsia="zh-CN"/>
        </w:rPr>
        <w:t>.1 项要求提交投标保证金的，其投标将被视为无效投标。</w:t>
      </w:r>
    </w:p>
    <w:p w14:paraId="495F6B14">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3.</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lang w:eastAsia="zh-CN"/>
        </w:rPr>
        <w:t>.3 采购人或者采购代理机构应当自中标通知书发出之日起5个工作日内退还未中标人的投标保证金，自采购合同签订之日起5个工作日内退还中标人的投标保证金。</w:t>
      </w:r>
    </w:p>
    <w:p w14:paraId="7085B5AA">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3.</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lang w:eastAsia="zh-CN"/>
        </w:rPr>
        <w:t>.4 有下列情形之一的，投标保证金将不予退还：</w:t>
      </w:r>
    </w:p>
    <w:p w14:paraId="4EC225CB">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（1）投标人在投标有效期内撤销投标文件；</w:t>
      </w:r>
    </w:p>
    <w:p w14:paraId="0FDD7CC3">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（2）中标人在收到中标通知书后，无正当理由不与采购人订立合同，在签订合同时向采购人提出附加条件，或者不按照招标文件要求提交履约保证金；</w:t>
      </w:r>
    </w:p>
    <w:p w14:paraId="3ABDA207">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（3）其他法律法规要求不予退还投标保证金的情形。</w:t>
      </w:r>
    </w:p>
    <w:p w14:paraId="6229EA29">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2" w:firstLineChars="200"/>
        <w:jc w:val="left"/>
        <w:textAlignment w:val="auto"/>
        <w:outlineLvl w:val="2"/>
        <w:rPr>
          <w:rFonts w:hint="eastAsia" w:ascii="仿宋" w:hAnsi="仿宋" w:eastAsia="仿宋" w:cs="仿宋"/>
          <w:b/>
          <w:color w:val="auto"/>
          <w:sz w:val="21"/>
          <w:szCs w:val="21"/>
          <w:highlight w:val="none"/>
          <w:lang w:eastAsia="zh-CN"/>
        </w:rPr>
      </w:pPr>
      <w:bookmarkStart w:id="768" w:name="_Toc31802"/>
      <w:bookmarkStart w:id="769" w:name="_Toc13009"/>
      <w:bookmarkStart w:id="770" w:name="_Toc30061"/>
      <w:bookmarkStart w:id="771" w:name="_Toc27906"/>
      <w:bookmarkStart w:id="772" w:name="_Toc19819"/>
      <w:bookmarkStart w:id="773" w:name="_Toc16809"/>
      <w:bookmarkStart w:id="774" w:name="_Toc15057"/>
      <w:bookmarkStart w:id="775" w:name="_Toc4477"/>
      <w:bookmarkStart w:id="776" w:name="_Toc3424"/>
      <w:bookmarkStart w:id="777" w:name="_Toc31786"/>
      <w:bookmarkStart w:id="778" w:name="_Toc28830"/>
      <w:bookmarkStart w:id="779" w:name="_Toc15120"/>
      <w:bookmarkStart w:id="780" w:name="_Toc9302"/>
      <w:bookmarkStart w:id="781" w:name="_Toc6627"/>
      <w:bookmarkStart w:id="782" w:name="_Toc24298"/>
      <w:bookmarkStart w:id="783" w:name="_Toc27799"/>
      <w:bookmarkStart w:id="784" w:name="_Toc16050"/>
      <w:bookmarkStart w:id="785" w:name="_Toc14838"/>
      <w:bookmarkStart w:id="786" w:name="_Toc12703"/>
      <w:bookmarkStart w:id="787" w:name="_Toc30801"/>
      <w:bookmarkStart w:id="788" w:name="_Toc4786"/>
      <w:bookmarkStart w:id="789" w:name="_Toc19601"/>
      <w:bookmarkStart w:id="790" w:name="_Toc25032"/>
      <w:bookmarkStart w:id="791" w:name="_Toc2579"/>
      <w:bookmarkStart w:id="792" w:name="_Toc6076"/>
      <w:r>
        <w:rPr>
          <w:rFonts w:hint="eastAsia" w:ascii="仿宋" w:hAnsi="仿宋" w:eastAsia="仿宋" w:cs="仿宋"/>
          <w:b/>
          <w:color w:val="auto"/>
          <w:sz w:val="21"/>
          <w:szCs w:val="21"/>
          <w:highlight w:val="none"/>
          <w:lang w:eastAsia="zh-CN"/>
        </w:rPr>
        <w:t>3.</w:t>
      </w:r>
      <w:r>
        <w:rPr>
          <w:rFonts w:hint="eastAsia" w:ascii="仿宋" w:hAnsi="仿宋" w:eastAsia="仿宋" w:cs="仿宋"/>
          <w:b/>
          <w:color w:val="auto"/>
          <w:sz w:val="21"/>
          <w:szCs w:val="21"/>
          <w:highlight w:val="none"/>
          <w:lang w:val="en-US" w:eastAsia="zh-CN"/>
        </w:rPr>
        <w:t>6</w:t>
      </w:r>
      <w:r>
        <w:rPr>
          <w:rFonts w:hint="eastAsia" w:ascii="仿宋" w:hAnsi="仿宋" w:eastAsia="仿宋" w:cs="仿宋"/>
          <w:b/>
          <w:color w:val="auto"/>
          <w:sz w:val="21"/>
          <w:szCs w:val="21"/>
          <w:highlight w:val="none"/>
          <w:lang w:eastAsia="zh-CN"/>
        </w:rPr>
        <w:t xml:space="preserve"> 投标文件的编制</w:t>
      </w:r>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p>
    <w:p w14:paraId="5325D819">
      <w:pPr>
        <w:pStyle w:val="35"/>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3.6</w:t>
      </w:r>
      <w:r>
        <w:rPr>
          <w:rFonts w:hint="eastAsia" w:ascii="仿宋" w:hAnsi="仿宋" w:eastAsia="仿宋" w:cs="仿宋"/>
          <w:color w:val="auto"/>
          <w:sz w:val="21"/>
          <w:szCs w:val="21"/>
          <w:highlight w:val="none"/>
        </w:rPr>
        <w:t>.1投标文件全部采用电子文档，</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应安装客户端软件—“政采云电子交易客户端”，并按照招标文件和政采云电子交易平台的要求编制，编制后应进行电子签名及加密。</w:t>
      </w:r>
    </w:p>
    <w:p w14:paraId="3FE8FCA8">
      <w:pPr>
        <w:pStyle w:val="35"/>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3.6</w:t>
      </w:r>
      <w:r>
        <w:rPr>
          <w:rFonts w:hint="eastAsia" w:ascii="仿宋" w:hAnsi="仿宋" w:eastAsia="仿宋" w:cs="仿宋"/>
          <w:color w:val="auto"/>
          <w:sz w:val="21"/>
          <w:szCs w:val="21"/>
          <w:highlight w:val="none"/>
        </w:rPr>
        <w:t>.2如</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提交的电子标书不符合要求或开标时无法读取导入或解密，其投标文件将不予受理。</w:t>
      </w:r>
    </w:p>
    <w:p w14:paraId="29C4F4E0">
      <w:pPr>
        <w:pStyle w:val="35"/>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3.6</w:t>
      </w:r>
      <w:r>
        <w:rPr>
          <w:rFonts w:hint="eastAsia" w:ascii="仿宋" w:hAnsi="仿宋" w:eastAsia="仿宋" w:cs="仿宋"/>
          <w:color w:val="auto"/>
          <w:sz w:val="21"/>
          <w:szCs w:val="21"/>
          <w:highlight w:val="none"/>
        </w:rPr>
        <w:t>.3投标文件应尽量避免涂改、行间插字或删除。如果出现上述情况，改动之处应加盖单位章或由</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的法定代表人或其委托代理人签字确认。</w:t>
      </w:r>
    </w:p>
    <w:p w14:paraId="1C0AD2B3">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3.6</w:t>
      </w:r>
      <w:r>
        <w:rPr>
          <w:rFonts w:hint="eastAsia" w:ascii="仿宋" w:hAnsi="仿宋" w:eastAsia="仿宋" w:cs="仿宋"/>
          <w:color w:val="auto"/>
          <w:sz w:val="21"/>
          <w:szCs w:val="21"/>
          <w:highlight w:val="none"/>
        </w:rPr>
        <w:t>.4关键内容字迹潦草、表达不清、未按要求填写而导致非唯一理解</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造成非实质性响应的将会被视为未实质性响应招标文件的投标文件。</w:t>
      </w:r>
    </w:p>
    <w:p w14:paraId="35B56D4A">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bCs/>
          <w:color w:val="auto"/>
          <w:sz w:val="21"/>
          <w:szCs w:val="21"/>
          <w:highlight w:val="none"/>
        </w:rPr>
      </w:pPr>
      <w:r>
        <w:rPr>
          <w:rFonts w:hint="eastAsia" w:ascii="仿宋" w:hAnsi="仿宋" w:eastAsia="仿宋" w:cs="仿宋"/>
          <w:color w:val="auto"/>
          <w:sz w:val="21"/>
          <w:szCs w:val="21"/>
          <w:highlight w:val="none"/>
          <w:lang w:val="en-US" w:eastAsia="zh-CN"/>
        </w:rPr>
        <w:t>3.6</w:t>
      </w:r>
      <w:r>
        <w:rPr>
          <w:rFonts w:hint="eastAsia" w:ascii="仿宋" w:hAnsi="仿宋" w:eastAsia="仿宋" w:cs="仿宋"/>
          <w:color w:val="auto"/>
          <w:sz w:val="21"/>
          <w:szCs w:val="21"/>
          <w:highlight w:val="none"/>
        </w:rPr>
        <w:t>.5投标文件中提</w:t>
      </w:r>
      <w:r>
        <w:rPr>
          <w:rFonts w:hint="eastAsia" w:ascii="仿宋" w:hAnsi="仿宋" w:eastAsia="仿宋" w:cs="仿宋"/>
          <w:bCs/>
          <w:color w:val="auto"/>
          <w:sz w:val="21"/>
          <w:szCs w:val="21"/>
          <w:highlight w:val="none"/>
        </w:rPr>
        <w:t>供的资料（扫描件），内容必须清晰可辨，若内容模糊，无法辨识，均视为未提供。</w:t>
      </w:r>
    </w:p>
    <w:p w14:paraId="07711BCD">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3.6</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6按照投标文件格式，在规定的电子签名处逐一电子签章，要求盖章处应盖单位章（电子签章）。</w:t>
      </w:r>
    </w:p>
    <w:p w14:paraId="36490DDF">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jc w:val="left"/>
        <w:textAlignment w:val="auto"/>
        <w:rPr>
          <w:rFonts w:hint="eastAsia" w:ascii="仿宋" w:hAnsi="仿宋" w:eastAsia="仿宋" w:cs="仿宋"/>
          <w:b/>
          <w:bCs/>
          <w:color w:val="auto"/>
          <w:sz w:val="21"/>
          <w:szCs w:val="21"/>
          <w:highlight w:val="none"/>
          <w:lang w:eastAsia="zh-CN"/>
        </w:rPr>
      </w:pPr>
      <w:bookmarkStart w:id="793" w:name="_Toc29953"/>
      <w:bookmarkStart w:id="794" w:name="_Toc24619"/>
      <w:bookmarkStart w:id="795" w:name="_Toc88646736"/>
      <w:bookmarkStart w:id="796" w:name="_Toc29890"/>
      <w:bookmarkStart w:id="797" w:name="_Toc20113"/>
      <w:bookmarkStart w:id="798" w:name="_Toc88638762"/>
      <w:r>
        <w:rPr>
          <w:rFonts w:hint="eastAsia" w:ascii="仿宋" w:hAnsi="仿宋" w:eastAsia="仿宋" w:cs="仿宋"/>
          <w:color w:val="auto"/>
          <w:sz w:val="21"/>
          <w:szCs w:val="21"/>
          <w:highlight w:val="none"/>
          <w:lang w:eastAsia="zh-CN"/>
        </w:rPr>
        <w:t>4.投标</w:t>
      </w:r>
      <w:bookmarkEnd w:id="793"/>
      <w:bookmarkEnd w:id="794"/>
      <w:bookmarkEnd w:id="795"/>
      <w:bookmarkEnd w:id="796"/>
      <w:bookmarkEnd w:id="797"/>
      <w:bookmarkEnd w:id="798"/>
    </w:p>
    <w:p w14:paraId="69FC0F2C">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2" w:firstLineChars="200"/>
        <w:jc w:val="left"/>
        <w:textAlignment w:val="auto"/>
        <w:outlineLvl w:val="2"/>
        <w:rPr>
          <w:rFonts w:hint="eastAsia" w:ascii="仿宋" w:hAnsi="仿宋" w:eastAsia="仿宋" w:cs="仿宋"/>
          <w:b/>
          <w:bCs/>
          <w:color w:val="auto"/>
          <w:sz w:val="21"/>
          <w:szCs w:val="21"/>
          <w:highlight w:val="none"/>
          <w:lang w:eastAsia="zh-CN"/>
        </w:rPr>
      </w:pPr>
      <w:bookmarkStart w:id="799" w:name="_Toc18292"/>
      <w:bookmarkStart w:id="800" w:name="_Toc20182"/>
      <w:bookmarkStart w:id="801" w:name="_Toc31341"/>
      <w:bookmarkStart w:id="802" w:name="_Toc31991"/>
      <w:bookmarkStart w:id="803" w:name="_Toc29430"/>
      <w:r>
        <w:rPr>
          <w:rFonts w:hint="eastAsia" w:ascii="仿宋" w:hAnsi="仿宋" w:eastAsia="仿宋" w:cs="仿宋"/>
          <w:b/>
          <w:bCs/>
          <w:color w:val="auto"/>
          <w:sz w:val="21"/>
          <w:szCs w:val="21"/>
          <w:highlight w:val="none"/>
          <w:lang w:eastAsia="zh-CN"/>
        </w:rPr>
        <w:t>4.1</w:t>
      </w:r>
      <w:bookmarkEnd w:id="799"/>
      <w:bookmarkEnd w:id="800"/>
      <w:bookmarkEnd w:id="801"/>
      <w:r>
        <w:rPr>
          <w:rFonts w:hint="eastAsia" w:ascii="仿宋" w:hAnsi="仿宋" w:eastAsia="仿宋" w:cs="仿宋"/>
          <w:b/>
          <w:bCs/>
          <w:color w:val="auto"/>
          <w:sz w:val="21"/>
          <w:szCs w:val="21"/>
          <w:highlight w:val="none"/>
          <w:lang w:eastAsia="zh-CN"/>
        </w:rPr>
        <w:t>投标文件的密封与标记</w:t>
      </w:r>
      <w:bookmarkEnd w:id="802"/>
      <w:bookmarkEnd w:id="803"/>
    </w:p>
    <w:p w14:paraId="4B9DC289">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lang w:val="en-US" w:eastAsia="zh-CN"/>
        </w:rPr>
        <w:t>4.1</w:t>
      </w:r>
      <w:r>
        <w:rPr>
          <w:rFonts w:hint="eastAsia" w:ascii="仿宋" w:hAnsi="仿宋" w:eastAsia="仿宋" w:cs="仿宋"/>
          <w:b w:val="0"/>
          <w:bCs w:val="0"/>
          <w:color w:val="auto"/>
          <w:sz w:val="21"/>
          <w:szCs w:val="21"/>
          <w:highlight w:val="none"/>
          <w:lang w:eastAsia="zh-CN"/>
        </w:rPr>
        <w:t>.1投标人进行电子交易应安装客户端软件—“政采云电子交易客户端”，并按照招标文件和电子交易平台的要求编制并加密投标文件。采购人未按规定加密的投标文件，电子交易平台将拒收并提示。</w:t>
      </w:r>
    </w:p>
    <w:p w14:paraId="62764302">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lang w:val="en-US" w:eastAsia="zh-CN"/>
        </w:rPr>
        <w:t>4.1</w:t>
      </w:r>
      <w:r>
        <w:rPr>
          <w:rFonts w:hint="eastAsia" w:ascii="仿宋" w:hAnsi="仿宋" w:eastAsia="仿宋" w:cs="仿宋"/>
          <w:b w:val="0"/>
          <w:bCs w:val="0"/>
          <w:color w:val="auto"/>
          <w:sz w:val="21"/>
          <w:szCs w:val="21"/>
          <w:highlight w:val="none"/>
          <w:lang w:eastAsia="zh-CN"/>
        </w:rPr>
        <w:t>.2使用“政采云电子交易客户端”需要提前申领CA数字证书。</w:t>
      </w:r>
    </w:p>
    <w:p w14:paraId="0A6493E0">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b/>
          <w:bCs/>
          <w:color w:val="auto"/>
          <w:sz w:val="21"/>
          <w:szCs w:val="21"/>
          <w:highlight w:val="none"/>
          <w:lang w:eastAsia="zh-CN"/>
        </w:rPr>
      </w:pPr>
      <w:r>
        <w:rPr>
          <w:rFonts w:hint="eastAsia" w:ascii="仿宋" w:hAnsi="仿宋" w:eastAsia="仿宋" w:cs="仿宋"/>
          <w:b w:val="0"/>
          <w:bCs w:val="0"/>
          <w:color w:val="auto"/>
          <w:sz w:val="21"/>
          <w:szCs w:val="21"/>
          <w:highlight w:val="none"/>
          <w:lang w:val="en-US" w:eastAsia="zh-CN"/>
        </w:rPr>
        <w:t>4.1</w:t>
      </w:r>
      <w:r>
        <w:rPr>
          <w:rFonts w:hint="eastAsia" w:ascii="仿宋" w:hAnsi="仿宋" w:eastAsia="仿宋" w:cs="仿宋"/>
          <w:b w:val="0"/>
          <w:bCs w:val="0"/>
          <w:color w:val="auto"/>
          <w:sz w:val="21"/>
          <w:szCs w:val="21"/>
          <w:highlight w:val="none"/>
          <w:lang w:eastAsia="zh-CN"/>
        </w:rPr>
        <w:t>.3为确保网上操作合法、有效和安全，投标人应当在投标文件提交截止时间前完成在“政府采购云平台”的身份认证，确保在电子交易过程中能够对相关数据电文进行加密和使用电子签名。</w:t>
      </w:r>
    </w:p>
    <w:p w14:paraId="695F8820">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2" w:firstLineChars="200"/>
        <w:jc w:val="left"/>
        <w:textAlignment w:val="auto"/>
        <w:outlineLvl w:val="2"/>
        <w:rPr>
          <w:rFonts w:hint="eastAsia" w:ascii="仿宋" w:hAnsi="仿宋" w:eastAsia="仿宋" w:cs="仿宋"/>
          <w:b/>
          <w:bCs/>
          <w:color w:val="auto"/>
          <w:sz w:val="21"/>
          <w:szCs w:val="21"/>
          <w:highlight w:val="none"/>
          <w:lang w:eastAsia="zh-CN"/>
        </w:rPr>
      </w:pPr>
      <w:bookmarkStart w:id="804" w:name="_Toc32367"/>
      <w:bookmarkStart w:id="805" w:name="_Toc17674"/>
      <w:bookmarkStart w:id="806" w:name="_Toc13081"/>
      <w:bookmarkStart w:id="807" w:name="_Toc18638"/>
      <w:bookmarkStart w:id="808" w:name="_Toc15059"/>
      <w:bookmarkStart w:id="809" w:name="_Toc19726"/>
      <w:bookmarkStart w:id="810" w:name="_Toc24624"/>
      <w:bookmarkStart w:id="811" w:name="_Toc18628"/>
      <w:bookmarkStart w:id="812" w:name="_Toc12351"/>
      <w:bookmarkStart w:id="813" w:name="_Toc8187"/>
      <w:bookmarkStart w:id="814" w:name="_Toc29642"/>
      <w:bookmarkStart w:id="815" w:name="_Toc11219"/>
      <w:bookmarkStart w:id="816" w:name="_Toc16146"/>
      <w:bookmarkStart w:id="817" w:name="_Toc32013"/>
      <w:bookmarkStart w:id="818" w:name="_Toc18774"/>
      <w:bookmarkStart w:id="819" w:name="_Toc22623"/>
      <w:bookmarkStart w:id="820" w:name="_Toc23985"/>
      <w:bookmarkStart w:id="821" w:name="_Toc18730"/>
      <w:bookmarkStart w:id="822" w:name="_Toc11262"/>
      <w:bookmarkStart w:id="823" w:name="_Toc6857"/>
      <w:bookmarkStart w:id="824" w:name="_Toc5474"/>
      <w:bookmarkStart w:id="825" w:name="_Toc14462"/>
      <w:bookmarkStart w:id="826" w:name="_Toc17116"/>
      <w:bookmarkStart w:id="827" w:name="_Toc32667"/>
      <w:bookmarkStart w:id="828" w:name="_Toc3155"/>
      <w:r>
        <w:rPr>
          <w:rFonts w:hint="eastAsia" w:ascii="仿宋" w:hAnsi="仿宋" w:eastAsia="仿宋" w:cs="仿宋"/>
          <w:b/>
          <w:bCs/>
          <w:color w:val="auto"/>
          <w:sz w:val="21"/>
          <w:szCs w:val="21"/>
          <w:highlight w:val="none"/>
          <w:lang w:eastAsia="zh-CN"/>
        </w:rPr>
        <w:t>4.2提交投标文件的截止时间和地点</w:t>
      </w:r>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p>
    <w:p w14:paraId="084EC922">
      <w:pPr>
        <w:pStyle w:val="35"/>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b/>
          <w:color w:val="auto"/>
          <w:sz w:val="21"/>
          <w:szCs w:val="21"/>
          <w:highlight w:val="none"/>
        </w:rPr>
      </w:pPr>
      <w:r>
        <w:rPr>
          <w:rFonts w:hint="eastAsia" w:ascii="仿宋" w:hAnsi="仿宋" w:eastAsia="仿宋" w:cs="仿宋"/>
          <w:color w:val="auto"/>
          <w:sz w:val="21"/>
          <w:szCs w:val="21"/>
          <w:highlight w:val="none"/>
          <w:lang w:val="en-US" w:eastAsia="zh-CN"/>
        </w:rPr>
        <w:t>4.2</w:t>
      </w:r>
      <w:r>
        <w:rPr>
          <w:rFonts w:hint="eastAsia" w:ascii="仿宋" w:hAnsi="仿宋" w:eastAsia="仿宋" w:cs="仿宋"/>
          <w:color w:val="auto"/>
          <w:sz w:val="21"/>
          <w:szCs w:val="21"/>
          <w:highlight w:val="none"/>
        </w:rPr>
        <w:t>.1投标文件的提交/上传不得迟于“</w:t>
      </w:r>
      <w:r>
        <w:rPr>
          <w:rFonts w:hint="eastAsia" w:ascii="仿宋" w:hAnsi="仿宋" w:eastAsia="仿宋" w:cs="仿宋"/>
          <w:b/>
          <w:bCs/>
          <w:color w:val="auto"/>
          <w:sz w:val="21"/>
          <w:szCs w:val="21"/>
          <w:highlight w:val="none"/>
          <w:lang w:eastAsia="zh-CN"/>
        </w:rPr>
        <w:t>投标人</w:t>
      </w:r>
      <w:r>
        <w:rPr>
          <w:rFonts w:hint="eastAsia" w:ascii="仿宋" w:hAnsi="仿宋" w:eastAsia="仿宋" w:cs="仿宋"/>
          <w:b/>
          <w:bCs/>
          <w:color w:val="auto"/>
          <w:sz w:val="21"/>
          <w:szCs w:val="21"/>
          <w:highlight w:val="none"/>
        </w:rPr>
        <w:t>须知前附表</w:t>
      </w:r>
      <w:r>
        <w:rPr>
          <w:rFonts w:hint="eastAsia" w:ascii="仿宋" w:hAnsi="仿宋" w:eastAsia="仿宋" w:cs="仿宋"/>
          <w:color w:val="auto"/>
          <w:sz w:val="21"/>
          <w:szCs w:val="21"/>
          <w:highlight w:val="none"/>
        </w:rPr>
        <w:t>”规定的提交投标文件截止时间。</w:t>
      </w:r>
      <w:r>
        <w:rPr>
          <w:rFonts w:hint="eastAsia" w:ascii="仿宋" w:hAnsi="仿宋" w:eastAsia="仿宋" w:cs="仿宋"/>
          <w:b/>
          <w:color w:val="auto"/>
          <w:sz w:val="21"/>
          <w:szCs w:val="21"/>
          <w:highlight w:val="none"/>
        </w:rPr>
        <w:t>逾期送达/上传的投标文件，将被拒收。</w:t>
      </w:r>
    </w:p>
    <w:p w14:paraId="4DD1F4F0">
      <w:pPr>
        <w:pStyle w:val="35"/>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4.2</w:t>
      </w:r>
      <w:r>
        <w:rPr>
          <w:rFonts w:hint="eastAsia" w:ascii="仿宋" w:hAnsi="仿宋" w:eastAsia="仿宋" w:cs="仿宋"/>
          <w:color w:val="auto"/>
          <w:sz w:val="21"/>
          <w:szCs w:val="21"/>
          <w:highlight w:val="none"/>
        </w:rPr>
        <w:t>.2</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必须在规定时间内将投标文件提交到“</w:t>
      </w:r>
      <w:r>
        <w:rPr>
          <w:rFonts w:hint="eastAsia" w:ascii="仿宋" w:hAnsi="仿宋" w:eastAsia="仿宋" w:cs="仿宋"/>
          <w:b/>
          <w:bCs/>
          <w:color w:val="auto"/>
          <w:sz w:val="21"/>
          <w:szCs w:val="21"/>
          <w:highlight w:val="none"/>
          <w:lang w:eastAsia="zh-CN"/>
        </w:rPr>
        <w:t>投标人</w:t>
      </w:r>
      <w:r>
        <w:rPr>
          <w:rFonts w:hint="eastAsia" w:ascii="仿宋" w:hAnsi="仿宋" w:eastAsia="仿宋" w:cs="仿宋"/>
          <w:b/>
          <w:bCs/>
          <w:color w:val="auto"/>
          <w:sz w:val="21"/>
          <w:szCs w:val="21"/>
          <w:highlight w:val="none"/>
        </w:rPr>
        <w:t>须知前附表</w:t>
      </w:r>
      <w:r>
        <w:rPr>
          <w:rFonts w:hint="eastAsia" w:ascii="仿宋" w:hAnsi="仿宋" w:eastAsia="仿宋" w:cs="仿宋"/>
          <w:color w:val="auto"/>
          <w:sz w:val="21"/>
          <w:szCs w:val="21"/>
          <w:highlight w:val="none"/>
        </w:rPr>
        <w:t>”规定的地点。</w:t>
      </w:r>
    </w:p>
    <w:p w14:paraId="69FEFC62">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b/>
          <w:bCs/>
          <w:color w:val="auto"/>
          <w:sz w:val="21"/>
          <w:szCs w:val="21"/>
          <w:highlight w:val="none"/>
          <w:lang w:eastAsia="zh-CN"/>
        </w:rPr>
      </w:pPr>
      <w:r>
        <w:rPr>
          <w:rFonts w:hint="eastAsia" w:ascii="仿宋" w:hAnsi="仿宋" w:eastAsia="仿宋" w:cs="仿宋"/>
          <w:color w:val="auto"/>
          <w:sz w:val="21"/>
          <w:szCs w:val="21"/>
          <w:highlight w:val="none"/>
          <w:lang w:val="en-US" w:eastAsia="zh-CN"/>
        </w:rPr>
        <w:t>4.2</w:t>
      </w:r>
      <w:r>
        <w:rPr>
          <w:rFonts w:hint="eastAsia" w:ascii="仿宋" w:hAnsi="仿宋" w:eastAsia="仿宋" w:cs="仿宋"/>
          <w:color w:val="auto"/>
          <w:sz w:val="21"/>
          <w:szCs w:val="21"/>
          <w:highlight w:val="none"/>
        </w:rPr>
        <w:t>.3除“</w:t>
      </w:r>
      <w:r>
        <w:rPr>
          <w:rFonts w:hint="eastAsia" w:ascii="仿宋" w:hAnsi="仿宋" w:eastAsia="仿宋" w:cs="仿宋"/>
          <w:b/>
          <w:color w:val="auto"/>
          <w:sz w:val="21"/>
          <w:szCs w:val="21"/>
          <w:highlight w:val="none"/>
          <w:lang w:eastAsia="zh-CN"/>
        </w:rPr>
        <w:t>投标人</w:t>
      </w:r>
      <w:r>
        <w:rPr>
          <w:rFonts w:hint="eastAsia" w:ascii="仿宋" w:hAnsi="仿宋" w:eastAsia="仿宋" w:cs="仿宋"/>
          <w:b/>
          <w:color w:val="auto"/>
          <w:sz w:val="21"/>
          <w:szCs w:val="21"/>
          <w:highlight w:val="none"/>
        </w:rPr>
        <w:t>须知前附表</w:t>
      </w:r>
      <w:r>
        <w:rPr>
          <w:rFonts w:hint="eastAsia" w:ascii="仿宋" w:hAnsi="仿宋" w:eastAsia="仿宋" w:cs="仿宋"/>
          <w:color w:val="auto"/>
          <w:sz w:val="21"/>
          <w:szCs w:val="21"/>
          <w:highlight w:val="none"/>
        </w:rPr>
        <w:t>”另有规定外，</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所递交的投标文件不予退还</w:t>
      </w:r>
      <w:r>
        <w:rPr>
          <w:rFonts w:hint="eastAsia" w:ascii="仿宋" w:hAnsi="仿宋" w:eastAsia="仿宋" w:cs="仿宋"/>
          <w:color w:val="auto"/>
          <w:sz w:val="21"/>
          <w:szCs w:val="21"/>
          <w:highlight w:val="none"/>
          <w:lang w:eastAsia="zh-CN"/>
        </w:rPr>
        <w:t>。</w:t>
      </w:r>
    </w:p>
    <w:p w14:paraId="0FDB02A5">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2" w:firstLineChars="200"/>
        <w:jc w:val="left"/>
        <w:textAlignment w:val="auto"/>
        <w:outlineLvl w:val="2"/>
        <w:rPr>
          <w:rFonts w:hint="eastAsia" w:ascii="仿宋" w:hAnsi="仿宋" w:eastAsia="仿宋" w:cs="仿宋"/>
          <w:b/>
          <w:bCs/>
          <w:color w:val="auto"/>
          <w:sz w:val="21"/>
          <w:szCs w:val="21"/>
          <w:highlight w:val="none"/>
          <w:lang w:eastAsia="zh-CN"/>
        </w:rPr>
      </w:pPr>
      <w:bookmarkStart w:id="829" w:name="_Toc30896"/>
      <w:bookmarkStart w:id="830" w:name="_Toc31782"/>
      <w:bookmarkStart w:id="831" w:name="_Toc10645"/>
      <w:bookmarkStart w:id="832" w:name="_Toc26138"/>
      <w:bookmarkStart w:id="833" w:name="_Toc21086"/>
      <w:bookmarkStart w:id="834" w:name="_Toc7481"/>
      <w:bookmarkStart w:id="835" w:name="_Toc17662"/>
      <w:bookmarkStart w:id="836" w:name="_Toc2575"/>
      <w:bookmarkStart w:id="837" w:name="_Toc22519"/>
      <w:bookmarkStart w:id="838" w:name="_Toc31811"/>
      <w:bookmarkStart w:id="839" w:name="_Toc24728"/>
      <w:bookmarkStart w:id="840" w:name="_Toc3574"/>
      <w:bookmarkStart w:id="841" w:name="_Toc29875"/>
      <w:bookmarkStart w:id="842" w:name="_Toc27673"/>
      <w:bookmarkStart w:id="843" w:name="_Toc17905"/>
      <w:bookmarkStart w:id="844" w:name="_Toc21136"/>
      <w:bookmarkStart w:id="845" w:name="_Toc4604"/>
      <w:bookmarkStart w:id="846" w:name="_Toc23469"/>
      <w:bookmarkStart w:id="847" w:name="_Toc24881"/>
      <w:bookmarkStart w:id="848" w:name="_Toc32103"/>
      <w:bookmarkStart w:id="849" w:name="_Toc19718"/>
      <w:bookmarkStart w:id="850" w:name="_Toc12267"/>
      <w:bookmarkStart w:id="851" w:name="_Toc9688"/>
      <w:bookmarkStart w:id="852" w:name="_Toc7992"/>
      <w:bookmarkStart w:id="853" w:name="_Toc25128"/>
      <w:r>
        <w:rPr>
          <w:rFonts w:hint="eastAsia" w:ascii="仿宋" w:hAnsi="仿宋" w:eastAsia="仿宋" w:cs="仿宋"/>
          <w:b/>
          <w:bCs/>
          <w:color w:val="auto"/>
          <w:sz w:val="21"/>
          <w:szCs w:val="21"/>
          <w:highlight w:val="none"/>
          <w:lang w:eastAsia="zh-CN"/>
        </w:rPr>
        <w:t>4.3电子投标文件的修改与撤回</w:t>
      </w:r>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p>
    <w:p w14:paraId="4E61AF3A">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lang w:eastAsia="zh-CN"/>
        </w:rPr>
        <w:t>3.</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lang w:eastAsia="zh-CN"/>
        </w:rPr>
        <w:t>在投标截止时间前，投标人可以撤回在网上已递交的投标文件，修改后重新上传，无须书面形式通知采购人。</w:t>
      </w:r>
    </w:p>
    <w:p w14:paraId="1473529B">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4.3.2</w:t>
      </w:r>
      <w:r>
        <w:rPr>
          <w:rFonts w:hint="eastAsia" w:ascii="仿宋" w:hAnsi="仿宋" w:eastAsia="仿宋" w:cs="仿宋"/>
          <w:color w:val="auto"/>
          <w:sz w:val="21"/>
          <w:szCs w:val="21"/>
          <w:highlight w:val="none"/>
          <w:lang w:eastAsia="zh-CN"/>
        </w:rPr>
        <w:t>修改的投标文件应按照本章第</w:t>
      </w:r>
      <w:r>
        <w:rPr>
          <w:rFonts w:hint="eastAsia" w:ascii="仿宋" w:hAnsi="仿宋" w:eastAsia="仿宋" w:cs="仿宋"/>
          <w:color w:val="auto"/>
          <w:sz w:val="21"/>
          <w:szCs w:val="21"/>
          <w:highlight w:val="none"/>
          <w:lang w:val="en-US" w:eastAsia="zh-CN"/>
        </w:rPr>
        <w:t>3.6</w:t>
      </w:r>
      <w:r>
        <w:rPr>
          <w:rFonts w:hint="eastAsia" w:ascii="仿宋" w:hAnsi="仿宋" w:eastAsia="仿宋" w:cs="仿宋"/>
          <w:color w:val="auto"/>
          <w:sz w:val="21"/>
          <w:szCs w:val="21"/>
          <w:highlight w:val="none"/>
          <w:lang w:eastAsia="zh-CN"/>
        </w:rPr>
        <w:t>款、第</w:t>
      </w:r>
      <w:r>
        <w:rPr>
          <w:rFonts w:hint="eastAsia" w:ascii="仿宋" w:hAnsi="仿宋" w:eastAsia="仿宋" w:cs="仿宋"/>
          <w:color w:val="auto"/>
          <w:sz w:val="21"/>
          <w:szCs w:val="21"/>
          <w:highlight w:val="none"/>
          <w:lang w:val="en-US" w:eastAsia="zh-CN"/>
        </w:rPr>
        <w:t>4.1</w:t>
      </w:r>
      <w:r>
        <w:rPr>
          <w:rFonts w:hint="eastAsia" w:ascii="仿宋" w:hAnsi="仿宋" w:eastAsia="仿宋" w:cs="仿宋"/>
          <w:color w:val="auto"/>
          <w:sz w:val="21"/>
          <w:szCs w:val="21"/>
          <w:highlight w:val="none"/>
          <w:lang w:eastAsia="zh-CN"/>
        </w:rPr>
        <w:t>款的要求进行重新编制、加密和递交。</w:t>
      </w:r>
    </w:p>
    <w:p w14:paraId="29B7D195">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4.3.3</w:t>
      </w:r>
      <w:r>
        <w:rPr>
          <w:rFonts w:hint="eastAsia" w:ascii="仿宋" w:hAnsi="仿宋" w:eastAsia="仿宋" w:cs="仿宋"/>
          <w:color w:val="auto"/>
          <w:sz w:val="21"/>
          <w:szCs w:val="21"/>
          <w:highlight w:val="none"/>
          <w:lang w:eastAsia="zh-CN"/>
        </w:rPr>
        <w:t>在投标截止时间后递交的投标文件不予撤回。</w:t>
      </w:r>
    </w:p>
    <w:p w14:paraId="7E1D6B57">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jc w:val="left"/>
        <w:textAlignment w:val="auto"/>
        <w:rPr>
          <w:rFonts w:hint="eastAsia" w:ascii="仿宋" w:hAnsi="仿宋" w:eastAsia="仿宋" w:cs="仿宋"/>
          <w:color w:val="auto"/>
          <w:sz w:val="21"/>
          <w:szCs w:val="21"/>
          <w:highlight w:val="none"/>
          <w:lang w:eastAsia="zh-CN"/>
        </w:rPr>
      </w:pPr>
      <w:bookmarkStart w:id="854" w:name="_Toc29977"/>
      <w:bookmarkStart w:id="855" w:name="_Toc88646737"/>
      <w:bookmarkStart w:id="856" w:name="_Toc17444"/>
      <w:bookmarkStart w:id="857" w:name="_Toc2169"/>
      <w:bookmarkStart w:id="858" w:name="_Toc1890"/>
      <w:bookmarkStart w:id="859" w:name="_Toc88638763"/>
      <w:r>
        <w:rPr>
          <w:rFonts w:hint="eastAsia" w:ascii="仿宋" w:hAnsi="仿宋" w:eastAsia="仿宋" w:cs="仿宋"/>
          <w:color w:val="auto"/>
          <w:sz w:val="21"/>
          <w:szCs w:val="21"/>
          <w:highlight w:val="none"/>
          <w:lang w:eastAsia="zh-CN"/>
        </w:rPr>
        <w:t>5.开标</w:t>
      </w:r>
      <w:bookmarkEnd w:id="854"/>
      <w:bookmarkEnd w:id="855"/>
      <w:bookmarkEnd w:id="856"/>
      <w:bookmarkEnd w:id="857"/>
      <w:bookmarkEnd w:id="858"/>
      <w:bookmarkEnd w:id="859"/>
    </w:p>
    <w:p w14:paraId="24DB9A10">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lang w:eastAsia="zh-CN"/>
        </w:rPr>
        <w:t>.1采购代理机构将在“</w:t>
      </w:r>
      <w:r>
        <w:rPr>
          <w:rFonts w:hint="eastAsia" w:ascii="仿宋" w:hAnsi="仿宋" w:eastAsia="仿宋" w:cs="仿宋"/>
          <w:b/>
          <w:bCs/>
          <w:color w:val="auto"/>
          <w:sz w:val="21"/>
          <w:szCs w:val="21"/>
          <w:highlight w:val="none"/>
          <w:lang w:eastAsia="zh-CN"/>
        </w:rPr>
        <w:t>投标人须知前附表</w:t>
      </w:r>
      <w:r>
        <w:rPr>
          <w:rFonts w:hint="eastAsia" w:ascii="仿宋" w:hAnsi="仿宋" w:eastAsia="仿宋" w:cs="仿宋"/>
          <w:color w:val="auto"/>
          <w:sz w:val="21"/>
          <w:szCs w:val="21"/>
          <w:highlight w:val="none"/>
          <w:lang w:eastAsia="zh-CN"/>
        </w:rPr>
        <w:t>”规定的时间和地点进行开标。</w:t>
      </w:r>
    </w:p>
    <w:p w14:paraId="62D38AB8">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lang w:eastAsia="zh-CN"/>
        </w:rPr>
        <w:t>.2投标截止后投标人不足3家的，不得开标。</w:t>
      </w:r>
    </w:p>
    <w:p w14:paraId="73062B0C">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lang w:eastAsia="zh-CN"/>
        </w:rPr>
        <w:t>.3开标程序：</w:t>
      </w:r>
    </w:p>
    <w:p w14:paraId="696DE1A4">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开标会由采购代理机构主持，具体流程如下：</w:t>
      </w:r>
    </w:p>
    <w:p w14:paraId="40C4F12D">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（1）采购代理机构依托电子交易平台发起开始解密指令，投标人须使用加密时所用的CA锁按平台提示和招标文件的规定登录到“政采云”平台电子开标大厅签到，并在发起解密指令之时起</w:t>
      </w:r>
      <w:r>
        <w:rPr>
          <w:rFonts w:hint="eastAsia" w:ascii="仿宋" w:hAnsi="仿宋" w:eastAsia="仿宋" w:cs="仿宋"/>
          <w:color w:val="auto"/>
          <w:sz w:val="21"/>
          <w:szCs w:val="21"/>
          <w:highlight w:val="none"/>
          <w:lang w:val="en-US" w:eastAsia="zh-CN"/>
        </w:rPr>
        <w:t>30</w:t>
      </w:r>
      <w:r>
        <w:rPr>
          <w:rFonts w:hint="eastAsia" w:ascii="仿宋" w:hAnsi="仿宋" w:eastAsia="仿宋" w:cs="仿宋"/>
          <w:color w:val="auto"/>
          <w:sz w:val="21"/>
          <w:szCs w:val="21"/>
          <w:highlight w:val="none"/>
          <w:lang w:eastAsia="zh-CN"/>
        </w:rPr>
        <w:t>分钟内完成对电子投标文件在线解密。</w:t>
      </w:r>
    </w:p>
    <w:p w14:paraId="181880A4">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（2）发起解密指令之时起5分钟内投标人还未进行解密的，代理机构可通知投标人，投标人未预留联系方式或预留联系方式无效，导致代理机构无法联系到投标人进行解密的，视为撤回投标文件。</w:t>
      </w:r>
    </w:p>
    <w:p w14:paraId="424570EB">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（解密异常情况处理：详见本章7.</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lang w:eastAsia="zh-CN"/>
        </w:rPr>
        <w:t>电子交易活动的中止）如投标人成功解密投标文件，但未在“政采云”电子开标大厅参加开标的，视同认可开标过程和结果，由此产生的后果由投标人自行负责。</w:t>
      </w:r>
    </w:p>
    <w:p w14:paraId="1822FCD2">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0" w:firstLineChars="200"/>
        <w:jc w:val="left"/>
        <w:textAlignment w:val="auto"/>
        <w:outlineLvl w:val="2"/>
        <w:rPr>
          <w:rFonts w:hint="eastAsia" w:ascii="仿宋" w:hAnsi="仿宋" w:eastAsia="仿宋" w:cs="仿宋"/>
          <w:color w:val="auto"/>
          <w:sz w:val="21"/>
          <w:szCs w:val="21"/>
          <w:highlight w:val="none"/>
          <w:lang w:eastAsia="zh-CN"/>
        </w:rPr>
      </w:pPr>
      <w:bookmarkStart w:id="860" w:name="_Toc8009"/>
      <w:bookmarkStart w:id="861" w:name="_Toc27746"/>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lang w:eastAsia="zh-CN"/>
        </w:rPr>
        <w:t>.4开标工作人员将做开标记录。</w:t>
      </w:r>
      <w:bookmarkEnd w:id="860"/>
      <w:bookmarkEnd w:id="861"/>
    </w:p>
    <w:p w14:paraId="4D8A1E9E">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lang w:eastAsia="zh-CN"/>
        </w:rPr>
        <w:t>.5投标人代表对开标过程和开标记录有异义，以及认为采购人、采购代理机构相关工作人员有需要回避的情形的，应在线提出询问或者回避申请。采购人、采购代理机构对投标人代表提出的询问或者回避申请应当及时处理。</w:t>
      </w:r>
    </w:p>
    <w:p w14:paraId="026CB96F">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jc w:val="left"/>
        <w:textAlignment w:val="auto"/>
        <w:rPr>
          <w:rFonts w:hint="eastAsia" w:ascii="仿宋" w:hAnsi="仿宋" w:eastAsia="仿宋" w:cs="仿宋"/>
          <w:color w:val="auto"/>
          <w:sz w:val="21"/>
          <w:szCs w:val="21"/>
          <w:highlight w:val="none"/>
          <w:lang w:eastAsia="zh-CN"/>
        </w:rPr>
      </w:pPr>
      <w:bookmarkStart w:id="862" w:name="_Toc11868"/>
      <w:bookmarkStart w:id="863" w:name="_Toc8549"/>
      <w:bookmarkStart w:id="864" w:name="_Toc88646738"/>
      <w:bookmarkStart w:id="865" w:name="_Toc88638764"/>
      <w:bookmarkStart w:id="866" w:name="_Toc19702"/>
      <w:bookmarkStart w:id="867" w:name="_Toc7007"/>
      <w:r>
        <w:rPr>
          <w:rFonts w:hint="eastAsia" w:ascii="仿宋" w:hAnsi="仿宋" w:eastAsia="仿宋" w:cs="仿宋"/>
          <w:color w:val="auto"/>
          <w:sz w:val="21"/>
          <w:szCs w:val="21"/>
          <w:highlight w:val="none"/>
          <w:lang w:eastAsia="zh-CN"/>
        </w:rPr>
        <w:t>6.资格审查</w:t>
      </w:r>
      <w:bookmarkEnd w:id="862"/>
      <w:bookmarkEnd w:id="863"/>
      <w:bookmarkEnd w:id="864"/>
      <w:bookmarkEnd w:id="865"/>
      <w:bookmarkEnd w:id="866"/>
      <w:bookmarkEnd w:id="867"/>
    </w:p>
    <w:p w14:paraId="70EC4042">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开标结束后，采购人或者采购代理机构应当按照“资格审查</w:t>
      </w:r>
      <w:r>
        <w:rPr>
          <w:rFonts w:hint="eastAsia" w:ascii="仿宋" w:hAnsi="仿宋" w:eastAsia="仿宋" w:cs="仿宋"/>
          <w:color w:val="auto"/>
          <w:sz w:val="21"/>
          <w:szCs w:val="21"/>
          <w:highlight w:val="none"/>
          <w:lang w:val="en-US" w:eastAsia="zh-CN"/>
        </w:rPr>
        <w:t>标准</w:t>
      </w:r>
      <w:r>
        <w:rPr>
          <w:rFonts w:hint="eastAsia" w:ascii="仿宋" w:hAnsi="仿宋" w:eastAsia="仿宋" w:cs="仿宋"/>
          <w:color w:val="auto"/>
          <w:sz w:val="21"/>
          <w:szCs w:val="21"/>
          <w:highlight w:val="none"/>
          <w:lang w:eastAsia="zh-CN"/>
        </w:rPr>
        <w:t>”依法对投标人的资格进行审查，合格投标人不足3家的，不得评审。</w:t>
      </w:r>
      <w:bookmarkStart w:id="868" w:name="_Toc88646739"/>
      <w:bookmarkStart w:id="869" w:name="_Toc88638765"/>
    </w:p>
    <w:p w14:paraId="17D97632">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jc w:val="left"/>
        <w:textAlignment w:val="auto"/>
        <w:rPr>
          <w:rFonts w:hint="eastAsia" w:ascii="仿宋" w:hAnsi="仿宋" w:eastAsia="仿宋" w:cs="仿宋"/>
          <w:b/>
          <w:color w:val="auto"/>
          <w:sz w:val="21"/>
          <w:szCs w:val="21"/>
          <w:highlight w:val="none"/>
          <w:lang w:eastAsia="zh-CN"/>
        </w:rPr>
      </w:pPr>
      <w:bookmarkStart w:id="870" w:name="_Toc18569"/>
      <w:bookmarkStart w:id="871" w:name="_Toc27986"/>
      <w:bookmarkStart w:id="872" w:name="_Toc18953"/>
      <w:bookmarkStart w:id="873" w:name="_Toc4989"/>
      <w:r>
        <w:rPr>
          <w:rFonts w:hint="eastAsia" w:ascii="仿宋" w:hAnsi="仿宋" w:eastAsia="仿宋" w:cs="仿宋"/>
          <w:color w:val="auto"/>
          <w:sz w:val="21"/>
          <w:szCs w:val="21"/>
          <w:highlight w:val="none"/>
          <w:lang w:eastAsia="zh-CN"/>
        </w:rPr>
        <w:t>7.</w:t>
      </w:r>
      <w:bookmarkEnd w:id="868"/>
      <w:bookmarkEnd w:id="869"/>
      <w:bookmarkEnd w:id="870"/>
      <w:bookmarkEnd w:id="871"/>
      <w:r>
        <w:rPr>
          <w:rFonts w:hint="eastAsia" w:ascii="仿宋" w:hAnsi="仿宋" w:eastAsia="仿宋" w:cs="仿宋"/>
          <w:color w:val="auto"/>
          <w:sz w:val="21"/>
          <w:szCs w:val="21"/>
          <w:highlight w:val="none"/>
          <w:lang w:eastAsia="zh-CN"/>
        </w:rPr>
        <w:t>评审</w:t>
      </w:r>
      <w:bookmarkEnd w:id="872"/>
      <w:bookmarkEnd w:id="873"/>
    </w:p>
    <w:p w14:paraId="18F33E78">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2" w:firstLineChars="200"/>
        <w:jc w:val="left"/>
        <w:textAlignment w:val="auto"/>
        <w:outlineLvl w:val="2"/>
        <w:rPr>
          <w:rFonts w:hint="eastAsia" w:ascii="仿宋" w:hAnsi="仿宋" w:eastAsia="仿宋" w:cs="仿宋"/>
          <w:b/>
          <w:color w:val="auto"/>
          <w:sz w:val="21"/>
          <w:szCs w:val="21"/>
          <w:highlight w:val="none"/>
          <w:lang w:eastAsia="zh-CN"/>
        </w:rPr>
      </w:pPr>
      <w:bookmarkStart w:id="874" w:name="_Toc24982"/>
      <w:bookmarkStart w:id="875" w:name="_Toc5396"/>
      <w:bookmarkStart w:id="876" w:name="_Toc7368"/>
      <w:bookmarkStart w:id="877" w:name="_Toc1046"/>
      <w:bookmarkStart w:id="878" w:name="_Toc6011"/>
      <w:bookmarkStart w:id="879" w:name="_Toc26642"/>
      <w:bookmarkStart w:id="880" w:name="_Toc12777"/>
      <w:bookmarkStart w:id="881" w:name="_Toc28295"/>
      <w:bookmarkStart w:id="882" w:name="_Toc17064"/>
      <w:bookmarkStart w:id="883" w:name="_Toc2813"/>
      <w:bookmarkStart w:id="884" w:name="_Toc7316"/>
      <w:bookmarkStart w:id="885" w:name="_Toc18534"/>
      <w:bookmarkStart w:id="886" w:name="_Toc15086"/>
      <w:bookmarkStart w:id="887" w:name="_Toc5808"/>
      <w:bookmarkStart w:id="888" w:name="_Toc30816"/>
      <w:bookmarkStart w:id="889" w:name="_Toc237"/>
      <w:bookmarkStart w:id="890" w:name="_Toc27281"/>
      <w:bookmarkStart w:id="891" w:name="_Toc31367"/>
      <w:bookmarkStart w:id="892" w:name="_Toc634"/>
      <w:bookmarkStart w:id="893" w:name="_Toc32323"/>
      <w:bookmarkStart w:id="894" w:name="_Toc26312"/>
      <w:bookmarkStart w:id="895" w:name="_Toc5328"/>
      <w:bookmarkStart w:id="896" w:name="_Toc3823"/>
      <w:bookmarkStart w:id="897" w:name="_Toc18104"/>
      <w:bookmarkStart w:id="898" w:name="_Toc23054"/>
      <w:r>
        <w:rPr>
          <w:rFonts w:hint="eastAsia" w:ascii="仿宋" w:hAnsi="仿宋" w:eastAsia="仿宋" w:cs="仿宋"/>
          <w:b/>
          <w:color w:val="auto"/>
          <w:sz w:val="21"/>
          <w:szCs w:val="21"/>
          <w:highlight w:val="none"/>
          <w:lang w:eastAsia="zh-CN"/>
        </w:rPr>
        <w:t>7.1 评审委员会</w:t>
      </w:r>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p>
    <w:p w14:paraId="3EE33AB1">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7.1.1评审由采购人依法组建的评审委员会负责。评审委员会由采购人代表和有关技术、经济等方面的专家组成，成员人数应当为5人或以上单数。其中，技术、经济等方面的专家不得少于成员总数的三分之二。评审委员会应当推选组长，但采购人代表不得担任组长。</w:t>
      </w:r>
    </w:p>
    <w:p w14:paraId="211416EB">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7.1.2采购人委派代表参加评审委员会的，要向采购代理机构出具授权函。</w:t>
      </w:r>
    </w:p>
    <w:p w14:paraId="2358F787">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7.1.3评审委员会成员有下列情形之一的，应当回避：</w:t>
      </w:r>
    </w:p>
    <w:p w14:paraId="7CEC1D8D">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（1）投标人或投标人主要负责人的近亲属；</w:t>
      </w:r>
    </w:p>
    <w:p w14:paraId="4C9E0C34">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（2）项目主管部门或者行政监督部门的人员；</w:t>
      </w:r>
    </w:p>
    <w:p w14:paraId="0D57D2F7">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（3）与投标人有经济利益关系，可能影响对投标公正评审的；</w:t>
      </w:r>
    </w:p>
    <w:p w14:paraId="3617012D">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（4）曾因在招标、评审以及其他与招标投标有关活动中从事违法行为而受过行政处罚或刑事处罚的；</w:t>
      </w:r>
    </w:p>
    <w:p w14:paraId="3A7DF79D">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（5）与投标人有其他利害关系。</w:t>
      </w:r>
    </w:p>
    <w:p w14:paraId="0A81386F">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7.1.4评审过程中，评审委员会成员有回避事由、擅离职守或者因健康等原因不能继续评审的，采购人有权更换。被更换的评审委员会成员作出的评审结论无效，由更换后的评审委员会成员重新进行评审。</w:t>
      </w:r>
    </w:p>
    <w:p w14:paraId="0BC2029B">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2" w:firstLineChars="200"/>
        <w:jc w:val="left"/>
        <w:textAlignment w:val="auto"/>
        <w:outlineLvl w:val="2"/>
        <w:rPr>
          <w:rFonts w:hint="eastAsia" w:ascii="仿宋" w:hAnsi="仿宋" w:eastAsia="仿宋" w:cs="仿宋"/>
          <w:b/>
          <w:color w:val="auto"/>
          <w:sz w:val="21"/>
          <w:szCs w:val="21"/>
          <w:highlight w:val="none"/>
          <w:lang w:eastAsia="zh-CN"/>
        </w:rPr>
      </w:pPr>
      <w:bookmarkStart w:id="899" w:name="_Toc25458"/>
      <w:bookmarkStart w:id="900" w:name="_Toc4757"/>
      <w:bookmarkStart w:id="901" w:name="_Toc9538"/>
      <w:bookmarkStart w:id="902" w:name="_Toc31497"/>
      <w:bookmarkStart w:id="903" w:name="_Toc6000"/>
      <w:bookmarkStart w:id="904" w:name="_Toc14410"/>
      <w:bookmarkStart w:id="905" w:name="_Toc10667"/>
      <w:bookmarkStart w:id="906" w:name="_Toc4107"/>
      <w:bookmarkStart w:id="907" w:name="_Toc17967"/>
      <w:bookmarkStart w:id="908" w:name="_Toc14795"/>
      <w:bookmarkStart w:id="909" w:name="_Toc10498"/>
      <w:bookmarkStart w:id="910" w:name="_Toc22581"/>
      <w:bookmarkStart w:id="911" w:name="_Toc9835"/>
      <w:bookmarkStart w:id="912" w:name="_Toc31831"/>
      <w:bookmarkStart w:id="913" w:name="_Toc6592"/>
      <w:bookmarkStart w:id="914" w:name="_Toc26741"/>
      <w:bookmarkStart w:id="915" w:name="_Toc24358"/>
      <w:bookmarkStart w:id="916" w:name="_Toc22491"/>
      <w:bookmarkStart w:id="917" w:name="_Toc9462"/>
      <w:bookmarkStart w:id="918" w:name="_Toc5966"/>
      <w:bookmarkStart w:id="919" w:name="_Toc27686"/>
      <w:bookmarkStart w:id="920" w:name="_Toc10814"/>
      <w:bookmarkStart w:id="921" w:name="_Toc28761"/>
      <w:bookmarkStart w:id="922" w:name="_Toc6258"/>
      <w:bookmarkStart w:id="923" w:name="_Toc16829"/>
      <w:r>
        <w:rPr>
          <w:rFonts w:hint="eastAsia" w:ascii="仿宋" w:hAnsi="仿宋" w:eastAsia="仿宋" w:cs="仿宋"/>
          <w:b/>
          <w:color w:val="auto"/>
          <w:sz w:val="21"/>
          <w:szCs w:val="21"/>
          <w:highlight w:val="none"/>
          <w:lang w:eastAsia="zh-CN"/>
        </w:rPr>
        <w:t>7.2 评审原则</w:t>
      </w:r>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p>
    <w:p w14:paraId="4A6D6CE7">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评审活动遵循公平、公正、科学和择优的原则。</w:t>
      </w:r>
    </w:p>
    <w:p w14:paraId="2ACEF01C">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2" w:firstLineChars="200"/>
        <w:jc w:val="left"/>
        <w:textAlignment w:val="auto"/>
        <w:outlineLvl w:val="2"/>
        <w:rPr>
          <w:rFonts w:hint="eastAsia" w:ascii="仿宋" w:hAnsi="仿宋" w:eastAsia="仿宋" w:cs="仿宋"/>
          <w:b/>
          <w:color w:val="auto"/>
          <w:sz w:val="21"/>
          <w:szCs w:val="21"/>
          <w:highlight w:val="none"/>
          <w:lang w:eastAsia="zh-CN"/>
        </w:rPr>
      </w:pPr>
      <w:bookmarkStart w:id="924" w:name="_Toc22573"/>
      <w:bookmarkStart w:id="925" w:name="_Toc31257"/>
      <w:bookmarkStart w:id="926" w:name="_Toc9696"/>
      <w:bookmarkStart w:id="927" w:name="_Toc30566"/>
      <w:bookmarkStart w:id="928" w:name="_Toc10907"/>
      <w:bookmarkStart w:id="929" w:name="_Toc4202"/>
      <w:bookmarkStart w:id="930" w:name="_Toc14602"/>
      <w:bookmarkStart w:id="931" w:name="_Toc26761"/>
      <w:bookmarkStart w:id="932" w:name="_Toc20203"/>
      <w:bookmarkStart w:id="933" w:name="_Toc9727"/>
      <w:bookmarkStart w:id="934" w:name="_Toc17322"/>
      <w:bookmarkStart w:id="935" w:name="_Toc25721"/>
      <w:bookmarkStart w:id="936" w:name="_Toc13678"/>
      <w:bookmarkStart w:id="937" w:name="_Toc15958"/>
      <w:bookmarkStart w:id="938" w:name="_Toc30704"/>
      <w:bookmarkStart w:id="939" w:name="_Toc17114"/>
      <w:bookmarkStart w:id="940" w:name="_Toc27928"/>
      <w:bookmarkStart w:id="941" w:name="_Toc24703"/>
      <w:bookmarkStart w:id="942" w:name="_Toc10237"/>
      <w:bookmarkStart w:id="943" w:name="_Toc6360"/>
      <w:bookmarkStart w:id="944" w:name="_Toc12123"/>
      <w:bookmarkStart w:id="945" w:name="_Toc19852"/>
      <w:bookmarkStart w:id="946" w:name="_Toc1911"/>
      <w:bookmarkStart w:id="947" w:name="_Toc104"/>
      <w:bookmarkStart w:id="948" w:name="_Toc18694"/>
      <w:r>
        <w:rPr>
          <w:rFonts w:hint="eastAsia" w:ascii="仿宋" w:hAnsi="仿宋" w:eastAsia="仿宋" w:cs="仿宋"/>
          <w:b/>
          <w:color w:val="auto"/>
          <w:sz w:val="21"/>
          <w:szCs w:val="21"/>
          <w:highlight w:val="none"/>
          <w:lang w:eastAsia="zh-CN"/>
        </w:rPr>
        <w:t xml:space="preserve">7.3 </w:t>
      </w:r>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r>
        <w:rPr>
          <w:rFonts w:hint="eastAsia" w:ascii="仿宋" w:hAnsi="仿宋" w:eastAsia="仿宋" w:cs="仿宋"/>
          <w:b/>
          <w:color w:val="auto"/>
          <w:sz w:val="21"/>
          <w:szCs w:val="21"/>
          <w:highlight w:val="none"/>
          <w:lang w:eastAsia="zh-CN"/>
        </w:rPr>
        <w:t>评审</w:t>
      </w:r>
      <w:bookmarkEnd w:id="944"/>
      <w:bookmarkEnd w:id="945"/>
      <w:bookmarkEnd w:id="946"/>
      <w:bookmarkEnd w:id="947"/>
      <w:bookmarkEnd w:id="948"/>
    </w:p>
    <w:p w14:paraId="44EAFB18">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7.3.1评审委员会按照“第三章</w:t>
      </w:r>
      <w:r>
        <w:rPr>
          <w:rFonts w:hint="eastAsia" w:ascii="仿宋" w:hAnsi="仿宋" w:eastAsia="仿宋" w:cs="仿宋"/>
          <w:color w:val="auto"/>
          <w:sz w:val="21"/>
          <w:szCs w:val="21"/>
          <w:highlight w:val="none"/>
          <w:lang w:val="en-US" w:eastAsia="zh-CN"/>
        </w:rPr>
        <w:t xml:space="preserve"> 评审办法</w:t>
      </w:r>
      <w:r>
        <w:rPr>
          <w:rFonts w:hint="eastAsia" w:ascii="仿宋" w:hAnsi="仿宋" w:eastAsia="仿宋" w:cs="仿宋"/>
          <w:color w:val="auto"/>
          <w:sz w:val="21"/>
          <w:szCs w:val="21"/>
          <w:highlight w:val="none"/>
          <w:lang w:eastAsia="zh-CN"/>
        </w:rPr>
        <w:t>（综合评分法）”规定的方法、评审因素、标准和程序对投标文件进行评审。“第三章</w:t>
      </w:r>
      <w:r>
        <w:rPr>
          <w:rFonts w:hint="eastAsia" w:ascii="仿宋" w:hAnsi="仿宋" w:eastAsia="仿宋" w:cs="仿宋"/>
          <w:color w:val="auto"/>
          <w:sz w:val="21"/>
          <w:szCs w:val="21"/>
          <w:highlight w:val="none"/>
          <w:lang w:val="en-US" w:eastAsia="zh-CN"/>
        </w:rPr>
        <w:t xml:space="preserve"> 评审办法</w:t>
      </w:r>
      <w:r>
        <w:rPr>
          <w:rFonts w:hint="eastAsia" w:ascii="仿宋" w:hAnsi="仿宋" w:eastAsia="仿宋" w:cs="仿宋"/>
          <w:color w:val="auto"/>
          <w:sz w:val="21"/>
          <w:szCs w:val="21"/>
          <w:highlight w:val="none"/>
          <w:lang w:eastAsia="zh-CN"/>
        </w:rPr>
        <w:t>（综合评分法）”没有规定的方法、评审因素和标准，不作为评审依据。</w:t>
      </w:r>
    </w:p>
    <w:p w14:paraId="39A0F784">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7.3.2评审应当在严格保密的情况下进行。任何单位和个人不得非法干预、影响评审办法的确定，以及评审过程和结果。评审委员会成员和与评审活动有关的人员在政府采购活动中应严格遵守政府采购评审工作纪律，不得向外界泄露评审情况。</w:t>
      </w:r>
    </w:p>
    <w:p w14:paraId="73DF168F">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7.3.3有下列情形之一的，视为投标人串通投标，其投标无效：</w:t>
      </w:r>
    </w:p>
    <w:p w14:paraId="47FF564D">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（一）不同投标人的投标文件由同一单位或者个人编制；</w:t>
      </w:r>
    </w:p>
    <w:p w14:paraId="5550CEE0">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（二）不同投标人委托同一单位或者个人办理投标事宜；</w:t>
      </w:r>
    </w:p>
    <w:p w14:paraId="2097BAC1">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（三）不同投标人的投标文件载明的项目管理成员或者联系人员为同一人；</w:t>
      </w:r>
    </w:p>
    <w:p w14:paraId="590D2B0C">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（四）不同投标人的投标文件异常一致或者投标报价呈规律性差异；</w:t>
      </w:r>
    </w:p>
    <w:p w14:paraId="7514CFF2">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（五）不同投标人的投标文件相互混装；</w:t>
      </w:r>
    </w:p>
    <w:p w14:paraId="4AAD691A">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（六）不同投标人的投标保证金从同一单位或者个人的账户转出。</w:t>
      </w:r>
    </w:p>
    <w:p w14:paraId="6F42F5E3">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7.3.4提供相同品牌产品且通过资格审查、符合性审查的不同投标人参加同一招标项目包投标的，按一家投标人计算，评审后得分最高的同品牌投标人获得中标人推荐资格；评审得分相同的，评审委员会将依次按技术部分得分高优先、价格部分得分高优先、商务部分得分高优先的顺序确定；所有得分均相等的，采取随机抽取方式确定，其他同品牌投标人不作为中标候选人。</w:t>
      </w:r>
    </w:p>
    <w:p w14:paraId="351115B4">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7.3.5 若单个项目（包）为非单一产品采购项目，对于招标文件“第二章</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投标人须知”规定的核心产品，多家投标人提供的核心产品品牌有一项品牌相同的，按 7.3.4款规定处理。</w:t>
      </w:r>
    </w:p>
    <w:p w14:paraId="62DC45DE">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0" w:firstLineChars="200"/>
        <w:jc w:val="left"/>
        <w:textAlignment w:val="auto"/>
        <w:outlineLvl w:val="2"/>
        <w:rPr>
          <w:rFonts w:hint="eastAsia" w:ascii="仿宋" w:hAnsi="仿宋" w:eastAsia="仿宋" w:cs="仿宋"/>
          <w:color w:val="auto"/>
          <w:sz w:val="21"/>
          <w:szCs w:val="21"/>
          <w:highlight w:val="none"/>
          <w:lang w:eastAsia="zh-CN"/>
        </w:rPr>
      </w:pPr>
      <w:bookmarkStart w:id="949" w:name="_Toc25136"/>
      <w:bookmarkStart w:id="950" w:name="_Toc12090"/>
      <w:bookmarkStart w:id="951" w:name="_Toc9378"/>
      <w:bookmarkStart w:id="952" w:name="_Toc20099"/>
      <w:bookmarkStart w:id="953" w:name="_Toc5367"/>
      <w:bookmarkStart w:id="954" w:name="_Toc16997"/>
      <w:bookmarkStart w:id="955" w:name="_Toc30610"/>
      <w:bookmarkStart w:id="956" w:name="_Toc28517"/>
      <w:bookmarkStart w:id="957" w:name="_Toc20357"/>
      <w:bookmarkStart w:id="958" w:name="_Toc22518"/>
      <w:bookmarkStart w:id="959" w:name="_Toc4330"/>
      <w:bookmarkStart w:id="960" w:name="_Toc3363"/>
      <w:bookmarkStart w:id="961" w:name="_Toc27610"/>
      <w:bookmarkStart w:id="962" w:name="_Toc21194"/>
      <w:bookmarkStart w:id="963" w:name="_Toc16178"/>
      <w:bookmarkStart w:id="964" w:name="_Toc9494"/>
      <w:bookmarkStart w:id="965" w:name="_Toc6485"/>
      <w:bookmarkStart w:id="966" w:name="_Toc14962"/>
      <w:bookmarkStart w:id="967" w:name="_Toc20837"/>
      <w:bookmarkStart w:id="968" w:name="_Toc19990"/>
      <w:bookmarkStart w:id="969" w:name="_Toc5045"/>
      <w:bookmarkStart w:id="970" w:name="_Toc3588"/>
      <w:bookmarkStart w:id="971" w:name="_Toc18947"/>
      <w:bookmarkStart w:id="972" w:name="_Toc8099"/>
      <w:bookmarkStart w:id="973" w:name="_Toc6529"/>
      <w:r>
        <w:rPr>
          <w:rFonts w:hint="eastAsia" w:ascii="仿宋" w:hAnsi="仿宋" w:eastAsia="仿宋" w:cs="仿宋"/>
          <w:color w:val="auto"/>
          <w:sz w:val="21"/>
          <w:szCs w:val="21"/>
          <w:highlight w:val="none"/>
          <w:lang w:eastAsia="zh-CN"/>
        </w:rPr>
        <w:t>7.4 在招标采购中，出现下列情形之一的，应予废标：</w:t>
      </w:r>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p>
    <w:p w14:paraId="0BF8C33D">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（1）符合专业条件的投标人或者对招标文件做实质响应的投标人不足3家的；</w:t>
      </w:r>
    </w:p>
    <w:p w14:paraId="493A6332">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（2）出现影响采购公正的违法、违规行为的；</w:t>
      </w:r>
    </w:p>
    <w:p w14:paraId="0AB881CD">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（3）投标人的报价均超过了采购预算，采购人不能支付的；</w:t>
      </w:r>
    </w:p>
    <w:p w14:paraId="32B125BF">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（4）因重大变故，采购任务取消的。</w:t>
      </w:r>
    </w:p>
    <w:p w14:paraId="04B164D1">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0" w:firstLineChars="200"/>
        <w:jc w:val="left"/>
        <w:textAlignment w:val="auto"/>
        <w:outlineLvl w:val="2"/>
        <w:rPr>
          <w:rFonts w:hint="eastAsia" w:ascii="仿宋" w:hAnsi="仿宋" w:eastAsia="仿宋" w:cs="仿宋"/>
          <w:color w:val="auto"/>
          <w:sz w:val="21"/>
          <w:szCs w:val="21"/>
          <w:highlight w:val="none"/>
          <w:lang w:val="en-US" w:eastAsia="zh-CN"/>
        </w:rPr>
      </w:pPr>
      <w:bookmarkStart w:id="974" w:name="_Toc17010"/>
      <w:bookmarkStart w:id="975" w:name="_Toc6176"/>
      <w:r>
        <w:rPr>
          <w:rFonts w:hint="eastAsia" w:ascii="仿宋" w:hAnsi="仿宋" w:eastAsia="仿宋" w:cs="仿宋"/>
          <w:color w:val="auto"/>
          <w:sz w:val="21"/>
          <w:szCs w:val="21"/>
          <w:highlight w:val="none"/>
          <w:lang w:val="en-US" w:eastAsia="zh-CN"/>
        </w:rPr>
        <w:t>7.5电子交易活动的中止：</w:t>
      </w:r>
      <w:bookmarkEnd w:id="974"/>
      <w:bookmarkEnd w:id="975"/>
    </w:p>
    <w:p w14:paraId="06982506">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采购过程中出现以下情形，导致电子交易平台无法正常运行，或者无法保证电子交易的公平、公正和安全时，采购机构可中止电子交易活动：</w:t>
      </w:r>
    </w:p>
    <w:p w14:paraId="0F6A8DA8">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（1）电子交易平台发生故障而无法登录访问的；</w:t>
      </w:r>
    </w:p>
    <w:p w14:paraId="4D5D0933">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（2）电子交易平台应用或数据库出现错误，不能进行正常操作的；</w:t>
      </w:r>
    </w:p>
    <w:p w14:paraId="73BAA473">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（3）电子交易平台发现严重安全漏洞，有潜在泄密危险的；</w:t>
      </w:r>
    </w:p>
    <w:p w14:paraId="1DEC6C00">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（4）病毒发作导致不能进行正常操作的；</w:t>
      </w:r>
    </w:p>
    <w:p w14:paraId="5CD43CDF">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（4）其他无法保证电子交易的公平、公正和安全的情况。</w:t>
      </w:r>
    </w:p>
    <w:p w14:paraId="55E02E0B">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7.5.1 出现以上情形，不影响采购公平、公正性的，采购组织机构可以待上述情形消除后继续组织电子交易活动；影响或可能影响采购公平、公正性的，经采购代理机构确认后，应当重新采购。采购代理机构必须对原有的资料及信息做出妥善保密处理，并报财政部门备案。</w:t>
      </w:r>
      <w:bookmarkStart w:id="976" w:name="_Toc88638766"/>
      <w:bookmarkStart w:id="977" w:name="_Toc16257"/>
      <w:bookmarkStart w:id="978" w:name="_Toc88646740"/>
      <w:bookmarkStart w:id="979" w:name="_Toc25460"/>
    </w:p>
    <w:p w14:paraId="6F38C8A5">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jc w:val="left"/>
        <w:textAlignment w:val="auto"/>
        <w:rPr>
          <w:rFonts w:hint="eastAsia" w:ascii="仿宋" w:hAnsi="仿宋" w:eastAsia="仿宋" w:cs="仿宋"/>
          <w:b/>
          <w:color w:val="auto"/>
          <w:sz w:val="21"/>
          <w:szCs w:val="21"/>
          <w:highlight w:val="none"/>
          <w:lang w:eastAsia="zh-CN"/>
        </w:rPr>
      </w:pPr>
      <w:bookmarkStart w:id="980" w:name="_Toc14801"/>
      <w:bookmarkStart w:id="981" w:name="_Toc29153"/>
      <w:r>
        <w:rPr>
          <w:rFonts w:hint="eastAsia" w:ascii="仿宋" w:hAnsi="仿宋" w:eastAsia="仿宋" w:cs="仿宋"/>
          <w:color w:val="auto"/>
          <w:sz w:val="21"/>
          <w:szCs w:val="21"/>
          <w:highlight w:val="none"/>
          <w:lang w:eastAsia="zh-CN"/>
        </w:rPr>
        <w:t>8.中标和合同</w:t>
      </w:r>
      <w:bookmarkEnd w:id="976"/>
      <w:bookmarkEnd w:id="977"/>
      <w:bookmarkEnd w:id="978"/>
      <w:bookmarkEnd w:id="979"/>
      <w:bookmarkEnd w:id="980"/>
      <w:bookmarkEnd w:id="981"/>
    </w:p>
    <w:p w14:paraId="2406F0F9">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2" w:firstLineChars="200"/>
        <w:jc w:val="left"/>
        <w:textAlignment w:val="auto"/>
        <w:outlineLvl w:val="2"/>
        <w:rPr>
          <w:rFonts w:hint="eastAsia" w:ascii="仿宋" w:hAnsi="仿宋" w:eastAsia="仿宋" w:cs="仿宋"/>
          <w:b/>
          <w:color w:val="auto"/>
          <w:sz w:val="21"/>
          <w:szCs w:val="21"/>
          <w:highlight w:val="none"/>
          <w:lang w:eastAsia="zh-CN"/>
        </w:rPr>
      </w:pPr>
      <w:bookmarkStart w:id="982" w:name="_Toc16840"/>
      <w:bookmarkStart w:id="983" w:name="_Toc22747"/>
      <w:bookmarkStart w:id="984" w:name="_Toc11595"/>
      <w:bookmarkStart w:id="985" w:name="_Toc15274"/>
      <w:bookmarkStart w:id="986" w:name="_Toc19815"/>
      <w:bookmarkStart w:id="987" w:name="_Toc9537"/>
      <w:bookmarkStart w:id="988" w:name="_Toc7383"/>
      <w:bookmarkStart w:id="989" w:name="_Toc32665"/>
      <w:bookmarkStart w:id="990" w:name="_Toc13585"/>
      <w:bookmarkStart w:id="991" w:name="_Toc12421"/>
      <w:bookmarkStart w:id="992" w:name="_Toc20279"/>
      <w:bookmarkStart w:id="993" w:name="_Toc6799"/>
      <w:bookmarkStart w:id="994" w:name="_Toc29482"/>
      <w:bookmarkStart w:id="995" w:name="_Toc11208"/>
      <w:bookmarkStart w:id="996" w:name="_Toc27383"/>
      <w:bookmarkStart w:id="997" w:name="_Toc28286"/>
      <w:bookmarkStart w:id="998" w:name="_Toc5350"/>
      <w:bookmarkStart w:id="999" w:name="_Toc22135"/>
      <w:bookmarkStart w:id="1000" w:name="_Toc24037"/>
      <w:bookmarkStart w:id="1001" w:name="_Toc17332"/>
      <w:bookmarkStart w:id="1002" w:name="_Toc14560"/>
      <w:bookmarkStart w:id="1003" w:name="_Toc29865"/>
      <w:bookmarkStart w:id="1004" w:name="_Toc6758"/>
      <w:bookmarkStart w:id="1005" w:name="_Toc6062"/>
      <w:bookmarkStart w:id="1006" w:name="_Toc5448"/>
      <w:r>
        <w:rPr>
          <w:rFonts w:hint="eastAsia" w:ascii="仿宋" w:hAnsi="仿宋" w:eastAsia="仿宋" w:cs="仿宋"/>
          <w:b/>
          <w:color w:val="auto"/>
          <w:sz w:val="21"/>
          <w:szCs w:val="21"/>
          <w:highlight w:val="none"/>
          <w:lang w:eastAsia="zh-CN"/>
        </w:rPr>
        <w:t>8.1  中标人的确定</w:t>
      </w:r>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p>
    <w:p w14:paraId="406EC04A">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8.1.1采购代理机构应当在评审结束之日起2个工作日内将评审报告送采购人确认。</w:t>
      </w:r>
    </w:p>
    <w:p w14:paraId="7A6F551E">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color w:val="auto"/>
          <w:sz w:val="21"/>
          <w:szCs w:val="21"/>
          <w:highlight w:val="none"/>
          <w:lang w:eastAsia="zh-CN"/>
        </w:rPr>
        <w:t>8.1.2采购人应当在收到评审报告之日起5个工作日内，在评审报告中推荐的中标候选人中按顺序确定中标人。</w:t>
      </w:r>
    </w:p>
    <w:p w14:paraId="04E23C45">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2" w:firstLineChars="200"/>
        <w:jc w:val="left"/>
        <w:textAlignment w:val="auto"/>
        <w:outlineLvl w:val="2"/>
        <w:rPr>
          <w:rFonts w:hint="eastAsia" w:ascii="仿宋" w:hAnsi="仿宋" w:eastAsia="仿宋" w:cs="仿宋"/>
          <w:b/>
          <w:color w:val="auto"/>
          <w:sz w:val="21"/>
          <w:szCs w:val="21"/>
          <w:highlight w:val="none"/>
          <w:lang w:eastAsia="zh-CN"/>
        </w:rPr>
      </w:pPr>
      <w:bookmarkStart w:id="1007" w:name="_Toc6226"/>
      <w:bookmarkStart w:id="1008" w:name="_Toc10731"/>
      <w:bookmarkStart w:id="1009" w:name="_Toc6002"/>
      <w:bookmarkStart w:id="1010" w:name="_Toc9497"/>
      <w:bookmarkStart w:id="1011" w:name="_Toc4702"/>
      <w:bookmarkStart w:id="1012" w:name="_Toc28976"/>
      <w:bookmarkStart w:id="1013" w:name="_Toc27580"/>
      <w:bookmarkStart w:id="1014" w:name="_Toc29261"/>
      <w:bookmarkStart w:id="1015" w:name="_Toc7644"/>
      <w:bookmarkStart w:id="1016" w:name="_Toc28975"/>
      <w:bookmarkStart w:id="1017" w:name="_Toc9133"/>
      <w:bookmarkStart w:id="1018" w:name="_Toc25554"/>
      <w:bookmarkStart w:id="1019" w:name="_Toc2817"/>
      <w:bookmarkStart w:id="1020" w:name="_Toc8955"/>
      <w:bookmarkStart w:id="1021" w:name="_Toc27537"/>
      <w:bookmarkStart w:id="1022" w:name="_Toc27022"/>
      <w:bookmarkStart w:id="1023" w:name="_Toc21564"/>
      <w:bookmarkStart w:id="1024" w:name="_Toc23830"/>
      <w:bookmarkStart w:id="1025" w:name="_Toc16645"/>
      <w:bookmarkStart w:id="1026" w:name="_Toc22258"/>
      <w:bookmarkStart w:id="1027" w:name="_Toc24832"/>
      <w:bookmarkStart w:id="1028" w:name="_Toc23353"/>
      <w:bookmarkStart w:id="1029" w:name="_Toc3456"/>
      <w:bookmarkStart w:id="1030" w:name="_Toc21421"/>
      <w:bookmarkStart w:id="1031" w:name="_Toc14197"/>
      <w:r>
        <w:rPr>
          <w:rFonts w:hint="eastAsia" w:ascii="仿宋" w:hAnsi="仿宋" w:eastAsia="仿宋" w:cs="仿宋"/>
          <w:b/>
          <w:color w:val="auto"/>
          <w:sz w:val="21"/>
          <w:szCs w:val="21"/>
          <w:highlight w:val="none"/>
          <w:lang w:eastAsia="zh-CN"/>
        </w:rPr>
        <w:t>8.2中标通知书</w:t>
      </w:r>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p>
    <w:p w14:paraId="17B02E03">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8.2.1中标人确定之日起2个工作日内，采购代理机构在省级以上财政部门指定的媒体上公告中标结果，中标公告期限为1个工作日，同时向中标人发出中标通知书，向未中标人发出招标结果通知书。</w:t>
      </w:r>
    </w:p>
    <w:p w14:paraId="2A0B144F">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color w:val="auto"/>
          <w:sz w:val="21"/>
          <w:szCs w:val="21"/>
          <w:highlight w:val="none"/>
          <w:lang w:eastAsia="zh-CN"/>
        </w:rPr>
        <w:t>8.2.2中标通知书是合同的一个组成部分。</w:t>
      </w:r>
    </w:p>
    <w:p w14:paraId="6F680D42">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2" w:firstLineChars="200"/>
        <w:jc w:val="left"/>
        <w:textAlignment w:val="auto"/>
        <w:outlineLvl w:val="2"/>
        <w:rPr>
          <w:rFonts w:hint="eastAsia" w:ascii="仿宋" w:hAnsi="仿宋" w:eastAsia="仿宋" w:cs="仿宋"/>
          <w:b/>
          <w:color w:val="auto"/>
          <w:sz w:val="21"/>
          <w:szCs w:val="21"/>
          <w:highlight w:val="none"/>
          <w:lang w:eastAsia="zh-CN"/>
        </w:rPr>
      </w:pPr>
      <w:bookmarkStart w:id="1032" w:name="_Toc13213"/>
      <w:bookmarkStart w:id="1033" w:name="_Toc4509"/>
      <w:bookmarkStart w:id="1034" w:name="_Toc27171"/>
      <w:bookmarkStart w:id="1035" w:name="_Toc6406"/>
      <w:bookmarkStart w:id="1036" w:name="_Toc8949"/>
      <w:bookmarkStart w:id="1037" w:name="_Toc9437"/>
      <w:bookmarkStart w:id="1038" w:name="_Toc27005"/>
      <w:bookmarkStart w:id="1039" w:name="_Toc29513"/>
      <w:bookmarkStart w:id="1040" w:name="_Toc28865"/>
      <w:bookmarkStart w:id="1041" w:name="_Toc28592"/>
      <w:bookmarkStart w:id="1042" w:name="_Toc11756"/>
      <w:bookmarkStart w:id="1043" w:name="_Toc30552"/>
      <w:bookmarkStart w:id="1044" w:name="_Toc886"/>
      <w:bookmarkStart w:id="1045" w:name="_Toc15803"/>
      <w:bookmarkStart w:id="1046" w:name="_Toc10567"/>
      <w:bookmarkStart w:id="1047" w:name="_Toc32246"/>
      <w:bookmarkStart w:id="1048" w:name="_Toc12986"/>
      <w:bookmarkStart w:id="1049" w:name="_Toc12833"/>
      <w:bookmarkStart w:id="1050" w:name="_Toc3627"/>
      <w:bookmarkStart w:id="1051" w:name="_Toc21922"/>
      <w:bookmarkStart w:id="1052" w:name="_Toc5298"/>
      <w:bookmarkStart w:id="1053" w:name="_Toc19541"/>
      <w:bookmarkStart w:id="1054" w:name="_Toc20821"/>
      <w:bookmarkStart w:id="1055" w:name="_Toc2587"/>
      <w:bookmarkStart w:id="1056" w:name="_Toc4285"/>
      <w:r>
        <w:rPr>
          <w:rFonts w:hint="eastAsia" w:ascii="仿宋" w:hAnsi="仿宋" w:eastAsia="仿宋" w:cs="仿宋"/>
          <w:b/>
          <w:color w:val="auto"/>
          <w:sz w:val="21"/>
          <w:szCs w:val="21"/>
          <w:highlight w:val="none"/>
          <w:lang w:eastAsia="zh-CN"/>
        </w:rPr>
        <w:t>8.3签订合同</w:t>
      </w:r>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p>
    <w:p w14:paraId="524BEBD7">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8.3.1采购人与中标人应当在中标通知书发出之日起30日内，按照招标文件和中标人投标文件的规定签订政府采购合同。</w:t>
      </w:r>
    </w:p>
    <w:p w14:paraId="2651F037">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8.3.2中标人因不可抗力或者自身原因不能履行政府采购合同的，或中标人拒绝与采购人签订合同的，采购人可以按照评审报告推荐的中标候选人名单排序，确定下一候选人为中标人，也可以重新开展政府采购活动。</w:t>
      </w:r>
    </w:p>
    <w:p w14:paraId="7B97D849">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color w:val="auto"/>
          <w:sz w:val="21"/>
          <w:szCs w:val="21"/>
          <w:highlight w:val="none"/>
          <w:lang w:eastAsia="zh-CN"/>
        </w:rPr>
        <w:t>8.3.3政府采购合同履行中，采购人需追加与合同标的相同的货物的，在不改变合同其他条款的前提下，可以与中标人协商签订补充合同，但所有补充合同的采购金额不得超过原合同采购金额的10%。</w:t>
      </w:r>
    </w:p>
    <w:p w14:paraId="38ACC2A8">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2" w:firstLineChars="200"/>
        <w:jc w:val="left"/>
        <w:textAlignment w:val="auto"/>
        <w:outlineLvl w:val="2"/>
        <w:rPr>
          <w:rFonts w:hint="eastAsia" w:ascii="仿宋" w:hAnsi="仿宋" w:eastAsia="仿宋" w:cs="仿宋"/>
          <w:b/>
          <w:color w:val="auto"/>
          <w:sz w:val="21"/>
          <w:szCs w:val="21"/>
          <w:highlight w:val="none"/>
          <w:lang w:eastAsia="zh-CN"/>
        </w:rPr>
      </w:pPr>
      <w:bookmarkStart w:id="1057" w:name="_Toc27483"/>
      <w:bookmarkStart w:id="1058" w:name="_Toc24394"/>
      <w:bookmarkStart w:id="1059" w:name="_Toc27485"/>
      <w:bookmarkStart w:id="1060" w:name="_Toc19463"/>
      <w:bookmarkStart w:id="1061" w:name="_Toc11954"/>
      <w:bookmarkStart w:id="1062" w:name="_Toc7740"/>
      <w:bookmarkStart w:id="1063" w:name="_Toc14791"/>
      <w:bookmarkStart w:id="1064" w:name="_Toc14153"/>
      <w:bookmarkStart w:id="1065" w:name="_Toc9062"/>
      <w:bookmarkStart w:id="1066" w:name="_Toc31852"/>
      <w:bookmarkStart w:id="1067" w:name="_Toc21759"/>
      <w:bookmarkStart w:id="1068" w:name="_Toc271"/>
      <w:bookmarkStart w:id="1069" w:name="_Toc7844"/>
      <w:bookmarkStart w:id="1070" w:name="_Toc1424"/>
      <w:bookmarkStart w:id="1071" w:name="_Toc29007"/>
      <w:bookmarkStart w:id="1072" w:name="_Toc30979"/>
      <w:bookmarkStart w:id="1073" w:name="_Toc22875"/>
      <w:bookmarkStart w:id="1074" w:name="_Toc23478"/>
      <w:bookmarkStart w:id="1075" w:name="_Toc4575"/>
      <w:bookmarkStart w:id="1076" w:name="_Toc27715"/>
      <w:bookmarkStart w:id="1077" w:name="_Toc21476"/>
      <w:bookmarkStart w:id="1078" w:name="_Toc19011"/>
      <w:bookmarkStart w:id="1079" w:name="_Toc24934"/>
      <w:bookmarkStart w:id="1080" w:name="_Toc3019"/>
      <w:bookmarkStart w:id="1081" w:name="_Toc14642"/>
      <w:r>
        <w:rPr>
          <w:rFonts w:hint="eastAsia" w:ascii="仿宋" w:hAnsi="仿宋" w:eastAsia="仿宋" w:cs="仿宋"/>
          <w:b/>
          <w:color w:val="auto"/>
          <w:sz w:val="21"/>
          <w:szCs w:val="21"/>
          <w:highlight w:val="none"/>
          <w:lang w:eastAsia="zh-CN"/>
        </w:rPr>
        <w:t>8.4履约担保</w:t>
      </w:r>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p>
    <w:p w14:paraId="26D75055">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8.4.1中标人应按“投标人须知前附表”上确定的履约担保的金额及形式，向采购人提交履约担保，联合体中标的，其履约担保由牵头人递交。否则，视为放弃中标项目，投标保证金将不予退还。</w:t>
      </w:r>
    </w:p>
    <w:p w14:paraId="0F460387">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8.4.2签订合同后，如中标人不按双方签订合同约定履约，则没收其全部履约保证金，履约保证金不足以赔偿损失的，按实际损失赔偿。</w:t>
      </w:r>
      <w:bookmarkStart w:id="1082" w:name="_Toc88646741"/>
      <w:bookmarkStart w:id="1083" w:name="_Toc88638767"/>
    </w:p>
    <w:p w14:paraId="0491F300">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jc w:val="left"/>
        <w:textAlignment w:val="auto"/>
        <w:rPr>
          <w:rFonts w:hint="eastAsia" w:ascii="仿宋" w:hAnsi="仿宋" w:eastAsia="仿宋" w:cs="仿宋"/>
          <w:color w:val="auto"/>
          <w:sz w:val="21"/>
          <w:szCs w:val="21"/>
          <w:highlight w:val="none"/>
          <w:lang w:eastAsia="zh-CN"/>
        </w:rPr>
      </w:pPr>
      <w:bookmarkStart w:id="1084" w:name="_Toc20591"/>
      <w:bookmarkStart w:id="1085" w:name="_Toc15345"/>
      <w:bookmarkStart w:id="1086" w:name="_Toc1190"/>
      <w:bookmarkStart w:id="1087" w:name="_Toc17993"/>
      <w:r>
        <w:rPr>
          <w:rFonts w:hint="eastAsia" w:ascii="仿宋" w:hAnsi="仿宋" w:eastAsia="仿宋" w:cs="仿宋"/>
          <w:color w:val="auto"/>
          <w:sz w:val="21"/>
          <w:szCs w:val="21"/>
          <w:highlight w:val="none"/>
          <w:lang w:eastAsia="zh-CN"/>
        </w:rPr>
        <w:t>9.需要补充的其他内容</w:t>
      </w:r>
      <w:bookmarkEnd w:id="1082"/>
      <w:bookmarkEnd w:id="1083"/>
      <w:bookmarkEnd w:id="1084"/>
      <w:bookmarkEnd w:id="1085"/>
      <w:bookmarkEnd w:id="1086"/>
      <w:bookmarkEnd w:id="1087"/>
    </w:p>
    <w:p w14:paraId="4E05266A">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9.1中标人应在接受“中标通知书”前向采购代理机构一次付清代理服务费，代理机构向中标人收取代理服务费。</w:t>
      </w:r>
    </w:p>
    <w:p w14:paraId="0873FD30">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9.2投标文件全部采用电子文档，除投标人须知前附表另有规定外，投标文件所附证书证件均为原件扫描件。</w:t>
      </w:r>
    </w:p>
    <w:p w14:paraId="384B5E7F">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outlineLvl w:val="2"/>
        <w:rPr>
          <w:rFonts w:hint="eastAsia" w:ascii="仿宋" w:hAnsi="仿宋" w:eastAsia="仿宋" w:cs="仿宋"/>
          <w:color w:val="auto"/>
          <w:sz w:val="21"/>
          <w:szCs w:val="21"/>
          <w:highlight w:val="none"/>
          <w:lang w:eastAsia="zh-CN"/>
        </w:rPr>
      </w:pPr>
      <w:bookmarkStart w:id="1088" w:name="_Toc4772"/>
      <w:bookmarkStart w:id="1089" w:name="_Toc11635"/>
      <w:bookmarkStart w:id="1090" w:name="_Toc875"/>
      <w:bookmarkStart w:id="1091" w:name="_Toc28114"/>
      <w:bookmarkStart w:id="1092" w:name="_Toc29444"/>
      <w:bookmarkStart w:id="1093" w:name="_Toc21247"/>
      <w:bookmarkStart w:id="1094" w:name="_Toc22661"/>
      <w:bookmarkStart w:id="1095" w:name="_Toc26986"/>
      <w:bookmarkStart w:id="1096" w:name="_Toc30694"/>
      <w:bookmarkStart w:id="1097" w:name="_Toc16081"/>
      <w:bookmarkStart w:id="1098" w:name="_Toc30172"/>
      <w:bookmarkStart w:id="1099" w:name="_Toc15513"/>
      <w:bookmarkStart w:id="1100" w:name="_Toc7010"/>
      <w:bookmarkStart w:id="1101" w:name="_Toc26625"/>
      <w:bookmarkStart w:id="1102" w:name="_Toc19310"/>
      <w:bookmarkStart w:id="1103" w:name="_Toc19212"/>
      <w:bookmarkStart w:id="1104" w:name="_Toc6789"/>
      <w:bookmarkStart w:id="1105" w:name="_Toc18747"/>
      <w:bookmarkStart w:id="1106" w:name="_Toc19201"/>
      <w:bookmarkStart w:id="1107" w:name="_Toc30980"/>
      <w:bookmarkStart w:id="1108" w:name="_Toc30360"/>
      <w:bookmarkStart w:id="1109" w:name="_Toc5602"/>
      <w:bookmarkStart w:id="1110" w:name="_Toc12137"/>
      <w:bookmarkStart w:id="1111" w:name="_Toc29631"/>
      <w:bookmarkStart w:id="1112" w:name="_Toc11246"/>
      <w:r>
        <w:rPr>
          <w:rFonts w:hint="eastAsia" w:ascii="仿宋" w:hAnsi="仿宋" w:eastAsia="仿宋" w:cs="仿宋"/>
          <w:color w:val="auto"/>
          <w:sz w:val="21"/>
          <w:szCs w:val="21"/>
          <w:highlight w:val="none"/>
          <w:lang w:eastAsia="zh-CN"/>
        </w:rPr>
        <w:t>9.3需要补充的其他内容：见投标人须知前附表。</w:t>
      </w:r>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Start w:id="1113" w:name="_Toc93564616"/>
      <w:bookmarkStart w:id="1114" w:name="_Toc92998100"/>
    </w:p>
    <w:p w14:paraId="16D858F4">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jc w:val="left"/>
        <w:textAlignment w:val="auto"/>
        <w:rPr>
          <w:rFonts w:hint="eastAsia" w:ascii="仿宋" w:hAnsi="仿宋" w:eastAsia="仿宋" w:cs="仿宋"/>
          <w:b/>
          <w:bCs/>
          <w:color w:val="auto"/>
          <w:sz w:val="21"/>
          <w:szCs w:val="21"/>
          <w:highlight w:val="none"/>
          <w:lang w:eastAsia="zh-CN"/>
        </w:rPr>
      </w:pPr>
      <w:bookmarkStart w:id="1115" w:name="_Toc1705"/>
      <w:bookmarkStart w:id="1116" w:name="_Toc11925"/>
      <w:bookmarkStart w:id="1117" w:name="_Toc17919"/>
      <w:bookmarkStart w:id="1118" w:name="_Toc3681"/>
      <w:r>
        <w:rPr>
          <w:rFonts w:hint="eastAsia" w:ascii="仿宋" w:hAnsi="仿宋" w:eastAsia="仿宋" w:cs="仿宋"/>
          <w:color w:val="auto"/>
          <w:sz w:val="21"/>
          <w:szCs w:val="21"/>
          <w:highlight w:val="none"/>
          <w:lang w:eastAsia="zh-CN"/>
        </w:rPr>
        <w:t>10.政府采购政策</w:t>
      </w:r>
      <w:bookmarkEnd w:id="1113"/>
      <w:bookmarkEnd w:id="1114"/>
      <w:bookmarkEnd w:id="1115"/>
      <w:bookmarkEnd w:id="1116"/>
      <w:bookmarkEnd w:id="1117"/>
      <w:bookmarkEnd w:id="1118"/>
    </w:p>
    <w:p w14:paraId="5FA272EA">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2" w:firstLineChars="200"/>
        <w:jc w:val="left"/>
        <w:textAlignment w:val="auto"/>
        <w:outlineLvl w:val="2"/>
        <w:rPr>
          <w:rFonts w:hint="eastAsia" w:ascii="仿宋" w:hAnsi="仿宋" w:eastAsia="仿宋" w:cs="仿宋"/>
          <w:b/>
          <w:bCs/>
          <w:color w:val="auto"/>
          <w:sz w:val="21"/>
          <w:szCs w:val="21"/>
          <w:highlight w:val="none"/>
          <w:lang w:eastAsia="zh-CN"/>
        </w:rPr>
      </w:pPr>
      <w:bookmarkStart w:id="1119" w:name="_Toc4197"/>
      <w:bookmarkStart w:id="1120" w:name="_Toc15117"/>
      <w:bookmarkStart w:id="1121" w:name="_Toc6662"/>
      <w:bookmarkStart w:id="1122" w:name="_Toc17950"/>
      <w:bookmarkStart w:id="1123" w:name="_Toc25194"/>
      <w:bookmarkStart w:id="1124" w:name="_Toc26873"/>
      <w:bookmarkStart w:id="1125" w:name="_Toc21397"/>
      <w:bookmarkStart w:id="1126" w:name="_Toc22385"/>
      <w:bookmarkStart w:id="1127" w:name="_Toc27120"/>
      <w:bookmarkStart w:id="1128" w:name="_Toc1985"/>
      <w:bookmarkStart w:id="1129" w:name="_Toc12637"/>
      <w:bookmarkStart w:id="1130" w:name="_Toc29054"/>
      <w:bookmarkStart w:id="1131" w:name="_Toc31478"/>
      <w:bookmarkStart w:id="1132" w:name="_Toc18342"/>
      <w:bookmarkStart w:id="1133" w:name="_Toc4510"/>
      <w:bookmarkStart w:id="1134" w:name="_Toc4790"/>
      <w:bookmarkStart w:id="1135" w:name="_Toc3273"/>
      <w:bookmarkStart w:id="1136" w:name="_Toc10813"/>
      <w:bookmarkStart w:id="1137" w:name="_Toc21205"/>
      <w:bookmarkStart w:id="1138" w:name="_Toc32297"/>
      <w:bookmarkStart w:id="1139" w:name="_Toc14837"/>
      <w:bookmarkStart w:id="1140" w:name="_Toc24839"/>
      <w:bookmarkStart w:id="1141" w:name="_Toc23585"/>
      <w:bookmarkStart w:id="1142" w:name="_Toc22734"/>
      <w:bookmarkStart w:id="1143" w:name="_Toc7924"/>
      <w:r>
        <w:rPr>
          <w:rFonts w:hint="eastAsia" w:ascii="仿宋" w:hAnsi="仿宋" w:eastAsia="仿宋" w:cs="仿宋"/>
          <w:b/>
          <w:bCs/>
          <w:color w:val="auto"/>
          <w:sz w:val="21"/>
          <w:szCs w:val="21"/>
          <w:highlight w:val="none"/>
          <w:lang w:eastAsia="zh-CN"/>
        </w:rPr>
        <w:t>10.1关于中小企业</w:t>
      </w:r>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p>
    <w:p w14:paraId="0876903E">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10.1.1根据《关于印发〈政府采购促进中小企业发展管理办法〉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4D4018AF">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10.1.2在政府采购活动中，投标人提供的货物、工程或者服务符合下列情形的，享受中小企业扶持政策：</w:t>
      </w:r>
    </w:p>
    <w:p w14:paraId="137B4E6D">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（一）在货物采购项目中，货物</w:t>
      </w:r>
      <w:r>
        <w:rPr>
          <w:rFonts w:hint="eastAsia" w:ascii="仿宋" w:hAnsi="仿宋" w:eastAsia="仿宋" w:cs="仿宋"/>
          <w:color w:val="auto"/>
          <w:sz w:val="21"/>
          <w:szCs w:val="21"/>
          <w:highlight w:val="none"/>
          <w:lang w:val="en-US" w:eastAsia="zh-CN"/>
        </w:rPr>
        <w:t>由</w:t>
      </w:r>
      <w:r>
        <w:rPr>
          <w:rFonts w:hint="eastAsia" w:ascii="仿宋" w:hAnsi="仿宋" w:eastAsia="仿宋" w:cs="仿宋"/>
          <w:color w:val="auto"/>
          <w:sz w:val="21"/>
          <w:szCs w:val="21"/>
          <w:highlight w:val="none"/>
          <w:lang w:eastAsia="zh-CN"/>
        </w:rPr>
        <w:t>中小企业制造，即货物</w:t>
      </w:r>
      <w:r>
        <w:rPr>
          <w:rFonts w:hint="eastAsia" w:ascii="仿宋" w:hAnsi="仿宋" w:eastAsia="仿宋" w:cs="仿宋"/>
          <w:color w:val="auto"/>
          <w:sz w:val="21"/>
          <w:szCs w:val="21"/>
          <w:highlight w:val="none"/>
          <w:lang w:val="en-US" w:eastAsia="zh-CN"/>
        </w:rPr>
        <w:t>由</w:t>
      </w:r>
      <w:r>
        <w:rPr>
          <w:rFonts w:hint="eastAsia" w:ascii="仿宋" w:hAnsi="仿宋" w:eastAsia="仿宋" w:cs="仿宋"/>
          <w:color w:val="auto"/>
          <w:sz w:val="21"/>
          <w:szCs w:val="21"/>
          <w:highlight w:val="none"/>
          <w:lang w:eastAsia="zh-CN"/>
        </w:rPr>
        <w:t>中小企业生产且使用该中小企业商号或者注册商标；</w:t>
      </w:r>
    </w:p>
    <w:p w14:paraId="05C27147">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（二）在工程采购项目中，工程由中小企业承建，即工程施工单位为中小企业；</w:t>
      </w:r>
    </w:p>
    <w:p w14:paraId="1BFBD880">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（三）在服务采购项目中，服务由中小企业承接，即提供服务的人员为中小企业依照《中华人民共和国劳动合同法》订立劳动合同的从业人员。</w:t>
      </w:r>
    </w:p>
    <w:p w14:paraId="2A2E40E1">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在货物采购项目中，投标人提供的货物既有中小企业制造货物，也有大型企业制造货物的，不享受本办法规定的中小企业扶持政策。</w:t>
      </w:r>
    </w:p>
    <w:p w14:paraId="363E1DC7">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以联合体形式参加政府采购活动，联合体各方均为中小企业的，联合体视同中小企业。其中，联合体各方均为小微企业的，联合体视同小微企业。</w:t>
      </w:r>
    </w:p>
    <w:p w14:paraId="75F0FCA2">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10.1.3依据《政府采购促进中小企业发展管理办法》（财库〔2020〕46号）规定享受扶持政策获得政府采购合同的，小微企业不得将合同分包给大中型企业，中型企业不得将合同分包给大型企业。</w:t>
      </w:r>
    </w:p>
    <w:p w14:paraId="658A8B08">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10.1.4中小企业参加政府采购活动，应当出具本办法规定的《中小企业声明函》（后附），否则不得享受相关中小企业扶持政策。</w:t>
      </w:r>
    </w:p>
    <w:p w14:paraId="7A7F000E">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b/>
          <w:bCs/>
          <w:color w:val="auto"/>
          <w:sz w:val="21"/>
          <w:szCs w:val="21"/>
          <w:highlight w:val="none"/>
          <w:lang w:eastAsia="zh-CN"/>
        </w:rPr>
      </w:pPr>
      <w:r>
        <w:rPr>
          <w:rFonts w:hint="eastAsia" w:ascii="仿宋" w:hAnsi="仿宋" w:eastAsia="仿宋" w:cs="仿宋"/>
          <w:color w:val="auto"/>
          <w:sz w:val="21"/>
          <w:szCs w:val="21"/>
          <w:highlight w:val="none"/>
          <w:lang w:eastAsia="zh-CN"/>
        </w:rPr>
        <w:t>10.1.5本项目针对小微企业报价给予10%的扣除，用扣除后的价格参与评审。残疾人福利性单位属于小型、微型企业、监狱企业的，不重复享受政策。</w:t>
      </w:r>
    </w:p>
    <w:p w14:paraId="3F3A3976">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2" w:firstLineChars="200"/>
        <w:jc w:val="left"/>
        <w:textAlignment w:val="auto"/>
        <w:outlineLvl w:val="2"/>
        <w:rPr>
          <w:rFonts w:hint="eastAsia" w:ascii="仿宋" w:hAnsi="仿宋" w:eastAsia="仿宋" w:cs="仿宋"/>
          <w:b/>
          <w:bCs/>
          <w:color w:val="auto"/>
          <w:sz w:val="21"/>
          <w:szCs w:val="21"/>
          <w:highlight w:val="none"/>
          <w:lang w:eastAsia="zh-CN"/>
        </w:rPr>
      </w:pPr>
      <w:bookmarkStart w:id="1144" w:name="_Toc18063"/>
      <w:bookmarkStart w:id="1145" w:name="_Toc3770"/>
      <w:bookmarkStart w:id="1146" w:name="_Toc27763"/>
      <w:bookmarkStart w:id="1147" w:name="_Toc7532"/>
      <w:bookmarkStart w:id="1148" w:name="_Toc24419"/>
      <w:bookmarkStart w:id="1149" w:name="_Toc10464"/>
      <w:bookmarkStart w:id="1150" w:name="_Toc25448"/>
      <w:bookmarkStart w:id="1151" w:name="_Toc30609"/>
      <w:bookmarkStart w:id="1152" w:name="_Toc24850"/>
      <w:bookmarkStart w:id="1153" w:name="_Toc14125"/>
      <w:bookmarkStart w:id="1154" w:name="_Toc16854"/>
      <w:bookmarkStart w:id="1155" w:name="_Toc30189"/>
      <w:bookmarkStart w:id="1156" w:name="_Toc14557"/>
      <w:bookmarkStart w:id="1157" w:name="_Toc27217"/>
      <w:bookmarkStart w:id="1158" w:name="_Toc26464"/>
      <w:bookmarkStart w:id="1159" w:name="_Toc18855"/>
      <w:bookmarkStart w:id="1160" w:name="_Toc23403"/>
      <w:bookmarkStart w:id="1161" w:name="_Toc25071"/>
      <w:bookmarkStart w:id="1162" w:name="_Toc24584"/>
      <w:bookmarkStart w:id="1163" w:name="_Toc23131"/>
      <w:bookmarkStart w:id="1164" w:name="_Toc5892"/>
      <w:bookmarkStart w:id="1165" w:name="_Toc26450"/>
      <w:bookmarkStart w:id="1166" w:name="_Toc28330"/>
      <w:bookmarkStart w:id="1167" w:name="_Toc9320"/>
      <w:bookmarkStart w:id="1168" w:name="_Toc12318"/>
      <w:r>
        <w:rPr>
          <w:rFonts w:hint="eastAsia" w:ascii="仿宋" w:hAnsi="仿宋" w:eastAsia="仿宋" w:cs="仿宋"/>
          <w:b/>
          <w:bCs/>
          <w:color w:val="auto"/>
          <w:sz w:val="21"/>
          <w:szCs w:val="21"/>
          <w:highlight w:val="none"/>
          <w:lang w:eastAsia="zh-CN"/>
        </w:rPr>
        <w:t>10.2关于残疾人福利性单位：</w:t>
      </w:r>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p>
    <w:p w14:paraId="5B6AEA79">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10.2.1根据《关于促进残疾人就业政府采购政策的通知》（财库〔2017〕141号）的规定，享受政府采购支持政策的残疾人福利性单位应当同时满足以下条件：</w:t>
      </w:r>
    </w:p>
    <w:p w14:paraId="66DDF10B">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（一）安置的残疾人占本单位在职职工人数的比例不低于25%（含25%），并且安置的残疾人人数不少于10人（含10人）；</w:t>
      </w:r>
    </w:p>
    <w:p w14:paraId="75F645D7">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（二）依法与安置的每位残疾人签订了一年以上（含一年）的劳动合同或服务协议；</w:t>
      </w:r>
    </w:p>
    <w:p w14:paraId="4B2856A0">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（三）为安置的每位残疾人按月足额缴纳了基本养老保险、基本医疗保险、失业保险、工伤保险和生育保险等社会保险费；</w:t>
      </w:r>
    </w:p>
    <w:p w14:paraId="320CF280">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（四）通过银行等金融机构向安置的每位残疾人，按月支付了不低于单位所在区县适用的经省级人民政府批准的月最低工资标准的工资；</w:t>
      </w:r>
    </w:p>
    <w:p w14:paraId="4110162C">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（五）提供本单位制造的货物、承担的工程或者服务（以下简称产品），或者提供其他残疾人福利性单位制造的货物（不包括使用非残疾人福利性单位注册商标的货物）。</w:t>
      </w:r>
    </w:p>
    <w:p w14:paraId="541CE4A2">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7E3BBA0">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10.2.2符合条件的残疾人福利性单位在参加政府采购活动时，应当按《三部门联合发布关于促进残疾人就业政府采购政策的通知》（财库〔2017〕141号）提供规定的《残疾人福利性单位声明函》，并对声明的真实性负责。</w:t>
      </w:r>
    </w:p>
    <w:p w14:paraId="23990E30">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b/>
          <w:bCs/>
          <w:color w:val="auto"/>
          <w:sz w:val="21"/>
          <w:szCs w:val="21"/>
          <w:highlight w:val="none"/>
          <w:lang w:eastAsia="zh-CN"/>
        </w:rPr>
      </w:pPr>
      <w:r>
        <w:rPr>
          <w:rFonts w:hint="eastAsia" w:ascii="仿宋" w:hAnsi="仿宋" w:eastAsia="仿宋" w:cs="仿宋"/>
          <w:color w:val="auto"/>
          <w:sz w:val="21"/>
          <w:szCs w:val="21"/>
          <w:highlight w:val="none"/>
          <w:lang w:eastAsia="zh-CN"/>
        </w:rPr>
        <w:t>10.2.3本项目针对残疾人福利性单位产品的价格给予10%的扣除，</w:t>
      </w:r>
      <w:bookmarkStart w:id="1169" w:name="_Hlk92451014"/>
      <w:r>
        <w:rPr>
          <w:rFonts w:hint="eastAsia" w:ascii="仿宋" w:hAnsi="仿宋" w:eastAsia="仿宋" w:cs="仿宋"/>
          <w:color w:val="auto"/>
          <w:sz w:val="21"/>
          <w:szCs w:val="21"/>
          <w:highlight w:val="none"/>
          <w:lang w:eastAsia="zh-CN"/>
        </w:rPr>
        <w:t>用扣除后的价格参与评审。残疾人福利性单位属于小型、微型企业、监狱企业的，不重复享受政策。</w:t>
      </w:r>
      <w:bookmarkEnd w:id="1169"/>
    </w:p>
    <w:p w14:paraId="1F6806B3">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2" w:firstLineChars="200"/>
        <w:jc w:val="left"/>
        <w:textAlignment w:val="auto"/>
        <w:outlineLvl w:val="2"/>
        <w:rPr>
          <w:rFonts w:hint="eastAsia" w:ascii="仿宋" w:hAnsi="仿宋" w:eastAsia="仿宋" w:cs="仿宋"/>
          <w:b/>
          <w:bCs/>
          <w:color w:val="auto"/>
          <w:sz w:val="21"/>
          <w:szCs w:val="21"/>
          <w:highlight w:val="none"/>
          <w:lang w:eastAsia="zh-CN"/>
        </w:rPr>
      </w:pPr>
      <w:bookmarkStart w:id="1170" w:name="_Toc30148"/>
      <w:bookmarkStart w:id="1171" w:name="_Toc14900"/>
      <w:bookmarkStart w:id="1172" w:name="_Toc4967"/>
      <w:bookmarkStart w:id="1173" w:name="_Toc22425"/>
      <w:bookmarkStart w:id="1174" w:name="_Toc18091"/>
      <w:bookmarkStart w:id="1175" w:name="_Toc5994"/>
      <w:bookmarkStart w:id="1176" w:name="_Toc20795"/>
      <w:bookmarkStart w:id="1177" w:name="_Toc18644"/>
      <w:bookmarkStart w:id="1178" w:name="_Toc18563"/>
      <w:bookmarkStart w:id="1179" w:name="_Toc32119"/>
      <w:bookmarkStart w:id="1180" w:name="_Toc5069"/>
      <w:bookmarkStart w:id="1181" w:name="_Toc23464"/>
      <w:bookmarkStart w:id="1182" w:name="_Toc13224"/>
      <w:bookmarkStart w:id="1183" w:name="_Toc5951"/>
      <w:bookmarkStart w:id="1184" w:name="_Toc32466"/>
      <w:bookmarkStart w:id="1185" w:name="_Toc13318"/>
      <w:bookmarkStart w:id="1186" w:name="_Toc12803"/>
      <w:bookmarkStart w:id="1187" w:name="_Toc15741"/>
      <w:bookmarkStart w:id="1188" w:name="_Toc12326"/>
      <w:bookmarkStart w:id="1189" w:name="_Toc19197"/>
      <w:bookmarkStart w:id="1190" w:name="_Toc30074"/>
      <w:bookmarkStart w:id="1191" w:name="_Toc21410"/>
      <w:bookmarkStart w:id="1192" w:name="_Toc8916"/>
      <w:bookmarkStart w:id="1193" w:name="_Toc18013"/>
      <w:bookmarkStart w:id="1194" w:name="_Toc4230"/>
      <w:r>
        <w:rPr>
          <w:rFonts w:hint="eastAsia" w:ascii="仿宋" w:hAnsi="仿宋" w:eastAsia="仿宋" w:cs="仿宋"/>
          <w:b/>
          <w:bCs/>
          <w:color w:val="auto"/>
          <w:sz w:val="21"/>
          <w:szCs w:val="21"/>
          <w:highlight w:val="none"/>
          <w:lang w:eastAsia="zh-CN"/>
        </w:rPr>
        <w:t>10.3关于监狱企业：</w:t>
      </w:r>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p>
    <w:p w14:paraId="054A9D3E">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10.3.1依照〈财政部、司法部关于政府采购支持监狱企业发展有关问题的通知〉（财库〔2014〕68号）之规定，监狱企业应当符合以下条件：</w:t>
      </w:r>
    </w:p>
    <w:p w14:paraId="14FEBAC0">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10.3.2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18E52E5">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10.3.3 监狱企业参加政府采购活动时，视同小型、微型企业，应当提供由省级以上监狱管理局、戒毒管理局（含新疆生产建设兵团）出具的属于监狱企业的证明文件。</w:t>
      </w:r>
    </w:p>
    <w:p w14:paraId="6BCB8149">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b/>
          <w:bCs/>
          <w:color w:val="auto"/>
          <w:sz w:val="21"/>
          <w:szCs w:val="21"/>
          <w:highlight w:val="none"/>
          <w:lang w:eastAsia="zh-CN"/>
        </w:rPr>
      </w:pPr>
      <w:r>
        <w:rPr>
          <w:rFonts w:hint="eastAsia" w:ascii="仿宋" w:hAnsi="仿宋" w:eastAsia="仿宋" w:cs="仿宋"/>
          <w:color w:val="auto"/>
          <w:sz w:val="21"/>
          <w:szCs w:val="21"/>
          <w:highlight w:val="none"/>
          <w:lang w:eastAsia="zh-CN"/>
        </w:rPr>
        <w:t>10.3.4在政府采购活动中，监狱企业视同小型、微型企业，享受预留份额、评审中价格扣除等政府采购促进中小企业发展的政府采购政策。</w:t>
      </w:r>
    </w:p>
    <w:p w14:paraId="039A9989">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2" w:firstLineChars="200"/>
        <w:jc w:val="left"/>
        <w:textAlignment w:val="auto"/>
        <w:outlineLvl w:val="2"/>
        <w:rPr>
          <w:rFonts w:hint="eastAsia" w:ascii="仿宋" w:hAnsi="仿宋" w:eastAsia="仿宋" w:cs="仿宋"/>
          <w:b/>
          <w:bCs/>
          <w:color w:val="auto"/>
          <w:sz w:val="21"/>
          <w:szCs w:val="21"/>
          <w:highlight w:val="none"/>
          <w:lang w:eastAsia="zh-CN"/>
        </w:rPr>
      </w:pPr>
      <w:bookmarkStart w:id="1195" w:name="_Toc18066"/>
      <w:bookmarkStart w:id="1196" w:name="_Toc21064"/>
      <w:bookmarkStart w:id="1197" w:name="_Toc15547"/>
      <w:bookmarkStart w:id="1198" w:name="_Toc11183"/>
      <w:bookmarkStart w:id="1199" w:name="_Toc4251"/>
      <w:bookmarkStart w:id="1200" w:name="_Toc22542"/>
      <w:bookmarkStart w:id="1201" w:name="_Toc3072"/>
      <w:bookmarkStart w:id="1202" w:name="_Toc3063"/>
      <w:bookmarkStart w:id="1203" w:name="_Toc32120"/>
      <w:bookmarkStart w:id="1204" w:name="_Toc28275"/>
      <w:bookmarkStart w:id="1205" w:name="_Toc24366"/>
      <w:bookmarkStart w:id="1206" w:name="_Toc16111"/>
      <w:bookmarkStart w:id="1207" w:name="_Toc32189"/>
      <w:bookmarkStart w:id="1208" w:name="_Toc14085"/>
      <w:bookmarkStart w:id="1209" w:name="_Toc13576"/>
      <w:bookmarkStart w:id="1210" w:name="_Toc998"/>
      <w:bookmarkStart w:id="1211" w:name="_Toc13860"/>
      <w:bookmarkStart w:id="1212" w:name="_Toc7071"/>
      <w:bookmarkStart w:id="1213" w:name="_Toc27147"/>
      <w:bookmarkStart w:id="1214" w:name="_Toc15107"/>
      <w:bookmarkStart w:id="1215" w:name="_Toc25834"/>
      <w:bookmarkStart w:id="1216" w:name="_Toc27301"/>
      <w:bookmarkStart w:id="1217" w:name="_Toc3601"/>
      <w:bookmarkStart w:id="1218" w:name="_Toc18918"/>
      <w:bookmarkStart w:id="1219" w:name="_Toc18497"/>
      <w:r>
        <w:rPr>
          <w:rFonts w:hint="eastAsia" w:ascii="仿宋" w:hAnsi="仿宋" w:eastAsia="仿宋" w:cs="仿宋"/>
          <w:b/>
          <w:bCs/>
          <w:color w:val="auto"/>
          <w:sz w:val="21"/>
          <w:szCs w:val="21"/>
          <w:highlight w:val="none"/>
          <w:lang w:eastAsia="zh-CN"/>
        </w:rPr>
        <w:t>10.4关于节能产品及环境标志产品</w:t>
      </w:r>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p>
    <w:p w14:paraId="5B53837B">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10.4.1投标人提供经国家认定的节能产品或环保产品须提供有效证明材料方可得分。</w:t>
      </w:r>
    </w:p>
    <w:p w14:paraId="36D6AF07">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10.4.2节能产品是指列入财政部和发展改革委公布的《关于印发节能产品政府采购品目清单的通知》（财库〔2019〕19号）《节能产品政府采购品目清单》中的产品，其中以标注的政府强制采购产品。</w:t>
      </w:r>
    </w:p>
    <w:p w14:paraId="05ABDDD2">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10.4.3环境标志产品是指列入财政部和生态环境部公布的《关于印发环境标志产品政府采购品目清单的通知》（财库〔2019〕18号）《环境标志产品政府采购品目清单》中的产品。</w:t>
      </w:r>
    </w:p>
    <w:p w14:paraId="7D8580A2">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10.4.4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2E0E171A">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10.4.5投标人应在投标文件中提供所投标产品国家确定的认证机构出具的、处于有效期之内的节能产品、环境标志产品认证证书，否则不予认可。</w:t>
      </w:r>
    </w:p>
    <w:p w14:paraId="58FBF005">
      <w:pPr>
        <w:keepNext w:val="0"/>
        <w:keepLines w:val="0"/>
        <w:pageBreakBefore w:val="0"/>
        <w:widowControl w:val="0"/>
        <w:tabs>
          <w:tab w:val="left" w:pos="5727"/>
        </w:tabs>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color w:val="auto"/>
          <w:highlight w:val="none"/>
          <w:lang w:eastAsia="zh-CN"/>
        </w:rPr>
      </w:pPr>
      <w:r>
        <w:rPr>
          <w:rFonts w:hint="eastAsia" w:ascii="仿宋" w:hAnsi="仿宋" w:eastAsia="仿宋" w:cs="仿宋"/>
          <w:color w:val="auto"/>
          <w:sz w:val="21"/>
          <w:szCs w:val="21"/>
          <w:highlight w:val="none"/>
          <w:lang w:eastAsia="zh-CN"/>
        </w:rPr>
        <w:t>10.4.6《节能产品政府采购品目清单》及《环境标志产品政府采购品目清单》可通过中国政府采购网（http://www.ccgp.gov.cn/ ）查阅、下载。认证机构名录如若以现行最新规定为准。</w:t>
      </w:r>
    </w:p>
    <w:p w14:paraId="4D2E0F9F">
      <w:pPr>
        <w:pStyle w:val="683"/>
        <w:keepNext w:val="0"/>
        <w:keepLines w:val="0"/>
        <w:pageBreakBefore w:val="0"/>
        <w:widowControl w:val="0"/>
        <w:kinsoku/>
        <w:wordWrap w:val="0"/>
        <w:overflowPunct/>
        <w:topLinePunct/>
        <w:autoSpaceDE/>
        <w:autoSpaceDN/>
        <w:bidi w:val="0"/>
        <w:adjustRightInd/>
        <w:snapToGrid/>
        <w:spacing w:after="0" w:line="20" w:lineRule="atLeast"/>
        <w:ind w:left="0" w:right="0" w:rightChars="0" w:firstLine="422" w:firstLineChars="200"/>
        <w:contextualSpacing/>
        <w:jc w:val="left"/>
        <w:textAlignment w:val="auto"/>
        <w:rPr>
          <w:rFonts w:hint="eastAsia" w:ascii="仿宋" w:hAnsi="仿宋" w:eastAsia="仿宋" w:cs="仿宋"/>
          <w:b/>
          <w:bCs/>
          <w:snapToGrid w:val="0"/>
          <w:color w:val="auto"/>
          <w:kern w:val="0"/>
          <w:sz w:val="21"/>
          <w:szCs w:val="21"/>
          <w:highlight w:val="none"/>
          <w:u w:val="none"/>
          <w:lang w:val="en-US" w:eastAsia="zh-CN"/>
        </w:rPr>
      </w:pPr>
      <w:r>
        <w:rPr>
          <w:rFonts w:hint="eastAsia" w:ascii="仿宋" w:hAnsi="仿宋" w:eastAsia="仿宋" w:cs="仿宋"/>
          <w:b/>
          <w:bCs/>
          <w:color w:val="auto"/>
          <w:spacing w:val="0"/>
          <w:w w:val="100"/>
          <w:position w:val="0"/>
          <w:sz w:val="21"/>
          <w:szCs w:val="21"/>
          <w:highlight w:val="none"/>
          <w:lang w:val="en-US" w:eastAsia="zh-CN"/>
        </w:rPr>
        <w:t>10.5</w:t>
      </w:r>
      <w:r>
        <w:rPr>
          <w:rFonts w:hint="eastAsia" w:ascii="仿宋" w:hAnsi="仿宋" w:eastAsia="仿宋" w:cs="仿宋"/>
          <w:b/>
          <w:bCs/>
          <w:snapToGrid w:val="0"/>
          <w:color w:val="auto"/>
          <w:kern w:val="0"/>
          <w:sz w:val="21"/>
          <w:szCs w:val="21"/>
          <w:highlight w:val="none"/>
          <w:u w:val="none"/>
          <w:lang w:val="en-US" w:eastAsia="zh-CN"/>
        </w:rPr>
        <w:t>对本国产品的支持政策</w:t>
      </w:r>
    </w:p>
    <w:p w14:paraId="7177197C">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b w:val="0"/>
          <w:bCs w:val="0"/>
          <w:snapToGrid w:val="0"/>
          <w:color w:val="auto"/>
          <w:kern w:val="0"/>
          <w:sz w:val="21"/>
          <w:szCs w:val="21"/>
          <w:highlight w:val="none"/>
          <w:u w:val="none"/>
          <w:lang w:val="en-US" w:eastAsia="zh-CN"/>
        </w:rPr>
      </w:pPr>
      <w:r>
        <w:rPr>
          <w:rFonts w:hint="eastAsia" w:ascii="仿宋" w:hAnsi="仿宋" w:eastAsia="仿宋" w:cs="仿宋"/>
          <w:b w:val="0"/>
          <w:bCs w:val="0"/>
          <w:snapToGrid w:val="0"/>
          <w:color w:val="auto"/>
          <w:kern w:val="0"/>
          <w:sz w:val="21"/>
          <w:szCs w:val="21"/>
          <w:highlight w:val="none"/>
          <w:u w:val="none"/>
          <w:lang w:val="en-US" w:eastAsia="zh-CN"/>
        </w:rPr>
        <w:t>依据《国务院办公厅关于在政府采购中实施本国产品标准及相关政策的通知》（国办发〔2025〕34号）规定，政府采购活动中既有本国产品又有非本国产品参与竞争的，依法对本国产品给予价格评审优惠，对本国产品的报价给予20%的价格扣除，用扣除后的价格参与评审。</w:t>
      </w:r>
    </w:p>
    <w:p w14:paraId="019C6F82">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b w:val="0"/>
          <w:bCs w:val="0"/>
          <w:snapToGrid w:val="0"/>
          <w:color w:val="auto"/>
          <w:kern w:val="0"/>
          <w:sz w:val="21"/>
          <w:szCs w:val="21"/>
          <w:highlight w:val="none"/>
          <w:u w:val="none"/>
          <w:lang w:val="en-US" w:eastAsia="zh-CN"/>
        </w:rPr>
        <w:t>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p>
    <w:p w14:paraId="22CBF6F8">
      <w:pPr>
        <w:keepNext w:val="0"/>
        <w:keepLines w:val="0"/>
        <w:pageBreakBefore w:val="0"/>
        <w:widowControl w:val="0"/>
        <w:kinsoku/>
        <w:wordWrap w:val="0"/>
        <w:overflowPunct/>
        <w:topLinePunct/>
        <w:autoSpaceDE/>
        <w:autoSpaceDN/>
        <w:bidi w:val="0"/>
        <w:adjustRightInd/>
        <w:snapToGrid/>
        <w:spacing w:line="360" w:lineRule="auto"/>
        <w:ind w:right="0"/>
        <w:jc w:val="center"/>
        <w:textAlignment w:val="baseline"/>
        <w:rPr>
          <w:rFonts w:hint="eastAsia" w:ascii="仿宋" w:hAnsi="仿宋" w:eastAsia="仿宋" w:cs="仿宋"/>
          <w:color w:val="auto"/>
          <w:highlight w:val="none"/>
          <w:lang w:eastAsia="zh-CN"/>
        </w:rPr>
        <w:sectPr>
          <w:footerReference r:id="rId6" w:type="first"/>
          <w:footerReference r:id="rId5" w:type="default"/>
          <w:pgSz w:w="11906" w:h="16838"/>
          <w:pgMar w:top="1134" w:right="1134" w:bottom="1134" w:left="1134" w:header="709" w:footer="907" w:gutter="0"/>
          <w:pgBorders>
            <w:top w:val="none" w:sz="0" w:space="0"/>
            <w:left w:val="none" w:sz="0" w:space="0"/>
            <w:bottom w:val="none" w:sz="0" w:space="0"/>
            <w:right w:val="none" w:sz="0" w:space="0"/>
          </w:pgBorders>
          <w:pgNumType w:fmt="decimal"/>
          <w:cols w:space="720" w:num="1"/>
          <w:titlePg/>
          <w:rtlGutter w:val="0"/>
          <w:docGrid w:linePitch="299" w:charSpace="0"/>
        </w:sectPr>
      </w:pPr>
    </w:p>
    <w:p w14:paraId="52E44A6E">
      <w:pPr>
        <w:pStyle w:val="35"/>
        <w:keepNext w:val="0"/>
        <w:keepLines w:val="0"/>
        <w:pageBreakBefore w:val="0"/>
        <w:widowControl w:val="0"/>
        <w:kinsoku/>
        <w:wordWrap w:val="0"/>
        <w:overflowPunct/>
        <w:topLinePunct/>
        <w:autoSpaceDE/>
        <w:autoSpaceDN/>
        <w:bidi w:val="0"/>
        <w:adjustRightInd/>
        <w:snapToGrid/>
        <w:spacing w:line="360" w:lineRule="auto"/>
        <w:ind w:left="0" w:leftChars="0" w:right="0" w:firstLine="883" w:firstLineChars="200"/>
        <w:jc w:val="center"/>
        <w:textAlignment w:val="auto"/>
        <w:outlineLvl w:val="0"/>
        <w:rPr>
          <w:rStyle w:val="89"/>
          <w:rFonts w:hint="eastAsia" w:ascii="仿宋" w:hAnsi="仿宋" w:eastAsia="仿宋" w:cs="仿宋"/>
          <w:color w:val="auto"/>
          <w:highlight w:val="none"/>
          <w:lang w:eastAsia="zh-CN"/>
        </w:rPr>
      </w:pPr>
      <w:bookmarkStart w:id="1220" w:name="_Toc22403"/>
      <w:bookmarkStart w:id="1221" w:name="_Toc13501"/>
      <w:bookmarkStart w:id="1222" w:name="_Toc10107"/>
      <w:bookmarkStart w:id="1223" w:name="_Toc13343"/>
      <w:bookmarkStart w:id="1224" w:name="_Toc5596"/>
      <w:bookmarkStart w:id="1225" w:name="_Toc88646743"/>
      <w:bookmarkStart w:id="1226" w:name="_Toc88638769"/>
      <w:r>
        <w:rPr>
          <w:rStyle w:val="89"/>
          <w:rFonts w:hint="eastAsia" w:ascii="仿宋" w:hAnsi="仿宋" w:eastAsia="仿宋" w:cs="仿宋"/>
          <w:color w:val="auto"/>
          <w:highlight w:val="none"/>
          <w:lang w:eastAsia="zh-CN"/>
        </w:rPr>
        <w:t>第三章</w:t>
      </w:r>
      <w:r>
        <w:rPr>
          <w:rStyle w:val="89"/>
          <w:rFonts w:hint="eastAsia" w:ascii="仿宋" w:hAnsi="仿宋" w:eastAsia="仿宋" w:cs="仿宋"/>
          <w:color w:val="auto"/>
          <w:highlight w:val="none"/>
          <w:lang w:val="en-US" w:eastAsia="zh-CN"/>
        </w:rPr>
        <w:t xml:space="preserve"> </w:t>
      </w:r>
      <w:r>
        <w:rPr>
          <w:rStyle w:val="89"/>
          <w:rFonts w:hint="eastAsia" w:ascii="仿宋" w:hAnsi="仿宋" w:eastAsia="仿宋" w:cs="仿宋"/>
          <w:color w:val="auto"/>
          <w:highlight w:val="none"/>
          <w:lang w:eastAsia="zh-CN"/>
        </w:rPr>
        <w:t>评</w:t>
      </w:r>
      <w:r>
        <w:rPr>
          <w:rStyle w:val="89"/>
          <w:rFonts w:hint="eastAsia" w:ascii="仿宋" w:hAnsi="仿宋" w:eastAsia="仿宋" w:cs="仿宋"/>
          <w:color w:val="auto"/>
          <w:highlight w:val="none"/>
          <w:lang w:val="en-US" w:eastAsia="zh-CN"/>
        </w:rPr>
        <w:t>审</w:t>
      </w:r>
      <w:r>
        <w:rPr>
          <w:rStyle w:val="89"/>
          <w:rFonts w:hint="eastAsia" w:ascii="仿宋" w:hAnsi="仿宋" w:eastAsia="仿宋" w:cs="仿宋"/>
          <w:color w:val="auto"/>
          <w:highlight w:val="none"/>
          <w:lang w:eastAsia="zh-CN"/>
        </w:rPr>
        <w:t>办法（综合评分法）</w:t>
      </w:r>
      <w:bookmarkEnd w:id="1220"/>
      <w:bookmarkEnd w:id="1221"/>
    </w:p>
    <w:p w14:paraId="1122BEFE">
      <w:pPr>
        <w:pStyle w:val="3"/>
        <w:keepNext w:val="0"/>
        <w:keepLines w:val="0"/>
        <w:pageBreakBefore w:val="0"/>
        <w:widowControl w:val="0"/>
        <w:kinsoku/>
        <w:wordWrap w:val="0"/>
        <w:overflowPunct/>
        <w:topLinePunct/>
        <w:autoSpaceDE/>
        <w:autoSpaceDN/>
        <w:bidi w:val="0"/>
        <w:adjustRightInd/>
        <w:snapToGrid/>
        <w:spacing w:before="0" w:after="0" w:line="360" w:lineRule="auto"/>
        <w:ind w:left="0" w:leftChars="0" w:right="0"/>
        <w:jc w:val="left"/>
        <w:textAlignment w:val="auto"/>
        <w:rPr>
          <w:rFonts w:hint="eastAsia" w:ascii="仿宋" w:hAnsi="仿宋" w:eastAsia="仿宋" w:cs="仿宋"/>
          <w:color w:val="auto"/>
          <w:sz w:val="21"/>
          <w:szCs w:val="21"/>
          <w:highlight w:val="none"/>
          <w:lang w:eastAsia="zh-CN"/>
        </w:rPr>
      </w:pPr>
      <w:bookmarkStart w:id="1227" w:name="_Toc12578"/>
      <w:bookmarkStart w:id="1228" w:name="_Toc19425"/>
      <w:bookmarkStart w:id="1229" w:name="_Toc22597"/>
      <w:r>
        <w:rPr>
          <w:rFonts w:hint="eastAsia" w:ascii="仿宋" w:hAnsi="仿宋" w:eastAsia="仿宋" w:cs="仿宋"/>
          <w:color w:val="auto"/>
          <w:sz w:val="21"/>
          <w:szCs w:val="21"/>
          <w:highlight w:val="none"/>
          <w:lang w:val="en-US" w:eastAsia="zh-CN"/>
        </w:rPr>
        <w:t>1.评审标准前附表</w:t>
      </w:r>
      <w:bookmarkEnd w:id="1227"/>
      <w:bookmarkEnd w:id="1228"/>
      <w:bookmarkEnd w:id="1229"/>
    </w:p>
    <w:p w14:paraId="25C2F8F1">
      <w:pPr>
        <w:pStyle w:val="3"/>
        <w:keepNext w:val="0"/>
        <w:keepLines w:val="0"/>
        <w:pageBreakBefore w:val="0"/>
        <w:widowControl w:val="0"/>
        <w:kinsoku/>
        <w:wordWrap w:val="0"/>
        <w:overflowPunct/>
        <w:topLinePunct/>
        <w:autoSpaceDE/>
        <w:autoSpaceDN/>
        <w:bidi w:val="0"/>
        <w:adjustRightInd/>
        <w:snapToGrid/>
        <w:spacing w:before="0" w:after="0" w:line="360" w:lineRule="auto"/>
        <w:ind w:left="0" w:leftChars="0" w:right="0"/>
        <w:textAlignment w:val="auto"/>
        <w:outlineLvl w:val="2"/>
        <w:rPr>
          <w:rFonts w:hint="eastAsia" w:ascii="仿宋" w:hAnsi="仿宋" w:eastAsia="仿宋" w:cs="仿宋"/>
          <w:color w:val="auto"/>
          <w:sz w:val="21"/>
          <w:szCs w:val="21"/>
          <w:highlight w:val="none"/>
          <w:lang w:eastAsia="zh-CN"/>
        </w:rPr>
      </w:pPr>
      <w:bookmarkStart w:id="1230" w:name="_Toc2195"/>
      <w:bookmarkStart w:id="1231" w:name="_Toc25382"/>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lang w:eastAsia="zh-CN"/>
        </w:rPr>
        <w:t>）资格审查</w:t>
      </w:r>
      <w:r>
        <w:rPr>
          <w:rFonts w:hint="eastAsia" w:ascii="仿宋" w:hAnsi="仿宋" w:eastAsia="仿宋" w:cs="仿宋"/>
          <w:color w:val="auto"/>
          <w:sz w:val="21"/>
          <w:szCs w:val="21"/>
          <w:highlight w:val="none"/>
          <w:lang w:val="en-US" w:eastAsia="zh-CN"/>
        </w:rPr>
        <w:t>标准</w:t>
      </w:r>
      <w:bookmarkEnd w:id="1222"/>
      <w:bookmarkEnd w:id="1223"/>
      <w:bookmarkEnd w:id="1224"/>
      <w:bookmarkEnd w:id="1225"/>
      <w:bookmarkEnd w:id="1226"/>
      <w:bookmarkEnd w:id="1230"/>
      <w:bookmarkEnd w:id="1231"/>
    </w:p>
    <w:tbl>
      <w:tblPr>
        <w:tblStyle w:val="67"/>
        <w:tblW w:w="966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431"/>
        <w:gridCol w:w="5360"/>
        <w:gridCol w:w="2878"/>
      </w:tblGrid>
      <w:tr w14:paraId="630A8A8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8" w:hRule="atLeast"/>
          <w:jc w:val="center"/>
        </w:trPr>
        <w:tc>
          <w:tcPr>
            <w:tcW w:w="1431" w:type="dxa"/>
            <w:vAlign w:val="center"/>
          </w:tcPr>
          <w:p w14:paraId="2A6165C0">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lang w:val="en-US" w:eastAsia="zh-CN"/>
              </w:rPr>
              <w:t>类型</w:t>
            </w:r>
          </w:p>
        </w:tc>
        <w:tc>
          <w:tcPr>
            <w:tcW w:w="5360" w:type="dxa"/>
            <w:vAlign w:val="center"/>
          </w:tcPr>
          <w:p w14:paraId="4059BEDB">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default"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审查要求</w:t>
            </w:r>
          </w:p>
        </w:tc>
        <w:tc>
          <w:tcPr>
            <w:tcW w:w="2878" w:type="dxa"/>
            <w:vAlign w:val="center"/>
          </w:tcPr>
          <w:p w14:paraId="2BF6390A">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default"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要求说明</w:t>
            </w:r>
          </w:p>
        </w:tc>
      </w:tr>
      <w:tr w14:paraId="55642A0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719" w:hRule="atLeast"/>
          <w:jc w:val="center"/>
        </w:trPr>
        <w:tc>
          <w:tcPr>
            <w:tcW w:w="1431" w:type="dxa"/>
            <w:vAlign w:val="center"/>
          </w:tcPr>
          <w:p w14:paraId="6A94D1C0">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营业执照等证明材料</w:t>
            </w:r>
          </w:p>
        </w:tc>
        <w:tc>
          <w:tcPr>
            <w:tcW w:w="5360" w:type="dxa"/>
            <w:shd w:val="clear" w:color="auto" w:fill="auto"/>
            <w:vAlign w:val="center"/>
          </w:tcPr>
          <w:p w14:paraId="68E9864F">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420" w:firstLineChars="200"/>
              <w:jc w:val="left"/>
              <w:textAlignment w:val="auto"/>
              <w:rPr>
                <w:rFonts w:hint="eastAsia" w:ascii="仿宋" w:hAnsi="仿宋" w:eastAsia="仿宋" w:cs="仿宋"/>
                <w:b w:val="0"/>
                <w:bCs/>
                <w:snapToGrid w:val="0"/>
                <w:color w:val="auto"/>
                <w:kern w:val="2"/>
                <w:sz w:val="21"/>
                <w:szCs w:val="21"/>
                <w:highlight w:val="none"/>
                <w:lang w:val="en-US" w:eastAsia="zh-CN" w:bidi="ar-SA"/>
              </w:rPr>
            </w:pPr>
            <w:r>
              <w:rPr>
                <w:rFonts w:hint="eastAsia" w:ascii="仿宋" w:hAnsi="仿宋" w:eastAsia="仿宋" w:cs="仿宋"/>
                <w:b w:val="0"/>
                <w:bCs/>
                <w:color w:val="auto"/>
                <w:sz w:val="21"/>
                <w:szCs w:val="21"/>
                <w:highlight w:val="none"/>
                <w:lang w:eastAsia="zh-CN"/>
              </w:rPr>
              <w:t>具有独立承担民事责任能力的法人或其他组织，提供有效存续的营业执照或事业单位法人证书或非企业专业服务机构执业许可证或民办非企业单位登记证书或自然人的身份证明。</w:t>
            </w:r>
          </w:p>
        </w:tc>
        <w:tc>
          <w:tcPr>
            <w:tcW w:w="2878" w:type="dxa"/>
            <w:shd w:val="clear" w:color="auto" w:fill="auto"/>
            <w:vAlign w:val="center"/>
          </w:tcPr>
          <w:p w14:paraId="3D92E31C">
            <w:pPr>
              <w:keepNext w:val="0"/>
              <w:keepLines w:val="0"/>
              <w:pageBreakBefore w:val="0"/>
              <w:widowControl w:val="0"/>
              <w:kinsoku/>
              <w:wordWrap w:val="0"/>
              <w:overflowPunct/>
              <w:topLinePunct/>
              <w:autoSpaceDE/>
              <w:autoSpaceDN/>
              <w:bidi w:val="0"/>
              <w:adjustRightInd/>
              <w:snapToGrid/>
              <w:spacing w:line="360" w:lineRule="auto"/>
              <w:ind w:right="0" w:rightChars="0" w:firstLine="0" w:firstLineChars="0"/>
              <w:jc w:val="center"/>
              <w:textAlignment w:val="auto"/>
              <w:rPr>
                <w:rFonts w:hint="eastAsia" w:ascii="仿宋" w:hAnsi="仿宋" w:eastAsia="仿宋" w:cs="仿宋"/>
                <w:b w:val="0"/>
                <w:bCs/>
                <w:snapToGrid w:val="0"/>
                <w:color w:val="auto"/>
                <w:kern w:val="2"/>
                <w:sz w:val="21"/>
                <w:szCs w:val="21"/>
                <w:highlight w:val="none"/>
                <w:u w:val="single"/>
                <w:lang w:val="en-US" w:eastAsia="zh-CN" w:bidi="ar-SA"/>
              </w:rPr>
            </w:pPr>
            <w:r>
              <w:rPr>
                <w:rFonts w:hint="eastAsia" w:ascii="仿宋" w:hAnsi="仿宋" w:eastAsia="仿宋" w:cs="仿宋"/>
                <w:b w:val="0"/>
                <w:bCs/>
                <w:color w:val="auto"/>
                <w:sz w:val="21"/>
                <w:szCs w:val="21"/>
                <w:highlight w:val="none"/>
                <w:lang w:val="en-US" w:eastAsia="zh-CN"/>
              </w:rPr>
              <w:t>提供材料扫描件或电子证照，应完整地体现出材料或电子证照全部内容。</w:t>
            </w:r>
          </w:p>
        </w:tc>
      </w:tr>
      <w:tr w14:paraId="12380A1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28" w:hRule="atLeast"/>
          <w:jc w:val="center"/>
        </w:trPr>
        <w:tc>
          <w:tcPr>
            <w:tcW w:w="1431" w:type="dxa"/>
            <w:vAlign w:val="center"/>
          </w:tcPr>
          <w:p w14:paraId="7A140ED6">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财务报表证明材料</w:t>
            </w:r>
          </w:p>
        </w:tc>
        <w:tc>
          <w:tcPr>
            <w:tcW w:w="5360" w:type="dxa"/>
            <w:vAlign w:val="center"/>
          </w:tcPr>
          <w:p w14:paraId="5CE52A34">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jc w:val="left"/>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eastAsia="zh-CN"/>
              </w:rPr>
              <w:t>具备健全的财务会计制度的证明材料｛注（任选其一）：①可提供投标文件递交截止日前三年内至少1年经会计师事务所或审计机构出具的财务审计报告（至少包含资产负债表、利润表、现金流量表、所有者权益变动表及财务报表附注）或投标人内部的财务报表（至少包含资产负债表、利润表、现金流量表）（任选其一）；②也可提供财政部门认可的政府采购专业担保机构出具的投标担保函；③也可提供截至投标文件递交截止日前六个月内银行出具的资信证明（复印件）；④投标人注册时间截至投标文件递交截止日不足一年的，也可提供在工商备案主管部门备案的公司章程复印件。｝</w:t>
            </w:r>
          </w:p>
        </w:tc>
        <w:tc>
          <w:tcPr>
            <w:tcW w:w="2878" w:type="dxa"/>
            <w:vAlign w:val="center"/>
          </w:tcPr>
          <w:p w14:paraId="4D1B3BB2">
            <w:pPr>
              <w:keepNext w:val="0"/>
              <w:keepLines w:val="0"/>
              <w:pageBreakBefore w:val="0"/>
              <w:widowControl w:val="0"/>
              <w:kinsoku/>
              <w:wordWrap w:val="0"/>
              <w:overflowPunct/>
              <w:topLinePunct/>
              <w:autoSpaceDE/>
              <w:autoSpaceDN/>
              <w:bidi w:val="0"/>
              <w:adjustRightInd/>
              <w:snapToGrid/>
              <w:spacing w:line="360" w:lineRule="auto"/>
              <w:ind w:right="0" w:firstLine="0" w:firstLineChars="0"/>
              <w:jc w:val="center"/>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val="en-US" w:eastAsia="zh-CN"/>
              </w:rPr>
              <w:t>提供的材料</w:t>
            </w:r>
            <w:r>
              <w:rPr>
                <w:rFonts w:hint="eastAsia" w:ascii="仿宋" w:hAnsi="仿宋" w:eastAsia="仿宋" w:cs="仿宋"/>
                <w:b w:val="0"/>
                <w:bCs/>
                <w:color w:val="auto"/>
                <w:sz w:val="21"/>
                <w:szCs w:val="21"/>
                <w:highlight w:val="none"/>
                <w:lang w:eastAsia="zh-CN"/>
              </w:rPr>
              <w:t>合法有效，</w:t>
            </w:r>
            <w:r>
              <w:rPr>
                <w:rFonts w:hint="eastAsia" w:ascii="仿宋" w:hAnsi="仿宋" w:eastAsia="仿宋" w:cs="仿宋"/>
                <w:b w:val="0"/>
                <w:bCs/>
                <w:color w:val="auto"/>
                <w:sz w:val="21"/>
                <w:szCs w:val="21"/>
                <w:highlight w:val="none"/>
                <w:lang w:val="en-US" w:eastAsia="zh-CN"/>
              </w:rPr>
              <w:t>应完整地体现出材料或电子证照全部内容。</w:t>
            </w:r>
          </w:p>
        </w:tc>
      </w:tr>
      <w:tr w14:paraId="58EA22B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431" w:type="dxa"/>
            <w:vAlign w:val="center"/>
          </w:tcPr>
          <w:p w14:paraId="5CD2AF7A">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bCs/>
                <w:color w:val="auto"/>
                <w:sz w:val="21"/>
                <w:szCs w:val="21"/>
                <w:highlight w:val="none"/>
                <w:lang w:val="en-US" w:eastAsia="zh-CN" w:bidi="ar-SA"/>
              </w:rPr>
            </w:pPr>
            <w:r>
              <w:rPr>
                <w:rFonts w:hint="eastAsia" w:ascii="仿宋" w:hAnsi="仿宋" w:eastAsia="仿宋" w:cs="仿宋"/>
                <w:bCs/>
                <w:color w:val="auto"/>
                <w:sz w:val="21"/>
                <w:szCs w:val="21"/>
                <w:highlight w:val="none"/>
                <w:lang w:val="en-US" w:eastAsia="zh-CN"/>
              </w:rPr>
              <w:t>基本资质证明材料</w:t>
            </w:r>
          </w:p>
        </w:tc>
        <w:tc>
          <w:tcPr>
            <w:tcW w:w="5360" w:type="dxa"/>
            <w:vAlign w:val="center"/>
          </w:tcPr>
          <w:p w14:paraId="5A14AA0A">
            <w:pPr>
              <w:keepNext w:val="0"/>
              <w:keepLines w:val="0"/>
              <w:pageBreakBefore w:val="0"/>
              <w:widowControl w:val="0"/>
              <w:kinsoku/>
              <w:wordWrap w:val="0"/>
              <w:overflowPunct/>
              <w:topLinePunct/>
              <w:autoSpaceDE/>
              <w:autoSpaceDN/>
              <w:bidi w:val="0"/>
              <w:adjustRightInd/>
              <w:snapToGrid/>
              <w:spacing w:line="360" w:lineRule="auto"/>
              <w:ind w:left="0" w:right="0" w:firstLine="420" w:firstLineChars="200"/>
              <w:jc w:val="left"/>
              <w:textAlignment w:val="auto"/>
              <w:rPr>
                <w:rFonts w:hint="eastAsia"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kern w:val="0"/>
                <w:sz w:val="21"/>
                <w:szCs w:val="21"/>
                <w:highlight w:val="none"/>
                <w:lang w:val="en-US" w:eastAsia="zh-CN" w:bidi="ar"/>
              </w:rPr>
              <w:t>投标人</w:t>
            </w:r>
            <w:r>
              <w:rPr>
                <w:rFonts w:hint="eastAsia" w:ascii="仿宋" w:hAnsi="仿宋" w:eastAsia="仿宋" w:cs="仿宋"/>
                <w:b w:val="0"/>
                <w:bCs/>
                <w:color w:val="auto"/>
                <w:kern w:val="0"/>
                <w:sz w:val="21"/>
                <w:szCs w:val="21"/>
                <w:highlight w:val="none"/>
                <w:lang w:bidi="ar"/>
              </w:rPr>
              <w:t>应具有履行合同相应的专业团队、设备等。</w:t>
            </w:r>
          </w:p>
        </w:tc>
        <w:tc>
          <w:tcPr>
            <w:tcW w:w="2878" w:type="dxa"/>
            <w:vAlign w:val="center"/>
          </w:tcPr>
          <w:p w14:paraId="52652E19">
            <w:pPr>
              <w:keepNext w:val="0"/>
              <w:keepLines w:val="0"/>
              <w:pageBreakBefore w:val="0"/>
              <w:widowControl w:val="0"/>
              <w:kinsoku/>
              <w:wordWrap w:val="0"/>
              <w:overflowPunct/>
              <w:topLinePunct/>
              <w:autoSpaceDE/>
              <w:autoSpaceDN/>
              <w:bidi w:val="0"/>
              <w:adjustRightInd/>
              <w:snapToGrid/>
              <w:spacing w:line="360" w:lineRule="auto"/>
              <w:ind w:right="0" w:firstLine="0" w:firstLineChars="0"/>
              <w:jc w:val="center"/>
              <w:textAlignment w:val="auto"/>
              <w:rPr>
                <w:rFonts w:hint="eastAsia" w:ascii="仿宋" w:hAnsi="仿宋" w:eastAsia="仿宋" w:cs="仿宋"/>
                <w:b w:val="0"/>
                <w:bCs/>
                <w:color w:val="auto"/>
                <w:kern w:val="0"/>
                <w:sz w:val="21"/>
                <w:szCs w:val="21"/>
                <w:highlight w:val="none"/>
                <w:lang w:val="en-US" w:eastAsia="zh-CN" w:bidi="ar"/>
              </w:rPr>
            </w:pPr>
            <w:r>
              <w:rPr>
                <w:rFonts w:hint="eastAsia" w:ascii="仿宋" w:hAnsi="仿宋" w:eastAsia="仿宋" w:cs="仿宋"/>
                <w:b w:val="0"/>
                <w:bCs/>
                <w:color w:val="auto"/>
                <w:kern w:val="0"/>
                <w:sz w:val="21"/>
                <w:szCs w:val="21"/>
                <w:highlight w:val="none"/>
                <w:lang w:bidi="ar"/>
              </w:rPr>
              <w:t>须附相关证明材料或承诺书</w:t>
            </w:r>
            <w:r>
              <w:rPr>
                <w:rFonts w:hint="eastAsia" w:ascii="仿宋" w:hAnsi="仿宋" w:eastAsia="仿宋" w:cs="仿宋"/>
                <w:b w:val="0"/>
                <w:bCs/>
                <w:color w:val="auto"/>
                <w:kern w:val="0"/>
                <w:sz w:val="21"/>
                <w:szCs w:val="21"/>
                <w:highlight w:val="none"/>
                <w:lang w:eastAsia="zh-CN" w:bidi="ar"/>
              </w:rPr>
              <w:t>。</w:t>
            </w:r>
          </w:p>
        </w:tc>
      </w:tr>
      <w:tr w14:paraId="76B8306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44" w:hRule="atLeast"/>
          <w:jc w:val="center"/>
        </w:trPr>
        <w:tc>
          <w:tcPr>
            <w:tcW w:w="1431" w:type="dxa"/>
            <w:vAlign w:val="center"/>
          </w:tcPr>
          <w:p w14:paraId="780C7E89">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bCs/>
                <w:color w:val="auto"/>
                <w:sz w:val="21"/>
                <w:szCs w:val="21"/>
                <w:highlight w:val="none"/>
                <w:lang w:val="en-US" w:eastAsia="zh-CN"/>
              </w:rPr>
              <w:t>基本资质证明材料</w:t>
            </w:r>
          </w:p>
        </w:tc>
        <w:tc>
          <w:tcPr>
            <w:tcW w:w="5360" w:type="dxa"/>
            <w:vAlign w:val="center"/>
          </w:tcPr>
          <w:p w14:paraId="2A403FD3">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right="0" w:rightChars="0" w:firstLine="420" w:firstLineChars="200"/>
              <w:jc w:val="left"/>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eastAsia="zh-CN"/>
              </w:rPr>
              <w:t>有依法缴纳税收和社会保障资金的良好记录</w:t>
            </w:r>
          </w:p>
          <w:p w14:paraId="25F52416">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right="0" w:rightChars="0" w:firstLine="420" w:firstLineChars="200"/>
              <w:jc w:val="left"/>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val="en-US" w:eastAsia="zh-CN"/>
              </w:rPr>
              <w:t>①</w:t>
            </w:r>
            <w:r>
              <w:rPr>
                <w:rFonts w:hint="eastAsia" w:ascii="仿宋" w:hAnsi="仿宋" w:eastAsia="仿宋" w:cs="仿宋"/>
                <w:b w:val="0"/>
                <w:bCs/>
                <w:color w:val="auto"/>
                <w:sz w:val="21"/>
                <w:szCs w:val="21"/>
                <w:highlight w:val="none"/>
                <w:lang w:eastAsia="zh-CN"/>
              </w:rPr>
              <w:t>税收缴纳证明：提供截至投标文件递交截止日前六个月内已缴纳至少1个月的纳税证明或完税证明（成立未满3个月的，提供成立以来的纳税证明或完税证明凭证或相关情况说明）；依法免税的投标人应提供相关文件证明；（注：依法免税或零申报的投标人应提供相关文件证明）</w:t>
            </w:r>
          </w:p>
          <w:p w14:paraId="35280BC8">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right="0" w:rightChars="0" w:firstLine="420" w:firstLineChars="200"/>
              <w:jc w:val="left"/>
              <w:textAlignment w:val="auto"/>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lang w:eastAsia="zh-CN"/>
              </w:rPr>
              <w:t>（复印件加盖投标人公章或提供网上可查询的网址信息）</w:t>
            </w:r>
          </w:p>
          <w:p w14:paraId="126ADAD9">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right="0" w:rightChars="0" w:firstLine="420" w:firstLineChars="200"/>
              <w:jc w:val="left"/>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val="en-US" w:eastAsia="zh-CN"/>
              </w:rPr>
              <w:t>②</w:t>
            </w:r>
            <w:r>
              <w:rPr>
                <w:rFonts w:hint="eastAsia" w:ascii="仿宋" w:hAnsi="仿宋" w:eastAsia="仿宋" w:cs="仿宋"/>
                <w:b w:val="0"/>
                <w:bCs/>
                <w:color w:val="auto"/>
                <w:sz w:val="21"/>
                <w:szCs w:val="21"/>
                <w:highlight w:val="none"/>
                <w:lang w:eastAsia="zh-CN"/>
              </w:rPr>
              <w:t>社会保障资金缴纳证明：提供截至投标文件递交截止日前六个月内已缴纳至少1个月的社会保障资金缴存单据或社保机构开具的社会保险参保缴费情况证明（成立未满3个月的，提供成立以来的社会保障资金缴纳凭证或相关情况说明）。依法不需要缴纳社会保障资金的投标人应提供相关文件证明；</w:t>
            </w:r>
          </w:p>
          <w:p w14:paraId="38C4F94D">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right="0" w:rightChars="0" w:firstLine="420" w:firstLineChars="200"/>
              <w:jc w:val="left"/>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eastAsia="zh-CN"/>
              </w:rPr>
              <w:t>（复印件加盖投标人公章或提供网上可查询的网址信息）</w:t>
            </w:r>
          </w:p>
        </w:tc>
        <w:tc>
          <w:tcPr>
            <w:tcW w:w="2878" w:type="dxa"/>
            <w:vAlign w:val="center"/>
          </w:tcPr>
          <w:p w14:paraId="51B9230D">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right="0" w:rightChars="0" w:firstLine="0" w:firstLineChars="0"/>
              <w:jc w:val="center"/>
              <w:textAlignment w:val="auto"/>
              <w:rPr>
                <w:rFonts w:hint="eastAsia" w:ascii="仿宋" w:hAnsi="仿宋" w:eastAsia="仿宋" w:cs="仿宋"/>
                <w:b w:val="0"/>
                <w:bCs/>
                <w:color w:val="auto"/>
                <w:sz w:val="21"/>
                <w:szCs w:val="21"/>
                <w:lang w:val="en-US" w:eastAsia="zh-CN" w:bidi="ar-SA"/>
              </w:rPr>
            </w:pPr>
            <w:r>
              <w:rPr>
                <w:rFonts w:hint="eastAsia" w:ascii="仿宋" w:hAnsi="仿宋" w:eastAsia="仿宋" w:cs="仿宋"/>
                <w:b w:val="0"/>
                <w:bCs/>
                <w:color w:val="auto"/>
                <w:sz w:val="21"/>
                <w:szCs w:val="21"/>
                <w:highlight w:val="none"/>
                <w:lang w:val="en-US" w:eastAsia="zh-CN"/>
              </w:rPr>
              <w:t>提供的材料</w:t>
            </w:r>
            <w:r>
              <w:rPr>
                <w:rFonts w:hint="eastAsia" w:ascii="仿宋" w:hAnsi="仿宋" w:eastAsia="仿宋" w:cs="仿宋"/>
                <w:b w:val="0"/>
                <w:bCs/>
                <w:color w:val="auto"/>
                <w:sz w:val="21"/>
                <w:szCs w:val="21"/>
                <w:highlight w:val="none"/>
                <w:lang w:eastAsia="zh-CN"/>
              </w:rPr>
              <w:t>合法有效，</w:t>
            </w:r>
            <w:r>
              <w:rPr>
                <w:rFonts w:hint="eastAsia" w:ascii="仿宋" w:hAnsi="仿宋" w:eastAsia="仿宋" w:cs="仿宋"/>
                <w:b w:val="0"/>
                <w:bCs/>
                <w:color w:val="auto"/>
                <w:sz w:val="21"/>
                <w:szCs w:val="21"/>
                <w:highlight w:val="none"/>
                <w:lang w:val="en-US" w:eastAsia="zh-CN"/>
              </w:rPr>
              <w:t>应完整地体现出材料或电子证照全部内容。</w:t>
            </w:r>
          </w:p>
        </w:tc>
      </w:tr>
      <w:tr w14:paraId="36A7543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431" w:type="dxa"/>
            <w:vAlign w:val="center"/>
          </w:tcPr>
          <w:p w14:paraId="24C6078A">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lang w:val="en-US" w:eastAsia="zh-CN"/>
              </w:rPr>
              <w:t>基本资质证明材料</w:t>
            </w:r>
          </w:p>
        </w:tc>
        <w:tc>
          <w:tcPr>
            <w:tcW w:w="5360" w:type="dxa"/>
            <w:shd w:val="clear" w:color="auto" w:fill="auto"/>
            <w:vAlign w:val="center"/>
          </w:tcPr>
          <w:p w14:paraId="0B76DBD4">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420" w:firstLineChars="200"/>
              <w:jc w:val="left"/>
              <w:textAlignment w:val="auto"/>
              <w:rPr>
                <w:rFonts w:hint="eastAsia" w:ascii="仿宋" w:hAnsi="仿宋" w:eastAsia="仿宋" w:cs="仿宋"/>
                <w:b w:val="0"/>
                <w:bCs/>
                <w:snapToGrid w:val="0"/>
                <w:color w:val="auto"/>
                <w:sz w:val="21"/>
                <w:szCs w:val="21"/>
                <w:highlight w:val="none"/>
                <w:lang w:val="en-US" w:eastAsia="zh-CN" w:bidi="ar-SA"/>
              </w:rPr>
            </w:pPr>
            <w:r>
              <w:rPr>
                <w:rFonts w:hint="eastAsia" w:ascii="仿宋" w:hAnsi="仿宋" w:eastAsia="仿宋" w:cs="仿宋"/>
                <w:b w:val="0"/>
                <w:bCs/>
                <w:color w:val="auto"/>
                <w:sz w:val="21"/>
                <w:szCs w:val="21"/>
                <w:highlight w:val="none"/>
                <w:lang w:val="en-US" w:eastAsia="zh-CN"/>
              </w:rPr>
              <w:t>投标人</w:t>
            </w:r>
            <w:r>
              <w:rPr>
                <w:rFonts w:hint="eastAsia" w:ascii="仿宋" w:hAnsi="仿宋" w:eastAsia="仿宋" w:cs="仿宋"/>
                <w:b w:val="0"/>
                <w:bCs/>
                <w:color w:val="auto"/>
                <w:sz w:val="21"/>
                <w:szCs w:val="21"/>
                <w:highlight w:val="none"/>
              </w:rPr>
              <w:t>参加政府采购活动前三年内，在经营活动中没有重大违法记录</w:t>
            </w:r>
          </w:p>
        </w:tc>
        <w:tc>
          <w:tcPr>
            <w:tcW w:w="2878" w:type="dxa"/>
            <w:shd w:val="clear" w:color="auto" w:fill="auto"/>
            <w:vAlign w:val="center"/>
          </w:tcPr>
          <w:p w14:paraId="44183D5E">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snapToGrid w:val="0"/>
                <w:color w:val="auto"/>
                <w:sz w:val="21"/>
                <w:szCs w:val="21"/>
                <w:highlight w:val="none"/>
                <w:lang w:val="en-US" w:eastAsia="zh-CN" w:bidi="ar-SA"/>
              </w:rPr>
            </w:pPr>
            <w:r>
              <w:rPr>
                <w:rFonts w:hint="eastAsia" w:ascii="仿宋" w:hAnsi="仿宋" w:eastAsia="仿宋" w:cs="仿宋"/>
                <w:b w:val="0"/>
                <w:bCs/>
                <w:color w:val="auto"/>
                <w:kern w:val="0"/>
                <w:sz w:val="21"/>
                <w:szCs w:val="21"/>
                <w:highlight w:val="none"/>
                <w:lang w:val="en-US" w:eastAsia="zh-CN" w:bidi="ar"/>
              </w:rPr>
              <w:t>据实</w:t>
            </w:r>
            <w:r>
              <w:rPr>
                <w:rFonts w:hint="eastAsia" w:ascii="仿宋" w:hAnsi="仿宋" w:eastAsia="仿宋" w:cs="仿宋"/>
                <w:b w:val="0"/>
                <w:bCs/>
                <w:color w:val="auto"/>
                <w:sz w:val="21"/>
                <w:szCs w:val="21"/>
                <w:highlight w:val="none"/>
              </w:rPr>
              <w:t>提供</w:t>
            </w:r>
            <w:r>
              <w:rPr>
                <w:rFonts w:hint="eastAsia" w:ascii="仿宋" w:hAnsi="仿宋" w:eastAsia="仿宋" w:cs="仿宋"/>
                <w:b w:val="0"/>
                <w:bCs/>
                <w:color w:val="auto"/>
                <w:sz w:val="21"/>
                <w:szCs w:val="21"/>
                <w:highlight w:val="none"/>
                <w:lang w:eastAsia="zh-CN"/>
              </w:rPr>
              <w:t>《参加采购活动前三年内在经营活动中没有重大违法记录的书面声明》</w:t>
            </w:r>
            <w:r>
              <w:rPr>
                <w:rFonts w:hint="eastAsia" w:ascii="仿宋" w:hAnsi="仿宋" w:eastAsia="仿宋" w:cs="仿宋"/>
                <w:b w:val="0"/>
                <w:bCs/>
                <w:color w:val="auto"/>
                <w:sz w:val="21"/>
                <w:szCs w:val="21"/>
                <w:highlight w:val="none"/>
              </w:rPr>
              <w:t>。</w:t>
            </w:r>
          </w:p>
        </w:tc>
      </w:tr>
      <w:tr w14:paraId="37C402F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38" w:hRule="atLeast"/>
          <w:jc w:val="center"/>
        </w:trPr>
        <w:tc>
          <w:tcPr>
            <w:tcW w:w="1431" w:type="dxa"/>
            <w:shd w:val="clear" w:color="auto" w:fill="auto"/>
            <w:vAlign w:val="center"/>
          </w:tcPr>
          <w:p w14:paraId="6D99720B">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eastAsia" w:ascii="仿宋" w:hAnsi="仿宋" w:eastAsia="仿宋" w:cs="仿宋"/>
                <w:bCs/>
                <w:color w:val="auto"/>
                <w:sz w:val="21"/>
                <w:szCs w:val="21"/>
                <w:highlight w:val="none"/>
                <w:lang w:val="en-US" w:eastAsia="zh-CN" w:bidi="ar-SA"/>
              </w:rPr>
            </w:pPr>
            <w:r>
              <w:rPr>
                <w:rFonts w:hint="eastAsia" w:ascii="仿宋" w:hAnsi="仿宋" w:eastAsia="仿宋" w:cs="仿宋"/>
                <w:bCs/>
                <w:color w:val="auto"/>
                <w:sz w:val="21"/>
                <w:szCs w:val="21"/>
                <w:highlight w:val="none"/>
                <w:lang w:val="en-US" w:eastAsia="zh-CN"/>
              </w:rPr>
              <w:t>基本资质证明材料</w:t>
            </w:r>
          </w:p>
        </w:tc>
        <w:tc>
          <w:tcPr>
            <w:tcW w:w="5360" w:type="dxa"/>
            <w:shd w:val="clear" w:color="auto" w:fill="auto"/>
            <w:vAlign w:val="center"/>
          </w:tcPr>
          <w:p w14:paraId="11036C36">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leftChars="0" w:right="0" w:rightChars="0" w:firstLine="420" w:firstLineChars="200"/>
              <w:jc w:val="left"/>
              <w:textAlignment w:val="auto"/>
              <w:rPr>
                <w:rFonts w:hint="eastAsia"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sz w:val="21"/>
                <w:szCs w:val="21"/>
                <w:highlight w:val="none"/>
                <w:lang w:val="en-US" w:eastAsia="zh-CN"/>
              </w:rPr>
              <w:t>投标人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失信信息材料，由采购人或招标（采购）代理机构负责查询并存档。</w:t>
            </w:r>
          </w:p>
        </w:tc>
        <w:tc>
          <w:tcPr>
            <w:tcW w:w="2878" w:type="dxa"/>
            <w:shd w:val="clear" w:color="auto" w:fill="auto"/>
            <w:vAlign w:val="center"/>
          </w:tcPr>
          <w:p w14:paraId="67ED1117">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bCs/>
                <w:color w:val="auto"/>
                <w:sz w:val="21"/>
                <w:szCs w:val="21"/>
                <w:highlight w:val="none"/>
                <w:lang w:val="en-US" w:eastAsia="zh-CN"/>
              </w:rPr>
            </w:pPr>
          </w:p>
          <w:p w14:paraId="5309A2A6">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据实提供《未被列入失信被执行人、重大税收违法案件当事人、政府采购严重违法失信行为名单的承诺函》。</w:t>
            </w:r>
          </w:p>
        </w:tc>
      </w:tr>
      <w:tr w14:paraId="4C7E1F5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431" w:type="dxa"/>
            <w:shd w:val="clear" w:color="auto" w:fill="auto"/>
            <w:vAlign w:val="center"/>
          </w:tcPr>
          <w:p w14:paraId="09FE9DA5">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bCs/>
                <w:color w:val="auto"/>
                <w:sz w:val="21"/>
                <w:szCs w:val="21"/>
                <w:highlight w:val="none"/>
                <w:lang w:val="en-US" w:eastAsia="zh-CN"/>
              </w:rPr>
              <w:t>其他证明材料</w:t>
            </w:r>
          </w:p>
        </w:tc>
        <w:tc>
          <w:tcPr>
            <w:tcW w:w="5360" w:type="dxa"/>
            <w:shd w:val="clear" w:color="auto" w:fill="auto"/>
            <w:vAlign w:val="center"/>
          </w:tcPr>
          <w:p w14:paraId="6B116347">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right="0" w:rightChars="0" w:firstLine="420" w:firstLineChars="200"/>
              <w:jc w:val="left"/>
              <w:textAlignment w:val="auto"/>
              <w:rPr>
                <w:rFonts w:hint="eastAsia"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sz w:val="21"/>
                <w:szCs w:val="21"/>
                <w:highlight w:val="none"/>
              </w:rPr>
              <w:t>法律、行政法规规定的其他条件</w:t>
            </w:r>
          </w:p>
        </w:tc>
        <w:tc>
          <w:tcPr>
            <w:tcW w:w="2878" w:type="dxa"/>
            <w:shd w:val="clear" w:color="auto" w:fill="auto"/>
            <w:vAlign w:val="center"/>
          </w:tcPr>
          <w:p w14:paraId="1EB5CE5C">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据实提供《未被列入失信被执行人、重大税收违法案件当事人、政府采购严重违法失信行为名单的承诺函》《资格声明函》《无串通投标行为的承诺函》。</w:t>
            </w:r>
          </w:p>
        </w:tc>
      </w:tr>
      <w:tr w14:paraId="3AB090E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55" w:hRule="atLeast"/>
          <w:jc w:val="center"/>
        </w:trPr>
        <w:tc>
          <w:tcPr>
            <w:tcW w:w="1431" w:type="dxa"/>
            <w:shd w:val="clear" w:color="auto" w:fill="auto"/>
            <w:vAlign w:val="center"/>
          </w:tcPr>
          <w:p w14:paraId="48C166EE">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其他证明材料</w:t>
            </w:r>
          </w:p>
        </w:tc>
        <w:tc>
          <w:tcPr>
            <w:tcW w:w="5360" w:type="dxa"/>
            <w:shd w:val="clear" w:color="auto" w:fill="auto"/>
            <w:vAlign w:val="center"/>
          </w:tcPr>
          <w:p w14:paraId="4E54112F">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right="0" w:rightChars="0" w:firstLine="420" w:firstLineChars="200"/>
              <w:jc w:val="left"/>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投标保证金</w:t>
            </w:r>
          </w:p>
        </w:tc>
        <w:tc>
          <w:tcPr>
            <w:tcW w:w="2878" w:type="dxa"/>
            <w:shd w:val="clear" w:color="auto" w:fill="auto"/>
            <w:vAlign w:val="center"/>
          </w:tcPr>
          <w:p w14:paraId="6F33218C">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按照招标文件的规定提交投标保证金。</w:t>
            </w:r>
          </w:p>
        </w:tc>
      </w:tr>
      <w:tr w14:paraId="0606294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55" w:hRule="atLeast"/>
          <w:jc w:val="center"/>
        </w:trPr>
        <w:tc>
          <w:tcPr>
            <w:tcW w:w="1431" w:type="dxa"/>
            <w:vAlign w:val="center"/>
          </w:tcPr>
          <w:p w14:paraId="0D2E3290">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本项目的特定资格要求</w:t>
            </w:r>
          </w:p>
        </w:tc>
        <w:tc>
          <w:tcPr>
            <w:tcW w:w="5360" w:type="dxa"/>
            <w:vAlign w:val="center"/>
          </w:tcPr>
          <w:p w14:paraId="1197C58B">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right="0" w:rightChars="0" w:firstLine="420" w:firstLineChars="200"/>
              <w:jc w:val="left"/>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val="en-US" w:eastAsia="zh-CN"/>
              </w:rPr>
              <w:t>1.</w:t>
            </w:r>
            <w:r>
              <w:rPr>
                <w:rFonts w:hint="eastAsia" w:ascii="仿宋" w:hAnsi="仿宋" w:eastAsia="仿宋" w:cs="仿宋"/>
                <w:b w:val="0"/>
                <w:bCs/>
                <w:color w:val="auto"/>
                <w:sz w:val="21"/>
                <w:szCs w:val="21"/>
                <w:highlight w:val="none"/>
                <w:lang w:eastAsia="zh-CN"/>
              </w:rPr>
              <w:t>投标人应遵守国家有关的法律、法令和条例，以及符合并承认和履行招标文件中的各项规定：据实提供《资格声明函》。</w:t>
            </w:r>
          </w:p>
          <w:p w14:paraId="7BA9D45C">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right="0" w:rightChars="0" w:firstLine="420" w:firstLineChars="200"/>
              <w:jc w:val="left"/>
              <w:textAlignment w:val="auto"/>
              <w:rPr>
                <w:rFonts w:hint="eastAsia"/>
                <w:lang w:eastAsia="zh-CN"/>
              </w:rPr>
            </w:pPr>
            <w:r>
              <w:rPr>
                <w:rFonts w:hint="eastAsia" w:ascii="仿宋" w:hAnsi="仿宋" w:eastAsia="仿宋" w:cs="仿宋"/>
                <w:b w:val="0"/>
                <w:bCs/>
                <w:color w:val="auto"/>
                <w:sz w:val="21"/>
                <w:szCs w:val="21"/>
                <w:highlight w:val="none"/>
                <w:lang w:val="en-US" w:eastAsia="zh-CN"/>
              </w:rPr>
              <w:t>2.</w:t>
            </w:r>
            <w:r>
              <w:rPr>
                <w:rFonts w:hint="eastAsia" w:ascii="仿宋" w:hAnsi="仿宋" w:eastAsia="仿宋" w:cs="仿宋"/>
                <w:b w:val="0"/>
                <w:bCs/>
                <w:color w:val="auto"/>
                <w:sz w:val="21"/>
                <w:szCs w:val="21"/>
                <w:highlight w:val="none"/>
                <w:lang w:eastAsia="zh-CN"/>
              </w:rPr>
              <w:t>单位负责人为同一人或者存在直接控股、管理关系的不同投标人，不得参加同一合同项下的政府采购活动：据实提供《资格声明函》。</w:t>
            </w:r>
          </w:p>
        </w:tc>
        <w:tc>
          <w:tcPr>
            <w:tcW w:w="2878" w:type="dxa"/>
            <w:vAlign w:val="center"/>
          </w:tcPr>
          <w:p w14:paraId="58D77159">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val="en-US" w:eastAsia="zh-CN"/>
              </w:rPr>
              <w:t>据实提供《资格声明函》</w:t>
            </w:r>
          </w:p>
        </w:tc>
      </w:tr>
    </w:tbl>
    <w:p w14:paraId="631B5DD2">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color w:val="auto"/>
          <w:sz w:val="21"/>
          <w:szCs w:val="21"/>
          <w:highlight w:val="none"/>
          <w:lang w:eastAsia="zh-CN"/>
        </w:rPr>
        <w:t>公开招标采购项目开标结束后，采购人或采购代理机构依据招标文件的规定，对投标人的资格进行审查。合格投标人不足3家的，不得评审，只有通过资格审查的投标文件才能进入评审。</w:t>
      </w:r>
    </w:p>
    <w:p w14:paraId="447C2217">
      <w:pPr>
        <w:pStyle w:val="35"/>
        <w:keepNext w:val="0"/>
        <w:keepLines w:val="0"/>
        <w:pageBreakBefore w:val="0"/>
        <w:widowControl w:val="0"/>
        <w:kinsoku/>
        <w:wordWrap w:val="0"/>
        <w:overflowPunct/>
        <w:topLinePunct/>
        <w:autoSpaceDE/>
        <w:autoSpaceDN/>
        <w:bidi w:val="0"/>
        <w:adjustRightInd/>
        <w:snapToGrid/>
        <w:spacing w:line="360" w:lineRule="auto"/>
        <w:ind w:left="0" w:leftChars="0" w:right="0" w:firstLine="422" w:firstLineChars="200"/>
        <w:jc w:val="center"/>
        <w:textAlignment w:val="auto"/>
        <w:outlineLvl w:val="9"/>
        <w:rPr>
          <w:rStyle w:val="89"/>
          <w:rFonts w:hint="eastAsia" w:ascii="仿宋" w:hAnsi="仿宋" w:eastAsia="仿宋" w:cs="仿宋"/>
          <w:color w:val="auto"/>
          <w:sz w:val="21"/>
          <w:szCs w:val="21"/>
          <w:highlight w:val="none"/>
          <w:lang w:eastAsia="zh-CN"/>
        </w:rPr>
      </w:pPr>
      <w:bookmarkStart w:id="1232" w:name="_Toc22184"/>
      <w:bookmarkStart w:id="1233" w:name="_Toc927"/>
      <w:bookmarkStart w:id="1234" w:name="_Toc88646744"/>
      <w:bookmarkStart w:id="1235" w:name="_Toc512"/>
    </w:p>
    <w:p w14:paraId="1E60C20D">
      <w:pPr>
        <w:rPr>
          <w:rStyle w:val="685"/>
          <w:rFonts w:hint="eastAsia" w:ascii="仿宋" w:hAnsi="仿宋" w:eastAsia="仿宋" w:cs="仿宋"/>
          <w:b/>
          <w:bCs/>
          <w:color w:val="auto"/>
          <w:sz w:val="21"/>
          <w:szCs w:val="21"/>
          <w:highlight w:val="none"/>
          <w:lang w:val="en-US" w:eastAsia="zh-CN"/>
        </w:rPr>
      </w:pPr>
      <w:r>
        <w:rPr>
          <w:rStyle w:val="685"/>
          <w:rFonts w:hint="eastAsia" w:ascii="仿宋" w:hAnsi="仿宋" w:eastAsia="仿宋" w:cs="仿宋"/>
          <w:b/>
          <w:bCs/>
          <w:color w:val="auto"/>
          <w:sz w:val="21"/>
          <w:szCs w:val="21"/>
          <w:highlight w:val="none"/>
          <w:lang w:val="en-US" w:eastAsia="zh-CN"/>
        </w:rPr>
        <w:br w:type="page"/>
      </w:r>
    </w:p>
    <w:p w14:paraId="7B533DE5">
      <w:pPr>
        <w:pStyle w:val="4"/>
        <w:keepNext w:val="0"/>
        <w:keepLines w:val="0"/>
        <w:pageBreakBefore w:val="0"/>
        <w:widowControl w:val="0"/>
        <w:kinsoku/>
        <w:wordWrap w:val="0"/>
        <w:overflowPunct/>
        <w:topLinePunct/>
        <w:autoSpaceDE/>
        <w:autoSpaceDN/>
        <w:bidi w:val="0"/>
        <w:adjustRightInd/>
        <w:snapToGrid/>
        <w:spacing w:line="360" w:lineRule="auto"/>
        <w:ind w:left="0" w:leftChars="0" w:right="0" w:firstLine="0"/>
        <w:jc w:val="center"/>
        <w:textAlignment w:val="auto"/>
        <w:rPr>
          <w:rStyle w:val="685"/>
          <w:rFonts w:hint="eastAsia" w:ascii="仿宋" w:hAnsi="仿宋" w:eastAsia="仿宋" w:cs="仿宋"/>
          <w:b/>
          <w:bCs/>
          <w:color w:val="auto"/>
          <w:sz w:val="21"/>
          <w:szCs w:val="21"/>
          <w:highlight w:val="none"/>
          <w:lang w:eastAsia="zh-CN"/>
        </w:rPr>
      </w:pPr>
      <w:bookmarkStart w:id="1236" w:name="_Toc29735"/>
      <w:bookmarkStart w:id="1237" w:name="_Toc27502"/>
      <w:r>
        <w:rPr>
          <w:rStyle w:val="685"/>
          <w:rFonts w:hint="eastAsia" w:ascii="仿宋" w:hAnsi="仿宋" w:eastAsia="仿宋" w:cs="仿宋"/>
          <w:b/>
          <w:bCs/>
          <w:color w:val="auto"/>
          <w:sz w:val="21"/>
          <w:szCs w:val="21"/>
          <w:highlight w:val="none"/>
          <w:lang w:val="en-US" w:eastAsia="zh-CN"/>
        </w:rPr>
        <w:t>（2）</w:t>
      </w:r>
      <w:r>
        <w:rPr>
          <w:rStyle w:val="685"/>
          <w:rFonts w:hint="eastAsia" w:ascii="仿宋" w:hAnsi="仿宋" w:eastAsia="仿宋" w:cs="仿宋"/>
          <w:b/>
          <w:bCs/>
          <w:color w:val="auto"/>
          <w:sz w:val="21"/>
          <w:szCs w:val="21"/>
          <w:highlight w:val="none"/>
          <w:lang w:eastAsia="zh-CN"/>
        </w:rPr>
        <w:t>符合性评审标准</w:t>
      </w:r>
      <w:bookmarkEnd w:id="1236"/>
      <w:bookmarkEnd w:id="1237"/>
    </w:p>
    <w:bookmarkEnd w:id="1232"/>
    <w:bookmarkEnd w:id="1233"/>
    <w:p w14:paraId="35EF9676">
      <w:pPr>
        <w:keepNext w:val="0"/>
        <w:keepLines w:val="0"/>
        <w:pageBreakBefore w:val="0"/>
        <w:widowControl w:val="0"/>
        <w:kinsoku/>
        <w:overflowPunct/>
        <w:autoSpaceDE/>
        <w:autoSpaceDN/>
        <w:bidi w:val="0"/>
        <w:adjustRightInd/>
        <w:snapToGrid/>
        <w:spacing w:line="440" w:lineRule="exact"/>
        <w:ind w:firstLine="420" w:firstLineChars="200"/>
        <w:textAlignment w:val="auto"/>
        <w:rPr>
          <w:rFonts w:hint="eastAsia" w:ascii="仿宋" w:hAnsi="仿宋" w:eastAsia="仿宋" w:cs="仿宋"/>
          <w:color w:val="auto"/>
          <w:sz w:val="21"/>
          <w:szCs w:val="21"/>
          <w:highlight w:val="none"/>
        </w:rPr>
      </w:pPr>
      <w:bookmarkStart w:id="1238" w:name="_Toc535053841"/>
      <w:bookmarkStart w:id="1239" w:name="_Toc522249415"/>
      <w:bookmarkStart w:id="1240" w:name="_Toc524152292"/>
      <w:bookmarkStart w:id="1241" w:name="_Toc510164454"/>
      <w:bookmarkStart w:id="1242" w:name="_Toc522249814"/>
      <w:bookmarkStart w:id="1243" w:name="_Toc512145677"/>
      <w:bookmarkStart w:id="1244" w:name="_Toc24531792"/>
      <w:bookmarkStart w:id="1245" w:name="_Toc535054230"/>
      <w:bookmarkStart w:id="1246" w:name="_Toc427534"/>
      <w:bookmarkStart w:id="1247" w:name="_Toc510164803"/>
      <w:bookmarkStart w:id="1248" w:name="_Toc36621972"/>
      <w:bookmarkStart w:id="1249" w:name="_Toc522705438"/>
      <w:bookmarkStart w:id="1250" w:name="_Toc522792533"/>
      <w:bookmarkStart w:id="1251" w:name="_Toc521313388"/>
      <w:bookmarkStart w:id="1252" w:name="_Toc510164598"/>
      <w:bookmarkStart w:id="1253" w:name="_Toc532025724"/>
      <w:bookmarkStart w:id="1254" w:name="_Toc532026507"/>
      <w:bookmarkStart w:id="1255" w:name="_Toc510164551"/>
      <w:bookmarkStart w:id="1256" w:name="_Toc510168028"/>
      <w:bookmarkStart w:id="1257" w:name="_Toc510168199"/>
      <w:bookmarkStart w:id="1258" w:name="_Toc532026899"/>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eastAsia="zh-CN"/>
        </w:rPr>
        <w:t>评审</w:t>
      </w:r>
      <w:r>
        <w:rPr>
          <w:rFonts w:hint="eastAsia" w:ascii="仿宋" w:hAnsi="仿宋" w:eastAsia="仿宋" w:cs="仿宋"/>
          <w:color w:val="auto"/>
          <w:sz w:val="21"/>
          <w:szCs w:val="21"/>
          <w:highlight w:val="none"/>
        </w:rPr>
        <w:t>委员会对符合资格审查的</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的投标文件进行符合性审查，以确定其是否满足招标文件的实质性要求。</w:t>
      </w:r>
    </w:p>
    <w:p w14:paraId="23E7782D">
      <w:pPr>
        <w:keepNext w:val="0"/>
        <w:keepLines w:val="0"/>
        <w:pageBreakBefore w:val="0"/>
        <w:widowControl w:val="0"/>
        <w:kinsoku/>
        <w:overflowPunct/>
        <w:autoSpaceDE/>
        <w:autoSpaceDN/>
        <w:bidi w:val="0"/>
        <w:adjustRightInd/>
        <w:snapToGrid/>
        <w:spacing w:line="440" w:lineRule="exact"/>
        <w:ind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.2有下列情形投标文件不能通过符合性评审，未通过符合性评审的</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将不进入综合评分</w:t>
      </w:r>
      <w:r>
        <w:rPr>
          <w:rFonts w:hint="eastAsia" w:ascii="仿宋" w:hAnsi="仿宋" w:eastAsia="仿宋" w:cs="仿宋"/>
          <w:color w:val="auto"/>
          <w:sz w:val="21"/>
          <w:szCs w:val="21"/>
          <w:highlight w:val="none"/>
          <w:lang w:eastAsia="zh-CN"/>
        </w:rPr>
        <w:t>。</w:t>
      </w:r>
    </w:p>
    <w:tbl>
      <w:tblPr>
        <w:tblStyle w:val="67"/>
        <w:tblW w:w="96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989"/>
        <w:gridCol w:w="7701"/>
      </w:tblGrid>
      <w:tr w14:paraId="1849C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989" w:type="dxa"/>
            <w:vAlign w:val="center"/>
          </w:tcPr>
          <w:p w14:paraId="2042605D">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评 审 内 容</w:t>
            </w:r>
          </w:p>
        </w:tc>
        <w:tc>
          <w:tcPr>
            <w:tcW w:w="7701" w:type="dxa"/>
            <w:vAlign w:val="center"/>
          </w:tcPr>
          <w:p w14:paraId="25DD4088">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评 审 标 准</w:t>
            </w:r>
          </w:p>
        </w:tc>
      </w:tr>
      <w:tr w14:paraId="514A0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989" w:type="dxa"/>
            <w:vAlign w:val="center"/>
          </w:tcPr>
          <w:p w14:paraId="6AD8BCEF">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firstLine="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投标文件格式</w:t>
            </w:r>
          </w:p>
        </w:tc>
        <w:tc>
          <w:tcPr>
            <w:tcW w:w="7701" w:type="dxa"/>
            <w:vAlign w:val="center"/>
          </w:tcPr>
          <w:p w14:paraId="587BABF9">
            <w:pPr>
              <w:keepNext w:val="0"/>
              <w:keepLines w:val="0"/>
              <w:pageBreakBefore w:val="0"/>
              <w:widowControl w:val="0"/>
              <w:kinsoku/>
              <w:wordWrap w:val="0"/>
              <w:overflowPunct/>
              <w:topLinePunct/>
              <w:autoSpaceDE/>
              <w:autoSpaceDN/>
              <w:bidi w:val="0"/>
              <w:adjustRightInd/>
              <w:snapToGrid/>
              <w:spacing w:beforeAutospacing="0" w:afterAutospacing="0" w:line="360" w:lineRule="auto"/>
              <w:ind w:right="0" w:firstLine="210" w:firstLineChars="1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投标文件未按招标文件</w:t>
            </w:r>
            <w:r>
              <w:rPr>
                <w:rFonts w:hint="eastAsia" w:ascii="仿宋" w:hAnsi="仿宋" w:eastAsia="仿宋" w:cs="仿宋"/>
                <w:color w:val="auto"/>
                <w:sz w:val="21"/>
                <w:szCs w:val="21"/>
                <w:highlight w:val="none"/>
                <w:lang w:val="en-US" w:eastAsia="zh-CN"/>
              </w:rPr>
              <w:t>中“第六章 投标文件格式”</w:t>
            </w:r>
            <w:r>
              <w:rPr>
                <w:rFonts w:hint="eastAsia" w:ascii="仿宋" w:hAnsi="仿宋" w:eastAsia="仿宋" w:cs="仿宋"/>
                <w:color w:val="auto"/>
                <w:sz w:val="21"/>
                <w:szCs w:val="21"/>
                <w:highlight w:val="none"/>
                <w:lang w:eastAsia="zh-CN"/>
              </w:rPr>
              <w:t>要求</w:t>
            </w:r>
            <w:r>
              <w:rPr>
                <w:rFonts w:hint="eastAsia" w:ascii="仿宋" w:hAnsi="仿宋" w:eastAsia="仿宋" w:cs="仿宋"/>
                <w:color w:val="auto"/>
                <w:sz w:val="21"/>
                <w:szCs w:val="21"/>
                <w:highlight w:val="none"/>
                <w:lang w:val="en-US" w:eastAsia="zh-CN"/>
              </w:rPr>
              <w:t>编制</w:t>
            </w:r>
            <w:r>
              <w:rPr>
                <w:rFonts w:hint="eastAsia" w:ascii="仿宋" w:hAnsi="仿宋" w:eastAsia="仿宋" w:cs="仿宋"/>
                <w:color w:val="auto"/>
                <w:sz w:val="21"/>
                <w:szCs w:val="21"/>
                <w:highlight w:val="none"/>
                <w:lang w:eastAsia="zh-CN"/>
              </w:rPr>
              <w:t>的。</w:t>
            </w:r>
          </w:p>
        </w:tc>
      </w:tr>
      <w:tr w14:paraId="3E382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989" w:type="dxa"/>
            <w:vAlign w:val="center"/>
          </w:tcPr>
          <w:p w14:paraId="7D2F98D3">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firstLine="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投标文件的签署</w:t>
            </w:r>
          </w:p>
        </w:tc>
        <w:tc>
          <w:tcPr>
            <w:tcW w:w="7701" w:type="dxa"/>
            <w:vAlign w:val="center"/>
          </w:tcPr>
          <w:p w14:paraId="11CF2F8F">
            <w:pPr>
              <w:keepNext w:val="0"/>
              <w:keepLines w:val="0"/>
              <w:pageBreakBefore w:val="0"/>
              <w:widowControl w:val="0"/>
              <w:kinsoku/>
              <w:wordWrap w:val="0"/>
              <w:overflowPunct/>
              <w:topLinePunct/>
              <w:autoSpaceDE/>
              <w:autoSpaceDN/>
              <w:bidi w:val="0"/>
              <w:adjustRightInd/>
              <w:snapToGrid/>
              <w:spacing w:beforeAutospacing="0" w:afterAutospacing="0" w:line="360" w:lineRule="auto"/>
              <w:ind w:right="0" w:firstLine="210" w:firstLineChars="1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投标文件未按招标文件要求签署、盖章的。</w:t>
            </w:r>
          </w:p>
        </w:tc>
      </w:tr>
      <w:tr w14:paraId="17A17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989" w:type="dxa"/>
            <w:vAlign w:val="center"/>
          </w:tcPr>
          <w:p w14:paraId="7765DFFC">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firstLine="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投标报价</w:t>
            </w:r>
          </w:p>
        </w:tc>
        <w:tc>
          <w:tcPr>
            <w:tcW w:w="7701" w:type="dxa"/>
            <w:vAlign w:val="center"/>
          </w:tcPr>
          <w:p w14:paraId="11E9026A">
            <w:pPr>
              <w:keepNext w:val="0"/>
              <w:keepLines w:val="0"/>
              <w:pageBreakBefore w:val="0"/>
              <w:widowControl w:val="0"/>
              <w:kinsoku/>
              <w:wordWrap w:val="0"/>
              <w:overflowPunct/>
              <w:topLinePunct/>
              <w:autoSpaceDE/>
              <w:autoSpaceDN/>
              <w:bidi w:val="0"/>
              <w:adjustRightInd/>
              <w:snapToGrid/>
              <w:spacing w:beforeAutospacing="0" w:afterAutospacing="0" w:line="360" w:lineRule="auto"/>
              <w:ind w:right="0" w:firstLine="210" w:firstLineChars="1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投标报价超过招标文件中规定的预算金额或者最高限价的。</w:t>
            </w:r>
          </w:p>
        </w:tc>
      </w:tr>
      <w:tr w14:paraId="3C5A5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989" w:type="dxa"/>
            <w:vAlign w:val="center"/>
          </w:tcPr>
          <w:p w14:paraId="1F3CA377">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firstLine="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投标有效期</w:t>
            </w:r>
          </w:p>
        </w:tc>
        <w:tc>
          <w:tcPr>
            <w:tcW w:w="7701" w:type="dxa"/>
            <w:vAlign w:val="center"/>
          </w:tcPr>
          <w:p w14:paraId="62D041FD">
            <w:pPr>
              <w:keepNext w:val="0"/>
              <w:keepLines w:val="0"/>
              <w:pageBreakBefore w:val="0"/>
              <w:widowControl w:val="0"/>
              <w:kinsoku/>
              <w:wordWrap w:val="0"/>
              <w:overflowPunct/>
              <w:topLinePunct/>
              <w:autoSpaceDE/>
              <w:autoSpaceDN/>
              <w:bidi w:val="0"/>
              <w:adjustRightInd/>
              <w:snapToGrid/>
              <w:spacing w:beforeAutospacing="0" w:afterAutospacing="0" w:line="360" w:lineRule="auto"/>
              <w:ind w:right="0" w:firstLine="210" w:firstLineChars="1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投标文件未按招标文件要求</w:t>
            </w:r>
            <w:r>
              <w:rPr>
                <w:rFonts w:hint="eastAsia" w:ascii="仿宋" w:hAnsi="仿宋" w:eastAsia="仿宋" w:cs="仿宋"/>
                <w:color w:val="auto"/>
                <w:sz w:val="21"/>
                <w:szCs w:val="21"/>
                <w:highlight w:val="none"/>
                <w:lang w:val="en-US" w:eastAsia="zh-CN"/>
              </w:rPr>
              <w:t>确定投标有效期</w:t>
            </w:r>
            <w:r>
              <w:rPr>
                <w:rFonts w:hint="eastAsia" w:ascii="仿宋" w:hAnsi="仿宋" w:eastAsia="仿宋" w:cs="仿宋"/>
                <w:color w:val="auto"/>
                <w:sz w:val="21"/>
                <w:szCs w:val="21"/>
                <w:highlight w:val="none"/>
                <w:lang w:eastAsia="zh-CN"/>
              </w:rPr>
              <w:t>的。</w:t>
            </w:r>
          </w:p>
        </w:tc>
      </w:tr>
      <w:tr w14:paraId="0F196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989" w:type="dxa"/>
            <w:vAlign w:val="center"/>
          </w:tcPr>
          <w:p w14:paraId="2959872D">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firstLine="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实质性条款</w:t>
            </w:r>
          </w:p>
        </w:tc>
        <w:tc>
          <w:tcPr>
            <w:tcW w:w="7701" w:type="dxa"/>
            <w:vAlign w:val="center"/>
          </w:tcPr>
          <w:p w14:paraId="0598460A">
            <w:pPr>
              <w:keepNext w:val="0"/>
              <w:keepLines w:val="0"/>
              <w:pageBreakBefore w:val="0"/>
              <w:widowControl w:val="0"/>
              <w:kinsoku/>
              <w:wordWrap w:val="0"/>
              <w:overflowPunct/>
              <w:topLinePunct/>
              <w:autoSpaceDE/>
              <w:autoSpaceDN/>
              <w:bidi w:val="0"/>
              <w:adjustRightInd/>
              <w:snapToGrid/>
              <w:spacing w:beforeAutospacing="0" w:afterAutospacing="0" w:line="360" w:lineRule="auto"/>
              <w:ind w:right="0" w:firstLine="210" w:firstLineChars="1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未实质性响应招标文件中标注★条款内容的。</w:t>
            </w:r>
          </w:p>
        </w:tc>
      </w:tr>
      <w:tr w14:paraId="001EE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8" w:hRule="atLeast"/>
          <w:jc w:val="center"/>
        </w:trPr>
        <w:tc>
          <w:tcPr>
            <w:tcW w:w="1989" w:type="dxa"/>
            <w:vAlign w:val="center"/>
          </w:tcPr>
          <w:p w14:paraId="7F0E43C8">
            <w:pPr>
              <w:keepNext w:val="0"/>
              <w:keepLines w:val="0"/>
              <w:pageBreakBefore w:val="0"/>
              <w:widowControl w:val="0"/>
              <w:kinsoku/>
              <w:wordWrap w:val="0"/>
              <w:overflowPunct/>
              <w:topLinePunct/>
              <w:autoSpaceDE/>
              <w:autoSpaceDN/>
              <w:bidi w:val="0"/>
              <w:adjustRightInd/>
              <w:snapToGrid/>
              <w:spacing w:beforeAutospacing="0" w:afterAutospacing="0" w:line="360" w:lineRule="auto"/>
              <w:jc w:val="center"/>
              <w:textAlignment w:val="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rPr>
              <w:t>无串通投标情形</w:t>
            </w:r>
          </w:p>
        </w:tc>
        <w:tc>
          <w:tcPr>
            <w:tcW w:w="7701" w:type="dxa"/>
            <w:vAlign w:val="center"/>
          </w:tcPr>
          <w:p w14:paraId="5C81AF3F">
            <w:pPr>
              <w:keepNext w:val="0"/>
              <w:keepLines w:val="0"/>
              <w:pageBreakBefore w:val="0"/>
              <w:widowControl w:val="0"/>
              <w:kinsoku/>
              <w:wordWrap w:val="0"/>
              <w:overflowPunct/>
              <w:topLinePunct/>
              <w:autoSpaceDE/>
              <w:autoSpaceDN/>
              <w:bidi w:val="0"/>
              <w:adjustRightInd/>
              <w:snapToGrid/>
              <w:spacing w:beforeAutospacing="0" w:afterAutospacing="0" w:line="360" w:lineRule="auto"/>
              <w:ind w:firstLine="210" w:firstLineChars="1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有下列情形之一的，视为</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串通投标：</w:t>
            </w:r>
          </w:p>
          <w:p w14:paraId="5A72FF49">
            <w:pPr>
              <w:keepNext w:val="0"/>
              <w:keepLines w:val="0"/>
              <w:pageBreakBefore w:val="0"/>
              <w:widowControl w:val="0"/>
              <w:kinsoku/>
              <w:wordWrap w:val="0"/>
              <w:overflowPunct/>
              <w:topLinePunct/>
              <w:autoSpaceDE/>
              <w:autoSpaceDN/>
              <w:bidi w:val="0"/>
              <w:adjustRightInd/>
              <w:snapToGrid/>
              <w:spacing w:beforeAutospacing="0" w:afterAutospacing="0" w:line="360" w:lineRule="auto"/>
              <w:ind w:firstLine="210" w:firstLineChars="1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①不同</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的投标文件由同一单位或者个人编制；</w:t>
            </w:r>
          </w:p>
          <w:p w14:paraId="3495D6E4">
            <w:pPr>
              <w:keepNext w:val="0"/>
              <w:keepLines w:val="0"/>
              <w:pageBreakBefore w:val="0"/>
              <w:widowControl w:val="0"/>
              <w:kinsoku/>
              <w:wordWrap w:val="0"/>
              <w:overflowPunct/>
              <w:topLinePunct/>
              <w:autoSpaceDE/>
              <w:autoSpaceDN/>
              <w:bidi w:val="0"/>
              <w:adjustRightInd/>
              <w:snapToGrid/>
              <w:spacing w:beforeAutospacing="0" w:afterAutospacing="0" w:line="360" w:lineRule="auto"/>
              <w:ind w:firstLine="210" w:firstLineChars="1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②不同</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委托同一单位或者个人办理投标事宜；</w:t>
            </w:r>
          </w:p>
          <w:p w14:paraId="6B1F6212">
            <w:pPr>
              <w:keepNext w:val="0"/>
              <w:keepLines w:val="0"/>
              <w:pageBreakBefore w:val="0"/>
              <w:widowControl w:val="0"/>
              <w:kinsoku/>
              <w:wordWrap w:val="0"/>
              <w:overflowPunct/>
              <w:topLinePunct/>
              <w:autoSpaceDE/>
              <w:autoSpaceDN/>
              <w:bidi w:val="0"/>
              <w:adjustRightInd/>
              <w:snapToGrid/>
              <w:spacing w:beforeAutospacing="0" w:afterAutospacing="0" w:line="360" w:lineRule="auto"/>
              <w:ind w:firstLine="210" w:firstLineChars="1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③不同</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的投标文件载明的项目管理成员或者联系人员为同一人；</w:t>
            </w:r>
          </w:p>
          <w:p w14:paraId="1F03CC47">
            <w:pPr>
              <w:keepNext w:val="0"/>
              <w:keepLines w:val="0"/>
              <w:pageBreakBefore w:val="0"/>
              <w:widowControl w:val="0"/>
              <w:kinsoku/>
              <w:wordWrap w:val="0"/>
              <w:overflowPunct/>
              <w:topLinePunct/>
              <w:autoSpaceDE/>
              <w:autoSpaceDN/>
              <w:bidi w:val="0"/>
              <w:adjustRightInd/>
              <w:snapToGrid/>
              <w:spacing w:beforeAutospacing="0" w:afterAutospacing="0" w:line="360" w:lineRule="auto"/>
              <w:ind w:firstLine="210" w:firstLineChars="1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④不同</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的投标文件异常一致或者投标报价呈规律性差异；</w:t>
            </w:r>
          </w:p>
          <w:p w14:paraId="76365E12">
            <w:pPr>
              <w:keepNext w:val="0"/>
              <w:keepLines w:val="0"/>
              <w:pageBreakBefore w:val="0"/>
              <w:widowControl w:val="0"/>
              <w:kinsoku/>
              <w:wordWrap w:val="0"/>
              <w:overflowPunct/>
              <w:topLinePunct/>
              <w:autoSpaceDE/>
              <w:autoSpaceDN/>
              <w:bidi w:val="0"/>
              <w:adjustRightInd/>
              <w:snapToGrid/>
              <w:spacing w:beforeAutospacing="0" w:afterAutospacing="0" w:line="360" w:lineRule="auto"/>
              <w:ind w:firstLine="210" w:firstLineChars="1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⑤不同</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的投标文件相互混装；</w:t>
            </w:r>
          </w:p>
          <w:p w14:paraId="34E3A40B">
            <w:pPr>
              <w:keepNext w:val="0"/>
              <w:keepLines w:val="0"/>
              <w:pageBreakBefore w:val="0"/>
              <w:widowControl w:val="0"/>
              <w:kinsoku/>
              <w:wordWrap w:val="0"/>
              <w:overflowPunct/>
              <w:topLinePunct/>
              <w:autoSpaceDE/>
              <w:autoSpaceDN/>
              <w:bidi w:val="0"/>
              <w:adjustRightInd/>
              <w:snapToGrid/>
              <w:spacing w:beforeAutospacing="0" w:afterAutospacing="0" w:line="360" w:lineRule="auto"/>
              <w:ind w:firstLine="210" w:firstLineChars="1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⑥不同</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的投标保证金从同一单位或者个人的账户转出</w:t>
            </w:r>
            <w:r>
              <w:rPr>
                <w:rFonts w:hint="eastAsia" w:ascii="仿宋" w:hAnsi="仿宋" w:eastAsia="仿宋" w:cs="仿宋"/>
                <w:color w:val="auto"/>
                <w:sz w:val="21"/>
                <w:szCs w:val="21"/>
                <w:highlight w:val="none"/>
                <w:lang w:eastAsia="zh-CN"/>
              </w:rPr>
              <w:t>；</w:t>
            </w:r>
          </w:p>
          <w:p w14:paraId="13B99367">
            <w:pPr>
              <w:keepNext w:val="0"/>
              <w:keepLines w:val="0"/>
              <w:pageBreakBefore w:val="0"/>
              <w:widowControl w:val="0"/>
              <w:kinsoku/>
              <w:wordWrap w:val="0"/>
              <w:overflowPunct/>
              <w:topLinePunct/>
              <w:autoSpaceDE/>
              <w:autoSpaceDN/>
              <w:bidi w:val="0"/>
              <w:adjustRightInd/>
              <w:snapToGrid/>
              <w:spacing w:beforeAutospacing="0" w:afterAutospacing="0" w:line="360" w:lineRule="auto"/>
              <w:ind w:firstLine="210" w:firstLineChars="100"/>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⑦其他围标串标的情形</w:t>
            </w:r>
            <w:r>
              <w:rPr>
                <w:rFonts w:hint="eastAsia" w:ascii="仿宋" w:hAnsi="仿宋" w:eastAsia="仿宋" w:cs="仿宋"/>
                <w:color w:val="auto"/>
                <w:sz w:val="21"/>
                <w:szCs w:val="21"/>
                <w:highlight w:val="none"/>
                <w:lang w:eastAsia="zh-CN"/>
              </w:rPr>
              <w:t>。</w:t>
            </w:r>
          </w:p>
        </w:tc>
      </w:tr>
      <w:tr w14:paraId="03CE5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7" w:hRule="atLeast"/>
          <w:jc w:val="center"/>
        </w:trPr>
        <w:tc>
          <w:tcPr>
            <w:tcW w:w="1989" w:type="dxa"/>
            <w:vAlign w:val="center"/>
          </w:tcPr>
          <w:p w14:paraId="4373C1E8">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firstLine="0" w:firstLineChars="0"/>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val="0"/>
                <w:bCs w:val="0"/>
                <w:snapToGrid w:val="0"/>
                <w:color w:val="auto"/>
                <w:kern w:val="0"/>
                <w:sz w:val="21"/>
                <w:szCs w:val="21"/>
                <w:highlight w:val="none"/>
                <w:lang w:val="en-US" w:eastAsia="zh-CN" w:bidi="ar-SA"/>
              </w:rPr>
              <w:t>权利义务</w:t>
            </w:r>
          </w:p>
        </w:tc>
        <w:tc>
          <w:tcPr>
            <w:tcW w:w="7701" w:type="dxa"/>
            <w:vAlign w:val="center"/>
          </w:tcPr>
          <w:p w14:paraId="186F4D34">
            <w:pPr>
              <w:keepNext w:val="0"/>
              <w:keepLines w:val="0"/>
              <w:pageBreakBefore w:val="0"/>
              <w:widowControl w:val="0"/>
              <w:kinsoku/>
              <w:wordWrap w:val="0"/>
              <w:overflowPunct/>
              <w:topLinePunct/>
              <w:autoSpaceDE/>
              <w:autoSpaceDN/>
              <w:bidi w:val="0"/>
              <w:adjustRightInd/>
              <w:snapToGrid/>
              <w:spacing w:beforeAutospacing="0" w:afterAutospacing="0" w:line="360" w:lineRule="auto"/>
              <w:ind w:right="0" w:firstLine="210" w:firstLineChars="100"/>
              <w:textAlignment w:val="auto"/>
              <w:rPr>
                <w:rFonts w:hint="eastAsia" w:ascii="仿宋" w:hAnsi="仿宋" w:eastAsia="仿宋" w:cs="仿宋"/>
                <w:color w:val="auto"/>
                <w:sz w:val="21"/>
                <w:szCs w:val="21"/>
                <w:highlight w:val="none"/>
                <w:lang w:eastAsia="zh-CN"/>
              </w:rPr>
            </w:pPr>
            <w:r>
              <w:rPr>
                <w:rFonts w:hint="eastAsia" w:ascii="仿宋" w:hAnsi="仿宋" w:eastAsia="仿宋" w:cs="仿宋"/>
                <w:b w:val="0"/>
                <w:bCs w:val="0"/>
                <w:snapToGrid w:val="0"/>
                <w:color w:val="auto"/>
                <w:kern w:val="0"/>
                <w:sz w:val="21"/>
                <w:szCs w:val="21"/>
                <w:highlight w:val="none"/>
                <w:lang w:val="en-US" w:eastAsia="zh-CN" w:bidi="ar-SA"/>
              </w:rPr>
              <w:t>投标文件中应对“第五章 合同条款及格式”中规定的相应权利及义务进行响应。</w:t>
            </w:r>
            <w:r>
              <w:rPr>
                <w:rFonts w:hint="eastAsia" w:ascii="仿宋" w:hAnsi="仿宋" w:eastAsia="仿宋" w:cs="仿宋"/>
                <w:color w:val="auto"/>
                <w:sz w:val="21"/>
                <w:szCs w:val="21"/>
                <w:highlight w:val="none"/>
              </w:rPr>
              <w:t>投标文件含有采购人不能接受的附加条件的</w:t>
            </w:r>
            <w:r>
              <w:rPr>
                <w:rFonts w:hint="eastAsia" w:ascii="仿宋" w:hAnsi="仿宋" w:eastAsia="仿宋" w:cs="仿宋"/>
                <w:color w:val="auto"/>
                <w:sz w:val="21"/>
                <w:szCs w:val="21"/>
                <w:highlight w:val="none"/>
                <w:lang w:eastAsia="zh-CN"/>
              </w:rPr>
              <w:t>。</w:t>
            </w:r>
          </w:p>
        </w:tc>
      </w:tr>
      <w:tr w14:paraId="38124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3" w:hRule="atLeast"/>
          <w:jc w:val="center"/>
        </w:trPr>
        <w:tc>
          <w:tcPr>
            <w:tcW w:w="1989" w:type="dxa"/>
            <w:vAlign w:val="center"/>
          </w:tcPr>
          <w:p w14:paraId="590C8290">
            <w:pPr>
              <w:keepNext w:val="0"/>
              <w:keepLines w:val="0"/>
              <w:pageBreakBefore w:val="0"/>
              <w:widowControl w:val="0"/>
              <w:kinsoku/>
              <w:wordWrap w:val="0"/>
              <w:overflowPunct/>
              <w:topLinePunct/>
              <w:autoSpaceDE/>
              <w:autoSpaceDN/>
              <w:bidi w:val="0"/>
              <w:adjustRightInd/>
              <w:snapToGrid/>
              <w:spacing w:beforeAutospacing="0" w:afterAutospacing="0" w:line="360" w:lineRule="auto"/>
              <w:jc w:val="center"/>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rPr>
              <w:t>其他无效情形</w:t>
            </w:r>
          </w:p>
        </w:tc>
        <w:tc>
          <w:tcPr>
            <w:tcW w:w="7701" w:type="dxa"/>
            <w:vAlign w:val="center"/>
          </w:tcPr>
          <w:p w14:paraId="4928EE5D">
            <w:pPr>
              <w:keepNext w:val="0"/>
              <w:keepLines w:val="0"/>
              <w:pageBreakBefore w:val="0"/>
              <w:widowControl w:val="0"/>
              <w:kinsoku/>
              <w:wordWrap w:val="0"/>
              <w:overflowPunct/>
              <w:topLinePunct/>
              <w:autoSpaceDE/>
              <w:autoSpaceDN/>
              <w:bidi w:val="0"/>
              <w:adjustRightInd/>
              <w:snapToGrid/>
              <w:spacing w:beforeAutospacing="0" w:afterAutospacing="0" w:line="360" w:lineRule="auto"/>
              <w:ind w:firstLine="210" w:firstLineChars="1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lang w:eastAsia="zh-CN"/>
              </w:rPr>
              <w:t>法律法规</w:t>
            </w:r>
            <w:r>
              <w:rPr>
                <w:rFonts w:hint="eastAsia" w:ascii="仿宋" w:hAnsi="仿宋" w:eastAsia="仿宋" w:cs="仿宋"/>
                <w:snapToGrid w:val="0"/>
                <w:color w:val="auto"/>
                <w:kern w:val="0"/>
                <w:sz w:val="21"/>
                <w:szCs w:val="21"/>
                <w:highlight w:val="none"/>
              </w:rPr>
              <w:t>和招标文件规定的其他无效情形。</w:t>
            </w:r>
          </w:p>
        </w:tc>
      </w:tr>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tbl>
    <w:p w14:paraId="34A2214A">
      <w:pPr>
        <w:pStyle w:val="3"/>
        <w:keepNext w:val="0"/>
        <w:keepLines w:val="0"/>
        <w:pageBreakBefore w:val="0"/>
        <w:widowControl w:val="0"/>
        <w:kinsoku/>
        <w:wordWrap w:val="0"/>
        <w:overflowPunct/>
        <w:topLinePunct/>
        <w:autoSpaceDE/>
        <w:autoSpaceDN/>
        <w:bidi w:val="0"/>
        <w:adjustRightInd/>
        <w:snapToGrid/>
        <w:spacing w:before="0" w:after="0" w:line="360" w:lineRule="auto"/>
        <w:ind w:left="0"/>
        <w:textAlignment w:val="auto"/>
        <w:outlineLvl w:val="9"/>
        <w:rPr>
          <w:rFonts w:hint="eastAsia" w:ascii="仿宋" w:hAnsi="仿宋" w:eastAsia="仿宋" w:cs="仿宋"/>
          <w:color w:val="auto"/>
          <w:sz w:val="21"/>
          <w:szCs w:val="21"/>
          <w:highlight w:val="none"/>
          <w:lang w:val="en-US" w:eastAsia="zh-CN"/>
        </w:rPr>
        <w:sectPr>
          <w:pgSz w:w="11906" w:h="16838"/>
          <w:pgMar w:top="1134" w:right="1134" w:bottom="1134" w:left="1134" w:header="851" w:footer="907" w:gutter="0"/>
          <w:pgBorders>
            <w:top w:val="none" w:sz="0" w:space="0"/>
            <w:left w:val="none" w:sz="0" w:space="0"/>
            <w:bottom w:val="none" w:sz="0" w:space="0"/>
            <w:right w:val="none" w:sz="0" w:space="0"/>
          </w:pgBorders>
          <w:cols w:space="425" w:num="1"/>
          <w:rtlGutter w:val="0"/>
          <w:docGrid w:type="lines" w:linePitch="312" w:charSpace="0"/>
        </w:sectPr>
      </w:pPr>
      <w:bookmarkStart w:id="1259" w:name="_Toc30410"/>
    </w:p>
    <w:p w14:paraId="44506C02">
      <w:pPr>
        <w:pStyle w:val="3"/>
        <w:keepNext w:val="0"/>
        <w:keepLines w:val="0"/>
        <w:pageBreakBefore w:val="0"/>
        <w:widowControl w:val="0"/>
        <w:kinsoku/>
        <w:wordWrap w:val="0"/>
        <w:overflowPunct/>
        <w:topLinePunct/>
        <w:autoSpaceDE/>
        <w:autoSpaceDN/>
        <w:bidi w:val="0"/>
        <w:adjustRightInd/>
        <w:snapToGrid/>
        <w:spacing w:before="0" w:after="0" w:line="360" w:lineRule="auto"/>
        <w:ind w:left="0"/>
        <w:textAlignment w:val="auto"/>
        <w:outlineLvl w:val="2"/>
        <w:rPr>
          <w:rFonts w:hint="eastAsia" w:ascii="仿宋" w:hAnsi="仿宋" w:eastAsia="仿宋" w:cs="仿宋"/>
          <w:i w:val="0"/>
          <w:iCs w:val="0"/>
          <w:color w:val="auto"/>
          <w:sz w:val="21"/>
          <w:szCs w:val="21"/>
          <w:highlight w:val="none"/>
          <w:lang w:eastAsia="zh-CN"/>
        </w:rPr>
      </w:pPr>
      <w:bookmarkStart w:id="1260" w:name="_Toc31694"/>
      <w:bookmarkStart w:id="1261" w:name="_Toc2993"/>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lang w:eastAsia="zh-CN"/>
        </w:rPr>
        <w:t>投标报价</w:t>
      </w:r>
      <w:r>
        <w:rPr>
          <w:rFonts w:hint="eastAsia" w:ascii="仿宋" w:hAnsi="仿宋" w:eastAsia="仿宋" w:cs="仿宋"/>
          <w:color w:val="auto"/>
          <w:sz w:val="21"/>
          <w:szCs w:val="21"/>
          <w:highlight w:val="none"/>
          <w:lang w:val="en-US" w:eastAsia="zh-CN"/>
        </w:rPr>
        <w:t>评分标准（</w:t>
      </w:r>
      <w:r>
        <w:rPr>
          <w:rFonts w:hint="eastAsia" w:ascii="仿宋" w:hAnsi="仿宋" w:eastAsia="仿宋" w:cs="仿宋"/>
          <w:i w:val="0"/>
          <w:iCs w:val="0"/>
          <w:color w:val="auto"/>
          <w:sz w:val="21"/>
          <w:szCs w:val="21"/>
          <w:highlight w:val="none"/>
          <w:lang w:val="en-US" w:eastAsia="zh-CN"/>
        </w:rPr>
        <w:t>满分</w:t>
      </w:r>
      <w:r>
        <w:rPr>
          <w:rFonts w:hint="eastAsia" w:ascii="仿宋" w:hAnsi="仿宋" w:eastAsia="仿宋" w:cs="仿宋"/>
          <w:i w:val="0"/>
          <w:iCs w:val="0"/>
          <w:color w:val="auto"/>
          <w:sz w:val="21"/>
          <w:szCs w:val="21"/>
          <w:highlight w:val="none"/>
          <w:u w:val="single"/>
          <w:lang w:val="en-US" w:eastAsia="zh-CN"/>
        </w:rPr>
        <w:t>30</w:t>
      </w:r>
      <w:r>
        <w:rPr>
          <w:rFonts w:hint="eastAsia" w:ascii="仿宋" w:hAnsi="仿宋" w:eastAsia="仿宋" w:cs="仿宋"/>
          <w:i w:val="0"/>
          <w:iCs w:val="0"/>
          <w:color w:val="auto"/>
          <w:sz w:val="21"/>
          <w:szCs w:val="21"/>
          <w:highlight w:val="none"/>
          <w:lang w:val="en-US" w:eastAsia="zh-CN"/>
        </w:rPr>
        <w:t>分）</w:t>
      </w:r>
      <w:bookmarkEnd w:id="1259"/>
      <w:bookmarkEnd w:id="1260"/>
      <w:bookmarkEnd w:id="1261"/>
    </w:p>
    <w:tbl>
      <w:tblPr>
        <w:tblStyle w:val="67"/>
        <w:tblW w:w="96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19"/>
        <w:gridCol w:w="8131"/>
        <w:gridCol w:w="807"/>
      </w:tblGrid>
      <w:tr w14:paraId="52EFC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19" w:type="dxa"/>
            <w:vAlign w:val="center"/>
          </w:tcPr>
          <w:p w14:paraId="09F860C8">
            <w:pPr>
              <w:keepNext w:val="0"/>
              <w:keepLines w:val="0"/>
              <w:pageBreakBefore w:val="0"/>
              <w:widowControl w:val="0"/>
              <w:kinsoku/>
              <w:wordWrap w:val="0"/>
              <w:overflowPunct/>
              <w:topLinePunct/>
              <w:autoSpaceDE/>
              <w:autoSpaceDN/>
              <w:bidi w:val="0"/>
              <w:snapToGrid/>
              <w:spacing w:line="360" w:lineRule="auto"/>
              <w:jc w:val="center"/>
              <w:textAlignment w:val="auto"/>
              <w:rPr>
                <w:rFonts w:hint="eastAsia" w:ascii="仿宋" w:hAnsi="仿宋" w:eastAsia="仿宋" w:cs="仿宋"/>
                <w:b/>
                <w:bCs/>
                <w:i w:val="0"/>
                <w:iCs w:val="0"/>
                <w:color w:val="auto"/>
                <w:sz w:val="21"/>
                <w:szCs w:val="21"/>
                <w:highlight w:val="none"/>
                <w:lang w:val="en-US" w:eastAsia="zh-CN"/>
              </w:rPr>
            </w:pPr>
            <w:r>
              <w:rPr>
                <w:rFonts w:hint="eastAsia" w:ascii="仿宋" w:hAnsi="仿宋" w:eastAsia="仿宋" w:cs="仿宋"/>
                <w:b/>
                <w:bCs/>
                <w:i w:val="0"/>
                <w:iCs w:val="0"/>
                <w:color w:val="auto"/>
                <w:sz w:val="21"/>
                <w:szCs w:val="21"/>
                <w:highlight w:val="none"/>
                <w:lang w:val="en-US" w:eastAsia="zh-CN"/>
              </w:rPr>
              <w:t>类型</w:t>
            </w:r>
          </w:p>
        </w:tc>
        <w:tc>
          <w:tcPr>
            <w:tcW w:w="8131" w:type="dxa"/>
            <w:vAlign w:val="center"/>
          </w:tcPr>
          <w:p w14:paraId="425503B5">
            <w:pPr>
              <w:keepNext w:val="0"/>
              <w:keepLines w:val="0"/>
              <w:pageBreakBefore w:val="0"/>
              <w:widowControl w:val="0"/>
              <w:kinsoku/>
              <w:wordWrap w:val="0"/>
              <w:overflowPunct/>
              <w:topLinePunct/>
              <w:autoSpaceDE/>
              <w:autoSpaceDN/>
              <w:bidi w:val="0"/>
              <w:snapToGrid/>
              <w:spacing w:line="360" w:lineRule="auto"/>
              <w:jc w:val="center"/>
              <w:textAlignment w:val="auto"/>
              <w:rPr>
                <w:rFonts w:hint="eastAsia" w:ascii="仿宋" w:hAnsi="仿宋" w:eastAsia="仿宋" w:cs="仿宋"/>
                <w:b/>
                <w:bCs/>
                <w:i w:val="0"/>
                <w:iCs w:val="0"/>
                <w:color w:val="auto"/>
                <w:sz w:val="21"/>
                <w:szCs w:val="21"/>
                <w:highlight w:val="none"/>
                <w:lang w:val="en-US" w:eastAsia="zh-CN"/>
              </w:rPr>
            </w:pPr>
            <w:r>
              <w:rPr>
                <w:rFonts w:hint="eastAsia" w:ascii="仿宋" w:hAnsi="仿宋" w:eastAsia="仿宋" w:cs="仿宋"/>
                <w:b/>
                <w:bCs/>
                <w:i w:val="0"/>
                <w:iCs w:val="0"/>
                <w:color w:val="auto"/>
                <w:sz w:val="21"/>
                <w:szCs w:val="21"/>
                <w:highlight w:val="none"/>
                <w:lang w:val="en-US" w:eastAsia="zh-CN"/>
              </w:rPr>
              <w:t>评分标准</w:t>
            </w:r>
          </w:p>
        </w:tc>
        <w:tc>
          <w:tcPr>
            <w:tcW w:w="807" w:type="dxa"/>
            <w:vAlign w:val="center"/>
          </w:tcPr>
          <w:p w14:paraId="67D8AC0B">
            <w:pPr>
              <w:keepNext w:val="0"/>
              <w:keepLines w:val="0"/>
              <w:pageBreakBefore w:val="0"/>
              <w:widowControl w:val="0"/>
              <w:kinsoku/>
              <w:wordWrap w:val="0"/>
              <w:overflowPunct/>
              <w:topLinePunct/>
              <w:autoSpaceDE/>
              <w:autoSpaceDN/>
              <w:bidi w:val="0"/>
              <w:snapToGrid/>
              <w:spacing w:line="360" w:lineRule="auto"/>
              <w:jc w:val="center"/>
              <w:textAlignment w:val="auto"/>
              <w:rPr>
                <w:rFonts w:hint="eastAsia" w:ascii="仿宋" w:hAnsi="仿宋" w:eastAsia="仿宋" w:cs="仿宋"/>
                <w:b/>
                <w:bCs/>
                <w:i w:val="0"/>
                <w:iCs w:val="0"/>
                <w:color w:val="auto"/>
                <w:sz w:val="21"/>
                <w:szCs w:val="21"/>
                <w:highlight w:val="none"/>
                <w:lang w:val="en-US" w:eastAsia="zh-CN"/>
              </w:rPr>
            </w:pPr>
            <w:r>
              <w:rPr>
                <w:rFonts w:hint="eastAsia" w:ascii="仿宋" w:hAnsi="仿宋" w:eastAsia="仿宋" w:cs="仿宋"/>
                <w:b/>
                <w:bCs/>
                <w:i w:val="0"/>
                <w:iCs w:val="0"/>
                <w:color w:val="auto"/>
                <w:sz w:val="21"/>
                <w:szCs w:val="21"/>
                <w:highlight w:val="none"/>
                <w:lang w:val="en-US" w:eastAsia="zh-CN"/>
              </w:rPr>
              <w:t>分值</w:t>
            </w:r>
          </w:p>
        </w:tc>
      </w:tr>
      <w:tr w14:paraId="4256F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99" w:hRule="atLeast"/>
          <w:jc w:val="center"/>
        </w:trPr>
        <w:tc>
          <w:tcPr>
            <w:tcW w:w="719" w:type="dxa"/>
            <w:vAlign w:val="center"/>
          </w:tcPr>
          <w:p w14:paraId="54333B17">
            <w:pPr>
              <w:keepNext w:val="0"/>
              <w:keepLines w:val="0"/>
              <w:pageBreakBefore w:val="0"/>
              <w:widowControl w:val="0"/>
              <w:kinsoku/>
              <w:wordWrap w:val="0"/>
              <w:overflowPunct/>
              <w:topLinePunct/>
              <w:autoSpaceDE/>
              <w:autoSpaceDN/>
              <w:bidi w:val="0"/>
              <w:snapToGrid/>
              <w:spacing w:line="360" w:lineRule="auto"/>
              <w:jc w:val="center"/>
              <w:textAlignment w:val="auto"/>
              <w:rPr>
                <w:rFonts w:hint="eastAsia" w:ascii="仿宋" w:hAnsi="仿宋" w:eastAsia="仿宋" w:cs="仿宋"/>
                <w:i w:val="0"/>
                <w:iCs w:val="0"/>
                <w:color w:val="000000" w:themeColor="text1"/>
                <w:sz w:val="21"/>
                <w:szCs w:val="21"/>
                <w:highlight w:val="none"/>
                <w:lang w:val="en-US" w:eastAsia="zh-CN"/>
                <w14:textFill>
                  <w14:solidFill>
                    <w14:schemeClr w14:val="tx1"/>
                  </w14:solidFill>
                </w14:textFill>
              </w:rPr>
            </w:pPr>
            <w:bookmarkStart w:id="1262" w:name="_Toc4849"/>
            <w:r>
              <w:rPr>
                <w:rFonts w:hint="eastAsia" w:ascii="仿宋" w:hAnsi="仿宋" w:eastAsia="仿宋" w:cs="仿宋"/>
                <w:i w:val="0"/>
                <w:iCs w:val="0"/>
                <w:color w:val="000000" w:themeColor="text1"/>
                <w:sz w:val="21"/>
                <w:szCs w:val="21"/>
                <w:highlight w:val="none"/>
                <w:lang w:val="en-US" w:eastAsia="zh-CN"/>
                <w14:textFill>
                  <w14:solidFill>
                    <w14:schemeClr w14:val="tx1"/>
                  </w14:solidFill>
                </w14:textFill>
              </w:rPr>
              <w:t>投标</w:t>
            </w:r>
            <w:r>
              <w:rPr>
                <w:rFonts w:hint="eastAsia" w:ascii="仿宋" w:hAnsi="仿宋" w:eastAsia="仿宋" w:cs="仿宋"/>
                <w:i w:val="0"/>
                <w:iCs w:val="0"/>
                <w:color w:val="000000" w:themeColor="text1"/>
                <w:sz w:val="21"/>
                <w:szCs w:val="21"/>
                <w:highlight w:val="none"/>
                <w14:textFill>
                  <w14:solidFill>
                    <w14:schemeClr w14:val="tx1"/>
                  </w14:solidFill>
                </w14:textFill>
              </w:rPr>
              <w:t>报价</w:t>
            </w:r>
          </w:p>
        </w:tc>
        <w:tc>
          <w:tcPr>
            <w:tcW w:w="8131" w:type="dxa"/>
            <w:vAlign w:val="center"/>
          </w:tcPr>
          <w:p w14:paraId="69105863">
            <w:pPr>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i w:val="0"/>
                <w:iCs w:val="0"/>
                <w:color w:val="000000" w:themeColor="text1"/>
                <w:sz w:val="21"/>
                <w:szCs w:val="21"/>
                <w:highlight w:val="none"/>
                <w14:textFill>
                  <w14:solidFill>
                    <w14:schemeClr w14:val="tx1"/>
                  </w14:solidFill>
                </w14:textFill>
              </w:rPr>
            </w:pPr>
            <w:r>
              <w:rPr>
                <w:rFonts w:hint="eastAsia" w:ascii="仿宋" w:hAnsi="仿宋" w:eastAsia="仿宋" w:cs="仿宋"/>
                <w:i w:val="0"/>
                <w:iCs w:val="0"/>
                <w:color w:val="000000" w:themeColor="text1"/>
                <w:sz w:val="21"/>
                <w:szCs w:val="21"/>
                <w:highlight w:val="none"/>
                <w:lang w:val="en-US" w:eastAsia="zh-CN"/>
                <w14:textFill>
                  <w14:solidFill>
                    <w14:schemeClr w14:val="tx1"/>
                  </w14:solidFill>
                </w14:textFill>
              </w:rPr>
              <w:t xml:space="preserve">1.本项目按照下浮率进行报价。 </w:t>
            </w:r>
          </w:p>
          <w:p w14:paraId="358ACE12">
            <w:pPr>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i w:val="0"/>
                <w:iCs w:val="0"/>
                <w:color w:val="000000" w:themeColor="text1"/>
                <w:sz w:val="21"/>
                <w:szCs w:val="21"/>
                <w:highlight w:val="none"/>
                <w:lang w:val="en-US" w:eastAsia="zh-CN"/>
                <w14:textFill>
                  <w14:solidFill>
                    <w14:schemeClr w14:val="tx1"/>
                  </w14:solidFill>
                </w14:textFill>
              </w:rPr>
            </w:pPr>
            <w:r>
              <w:rPr>
                <w:rFonts w:hint="eastAsia" w:ascii="仿宋" w:hAnsi="仿宋" w:eastAsia="仿宋" w:cs="仿宋"/>
                <w:i w:val="0"/>
                <w:iCs w:val="0"/>
                <w:color w:val="000000" w:themeColor="text1"/>
                <w:sz w:val="21"/>
                <w:szCs w:val="21"/>
                <w:highlight w:val="none"/>
                <w:lang w:val="en-US" w:eastAsia="zh-CN"/>
                <w14:textFill>
                  <w14:solidFill>
                    <w14:schemeClr w14:val="tx1"/>
                  </w14:solidFill>
                </w14:textFill>
              </w:rPr>
              <w:t>2.满足招标文件要求且下浮率最高的投标下浮率为评标基准下浮率，其得分为满分30分；其他投标人报价得分按以下公式计算：投标报价得分＝（评标基准价/投标报价）</w:t>
            </w:r>
            <w:r>
              <w:rPr>
                <w:rFonts w:hint="eastAsia" w:ascii="仿宋" w:hAnsi="仿宋" w:eastAsia="仿宋" w:cs="仿宋"/>
                <w:color w:val="000000" w:themeColor="text1"/>
                <w:sz w:val="21"/>
                <w:szCs w:val="21"/>
                <w:lang w:val="en-US" w:eastAsia="zh-CN"/>
                <w14:textFill>
                  <w14:solidFill>
                    <w14:schemeClr w14:val="tx1"/>
                  </w14:solidFill>
                </w14:textFill>
              </w:rPr>
              <w:t>×30</w:t>
            </w:r>
            <w:r>
              <w:rPr>
                <w:rFonts w:hint="eastAsia" w:ascii="仿宋" w:hAnsi="仿宋" w:eastAsia="仿宋" w:cs="仿宋"/>
                <w:i w:val="0"/>
                <w:iCs w:val="0"/>
                <w:color w:val="000000" w:themeColor="text1"/>
                <w:sz w:val="21"/>
                <w:szCs w:val="21"/>
                <w:highlight w:val="none"/>
                <w:lang w:val="en-US" w:eastAsia="zh-CN"/>
                <w14:textFill>
                  <w14:solidFill>
                    <w14:schemeClr w14:val="tx1"/>
                  </w14:solidFill>
                </w14:textFill>
              </w:rPr>
              <w:t xml:space="preserve">（四舍五入后保留小数点后两位）。 </w:t>
            </w:r>
          </w:p>
          <w:p w14:paraId="53550A7C">
            <w:pPr>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i w:val="0"/>
                <w:iCs w:val="0"/>
                <w:color w:val="000000" w:themeColor="text1"/>
                <w:sz w:val="21"/>
                <w:szCs w:val="21"/>
                <w:highlight w:val="none"/>
                <w:lang w:val="en-US" w:eastAsia="zh-CN"/>
                <w14:textFill>
                  <w14:solidFill>
                    <w14:schemeClr w14:val="tx1"/>
                  </w14:solidFill>
                </w14:textFill>
              </w:rPr>
            </w:pPr>
            <w:r>
              <w:rPr>
                <w:rFonts w:hint="eastAsia" w:ascii="仿宋" w:hAnsi="仿宋" w:eastAsia="仿宋" w:cs="仿宋"/>
                <w:i w:val="0"/>
                <w:iCs w:val="0"/>
                <w:color w:val="000000" w:themeColor="text1"/>
                <w:sz w:val="21"/>
                <w:szCs w:val="21"/>
                <w:highlight w:val="none"/>
                <w:lang w:val="en-US" w:eastAsia="zh-CN"/>
                <w14:textFill>
                  <w14:solidFill>
                    <w14:schemeClr w14:val="tx1"/>
                  </w14:solidFill>
                </w14:textFill>
              </w:rPr>
              <w:t>评标基准价=1-最大投标优惠率；投标人报价=1-投标优惠率；</w:t>
            </w:r>
          </w:p>
          <w:p w14:paraId="02D30C2A">
            <w:pPr>
              <w:keepNext w:val="0"/>
              <w:keepLines w:val="0"/>
              <w:pageBreakBefore w:val="0"/>
              <w:widowControl w:val="0"/>
              <w:kinsoku/>
              <w:wordWrap w:val="0"/>
              <w:overflowPunct/>
              <w:topLinePunct/>
              <w:autoSpaceDE/>
              <w:autoSpaceDN/>
              <w:bidi w:val="0"/>
              <w:snapToGrid/>
              <w:spacing w:line="360" w:lineRule="auto"/>
              <w:ind w:firstLine="420" w:firstLineChars="200"/>
              <w:textAlignment w:val="auto"/>
              <w:rPr>
                <w:rFonts w:hint="eastAsia" w:ascii="仿宋" w:hAnsi="仿宋" w:eastAsia="仿宋" w:cs="仿宋"/>
                <w:i w:val="0"/>
                <w:iCs w:val="0"/>
                <w:color w:val="000000" w:themeColor="text1"/>
                <w:sz w:val="21"/>
                <w:szCs w:val="21"/>
                <w:highlight w:val="none"/>
                <w:lang w:val="en-US" w:eastAsia="zh-CN"/>
                <w14:textFill>
                  <w14:solidFill>
                    <w14:schemeClr w14:val="tx1"/>
                  </w14:solidFill>
                </w14:textFill>
              </w:rPr>
            </w:pPr>
            <w:r>
              <w:rPr>
                <w:rFonts w:hint="eastAsia" w:ascii="仿宋" w:hAnsi="仿宋" w:eastAsia="仿宋" w:cs="仿宋"/>
                <w:i w:val="0"/>
                <w:iCs w:val="0"/>
                <w:color w:val="000000" w:themeColor="text1"/>
                <w:sz w:val="21"/>
                <w:szCs w:val="21"/>
                <w:highlight w:val="none"/>
                <w:lang w:val="en-US" w:eastAsia="zh-CN"/>
                <w14:textFill>
                  <w14:solidFill>
                    <w14:schemeClr w14:val="tx1"/>
                  </w14:solidFill>
                </w14:textFill>
              </w:rPr>
              <w:t>注：1.本项目货物需求数量不确定（按实际发生额结算），</w:t>
            </w:r>
            <w:r>
              <w:rPr>
                <w:rFonts w:hint="eastAsia" w:ascii="仿宋" w:hAnsi="仿宋" w:eastAsia="仿宋" w:cs="仿宋"/>
                <w:b/>
                <w:bCs/>
                <w:i w:val="0"/>
                <w:iCs w:val="0"/>
                <w:color w:val="000000" w:themeColor="text1"/>
                <w:sz w:val="21"/>
                <w:szCs w:val="21"/>
                <w:highlight w:val="none"/>
                <w:lang w:val="en-US" w:eastAsia="zh-CN"/>
                <w14:textFill>
                  <w14:solidFill>
                    <w14:schemeClr w14:val="tx1"/>
                  </w14:solidFill>
                </w14:textFill>
              </w:rPr>
              <w:t>投标报价是在最高单价限价基础上所有产品统一的下浮率报价</w:t>
            </w:r>
            <w:r>
              <w:rPr>
                <w:rFonts w:hint="eastAsia" w:ascii="仿宋" w:hAnsi="仿宋" w:eastAsia="仿宋" w:cs="仿宋"/>
                <w:i w:val="0"/>
                <w:iCs w:val="0"/>
                <w:color w:val="000000" w:themeColor="text1"/>
                <w:sz w:val="21"/>
                <w:szCs w:val="21"/>
                <w:highlight w:val="none"/>
                <w:lang w:val="en-US" w:eastAsia="zh-CN"/>
                <w14:textFill>
                  <w14:solidFill>
                    <w14:schemeClr w14:val="tx1"/>
                  </w14:solidFill>
                </w14:textFill>
              </w:rPr>
              <w:t>，投标人应综合考量招标文件第四章“项目说明和采购需求 ”中每一项产品的成本、税费等各种因素后报出所有产品统一的下浮率报价。</w:t>
            </w:r>
          </w:p>
          <w:p w14:paraId="2EC5044D">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i w:val="0"/>
                <w:iCs w:val="0"/>
                <w:color w:val="000000" w:themeColor="text1"/>
                <w:sz w:val="21"/>
                <w:szCs w:val="21"/>
                <w:highlight w:val="none"/>
                <w:lang w:val="en-US" w:eastAsia="zh-CN"/>
                <w14:textFill>
                  <w14:solidFill>
                    <w14:schemeClr w14:val="tx1"/>
                  </w14:solidFill>
                </w14:textFill>
              </w:rPr>
            </w:pPr>
            <w:r>
              <w:rPr>
                <w:rFonts w:hint="eastAsia" w:ascii="仿宋" w:hAnsi="仿宋" w:eastAsia="仿宋" w:cs="仿宋"/>
                <w:i w:val="0"/>
                <w:iCs w:val="0"/>
                <w:color w:val="000000" w:themeColor="text1"/>
                <w:sz w:val="21"/>
                <w:szCs w:val="21"/>
                <w:highlight w:val="none"/>
                <w:lang w:val="en-US" w:eastAsia="zh-CN"/>
                <w14:textFill>
                  <w14:solidFill>
                    <w14:schemeClr w14:val="tx1"/>
                  </w14:solidFill>
                </w14:textFill>
              </w:rPr>
              <w:t>2.报价计算示例</w:t>
            </w:r>
          </w:p>
          <w:p w14:paraId="52C2EA84">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i w:val="0"/>
                <w:iCs w:val="0"/>
                <w:color w:val="000000" w:themeColor="text1"/>
                <w:sz w:val="21"/>
                <w:szCs w:val="21"/>
                <w:highlight w:val="none"/>
                <w:lang w:val="en-US" w:eastAsia="zh-CN"/>
                <w14:textFill>
                  <w14:solidFill>
                    <w14:schemeClr w14:val="tx1"/>
                  </w14:solidFill>
                </w14:textFill>
              </w:rPr>
            </w:pPr>
            <w:r>
              <w:rPr>
                <w:rFonts w:hint="eastAsia" w:ascii="仿宋" w:hAnsi="仿宋" w:eastAsia="仿宋" w:cs="仿宋"/>
                <w:i w:val="0"/>
                <w:iCs w:val="0"/>
                <w:color w:val="000000" w:themeColor="text1"/>
                <w:sz w:val="21"/>
                <w:szCs w:val="21"/>
                <w:highlight w:val="none"/>
                <w:lang w:val="en-US" w:eastAsia="zh-CN"/>
                <w14:textFill>
                  <w14:solidFill>
                    <w14:schemeClr w14:val="tx1"/>
                  </w14:solidFill>
                </w14:textFill>
              </w:rPr>
              <w:t>2.1投标人报价</w:t>
            </w:r>
          </w:p>
          <w:p w14:paraId="6102B8D3">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i w:val="0"/>
                <w:iCs w:val="0"/>
                <w:color w:val="000000" w:themeColor="text1"/>
                <w:sz w:val="21"/>
                <w:szCs w:val="21"/>
                <w:highlight w:val="none"/>
                <w:lang w:val="en-US" w:eastAsia="zh-CN"/>
                <w14:textFill>
                  <w14:solidFill>
                    <w14:schemeClr w14:val="tx1"/>
                  </w14:solidFill>
                </w14:textFill>
              </w:rPr>
            </w:pPr>
            <w:r>
              <w:rPr>
                <w:rFonts w:hint="eastAsia" w:ascii="仿宋" w:hAnsi="仿宋" w:eastAsia="仿宋" w:cs="仿宋"/>
                <w:i w:val="0"/>
                <w:iCs w:val="0"/>
                <w:color w:val="000000" w:themeColor="text1"/>
                <w:sz w:val="21"/>
                <w:szCs w:val="21"/>
                <w:highlight w:val="none"/>
                <w:lang w:val="en-US" w:eastAsia="zh-CN"/>
                <w14:textFill>
                  <w14:solidFill>
                    <w14:schemeClr w14:val="tx1"/>
                  </w14:solidFill>
                </w14:textFill>
              </w:rPr>
              <w:t>投标人A报优惠率/下浮率为20%</w:t>
            </w:r>
          </w:p>
          <w:p w14:paraId="49369AAF">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i w:val="0"/>
                <w:iCs w:val="0"/>
                <w:color w:val="000000" w:themeColor="text1"/>
                <w:sz w:val="21"/>
                <w:szCs w:val="21"/>
                <w:highlight w:val="none"/>
                <w:lang w:val="en-US" w:eastAsia="zh-CN"/>
                <w14:textFill>
                  <w14:solidFill>
                    <w14:schemeClr w14:val="tx1"/>
                  </w14:solidFill>
                </w14:textFill>
              </w:rPr>
            </w:pPr>
            <w:r>
              <w:rPr>
                <w:rFonts w:hint="eastAsia" w:ascii="仿宋" w:hAnsi="仿宋" w:eastAsia="仿宋" w:cs="仿宋"/>
                <w:i w:val="0"/>
                <w:iCs w:val="0"/>
                <w:color w:val="000000" w:themeColor="text1"/>
                <w:sz w:val="21"/>
                <w:szCs w:val="21"/>
                <w:highlight w:val="none"/>
                <w:lang w:val="en-US" w:eastAsia="zh-CN"/>
                <w14:textFill>
                  <w14:solidFill>
                    <w14:schemeClr w14:val="tx1"/>
                  </w14:solidFill>
                </w14:textFill>
              </w:rPr>
              <w:t>投标人B报优惠率/下浮率为25%</w:t>
            </w:r>
          </w:p>
          <w:p w14:paraId="12B1DBBC">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i w:val="0"/>
                <w:iCs w:val="0"/>
                <w:color w:val="000000" w:themeColor="text1"/>
                <w:sz w:val="21"/>
                <w:szCs w:val="21"/>
                <w:highlight w:val="none"/>
                <w:lang w:val="en-US" w:eastAsia="zh-CN"/>
                <w14:textFill>
                  <w14:solidFill>
                    <w14:schemeClr w14:val="tx1"/>
                  </w14:solidFill>
                </w14:textFill>
              </w:rPr>
            </w:pPr>
            <w:r>
              <w:rPr>
                <w:rFonts w:hint="eastAsia" w:ascii="仿宋" w:hAnsi="仿宋" w:eastAsia="仿宋" w:cs="仿宋"/>
                <w:i w:val="0"/>
                <w:iCs w:val="0"/>
                <w:color w:val="000000" w:themeColor="text1"/>
                <w:sz w:val="21"/>
                <w:szCs w:val="21"/>
                <w:highlight w:val="none"/>
                <w:lang w:val="en-US" w:eastAsia="zh-CN"/>
                <w14:textFill>
                  <w14:solidFill>
                    <w14:schemeClr w14:val="tx1"/>
                  </w14:solidFill>
                </w14:textFill>
              </w:rPr>
              <w:t>投标人C报优惠率/下浮率为15％</w:t>
            </w:r>
          </w:p>
          <w:p w14:paraId="2161D9A2">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i w:val="0"/>
                <w:iCs w:val="0"/>
                <w:color w:val="000000" w:themeColor="text1"/>
                <w:sz w:val="21"/>
                <w:szCs w:val="21"/>
                <w:highlight w:val="none"/>
                <w:lang w:val="en-US" w:eastAsia="zh-CN"/>
                <w14:textFill>
                  <w14:solidFill>
                    <w14:schemeClr w14:val="tx1"/>
                  </w14:solidFill>
                </w14:textFill>
              </w:rPr>
            </w:pPr>
            <w:r>
              <w:rPr>
                <w:rFonts w:hint="eastAsia" w:ascii="仿宋" w:hAnsi="仿宋" w:eastAsia="仿宋" w:cs="仿宋"/>
                <w:i w:val="0"/>
                <w:iCs w:val="0"/>
                <w:color w:val="000000" w:themeColor="text1"/>
                <w:sz w:val="21"/>
                <w:szCs w:val="21"/>
                <w:highlight w:val="none"/>
                <w:lang w:val="en-US" w:eastAsia="zh-CN"/>
                <w14:textFill>
                  <w14:solidFill>
                    <w14:schemeClr w14:val="tx1"/>
                  </w14:solidFill>
                </w14:textFill>
              </w:rPr>
              <w:t>报价分分值权重为30分</w:t>
            </w:r>
          </w:p>
          <w:p w14:paraId="076FBDEF">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i w:val="0"/>
                <w:iCs w:val="0"/>
                <w:color w:val="000000" w:themeColor="text1"/>
                <w:sz w:val="21"/>
                <w:szCs w:val="21"/>
                <w:highlight w:val="none"/>
                <w:lang w:val="en-US" w:eastAsia="zh-CN"/>
                <w14:textFill>
                  <w14:solidFill>
                    <w14:schemeClr w14:val="tx1"/>
                  </w14:solidFill>
                </w14:textFill>
              </w:rPr>
            </w:pPr>
            <w:r>
              <w:rPr>
                <w:rFonts w:hint="eastAsia" w:ascii="仿宋" w:hAnsi="仿宋" w:eastAsia="仿宋" w:cs="仿宋"/>
                <w:i w:val="0"/>
                <w:iCs w:val="0"/>
                <w:color w:val="000000" w:themeColor="text1"/>
                <w:sz w:val="21"/>
                <w:szCs w:val="21"/>
                <w:highlight w:val="none"/>
                <w:lang w:val="en-US" w:eastAsia="zh-CN"/>
                <w14:textFill>
                  <w14:solidFill>
                    <w14:schemeClr w14:val="tx1"/>
                  </w14:solidFill>
                </w14:textFill>
              </w:rPr>
              <w:t>2.2 报价得分举例</w:t>
            </w:r>
          </w:p>
          <w:p w14:paraId="074919F1">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i w:val="0"/>
                <w:iCs w:val="0"/>
                <w:color w:val="000000" w:themeColor="text1"/>
                <w:sz w:val="21"/>
                <w:szCs w:val="21"/>
                <w:highlight w:val="none"/>
                <w:lang w:val="en-US" w:eastAsia="zh-CN"/>
                <w14:textFill>
                  <w14:solidFill>
                    <w14:schemeClr w14:val="tx1"/>
                  </w14:solidFill>
                </w14:textFill>
              </w:rPr>
            </w:pPr>
            <w:r>
              <w:rPr>
                <w:rFonts w:hint="eastAsia" w:ascii="仿宋" w:hAnsi="仿宋" w:eastAsia="仿宋" w:cs="仿宋"/>
                <w:i w:val="0"/>
                <w:iCs w:val="0"/>
                <w:color w:val="000000" w:themeColor="text1"/>
                <w:sz w:val="21"/>
                <w:szCs w:val="21"/>
                <w:highlight w:val="none"/>
                <w:lang w:val="en-US" w:eastAsia="zh-CN"/>
                <w14:textFill>
                  <w14:solidFill>
                    <w14:schemeClr w14:val="tx1"/>
                  </w14:solidFill>
                </w14:textFill>
              </w:rPr>
              <w:t>投标人A的报价分为：（1-25%）/（1-20%）*30=28.12分</w:t>
            </w:r>
          </w:p>
          <w:p w14:paraId="5183483C">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i w:val="0"/>
                <w:iCs w:val="0"/>
                <w:color w:val="000000" w:themeColor="text1"/>
                <w:sz w:val="21"/>
                <w:szCs w:val="21"/>
                <w:highlight w:val="none"/>
                <w:lang w:val="en-US" w:eastAsia="zh-CN"/>
                <w14:textFill>
                  <w14:solidFill>
                    <w14:schemeClr w14:val="tx1"/>
                  </w14:solidFill>
                </w14:textFill>
              </w:rPr>
            </w:pPr>
            <w:r>
              <w:rPr>
                <w:rFonts w:hint="eastAsia" w:ascii="仿宋" w:hAnsi="仿宋" w:eastAsia="仿宋" w:cs="仿宋"/>
                <w:i w:val="0"/>
                <w:iCs w:val="0"/>
                <w:color w:val="000000" w:themeColor="text1"/>
                <w:sz w:val="21"/>
                <w:szCs w:val="21"/>
                <w:highlight w:val="none"/>
                <w:lang w:val="en-US" w:eastAsia="zh-CN"/>
                <w14:textFill>
                  <w14:solidFill>
                    <w14:schemeClr w14:val="tx1"/>
                  </w14:solidFill>
                </w14:textFill>
              </w:rPr>
              <w:t>投标人B的报价分为：（1-25%）/（1-25%）*30=30分</w:t>
            </w:r>
          </w:p>
          <w:p w14:paraId="4A5E8AFF">
            <w:pPr>
              <w:keepNext w:val="0"/>
              <w:keepLines w:val="0"/>
              <w:pageBreakBefore w:val="0"/>
              <w:widowControl w:val="0"/>
              <w:kinsoku/>
              <w:wordWrap w:val="0"/>
              <w:overflowPunct/>
              <w:topLinePunct/>
              <w:autoSpaceDE/>
              <w:autoSpaceDN/>
              <w:bidi w:val="0"/>
              <w:snapToGrid/>
              <w:spacing w:line="360" w:lineRule="auto"/>
              <w:ind w:firstLine="420" w:firstLineChars="200"/>
              <w:textAlignment w:val="auto"/>
              <w:rPr>
                <w:rFonts w:hint="eastAsia" w:ascii="仿宋" w:hAnsi="仿宋" w:eastAsia="仿宋" w:cs="仿宋"/>
                <w:i w:val="0"/>
                <w:iCs w:val="0"/>
                <w:color w:val="000000" w:themeColor="text1"/>
                <w:sz w:val="21"/>
                <w:szCs w:val="21"/>
                <w:highlight w:val="none"/>
                <w:lang w:val="en-US" w:eastAsia="zh-CN"/>
                <w14:textFill>
                  <w14:solidFill>
                    <w14:schemeClr w14:val="tx1"/>
                  </w14:solidFill>
                </w14:textFill>
              </w:rPr>
            </w:pPr>
            <w:r>
              <w:rPr>
                <w:rFonts w:hint="eastAsia" w:ascii="仿宋" w:hAnsi="仿宋" w:eastAsia="仿宋" w:cs="仿宋"/>
                <w:i w:val="0"/>
                <w:iCs w:val="0"/>
                <w:color w:val="000000" w:themeColor="text1"/>
                <w:sz w:val="21"/>
                <w:szCs w:val="21"/>
                <w:highlight w:val="none"/>
                <w:lang w:val="en-US" w:eastAsia="zh-CN"/>
                <w14:textFill>
                  <w14:solidFill>
                    <w14:schemeClr w14:val="tx1"/>
                  </w14:solidFill>
                </w14:textFill>
              </w:rPr>
              <w:t>投标人C的报价分为：（1-25%）/（1-15%）*30=26.47分</w:t>
            </w:r>
          </w:p>
          <w:p w14:paraId="366AFA13">
            <w:pPr>
              <w:keepNext w:val="0"/>
              <w:keepLines w:val="0"/>
              <w:pageBreakBefore w:val="0"/>
              <w:widowControl w:val="0"/>
              <w:kinsoku/>
              <w:wordWrap w:val="0"/>
              <w:overflowPunct/>
              <w:topLinePunct/>
              <w:autoSpaceDE/>
              <w:autoSpaceDN/>
              <w:bidi w:val="0"/>
              <w:snapToGrid/>
              <w:spacing w:line="360" w:lineRule="auto"/>
              <w:ind w:firstLine="420" w:firstLineChars="200"/>
              <w:textAlignment w:val="auto"/>
              <w:rPr>
                <w:rFonts w:hint="eastAsia" w:ascii="仿宋" w:hAnsi="仿宋" w:eastAsia="仿宋" w:cs="仿宋"/>
                <w:i w:val="0"/>
                <w:iCs w:val="0"/>
                <w:color w:val="000000" w:themeColor="text1"/>
                <w:sz w:val="21"/>
                <w:szCs w:val="21"/>
                <w:highlight w:val="none"/>
                <w14:textFill>
                  <w14:solidFill>
                    <w14:schemeClr w14:val="tx1"/>
                  </w14:solidFill>
                </w14:textFill>
              </w:rPr>
            </w:pPr>
            <w:r>
              <w:rPr>
                <w:rFonts w:hint="eastAsia" w:ascii="仿宋" w:hAnsi="仿宋" w:eastAsia="仿宋" w:cs="仿宋"/>
                <w:i w:val="0"/>
                <w:iCs w:val="0"/>
                <w:color w:val="000000" w:themeColor="text1"/>
                <w:sz w:val="21"/>
                <w:szCs w:val="21"/>
                <w:highlight w:val="none"/>
                <w:lang w:val="en-US" w:eastAsia="zh-CN"/>
                <w14:textFill>
                  <w14:solidFill>
                    <w14:schemeClr w14:val="tx1"/>
                  </w14:solidFill>
                </w14:textFill>
              </w:rPr>
              <w:t>注：</w:t>
            </w:r>
            <w:r>
              <w:rPr>
                <w:rFonts w:hint="eastAsia" w:ascii="仿宋" w:hAnsi="仿宋" w:eastAsia="仿宋" w:cs="仿宋"/>
                <w:i w:val="0"/>
                <w:iCs w:val="0"/>
                <w:color w:val="000000" w:themeColor="text1"/>
                <w:sz w:val="21"/>
                <w:szCs w:val="21"/>
                <w:highlight w:val="none"/>
                <w14:textFill>
                  <w14:solidFill>
                    <w14:schemeClr w14:val="tx1"/>
                  </w14:solidFill>
                </w14:textFill>
              </w:rPr>
              <w:t>1</w:t>
            </w:r>
            <w:r>
              <w:rPr>
                <w:rFonts w:hint="eastAsia" w:ascii="仿宋" w:hAnsi="仿宋" w:eastAsia="仿宋" w:cs="仿宋"/>
                <w:i w:val="0"/>
                <w:iCs w:val="0"/>
                <w:color w:val="000000" w:themeColor="text1"/>
                <w:sz w:val="21"/>
                <w:szCs w:val="21"/>
                <w:highlight w:val="none"/>
                <w:lang w:val="en-US" w:eastAsia="zh-CN"/>
                <w14:textFill>
                  <w14:solidFill>
                    <w14:schemeClr w14:val="tx1"/>
                  </w14:solidFill>
                </w14:textFill>
              </w:rPr>
              <w:t>.</w:t>
            </w:r>
            <w:r>
              <w:rPr>
                <w:rFonts w:hint="eastAsia" w:ascii="仿宋" w:hAnsi="仿宋" w:eastAsia="仿宋" w:cs="仿宋"/>
                <w:i w:val="0"/>
                <w:iCs w:val="0"/>
                <w:color w:val="000000" w:themeColor="text1"/>
                <w:sz w:val="21"/>
                <w:szCs w:val="21"/>
                <w:highlight w:val="none"/>
                <w14:textFill>
                  <w14:solidFill>
                    <w14:schemeClr w14:val="tx1"/>
                  </w14:solidFill>
                </w14:textFill>
              </w:rPr>
              <w:t>在计算投标报价得分时，对小型或微型企业报价给予10%的扣除，用扣除后的价格参加评审</w:t>
            </w:r>
            <w:r>
              <w:rPr>
                <w:rFonts w:hint="eastAsia" w:ascii="仿宋" w:hAnsi="仿宋" w:eastAsia="仿宋" w:cs="仿宋"/>
                <w:i w:val="0"/>
                <w:iCs w:val="0"/>
                <w:color w:val="000000" w:themeColor="text1"/>
                <w:sz w:val="21"/>
                <w:szCs w:val="21"/>
                <w:highlight w:val="none"/>
                <w:lang w:eastAsia="zh-CN"/>
                <w14:textFill>
                  <w14:solidFill>
                    <w14:schemeClr w14:val="tx1"/>
                  </w14:solidFill>
                </w14:textFill>
              </w:rPr>
              <w:t>；</w:t>
            </w:r>
            <w:r>
              <w:rPr>
                <w:rFonts w:hint="eastAsia" w:ascii="仿宋" w:hAnsi="仿宋" w:eastAsia="仿宋" w:cs="仿宋"/>
                <w:i w:val="0"/>
                <w:iCs w:val="0"/>
                <w:color w:val="000000" w:themeColor="text1"/>
                <w:sz w:val="21"/>
                <w:szCs w:val="21"/>
                <w:highlight w:val="none"/>
                <w14:textFill>
                  <w14:solidFill>
                    <w14:schemeClr w14:val="tx1"/>
                  </w14:solidFill>
                </w14:textFill>
              </w:rPr>
              <w:t>残疾人福利性单位、监狱企业视同小型、微型企业。监狱企业或残疾人福利性单位属于小型、微型企业的，不重复计算，只进行一次价格扣除。</w:t>
            </w:r>
          </w:p>
          <w:p w14:paraId="719D76B2">
            <w:pPr>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default" w:ascii="仿宋" w:hAnsi="仿宋" w:eastAsia="仿宋" w:cs="仿宋"/>
                <w:i w:val="0"/>
                <w:iCs w:val="0"/>
                <w:color w:val="000000" w:themeColor="text1"/>
                <w:sz w:val="21"/>
                <w:szCs w:val="21"/>
                <w:highlight w:val="none"/>
                <w:lang w:val="en-US" w:eastAsia="zh-CN"/>
                <w14:textFill>
                  <w14:solidFill>
                    <w14:schemeClr w14:val="tx1"/>
                  </w14:solidFill>
                </w14:textFill>
              </w:rPr>
            </w:pPr>
            <w:r>
              <w:rPr>
                <w:rFonts w:hint="eastAsia" w:ascii="仿宋" w:hAnsi="仿宋" w:eastAsia="仿宋" w:cs="仿宋"/>
                <w:i w:val="0"/>
                <w:iCs w:val="0"/>
                <w:color w:val="000000" w:themeColor="text1"/>
                <w:sz w:val="21"/>
                <w:szCs w:val="21"/>
                <w:highlight w:val="none"/>
                <w:lang w:val="en-US" w:eastAsia="zh-CN"/>
                <w14:textFill>
                  <w14:solidFill>
                    <w14:schemeClr w14:val="tx1"/>
                  </w14:solidFill>
                </w14:textFill>
              </w:rPr>
              <w:t>2.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p>
        </w:tc>
        <w:tc>
          <w:tcPr>
            <w:tcW w:w="807" w:type="dxa"/>
            <w:vAlign w:val="center"/>
          </w:tcPr>
          <w:p w14:paraId="4B8301AA">
            <w:pPr>
              <w:keepNext w:val="0"/>
              <w:keepLines w:val="0"/>
              <w:pageBreakBefore w:val="0"/>
              <w:widowControl w:val="0"/>
              <w:kinsoku/>
              <w:wordWrap w:val="0"/>
              <w:overflowPunct/>
              <w:topLinePunct/>
              <w:autoSpaceDE/>
              <w:autoSpaceDN/>
              <w:bidi w:val="0"/>
              <w:snapToGrid/>
              <w:spacing w:line="360" w:lineRule="auto"/>
              <w:jc w:val="center"/>
              <w:textAlignment w:val="auto"/>
              <w:rPr>
                <w:rFonts w:hint="eastAsia" w:ascii="仿宋" w:hAnsi="仿宋" w:eastAsia="仿宋" w:cs="仿宋"/>
                <w:b/>
                <w:bCs/>
                <w:i w:val="0"/>
                <w:iCs w:val="0"/>
                <w:color w:val="000000" w:themeColor="text1"/>
                <w:sz w:val="21"/>
                <w:szCs w:val="21"/>
                <w:highlight w:val="none"/>
                <w:u w:val="none"/>
                <w:lang w:val="en-US" w:eastAsia="zh-CN"/>
                <w14:textFill>
                  <w14:solidFill>
                    <w14:schemeClr w14:val="tx1"/>
                  </w14:solidFill>
                </w14:textFill>
              </w:rPr>
            </w:pPr>
            <w:r>
              <w:rPr>
                <w:rFonts w:hint="eastAsia" w:ascii="仿宋" w:hAnsi="仿宋" w:eastAsia="仿宋" w:cs="仿宋"/>
                <w:b/>
                <w:bCs/>
                <w:i w:val="0"/>
                <w:iCs w:val="0"/>
                <w:color w:val="000000" w:themeColor="text1"/>
                <w:sz w:val="21"/>
                <w:szCs w:val="21"/>
                <w:highlight w:val="none"/>
                <w:u w:val="none"/>
                <w:lang w:val="en-US" w:eastAsia="zh-CN"/>
                <w14:textFill>
                  <w14:solidFill>
                    <w14:schemeClr w14:val="tx1"/>
                  </w14:solidFill>
                </w14:textFill>
              </w:rPr>
              <w:t>30</w:t>
            </w:r>
            <w:r>
              <w:rPr>
                <w:rFonts w:hint="eastAsia" w:ascii="仿宋" w:hAnsi="仿宋" w:eastAsia="仿宋" w:cs="仿宋"/>
                <w:b/>
                <w:bCs/>
                <w:i w:val="0"/>
                <w:iCs w:val="0"/>
                <w:color w:val="000000" w:themeColor="text1"/>
                <w:sz w:val="21"/>
                <w:szCs w:val="21"/>
                <w:highlight w:val="none"/>
                <w:lang w:val="en-US" w:eastAsia="zh-CN"/>
                <w14:textFill>
                  <w14:solidFill>
                    <w14:schemeClr w14:val="tx1"/>
                  </w14:solidFill>
                </w14:textFill>
              </w:rPr>
              <w:t>分</w:t>
            </w:r>
          </w:p>
        </w:tc>
      </w:tr>
    </w:tbl>
    <w:p w14:paraId="02B616CD">
      <w:pPr>
        <w:rPr>
          <w:rFonts w:hint="eastAsia" w:ascii="仿宋" w:hAnsi="仿宋" w:eastAsia="仿宋" w:cs="仿宋"/>
          <w:color w:val="000000" w:themeColor="text1"/>
          <w:sz w:val="21"/>
          <w:szCs w:val="21"/>
          <w:highlight w:val="none"/>
          <w:lang w:val="zh-CN" w:eastAsia="zh-CN"/>
          <w14:textFill>
            <w14:solidFill>
              <w14:schemeClr w14:val="tx1"/>
            </w14:solidFill>
          </w14:textFill>
        </w:rPr>
      </w:pPr>
      <w:r>
        <w:rPr>
          <w:rFonts w:hint="eastAsia" w:ascii="仿宋" w:hAnsi="仿宋" w:eastAsia="仿宋" w:cs="仿宋"/>
          <w:color w:val="000000" w:themeColor="text1"/>
          <w:sz w:val="21"/>
          <w:szCs w:val="21"/>
          <w:highlight w:val="none"/>
          <w:lang w:val="zh-CN" w:eastAsia="zh-CN"/>
          <w14:textFill>
            <w14:solidFill>
              <w14:schemeClr w14:val="tx1"/>
            </w14:solidFill>
          </w14:textFill>
        </w:rPr>
        <w:br w:type="page"/>
      </w:r>
    </w:p>
    <w:p w14:paraId="0DF59945">
      <w:pPr>
        <w:pStyle w:val="3"/>
        <w:keepNext/>
        <w:keepLines w:val="0"/>
        <w:pageBreakBefore w:val="0"/>
        <w:widowControl w:val="0"/>
        <w:numPr>
          <w:ilvl w:val="0"/>
          <w:numId w:val="0"/>
        </w:numPr>
        <w:kinsoku/>
        <w:wordWrap w:val="0"/>
        <w:overflowPunct/>
        <w:topLinePunct/>
        <w:autoSpaceDE/>
        <w:autoSpaceDN/>
        <w:bidi w:val="0"/>
        <w:adjustRightInd/>
        <w:snapToGrid/>
        <w:spacing w:before="0" w:after="0" w:line="360" w:lineRule="auto"/>
        <w:jc w:val="center"/>
        <w:textAlignment w:val="auto"/>
        <w:outlineLvl w:val="2"/>
        <w:rPr>
          <w:rFonts w:hint="eastAsia" w:ascii="仿宋" w:hAnsi="仿宋" w:eastAsia="仿宋" w:cs="仿宋"/>
          <w:color w:val="000000" w:themeColor="text1"/>
          <w:sz w:val="21"/>
          <w:szCs w:val="21"/>
          <w:highlight w:val="none"/>
          <w:lang w:val="en-US" w:eastAsia="zh-CN"/>
          <w14:textFill>
            <w14:solidFill>
              <w14:schemeClr w14:val="tx1"/>
            </w14:solidFill>
          </w14:textFill>
        </w:rPr>
      </w:pPr>
      <w:bookmarkStart w:id="1263" w:name="_Toc7979"/>
      <w:bookmarkStart w:id="1264" w:name="_Toc27836"/>
      <w:r>
        <w:rPr>
          <w:rFonts w:hint="eastAsia" w:ascii="仿宋" w:hAnsi="仿宋" w:eastAsia="仿宋" w:cs="仿宋"/>
          <w:color w:val="000000" w:themeColor="text1"/>
          <w:sz w:val="21"/>
          <w:szCs w:val="21"/>
          <w:highlight w:val="none"/>
          <w:lang w:val="zh-CN" w:eastAsia="zh-CN"/>
          <w14:textFill>
            <w14:solidFill>
              <w14:schemeClr w14:val="tx1"/>
            </w14:solidFill>
          </w14:textFill>
        </w:rPr>
        <w:t>（</w:t>
      </w:r>
      <w:r>
        <w:rPr>
          <w:rFonts w:hint="eastAsia" w:ascii="仿宋" w:hAnsi="仿宋" w:eastAsia="仿宋" w:cs="仿宋"/>
          <w:color w:val="000000" w:themeColor="text1"/>
          <w:sz w:val="21"/>
          <w:szCs w:val="21"/>
          <w:highlight w:val="none"/>
          <w:lang w:val="en-US" w:eastAsia="zh-CN"/>
          <w14:textFill>
            <w14:solidFill>
              <w14:schemeClr w14:val="tx1"/>
            </w14:solidFill>
          </w14:textFill>
        </w:rPr>
        <w:t>4</w:t>
      </w:r>
      <w:r>
        <w:rPr>
          <w:rFonts w:hint="eastAsia" w:ascii="仿宋" w:hAnsi="仿宋" w:eastAsia="仿宋" w:cs="仿宋"/>
          <w:color w:val="000000" w:themeColor="text1"/>
          <w:sz w:val="21"/>
          <w:szCs w:val="21"/>
          <w:highlight w:val="none"/>
          <w:lang w:val="zh-CN" w:eastAsia="zh-CN"/>
          <w14:textFill>
            <w14:solidFill>
              <w14:schemeClr w14:val="tx1"/>
            </w14:solidFill>
          </w14:textFill>
        </w:rPr>
        <w:t>）商务技术</w:t>
      </w:r>
      <w:r>
        <w:rPr>
          <w:rFonts w:hint="eastAsia" w:ascii="仿宋" w:hAnsi="仿宋" w:eastAsia="仿宋" w:cs="仿宋"/>
          <w:color w:val="000000" w:themeColor="text1"/>
          <w:sz w:val="21"/>
          <w:szCs w:val="21"/>
          <w:highlight w:val="none"/>
          <w:lang w:val="zh-CN"/>
          <w14:textFill>
            <w14:solidFill>
              <w14:schemeClr w14:val="tx1"/>
            </w14:solidFill>
          </w14:textFill>
        </w:rPr>
        <w:t>评分</w:t>
      </w:r>
      <w:r>
        <w:rPr>
          <w:rFonts w:hint="eastAsia" w:ascii="仿宋" w:hAnsi="仿宋" w:eastAsia="仿宋" w:cs="仿宋"/>
          <w:color w:val="000000" w:themeColor="text1"/>
          <w:sz w:val="21"/>
          <w:szCs w:val="21"/>
          <w:highlight w:val="none"/>
          <w:lang w:val="en-US" w:eastAsia="zh-CN"/>
          <w14:textFill>
            <w14:solidFill>
              <w14:schemeClr w14:val="tx1"/>
            </w14:solidFill>
          </w14:textFill>
        </w:rPr>
        <w:t>标准（满分70分）</w:t>
      </w:r>
      <w:bookmarkEnd w:id="1263"/>
      <w:bookmarkEnd w:id="1264"/>
    </w:p>
    <w:tbl>
      <w:tblPr>
        <w:tblStyle w:val="67"/>
        <w:tblW w:w="100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63"/>
        <w:gridCol w:w="8094"/>
        <w:gridCol w:w="1208"/>
      </w:tblGrid>
      <w:tr w14:paraId="7572D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63" w:type="dxa"/>
            <w:vAlign w:val="center"/>
          </w:tcPr>
          <w:p w14:paraId="0153F1F9">
            <w:pPr>
              <w:keepNext w:val="0"/>
              <w:keepLines w:val="0"/>
              <w:pageBreakBefore w:val="0"/>
              <w:widowControl w:val="0"/>
              <w:kinsoku/>
              <w:wordWrap w:val="0"/>
              <w:overflowPunct/>
              <w:topLinePunct/>
              <w:autoSpaceDE/>
              <w:autoSpaceDN/>
              <w:bidi w:val="0"/>
              <w:adjustRightInd/>
              <w:snapToGrid/>
              <w:spacing w:line="360" w:lineRule="auto"/>
              <w:jc w:val="center"/>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类型</w:t>
            </w:r>
          </w:p>
        </w:tc>
        <w:tc>
          <w:tcPr>
            <w:tcW w:w="8094" w:type="dxa"/>
            <w:vAlign w:val="center"/>
          </w:tcPr>
          <w:p w14:paraId="4EBCCFBE">
            <w:pPr>
              <w:keepNext w:val="0"/>
              <w:keepLines w:val="0"/>
              <w:pageBreakBefore w:val="0"/>
              <w:widowControl w:val="0"/>
              <w:kinsoku/>
              <w:wordWrap w:val="0"/>
              <w:overflowPunct/>
              <w:topLinePunct/>
              <w:autoSpaceDE/>
              <w:autoSpaceDN/>
              <w:bidi w:val="0"/>
              <w:adjustRightInd/>
              <w:snapToGrid/>
              <w:spacing w:line="360" w:lineRule="auto"/>
              <w:jc w:val="center"/>
              <w:rPr>
                <w:rFonts w:hint="eastAsia" w:ascii="仿宋" w:hAnsi="仿宋" w:eastAsia="仿宋" w:cs="仿宋"/>
                <w:color w:val="000000" w:themeColor="text1"/>
                <w:kern w:val="2"/>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评分标准</w:t>
            </w:r>
          </w:p>
        </w:tc>
        <w:tc>
          <w:tcPr>
            <w:tcW w:w="1208" w:type="dxa"/>
            <w:vAlign w:val="center"/>
          </w:tcPr>
          <w:p w14:paraId="63300506">
            <w:pPr>
              <w:keepNext w:val="0"/>
              <w:keepLines w:val="0"/>
              <w:pageBreakBefore w:val="0"/>
              <w:widowControl w:val="0"/>
              <w:kinsoku/>
              <w:wordWrap w:val="0"/>
              <w:overflowPunct/>
              <w:topLinePunct/>
              <w:autoSpaceDE/>
              <w:autoSpaceDN/>
              <w:bidi w:val="0"/>
              <w:adjustRightInd/>
              <w:snapToGrid/>
              <w:spacing w:line="360" w:lineRule="auto"/>
              <w:jc w:val="center"/>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分值</w:t>
            </w:r>
          </w:p>
        </w:tc>
      </w:tr>
      <w:tr w14:paraId="58749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63" w:type="dxa"/>
            <w:vMerge w:val="restart"/>
            <w:vAlign w:val="center"/>
          </w:tcPr>
          <w:p w14:paraId="0A154911">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t>技术</w:t>
            </w:r>
          </w:p>
        </w:tc>
        <w:tc>
          <w:tcPr>
            <w:tcW w:w="8094" w:type="dxa"/>
            <w:vAlign w:val="center"/>
          </w:tcPr>
          <w:p w14:paraId="71A0404D">
            <w:pPr>
              <w:keepNext w:val="0"/>
              <w:keepLines w:val="0"/>
              <w:pageBreakBefore w:val="0"/>
              <w:widowControl w:val="0"/>
              <w:tabs>
                <w:tab w:val="left" w:pos="7920"/>
              </w:tabs>
              <w:kinsoku/>
              <w:wordWrap w:val="0"/>
              <w:overflowPunct/>
              <w:topLinePunct/>
              <w:autoSpaceDE/>
              <w:autoSpaceDN/>
              <w:bidi w:val="0"/>
              <w:adjustRightInd/>
              <w:snapToGrid/>
              <w:spacing w:line="360" w:lineRule="auto"/>
              <w:ind w:firstLine="422" w:firstLineChars="200"/>
              <w:textAlignment w:val="auto"/>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t>投标产品综合配置：</w:t>
            </w:r>
          </w:p>
          <w:p w14:paraId="4F5CAC36">
            <w:pPr>
              <w:keepNext w:val="0"/>
              <w:keepLines w:val="0"/>
              <w:pageBreakBefore w:val="0"/>
              <w:widowControl w:val="0"/>
              <w:tabs>
                <w:tab w:val="left" w:pos="7920"/>
              </w:tabs>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b w:val="0"/>
                <w:bCs w:val="0"/>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z w:val="21"/>
                <w:szCs w:val="21"/>
                <w:highlight w:val="none"/>
                <w:lang w:val="en-US" w:eastAsia="zh-CN" w:bidi="ar-SA"/>
                <w14:textFill>
                  <w14:solidFill>
                    <w14:schemeClr w14:val="tx1"/>
                  </w14:solidFill>
                </w14:textFill>
              </w:rPr>
              <w:t>根据采购需求中的附表一具体技术(参数)要求表格中产品的响应程度进行评分：</w:t>
            </w:r>
          </w:p>
          <w:p w14:paraId="6DBBF2E0">
            <w:pPr>
              <w:keepNext w:val="0"/>
              <w:keepLines w:val="0"/>
              <w:pageBreakBefore w:val="0"/>
              <w:widowControl w:val="0"/>
              <w:tabs>
                <w:tab w:val="left" w:pos="7920"/>
              </w:tabs>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b w:val="0"/>
                <w:bCs w:val="0"/>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z w:val="21"/>
                <w:szCs w:val="21"/>
                <w:highlight w:val="none"/>
                <w:lang w:val="en-US" w:eastAsia="zh-CN" w:bidi="ar-SA"/>
                <w14:textFill>
                  <w14:solidFill>
                    <w14:schemeClr w14:val="tx1"/>
                  </w14:solidFill>
                </w14:textFill>
              </w:rPr>
              <w:t>全部满足得10分；</w:t>
            </w:r>
          </w:p>
          <w:p w14:paraId="7F52344A">
            <w:pPr>
              <w:keepNext w:val="0"/>
              <w:keepLines w:val="0"/>
              <w:pageBreakBefore w:val="0"/>
              <w:widowControl w:val="0"/>
              <w:tabs>
                <w:tab w:val="left" w:pos="7920"/>
              </w:tabs>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b w:val="0"/>
                <w:bCs w:val="0"/>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zh-CN" w:eastAsia="zh-CN"/>
                <w14:textFill>
                  <w14:solidFill>
                    <w14:schemeClr w14:val="tx1"/>
                  </w14:solidFill>
                </w14:textFill>
              </w:rPr>
              <w:t>①</w:t>
            </w:r>
            <w:r>
              <w:rPr>
                <w:rFonts w:hint="eastAsia" w:ascii="仿宋" w:hAnsi="仿宋" w:eastAsia="仿宋" w:cs="仿宋"/>
                <w:b w:val="0"/>
                <w:bCs w:val="0"/>
                <w:color w:val="000000" w:themeColor="text1"/>
                <w:sz w:val="21"/>
                <w:szCs w:val="21"/>
                <w:highlight w:val="none"/>
                <w:lang w:val="en-US" w:eastAsia="zh-CN" w:bidi="ar-SA"/>
                <w14:textFill>
                  <w14:solidFill>
                    <w14:schemeClr w14:val="tx1"/>
                  </w14:solidFill>
                </w14:textFill>
              </w:rPr>
              <w:t>有1-5（含）项负偏离，得8分；</w:t>
            </w:r>
          </w:p>
          <w:p w14:paraId="37557219">
            <w:pPr>
              <w:keepNext w:val="0"/>
              <w:keepLines w:val="0"/>
              <w:pageBreakBefore w:val="0"/>
              <w:widowControl w:val="0"/>
              <w:tabs>
                <w:tab w:val="left" w:pos="7920"/>
              </w:tabs>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b w:val="0"/>
                <w:bCs w:val="0"/>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zh-CN" w:eastAsia="zh-CN"/>
                <w14:textFill>
                  <w14:solidFill>
                    <w14:schemeClr w14:val="tx1"/>
                  </w14:solidFill>
                </w14:textFill>
              </w:rPr>
              <w:t>②</w:t>
            </w:r>
            <w:r>
              <w:rPr>
                <w:rFonts w:hint="eastAsia" w:ascii="仿宋" w:hAnsi="仿宋" w:eastAsia="仿宋" w:cs="仿宋"/>
                <w:b w:val="0"/>
                <w:bCs w:val="0"/>
                <w:color w:val="000000" w:themeColor="text1"/>
                <w:sz w:val="21"/>
                <w:szCs w:val="21"/>
                <w:highlight w:val="none"/>
                <w:lang w:val="en-US" w:eastAsia="zh-CN" w:bidi="ar-SA"/>
                <w14:textFill>
                  <w14:solidFill>
                    <w14:schemeClr w14:val="tx1"/>
                  </w14:solidFill>
                </w14:textFill>
              </w:rPr>
              <w:t>有6-10（含）项负偏离，得6分；</w:t>
            </w:r>
          </w:p>
          <w:p w14:paraId="6448B16A">
            <w:pPr>
              <w:keepNext w:val="0"/>
              <w:keepLines w:val="0"/>
              <w:pageBreakBefore w:val="0"/>
              <w:widowControl w:val="0"/>
              <w:tabs>
                <w:tab w:val="left" w:pos="7920"/>
              </w:tabs>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b w:val="0"/>
                <w:bCs w:val="0"/>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zh-CN" w:eastAsia="zh-CN"/>
                <w14:textFill>
                  <w14:solidFill>
                    <w14:schemeClr w14:val="tx1"/>
                  </w14:solidFill>
                </w14:textFill>
              </w:rPr>
              <w:t>③</w:t>
            </w:r>
            <w:r>
              <w:rPr>
                <w:rFonts w:hint="eastAsia" w:ascii="仿宋" w:hAnsi="仿宋" w:eastAsia="仿宋" w:cs="仿宋"/>
                <w:b w:val="0"/>
                <w:bCs w:val="0"/>
                <w:color w:val="000000" w:themeColor="text1"/>
                <w:sz w:val="21"/>
                <w:szCs w:val="21"/>
                <w:highlight w:val="none"/>
                <w:lang w:val="en-US" w:eastAsia="zh-CN" w:bidi="ar-SA"/>
                <w14:textFill>
                  <w14:solidFill>
                    <w14:schemeClr w14:val="tx1"/>
                  </w14:solidFill>
                </w14:textFill>
              </w:rPr>
              <w:t>有11-15（含）项负偏离，得4分；</w:t>
            </w:r>
          </w:p>
          <w:p w14:paraId="4AD40827">
            <w:pPr>
              <w:keepNext w:val="0"/>
              <w:keepLines w:val="0"/>
              <w:pageBreakBefore w:val="0"/>
              <w:widowControl w:val="0"/>
              <w:tabs>
                <w:tab w:val="left" w:pos="7920"/>
              </w:tabs>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b w:val="0"/>
                <w:bCs w:val="0"/>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zh-CN" w:eastAsia="zh-CN"/>
                <w14:textFill>
                  <w14:solidFill>
                    <w14:schemeClr w14:val="tx1"/>
                  </w14:solidFill>
                </w14:textFill>
              </w:rPr>
              <w:t>④</w:t>
            </w:r>
            <w:r>
              <w:rPr>
                <w:rFonts w:hint="eastAsia" w:ascii="仿宋" w:hAnsi="仿宋" w:eastAsia="仿宋" w:cs="仿宋"/>
                <w:b w:val="0"/>
                <w:bCs w:val="0"/>
                <w:color w:val="000000" w:themeColor="text1"/>
                <w:sz w:val="21"/>
                <w:szCs w:val="21"/>
                <w:highlight w:val="none"/>
                <w:lang w:val="en-US" w:eastAsia="zh-CN" w:bidi="ar-SA"/>
                <w14:textFill>
                  <w14:solidFill>
                    <w14:schemeClr w14:val="tx1"/>
                  </w14:solidFill>
                </w14:textFill>
              </w:rPr>
              <w:t>当达到16项（含）以上时视为严重偏离，得0分。</w:t>
            </w:r>
          </w:p>
          <w:p w14:paraId="4A2A3BA3">
            <w:pPr>
              <w:keepNext w:val="0"/>
              <w:keepLines w:val="0"/>
              <w:pageBreakBefore w:val="0"/>
              <w:widowControl w:val="0"/>
              <w:tabs>
                <w:tab w:val="left" w:pos="7920"/>
              </w:tabs>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z w:val="21"/>
                <w:szCs w:val="21"/>
                <w:highlight w:val="none"/>
                <w:lang w:val="en-US" w:eastAsia="zh-CN" w:bidi="ar-SA"/>
                <w14:textFill>
                  <w14:solidFill>
                    <w14:schemeClr w14:val="tx1"/>
                  </w14:solidFill>
                </w14:textFill>
              </w:rPr>
              <w:t>投标人须提供投标产品彩页及相应技术参数的厂家使用说明书作为技术证明文件，否则评标委员会有权视相应技术参数响应不符合招标要求（如厂家的产品使用说明书）。</w:t>
            </w:r>
          </w:p>
        </w:tc>
        <w:tc>
          <w:tcPr>
            <w:tcW w:w="1208" w:type="dxa"/>
            <w:vAlign w:val="center"/>
          </w:tcPr>
          <w:p w14:paraId="1F164192">
            <w:pPr>
              <w:keepNext w:val="0"/>
              <w:keepLines w:val="0"/>
              <w:pageBreakBefore w:val="0"/>
              <w:widowControl w:val="0"/>
              <w:kinsoku/>
              <w:wordWrap w:val="0"/>
              <w:overflowPunct/>
              <w:topLinePunct/>
              <w:autoSpaceDE/>
              <w:autoSpaceDN/>
              <w:bidi w:val="0"/>
              <w:adjustRightInd/>
              <w:snapToGrid/>
              <w:spacing w:line="360" w:lineRule="auto"/>
              <w:jc w:val="center"/>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0～10分</w:t>
            </w:r>
          </w:p>
        </w:tc>
      </w:tr>
      <w:tr w14:paraId="3D8BA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63" w:type="dxa"/>
            <w:vMerge w:val="continue"/>
            <w:vAlign w:val="center"/>
          </w:tcPr>
          <w:p w14:paraId="128BE6BE">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pPr>
          </w:p>
        </w:tc>
        <w:tc>
          <w:tcPr>
            <w:tcW w:w="8094" w:type="dxa"/>
            <w:vAlign w:val="center"/>
          </w:tcPr>
          <w:p w14:paraId="3C04A9B0">
            <w:pPr>
              <w:keepNext w:val="0"/>
              <w:keepLines w:val="0"/>
              <w:pageBreakBefore w:val="0"/>
              <w:widowControl w:val="0"/>
              <w:tabs>
                <w:tab w:val="left" w:pos="7920"/>
              </w:tabs>
              <w:kinsoku/>
              <w:wordWrap w:val="0"/>
              <w:overflowPunct/>
              <w:topLinePunct/>
              <w:autoSpaceDE/>
              <w:autoSpaceDN/>
              <w:bidi w:val="0"/>
              <w:adjustRightInd/>
              <w:snapToGrid/>
              <w:spacing w:line="360" w:lineRule="auto"/>
              <w:ind w:firstLine="422" w:firstLineChars="200"/>
              <w:textAlignment w:val="auto"/>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t>产品质量保证：</w:t>
            </w:r>
          </w:p>
          <w:p w14:paraId="31C2DFC2">
            <w:pPr>
              <w:keepNext w:val="0"/>
              <w:keepLines w:val="0"/>
              <w:pageBreakBefore w:val="0"/>
              <w:widowControl w:val="0"/>
              <w:tabs>
                <w:tab w:val="left" w:pos="7920"/>
              </w:tabs>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z w:val="21"/>
                <w:szCs w:val="21"/>
                <w:highlight w:val="none"/>
                <w:lang w:val="en-US" w:eastAsia="zh-CN" w:bidi="ar-SA"/>
                <w14:textFill>
                  <w14:solidFill>
                    <w14:schemeClr w14:val="tx1"/>
                  </w14:solidFill>
                </w14:textFill>
              </w:rPr>
              <w:t>根据投标人提供清单中涉及安全、卫生接触类产品（医用擦手纸、洗手液、安全插座、婴儿润肤油及婴儿沐浴露、一次性杯、电灭蚊药片、电池）第三方检测机构出具合格产品检测报告，每提供一份得1分，最高得7分。</w:t>
            </w:r>
          </w:p>
        </w:tc>
        <w:tc>
          <w:tcPr>
            <w:tcW w:w="1208" w:type="dxa"/>
            <w:vAlign w:val="center"/>
          </w:tcPr>
          <w:p w14:paraId="477278EB">
            <w:pPr>
              <w:keepNext w:val="0"/>
              <w:keepLines w:val="0"/>
              <w:pageBreakBefore w:val="0"/>
              <w:widowControl w:val="0"/>
              <w:kinsoku/>
              <w:wordWrap w:val="0"/>
              <w:overflowPunct/>
              <w:topLinePunct/>
              <w:autoSpaceDE/>
              <w:autoSpaceDN/>
              <w:bidi w:val="0"/>
              <w:adjustRightInd/>
              <w:snapToGrid/>
              <w:spacing w:line="360" w:lineRule="auto"/>
              <w:jc w:val="center"/>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0～7分</w:t>
            </w:r>
          </w:p>
        </w:tc>
      </w:tr>
      <w:tr w14:paraId="6CD29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63" w:type="dxa"/>
            <w:vMerge w:val="continue"/>
            <w:vAlign w:val="center"/>
          </w:tcPr>
          <w:p w14:paraId="78977398">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pPr>
          </w:p>
        </w:tc>
        <w:tc>
          <w:tcPr>
            <w:tcW w:w="8094" w:type="dxa"/>
            <w:vAlign w:val="center"/>
          </w:tcPr>
          <w:p w14:paraId="0E11F8BA">
            <w:pPr>
              <w:keepNext w:val="0"/>
              <w:keepLines w:val="0"/>
              <w:pageBreakBefore w:val="0"/>
              <w:widowControl w:val="0"/>
              <w:tabs>
                <w:tab w:val="left" w:pos="7920"/>
              </w:tabs>
              <w:kinsoku/>
              <w:wordWrap w:val="0"/>
              <w:overflowPunct/>
              <w:topLinePunct/>
              <w:autoSpaceDE/>
              <w:autoSpaceDN/>
              <w:bidi w:val="0"/>
              <w:adjustRightInd/>
              <w:snapToGrid/>
              <w:spacing w:line="360" w:lineRule="auto"/>
              <w:ind w:firstLine="422" w:firstLineChars="200"/>
              <w:textAlignment w:val="auto"/>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t>服务方案:</w:t>
            </w:r>
          </w:p>
          <w:p w14:paraId="0B2F85BC">
            <w:pPr>
              <w:keepNext w:val="0"/>
              <w:keepLines w:val="0"/>
              <w:pageBreakBefore w:val="0"/>
              <w:widowControl w:val="0"/>
              <w:tabs>
                <w:tab w:val="left" w:pos="7920"/>
              </w:tabs>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b w:val="0"/>
                <w:bCs w:val="0"/>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z w:val="21"/>
                <w:szCs w:val="21"/>
                <w:highlight w:val="none"/>
                <w:lang w:val="en-US" w:eastAsia="zh-CN" w:bidi="ar-SA"/>
                <w14:textFill>
                  <w14:solidFill>
                    <w14:schemeClr w14:val="tx1"/>
                  </w14:solidFill>
                </w14:textFill>
              </w:rPr>
              <w:t>根据投标人提供的服务方案进行评审,</w:t>
            </w:r>
            <w:r>
              <w:rPr>
                <w:rFonts w:hint="eastAsia" w:ascii="仿宋" w:hAnsi="仿宋" w:eastAsia="仿宋" w:cs="仿宋"/>
                <w:color w:val="000000" w:themeColor="text1"/>
                <w:sz w:val="21"/>
                <w:szCs w:val="21"/>
                <w:highlight w:val="none"/>
                <w:lang w:val="zh-CN" w:eastAsia="zh-CN"/>
                <w14:textFill>
                  <w14:solidFill>
                    <w14:schemeClr w14:val="tx1"/>
                  </w14:solidFill>
                </w14:textFill>
              </w:rPr>
              <w:t>内容</w:t>
            </w:r>
            <w:r>
              <w:rPr>
                <w:rFonts w:hint="eastAsia" w:ascii="仿宋" w:hAnsi="仿宋" w:eastAsia="仿宋" w:cs="仿宋"/>
                <w:color w:val="000000" w:themeColor="text1"/>
                <w:sz w:val="21"/>
                <w:szCs w:val="21"/>
                <w:highlight w:val="none"/>
                <w:lang w:val="en-US" w:eastAsia="zh-CN"/>
                <w14:textFill>
                  <w14:solidFill>
                    <w14:schemeClr w14:val="tx1"/>
                  </w14:solidFill>
                </w14:textFill>
              </w:rPr>
              <w:t>至少</w:t>
            </w:r>
            <w:r>
              <w:rPr>
                <w:rFonts w:hint="eastAsia" w:ascii="仿宋" w:hAnsi="仿宋" w:eastAsia="仿宋" w:cs="仿宋"/>
                <w:color w:val="000000" w:themeColor="text1"/>
                <w:sz w:val="21"/>
                <w:szCs w:val="21"/>
                <w:highlight w:val="none"/>
                <w:lang w:val="zh-CN" w:eastAsia="zh-CN"/>
                <w14:textFill>
                  <w14:solidFill>
                    <w14:schemeClr w14:val="tx1"/>
                  </w14:solidFill>
                </w14:textFill>
              </w:rPr>
              <w:t>包含:</w:t>
            </w:r>
          </w:p>
          <w:p w14:paraId="1DACD64C">
            <w:pPr>
              <w:keepNext w:val="0"/>
              <w:keepLines w:val="0"/>
              <w:pageBreakBefore w:val="0"/>
              <w:widowControl w:val="0"/>
              <w:tabs>
                <w:tab w:val="left" w:pos="7920"/>
              </w:tabs>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b w:val="0"/>
                <w:bCs w:val="0"/>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zh-CN" w:eastAsia="zh-CN"/>
                <w14:textFill>
                  <w14:solidFill>
                    <w14:schemeClr w14:val="tx1"/>
                  </w14:solidFill>
                </w14:textFill>
              </w:rPr>
              <w:t>①</w:t>
            </w:r>
            <w:r>
              <w:rPr>
                <w:rFonts w:hint="eastAsia" w:ascii="仿宋" w:hAnsi="仿宋" w:eastAsia="仿宋" w:cs="仿宋"/>
                <w:b w:val="0"/>
                <w:bCs w:val="0"/>
                <w:color w:val="000000" w:themeColor="text1"/>
                <w:sz w:val="21"/>
                <w:szCs w:val="21"/>
                <w:highlight w:val="none"/>
                <w:lang w:val="en-US" w:eastAsia="zh-CN" w:bidi="ar-SA"/>
                <w14:textFill>
                  <w14:solidFill>
                    <w14:schemeClr w14:val="tx1"/>
                  </w14:solidFill>
                </w14:textFill>
              </w:rPr>
              <w:t>人员安排；</w:t>
            </w:r>
          </w:p>
          <w:p w14:paraId="3322B501">
            <w:pPr>
              <w:keepNext w:val="0"/>
              <w:keepLines w:val="0"/>
              <w:pageBreakBefore w:val="0"/>
              <w:widowControl w:val="0"/>
              <w:tabs>
                <w:tab w:val="left" w:pos="7920"/>
              </w:tabs>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b w:val="0"/>
                <w:bCs w:val="0"/>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zh-CN" w:eastAsia="zh-CN"/>
                <w14:textFill>
                  <w14:solidFill>
                    <w14:schemeClr w14:val="tx1"/>
                  </w14:solidFill>
                </w14:textFill>
              </w:rPr>
              <w:t>②</w:t>
            </w:r>
            <w:r>
              <w:rPr>
                <w:rFonts w:hint="eastAsia" w:ascii="仿宋" w:hAnsi="仿宋" w:eastAsia="仿宋" w:cs="仿宋"/>
                <w:b w:val="0"/>
                <w:bCs w:val="0"/>
                <w:color w:val="000000" w:themeColor="text1"/>
                <w:sz w:val="21"/>
                <w:szCs w:val="21"/>
                <w:highlight w:val="none"/>
                <w:lang w:val="en-US" w:eastAsia="zh-CN" w:bidi="ar-SA"/>
                <w14:textFill>
                  <w14:solidFill>
                    <w14:schemeClr w14:val="tx1"/>
                  </w14:solidFill>
                </w14:textFill>
              </w:rPr>
              <w:t>配送方案、配送流程；</w:t>
            </w:r>
          </w:p>
          <w:p w14:paraId="33BD651D">
            <w:pPr>
              <w:keepNext w:val="0"/>
              <w:keepLines w:val="0"/>
              <w:pageBreakBefore w:val="0"/>
              <w:widowControl w:val="0"/>
              <w:tabs>
                <w:tab w:val="left" w:pos="7920"/>
              </w:tabs>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b w:val="0"/>
                <w:bCs w:val="0"/>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zh-CN" w:eastAsia="zh-CN"/>
                <w14:textFill>
                  <w14:solidFill>
                    <w14:schemeClr w14:val="tx1"/>
                  </w14:solidFill>
                </w14:textFill>
              </w:rPr>
              <w:t>③货源储备；</w:t>
            </w:r>
          </w:p>
          <w:p w14:paraId="2F5EE71D">
            <w:pPr>
              <w:pStyle w:val="28"/>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textAlignment w:val="auto"/>
              <w:rPr>
                <w:rFonts w:hint="eastAsia" w:ascii="仿宋" w:hAnsi="仿宋" w:eastAsia="仿宋" w:cs="仿宋"/>
                <w:b w:val="0"/>
                <w:bCs w:val="0"/>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zh-CN" w:eastAsia="zh-CN"/>
                <w14:textFill>
                  <w14:solidFill>
                    <w14:schemeClr w14:val="tx1"/>
                  </w14:solidFill>
                </w14:textFill>
              </w:rPr>
              <w:t>④</w:t>
            </w:r>
            <w:r>
              <w:rPr>
                <w:rFonts w:hint="eastAsia" w:ascii="仿宋" w:hAnsi="仿宋" w:eastAsia="仿宋" w:cs="仿宋"/>
                <w:b w:val="0"/>
                <w:bCs w:val="0"/>
                <w:color w:val="000000" w:themeColor="text1"/>
                <w:sz w:val="21"/>
                <w:szCs w:val="21"/>
                <w:highlight w:val="none"/>
                <w:lang w:val="en-US" w:eastAsia="zh-CN" w:bidi="ar-SA"/>
                <w14:textFill>
                  <w14:solidFill>
                    <w14:schemeClr w14:val="tx1"/>
                  </w14:solidFill>
                </w14:textFill>
              </w:rPr>
              <w:t>配送响应时间等。</w:t>
            </w:r>
          </w:p>
          <w:p w14:paraId="2E333063">
            <w:pPr>
              <w:pStyle w:val="28"/>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textAlignment w:val="auto"/>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eastAsia="仿宋" w:cs="仿宋"/>
                <w:color w:val="000000" w:themeColor="text1"/>
                <w:sz w:val="21"/>
                <w:szCs w:val="21"/>
                <w:highlight w:val="none"/>
                <w:lang w:val="zh-CN" w:eastAsia="zh-CN"/>
                <w14:textFill>
                  <w14:solidFill>
                    <w14:schemeClr w14:val="tx1"/>
                  </w14:solidFill>
                </w14:textFill>
              </w:rPr>
              <w:t>评审标准:</w:t>
            </w:r>
            <w:r>
              <w:rPr>
                <w:rFonts w:hint="eastAsia" w:ascii="仿宋" w:hAnsi="仿宋" w:eastAsia="仿宋" w:cs="仿宋"/>
                <w:color w:val="000000" w:themeColor="text1"/>
                <w:sz w:val="21"/>
                <w:szCs w:val="21"/>
                <w:highlight w:val="none"/>
                <w:lang w:eastAsia="zh-CN"/>
                <w14:textFill>
                  <w14:solidFill>
                    <w14:schemeClr w14:val="tx1"/>
                  </w14:solidFill>
                </w14:textFill>
              </w:rPr>
              <w:t>以上</w:t>
            </w:r>
            <w:r>
              <w:rPr>
                <w:rFonts w:hint="eastAsia" w:ascii="仿宋" w:hAnsi="仿宋" w:eastAsia="仿宋" w:cs="仿宋"/>
                <w:color w:val="000000" w:themeColor="text1"/>
                <w:sz w:val="21"/>
                <w:szCs w:val="21"/>
                <w:highlight w:val="none"/>
                <w:lang w:val="en-US" w:eastAsia="zh-CN"/>
                <w14:textFill>
                  <w14:solidFill>
                    <w14:schemeClr w14:val="tx1"/>
                  </w14:solidFill>
                </w14:textFill>
              </w:rPr>
              <w:t>4</w:t>
            </w:r>
            <w:r>
              <w:rPr>
                <w:rFonts w:hint="eastAsia" w:ascii="仿宋" w:hAnsi="仿宋" w:eastAsia="仿宋" w:cs="仿宋"/>
                <w:color w:val="000000" w:themeColor="text1"/>
                <w:sz w:val="21"/>
                <w:szCs w:val="21"/>
                <w:highlight w:val="none"/>
                <w:lang w:eastAsia="zh-CN"/>
                <w14:textFill>
                  <w14:solidFill>
                    <w14:schemeClr w14:val="tx1"/>
                  </w14:solidFill>
                </w14:textFill>
              </w:rPr>
              <w:t>项内容每项</w:t>
            </w:r>
            <w:r>
              <w:rPr>
                <w:rFonts w:hint="eastAsia" w:ascii="仿宋" w:hAnsi="仿宋" w:eastAsia="仿宋" w:cs="仿宋"/>
                <w:color w:val="000000" w:themeColor="text1"/>
                <w:sz w:val="21"/>
                <w:szCs w:val="21"/>
                <w:highlight w:val="none"/>
                <w:lang w:val="en-US" w:eastAsia="zh-CN"/>
                <w14:textFill>
                  <w14:solidFill>
                    <w14:schemeClr w14:val="tx1"/>
                  </w14:solidFill>
                </w14:textFill>
              </w:rPr>
              <w:t>3</w:t>
            </w:r>
            <w:r>
              <w:rPr>
                <w:rFonts w:hint="eastAsia" w:ascii="仿宋" w:hAnsi="仿宋" w:eastAsia="仿宋" w:cs="仿宋"/>
                <w:color w:val="000000" w:themeColor="text1"/>
                <w:sz w:val="21"/>
                <w:szCs w:val="21"/>
                <w:highlight w:val="none"/>
                <w:lang w:eastAsia="zh-CN"/>
                <w14:textFill>
                  <w14:solidFill>
                    <w14:schemeClr w14:val="tx1"/>
                  </w14:solidFill>
                </w14:textFill>
              </w:rPr>
              <w:t>分，无漏项、无缺陷得</w:t>
            </w:r>
            <w:r>
              <w:rPr>
                <w:rFonts w:hint="eastAsia" w:ascii="仿宋" w:hAnsi="仿宋" w:eastAsia="仿宋" w:cs="仿宋"/>
                <w:color w:val="000000" w:themeColor="text1"/>
                <w:sz w:val="21"/>
                <w:szCs w:val="21"/>
                <w:highlight w:val="none"/>
                <w:lang w:val="en-US" w:eastAsia="zh-CN"/>
                <w14:textFill>
                  <w14:solidFill>
                    <w14:schemeClr w14:val="tx1"/>
                  </w14:solidFill>
                </w14:textFill>
              </w:rPr>
              <w:t>12</w:t>
            </w:r>
            <w:r>
              <w:rPr>
                <w:rFonts w:hint="eastAsia" w:ascii="仿宋" w:hAnsi="仿宋" w:eastAsia="仿宋" w:cs="仿宋"/>
                <w:color w:val="000000" w:themeColor="text1"/>
                <w:sz w:val="21"/>
                <w:szCs w:val="21"/>
                <w:highlight w:val="none"/>
                <w:lang w:eastAsia="zh-CN"/>
                <w14:textFill>
                  <w14:solidFill>
                    <w14:schemeClr w14:val="tx1"/>
                  </w14:solidFill>
                </w14:textFill>
              </w:rPr>
              <w:t>分，每缺少一项扣</w:t>
            </w:r>
            <w:r>
              <w:rPr>
                <w:rFonts w:hint="eastAsia" w:ascii="仿宋" w:hAnsi="仿宋" w:eastAsia="仿宋" w:cs="仿宋"/>
                <w:color w:val="000000" w:themeColor="text1"/>
                <w:sz w:val="21"/>
                <w:szCs w:val="21"/>
                <w:highlight w:val="none"/>
                <w:lang w:val="en-US" w:eastAsia="zh-CN"/>
                <w14:textFill>
                  <w14:solidFill>
                    <w14:schemeClr w14:val="tx1"/>
                  </w14:solidFill>
                </w14:textFill>
              </w:rPr>
              <w:t>3</w:t>
            </w:r>
            <w:r>
              <w:rPr>
                <w:rFonts w:hint="eastAsia" w:ascii="仿宋" w:hAnsi="仿宋" w:eastAsia="仿宋" w:cs="仿宋"/>
                <w:color w:val="000000" w:themeColor="text1"/>
                <w:sz w:val="21"/>
                <w:szCs w:val="21"/>
                <w:highlight w:val="none"/>
                <w:lang w:eastAsia="zh-CN"/>
                <w14:textFill>
                  <w14:solidFill>
                    <w14:schemeClr w14:val="tx1"/>
                  </w14:solidFill>
                </w14:textFill>
              </w:rPr>
              <w:t>分；每有一项内容在缺陷的扣</w:t>
            </w:r>
            <w:r>
              <w:rPr>
                <w:rFonts w:hint="eastAsia" w:ascii="仿宋" w:hAnsi="仿宋" w:eastAsia="仿宋" w:cs="仿宋"/>
                <w:color w:val="000000" w:themeColor="text1"/>
                <w:sz w:val="21"/>
                <w:szCs w:val="21"/>
                <w:highlight w:val="none"/>
                <w:lang w:val="en-US" w:eastAsia="zh-CN"/>
                <w14:textFill>
                  <w14:solidFill>
                    <w14:schemeClr w14:val="tx1"/>
                  </w14:solidFill>
                </w14:textFill>
              </w:rPr>
              <w:t>1.5</w:t>
            </w:r>
            <w:r>
              <w:rPr>
                <w:rFonts w:hint="eastAsia" w:ascii="仿宋" w:hAnsi="仿宋" w:eastAsia="仿宋" w:cs="仿宋"/>
                <w:color w:val="000000" w:themeColor="text1"/>
                <w:sz w:val="21"/>
                <w:szCs w:val="21"/>
                <w:highlight w:val="none"/>
                <w:lang w:eastAsia="zh-CN"/>
                <w14:textFill>
                  <w14:solidFill>
                    <w14:schemeClr w14:val="tx1"/>
                  </w14:solidFill>
                </w14:textFill>
              </w:rPr>
              <w:t>分，未提供方案的不得分。</w:t>
            </w:r>
          </w:p>
          <w:p w14:paraId="42BEF473">
            <w:pPr>
              <w:keepNext w:val="0"/>
              <w:keepLines w:val="0"/>
              <w:pageBreakBefore w:val="0"/>
              <w:widowControl w:val="0"/>
              <w:tabs>
                <w:tab w:val="left" w:pos="7920"/>
              </w:tabs>
              <w:kinsoku/>
              <w:wordWrap w:val="0"/>
              <w:overflowPunct/>
              <w:topLinePunct/>
              <w:autoSpaceDE/>
              <w:autoSpaceDN/>
              <w:bidi w:val="0"/>
              <w:adjustRightInd/>
              <w:snapToGrid/>
              <w:spacing w:line="360" w:lineRule="auto"/>
              <w:ind w:firstLine="420" w:firstLineChars="200"/>
              <w:textAlignment w:val="auto"/>
              <w:rPr>
                <w:rFonts w:hint="default" w:ascii="仿宋" w:hAnsi="仿宋" w:eastAsia="仿宋" w:cs="仿宋"/>
                <w:b w:val="0"/>
                <w:bCs w:val="0"/>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缺陷是指：非专门针对本项目或不适用项目特性的情形、套用其他项目方案、内容前后矛盾、涉及的规范及标准错误、方案内容交叉混乱、缺乏重点、生搬硬造、套用错用、存在歧义、层次粗略、仅有标题或框架缺乏具体说明阐述的情形等任意一种情形）</w:t>
            </w:r>
          </w:p>
        </w:tc>
        <w:tc>
          <w:tcPr>
            <w:tcW w:w="1208" w:type="dxa"/>
            <w:vAlign w:val="center"/>
          </w:tcPr>
          <w:p w14:paraId="50E99428">
            <w:pPr>
              <w:keepNext w:val="0"/>
              <w:keepLines w:val="0"/>
              <w:pageBreakBefore w:val="0"/>
              <w:widowControl w:val="0"/>
              <w:kinsoku/>
              <w:wordWrap w:val="0"/>
              <w:overflowPunct/>
              <w:topLinePunct/>
              <w:autoSpaceDE/>
              <w:autoSpaceDN/>
              <w:bidi w:val="0"/>
              <w:adjustRightInd/>
              <w:snapToGrid/>
              <w:spacing w:line="360" w:lineRule="auto"/>
              <w:jc w:val="center"/>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0～12分</w:t>
            </w:r>
          </w:p>
        </w:tc>
      </w:tr>
      <w:tr w14:paraId="472FB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63" w:type="dxa"/>
            <w:vMerge w:val="continue"/>
            <w:vAlign w:val="center"/>
          </w:tcPr>
          <w:p w14:paraId="4C01CD2B">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pPr>
          </w:p>
        </w:tc>
        <w:tc>
          <w:tcPr>
            <w:tcW w:w="8094" w:type="dxa"/>
            <w:vAlign w:val="center"/>
          </w:tcPr>
          <w:p w14:paraId="67FEFF34">
            <w:pPr>
              <w:keepNext w:val="0"/>
              <w:keepLines w:val="0"/>
              <w:pageBreakBefore w:val="0"/>
              <w:widowControl w:val="0"/>
              <w:tabs>
                <w:tab w:val="left" w:pos="7920"/>
              </w:tabs>
              <w:kinsoku/>
              <w:wordWrap w:val="0"/>
              <w:overflowPunct/>
              <w:topLinePunct/>
              <w:autoSpaceDE/>
              <w:autoSpaceDN/>
              <w:bidi w:val="0"/>
              <w:adjustRightInd/>
              <w:snapToGrid/>
              <w:spacing w:line="360" w:lineRule="auto"/>
              <w:ind w:firstLine="422" w:firstLineChars="200"/>
              <w:textAlignment w:val="auto"/>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bidi="ar-SA"/>
                <w14:textFill>
                  <w14:solidFill>
                    <w14:schemeClr w14:val="tx1"/>
                  </w14:solidFill>
                </w14:textFill>
              </w:rPr>
              <w:t>产品质量保障方案：</w:t>
            </w:r>
          </w:p>
          <w:p w14:paraId="3BD4BDA1">
            <w:pPr>
              <w:pStyle w:val="28"/>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textAlignment w:val="auto"/>
              <w:rPr>
                <w:rFonts w:hint="eastAsia" w:ascii="仿宋" w:hAnsi="仿宋" w:eastAsia="仿宋" w:cs="仿宋"/>
                <w:b w:val="0"/>
                <w:bCs w:val="0"/>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z w:val="21"/>
                <w:szCs w:val="21"/>
                <w:highlight w:val="none"/>
                <w:lang w:val="en-US" w:eastAsia="zh-CN" w:bidi="ar-SA"/>
                <w14:textFill>
                  <w14:solidFill>
                    <w14:schemeClr w14:val="tx1"/>
                  </w14:solidFill>
                </w14:textFill>
              </w:rPr>
              <w:t>根据投标人质量保障措施及承诺进行综合评审,</w:t>
            </w:r>
            <w:r>
              <w:rPr>
                <w:rFonts w:hint="eastAsia" w:ascii="仿宋" w:hAnsi="仿宋" w:eastAsia="仿宋" w:cs="仿宋"/>
                <w:color w:val="000000" w:themeColor="text1"/>
                <w:sz w:val="21"/>
                <w:szCs w:val="21"/>
                <w:highlight w:val="none"/>
                <w:lang w:val="zh-CN" w:eastAsia="zh-CN"/>
                <w14:textFill>
                  <w14:solidFill>
                    <w14:schemeClr w14:val="tx1"/>
                  </w14:solidFill>
                </w14:textFill>
              </w:rPr>
              <w:t>内容</w:t>
            </w:r>
            <w:r>
              <w:rPr>
                <w:rFonts w:hint="eastAsia" w:ascii="仿宋" w:hAnsi="仿宋" w:eastAsia="仿宋" w:cs="仿宋"/>
                <w:color w:val="000000" w:themeColor="text1"/>
                <w:sz w:val="21"/>
                <w:szCs w:val="21"/>
                <w:highlight w:val="none"/>
                <w:lang w:val="en-US" w:eastAsia="zh-CN"/>
                <w14:textFill>
                  <w14:solidFill>
                    <w14:schemeClr w14:val="tx1"/>
                  </w14:solidFill>
                </w14:textFill>
              </w:rPr>
              <w:t>至少</w:t>
            </w:r>
            <w:r>
              <w:rPr>
                <w:rFonts w:hint="eastAsia" w:ascii="仿宋" w:hAnsi="仿宋" w:eastAsia="仿宋" w:cs="仿宋"/>
                <w:color w:val="000000" w:themeColor="text1"/>
                <w:sz w:val="21"/>
                <w:szCs w:val="21"/>
                <w:highlight w:val="none"/>
                <w:lang w:val="zh-CN" w:eastAsia="zh-CN"/>
                <w14:textFill>
                  <w14:solidFill>
                    <w14:schemeClr w14:val="tx1"/>
                  </w14:solidFill>
                </w14:textFill>
              </w:rPr>
              <w:t>包含:</w:t>
            </w:r>
          </w:p>
          <w:p w14:paraId="20E969C3">
            <w:pPr>
              <w:keepNext w:val="0"/>
              <w:keepLines w:val="0"/>
              <w:pageBreakBefore w:val="0"/>
              <w:widowControl w:val="0"/>
              <w:tabs>
                <w:tab w:val="left" w:pos="7920"/>
              </w:tabs>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b w:val="0"/>
                <w:bCs w:val="0"/>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zh-CN" w:eastAsia="zh-CN"/>
                <w14:textFill>
                  <w14:solidFill>
                    <w14:schemeClr w14:val="tx1"/>
                  </w14:solidFill>
                </w14:textFill>
              </w:rPr>
              <w:t>①质量控制措施</w:t>
            </w:r>
            <w:r>
              <w:rPr>
                <w:rFonts w:hint="eastAsia" w:ascii="仿宋" w:hAnsi="仿宋" w:eastAsia="仿宋" w:cs="仿宋"/>
                <w:b w:val="0"/>
                <w:bCs w:val="0"/>
                <w:color w:val="000000" w:themeColor="text1"/>
                <w:sz w:val="21"/>
                <w:szCs w:val="21"/>
                <w:highlight w:val="none"/>
                <w:lang w:val="en-US" w:eastAsia="zh-CN" w:bidi="ar-SA"/>
                <w14:textFill>
                  <w14:solidFill>
                    <w14:schemeClr w14:val="tx1"/>
                  </w14:solidFill>
                </w14:textFill>
              </w:rPr>
              <w:t>；</w:t>
            </w:r>
          </w:p>
          <w:p w14:paraId="78167699">
            <w:pPr>
              <w:keepNext w:val="0"/>
              <w:keepLines w:val="0"/>
              <w:pageBreakBefore w:val="0"/>
              <w:widowControl w:val="0"/>
              <w:tabs>
                <w:tab w:val="left" w:pos="7920"/>
              </w:tabs>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b w:val="0"/>
                <w:bCs w:val="0"/>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zh-CN" w:eastAsia="zh-CN"/>
                <w14:textFill>
                  <w14:solidFill>
                    <w14:schemeClr w14:val="tx1"/>
                  </w14:solidFill>
                </w14:textFill>
              </w:rPr>
              <w:t>②</w:t>
            </w:r>
            <w:r>
              <w:rPr>
                <w:rFonts w:hint="eastAsia" w:ascii="仿宋" w:hAnsi="仿宋" w:eastAsia="仿宋" w:cs="仿宋"/>
                <w:b w:val="0"/>
                <w:bCs w:val="0"/>
                <w:color w:val="000000" w:themeColor="text1"/>
                <w:sz w:val="21"/>
                <w:szCs w:val="21"/>
                <w:highlight w:val="none"/>
                <w:lang w:val="en-US" w:eastAsia="zh-CN" w:bidi="ar-SA"/>
                <w14:textFill>
                  <w14:solidFill>
                    <w14:schemeClr w14:val="tx1"/>
                  </w14:solidFill>
                </w14:textFill>
              </w:rPr>
              <w:t xml:space="preserve">产品质量问题造成事故的责任承担及赔偿方案； </w:t>
            </w:r>
          </w:p>
          <w:p w14:paraId="61E5037B">
            <w:pPr>
              <w:keepNext w:val="0"/>
              <w:keepLines w:val="0"/>
              <w:pageBreakBefore w:val="0"/>
              <w:widowControl w:val="0"/>
              <w:tabs>
                <w:tab w:val="left" w:pos="7920"/>
              </w:tabs>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b w:val="0"/>
                <w:bCs w:val="0"/>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zh-CN" w:eastAsia="zh-CN"/>
                <w14:textFill>
                  <w14:solidFill>
                    <w14:schemeClr w14:val="tx1"/>
                  </w14:solidFill>
                </w14:textFill>
              </w:rPr>
              <w:t>③</w:t>
            </w:r>
            <w:r>
              <w:rPr>
                <w:rFonts w:hint="eastAsia" w:ascii="仿宋" w:hAnsi="仿宋" w:eastAsia="仿宋" w:cs="仿宋"/>
                <w:b w:val="0"/>
                <w:bCs w:val="0"/>
                <w:color w:val="000000" w:themeColor="text1"/>
                <w:sz w:val="21"/>
                <w:szCs w:val="21"/>
                <w:highlight w:val="none"/>
                <w:lang w:val="en-US" w:eastAsia="zh-CN" w:bidi="ar-SA"/>
                <w14:textFill>
                  <w14:solidFill>
                    <w14:schemeClr w14:val="tx1"/>
                  </w14:solidFill>
                </w14:textFill>
              </w:rPr>
              <w:t>供货的来源。</w:t>
            </w:r>
          </w:p>
          <w:p w14:paraId="18DFEBB1">
            <w:pPr>
              <w:pStyle w:val="28"/>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textAlignment w:val="auto"/>
              <w:rPr>
                <w:rFonts w:hint="eastAsia" w:ascii="仿宋" w:hAnsi="仿宋" w:eastAsia="仿宋" w:cs="仿宋"/>
                <w:b w:val="0"/>
                <w:bCs w:val="0"/>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zh-CN" w:eastAsia="zh-CN"/>
                <w14:textFill>
                  <w14:solidFill>
                    <w14:schemeClr w14:val="tx1"/>
                  </w14:solidFill>
                </w14:textFill>
              </w:rPr>
              <w:t>④</w:t>
            </w:r>
            <w:r>
              <w:rPr>
                <w:rFonts w:hint="eastAsia" w:ascii="仿宋" w:hAnsi="仿宋" w:eastAsia="仿宋" w:cs="仿宋"/>
                <w:b w:val="0"/>
                <w:bCs w:val="0"/>
                <w:color w:val="000000" w:themeColor="text1"/>
                <w:sz w:val="21"/>
                <w:szCs w:val="21"/>
                <w:highlight w:val="none"/>
                <w:lang w:val="en-US" w:eastAsia="zh-CN" w:bidi="ar-SA"/>
                <w14:textFill>
                  <w14:solidFill>
                    <w14:schemeClr w14:val="tx1"/>
                  </w14:solidFill>
                </w14:textFill>
              </w:rPr>
              <w:t>抽查机制等。</w:t>
            </w:r>
          </w:p>
          <w:p w14:paraId="07BB6D29">
            <w:pPr>
              <w:pStyle w:val="28"/>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textAlignment w:val="auto"/>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eastAsia="仿宋" w:cs="仿宋"/>
                <w:color w:val="000000" w:themeColor="text1"/>
                <w:sz w:val="21"/>
                <w:szCs w:val="21"/>
                <w:highlight w:val="none"/>
                <w:lang w:val="zh-CN" w:eastAsia="zh-CN"/>
                <w14:textFill>
                  <w14:solidFill>
                    <w14:schemeClr w14:val="tx1"/>
                  </w14:solidFill>
                </w14:textFill>
              </w:rPr>
              <w:t>评审标准:</w:t>
            </w:r>
            <w:r>
              <w:rPr>
                <w:rFonts w:hint="eastAsia" w:ascii="仿宋" w:hAnsi="仿宋" w:eastAsia="仿宋" w:cs="仿宋"/>
                <w:color w:val="000000" w:themeColor="text1"/>
                <w:sz w:val="21"/>
                <w:szCs w:val="21"/>
                <w:highlight w:val="none"/>
                <w:lang w:eastAsia="zh-CN"/>
                <w14:textFill>
                  <w14:solidFill>
                    <w14:schemeClr w14:val="tx1"/>
                  </w14:solidFill>
                </w14:textFill>
              </w:rPr>
              <w:t>以上</w:t>
            </w:r>
            <w:r>
              <w:rPr>
                <w:rFonts w:hint="eastAsia" w:ascii="仿宋" w:hAnsi="仿宋" w:eastAsia="仿宋" w:cs="仿宋"/>
                <w:color w:val="000000" w:themeColor="text1"/>
                <w:sz w:val="21"/>
                <w:szCs w:val="21"/>
                <w:highlight w:val="none"/>
                <w:lang w:val="en-US" w:eastAsia="zh-CN"/>
                <w14:textFill>
                  <w14:solidFill>
                    <w14:schemeClr w14:val="tx1"/>
                  </w14:solidFill>
                </w14:textFill>
              </w:rPr>
              <w:t>4</w:t>
            </w:r>
            <w:r>
              <w:rPr>
                <w:rFonts w:hint="eastAsia" w:ascii="仿宋" w:hAnsi="仿宋" w:eastAsia="仿宋" w:cs="仿宋"/>
                <w:color w:val="000000" w:themeColor="text1"/>
                <w:sz w:val="21"/>
                <w:szCs w:val="21"/>
                <w:highlight w:val="none"/>
                <w:lang w:eastAsia="zh-CN"/>
                <w14:textFill>
                  <w14:solidFill>
                    <w14:schemeClr w14:val="tx1"/>
                  </w14:solidFill>
                </w14:textFill>
              </w:rPr>
              <w:t>项内容每项</w:t>
            </w:r>
            <w:r>
              <w:rPr>
                <w:rFonts w:hint="eastAsia" w:ascii="仿宋" w:hAnsi="仿宋" w:eastAsia="仿宋" w:cs="仿宋"/>
                <w:color w:val="000000" w:themeColor="text1"/>
                <w:sz w:val="21"/>
                <w:szCs w:val="21"/>
                <w:highlight w:val="none"/>
                <w:lang w:val="en-US" w:eastAsia="zh-CN"/>
                <w14:textFill>
                  <w14:solidFill>
                    <w14:schemeClr w14:val="tx1"/>
                  </w14:solidFill>
                </w14:textFill>
              </w:rPr>
              <w:t>3</w:t>
            </w:r>
            <w:r>
              <w:rPr>
                <w:rFonts w:hint="eastAsia" w:ascii="仿宋" w:hAnsi="仿宋" w:eastAsia="仿宋" w:cs="仿宋"/>
                <w:color w:val="000000" w:themeColor="text1"/>
                <w:sz w:val="21"/>
                <w:szCs w:val="21"/>
                <w:highlight w:val="none"/>
                <w:lang w:eastAsia="zh-CN"/>
                <w14:textFill>
                  <w14:solidFill>
                    <w14:schemeClr w14:val="tx1"/>
                  </w14:solidFill>
                </w14:textFill>
              </w:rPr>
              <w:t>分，无漏项、无缺陷得</w:t>
            </w:r>
            <w:r>
              <w:rPr>
                <w:rFonts w:hint="eastAsia" w:ascii="仿宋" w:hAnsi="仿宋" w:eastAsia="仿宋" w:cs="仿宋"/>
                <w:color w:val="000000" w:themeColor="text1"/>
                <w:sz w:val="21"/>
                <w:szCs w:val="21"/>
                <w:highlight w:val="none"/>
                <w:lang w:val="en-US" w:eastAsia="zh-CN"/>
                <w14:textFill>
                  <w14:solidFill>
                    <w14:schemeClr w14:val="tx1"/>
                  </w14:solidFill>
                </w14:textFill>
              </w:rPr>
              <w:t>12</w:t>
            </w:r>
            <w:r>
              <w:rPr>
                <w:rFonts w:hint="eastAsia" w:ascii="仿宋" w:hAnsi="仿宋" w:eastAsia="仿宋" w:cs="仿宋"/>
                <w:color w:val="000000" w:themeColor="text1"/>
                <w:sz w:val="21"/>
                <w:szCs w:val="21"/>
                <w:highlight w:val="none"/>
                <w:lang w:eastAsia="zh-CN"/>
                <w14:textFill>
                  <w14:solidFill>
                    <w14:schemeClr w14:val="tx1"/>
                  </w14:solidFill>
                </w14:textFill>
              </w:rPr>
              <w:t>分，每缺少一项扣</w:t>
            </w:r>
            <w:r>
              <w:rPr>
                <w:rFonts w:hint="eastAsia" w:ascii="仿宋" w:hAnsi="仿宋" w:eastAsia="仿宋" w:cs="仿宋"/>
                <w:color w:val="000000" w:themeColor="text1"/>
                <w:sz w:val="21"/>
                <w:szCs w:val="21"/>
                <w:highlight w:val="none"/>
                <w:lang w:val="en-US" w:eastAsia="zh-CN"/>
                <w14:textFill>
                  <w14:solidFill>
                    <w14:schemeClr w14:val="tx1"/>
                  </w14:solidFill>
                </w14:textFill>
              </w:rPr>
              <w:t>3</w:t>
            </w:r>
            <w:r>
              <w:rPr>
                <w:rFonts w:hint="eastAsia" w:ascii="仿宋" w:hAnsi="仿宋" w:eastAsia="仿宋" w:cs="仿宋"/>
                <w:color w:val="000000" w:themeColor="text1"/>
                <w:sz w:val="21"/>
                <w:szCs w:val="21"/>
                <w:highlight w:val="none"/>
                <w:lang w:eastAsia="zh-CN"/>
                <w14:textFill>
                  <w14:solidFill>
                    <w14:schemeClr w14:val="tx1"/>
                  </w14:solidFill>
                </w14:textFill>
              </w:rPr>
              <w:t>分；每有一项内容在缺陷的扣</w:t>
            </w:r>
            <w:r>
              <w:rPr>
                <w:rFonts w:hint="eastAsia" w:ascii="仿宋" w:hAnsi="仿宋" w:eastAsia="仿宋" w:cs="仿宋"/>
                <w:color w:val="000000" w:themeColor="text1"/>
                <w:sz w:val="21"/>
                <w:szCs w:val="21"/>
                <w:highlight w:val="none"/>
                <w:lang w:val="en-US" w:eastAsia="zh-CN"/>
                <w14:textFill>
                  <w14:solidFill>
                    <w14:schemeClr w14:val="tx1"/>
                  </w14:solidFill>
                </w14:textFill>
              </w:rPr>
              <w:t>1.5</w:t>
            </w:r>
            <w:r>
              <w:rPr>
                <w:rFonts w:hint="eastAsia" w:ascii="仿宋" w:hAnsi="仿宋" w:eastAsia="仿宋" w:cs="仿宋"/>
                <w:color w:val="000000" w:themeColor="text1"/>
                <w:sz w:val="21"/>
                <w:szCs w:val="21"/>
                <w:highlight w:val="none"/>
                <w:lang w:eastAsia="zh-CN"/>
                <w14:textFill>
                  <w14:solidFill>
                    <w14:schemeClr w14:val="tx1"/>
                  </w14:solidFill>
                </w14:textFill>
              </w:rPr>
              <w:t>分，未提供方案的不得分。</w:t>
            </w:r>
          </w:p>
          <w:p w14:paraId="30A8CCBE">
            <w:pPr>
              <w:keepNext w:val="0"/>
              <w:keepLines w:val="0"/>
              <w:pageBreakBefore w:val="0"/>
              <w:widowControl w:val="0"/>
              <w:tabs>
                <w:tab w:val="left" w:pos="7920"/>
              </w:tabs>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b w:val="0"/>
                <w:bCs w:val="0"/>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缺陷是指：非专门针对本项目或不适用项目特性的情形、套用其他项目方案、内容前后矛盾、涉及的规范及标准错误、方案内容交叉混乱、缺乏重点、生搬硬造、套用错用、存在歧义、层次粗略、仅有标题或框架缺乏具体说明阐述的情形等任意一种情形）</w:t>
            </w:r>
          </w:p>
        </w:tc>
        <w:tc>
          <w:tcPr>
            <w:tcW w:w="1208" w:type="dxa"/>
            <w:vAlign w:val="center"/>
          </w:tcPr>
          <w:p w14:paraId="36783426">
            <w:pPr>
              <w:keepNext w:val="0"/>
              <w:keepLines w:val="0"/>
              <w:pageBreakBefore w:val="0"/>
              <w:widowControl w:val="0"/>
              <w:kinsoku/>
              <w:wordWrap w:val="0"/>
              <w:overflowPunct/>
              <w:topLinePunct/>
              <w:autoSpaceDE/>
              <w:autoSpaceDN/>
              <w:bidi w:val="0"/>
              <w:adjustRightInd/>
              <w:snapToGrid/>
              <w:spacing w:line="360" w:lineRule="auto"/>
              <w:jc w:val="center"/>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0～12分</w:t>
            </w:r>
          </w:p>
        </w:tc>
      </w:tr>
      <w:tr w14:paraId="674FC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63" w:type="dxa"/>
            <w:vMerge w:val="restart"/>
            <w:vAlign w:val="center"/>
          </w:tcPr>
          <w:p w14:paraId="59720F75">
            <w:pPr>
              <w:keepNext w:val="0"/>
              <w:keepLines w:val="0"/>
              <w:pageBreakBefore w:val="0"/>
              <w:widowControl w:val="0"/>
              <w:kinsoku/>
              <w:wordWrap w:val="0"/>
              <w:overflowPunct/>
              <w:topLinePunct/>
              <w:autoSpaceDE/>
              <w:autoSpaceDN/>
              <w:bidi w:val="0"/>
              <w:adjustRightInd/>
              <w:snapToGrid/>
              <w:spacing w:line="360" w:lineRule="auto"/>
              <w:jc w:val="center"/>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商务</w:t>
            </w:r>
          </w:p>
        </w:tc>
        <w:tc>
          <w:tcPr>
            <w:tcW w:w="8094" w:type="dxa"/>
            <w:vAlign w:val="center"/>
          </w:tcPr>
          <w:p w14:paraId="0D73C11C">
            <w:pPr>
              <w:pStyle w:val="28"/>
              <w:keepNext w:val="0"/>
              <w:keepLines w:val="0"/>
              <w:pageBreakBefore w:val="0"/>
              <w:widowControl w:val="0"/>
              <w:kinsoku/>
              <w:wordWrap w:val="0"/>
              <w:overflowPunct/>
              <w:topLinePunct/>
              <w:autoSpaceDE/>
              <w:autoSpaceDN/>
              <w:bidi w:val="0"/>
              <w:adjustRightInd/>
              <w:snapToGrid/>
              <w:spacing w:line="360" w:lineRule="auto"/>
              <w:ind w:left="0" w:leftChars="0" w:right="0" w:firstLine="422" w:firstLineChars="200"/>
              <w:textAlignment w:val="auto"/>
              <w:rPr>
                <w:rFonts w:hint="eastAsia" w:ascii="仿宋" w:hAnsi="仿宋" w:eastAsia="仿宋" w:cs="仿宋"/>
                <w:b/>
                <w:bCs/>
                <w:color w:val="000000" w:themeColor="text1"/>
                <w:sz w:val="21"/>
                <w:szCs w:val="21"/>
                <w:highlight w:val="none"/>
                <w:lang w:val="en-US" w:eastAsia="zh-CN"/>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应急响应服务措施：</w:t>
            </w:r>
          </w:p>
          <w:p w14:paraId="1037593C">
            <w:pPr>
              <w:pStyle w:val="28"/>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textAlignment w:val="auto"/>
              <w:rPr>
                <w:rFonts w:hint="eastAsia" w:ascii="仿宋" w:hAnsi="仿宋" w:eastAsia="仿宋" w:cs="仿宋"/>
                <w:color w:val="000000" w:themeColor="text1"/>
                <w:sz w:val="21"/>
                <w:szCs w:val="21"/>
                <w:highlight w:val="none"/>
                <w:lang w:val="zh-CN" w:eastAsia="zh-CN"/>
                <w14:textFill>
                  <w14:solidFill>
                    <w14:schemeClr w14:val="tx1"/>
                  </w14:solidFill>
                </w14:textFill>
              </w:rPr>
            </w:pPr>
            <w:r>
              <w:rPr>
                <w:rFonts w:hint="eastAsia" w:ascii="仿宋" w:hAnsi="仿宋" w:eastAsia="仿宋" w:cs="仿宋"/>
                <w:color w:val="000000" w:themeColor="text1"/>
                <w:sz w:val="21"/>
                <w:szCs w:val="21"/>
                <w:highlight w:val="none"/>
                <w:lang w:val="zh-CN" w:eastAsia="zh-CN"/>
                <w14:textFill>
                  <w14:solidFill>
                    <w14:schemeClr w14:val="tx1"/>
                  </w14:solidFill>
                </w14:textFill>
              </w:rPr>
              <w:t>根据投标人供货服务期内，针对本项目供货过程制定的应急响应供货服务及措施等综合评审</w:t>
            </w:r>
            <w:r>
              <w:rPr>
                <w:rFonts w:hint="eastAsia" w:ascii="仿宋" w:hAnsi="仿宋" w:eastAsia="仿宋" w:cs="仿宋"/>
                <w:color w:val="000000" w:themeColor="text1"/>
                <w:sz w:val="21"/>
                <w:szCs w:val="21"/>
                <w:highlight w:val="none"/>
                <w:lang w:val="en-US" w:eastAsia="zh-CN"/>
                <w14:textFill>
                  <w14:solidFill>
                    <w14:schemeClr w14:val="tx1"/>
                  </w14:solidFill>
                </w14:textFill>
              </w:rPr>
              <w:t>,</w:t>
            </w:r>
            <w:r>
              <w:rPr>
                <w:rFonts w:hint="eastAsia" w:ascii="仿宋" w:hAnsi="仿宋" w:eastAsia="仿宋" w:cs="仿宋"/>
                <w:color w:val="000000" w:themeColor="text1"/>
                <w:sz w:val="21"/>
                <w:szCs w:val="21"/>
                <w:highlight w:val="none"/>
                <w:lang w:val="zh-CN" w:eastAsia="zh-CN"/>
                <w14:textFill>
                  <w14:solidFill>
                    <w14:schemeClr w14:val="tx1"/>
                  </w14:solidFill>
                </w14:textFill>
              </w:rPr>
              <w:t>内容</w:t>
            </w:r>
            <w:r>
              <w:rPr>
                <w:rFonts w:hint="eastAsia" w:ascii="仿宋" w:hAnsi="仿宋" w:eastAsia="仿宋" w:cs="仿宋"/>
                <w:color w:val="000000" w:themeColor="text1"/>
                <w:sz w:val="21"/>
                <w:szCs w:val="21"/>
                <w:highlight w:val="none"/>
                <w:lang w:val="en-US" w:eastAsia="zh-CN"/>
                <w14:textFill>
                  <w14:solidFill>
                    <w14:schemeClr w14:val="tx1"/>
                  </w14:solidFill>
                </w14:textFill>
              </w:rPr>
              <w:t>至少</w:t>
            </w:r>
            <w:r>
              <w:rPr>
                <w:rFonts w:hint="eastAsia" w:ascii="仿宋" w:hAnsi="仿宋" w:eastAsia="仿宋" w:cs="仿宋"/>
                <w:color w:val="000000" w:themeColor="text1"/>
                <w:sz w:val="21"/>
                <w:szCs w:val="21"/>
                <w:highlight w:val="none"/>
                <w:lang w:val="zh-CN" w:eastAsia="zh-CN"/>
                <w14:textFill>
                  <w14:solidFill>
                    <w14:schemeClr w14:val="tx1"/>
                  </w14:solidFill>
                </w14:textFill>
              </w:rPr>
              <w:t>包含：</w:t>
            </w:r>
          </w:p>
          <w:p w14:paraId="6032C2FA">
            <w:pPr>
              <w:pStyle w:val="28"/>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textAlignment w:val="auto"/>
              <w:rPr>
                <w:rFonts w:hint="eastAsia" w:ascii="仿宋" w:hAnsi="仿宋" w:eastAsia="仿宋" w:cs="仿宋"/>
                <w:color w:val="000000" w:themeColor="text1"/>
                <w:sz w:val="21"/>
                <w:szCs w:val="21"/>
                <w:highlight w:val="none"/>
                <w:lang w:val="zh-CN" w:eastAsia="zh-CN"/>
                <w14:textFill>
                  <w14:solidFill>
                    <w14:schemeClr w14:val="tx1"/>
                  </w14:solidFill>
                </w14:textFill>
              </w:rPr>
            </w:pPr>
            <w:r>
              <w:rPr>
                <w:rFonts w:hint="eastAsia" w:ascii="仿宋" w:hAnsi="仿宋" w:eastAsia="仿宋" w:cs="仿宋"/>
                <w:color w:val="000000" w:themeColor="text1"/>
                <w:sz w:val="21"/>
                <w:szCs w:val="21"/>
                <w:highlight w:val="none"/>
                <w:lang w:val="zh-CN" w:eastAsia="zh-CN"/>
                <w14:textFill>
                  <w14:solidFill>
                    <w14:schemeClr w14:val="tx1"/>
                  </w14:solidFill>
                </w14:textFill>
              </w:rPr>
              <w:t>①退换货补货换货解决方案；</w:t>
            </w:r>
          </w:p>
          <w:p w14:paraId="7560B37A">
            <w:pPr>
              <w:pStyle w:val="28"/>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textAlignment w:val="auto"/>
              <w:rPr>
                <w:rFonts w:hint="eastAsia" w:ascii="仿宋" w:hAnsi="仿宋" w:eastAsia="仿宋" w:cs="仿宋"/>
                <w:color w:val="000000" w:themeColor="text1"/>
                <w:sz w:val="21"/>
                <w:szCs w:val="21"/>
                <w:highlight w:val="none"/>
                <w:lang w:val="zh-CN" w:eastAsia="zh-CN"/>
                <w14:textFill>
                  <w14:solidFill>
                    <w14:schemeClr w14:val="tx1"/>
                  </w14:solidFill>
                </w14:textFill>
              </w:rPr>
            </w:pPr>
            <w:r>
              <w:rPr>
                <w:rFonts w:hint="eastAsia" w:ascii="仿宋" w:hAnsi="仿宋" w:eastAsia="仿宋" w:cs="仿宋"/>
                <w:color w:val="000000" w:themeColor="text1"/>
                <w:sz w:val="21"/>
                <w:szCs w:val="21"/>
                <w:highlight w:val="none"/>
                <w:lang w:val="zh-CN" w:eastAsia="zh-CN"/>
                <w14:textFill>
                  <w14:solidFill>
                    <w14:schemeClr w14:val="tx1"/>
                  </w14:solidFill>
                </w14:textFill>
              </w:rPr>
              <w:t>②断货处理；</w:t>
            </w:r>
          </w:p>
          <w:p w14:paraId="15F96FD3">
            <w:pPr>
              <w:pStyle w:val="28"/>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textAlignment w:val="auto"/>
              <w:rPr>
                <w:rFonts w:hint="eastAsia" w:ascii="仿宋" w:hAnsi="仿宋" w:eastAsia="仿宋" w:cs="仿宋"/>
                <w:color w:val="000000" w:themeColor="text1"/>
                <w:sz w:val="21"/>
                <w:szCs w:val="21"/>
                <w:highlight w:val="none"/>
                <w:lang w:val="zh-CN" w:eastAsia="zh-CN"/>
                <w14:textFill>
                  <w14:solidFill>
                    <w14:schemeClr w14:val="tx1"/>
                  </w14:solidFill>
                </w14:textFill>
              </w:rPr>
            </w:pPr>
            <w:r>
              <w:rPr>
                <w:rFonts w:hint="eastAsia" w:ascii="仿宋" w:hAnsi="仿宋" w:eastAsia="仿宋" w:cs="仿宋"/>
                <w:color w:val="000000" w:themeColor="text1"/>
                <w:sz w:val="21"/>
                <w:szCs w:val="21"/>
                <w:highlight w:val="none"/>
                <w:lang w:val="zh-CN" w:eastAsia="zh-CN"/>
                <w14:textFill>
                  <w14:solidFill>
                    <w14:schemeClr w14:val="tx1"/>
                  </w14:solidFill>
                </w14:textFill>
              </w:rPr>
              <w:t>③应急物资。</w:t>
            </w:r>
          </w:p>
          <w:p w14:paraId="2E3DFD24">
            <w:pPr>
              <w:pStyle w:val="28"/>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textAlignment w:val="auto"/>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eastAsia="仿宋" w:cs="仿宋"/>
                <w:color w:val="000000" w:themeColor="text1"/>
                <w:sz w:val="21"/>
                <w:szCs w:val="21"/>
                <w:highlight w:val="none"/>
                <w:lang w:val="zh-CN" w:eastAsia="zh-CN"/>
                <w14:textFill>
                  <w14:solidFill>
                    <w14:schemeClr w14:val="tx1"/>
                  </w14:solidFill>
                </w14:textFill>
              </w:rPr>
              <w:t>评审标准:</w:t>
            </w:r>
            <w:r>
              <w:rPr>
                <w:rFonts w:hint="eastAsia" w:ascii="仿宋" w:hAnsi="仿宋" w:eastAsia="仿宋" w:cs="仿宋"/>
                <w:color w:val="000000" w:themeColor="text1"/>
                <w:sz w:val="21"/>
                <w:szCs w:val="21"/>
                <w:highlight w:val="none"/>
                <w:lang w:eastAsia="zh-CN"/>
                <w14:textFill>
                  <w14:solidFill>
                    <w14:schemeClr w14:val="tx1"/>
                  </w14:solidFill>
                </w14:textFill>
              </w:rPr>
              <w:t>以上</w:t>
            </w:r>
            <w:r>
              <w:rPr>
                <w:rFonts w:hint="eastAsia" w:ascii="仿宋" w:hAnsi="仿宋" w:eastAsia="仿宋" w:cs="仿宋"/>
                <w:color w:val="000000" w:themeColor="text1"/>
                <w:sz w:val="21"/>
                <w:szCs w:val="21"/>
                <w:highlight w:val="none"/>
                <w:lang w:val="en-US" w:eastAsia="zh-CN"/>
                <w14:textFill>
                  <w14:solidFill>
                    <w14:schemeClr w14:val="tx1"/>
                  </w14:solidFill>
                </w14:textFill>
              </w:rPr>
              <w:t>3</w:t>
            </w:r>
            <w:r>
              <w:rPr>
                <w:rFonts w:hint="eastAsia" w:ascii="仿宋" w:hAnsi="仿宋" w:eastAsia="仿宋" w:cs="仿宋"/>
                <w:color w:val="000000" w:themeColor="text1"/>
                <w:sz w:val="21"/>
                <w:szCs w:val="21"/>
                <w:highlight w:val="none"/>
                <w:lang w:eastAsia="zh-CN"/>
                <w14:textFill>
                  <w14:solidFill>
                    <w14:schemeClr w14:val="tx1"/>
                  </w14:solidFill>
                </w14:textFill>
              </w:rPr>
              <w:t>项内容每项</w:t>
            </w:r>
            <w:r>
              <w:rPr>
                <w:rFonts w:hint="eastAsia" w:ascii="仿宋" w:hAnsi="仿宋" w:eastAsia="仿宋" w:cs="仿宋"/>
                <w:color w:val="000000" w:themeColor="text1"/>
                <w:sz w:val="21"/>
                <w:szCs w:val="21"/>
                <w:highlight w:val="none"/>
                <w:lang w:val="en-US" w:eastAsia="zh-CN"/>
                <w14:textFill>
                  <w14:solidFill>
                    <w14:schemeClr w14:val="tx1"/>
                  </w14:solidFill>
                </w14:textFill>
              </w:rPr>
              <w:t>3</w:t>
            </w:r>
            <w:r>
              <w:rPr>
                <w:rFonts w:hint="eastAsia" w:ascii="仿宋" w:hAnsi="仿宋" w:eastAsia="仿宋" w:cs="仿宋"/>
                <w:color w:val="000000" w:themeColor="text1"/>
                <w:sz w:val="21"/>
                <w:szCs w:val="21"/>
                <w:highlight w:val="none"/>
                <w:lang w:eastAsia="zh-CN"/>
                <w14:textFill>
                  <w14:solidFill>
                    <w14:schemeClr w14:val="tx1"/>
                  </w14:solidFill>
                </w14:textFill>
              </w:rPr>
              <w:t>分，无漏项、无缺陷得</w:t>
            </w:r>
            <w:r>
              <w:rPr>
                <w:rFonts w:hint="eastAsia" w:ascii="仿宋" w:hAnsi="仿宋" w:eastAsia="仿宋" w:cs="仿宋"/>
                <w:color w:val="000000" w:themeColor="text1"/>
                <w:sz w:val="21"/>
                <w:szCs w:val="21"/>
                <w:highlight w:val="none"/>
                <w:lang w:val="en-US" w:eastAsia="zh-CN"/>
                <w14:textFill>
                  <w14:solidFill>
                    <w14:schemeClr w14:val="tx1"/>
                  </w14:solidFill>
                </w14:textFill>
              </w:rPr>
              <w:t>9</w:t>
            </w:r>
            <w:r>
              <w:rPr>
                <w:rFonts w:hint="eastAsia" w:ascii="仿宋" w:hAnsi="仿宋" w:eastAsia="仿宋" w:cs="仿宋"/>
                <w:color w:val="000000" w:themeColor="text1"/>
                <w:sz w:val="21"/>
                <w:szCs w:val="21"/>
                <w:highlight w:val="none"/>
                <w:lang w:eastAsia="zh-CN"/>
                <w14:textFill>
                  <w14:solidFill>
                    <w14:schemeClr w14:val="tx1"/>
                  </w14:solidFill>
                </w14:textFill>
              </w:rPr>
              <w:t>分，每缺少一项扣</w:t>
            </w:r>
            <w:r>
              <w:rPr>
                <w:rFonts w:hint="eastAsia" w:ascii="仿宋" w:hAnsi="仿宋" w:eastAsia="仿宋" w:cs="仿宋"/>
                <w:color w:val="000000" w:themeColor="text1"/>
                <w:sz w:val="21"/>
                <w:szCs w:val="21"/>
                <w:highlight w:val="none"/>
                <w:lang w:val="en-US" w:eastAsia="zh-CN"/>
                <w14:textFill>
                  <w14:solidFill>
                    <w14:schemeClr w14:val="tx1"/>
                  </w14:solidFill>
                </w14:textFill>
              </w:rPr>
              <w:t>3</w:t>
            </w:r>
            <w:r>
              <w:rPr>
                <w:rFonts w:hint="eastAsia" w:ascii="仿宋" w:hAnsi="仿宋" w:eastAsia="仿宋" w:cs="仿宋"/>
                <w:color w:val="000000" w:themeColor="text1"/>
                <w:sz w:val="21"/>
                <w:szCs w:val="21"/>
                <w:highlight w:val="none"/>
                <w:lang w:eastAsia="zh-CN"/>
                <w14:textFill>
                  <w14:solidFill>
                    <w14:schemeClr w14:val="tx1"/>
                  </w14:solidFill>
                </w14:textFill>
              </w:rPr>
              <w:t>分；每有一项内容在缺陷的扣</w:t>
            </w:r>
            <w:r>
              <w:rPr>
                <w:rFonts w:hint="eastAsia" w:ascii="仿宋" w:hAnsi="仿宋" w:eastAsia="仿宋" w:cs="仿宋"/>
                <w:color w:val="000000" w:themeColor="text1"/>
                <w:sz w:val="21"/>
                <w:szCs w:val="21"/>
                <w:highlight w:val="none"/>
                <w:lang w:val="en-US" w:eastAsia="zh-CN"/>
                <w14:textFill>
                  <w14:solidFill>
                    <w14:schemeClr w14:val="tx1"/>
                  </w14:solidFill>
                </w14:textFill>
              </w:rPr>
              <w:t>1.5</w:t>
            </w:r>
            <w:r>
              <w:rPr>
                <w:rFonts w:hint="eastAsia" w:ascii="仿宋" w:hAnsi="仿宋" w:eastAsia="仿宋" w:cs="仿宋"/>
                <w:color w:val="000000" w:themeColor="text1"/>
                <w:sz w:val="21"/>
                <w:szCs w:val="21"/>
                <w:highlight w:val="none"/>
                <w:lang w:eastAsia="zh-CN"/>
                <w14:textFill>
                  <w14:solidFill>
                    <w14:schemeClr w14:val="tx1"/>
                  </w14:solidFill>
                </w14:textFill>
              </w:rPr>
              <w:t>分，未提供方案的不得分。</w:t>
            </w:r>
          </w:p>
          <w:p w14:paraId="13CB8A68">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缺陷是指：非专门针对本项目或不适用项目特性的情形、套用其他项目方案、内容前后矛盾、涉及的规范及标准错误、方案内容交叉混乱、缺乏重点、生搬硬造、套用错用、存在歧义、层次粗略、仅有标题或框架缺乏具体说明阐述的情形等任意一种情形）</w:t>
            </w:r>
          </w:p>
        </w:tc>
        <w:tc>
          <w:tcPr>
            <w:tcW w:w="1208" w:type="dxa"/>
            <w:vAlign w:val="center"/>
          </w:tcPr>
          <w:p w14:paraId="2AE3338D">
            <w:pPr>
              <w:keepNext w:val="0"/>
              <w:keepLines w:val="0"/>
              <w:pageBreakBefore w:val="0"/>
              <w:widowControl w:val="0"/>
              <w:kinsoku/>
              <w:wordWrap w:val="0"/>
              <w:overflowPunct/>
              <w:topLinePunct/>
              <w:autoSpaceDE/>
              <w:autoSpaceDN/>
              <w:bidi w:val="0"/>
              <w:adjustRightInd/>
              <w:snapToGrid/>
              <w:spacing w:line="360" w:lineRule="auto"/>
              <w:jc w:val="center"/>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0～9分</w:t>
            </w:r>
          </w:p>
        </w:tc>
      </w:tr>
      <w:tr w14:paraId="58741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63" w:type="dxa"/>
            <w:vMerge w:val="continue"/>
            <w:vAlign w:val="center"/>
          </w:tcPr>
          <w:p w14:paraId="1D179B68">
            <w:pPr>
              <w:keepNext w:val="0"/>
              <w:keepLines w:val="0"/>
              <w:pageBreakBefore w:val="0"/>
              <w:widowControl w:val="0"/>
              <w:kinsoku/>
              <w:wordWrap w:val="0"/>
              <w:overflowPunct/>
              <w:topLinePunct/>
              <w:autoSpaceDE/>
              <w:autoSpaceDN/>
              <w:bidi w:val="0"/>
              <w:adjustRightInd/>
              <w:snapToGrid/>
              <w:spacing w:line="360" w:lineRule="auto"/>
              <w:jc w:val="center"/>
              <w:rPr>
                <w:rFonts w:hint="eastAsia" w:ascii="仿宋" w:hAnsi="仿宋" w:eastAsia="仿宋" w:cs="仿宋"/>
                <w:color w:val="000000" w:themeColor="text1"/>
                <w:sz w:val="21"/>
                <w:szCs w:val="21"/>
                <w:highlight w:val="none"/>
                <w:lang w:val="en-US" w:eastAsia="zh-CN"/>
                <w14:textFill>
                  <w14:solidFill>
                    <w14:schemeClr w14:val="tx1"/>
                  </w14:solidFill>
                </w14:textFill>
              </w:rPr>
            </w:pPr>
          </w:p>
        </w:tc>
        <w:tc>
          <w:tcPr>
            <w:tcW w:w="8094" w:type="dxa"/>
            <w:vAlign w:val="center"/>
          </w:tcPr>
          <w:p w14:paraId="308371DE">
            <w:pPr>
              <w:pStyle w:val="28"/>
              <w:keepNext w:val="0"/>
              <w:keepLines w:val="0"/>
              <w:pageBreakBefore w:val="0"/>
              <w:widowControl w:val="0"/>
              <w:kinsoku/>
              <w:wordWrap w:val="0"/>
              <w:overflowPunct/>
              <w:topLinePunct/>
              <w:autoSpaceDE/>
              <w:autoSpaceDN/>
              <w:bidi w:val="0"/>
              <w:adjustRightInd/>
              <w:snapToGrid/>
              <w:spacing w:line="360" w:lineRule="auto"/>
              <w:ind w:left="0" w:leftChars="0" w:right="0" w:firstLine="422" w:firstLineChars="200"/>
              <w:textAlignment w:val="auto"/>
              <w:rPr>
                <w:rFonts w:hint="eastAsia" w:ascii="仿宋" w:hAnsi="仿宋" w:eastAsia="仿宋" w:cs="仿宋"/>
                <w:color w:val="000000" w:themeColor="text1"/>
                <w:sz w:val="21"/>
                <w:szCs w:val="21"/>
                <w:highlight w:val="none"/>
                <w:lang w:val="zh-CN" w:eastAsia="zh-CN"/>
                <w14:textFill>
                  <w14:solidFill>
                    <w14:schemeClr w14:val="tx1"/>
                  </w14:solidFill>
                </w14:textFill>
              </w:rPr>
            </w:pPr>
            <w:r>
              <w:rPr>
                <w:rFonts w:hint="eastAsia" w:ascii="仿宋" w:hAnsi="仿宋" w:eastAsia="仿宋" w:cs="仿宋"/>
                <w:b/>
                <w:bCs/>
                <w:color w:val="000000" w:themeColor="text1"/>
                <w:sz w:val="21"/>
                <w:szCs w:val="21"/>
                <w:highlight w:val="none"/>
                <w:lang w:eastAsia="zh-CN"/>
                <w14:textFill>
                  <w14:solidFill>
                    <w14:schemeClr w14:val="tx1"/>
                  </w14:solidFill>
                </w14:textFill>
              </w:rPr>
              <w:t>投标人</w:t>
            </w:r>
            <w:r>
              <w:rPr>
                <w:rFonts w:hint="eastAsia" w:ascii="仿宋" w:hAnsi="仿宋" w:eastAsia="仿宋" w:cs="仿宋"/>
                <w:color w:val="000000" w:themeColor="text1"/>
                <w:kern w:val="2"/>
                <w:sz w:val="21"/>
                <w:szCs w:val="21"/>
                <w:highlight w:val="none"/>
                <w:lang w:val="en-US" w:eastAsia="zh-CN" w:bidi="ar-SA"/>
                <w14:textFill>
                  <w14:solidFill>
                    <w14:schemeClr w14:val="tx1"/>
                  </w14:solidFill>
                </w14:textFill>
              </w:rPr>
              <w:t>根据招标文件“第四章 采购需求及要求”</w:t>
            </w:r>
            <w:r>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t>编制</w:t>
            </w:r>
            <w:r>
              <w:rPr>
                <w:rFonts w:hint="eastAsia" w:ascii="仿宋" w:hAnsi="仿宋" w:eastAsia="仿宋" w:cs="仿宋"/>
                <w:b/>
                <w:bCs/>
                <w:color w:val="000000" w:themeColor="text1"/>
                <w:sz w:val="21"/>
                <w:szCs w:val="21"/>
                <w:highlight w:val="none"/>
                <w:lang w:val="zh-CN" w:eastAsia="zh-CN"/>
                <w14:textFill>
                  <w14:solidFill>
                    <w14:schemeClr w14:val="tx1"/>
                  </w14:solidFill>
                </w14:textFill>
              </w:rPr>
              <w:t>售后服务方案</w:t>
            </w:r>
          </w:p>
          <w:p w14:paraId="3698BAEE">
            <w:pPr>
              <w:pStyle w:val="28"/>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textAlignment w:val="auto"/>
              <w:rPr>
                <w:rFonts w:hint="eastAsia" w:ascii="仿宋" w:hAnsi="仿宋" w:eastAsia="仿宋" w:cs="仿宋"/>
                <w:color w:val="000000" w:themeColor="text1"/>
                <w:sz w:val="21"/>
                <w:szCs w:val="21"/>
                <w:highlight w:val="none"/>
                <w:lang w:val="zh-CN" w:eastAsia="zh-CN"/>
                <w14:textFill>
                  <w14:solidFill>
                    <w14:schemeClr w14:val="tx1"/>
                  </w14:solidFill>
                </w14:textFill>
              </w:rPr>
            </w:pPr>
            <w:r>
              <w:rPr>
                <w:rFonts w:hint="eastAsia" w:ascii="仿宋" w:hAnsi="仿宋" w:eastAsia="仿宋" w:cs="仿宋"/>
                <w:color w:val="000000" w:themeColor="text1"/>
                <w:sz w:val="21"/>
                <w:szCs w:val="21"/>
                <w:highlight w:val="none"/>
                <w:lang w:val="zh-CN" w:eastAsia="zh-CN"/>
                <w14:textFill>
                  <w14:solidFill>
                    <w14:schemeClr w14:val="tx1"/>
                  </w14:solidFill>
                </w14:textFill>
              </w:rPr>
              <w:t>评审内容:投标人针对本项目提出具体的售后服务方案，方案各部分内容全面详细、阐述条理清晰详尽、符合招标要求。方案内容</w:t>
            </w:r>
            <w:r>
              <w:rPr>
                <w:rFonts w:hint="eastAsia" w:ascii="仿宋" w:hAnsi="仿宋" w:eastAsia="仿宋" w:cs="仿宋"/>
                <w:color w:val="000000" w:themeColor="text1"/>
                <w:sz w:val="21"/>
                <w:szCs w:val="21"/>
                <w:highlight w:val="none"/>
                <w:lang w:val="en-US" w:eastAsia="zh-CN"/>
                <w14:textFill>
                  <w14:solidFill>
                    <w14:schemeClr w14:val="tx1"/>
                  </w14:solidFill>
                </w14:textFill>
              </w:rPr>
              <w:t>至少</w:t>
            </w:r>
            <w:r>
              <w:rPr>
                <w:rFonts w:hint="eastAsia" w:ascii="仿宋" w:hAnsi="仿宋" w:eastAsia="仿宋" w:cs="仿宋"/>
                <w:color w:val="000000" w:themeColor="text1"/>
                <w:sz w:val="21"/>
                <w:szCs w:val="21"/>
                <w:highlight w:val="none"/>
                <w:lang w:val="zh-CN" w:eastAsia="zh-CN"/>
                <w14:textFill>
                  <w14:solidFill>
                    <w14:schemeClr w14:val="tx1"/>
                  </w14:solidFill>
                </w14:textFill>
              </w:rPr>
              <w:t>包含：</w:t>
            </w:r>
          </w:p>
          <w:p w14:paraId="24B76C2A">
            <w:pPr>
              <w:pStyle w:val="28"/>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textAlignment w:val="auto"/>
              <w:rPr>
                <w:rFonts w:hint="eastAsia" w:ascii="仿宋" w:hAnsi="仿宋" w:eastAsia="仿宋" w:cs="仿宋"/>
                <w:color w:val="000000" w:themeColor="text1"/>
                <w:sz w:val="21"/>
                <w:szCs w:val="21"/>
                <w:highlight w:val="none"/>
                <w:lang w:val="zh-CN" w:eastAsia="zh-CN"/>
                <w14:textFill>
                  <w14:solidFill>
                    <w14:schemeClr w14:val="tx1"/>
                  </w14:solidFill>
                </w14:textFill>
              </w:rPr>
            </w:pPr>
            <w:r>
              <w:rPr>
                <w:rFonts w:hint="eastAsia" w:ascii="仿宋" w:hAnsi="仿宋" w:eastAsia="仿宋" w:cs="仿宋"/>
                <w:color w:val="000000" w:themeColor="text1"/>
                <w:sz w:val="21"/>
                <w:szCs w:val="21"/>
                <w:highlight w:val="none"/>
                <w:lang w:val="zh-CN" w:eastAsia="zh-CN"/>
                <w14:textFill>
                  <w14:solidFill>
                    <w14:schemeClr w14:val="tx1"/>
                  </w14:solidFill>
                </w14:textFill>
              </w:rPr>
              <w:t>①售后服务机构地址，电话联系人；</w:t>
            </w:r>
          </w:p>
          <w:p w14:paraId="66272BB1">
            <w:pPr>
              <w:pStyle w:val="28"/>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textAlignment w:val="auto"/>
              <w:rPr>
                <w:rFonts w:hint="eastAsia" w:ascii="仿宋" w:hAnsi="仿宋" w:eastAsia="仿宋" w:cs="仿宋"/>
                <w:color w:val="000000" w:themeColor="text1"/>
                <w:sz w:val="21"/>
                <w:szCs w:val="21"/>
                <w:highlight w:val="none"/>
                <w:lang w:val="zh-CN" w:eastAsia="zh-CN"/>
                <w14:textFill>
                  <w14:solidFill>
                    <w14:schemeClr w14:val="tx1"/>
                  </w14:solidFill>
                </w14:textFill>
              </w:rPr>
            </w:pPr>
            <w:r>
              <w:rPr>
                <w:rFonts w:hint="eastAsia" w:ascii="仿宋" w:hAnsi="仿宋" w:eastAsia="仿宋" w:cs="仿宋"/>
                <w:color w:val="000000" w:themeColor="text1"/>
                <w:sz w:val="21"/>
                <w:szCs w:val="21"/>
                <w:highlight w:val="none"/>
                <w:lang w:val="zh-CN" w:eastAsia="zh-CN"/>
                <w14:textFill>
                  <w14:solidFill>
                    <w14:schemeClr w14:val="tx1"/>
                  </w14:solidFill>
                </w14:textFill>
              </w:rPr>
              <w:t>②售后服务保障措施；</w:t>
            </w:r>
          </w:p>
          <w:p w14:paraId="3AA88E05">
            <w:pPr>
              <w:pStyle w:val="28"/>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textAlignment w:val="auto"/>
              <w:rPr>
                <w:rFonts w:hint="eastAsia" w:ascii="仿宋" w:hAnsi="仿宋" w:eastAsia="仿宋" w:cs="仿宋"/>
                <w:color w:val="000000" w:themeColor="text1"/>
                <w:sz w:val="21"/>
                <w:szCs w:val="21"/>
                <w:highlight w:val="none"/>
                <w:lang w:val="zh-CN" w:eastAsia="zh-CN"/>
                <w14:textFill>
                  <w14:solidFill>
                    <w14:schemeClr w14:val="tx1"/>
                  </w14:solidFill>
                </w14:textFill>
              </w:rPr>
            </w:pPr>
            <w:r>
              <w:rPr>
                <w:rFonts w:hint="eastAsia" w:ascii="仿宋" w:hAnsi="仿宋" w:eastAsia="仿宋" w:cs="仿宋"/>
                <w:color w:val="000000" w:themeColor="text1"/>
                <w:sz w:val="21"/>
                <w:szCs w:val="21"/>
                <w:highlight w:val="none"/>
                <w:lang w:val="zh-CN" w:eastAsia="zh-CN"/>
                <w14:textFill>
                  <w14:solidFill>
                    <w14:schemeClr w14:val="tx1"/>
                  </w14:solidFill>
                </w14:textFill>
              </w:rPr>
              <w:t>③服务保障体系及措施；</w:t>
            </w:r>
          </w:p>
          <w:p w14:paraId="309CEDE0">
            <w:pPr>
              <w:pStyle w:val="28"/>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textAlignment w:val="auto"/>
              <w:rPr>
                <w:rFonts w:hint="eastAsia" w:ascii="仿宋" w:hAnsi="仿宋" w:eastAsia="仿宋" w:cs="仿宋"/>
                <w:color w:val="000000" w:themeColor="text1"/>
                <w:sz w:val="21"/>
                <w:szCs w:val="21"/>
                <w:highlight w:val="none"/>
                <w:lang w:val="zh-CN" w:eastAsia="zh-CN"/>
                <w14:textFill>
                  <w14:solidFill>
                    <w14:schemeClr w14:val="tx1"/>
                  </w14:solidFill>
                </w14:textFill>
              </w:rPr>
            </w:pPr>
            <w:r>
              <w:rPr>
                <w:rFonts w:hint="eastAsia" w:ascii="仿宋" w:hAnsi="仿宋" w:eastAsia="仿宋" w:cs="仿宋"/>
                <w:color w:val="000000" w:themeColor="text1"/>
                <w:sz w:val="21"/>
                <w:szCs w:val="21"/>
                <w:highlight w:val="none"/>
                <w:lang w:val="zh-CN" w:eastAsia="zh-CN"/>
                <w14:textFill>
                  <w14:solidFill>
                    <w14:schemeClr w14:val="tx1"/>
                  </w14:solidFill>
                </w14:textFill>
              </w:rPr>
              <w:t>④售后服务承诺。</w:t>
            </w:r>
          </w:p>
          <w:p w14:paraId="572502E5">
            <w:pPr>
              <w:pStyle w:val="28"/>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textAlignment w:val="auto"/>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eastAsia="仿宋" w:cs="仿宋"/>
                <w:color w:val="000000" w:themeColor="text1"/>
                <w:sz w:val="21"/>
                <w:szCs w:val="21"/>
                <w:highlight w:val="none"/>
                <w:lang w:val="zh-CN" w:eastAsia="zh-CN"/>
                <w14:textFill>
                  <w14:solidFill>
                    <w14:schemeClr w14:val="tx1"/>
                  </w14:solidFill>
                </w14:textFill>
              </w:rPr>
              <w:t>评审标准:</w:t>
            </w:r>
            <w:r>
              <w:rPr>
                <w:rFonts w:hint="eastAsia" w:ascii="仿宋" w:hAnsi="仿宋" w:eastAsia="仿宋" w:cs="仿宋"/>
                <w:color w:val="000000" w:themeColor="text1"/>
                <w:sz w:val="21"/>
                <w:szCs w:val="21"/>
                <w:highlight w:val="none"/>
                <w:lang w:eastAsia="zh-CN"/>
                <w14:textFill>
                  <w14:solidFill>
                    <w14:schemeClr w14:val="tx1"/>
                  </w14:solidFill>
                </w14:textFill>
              </w:rPr>
              <w:t>以上</w:t>
            </w:r>
            <w:r>
              <w:rPr>
                <w:rFonts w:hint="eastAsia" w:ascii="仿宋" w:hAnsi="仿宋" w:eastAsia="仿宋" w:cs="仿宋"/>
                <w:color w:val="000000" w:themeColor="text1"/>
                <w:sz w:val="21"/>
                <w:szCs w:val="21"/>
                <w:highlight w:val="none"/>
                <w:lang w:val="en-US" w:eastAsia="zh-CN"/>
                <w14:textFill>
                  <w14:solidFill>
                    <w14:schemeClr w14:val="tx1"/>
                  </w14:solidFill>
                </w14:textFill>
              </w:rPr>
              <w:t>4</w:t>
            </w:r>
            <w:r>
              <w:rPr>
                <w:rFonts w:hint="eastAsia" w:ascii="仿宋" w:hAnsi="仿宋" w:eastAsia="仿宋" w:cs="仿宋"/>
                <w:color w:val="000000" w:themeColor="text1"/>
                <w:sz w:val="21"/>
                <w:szCs w:val="21"/>
                <w:highlight w:val="none"/>
                <w:lang w:eastAsia="zh-CN"/>
                <w14:textFill>
                  <w14:solidFill>
                    <w14:schemeClr w14:val="tx1"/>
                  </w14:solidFill>
                </w14:textFill>
              </w:rPr>
              <w:t>项内容每项</w:t>
            </w:r>
            <w:r>
              <w:rPr>
                <w:rFonts w:hint="eastAsia" w:ascii="仿宋" w:hAnsi="仿宋" w:eastAsia="仿宋" w:cs="仿宋"/>
                <w:color w:val="000000" w:themeColor="text1"/>
                <w:sz w:val="21"/>
                <w:szCs w:val="21"/>
                <w:highlight w:val="none"/>
                <w:lang w:val="en-US" w:eastAsia="zh-CN"/>
                <w14:textFill>
                  <w14:solidFill>
                    <w14:schemeClr w14:val="tx1"/>
                  </w14:solidFill>
                </w14:textFill>
              </w:rPr>
              <w:t>3</w:t>
            </w:r>
            <w:r>
              <w:rPr>
                <w:rFonts w:hint="eastAsia" w:ascii="仿宋" w:hAnsi="仿宋" w:eastAsia="仿宋" w:cs="仿宋"/>
                <w:color w:val="000000" w:themeColor="text1"/>
                <w:sz w:val="21"/>
                <w:szCs w:val="21"/>
                <w:highlight w:val="none"/>
                <w:lang w:eastAsia="zh-CN"/>
                <w14:textFill>
                  <w14:solidFill>
                    <w14:schemeClr w14:val="tx1"/>
                  </w14:solidFill>
                </w14:textFill>
              </w:rPr>
              <w:t>分，无漏项、无缺陷得</w:t>
            </w:r>
            <w:r>
              <w:rPr>
                <w:rFonts w:hint="eastAsia" w:ascii="仿宋" w:hAnsi="仿宋" w:eastAsia="仿宋" w:cs="仿宋"/>
                <w:color w:val="000000" w:themeColor="text1"/>
                <w:sz w:val="21"/>
                <w:szCs w:val="21"/>
                <w:highlight w:val="none"/>
                <w:lang w:val="en-US" w:eastAsia="zh-CN"/>
                <w14:textFill>
                  <w14:solidFill>
                    <w14:schemeClr w14:val="tx1"/>
                  </w14:solidFill>
                </w14:textFill>
              </w:rPr>
              <w:t>12</w:t>
            </w:r>
            <w:r>
              <w:rPr>
                <w:rFonts w:hint="eastAsia" w:ascii="仿宋" w:hAnsi="仿宋" w:eastAsia="仿宋" w:cs="仿宋"/>
                <w:color w:val="000000" w:themeColor="text1"/>
                <w:sz w:val="21"/>
                <w:szCs w:val="21"/>
                <w:highlight w:val="none"/>
                <w:lang w:eastAsia="zh-CN"/>
                <w14:textFill>
                  <w14:solidFill>
                    <w14:schemeClr w14:val="tx1"/>
                  </w14:solidFill>
                </w14:textFill>
              </w:rPr>
              <w:t>分，每缺少一项扣</w:t>
            </w:r>
            <w:r>
              <w:rPr>
                <w:rFonts w:hint="eastAsia" w:ascii="仿宋" w:hAnsi="仿宋" w:eastAsia="仿宋" w:cs="仿宋"/>
                <w:color w:val="000000" w:themeColor="text1"/>
                <w:sz w:val="21"/>
                <w:szCs w:val="21"/>
                <w:highlight w:val="none"/>
                <w:lang w:val="en-US" w:eastAsia="zh-CN"/>
                <w14:textFill>
                  <w14:solidFill>
                    <w14:schemeClr w14:val="tx1"/>
                  </w14:solidFill>
                </w14:textFill>
              </w:rPr>
              <w:t>3</w:t>
            </w:r>
            <w:r>
              <w:rPr>
                <w:rFonts w:hint="eastAsia" w:ascii="仿宋" w:hAnsi="仿宋" w:eastAsia="仿宋" w:cs="仿宋"/>
                <w:color w:val="000000" w:themeColor="text1"/>
                <w:sz w:val="21"/>
                <w:szCs w:val="21"/>
                <w:highlight w:val="none"/>
                <w:lang w:eastAsia="zh-CN"/>
                <w14:textFill>
                  <w14:solidFill>
                    <w14:schemeClr w14:val="tx1"/>
                  </w14:solidFill>
                </w14:textFill>
              </w:rPr>
              <w:t>分；每有一项内容在缺陷的扣</w:t>
            </w:r>
            <w:r>
              <w:rPr>
                <w:rFonts w:hint="eastAsia" w:ascii="仿宋" w:hAnsi="仿宋" w:eastAsia="仿宋" w:cs="仿宋"/>
                <w:color w:val="000000" w:themeColor="text1"/>
                <w:sz w:val="21"/>
                <w:szCs w:val="21"/>
                <w:highlight w:val="none"/>
                <w:lang w:val="en-US" w:eastAsia="zh-CN"/>
                <w14:textFill>
                  <w14:solidFill>
                    <w14:schemeClr w14:val="tx1"/>
                  </w14:solidFill>
                </w14:textFill>
              </w:rPr>
              <w:t>1.5</w:t>
            </w:r>
            <w:r>
              <w:rPr>
                <w:rFonts w:hint="eastAsia" w:ascii="仿宋" w:hAnsi="仿宋" w:eastAsia="仿宋" w:cs="仿宋"/>
                <w:color w:val="000000" w:themeColor="text1"/>
                <w:sz w:val="21"/>
                <w:szCs w:val="21"/>
                <w:highlight w:val="none"/>
                <w:lang w:eastAsia="zh-CN"/>
                <w14:textFill>
                  <w14:solidFill>
                    <w14:schemeClr w14:val="tx1"/>
                  </w14:solidFill>
                </w14:textFill>
              </w:rPr>
              <w:t>分，未提供方案的不得分。</w:t>
            </w:r>
          </w:p>
          <w:p w14:paraId="0D0D8947">
            <w:pPr>
              <w:pStyle w:val="28"/>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420" w:firstLineChars="200"/>
              <w:textAlignment w:val="auto"/>
              <w:rPr>
                <w:rFonts w:hint="eastAsia" w:ascii="仿宋" w:hAnsi="仿宋" w:eastAsia="仿宋" w:cs="仿宋"/>
                <w:color w:val="000000" w:themeColor="text1"/>
                <w:sz w:val="21"/>
                <w:szCs w:val="21"/>
                <w:highlight w:val="none"/>
                <w:lang w:val="en-US" w:eastAsia="en-US" w:bidi="ar-SA"/>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缺陷是指：非专门针对本项目或不适用项目特性的情形、套用其他项目方案、内容前后矛盾、涉及的规范及标准错误、方案内容交叉混乱、缺乏重点、生搬硬造、套用错用、存在歧义、层次粗略、仅有标题或框架缺乏具体说明阐述的情形等任意一种情形）</w:t>
            </w:r>
          </w:p>
        </w:tc>
        <w:tc>
          <w:tcPr>
            <w:tcW w:w="1208" w:type="dxa"/>
            <w:vAlign w:val="center"/>
          </w:tcPr>
          <w:p w14:paraId="462FF984">
            <w:pPr>
              <w:keepNext w:val="0"/>
              <w:keepLines w:val="0"/>
              <w:pageBreakBefore w:val="0"/>
              <w:widowControl w:val="0"/>
              <w:kinsoku/>
              <w:wordWrap w:val="0"/>
              <w:overflowPunct/>
              <w:topLinePunct/>
              <w:autoSpaceDE/>
              <w:autoSpaceDN/>
              <w:bidi w:val="0"/>
              <w:adjustRightInd/>
              <w:snapToGrid/>
              <w:spacing w:line="360" w:lineRule="auto"/>
              <w:jc w:val="center"/>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0～12分</w:t>
            </w:r>
          </w:p>
        </w:tc>
      </w:tr>
      <w:tr w14:paraId="76290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63" w:type="dxa"/>
            <w:vMerge w:val="continue"/>
            <w:vAlign w:val="center"/>
          </w:tcPr>
          <w:p w14:paraId="5D0BA6B8">
            <w:pPr>
              <w:keepNext w:val="0"/>
              <w:keepLines w:val="0"/>
              <w:pageBreakBefore w:val="0"/>
              <w:widowControl w:val="0"/>
              <w:kinsoku/>
              <w:wordWrap w:val="0"/>
              <w:overflowPunct/>
              <w:topLinePunct/>
              <w:autoSpaceDE/>
              <w:autoSpaceDN/>
              <w:bidi w:val="0"/>
              <w:adjustRightInd/>
              <w:snapToGrid/>
              <w:spacing w:line="360" w:lineRule="auto"/>
              <w:jc w:val="center"/>
              <w:rPr>
                <w:rFonts w:hint="eastAsia" w:ascii="仿宋" w:hAnsi="仿宋" w:eastAsia="仿宋" w:cs="仿宋"/>
                <w:color w:val="000000" w:themeColor="text1"/>
                <w:sz w:val="21"/>
                <w:szCs w:val="21"/>
                <w:highlight w:val="none"/>
                <w:lang w:val="en-US" w:eastAsia="zh-CN"/>
                <w14:textFill>
                  <w14:solidFill>
                    <w14:schemeClr w14:val="tx1"/>
                  </w14:solidFill>
                </w14:textFill>
              </w:rPr>
            </w:pPr>
          </w:p>
        </w:tc>
        <w:tc>
          <w:tcPr>
            <w:tcW w:w="8094" w:type="dxa"/>
            <w:vAlign w:val="center"/>
          </w:tcPr>
          <w:p w14:paraId="31B0AE97">
            <w:pPr>
              <w:keepNext w:val="0"/>
              <w:keepLines w:val="0"/>
              <w:pageBreakBefore w:val="0"/>
              <w:widowControl w:val="0"/>
              <w:kinsoku/>
              <w:wordWrap w:val="0"/>
              <w:overflowPunct/>
              <w:topLinePunct/>
              <w:autoSpaceDE/>
              <w:autoSpaceDN/>
              <w:bidi w:val="0"/>
              <w:adjustRightInd/>
              <w:snapToGrid/>
              <w:spacing w:line="360" w:lineRule="auto"/>
              <w:ind w:firstLine="422" w:firstLineChars="200"/>
              <w:textAlignment w:val="auto"/>
              <w:rPr>
                <w:rFonts w:hint="eastAsia" w:ascii="仿宋" w:hAnsi="仿宋" w:eastAsia="仿宋" w:cs="仿宋"/>
                <w:color w:val="000000" w:themeColor="text1"/>
                <w:sz w:val="21"/>
                <w:szCs w:val="21"/>
                <w:highlight w:val="none"/>
                <w:lang w:val="zh-CN" w:eastAsia="zh-CN"/>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仓储能力</w:t>
            </w:r>
            <w:r>
              <w:rPr>
                <w:rFonts w:hint="eastAsia" w:ascii="仿宋" w:hAnsi="仿宋" w:eastAsia="仿宋" w:cs="仿宋"/>
                <w:color w:val="000000" w:themeColor="text1"/>
                <w:sz w:val="21"/>
                <w:szCs w:val="21"/>
                <w:highlight w:val="none"/>
                <w:lang w:val="zh-CN" w:eastAsia="zh-CN"/>
                <w14:textFill>
                  <w14:solidFill>
                    <w14:schemeClr w14:val="tx1"/>
                  </w14:solidFill>
                </w14:textFill>
              </w:rPr>
              <w:t>：</w:t>
            </w:r>
          </w:p>
          <w:p w14:paraId="5E5DCBC4">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color w:val="000000" w:themeColor="text1"/>
                <w:sz w:val="18"/>
                <w:szCs w:val="18"/>
                <w:highlight w:val="none"/>
                <w:lang w:val="zh-CN" w:eastAsia="zh-CN"/>
                <w14:textFill>
                  <w14:solidFill>
                    <w14:schemeClr w14:val="tx1"/>
                  </w14:solidFill>
                </w14:textFill>
              </w:rPr>
            </w:pPr>
            <w:r>
              <w:rPr>
                <w:rFonts w:hint="eastAsia" w:ascii="仿宋" w:hAnsi="仿宋" w:eastAsia="仿宋" w:cs="仿宋"/>
                <w:color w:val="000000" w:themeColor="text1"/>
                <w:sz w:val="21"/>
                <w:szCs w:val="21"/>
                <w:highlight w:val="none"/>
                <w:lang w:val="zh-CN" w:eastAsia="zh-CN"/>
                <w14:textFill>
                  <w14:solidFill>
                    <w14:schemeClr w14:val="tx1"/>
                  </w14:solidFill>
                </w14:textFill>
              </w:rPr>
              <w:t>有固定的营业场所及库存储备能力,自有营业场所及库存场所须提供房屋合同或产权证明等；营业场所及库存场所为租赁的,须提供租赁合同或其他证明材料,满足此条件得</w:t>
            </w:r>
            <w:r>
              <w:rPr>
                <w:rFonts w:hint="eastAsia" w:ascii="仿宋" w:hAnsi="仿宋" w:eastAsia="仿宋" w:cs="仿宋"/>
                <w:color w:val="000000" w:themeColor="text1"/>
                <w:sz w:val="21"/>
                <w:szCs w:val="21"/>
                <w:highlight w:val="none"/>
                <w:lang w:val="en-US" w:eastAsia="zh-CN"/>
                <w14:textFill>
                  <w14:solidFill>
                    <w14:schemeClr w14:val="tx1"/>
                  </w14:solidFill>
                </w14:textFill>
              </w:rPr>
              <w:t>2</w:t>
            </w:r>
            <w:r>
              <w:rPr>
                <w:rFonts w:hint="eastAsia" w:ascii="仿宋" w:hAnsi="仿宋" w:eastAsia="仿宋" w:cs="仿宋"/>
                <w:color w:val="000000" w:themeColor="text1"/>
                <w:sz w:val="21"/>
                <w:szCs w:val="21"/>
                <w:highlight w:val="none"/>
                <w:lang w:val="zh-CN" w:eastAsia="zh-CN"/>
                <w14:textFill>
                  <w14:solidFill>
                    <w14:schemeClr w14:val="tx1"/>
                  </w14:solidFill>
                </w14:textFill>
              </w:rPr>
              <w:t xml:space="preserve">分。 </w:t>
            </w:r>
          </w:p>
          <w:p w14:paraId="549A77D8">
            <w:pPr>
              <w:pStyle w:val="28"/>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420" w:firstLineChars="200"/>
              <w:textAlignment w:val="auto"/>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eastAsia="仿宋" w:cs="仿宋"/>
                <w:color w:val="000000" w:themeColor="text1"/>
                <w:sz w:val="21"/>
                <w:szCs w:val="21"/>
                <w:highlight w:val="none"/>
                <w:lang w:val="zh-CN" w:eastAsia="zh-CN" w:bidi="ar-SA"/>
                <w14:textFill>
                  <w14:solidFill>
                    <w14:schemeClr w14:val="tx1"/>
                  </w14:solidFill>
                </w14:textFill>
              </w:rPr>
              <w:t>注：投标文件中附有效证明材料复印件并加盖单位公章,否则不得分。</w:t>
            </w:r>
          </w:p>
        </w:tc>
        <w:tc>
          <w:tcPr>
            <w:tcW w:w="1208" w:type="dxa"/>
            <w:vAlign w:val="center"/>
          </w:tcPr>
          <w:p w14:paraId="6DFF1494">
            <w:pPr>
              <w:keepNext w:val="0"/>
              <w:keepLines w:val="0"/>
              <w:pageBreakBefore w:val="0"/>
              <w:widowControl w:val="0"/>
              <w:kinsoku/>
              <w:wordWrap w:val="0"/>
              <w:overflowPunct/>
              <w:topLinePunct/>
              <w:autoSpaceDE/>
              <w:autoSpaceDN/>
              <w:bidi w:val="0"/>
              <w:adjustRightInd/>
              <w:snapToGrid/>
              <w:spacing w:line="360" w:lineRule="auto"/>
              <w:jc w:val="center"/>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0～2分</w:t>
            </w:r>
          </w:p>
        </w:tc>
      </w:tr>
      <w:tr w14:paraId="5463A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63" w:type="dxa"/>
            <w:vMerge w:val="continue"/>
            <w:vAlign w:val="center"/>
          </w:tcPr>
          <w:p w14:paraId="09E882FA">
            <w:pPr>
              <w:keepNext w:val="0"/>
              <w:keepLines w:val="0"/>
              <w:pageBreakBefore w:val="0"/>
              <w:widowControl w:val="0"/>
              <w:kinsoku/>
              <w:wordWrap w:val="0"/>
              <w:overflowPunct/>
              <w:topLinePunct/>
              <w:autoSpaceDE/>
              <w:autoSpaceDN/>
              <w:bidi w:val="0"/>
              <w:adjustRightInd/>
              <w:snapToGrid/>
              <w:spacing w:line="360" w:lineRule="auto"/>
              <w:jc w:val="center"/>
              <w:rPr>
                <w:rFonts w:hint="eastAsia" w:ascii="仿宋" w:hAnsi="仿宋" w:eastAsia="仿宋" w:cs="仿宋"/>
                <w:color w:val="000000" w:themeColor="text1"/>
                <w:sz w:val="21"/>
                <w:szCs w:val="21"/>
                <w:highlight w:val="none"/>
                <w:lang w:val="en-US" w:eastAsia="zh-CN"/>
                <w14:textFill>
                  <w14:solidFill>
                    <w14:schemeClr w14:val="tx1"/>
                  </w14:solidFill>
                </w14:textFill>
              </w:rPr>
            </w:pPr>
          </w:p>
        </w:tc>
        <w:tc>
          <w:tcPr>
            <w:tcW w:w="8094" w:type="dxa"/>
            <w:vAlign w:val="center"/>
          </w:tcPr>
          <w:p w14:paraId="51EB7676">
            <w:pPr>
              <w:pStyle w:val="28"/>
              <w:keepNext w:val="0"/>
              <w:keepLines w:val="0"/>
              <w:pageBreakBefore w:val="0"/>
              <w:widowControl w:val="0"/>
              <w:kinsoku/>
              <w:wordWrap w:val="0"/>
              <w:overflowPunct/>
              <w:topLinePunct/>
              <w:autoSpaceDE/>
              <w:autoSpaceDN/>
              <w:bidi w:val="0"/>
              <w:adjustRightInd/>
              <w:snapToGrid/>
              <w:spacing w:line="360" w:lineRule="auto"/>
              <w:ind w:left="0" w:leftChars="0" w:right="0" w:firstLine="422" w:firstLineChars="200"/>
              <w:textAlignment w:val="auto"/>
              <w:rPr>
                <w:rFonts w:hint="eastAsia" w:ascii="仿宋" w:hAnsi="仿宋" w:eastAsia="仿宋" w:cs="仿宋"/>
                <w:b/>
                <w:bCs/>
                <w:sz w:val="21"/>
                <w:szCs w:val="21"/>
                <w:highlight w:val="none"/>
                <w:lang w:eastAsia="zh-CN"/>
              </w:rPr>
            </w:pPr>
            <w:r>
              <w:rPr>
                <w:rFonts w:hint="eastAsia" w:ascii="仿宋" w:hAnsi="仿宋" w:eastAsia="仿宋" w:cs="仿宋"/>
                <w:b/>
                <w:bCs/>
                <w:sz w:val="21"/>
                <w:szCs w:val="21"/>
                <w:highlight w:val="none"/>
                <w:lang w:eastAsia="zh-CN"/>
              </w:rPr>
              <w:t>业绩评审评分：</w:t>
            </w:r>
          </w:p>
          <w:p w14:paraId="4B1C518B">
            <w:pPr>
              <w:pStyle w:val="28"/>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420" w:firstLineChars="200"/>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投标人</w:t>
            </w:r>
            <w:r>
              <w:rPr>
                <w:rFonts w:hint="eastAsia" w:ascii="仿宋" w:hAnsi="仿宋" w:eastAsia="仿宋" w:cs="仿宋"/>
                <w:sz w:val="21"/>
                <w:szCs w:val="21"/>
                <w:highlight w:val="none"/>
                <w:lang w:eastAsia="zh-CN"/>
              </w:rPr>
              <w:t>202</w:t>
            </w:r>
            <w:r>
              <w:rPr>
                <w:rFonts w:hint="eastAsia" w:ascii="仿宋" w:hAnsi="仿宋" w:eastAsia="仿宋" w:cs="仿宋"/>
                <w:sz w:val="21"/>
                <w:szCs w:val="21"/>
                <w:highlight w:val="none"/>
                <w:lang w:val="en-US" w:eastAsia="zh-CN"/>
              </w:rPr>
              <w:t>3</w:t>
            </w:r>
            <w:r>
              <w:rPr>
                <w:rFonts w:hint="eastAsia" w:ascii="仿宋" w:hAnsi="仿宋" w:eastAsia="仿宋" w:cs="仿宋"/>
                <w:sz w:val="21"/>
                <w:szCs w:val="21"/>
                <w:highlight w:val="none"/>
                <w:lang w:eastAsia="zh-CN"/>
              </w:rPr>
              <w:t>年1月1日起至投标截止时间前</w:t>
            </w:r>
            <w:r>
              <w:rPr>
                <w:rFonts w:hint="eastAsia" w:ascii="仿宋" w:hAnsi="仿宋" w:eastAsia="仿宋" w:cs="仿宋"/>
                <w:sz w:val="21"/>
                <w:szCs w:val="21"/>
                <w:highlight w:val="none"/>
                <w:lang w:val="en-US" w:eastAsia="zh-CN"/>
              </w:rPr>
              <w:t>的</w:t>
            </w:r>
            <w:r>
              <w:rPr>
                <w:rFonts w:hint="eastAsia" w:ascii="仿宋" w:hAnsi="仿宋" w:eastAsia="仿宋" w:cs="仿宋"/>
                <w:sz w:val="21"/>
                <w:szCs w:val="21"/>
                <w:highlight w:val="none"/>
                <w:lang w:eastAsia="zh-CN"/>
              </w:rPr>
              <w:t>类似业绩，</w:t>
            </w:r>
            <w:r>
              <w:rPr>
                <w:rFonts w:hint="eastAsia" w:ascii="仿宋" w:hAnsi="仿宋" w:eastAsia="仿宋" w:cs="仿宋"/>
                <w:sz w:val="21"/>
                <w:szCs w:val="21"/>
                <w:highlight w:val="none"/>
                <w:lang w:val="en-US" w:eastAsia="zh-CN"/>
              </w:rPr>
              <w:t>每</w:t>
            </w:r>
            <w:r>
              <w:rPr>
                <w:rFonts w:hint="eastAsia" w:ascii="仿宋" w:hAnsi="仿宋" w:eastAsia="仿宋" w:cs="仿宋"/>
                <w:sz w:val="21"/>
                <w:szCs w:val="21"/>
                <w:highlight w:val="none"/>
                <w:lang w:eastAsia="zh-CN"/>
              </w:rPr>
              <w:t>提供一项</w:t>
            </w:r>
            <w:r>
              <w:rPr>
                <w:rFonts w:hint="eastAsia" w:ascii="仿宋" w:hAnsi="仿宋" w:eastAsia="仿宋" w:cs="仿宋"/>
                <w:sz w:val="21"/>
                <w:szCs w:val="21"/>
                <w:highlight w:val="none"/>
                <w:lang w:val="en-US" w:eastAsia="zh-CN"/>
              </w:rPr>
              <w:t>得1</w:t>
            </w:r>
            <w:r>
              <w:rPr>
                <w:rFonts w:hint="eastAsia" w:ascii="仿宋" w:hAnsi="仿宋" w:eastAsia="仿宋" w:cs="仿宋"/>
                <w:sz w:val="21"/>
                <w:szCs w:val="21"/>
                <w:highlight w:val="none"/>
                <w:lang w:eastAsia="zh-CN"/>
              </w:rPr>
              <w:t>分。</w:t>
            </w:r>
          </w:p>
          <w:p w14:paraId="69BF987C">
            <w:pPr>
              <w:pStyle w:val="28"/>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420" w:firstLineChars="200"/>
              <w:textAlignment w:val="auto"/>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业绩评审标准详见《投标人须知前附表》</w:t>
            </w:r>
          </w:p>
        </w:tc>
        <w:tc>
          <w:tcPr>
            <w:tcW w:w="1208" w:type="dxa"/>
            <w:vAlign w:val="center"/>
          </w:tcPr>
          <w:p w14:paraId="6E762B7C">
            <w:pPr>
              <w:keepNext w:val="0"/>
              <w:keepLines w:val="0"/>
              <w:pageBreakBefore w:val="0"/>
              <w:widowControl w:val="0"/>
              <w:kinsoku/>
              <w:wordWrap w:val="0"/>
              <w:overflowPunct/>
              <w:topLinePunct/>
              <w:autoSpaceDE/>
              <w:autoSpaceDN/>
              <w:bidi w:val="0"/>
              <w:adjustRightInd/>
              <w:snapToGrid/>
              <w:spacing w:line="360" w:lineRule="auto"/>
              <w:jc w:val="center"/>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0～2分</w:t>
            </w:r>
          </w:p>
        </w:tc>
      </w:tr>
      <w:tr w14:paraId="4A655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63" w:type="dxa"/>
            <w:vMerge w:val="continue"/>
            <w:vAlign w:val="center"/>
          </w:tcPr>
          <w:p w14:paraId="0A1BAEB6">
            <w:pPr>
              <w:keepNext w:val="0"/>
              <w:keepLines w:val="0"/>
              <w:pageBreakBefore w:val="0"/>
              <w:widowControl w:val="0"/>
              <w:kinsoku/>
              <w:wordWrap w:val="0"/>
              <w:overflowPunct/>
              <w:topLinePunct/>
              <w:autoSpaceDE/>
              <w:autoSpaceDN/>
              <w:bidi w:val="0"/>
              <w:adjustRightInd/>
              <w:snapToGrid/>
              <w:spacing w:line="360" w:lineRule="auto"/>
              <w:jc w:val="center"/>
              <w:rPr>
                <w:rFonts w:hint="eastAsia" w:ascii="仿宋" w:hAnsi="仿宋" w:eastAsia="仿宋" w:cs="仿宋"/>
                <w:color w:val="000000" w:themeColor="text1"/>
                <w:sz w:val="21"/>
                <w:szCs w:val="21"/>
                <w:highlight w:val="none"/>
                <w:lang w:val="en-US" w:eastAsia="zh-CN"/>
                <w14:textFill>
                  <w14:solidFill>
                    <w14:schemeClr w14:val="tx1"/>
                  </w14:solidFill>
                </w14:textFill>
              </w:rPr>
            </w:pPr>
          </w:p>
        </w:tc>
        <w:tc>
          <w:tcPr>
            <w:tcW w:w="8094" w:type="dxa"/>
            <w:vAlign w:val="center"/>
          </w:tcPr>
          <w:p w14:paraId="19E68C69">
            <w:pPr>
              <w:keepNext w:val="0"/>
              <w:keepLines w:val="0"/>
              <w:pageBreakBefore w:val="0"/>
              <w:widowControl w:val="0"/>
              <w:suppressLineNumbers w:val="0"/>
              <w:kinsoku/>
              <w:wordWrap w:val="0"/>
              <w:overflowPunct/>
              <w:topLinePunct/>
              <w:autoSpaceDE/>
              <w:autoSpaceDN/>
              <w:bidi w:val="0"/>
              <w:adjustRightInd/>
              <w:snapToGrid/>
              <w:spacing w:line="440" w:lineRule="exact"/>
              <w:ind w:firstLine="422" w:firstLineChars="200"/>
              <w:jc w:val="both"/>
              <w:textAlignment w:val="auto"/>
              <w:rPr>
                <w:rFonts w:hint="eastAsia" w:ascii="仿宋" w:hAnsi="仿宋" w:eastAsia="仿宋" w:cs="仿宋"/>
                <w:b/>
                <w:bCs/>
                <w:i w:val="0"/>
                <w:iCs w:val="0"/>
                <w:color w:val="auto"/>
                <w:kern w:val="0"/>
                <w:sz w:val="21"/>
                <w:szCs w:val="21"/>
                <w:highlight w:val="none"/>
                <w:u w:val="none"/>
                <w:lang w:val="en-US" w:eastAsia="zh-CN" w:bidi="ar"/>
              </w:rPr>
            </w:pPr>
            <w:r>
              <w:rPr>
                <w:rFonts w:hint="eastAsia" w:ascii="仿宋" w:hAnsi="仿宋" w:eastAsia="仿宋" w:cs="仿宋"/>
                <w:b/>
                <w:bCs/>
                <w:color w:val="auto"/>
                <w:sz w:val="21"/>
                <w:szCs w:val="21"/>
                <w:highlight w:val="none"/>
                <w:lang w:val="en-US" w:eastAsia="zh-CN"/>
              </w:rPr>
              <w:t>节能环保产品评审：</w:t>
            </w:r>
          </w:p>
          <w:p w14:paraId="10215982">
            <w:pPr>
              <w:keepNext w:val="0"/>
              <w:keepLines w:val="0"/>
              <w:pageBreakBefore w:val="0"/>
              <w:widowControl w:val="0"/>
              <w:suppressLineNumbers w:val="0"/>
              <w:kinsoku/>
              <w:wordWrap w:val="0"/>
              <w:overflowPunct/>
              <w:topLinePunct/>
              <w:autoSpaceDE/>
              <w:autoSpaceDN/>
              <w:bidi w:val="0"/>
              <w:adjustRightInd/>
              <w:snapToGrid/>
              <w:spacing w:line="440" w:lineRule="exact"/>
              <w:ind w:firstLine="420" w:firstLineChars="200"/>
              <w:jc w:val="both"/>
              <w:textAlignment w:val="auto"/>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1）所投产品中有列入《节能产品政府采购品目清单》并提供由《市场监管总局关于发布参与实施政府采购节能产品、环境标志产品认证机构名录的公告》（市场监管总局2019年第16号）文件指定的节能标志产品认证机构出具的、处于有效期之内的节能标志产品认证证书扫描件并加盖电子签章，得0.5分，</w:t>
            </w:r>
            <w:r>
              <w:rPr>
                <w:rFonts w:hint="eastAsia" w:ascii="仿宋" w:hAnsi="仿宋" w:eastAsia="仿宋" w:cs="仿宋"/>
                <w:bCs/>
                <w:color w:val="auto"/>
                <w:sz w:val="21"/>
                <w:szCs w:val="21"/>
                <w:highlight w:val="none"/>
              </w:rPr>
              <w:t>不提供的不得分</w:t>
            </w:r>
            <w:r>
              <w:rPr>
                <w:rFonts w:hint="eastAsia" w:ascii="仿宋" w:hAnsi="仿宋" w:eastAsia="仿宋" w:cs="仿宋"/>
                <w:b w:val="0"/>
                <w:bCs w:val="0"/>
                <w:i w:val="0"/>
                <w:iCs w:val="0"/>
                <w:color w:val="auto"/>
                <w:kern w:val="0"/>
                <w:sz w:val="21"/>
                <w:szCs w:val="21"/>
                <w:highlight w:val="none"/>
                <w:u w:val="none"/>
                <w:lang w:val="en-US" w:eastAsia="zh-CN" w:bidi="ar"/>
              </w:rPr>
              <w:t>。</w:t>
            </w:r>
          </w:p>
          <w:p w14:paraId="503C9CCD">
            <w:pPr>
              <w:keepNext w:val="0"/>
              <w:keepLines w:val="0"/>
              <w:pageBreakBefore w:val="0"/>
              <w:widowControl w:val="0"/>
              <w:kinsoku/>
              <w:wordWrap w:val="0"/>
              <w:overflowPunct/>
              <w:topLinePunct/>
              <w:autoSpaceDE/>
              <w:autoSpaceDN/>
              <w:bidi w:val="0"/>
              <w:adjustRightInd/>
              <w:snapToGrid/>
              <w:spacing w:line="440" w:lineRule="exact"/>
              <w:ind w:firstLine="420" w:firstLineChars="200"/>
              <w:jc w:val="both"/>
              <w:textAlignment w:val="auto"/>
              <w:rPr>
                <w:rFonts w:hint="eastAsia" w:ascii="仿宋" w:hAnsi="仿宋" w:eastAsia="仿宋" w:cs="仿宋"/>
                <w:b w:val="0"/>
                <w:bCs w:val="0"/>
                <w:i w:val="0"/>
                <w:iCs w:val="0"/>
                <w:color w:val="auto"/>
                <w:sz w:val="21"/>
                <w:szCs w:val="21"/>
                <w:highlight w:val="none"/>
                <w:lang w:val="en-US" w:eastAsia="zh-CN" w:bidi="ar-SA"/>
              </w:rPr>
            </w:pPr>
            <w:r>
              <w:rPr>
                <w:rFonts w:hint="eastAsia" w:ascii="仿宋" w:hAnsi="仿宋" w:eastAsia="仿宋" w:cs="仿宋"/>
                <w:b w:val="0"/>
                <w:bCs w:val="0"/>
                <w:i w:val="0"/>
                <w:iCs w:val="0"/>
                <w:color w:val="auto"/>
                <w:kern w:val="0"/>
                <w:sz w:val="21"/>
                <w:szCs w:val="21"/>
                <w:highlight w:val="none"/>
                <w:u w:val="none"/>
                <w:lang w:val="en-US" w:eastAsia="zh-CN" w:bidi="ar"/>
              </w:rPr>
              <w:t>（2）所投产品中有列入《环境标志产品政府采购品目清单》并提供由《市场监管总局关于发布参与实施政府采购节能产品、环境标志产品认证机构名录的公告》（市场监管总局2019年第16号）文件指定的环境</w:t>
            </w:r>
            <w:bookmarkStart w:id="2361" w:name="_GoBack"/>
            <w:bookmarkEnd w:id="2361"/>
            <w:r>
              <w:rPr>
                <w:rFonts w:hint="eastAsia" w:ascii="仿宋" w:hAnsi="仿宋" w:eastAsia="仿宋" w:cs="仿宋"/>
                <w:b w:val="0"/>
                <w:bCs w:val="0"/>
                <w:i w:val="0"/>
                <w:iCs w:val="0"/>
                <w:color w:val="auto"/>
                <w:kern w:val="0"/>
                <w:sz w:val="21"/>
                <w:szCs w:val="21"/>
                <w:highlight w:val="none"/>
                <w:u w:val="none"/>
                <w:lang w:val="en-US" w:eastAsia="zh-CN" w:bidi="ar"/>
              </w:rPr>
              <w:t>标志产品认证机构出具的、处于有效期之内的环境标志产品认证证书扫描件并加盖电子签章，得0.5分，</w:t>
            </w:r>
            <w:r>
              <w:rPr>
                <w:rFonts w:hint="eastAsia" w:ascii="仿宋" w:hAnsi="仿宋" w:eastAsia="仿宋" w:cs="仿宋"/>
                <w:bCs/>
                <w:color w:val="auto"/>
                <w:sz w:val="21"/>
                <w:szCs w:val="21"/>
                <w:highlight w:val="none"/>
              </w:rPr>
              <w:t>不提供的不得分</w:t>
            </w:r>
            <w:r>
              <w:rPr>
                <w:rFonts w:hint="eastAsia" w:ascii="仿宋" w:hAnsi="仿宋" w:eastAsia="仿宋" w:cs="仿宋"/>
                <w:b w:val="0"/>
                <w:bCs w:val="0"/>
                <w:i w:val="0"/>
                <w:iCs w:val="0"/>
                <w:color w:val="auto"/>
                <w:kern w:val="0"/>
                <w:sz w:val="21"/>
                <w:szCs w:val="21"/>
                <w:highlight w:val="none"/>
                <w:u w:val="none"/>
                <w:lang w:val="en-US" w:eastAsia="zh-CN" w:bidi="ar"/>
              </w:rPr>
              <w:t>。</w:t>
            </w:r>
          </w:p>
        </w:tc>
        <w:tc>
          <w:tcPr>
            <w:tcW w:w="1208" w:type="dxa"/>
            <w:vAlign w:val="center"/>
          </w:tcPr>
          <w:p w14:paraId="226F748C">
            <w:pPr>
              <w:keepNext w:val="0"/>
              <w:keepLines w:val="0"/>
              <w:pageBreakBefore w:val="0"/>
              <w:widowControl w:val="0"/>
              <w:kinsoku/>
              <w:wordWrap w:val="0"/>
              <w:overflowPunct/>
              <w:topLinePunct/>
              <w:autoSpaceDE/>
              <w:autoSpaceDN/>
              <w:bidi w:val="0"/>
              <w:adjustRightInd/>
              <w:snapToGrid/>
              <w:spacing w:line="440" w:lineRule="exact"/>
              <w:ind w:firstLine="0" w:firstLineChars="0"/>
              <w:jc w:val="center"/>
              <w:textAlignment w:val="auto"/>
              <w:rPr>
                <w:rFonts w:hint="eastAsia" w:ascii="仿宋" w:hAnsi="仿宋" w:eastAsia="仿宋" w:cs="仿宋"/>
                <w:b/>
                <w:bCs/>
                <w:i w:val="0"/>
                <w:iCs w:val="0"/>
                <w:color w:val="auto"/>
                <w:sz w:val="21"/>
                <w:szCs w:val="21"/>
                <w:highlight w:val="none"/>
                <w:lang w:val="en-US" w:eastAsia="zh-CN" w:bidi="ar-SA"/>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0～</w:t>
            </w:r>
            <w:r>
              <w:rPr>
                <w:rFonts w:hint="eastAsia" w:ascii="仿宋" w:hAnsi="仿宋" w:eastAsia="仿宋" w:cs="仿宋"/>
                <w:b w:val="0"/>
                <w:bCs w:val="0"/>
                <w:color w:val="auto"/>
                <w:sz w:val="21"/>
                <w:szCs w:val="21"/>
                <w:highlight w:val="none"/>
                <w:lang w:val="en-US" w:eastAsia="zh-CN"/>
              </w:rPr>
              <w:t>1分</w:t>
            </w:r>
          </w:p>
        </w:tc>
      </w:tr>
      <w:tr w14:paraId="1A4D2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63" w:type="dxa"/>
            <w:vMerge w:val="continue"/>
            <w:vAlign w:val="center"/>
          </w:tcPr>
          <w:p w14:paraId="23C9CCF4">
            <w:pPr>
              <w:keepNext/>
              <w:keepLines/>
              <w:pageBreakBefore w:val="0"/>
              <w:widowControl w:val="0"/>
              <w:kinsoku/>
              <w:wordWrap w:val="0"/>
              <w:overflowPunct/>
              <w:topLinePunct/>
              <w:autoSpaceDE/>
              <w:autoSpaceDN/>
              <w:bidi w:val="0"/>
              <w:adjustRightInd/>
              <w:snapToGrid/>
              <w:spacing w:line="440" w:lineRule="exact"/>
              <w:jc w:val="center"/>
              <w:rPr>
                <w:rFonts w:hint="eastAsia" w:ascii="仿宋" w:hAnsi="仿宋" w:eastAsia="仿宋" w:cs="仿宋"/>
                <w:b w:val="0"/>
                <w:bCs w:val="0"/>
                <w:i w:val="0"/>
                <w:iCs w:val="0"/>
                <w:color w:val="auto"/>
                <w:sz w:val="21"/>
                <w:szCs w:val="21"/>
                <w:highlight w:val="none"/>
                <w:lang w:val="en-US" w:eastAsia="zh-CN" w:bidi="ar-SA"/>
              </w:rPr>
            </w:pPr>
          </w:p>
        </w:tc>
        <w:tc>
          <w:tcPr>
            <w:tcW w:w="8094" w:type="dxa"/>
            <w:vAlign w:val="center"/>
          </w:tcPr>
          <w:p w14:paraId="79CB0AEA">
            <w:pPr>
              <w:keepNext w:val="0"/>
              <w:keepLines w:val="0"/>
              <w:pageBreakBefore w:val="0"/>
              <w:widowControl w:val="0"/>
              <w:kinsoku/>
              <w:wordWrap w:val="0"/>
              <w:overflowPunct/>
              <w:topLinePunct/>
              <w:autoSpaceDE/>
              <w:autoSpaceDN/>
              <w:bidi w:val="0"/>
              <w:adjustRightInd/>
              <w:snapToGrid/>
              <w:spacing w:line="440" w:lineRule="exact"/>
              <w:ind w:firstLine="422" w:firstLineChars="200"/>
              <w:jc w:val="both"/>
              <w:textAlignment w:val="auto"/>
              <w:rPr>
                <w:rFonts w:hint="eastAsia" w:ascii="仿宋" w:hAnsi="仿宋" w:eastAsia="仿宋" w:cs="仿宋"/>
                <w:b w:val="0"/>
                <w:bCs w:val="0"/>
                <w:i w:val="0"/>
                <w:iCs w:val="0"/>
                <w:color w:val="auto"/>
                <w:sz w:val="21"/>
                <w:szCs w:val="21"/>
                <w:highlight w:val="none"/>
                <w:lang w:val="en-US" w:eastAsia="zh-CN" w:bidi="ar-SA"/>
              </w:rPr>
            </w:pPr>
            <w:r>
              <w:rPr>
                <w:rFonts w:hint="eastAsia" w:ascii="仿宋" w:hAnsi="仿宋" w:eastAsia="仿宋" w:cs="仿宋"/>
                <w:b/>
                <w:bCs/>
                <w:i w:val="0"/>
                <w:iCs w:val="0"/>
                <w:color w:val="auto"/>
                <w:sz w:val="21"/>
                <w:szCs w:val="21"/>
                <w:highlight w:val="none"/>
                <w:lang w:val="en-US" w:eastAsia="zh-CN" w:bidi="ar-SA"/>
              </w:rPr>
              <w:t>优惠条款：</w:t>
            </w:r>
            <w:r>
              <w:rPr>
                <w:rFonts w:hint="eastAsia" w:ascii="仿宋" w:hAnsi="仿宋" w:eastAsia="仿宋" w:cs="仿宋"/>
                <w:b w:val="0"/>
                <w:bCs w:val="0"/>
                <w:i w:val="0"/>
                <w:iCs w:val="0"/>
                <w:color w:val="auto"/>
                <w:sz w:val="21"/>
                <w:szCs w:val="21"/>
                <w:highlight w:val="none"/>
                <w:lang w:val="en-US" w:eastAsia="zh-CN" w:bidi="ar-SA"/>
              </w:rPr>
              <w:t>经评标委员会认可的优惠条件 (不包含价格优惠及赠与)，每采纳一条得1分，最多得3分。</w:t>
            </w:r>
          </w:p>
        </w:tc>
        <w:tc>
          <w:tcPr>
            <w:tcW w:w="1208" w:type="dxa"/>
            <w:vAlign w:val="center"/>
          </w:tcPr>
          <w:p w14:paraId="355A2FFB">
            <w:pPr>
              <w:keepNext w:val="0"/>
              <w:keepLines w:val="0"/>
              <w:pageBreakBefore w:val="0"/>
              <w:widowControl w:val="0"/>
              <w:kinsoku/>
              <w:wordWrap w:val="0"/>
              <w:overflowPunct/>
              <w:topLinePunct/>
              <w:autoSpaceDE/>
              <w:autoSpaceDN/>
              <w:bidi w:val="0"/>
              <w:adjustRightInd/>
              <w:snapToGrid/>
              <w:spacing w:line="440" w:lineRule="exact"/>
              <w:ind w:firstLine="0" w:firstLineChars="0"/>
              <w:jc w:val="center"/>
              <w:textAlignment w:val="auto"/>
              <w:rPr>
                <w:rFonts w:hint="eastAsia" w:ascii="仿宋" w:hAnsi="仿宋" w:eastAsia="仿宋" w:cs="仿宋"/>
                <w:b/>
                <w:bCs/>
                <w:i w:val="0"/>
                <w:iCs w:val="0"/>
                <w:color w:val="auto"/>
                <w:sz w:val="21"/>
                <w:szCs w:val="21"/>
                <w:highlight w:val="none"/>
                <w:lang w:val="en-US" w:eastAsia="zh-CN" w:bidi="ar-SA"/>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0～</w:t>
            </w:r>
            <w:r>
              <w:rPr>
                <w:rFonts w:hint="eastAsia" w:ascii="仿宋" w:hAnsi="仿宋" w:eastAsia="仿宋" w:cs="仿宋"/>
                <w:b w:val="0"/>
                <w:bCs w:val="0"/>
                <w:color w:val="auto"/>
                <w:sz w:val="21"/>
                <w:szCs w:val="21"/>
                <w:highlight w:val="none"/>
                <w:lang w:val="en-US" w:eastAsia="zh-CN"/>
              </w:rPr>
              <w:t>3分</w:t>
            </w:r>
          </w:p>
        </w:tc>
      </w:tr>
    </w:tbl>
    <w:p w14:paraId="170B381E">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right="0" w:firstLine="422" w:firstLineChars="200"/>
        <w:textAlignment w:val="auto"/>
        <w:outlineLvl w:val="1"/>
        <w:rPr>
          <w:rStyle w:val="90"/>
          <w:rFonts w:hint="eastAsia" w:ascii="仿宋" w:hAnsi="仿宋" w:eastAsia="仿宋" w:cs="仿宋"/>
          <w:color w:val="auto"/>
          <w:sz w:val="21"/>
          <w:szCs w:val="21"/>
          <w:highlight w:val="none"/>
          <w:lang w:eastAsia="zh-CN"/>
        </w:rPr>
      </w:pPr>
      <w:bookmarkStart w:id="1265" w:name="_Toc4581"/>
      <w:bookmarkStart w:id="1266" w:name="_Toc531"/>
      <w:r>
        <w:rPr>
          <w:rStyle w:val="90"/>
          <w:rFonts w:hint="eastAsia" w:ascii="仿宋" w:hAnsi="仿宋" w:eastAsia="仿宋" w:cs="仿宋"/>
          <w:color w:val="auto"/>
          <w:sz w:val="21"/>
          <w:szCs w:val="21"/>
          <w:highlight w:val="none"/>
          <w:lang w:val="en-US" w:eastAsia="zh-CN"/>
        </w:rPr>
        <w:t>2</w:t>
      </w:r>
      <w:r>
        <w:rPr>
          <w:rStyle w:val="90"/>
          <w:rFonts w:hint="eastAsia" w:ascii="仿宋" w:hAnsi="仿宋" w:eastAsia="仿宋" w:cs="仿宋"/>
          <w:color w:val="auto"/>
          <w:sz w:val="21"/>
          <w:szCs w:val="21"/>
          <w:highlight w:val="none"/>
          <w:lang w:eastAsia="zh-CN"/>
        </w:rPr>
        <w:t>.评审方法</w:t>
      </w:r>
      <w:bookmarkEnd w:id="1265"/>
    </w:p>
    <w:bookmarkEnd w:id="1262"/>
    <w:bookmarkEnd w:id="1266"/>
    <w:p w14:paraId="24D7A804">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本次评审采用综合评分法。评审委员会对满足招标文件全部实质性要求（即通过资格性评审及符合性评审）的投标文件，按照本章前附表规定的评分标准进行打分，并按评审总得分计算公式计算评审总得分，按总得分由高到低的顺序推荐3名中标候选人；评审总得分相等时，评审委员会将依次按技术部分得分高优先、价格部分得分高优先、商务部分得分高优先的顺序推荐；所有得分均相等的，按优先采购优质优价的可追溯产品，优先采购监狱企业、残疾人福利性单位、劳动关系和谐企业、新兴业态企业的产品和服务推荐中标候选人；所有得分均相等且政府采购政策条件也相等的，按主要技术指标高优先、质保期长优先、交货期短优先、故障到达时间短优先的顺序推荐中标候选人。</w:t>
      </w:r>
    </w:p>
    <w:p w14:paraId="40D03F0A">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2" w:firstLineChars="200"/>
        <w:jc w:val="left"/>
        <w:textAlignment w:val="auto"/>
        <w:rPr>
          <w:rFonts w:hint="eastAsia" w:ascii="仿宋" w:hAnsi="仿宋" w:eastAsia="仿宋" w:cs="仿宋"/>
          <w:color w:val="auto"/>
          <w:sz w:val="21"/>
          <w:szCs w:val="21"/>
          <w:highlight w:val="none"/>
          <w:lang w:eastAsia="zh-CN"/>
        </w:rPr>
      </w:pPr>
      <w:bookmarkStart w:id="1267" w:name="_Toc16369"/>
      <w:bookmarkStart w:id="1268" w:name="_Toc6380"/>
      <w:bookmarkStart w:id="1269" w:name="_Toc21346"/>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lang w:eastAsia="zh-CN"/>
        </w:rPr>
        <w:t>.评审程序及标准</w:t>
      </w:r>
      <w:bookmarkEnd w:id="1267"/>
      <w:bookmarkEnd w:id="1268"/>
      <w:bookmarkEnd w:id="1269"/>
    </w:p>
    <w:p w14:paraId="33D89B24">
      <w:pPr>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0" w:firstLineChars="200"/>
        <w:textAlignment w:val="auto"/>
        <w:outlineLvl w:val="2"/>
        <w:rPr>
          <w:rFonts w:hint="eastAsia" w:ascii="仿宋" w:hAnsi="仿宋" w:eastAsia="仿宋" w:cs="仿宋"/>
          <w:color w:val="auto"/>
          <w:sz w:val="21"/>
          <w:szCs w:val="21"/>
          <w:highlight w:val="none"/>
          <w:lang w:eastAsia="zh-CN"/>
        </w:rPr>
      </w:pPr>
      <w:bookmarkStart w:id="1270" w:name="_Toc14868"/>
      <w:bookmarkStart w:id="1271" w:name="_Toc25883"/>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lang w:eastAsia="zh-CN"/>
        </w:rPr>
        <w:t>.1 符合性评审</w:t>
      </w:r>
      <w:bookmarkEnd w:id="1270"/>
      <w:bookmarkEnd w:id="1271"/>
    </w:p>
    <w:p w14:paraId="3C1D4641">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依据招标文件的规定，评审委员会对符合资格的投标人的投标文件从有效性、完整性和对招标文件的实质性响应程度等方面进行审查，见评审方法前附表。</w:t>
      </w:r>
    </w:p>
    <w:p w14:paraId="52367BB1">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2" w:firstLineChars="200"/>
        <w:jc w:val="left"/>
        <w:textAlignment w:val="auto"/>
        <w:rPr>
          <w:rFonts w:hint="eastAsia" w:ascii="仿宋" w:hAnsi="仿宋" w:eastAsia="仿宋" w:cs="仿宋"/>
          <w:color w:val="auto"/>
          <w:sz w:val="21"/>
          <w:szCs w:val="21"/>
          <w:highlight w:val="none"/>
          <w:lang w:eastAsia="zh-CN"/>
        </w:rPr>
      </w:pPr>
      <w:bookmarkStart w:id="1272" w:name="_Toc5683"/>
      <w:bookmarkStart w:id="1273" w:name="_Toc14859"/>
      <w:bookmarkStart w:id="1274" w:name="_Toc5788"/>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lang w:eastAsia="zh-CN"/>
        </w:rPr>
        <w:t>详细评审</w:t>
      </w:r>
      <w:bookmarkEnd w:id="1272"/>
      <w:bookmarkEnd w:id="1273"/>
      <w:bookmarkEnd w:id="1274"/>
    </w:p>
    <w:p w14:paraId="47FA3451">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lang w:eastAsia="zh-CN"/>
        </w:rPr>
        <w:t>.1评审委员会按照招标文件中规定的评审方法和标准，对符合性审查合格的投标文件进行商务和技术评估，综合比较与评价，见评审方法前附表。</w:t>
      </w:r>
    </w:p>
    <w:p w14:paraId="7C58D991">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lang w:eastAsia="zh-CN"/>
        </w:rPr>
        <w:t>.2评审委员会各成员要依法独立评审，并对评审意见承担个人责任。对投标人的客观评分项的评分应当一致，对其他需要借助专业知识评判的主观评分项，应当严格按照评分细则公正评分。</w:t>
      </w:r>
    </w:p>
    <w:p w14:paraId="76D58CF6">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lang w:eastAsia="zh-CN"/>
        </w:rPr>
        <w:t>.3评审委员会成员对需要共同认定的事项存在争议的，按照少数服从多数的原则作出结论。持不同意见的评审委员会成员应当在评审报告上签署不同意见并说明理由，否则视为同意。</w:t>
      </w:r>
    </w:p>
    <w:p w14:paraId="6B2A9B50">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textAlignment w:val="auto"/>
        <w:outlineLvl w:val="2"/>
        <w:rPr>
          <w:rFonts w:hint="eastAsia" w:ascii="仿宋" w:hAnsi="仿宋" w:eastAsia="仿宋" w:cs="仿宋"/>
          <w:color w:val="auto"/>
          <w:sz w:val="21"/>
          <w:szCs w:val="21"/>
          <w:highlight w:val="none"/>
          <w:lang w:eastAsia="zh-CN"/>
        </w:rPr>
      </w:pPr>
      <w:bookmarkStart w:id="1275" w:name="_Toc13553"/>
      <w:bookmarkStart w:id="1276" w:name="_Toc15730"/>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lang w:eastAsia="zh-CN"/>
        </w:rPr>
        <w:t>.4 投标文件报价出现前后不一致的，按照下列规定修正：</w:t>
      </w:r>
      <w:bookmarkEnd w:id="1275"/>
      <w:bookmarkEnd w:id="1276"/>
    </w:p>
    <w:p w14:paraId="281FBC3A">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（一）投标文件中开标一览表（报价表）内容与投标文件中相应内容不一致的，以开标一览表（报价表）为准；</w:t>
      </w:r>
    </w:p>
    <w:p w14:paraId="571F1C6F">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（二）大写金额和小写金额不一致的，以大写金额为准；</w:t>
      </w:r>
    </w:p>
    <w:p w14:paraId="53856C47">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（三）单价金额小数点或者百分比有明显错位的，以开标一览表的总价为准，并修改单价；</w:t>
      </w:r>
    </w:p>
    <w:p w14:paraId="408F4880">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（四）总价金额与按单价汇总金额不一致的，以单价金额计算结果为准。</w:t>
      </w:r>
    </w:p>
    <w:p w14:paraId="3A4655C2">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同时出现两种以上不一致的，按照前款规定的顺序修正。修正后的报价按照本章</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lang w:eastAsia="zh-CN"/>
        </w:rPr>
        <w:t>.2款的规定经投标人确认后产生约束力，投标人不确认的，其投标无效。</w:t>
      </w:r>
    </w:p>
    <w:p w14:paraId="6856FC45">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lang w:eastAsia="zh-CN"/>
        </w:rPr>
        <w:t xml:space="preserve">.5 </w:t>
      </w:r>
      <w:r>
        <w:rPr>
          <w:rFonts w:hint="eastAsia" w:ascii="仿宋" w:hAnsi="仿宋" w:eastAsia="仿宋" w:cs="仿宋"/>
          <w:color w:val="auto"/>
          <w:sz w:val="21"/>
          <w:szCs w:val="21"/>
          <w:highlight w:val="none"/>
          <w:lang w:val="en-US" w:eastAsia="zh-CN"/>
        </w:rPr>
        <w:t>报价文件</w:t>
      </w:r>
      <w:r>
        <w:rPr>
          <w:rFonts w:hint="eastAsia" w:ascii="仿宋" w:hAnsi="仿宋" w:eastAsia="仿宋" w:cs="仿宋"/>
          <w:color w:val="auto"/>
          <w:sz w:val="21"/>
          <w:szCs w:val="21"/>
          <w:highlight w:val="none"/>
          <w:lang w:eastAsia="zh-CN"/>
        </w:rPr>
        <w:t>按评审方法前附表规定的投标报价计算公式，计算出各投标人价格部分得分。商务技术部分得分由评审委员会成员独立评分，投标人各项评分因素得分为该项因素各评委评分的算术平均值。所有计算结果均保留小数点后两位，小数点后第三位“四舍五入”。</w:t>
      </w:r>
    </w:p>
    <w:p w14:paraId="7A256C81">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lang w:eastAsia="zh-CN"/>
        </w:rPr>
        <w:t xml:space="preserve">.6 </w:t>
      </w:r>
      <w:r>
        <w:rPr>
          <w:rFonts w:hint="eastAsia" w:ascii="仿宋" w:hAnsi="仿宋" w:eastAsia="仿宋" w:cs="仿宋"/>
          <w:color w:val="auto"/>
          <w:sz w:val="21"/>
          <w:szCs w:val="21"/>
          <w:highlight w:val="none"/>
          <w:lang w:val="en-US" w:eastAsia="zh-CN"/>
        </w:rPr>
        <w:t>根据</w:t>
      </w:r>
      <w:r>
        <w:rPr>
          <w:rFonts w:hint="eastAsia" w:ascii="仿宋" w:hAnsi="仿宋" w:eastAsia="仿宋" w:cs="仿宋"/>
          <w:color w:val="auto"/>
          <w:sz w:val="21"/>
          <w:szCs w:val="21"/>
          <w:highlight w:val="none"/>
          <w:lang w:eastAsia="zh-CN"/>
        </w:rPr>
        <w:t>《政府采购货物和服务招标投标管理办法》（财政部令第87号）第六十条规定：评审委员会认为投标人的报价明显低于其他通过符合性审查的投标人的报价，有可能影响产品质量或者不能诚信履约的，应当要求其在评审现场合理的时间内提供书面说明，必要时提交相关证明材料；投标人不能证明其报价合理性的，评审委员会应当将其作为无效投标处理。</w:t>
      </w:r>
    </w:p>
    <w:p w14:paraId="580A956F">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2" w:firstLineChars="200"/>
        <w:jc w:val="left"/>
        <w:textAlignment w:val="auto"/>
        <w:rPr>
          <w:rFonts w:hint="eastAsia" w:ascii="仿宋" w:hAnsi="仿宋" w:eastAsia="仿宋" w:cs="仿宋"/>
          <w:color w:val="auto"/>
          <w:sz w:val="21"/>
          <w:szCs w:val="21"/>
          <w:highlight w:val="none"/>
          <w:lang w:eastAsia="zh-CN"/>
        </w:rPr>
      </w:pPr>
      <w:bookmarkStart w:id="1277" w:name="_Toc20474"/>
      <w:bookmarkStart w:id="1278" w:name="_Toc32263"/>
      <w:bookmarkStart w:id="1279" w:name="_Toc17813"/>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lang w:eastAsia="zh-CN"/>
        </w:rPr>
        <w:t>.投标文件的澄清</w:t>
      </w:r>
      <w:bookmarkEnd w:id="1277"/>
      <w:bookmarkEnd w:id="1278"/>
      <w:bookmarkEnd w:id="1279"/>
    </w:p>
    <w:p w14:paraId="62739357">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lang w:eastAsia="zh-CN"/>
        </w:rPr>
        <w:t>.1在评审过程中，评审委员会可以书面形式要求投标人对所提交的投标文件中含义不明确、同类问题表述不一致或者有明显文字和计算错误的内容，进行书面澄清或说明。评审委员会不接受投标人主动提出的澄清、说明。</w:t>
      </w:r>
    </w:p>
    <w:p w14:paraId="2BA51A88">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lang w:eastAsia="zh-CN"/>
        </w:rPr>
        <w:t>.2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14:paraId="14929501">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lang w:eastAsia="zh-CN"/>
        </w:rPr>
        <w:t>.3评审委员会对投标人提交的澄清、说明有疑问的，可以要求投标人进一步澄清、说明。</w:t>
      </w:r>
    </w:p>
    <w:p w14:paraId="112FD0F1">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2" w:firstLineChars="200"/>
        <w:jc w:val="left"/>
        <w:textAlignment w:val="auto"/>
        <w:rPr>
          <w:rFonts w:hint="eastAsia" w:ascii="仿宋" w:hAnsi="仿宋" w:eastAsia="仿宋" w:cs="仿宋"/>
          <w:color w:val="auto"/>
          <w:sz w:val="21"/>
          <w:szCs w:val="21"/>
          <w:highlight w:val="none"/>
          <w:lang w:eastAsia="zh-CN"/>
        </w:rPr>
      </w:pPr>
      <w:bookmarkStart w:id="1280" w:name="_Toc7648"/>
      <w:bookmarkStart w:id="1281" w:name="_Toc15293"/>
      <w:bookmarkStart w:id="1282" w:name="_Toc10415"/>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lang w:eastAsia="zh-CN"/>
        </w:rPr>
        <w:t>.评审结果</w:t>
      </w:r>
      <w:bookmarkEnd w:id="1280"/>
      <w:bookmarkEnd w:id="1281"/>
      <w:bookmarkEnd w:id="1282"/>
    </w:p>
    <w:p w14:paraId="22294879">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lang w:eastAsia="zh-CN"/>
        </w:rPr>
        <w:t>.1评审委员会按最终得分由高到低顺序推荐3名中标候选人，并提出书面评审报告。</w:t>
      </w:r>
    </w:p>
    <w:p w14:paraId="28D01F48">
      <w:pPr>
        <w:keepNext w:val="0"/>
        <w:keepLines w:val="0"/>
        <w:pageBreakBefore w:val="0"/>
        <w:widowControl w:val="0"/>
        <w:kinsoku/>
        <w:wordWrap w:val="0"/>
        <w:overflowPunct/>
        <w:topLinePunct/>
        <w:autoSpaceDE/>
        <w:autoSpaceDN/>
        <w:bidi w:val="0"/>
        <w:adjustRightInd/>
        <w:snapToGrid/>
        <w:spacing w:line="360" w:lineRule="auto"/>
        <w:ind w:left="0" w:leftChars="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lang w:eastAsia="zh-CN"/>
        </w:rPr>
        <w:t>.2采购人根据评审委员会提出的书面评审报告和推荐的中标候选人名单，确定中标人。</w:t>
      </w:r>
    </w:p>
    <w:p w14:paraId="6CA50B46">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baseline"/>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lang w:eastAsia="zh-CN"/>
        </w:rPr>
        <w:t>.3评审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投标人提供虚假材料、串通等违法违规行为的，要及时向采购人或</w:t>
      </w:r>
      <w:r>
        <w:rPr>
          <w:rFonts w:hint="eastAsia" w:ascii="仿宋" w:hAnsi="仿宋" w:eastAsia="仿宋" w:cs="仿宋"/>
          <w:color w:val="auto"/>
          <w:sz w:val="21"/>
          <w:szCs w:val="21"/>
          <w:highlight w:val="none"/>
          <w:lang w:val="en-US" w:eastAsia="zh-CN"/>
        </w:rPr>
        <w:t>政府采购主管部门</w:t>
      </w:r>
      <w:r>
        <w:rPr>
          <w:rFonts w:hint="eastAsia" w:ascii="仿宋" w:hAnsi="仿宋" w:eastAsia="仿宋" w:cs="仿宋"/>
          <w:color w:val="auto"/>
          <w:sz w:val="21"/>
          <w:szCs w:val="21"/>
          <w:highlight w:val="none"/>
          <w:lang w:eastAsia="zh-CN"/>
        </w:rPr>
        <w:t>报告。</w:t>
      </w:r>
    </w:p>
    <w:p w14:paraId="28AA8876">
      <w:pPr>
        <w:pStyle w:val="3"/>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22"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7.政府采购异常低价</w:t>
      </w:r>
    </w:p>
    <w:p w14:paraId="337936F1">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baseline"/>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根据《关于推动解决政府采购异常低价问题的通知》财库〔2026〕2号的规定，政府采购评审中出现下列情形之一的，评审委员会应当启动异常低价投标（响应）审查程序：</w:t>
      </w:r>
    </w:p>
    <w:p w14:paraId="71CAFD6F">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baseline"/>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1）投标（响应）报价低于全部通过符合性审查投标人投标（响应）报价平均值50%的，即投标（响应）报价&lt;全部通过符合性审查投标人投标（响应）报价平均值×50%；</w:t>
      </w:r>
    </w:p>
    <w:p w14:paraId="6D773A64">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baseline"/>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2）投标（响应）报价低于通过符合性审查的次低报价投标人投标（响应）报价50%的，即投标（响应）报价&lt;通过符合性审查的次低报价投标人投标（响应）报价×50%；</w:t>
      </w:r>
    </w:p>
    <w:p w14:paraId="5C0D531F">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baseline"/>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3）投标（响应）报价低于采购项目最高限价45%的，即投标（响应）报价&lt;采购项目最高限价×45%；</w:t>
      </w:r>
    </w:p>
    <w:p w14:paraId="7C4D8393">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baseline"/>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4）评审委员会基于专业判断，认为投标人报价过低，有可能影响产品质量或者不能诚信履约的其他情形。</w:t>
      </w:r>
    </w:p>
    <w:p w14:paraId="6D08F94E">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baseline"/>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相关法律法规对投标人报价有规定的，从其规定。</w:t>
      </w:r>
    </w:p>
    <w:p w14:paraId="57BCA35D">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baseline"/>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p>
    <w:p w14:paraId="57BB88E3">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baseline"/>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p>
    <w:p w14:paraId="54564892">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baseline"/>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093D0FA">
      <w:pPr>
        <w:keepNext w:val="0"/>
        <w:keepLines w:val="0"/>
        <w:pageBreakBefore w:val="0"/>
        <w:widowControl w:val="0"/>
        <w:kinsoku/>
        <w:overflowPunct/>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b w:val="0"/>
          <w:bCs w:val="0"/>
          <w:color w:val="auto"/>
          <w:sz w:val="21"/>
          <w:szCs w:val="21"/>
          <w:highlight w:val="none"/>
          <w:lang w:val="en-US" w:eastAsia="zh-CN"/>
        </w:rPr>
        <w:t>异常低价投标（响应）审查的启动原因、审查意见和审查结果应当在评审报告中记录，并随投标人提供的相关书面说明及证明材料，以及评审委员会有关互联网浏览、查询历史一并归档。</w:t>
      </w:r>
    </w:p>
    <w:p w14:paraId="6BBC7738">
      <w:pPr>
        <w:pStyle w:val="4"/>
        <w:keepNext w:val="0"/>
        <w:keepLines w:val="0"/>
        <w:pageBreakBefore w:val="0"/>
        <w:widowControl w:val="0"/>
        <w:kinsoku/>
        <w:wordWrap w:val="0"/>
        <w:overflowPunct/>
        <w:topLinePunct/>
        <w:autoSpaceDE/>
        <w:autoSpaceDN/>
        <w:bidi w:val="0"/>
        <w:adjustRightInd/>
        <w:snapToGrid/>
        <w:spacing w:line="360" w:lineRule="auto"/>
        <w:ind w:left="0" w:leftChars="0" w:right="0" w:firstLine="0"/>
        <w:jc w:val="center"/>
        <w:textAlignment w:val="auto"/>
        <w:outlineLvl w:val="9"/>
        <w:rPr>
          <w:rStyle w:val="685"/>
          <w:rFonts w:hint="eastAsia" w:ascii="仿宋" w:hAnsi="仿宋" w:eastAsia="仿宋" w:cs="仿宋"/>
          <w:b w:val="0"/>
          <w:bCs w:val="0"/>
          <w:color w:val="auto"/>
          <w:sz w:val="32"/>
          <w:szCs w:val="32"/>
          <w:highlight w:val="none"/>
          <w:lang w:val="en-US" w:eastAsia="zh-CN"/>
        </w:rPr>
      </w:pPr>
      <w:bookmarkStart w:id="1283" w:name="_Toc71734737"/>
      <w:r>
        <w:rPr>
          <w:rFonts w:hint="eastAsia" w:ascii="仿宋" w:hAnsi="仿宋" w:eastAsia="仿宋" w:cs="仿宋"/>
          <w:color w:val="auto"/>
          <w:highlight w:val="none"/>
        </w:rPr>
        <w:br w:type="page"/>
      </w:r>
      <w:bookmarkEnd w:id="1283"/>
    </w:p>
    <w:bookmarkEnd w:id="1234"/>
    <w:bookmarkEnd w:id="1235"/>
    <w:p w14:paraId="4CC24594">
      <w:pPr>
        <w:pStyle w:val="2"/>
        <w:keepNext w:val="0"/>
        <w:keepLines w:val="0"/>
        <w:pageBreakBefore w:val="0"/>
        <w:widowControl w:val="0"/>
        <w:kinsoku/>
        <w:wordWrap w:val="0"/>
        <w:overflowPunct/>
        <w:topLinePunct/>
        <w:autoSpaceDE/>
        <w:autoSpaceDN/>
        <w:bidi w:val="0"/>
        <w:adjustRightInd/>
        <w:snapToGrid/>
        <w:ind w:left="0" w:leftChars="0" w:right="0"/>
        <w:jc w:val="center"/>
        <w:rPr>
          <w:rStyle w:val="250"/>
          <w:rFonts w:hint="eastAsia" w:ascii="仿宋" w:hAnsi="仿宋" w:eastAsia="仿宋" w:cs="仿宋"/>
          <w:b/>
          <w:bCs w:val="0"/>
          <w:color w:val="auto"/>
          <w:sz w:val="28"/>
          <w:szCs w:val="28"/>
          <w:highlight w:val="none"/>
          <w:lang w:eastAsia="zh-CN"/>
        </w:rPr>
      </w:pPr>
      <w:bookmarkStart w:id="1284" w:name="_Toc5049"/>
      <w:bookmarkStart w:id="1285" w:name="_Toc7817"/>
      <w:r>
        <w:rPr>
          <w:rFonts w:hint="eastAsia" w:ascii="仿宋" w:hAnsi="仿宋" w:eastAsia="仿宋" w:cs="仿宋"/>
          <w:color w:val="auto"/>
          <w:highlight w:val="none"/>
          <w:lang w:eastAsia="zh-CN"/>
        </w:rPr>
        <w:t>第四章 采购需求及要求</w:t>
      </w:r>
      <w:bookmarkEnd w:id="1284"/>
      <w:bookmarkEnd w:id="1285"/>
    </w:p>
    <w:p w14:paraId="109224D2">
      <w:pPr>
        <w:pStyle w:val="28"/>
        <w:keepNext w:val="0"/>
        <w:keepLines w:val="0"/>
        <w:pageBreakBefore w:val="0"/>
        <w:widowControl w:val="0"/>
        <w:kinsoku/>
        <w:wordWrap w:val="0"/>
        <w:overflowPunct/>
        <w:topLinePunct/>
        <w:autoSpaceDE/>
        <w:autoSpaceDN/>
        <w:bidi w:val="0"/>
        <w:adjustRightInd/>
        <w:snapToGrid/>
        <w:ind w:firstLine="422" w:firstLineChars="200"/>
        <w:jc w:val="left"/>
        <w:textAlignment w:val="auto"/>
        <w:outlineLvl w:val="1"/>
        <w:rPr>
          <w:rStyle w:val="250"/>
          <w:rFonts w:hint="eastAsia" w:ascii="仿宋" w:hAnsi="仿宋" w:eastAsia="仿宋" w:cs="仿宋"/>
          <w:color w:val="auto"/>
          <w:sz w:val="21"/>
          <w:szCs w:val="21"/>
          <w:highlight w:val="none"/>
          <w:lang w:val="en-US" w:eastAsia="zh-CN"/>
        </w:rPr>
      </w:pPr>
      <w:bookmarkStart w:id="1286" w:name="_Toc877"/>
      <w:bookmarkStart w:id="1287" w:name="_Toc28618"/>
      <w:r>
        <w:rPr>
          <w:rStyle w:val="250"/>
          <w:rFonts w:hint="eastAsia" w:ascii="仿宋" w:hAnsi="仿宋" w:eastAsia="仿宋" w:cs="仿宋"/>
          <w:color w:val="auto"/>
          <w:sz w:val="21"/>
          <w:szCs w:val="21"/>
          <w:highlight w:val="none"/>
          <w:lang w:val="en-US" w:eastAsia="zh-CN"/>
        </w:rPr>
        <w:t>一、特别说明与规定</w:t>
      </w:r>
      <w:bookmarkEnd w:id="1286"/>
      <w:bookmarkEnd w:id="1287"/>
    </w:p>
    <w:p w14:paraId="173E55D2">
      <w:pPr>
        <w:pStyle w:val="28"/>
        <w:keepNext w:val="0"/>
        <w:keepLines w:val="0"/>
        <w:pageBreakBefore w:val="0"/>
        <w:widowControl w:val="0"/>
        <w:kinsoku/>
        <w:wordWrap/>
        <w:overflowPunct/>
        <w:topLinePunct w:val="0"/>
        <w:autoSpaceDE/>
        <w:autoSpaceDN/>
        <w:bidi w:val="0"/>
        <w:adjustRightInd/>
        <w:snapToGrid/>
        <w:spacing w:line="360" w:lineRule="auto"/>
        <w:ind w:left="102"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本部分内容均为</w:t>
      </w:r>
      <w:r>
        <w:rPr>
          <w:rFonts w:hint="eastAsia" w:ascii="仿宋" w:hAnsi="仿宋" w:eastAsia="仿宋" w:cs="仿宋"/>
          <w:color w:val="auto"/>
          <w:sz w:val="21"/>
          <w:szCs w:val="21"/>
          <w:highlight w:val="none"/>
          <w:lang w:eastAsia="zh-CN"/>
        </w:rPr>
        <w:t>采购人</w:t>
      </w:r>
      <w:r>
        <w:rPr>
          <w:rFonts w:hint="eastAsia" w:ascii="仿宋" w:hAnsi="仿宋" w:eastAsia="仿宋" w:cs="仿宋"/>
          <w:color w:val="auto"/>
          <w:sz w:val="21"/>
          <w:szCs w:val="21"/>
          <w:highlight w:val="none"/>
        </w:rPr>
        <w:t>基本要求，如</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无法响应，须在《商务响应偏离表》</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实质性响应一览表</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中详细说明，未说明的，视为完全响应，中标后必须严格遵守，否则视为违约。</w:t>
      </w:r>
    </w:p>
    <w:p w14:paraId="0436BC90">
      <w:pPr>
        <w:pStyle w:val="28"/>
        <w:keepNext w:val="0"/>
        <w:keepLines w:val="0"/>
        <w:pageBreakBefore w:val="0"/>
        <w:widowControl w:val="0"/>
        <w:kinsoku/>
        <w:wordWrap/>
        <w:overflowPunct/>
        <w:topLinePunct w:val="0"/>
        <w:autoSpaceDE/>
        <w:autoSpaceDN/>
        <w:bidi w:val="0"/>
        <w:adjustRightInd/>
        <w:snapToGrid/>
        <w:spacing w:line="360" w:lineRule="auto"/>
        <w:ind w:left="102"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必须对标项内的所有内容发起投标响应。</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在投标时出现遗漏的内容视为“已包含在投标总价内”，</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如不接受将作无</w:t>
      </w:r>
      <w:r>
        <w:rPr>
          <w:rFonts w:hint="eastAsia" w:ascii="仿宋" w:hAnsi="仿宋" w:eastAsia="仿宋" w:cs="仿宋"/>
          <w:color w:val="auto"/>
          <w:sz w:val="21"/>
          <w:szCs w:val="21"/>
          <w:highlight w:val="none"/>
          <w:lang w:eastAsia="zh-CN"/>
        </w:rPr>
        <w:t>效投</w:t>
      </w:r>
      <w:r>
        <w:rPr>
          <w:rFonts w:hint="eastAsia" w:ascii="仿宋" w:hAnsi="仿宋" w:eastAsia="仿宋" w:cs="仿宋"/>
          <w:color w:val="auto"/>
          <w:sz w:val="21"/>
          <w:szCs w:val="21"/>
          <w:highlight w:val="none"/>
        </w:rPr>
        <w:t>标处理。采购人不接受</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给予的任何“赠品”或者与采购无关的其他商品、服务。</w:t>
      </w:r>
    </w:p>
    <w:p w14:paraId="4C1936A1">
      <w:pPr>
        <w:pStyle w:val="28"/>
        <w:keepNext w:val="0"/>
        <w:keepLines w:val="0"/>
        <w:pageBreakBefore w:val="0"/>
        <w:widowControl w:val="0"/>
        <w:kinsoku/>
        <w:wordWrap/>
        <w:overflowPunct/>
        <w:topLinePunct w:val="0"/>
        <w:autoSpaceDE/>
        <w:autoSpaceDN/>
        <w:bidi w:val="0"/>
        <w:adjustRightInd/>
        <w:snapToGrid/>
        <w:spacing w:line="360" w:lineRule="auto"/>
        <w:ind w:left="102"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所提供的设备必须为原厂生产的全新正品，来源合法。所有货物到达现场应有完整的包装，随机技术、服务性资料和软件齐全。</w:t>
      </w:r>
    </w:p>
    <w:p w14:paraId="597D63C2">
      <w:pPr>
        <w:pStyle w:val="28"/>
        <w:keepNext w:val="0"/>
        <w:keepLines w:val="0"/>
        <w:pageBreakBefore w:val="0"/>
        <w:widowControl w:val="0"/>
        <w:kinsoku/>
        <w:wordWrap/>
        <w:overflowPunct/>
        <w:topLinePunct w:val="0"/>
        <w:autoSpaceDE/>
        <w:autoSpaceDN/>
        <w:bidi w:val="0"/>
        <w:adjustRightInd/>
        <w:snapToGrid/>
        <w:spacing w:line="360" w:lineRule="auto"/>
        <w:ind w:left="102"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3、采购需求及要求中“技术要求”</w:t>
      </w:r>
      <w:r>
        <w:rPr>
          <w:rFonts w:hint="eastAsia" w:ascii="仿宋" w:hAnsi="仿宋" w:eastAsia="仿宋" w:cs="仿宋"/>
          <w:color w:val="auto"/>
          <w:sz w:val="21"/>
          <w:szCs w:val="21"/>
          <w:highlight w:val="none"/>
        </w:rPr>
        <w:t>的各项技术参数和规格要求如出现引用某一特定的专利技术、商标、名称、设计、原产地或供应者等情况，则仅起参考作用。</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可选用实质上“相当于”或“优于”该参考技术规格要求的产品投标，同时填写“</w:t>
      </w:r>
      <w:r>
        <w:rPr>
          <w:rFonts w:hint="eastAsia" w:ascii="仿宋" w:hAnsi="仿宋" w:eastAsia="仿宋" w:cs="仿宋"/>
          <w:color w:val="auto"/>
          <w:sz w:val="21"/>
          <w:szCs w:val="21"/>
          <w:highlight w:val="none"/>
          <w:lang w:eastAsia="zh-CN"/>
        </w:rPr>
        <w:t>技术参数偏离表</w:t>
      </w:r>
      <w:r>
        <w:rPr>
          <w:rFonts w:hint="eastAsia" w:ascii="仿宋" w:hAnsi="仿宋" w:eastAsia="仿宋" w:cs="仿宋"/>
          <w:color w:val="auto"/>
          <w:sz w:val="21"/>
          <w:szCs w:val="21"/>
          <w:highlight w:val="none"/>
        </w:rPr>
        <w:t>”。</w:t>
      </w:r>
    </w:p>
    <w:p w14:paraId="46FF2A75">
      <w:pPr>
        <w:pStyle w:val="28"/>
        <w:keepNext w:val="0"/>
        <w:keepLines w:val="0"/>
        <w:pageBreakBefore w:val="0"/>
        <w:widowControl w:val="0"/>
        <w:kinsoku/>
        <w:wordWrap/>
        <w:overflowPunct/>
        <w:topLinePunct w:val="0"/>
        <w:autoSpaceDE/>
        <w:autoSpaceDN/>
        <w:bidi w:val="0"/>
        <w:adjustRightInd/>
        <w:snapToGrid/>
        <w:spacing w:line="360" w:lineRule="auto"/>
        <w:ind w:left="102"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本次</w:t>
      </w:r>
      <w:r>
        <w:rPr>
          <w:rFonts w:hint="eastAsia" w:ascii="仿宋" w:hAnsi="仿宋" w:eastAsia="仿宋" w:cs="仿宋"/>
          <w:color w:val="auto"/>
          <w:sz w:val="21"/>
          <w:szCs w:val="21"/>
          <w:highlight w:val="none"/>
          <w:lang w:val="en-US" w:eastAsia="zh-CN"/>
        </w:rPr>
        <w:t>采购需求及要求中“技术要求”</w:t>
      </w:r>
      <w:r>
        <w:rPr>
          <w:rFonts w:hint="eastAsia" w:ascii="仿宋" w:hAnsi="仿宋" w:eastAsia="仿宋" w:cs="仿宋"/>
          <w:color w:val="auto"/>
          <w:sz w:val="21"/>
          <w:szCs w:val="21"/>
          <w:highlight w:val="none"/>
        </w:rPr>
        <w:t>标注★号的条款为实质性要求和条件，投标文件必须作出实质性响应，不满足任何一项标注★号的条款，将导致投标无效</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标注▲的条款为重要技术指标及要求，未标注“▲”的条款为一般技术条款。</w:t>
      </w:r>
    </w:p>
    <w:p w14:paraId="0FE55EF2">
      <w:pPr>
        <w:pStyle w:val="28"/>
        <w:keepNext w:val="0"/>
        <w:keepLines w:val="0"/>
        <w:pageBreakBefore w:val="0"/>
        <w:widowControl w:val="0"/>
        <w:kinsoku/>
        <w:wordWrap/>
        <w:overflowPunct/>
        <w:topLinePunct w:val="0"/>
        <w:autoSpaceDE/>
        <w:autoSpaceDN/>
        <w:bidi w:val="0"/>
        <w:adjustRightInd/>
        <w:snapToGrid/>
        <w:spacing w:line="360" w:lineRule="auto"/>
        <w:ind w:left="102" w:firstLine="420" w:firstLineChars="200"/>
        <w:jc w:val="left"/>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5、投标人必须根据采购需求及要求中“技术要求” 在“技术参数偏离表”中作出全面、真实的反映，投标人除如实填写技术规格偏离表外，投标文件中必须提供技术支持资料支持参数技术规格偏离表应答（包括但不限于投标产品公开发布的技术白皮书、检测报告、彩页资料）。若投标文件中技术支持资料参数与技术规格偏离表应答不符，以技术支持资料为准；若无技术支持资料导致评审委员会无法判断的，评审委员会可认定为不响应该条技术参数要求。若出现制造商公开发布的技术白皮书、检测报告、彩页资料等技术证明文件中，同一技术参数或指标互相矛盾，视为该项技术参数不响应招标文件要求。</w:t>
      </w:r>
    </w:p>
    <w:p w14:paraId="6891EECD">
      <w:pPr>
        <w:pStyle w:val="28"/>
        <w:keepNext w:val="0"/>
        <w:keepLines w:val="0"/>
        <w:pageBreakBefore w:val="0"/>
        <w:widowControl w:val="0"/>
        <w:kinsoku/>
        <w:wordWrap/>
        <w:overflowPunct/>
        <w:topLinePunct w:val="0"/>
        <w:autoSpaceDE/>
        <w:autoSpaceDN/>
        <w:bidi w:val="0"/>
        <w:adjustRightInd/>
        <w:snapToGrid/>
        <w:spacing w:line="360" w:lineRule="auto"/>
        <w:ind w:left="102"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本章内容是采购人需求的最基本组成，在满足此项目功能要求的前提条</w:t>
      </w:r>
      <w:r>
        <w:rPr>
          <w:rFonts w:hint="eastAsia" w:ascii="仿宋" w:hAnsi="仿宋" w:eastAsia="仿宋" w:cs="仿宋"/>
          <w:color w:val="auto"/>
          <w:sz w:val="21"/>
          <w:szCs w:val="21"/>
          <w:highlight w:val="none"/>
          <w:lang w:eastAsia="zh-CN"/>
        </w:rPr>
        <w:t>件下</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不可擅自改动或增减。如果</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认为采购需求中缺少了满足采购要求所必需的设备、材料或其他工作内容，</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应在投标时自行完成补齐，并在投标文件中详细说明增加内容及增加理由，同时由此产生的费用包含在投标总价内，并在报价明细表中单列一项（增加的内容如不是项目实施必需的，或者项目实施过程中未实际实施的，投标报价在价格分评审时不予</w:t>
      </w:r>
      <w:r>
        <w:rPr>
          <w:rFonts w:hint="eastAsia" w:ascii="仿宋" w:hAnsi="仿宋" w:eastAsia="仿宋" w:cs="仿宋"/>
          <w:color w:val="auto"/>
          <w:sz w:val="21"/>
          <w:szCs w:val="21"/>
          <w:highlight w:val="none"/>
          <w:lang w:eastAsia="zh-CN"/>
        </w:rPr>
        <w:t>扣减</w:t>
      </w:r>
      <w:r>
        <w:rPr>
          <w:rFonts w:hint="eastAsia" w:ascii="仿宋" w:hAnsi="仿宋" w:eastAsia="仿宋" w:cs="仿宋"/>
          <w:color w:val="auto"/>
          <w:sz w:val="21"/>
          <w:szCs w:val="21"/>
          <w:highlight w:val="none"/>
        </w:rPr>
        <w:t>，合同货款支付时该项费用不予支付）。对没有填报的费用，采购人将不予支付，并认为此项费用已包含在投标总价中。</w:t>
      </w:r>
    </w:p>
    <w:p w14:paraId="63281BA4">
      <w:pPr>
        <w:pStyle w:val="28"/>
        <w:keepNext w:val="0"/>
        <w:keepLines w:val="0"/>
        <w:pageBreakBefore w:val="0"/>
        <w:widowControl w:val="0"/>
        <w:kinsoku/>
        <w:wordWrap/>
        <w:overflowPunct/>
        <w:topLinePunct w:val="0"/>
        <w:autoSpaceDE/>
        <w:autoSpaceDN/>
        <w:bidi w:val="0"/>
        <w:adjustRightInd/>
        <w:snapToGrid/>
        <w:spacing w:line="360" w:lineRule="auto"/>
        <w:ind w:left="102"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招标文件中对技术的要求是采购人最低要求，一般指标负偏离在技术评审时按规定扣分，实质性指标负偏离做无效标处理。</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应尽可能</w:t>
      </w:r>
      <w:r>
        <w:rPr>
          <w:rFonts w:hint="eastAsia" w:ascii="仿宋" w:hAnsi="仿宋" w:eastAsia="仿宋" w:cs="仿宋"/>
          <w:color w:val="auto"/>
          <w:sz w:val="21"/>
          <w:szCs w:val="21"/>
          <w:highlight w:val="none"/>
          <w:lang w:eastAsia="zh-CN"/>
        </w:rPr>
        <w:t>地</w:t>
      </w:r>
      <w:r>
        <w:rPr>
          <w:rFonts w:hint="eastAsia" w:ascii="仿宋" w:hAnsi="仿宋" w:eastAsia="仿宋" w:cs="仿宋"/>
          <w:color w:val="auto"/>
          <w:sz w:val="21"/>
          <w:szCs w:val="21"/>
          <w:highlight w:val="none"/>
        </w:rPr>
        <w:t>选择符合采购人技术需求的产品参加投标。</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在投标文件中必须按招标文件载明的技术指标逐条进行投标响应（不得照搬抄袭招标要求），如果</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的投标文件对所投产品技术指标响应描述不清晰而导致</w:t>
      </w:r>
      <w:r>
        <w:rPr>
          <w:rFonts w:hint="eastAsia" w:ascii="仿宋" w:hAnsi="仿宋" w:eastAsia="仿宋" w:cs="仿宋"/>
          <w:color w:val="auto"/>
          <w:sz w:val="21"/>
          <w:szCs w:val="21"/>
          <w:highlight w:val="none"/>
          <w:lang w:eastAsia="zh-CN"/>
        </w:rPr>
        <w:t>评审</w:t>
      </w:r>
      <w:r>
        <w:rPr>
          <w:rFonts w:hint="eastAsia" w:ascii="仿宋" w:hAnsi="仿宋" w:eastAsia="仿宋" w:cs="仿宋"/>
          <w:color w:val="auto"/>
          <w:sz w:val="21"/>
          <w:szCs w:val="21"/>
          <w:highlight w:val="none"/>
        </w:rPr>
        <w:t>委员会有疑问的，</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必须提供相关证明材料，证明材料必须在</w:t>
      </w:r>
      <w:r>
        <w:rPr>
          <w:rFonts w:hint="eastAsia" w:ascii="仿宋" w:hAnsi="仿宋" w:eastAsia="仿宋" w:cs="仿宋"/>
          <w:color w:val="auto"/>
          <w:sz w:val="21"/>
          <w:szCs w:val="21"/>
          <w:highlight w:val="none"/>
          <w:lang w:eastAsia="zh-CN"/>
        </w:rPr>
        <w:t>评审</w:t>
      </w:r>
      <w:r>
        <w:rPr>
          <w:rFonts w:hint="eastAsia" w:ascii="仿宋" w:hAnsi="仿宋" w:eastAsia="仿宋" w:cs="仿宋"/>
          <w:color w:val="auto"/>
          <w:sz w:val="21"/>
          <w:szCs w:val="21"/>
          <w:highlight w:val="none"/>
        </w:rPr>
        <w:t>委员会规定的时间内提交，否则视为技术指标未响应。</w:t>
      </w:r>
    </w:p>
    <w:p w14:paraId="1C79A5E6">
      <w:pPr>
        <w:pStyle w:val="28"/>
        <w:keepNext w:val="0"/>
        <w:keepLines w:val="0"/>
        <w:pageBreakBefore w:val="0"/>
        <w:widowControl w:val="0"/>
        <w:kinsoku/>
        <w:wordWrap/>
        <w:overflowPunct/>
        <w:topLinePunct w:val="0"/>
        <w:autoSpaceDE/>
        <w:autoSpaceDN/>
        <w:bidi w:val="0"/>
        <w:adjustRightInd/>
        <w:snapToGrid/>
        <w:spacing w:line="360" w:lineRule="auto"/>
        <w:ind w:left="102"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sz w:val="21"/>
          <w:szCs w:val="21"/>
          <w:highlight w:val="none"/>
        </w:rPr>
        <w:t>设备的各项要求（品牌、型号、配置）应</w:t>
      </w:r>
      <w:r>
        <w:rPr>
          <w:rFonts w:hint="eastAsia" w:ascii="仿宋" w:hAnsi="仿宋" w:eastAsia="仿宋" w:cs="仿宋"/>
          <w:color w:val="auto"/>
          <w:sz w:val="21"/>
          <w:szCs w:val="21"/>
          <w:highlight w:val="none"/>
          <w:lang w:eastAsia="zh-CN"/>
        </w:rPr>
        <w:t>以中标人</w:t>
      </w:r>
      <w:r>
        <w:rPr>
          <w:rFonts w:hint="eastAsia" w:ascii="仿宋" w:hAnsi="仿宋" w:eastAsia="仿宋" w:cs="仿宋"/>
          <w:color w:val="auto"/>
          <w:sz w:val="21"/>
          <w:szCs w:val="21"/>
          <w:highlight w:val="none"/>
        </w:rPr>
        <w:t>投标承诺为准，不得擅自更改。</w:t>
      </w:r>
    </w:p>
    <w:p w14:paraId="2B8A0BF5">
      <w:pPr>
        <w:pStyle w:val="3"/>
        <w:keepNext w:val="0"/>
        <w:keepLines w:val="0"/>
        <w:pageBreakBefore w:val="0"/>
        <w:widowControl w:val="0"/>
        <w:kinsoku/>
        <w:wordWrap/>
        <w:overflowPunct/>
        <w:topLinePunct w:val="0"/>
        <w:autoSpaceDE/>
        <w:autoSpaceDN/>
        <w:bidi w:val="0"/>
        <w:adjustRightInd/>
        <w:snapToGrid/>
        <w:spacing w:before="0" w:after="0" w:line="360" w:lineRule="auto"/>
        <w:ind w:left="0" w:firstLine="422" w:firstLineChars="200"/>
        <w:jc w:val="left"/>
        <w:textAlignment w:val="auto"/>
        <w:outlineLvl w:val="9"/>
        <w:rPr>
          <w:rFonts w:hint="eastAsia" w:ascii="仿宋" w:hAnsi="仿宋" w:eastAsia="仿宋" w:cs="仿宋"/>
          <w:color w:val="auto"/>
          <w:sz w:val="21"/>
          <w:szCs w:val="21"/>
          <w:highlight w:val="none"/>
          <w:lang w:val="en-US" w:eastAsia="zh-CN"/>
        </w:rPr>
      </w:pPr>
    </w:p>
    <w:p w14:paraId="7B2D1084">
      <w:pPr>
        <w:pStyle w:val="3"/>
        <w:keepNext w:val="0"/>
        <w:keepLines w:val="0"/>
        <w:pageBreakBefore w:val="0"/>
        <w:widowControl w:val="0"/>
        <w:kinsoku/>
        <w:wordWrap/>
        <w:overflowPunct/>
        <w:topLinePunct w:val="0"/>
        <w:autoSpaceDE/>
        <w:autoSpaceDN/>
        <w:bidi w:val="0"/>
        <w:adjustRightInd/>
        <w:snapToGrid/>
        <w:spacing w:before="0" w:after="0" w:line="360" w:lineRule="auto"/>
        <w:ind w:left="0" w:firstLine="422" w:firstLineChars="200"/>
        <w:jc w:val="left"/>
        <w:textAlignment w:val="auto"/>
        <w:outlineLvl w:val="9"/>
        <w:rPr>
          <w:rFonts w:hint="eastAsia" w:ascii="仿宋" w:hAnsi="仿宋" w:eastAsia="仿宋" w:cs="仿宋"/>
          <w:color w:val="auto"/>
          <w:sz w:val="21"/>
          <w:szCs w:val="21"/>
          <w:highlight w:val="none"/>
          <w:lang w:val="en-US" w:eastAsia="zh-CN"/>
        </w:rPr>
      </w:pPr>
    </w:p>
    <w:p w14:paraId="5072656E">
      <w:pPr>
        <w:pStyle w:val="3"/>
        <w:keepNext w:val="0"/>
        <w:keepLines w:val="0"/>
        <w:pageBreakBefore w:val="0"/>
        <w:widowControl w:val="0"/>
        <w:kinsoku/>
        <w:wordWrap/>
        <w:overflowPunct/>
        <w:topLinePunct w:val="0"/>
        <w:autoSpaceDE/>
        <w:autoSpaceDN/>
        <w:bidi w:val="0"/>
        <w:adjustRightInd/>
        <w:snapToGrid/>
        <w:spacing w:before="0" w:after="0" w:line="360" w:lineRule="auto"/>
        <w:ind w:left="0" w:firstLine="422" w:firstLineChars="200"/>
        <w:jc w:val="left"/>
        <w:textAlignment w:val="auto"/>
        <w:outlineLvl w:val="9"/>
        <w:rPr>
          <w:rFonts w:hint="eastAsia" w:ascii="仿宋" w:hAnsi="仿宋" w:eastAsia="仿宋" w:cs="仿宋"/>
          <w:color w:val="auto"/>
          <w:sz w:val="21"/>
          <w:szCs w:val="21"/>
          <w:highlight w:val="none"/>
          <w:lang w:val="en-US" w:eastAsia="zh-CN"/>
        </w:rPr>
        <w:sectPr>
          <w:pgSz w:w="11906" w:h="16838"/>
          <w:pgMar w:top="1134" w:right="1134" w:bottom="1134" w:left="1134" w:header="851" w:footer="907" w:gutter="0"/>
          <w:pgBorders>
            <w:top w:val="none" w:sz="0" w:space="0"/>
            <w:left w:val="none" w:sz="0" w:space="0"/>
            <w:bottom w:val="none" w:sz="0" w:space="0"/>
            <w:right w:val="none" w:sz="0" w:space="0"/>
          </w:pgBorders>
          <w:cols w:space="425" w:num="1"/>
          <w:rtlGutter w:val="0"/>
          <w:docGrid w:type="lines" w:linePitch="312" w:charSpace="0"/>
        </w:sectPr>
      </w:pPr>
    </w:p>
    <w:p w14:paraId="2AB5E335">
      <w:pPr>
        <w:pStyle w:val="3"/>
        <w:keepNext w:val="0"/>
        <w:keepLines w:val="0"/>
        <w:pageBreakBefore w:val="0"/>
        <w:widowControl w:val="0"/>
        <w:kinsoku/>
        <w:wordWrap w:val="0"/>
        <w:overflowPunct/>
        <w:topLinePunct/>
        <w:autoSpaceDE/>
        <w:autoSpaceDN/>
        <w:bidi w:val="0"/>
        <w:adjustRightInd/>
        <w:snapToGrid/>
        <w:spacing w:before="0" w:after="0" w:line="360" w:lineRule="auto"/>
        <w:ind w:left="0" w:firstLine="422" w:firstLineChars="200"/>
        <w:jc w:val="left"/>
        <w:textAlignment w:val="auto"/>
        <w:rPr>
          <w:rStyle w:val="250"/>
          <w:rFonts w:hint="eastAsia" w:ascii="仿宋" w:hAnsi="仿宋" w:eastAsia="仿宋" w:cs="仿宋"/>
          <w:b/>
          <w:color w:val="auto"/>
          <w:sz w:val="21"/>
          <w:szCs w:val="21"/>
          <w:highlight w:val="none"/>
          <w:lang w:val="en-US" w:eastAsia="zh-CN"/>
        </w:rPr>
      </w:pPr>
      <w:bookmarkStart w:id="1288" w:name="_Toc3140"/>
      <w:bookmarkStart w:id="1289" w:name="_Toc29383"/>
      <w:r>
        <w:rPr>
          <w:rFonts w:hint="eastAsia" w:ascii="仿宋" w:hAnsi="仿宋" w:eastAsia="仿宋" w:cs="仿宋"/>
          <w:sz w:val="21"/>
          <w:szCs w:val="21"/>
          <w:highlight w:val="none"/>
          <w:lang w:val="en-US" w:eastAsia="zh-CN"/>
        </w:rPr>
        <w:t>二、技术要求</w:t>
      </w:r>
      <w:bookmarkEnd w:id="1288"/>
      <w:bookmarkEnd w:id="1289"/>
    </w:p>
    <w:p w14:paraId="62275B84">
      <w:pPr>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注：以下产品注明厂家或品牌的仅供参考，投标人要投同档次或优于同档次的产品和功能；各投标人根据招标文件的需求必须保证所提供的货物配置不低于或更优于以下要求。</w:t>
      </w:r>
    </w:p>
    <w:tbl>
      <w:tblPr>
        <w:tblStyle w:val="67"/>
        <w:tblW w:w="979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14"/>
        <w:gridCol w:w="1550"/>
        <w:gridCol w:w="2822"/>
        <w:gridCol w:w="1094"/>
        <w:gridCol w:w="697"/>
        <w:gridCol w:w="1140"/>
        <w:gridCol w:w="1675"/>
      </w:tblGrid>
      <w:tr w14:paraId="697F5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ECC6F">
            <w:pPr>
              <w:keepNext w:val="0"/>
              <w:keepLines w:val="0"/>
              <w:widowControl/>
              <w:suppressLineNumbers w:val="0"/>
              <w:jc w:val="center"/>
              <w:textAlignment w:val="center"/>
              <w:rPr>
                <w:rFonts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序号</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AE241">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品名</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6E0DE">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规格</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F612C">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预算单价</w:t>
            </w:r>
            <w:r>
              <w:rPr>
                <w:rFonts w:hint="eastAsia" w:ascii="仿宋" w:hAnsi="仿宋" w:eastAsia="仿宋" w:cs="仿宋"/>
                <w:b/>
                <w:bCs/>
                <w:i w:val="0"/>
                <w:iCs w:val="0"/>
                <w:color w:val="000000"/>
                <w:kern w:val="0"/>
                <w:sz w:val="20"/>
                <w:szCs w:val="20"/>
                <w:u w:val="none"/>
                <w:lang w:val="en-US" w:eastAsia="zh-CN" w:bidi="ar"/>
              </w:rPr>
              <w:br w:type="textWrapping"/>
            </w:r>
            <w:r>
              <w:rPr>
                <w:rFonts w:hint="eastAsia" w:ascii="仿宋" w:hAnsi="仿宋" w:eastAsia="仿宋" w:cs="仿宋"/>
                <w:b/>
                <w:bCs/>
                <w:i w:val="0"/>
                <w:iCs w:val="0"/>
                <w:color w:val="000000"/>
                <w:kern w:val="0"/>
                <w:sz w:val="20"/>
                <w:szCs w:val="20"/>
                <w:u w:val="none"/>
                <w:lang w:val="en-US" w:eastAsia="zh-CN" w:bidi="ar"/>
              </w:rPr>
              <w:t>（元）</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FC942">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单位</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E40F9">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是否为核心产品</w:t>
            </w: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2E6E0">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参考品牌</w:t>
            </w:r>
          </w:p>
        </w:tc>
      </w:tr>
      <w:tr w14:paraId="02987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715B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15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E4993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502胶水</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B300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10ml</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069A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16A4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瓶</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04491">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5208C">
            <w:pPr>
              <w:jc w:val="center"/>
              <w:rPr>
                <w:rFonts w:hint="eastAsia" w:ascii="仿宋" w:hAnsi="仿宋" w:eastAsia="仿宋" w:cs="仿宋"/>
                <w:i w:val="0"/>
                <w:iCs w:val="0"/>
                <w:color w:val="000000"/>
                <w:sz w:val="20"/>
                <w:szCs w:val="20"/>
                <w:u w:val="none"/>
              </w:rPr>
            </w:pPr>
          </w:p>
        </w:tc>
      </w:tr>
      <w:tr w14:paraId="7CAF2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7CF2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15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05DAD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AB胶</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5C4A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20g</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C0CB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38E4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板</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EB809">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D0CC7">
            <w:pPr>
              <w:jc w:val="center"/>
              <w:rPr>
                <w:rFonts w:hint="eastAsia" w:ascii="仿宋" w:hAnsi="仿宋" w:eastAsia="仿宋" w:cs="仿宋"/>
                <w:i w:val="0"/>
                <w:iCs w:val="0"/>
                <w:color w:val="000000"/>
                <w:sz w:val="20"/>
                <w:szCs w:val="20"/>
                <w:u w:val="none"/>
              </w:rPr>
            </w:pPr>
          </w:p>
        </w:tc>
      </w:tr>
      <w:tr w14:paraId="470F9D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E3CA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A524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S挂钩</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8AC4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中号</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9EC9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4846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99669">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1A997">
            <w:pPr>
              <w:jc w:val="center"/>
              <w:rPr>
                <w:rFonts w:hint="eastAsia" w:ascii="仿宋" w:hAnsi="仿宋" w:eastAsia="仿宋" w:cs="仿宋"/>
                <w:i w:val="0"/>
                <w:iCs w:val="0"/>
                <w:color w:val="000000"/>
                <w:sz w:val="20"/>
                <w:szCs w:val="20"/>
                <w:u w:val="none"/>
              </w:rPr>
            </w:pPr>
          </w:p>
        </w:tc>
      </w:tr>
      <w:tr w14:paraId="0657D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AD49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9CA8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Z型字型挂钩</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F156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中号</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74F4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E4A5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F3F39">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78122">
            <w:pPr>
              <w:jc w:val="center"/>
              <w:rPr>
                <w:rFonts w:hint="eastAsia" w:ascii="仿宋" w:hAnsi="仿宋" w:eastAsia="仿宋" w:cs="仿宋"/>
                <w:i w:val="0"/>
                <w:iCs w:val="0"/>
                <w:color w:val="000000"/>
                <w:sz w:val="20"/>
                <w:szCs w:val="20"/>
                <w:u w:val="none"/>
              </w:rPr>
            </w:pPr>
          </w:p>
        </w:tc>
      </w:tr>
      <w:tr w14:paraId="3AABCB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CEC0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B05F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安全插座</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4853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25孔独立开关（3米）</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E174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63F9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71BD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是</w:t>
            </w: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C1D0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公牛、德力西、正泰</w:t>
            </w:r>
          </w:p>
        </w:tc>
      </w:tr>
      <w:tr w14:paraId="53BB8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F565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CA22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安全插座</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0277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25孔独立开关（5米）</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E76C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C51C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B882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是</w:t>
            </w: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DF78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公牛、德力西、正泰</w:t>
            </w:r>
          </w:p>
        </w:tc>
      </w:tr>
      <w:tr w14:paraId="724A1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C45D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46B3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安全插座</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A29F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16孔（1.8米）</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DF32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86F9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A694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是</w:t>
            </w: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3FAB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公牛、德力西、正泰</w:t>
            </w:r>
          </w:p>
        </w:tc>
      </w:tr>
      <w:tr w14:paraId="76188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7E37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4792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安全插座</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E58D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28孔（10米）</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94C0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ED61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1924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是</w:t>
            </w: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BF66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公牛、德力西、正泰</w:t>
            </w:r>
          </w:p>
        </w:tc>
      </w:tr>
      <w:tr w14:paraId="2265B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5FDB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FE49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安全锥桶</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7CFB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方形、圆形</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84A3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5ADE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D9BC1">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BF117">
            <w:pPr>
              <w:jc w:val="center"/>
              <w:rPr>
                <w:rFonts w:hint="eastAsia" w:ascii="仿宋" w:hAnsi="仿宋" w:eastAsia="仿宋" w:cs="仿宋"/>
                <w:i w:val="0"/>
                <w:iCs w:val="0"/>
                <w:color w:val="000000"/>
                <w:sz w:val="20"/>
                <w:szCs w:val="20"/>
                <w:u w:val="none"/>
              </w:rPr>
            </w:pPr>
          </w:p>
        </w:tc>
      </w:tr>
      <w:tr w14:paraId="36C0C8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B9A2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5798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按动碳素笔</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C5C9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0.5mm红、黑、蓝黑</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03B5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7AF0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支</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A4BD8">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7116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w:t>
            </w:r>
          </w:p>
        </w:tc>
      </w:tr>
      <w:tr w14:paraId="612E3D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9639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11</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B3F0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按动碳素芯</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808C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0.5mm红、黑、蓝黑</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EABF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4A11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支</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25E68">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A493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w:t>
            </w:r>
          </w:p>
        </w:tc>
      </w:tr>
      <w:tr w14:paraId="12A6C5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31C9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w:t>
            </w:r>
          </w:p>
        </w:tc>
        <w:tc>
          <w:tcPr>
            <w:tcW w:w="15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ABEC5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白板</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73EC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40*60cm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A46F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42</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B62B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块</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6BB29">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4286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w:t>
            </w:r>
          </w:p>
        </w:tc>
      </w:tr>
      <w:tr w14:paraId="46A3E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739F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15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01369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白板</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CB18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200*100cm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0C4A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170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91F3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块</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B5353">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A546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w:t>
            </w:r>
          </w:p>
        </w:tc>
      </w:tr>
      <w:tr w14:paraId="1433F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0375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w:t>
            </w:r>
          </w:p>
        </w:tc>
        <w:tc>
          <w:tcPr>
            <w:tcW w:w="15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92625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白板</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6D67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100*150cm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56C0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A249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块</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60410">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5228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w:t>
            </w:r>
          </w:p>
        </w:tc>
      </w:tr>
      <w:tr w14:paraId="29C739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3069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w:t>
            </w:r>
          </w:p>
        </w:tc>
        <w:tc>
          <w:tcPr>
            <w:tcW w:w="15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FDC1E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白板</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CDAF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60*90cm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E019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52D0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块</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D788D">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76FF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w:t>
            </w:r>
          </w:p>
        </w:tc>
      </w:tr>
      <w:tr w14:paraId="661327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2303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16</w:t>
            </w:r>
          </w:p>
        </w:tc>
        <w:tc>
          <w:tcPr>
            <w:tcW w:w="15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9FA32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白板</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EF87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30*40cm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CA94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32</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85BB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块</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C76B3">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5FAA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w:t>
            </w:r>
          </w:p>
        </w:tc>
      </w:tr>
      <w:tr w14:paraId="1E3CFA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AD6D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17</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66DE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白板笔</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2D5B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红、黑、蓝</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1E30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6697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支</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BAA21">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F6D8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w:t>
            </w:r>
          </w:p>
        </w:tc>
      </w:tr>
      <w:tr w14:paraId="699966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EEA7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18</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E202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白板擦</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9980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中号</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CE95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1D7C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7144B">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EE34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w:t>
            </w:r>
          </w:p>
        </w:tc>
      </w:tr>
      <w:tr w14:paraId="5E6B2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70C1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19</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9AA9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包装线</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27FC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100g</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CF86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4221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卷</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5046B">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10495">
            <w:pPr>
              <w:jc w:val="center"/>
              <w:rPr>
                <w:rFonts w:hint="eastAsia" w:ascii="仿宋" w:hAnsi="仿宋" w:eastAsia="仿宋" w:cs="仿宋"/>
                <w:i w:val="0"/>
                <w:iCs w:val="0"/>
                <w:color w:val="000000"/>
                <w:sz w:val="20"/>
                <w:szCs w:val="20"/>
                <w:u w:val="none"/>
              </w:rPr>
            </w:pPr>
          </w:p>
        </w:tc>
      </w:tr>
      <w:tr w14:paraId="6E572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0D5F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9E02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包装箱胶带</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360A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4.5cm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6BFB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82FC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卷</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08AD2">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A66D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w:t>
            </w:r>
          </w:p>
        </w:tc>
      </w:tr>
      <w:tr w14:paraId="0307F4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8F68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21</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FEA7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保鲜盒</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B44B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0.5L</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BDD9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0C10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E847A">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0FD2A">
            <w:pPr>
              <w:jc w:val="center"/>
              <w:rPr>
                <w:rFonts w:hint="eastAsia" w:ascii="仿宋" w:hAnsi="仿宋" w:eastAsia="仿宋" w:cs="仿宋"/>
                <w:i w:val="0"/>
                <w:iCs w:val="0"/>
                <w:color w:val="000000"/>
                <w:sz w:val="20"/>
                <w:szCs w:val="20"/>
                <w:u w:val="none"/>
              </w:rPr>
            </w:pPr>
          </w:p>
        </w:tc>
      </w:tr>
      <w:tr w14:paraId="06F1A8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1C35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22</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BE49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保鲜盒</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A0EB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0.9L</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0923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5BEC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5FF34">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1A090">
            <w:pPr>
              <w:jc w:val="center"/>
              <w:rPr>
                <w:rFonts w:hint="eastAsia" w:ascii="仿宋" w:hAnsi="仿宋" w:eastAsia="仿宋" w:cs="仿宋"/>
                <w:i w:val="0"/>
                <w:iCs w:val="0"/>
                <w:color w:val="000000"/>
                <w:sz w:val="20"/>
                <w:szCs w:val="20"/>
                <w:u w:val="none"/>
              </w:rPr>
            </w:pPr>
          </w:p>
        </w:tc>
      </w:tr>
      <w:tr w14:paraId="63BD8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0071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23</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8064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保鲜盒</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D289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1.5L</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F8B7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6CF2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6E402">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413A1">
            <w:pPr>
              <w:jc w:val="center"/>
              <w:rPr>
                <w:rFonts w:hint="eastAsia" w:ascii="仿宋" w:hAnsi="仿宋" w:eastAsia="仿宋" w:cs="仿宋"/>
                <w:i w:val="0"/>
                <w:iCs w:val="0"/>
                <w:color w:val="000000"/>
                <w:sz w:val="20"/>
                <w:szCs w:val="20"/>
                <w:u w:val="none"/>
              </w:rPr>
            </w:pPr>
          </w:p>
        </w:tc>
      </w:tr>
      <w:tr w14:paraId="6893D5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E255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24</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D893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保鲜盒</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0478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3.0L</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0176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22</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58DF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4BC33">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B4801">
            <w:pPr>
              <w:jc w:val="center"/>
              <w:rPr>
                <w:rFonts w:hint="eastAsia" w:ascii="仿宋" w:hAnsi="仿宋" w:eastAsia="仿宋" w:cs="仿宋"/>
                <w:i w:val="0"/>
                <w:iCs w:val="0"/>
                <w:color w:val="000000"/>
                <w:sz w:val="20"/>
                <w:szCs w:val="20"/>
                <w:u w:val="none"/>
              </w:rPr>
            </w:pPr>
          </w:p>
        </w:tc>
      </w:tr>
      <w:tr w14:paraId="3BFE5B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FD82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5190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保鲜盒</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47DC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4.5L</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F36D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EF32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B8AB5">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99604">
            <w:pPr>
              <w:jc w:val="center"/>
              <w:rPr>
                <w:rFonts w:hint="eastAsia" w:ascii="仿宋" w:hAnsi="仿宋" w:eastAsia="仿宋" w:cs="仿宋"/>
                <w:i w:val="0"/>
                <w:iCs w:val="0"/>
                <w:color w:val="000000"/>
                <w:sz w:val="20"/>
                <w:szCs w:val="20"/>
                <w:u w:val="none"/>
              </w:rPr>
            </w:pPr>
          </w:p>
        </w:tc>
      </w:tr>
      <w:tr w14:paraId="02851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2756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FDBC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保鲜膜</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F1D7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30*30cm(厚）</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0019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22</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FCE9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卷</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2C6CC">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46D6B">
            <w:pPr>
              <w:jc w:val="center"/>
              <w:rPr>
                <w:rFonts w:hint="eastAsia" w:ascii="仿宋" w:hAnsi="仿宋" w:eastAsia="仿宋" w:cs="仿宋"/>
                <w:i w:val="0"/>
                <w:iCs w:val="0"/>
                <w:color w:val="000000"/>
                <w:sz w:val="20"/>
                <w:szCs w:val="20"/>
                <w:u w:val="none"/>
              </w:rPr>
            </w:pPr>
          </w:p>
        </w:tc>
      </w:tr>
      <w:tr w14:paraId="76132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CA46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27</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3EF2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保鲜膜</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CA34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30*30cm(常规）</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DC29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505C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卷</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AD945">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22BF7">
            <w:pPr>
              <w:jc w:val="center"/>
              <w:rPr>
                <w:rFonts w:hint="eastAsia" w:ascii="仿宋" w:hAnsi="仿宋" w:eastAsia="仿宋" w:cs="仿宋"/>
                <w:i w:val="0"/>
                <w:iCs w:val="0"/>
                <w:color w:val="000000"/>
                <w:sz w:val="20"/>
                <w:szCs w:val="20"/>
                <w:u w:val="none"/>
              </w:rPr>
            </w:pPr>
          </w:p>
        </w:tc>
      </w:tr>
      <w:tr w14:paraId="77571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0697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28</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0A0F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医用笔试电筒</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71EE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白光、暖光（充电式）</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2407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24</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9BA2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支</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BCAF5">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B4B84">
            <w:pPr>
              <w:jc w:val="center"/>
              <w:rPr>
                <w:rFonts w:hint="eastAsia" w:ascii="仿宋" w:hAnsi="仿宋" w:eastAsia="仿宋" w:cs="仿宋"/>
                <w:i w:val="0"/>
                <w:iCs w:val="0"/>
                <w:color w:val="000000"/>
                <w:sz w:val="20"/>
                <w:szCs w:val="20"/>
                <w:u w:val="none"/>
              </w:rPr>
            </w:pPr>
          </w:p>
        </w:tc>
      </w:tr>
      <w:tr w14:paraId="6B9B2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9822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29</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5AEC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笔筒</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2D2C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金属（加密网格）</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38EA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18</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2C77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FBAFF">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9EE5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w:t>
            </w:r>
          </w:p>
        </w:tc>
      </w:tr>
      <w:tr w14:paraId="7C6BFC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4621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1CB8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扁带</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140B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1.5cm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05A8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19</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1A4E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卷</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B5681">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B7A95">
            <w:pPr>
              <w:jc w:val="center"/>
              <w:rPr>
                <w:rFonts w:hint="eastAsia" w:ascii="仿宋" w:hAnsi="仿宋" w:eastAsia="仿宋" w:cs="仿宋"/>
                <w:i w:val="0"/>
                <w:iCs w:val="0"/>
                <w:color w:val="000000"/>
                <w:sz w:val="20"/>
                <w:szCs w:val="20"/>
                <w:u w:val="none"/>
              </w:rPr>
            </w:pPr>
          </w:p>
        </w:tc>
      </w:tr>
      <w:tr w14:paraId="2A071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8648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31</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E627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记事贴</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7D26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76*76cm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5A83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047A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本</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A23E1">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338E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w:t>
            </w:r>
          </w:p>
        </w:tc>
      </w:tr>
      <w:tr w14:paraId="70F1AC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1F47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32</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F633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自粘性标签</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A651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4*2.5m(20.12cm 50张）</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911F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C276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包</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EF6D2">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366CF">
            <w:pPr>
              <w:jc w:val="center"/>
              <w:rPr>
                <w:rFonts w:hint="eastAsia" w:ascii="仿宋" w:hAnsi="仿宋" w:eastAsia="仿宋" w:cs="仿宋"/>
                <w:i w:val="0"/>
                <w:iCs w:val="0"/>
                <w:color w:val="000000"/>
                <w:sz w:val="20"/>
                <w:szCs w:val="20"/>
                <w:u w:val="none"/>
              </w:rPr>
            </w:pPr>
          </w:p>
        </w:tc>
      </w:tr>
      <w:tr w14:paraId="3ED0D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81E5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33</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2981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别针</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B08E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5.5cm(10颗/串）</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FB3D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0F5D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串</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45358">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3B650">
            <w:pPr>
              <w:jc w:val="center"/>
              <w:rPr>
                <w:rFonts w:hint="eastAsia" w:ascii="仿宋" w:hAnsi="仿宋" w:eastAsia="仿宋" w:cs="仿宋"/>
                <w:i w:val="0"/>
                <w:iCs w:val="0"/>
                <w:color w:val="000000"/>
                <w:sz w:val="20"/>
                <w:szCs w:val="20"/>
                <w:u w:val="none"/>
              </w:rPr>
            </w:pPr>
          </w:p>
        </w:tc>
      </w:tr>
      <w:tr w14:paraId="6D577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8161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34</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3418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冰糖</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78DD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1kg</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B16F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16</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57CB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袋</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569A8">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A6F1C">
            <w:pPr>
              <w:jc w:val="center"/>
              <w:rPr>
                <w:rFonts w:hint="eastAsia" w:ascii="仿宋" w:hAnsi="仿宋" w:eastAsia="仿宋" w:cs="仿宋"/>
                <w:i w:val="0"/>
                <w:iCs w:val="0"/>
                <w:color w:val="000000"/>
                <w:sz w:val="20"/>
                <w:szCs w:val="20"/>
                <w:u w:val="none"/>
              </w:rPr>
            </w:pPr>
          </w:p>
        </w:tc>
      </w:tr>
      <w:tr w14:paraId="666B0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3AE3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35</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4B76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病历夹</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869B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32*23*2.5(加厚ABS)</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99CE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22</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1D08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本</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5B536">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DD690">
            <w:pPr>
              <w:jc w:val="center"/>
              <w:rPr>
                <w:rFonts w:hint="eastAsia" w:ascii="仿宋" w:hAnsi="仿宋" w:eastAsia="仿宋" w:cs="仿宋"/>
                <w:i w:val="0"/>
                <w:iCs w:val="0"/>
                <w:color w:val="000000"/>
                <w:sz w:val="20"/>
                <w:szCs w:val="20"/>
                <w:u w:val="none"/>
              </w:rPr>
            </w:pPr>
          </w:p>
        </w:tc>
      </w:tr>
      <w:tr w14:paraId="4DCD7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E4FA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36</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F16A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不锈钢立式带烟灰缸垃圾桶</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FE50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40cm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DBEB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D9F2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支</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52B82">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1536E">
            <w:pPr>
              <w:jc w:val="center"/>
              <w:rPr>
                <w:rFonts w:hint="eastAsia" w:ascii="仿宋" w:hAnsi="仿宋" w:eastAsia="仿宋" w:cs="仿宋"/>
                <w:i w:val="0"/>
                <w:iCs w:val="0"/>
                <w:color w:val="000000"/>
                <w:sz w:val="20"/>
                <w:szCs w:val="20"/>
                <w:u w:val="none"/>
              </w:rPr>
            </w:pPr>
          </w:p>
        </w:tc>
      </w:tr>
      <w:tr w14:paraId="2761D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7A0B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37</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0145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不锈钢盘纸盒</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81E8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D9BA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E7E2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45084">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3998F">
            <w:pPr>
              <w:jc w:val="center"/>
              <w:rPr>
                <w:rFonts w:hint="eastAsia" w:ascii="仿宋" w:hAnsi="仿宋" w:eastAsia="仿宋" w:cs="仿宋"/>
                <w:i w:val="0"/>
                <w:iCs w:val="0"/>
                <w:color w:val="000000"/>
                <w:sz w:val="20"/>
                <w:szCs w:val="20"/>
                <w:u w:val="none"/>
              </w:rPr>
            </w:pPr>
          </w:p>
        </w:tc>
      </w:tr>
      <w:tr w14:paraId="46D17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96C3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38</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8BA1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不锈钢水瓢</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E844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加长</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45FB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E148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把</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913F7">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FF118">
            <w:pPr>
              <w:jc w:val="center"/>
              <w:rPr>
                <w:rFonts w:hint="eastAsia" w:ascii="仿宋" w:hAnsi="仿宋" w:eastAsia="仿宋" w:cs="仿宋"/>
                <w:i w:val="0"/>
                <w:iCs w:val="0"/>
                <w:color w:val="000000"/>
                <w:sz w:val="20"/>
                <w:szCs w:val="20"/>
                <w:u w:val="none"/>
              </w:rPr>
            </w:pPr>
          </w:p>
        </w:tc>
      </w:tr>
      <w:tr w14:paraId="1A5F3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6F13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39</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98C4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不锈钢衣架（圆）</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2D57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40cm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C813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E9E7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465B9">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29E5C">
            <w:pPr>
              <w:jc w:val="center"/>
              <w:rPr>
                <w:rFonts w:hint="eastAsia" w:ascii="仿宋" w:hAnsi="仿宋" w:eastAsia="仿宋" w:cs="仿宋"/>
                <w:i w:val="0"/>
                <w:iCs w:val="0"/>
                <w:color w:val="000000"/>
                <w:sz w:val="20"/>
                <w:szCs w:val="20"/>
                <w:u w:val="none"/>
              </w:rPr>
            </w:pPr>
          </w:p>
        </w:tc>
      </w:tr>
      <w:tr w14:paraId="394E86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283E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40</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A297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不锈钢衣架（扁）</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D001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40cm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909A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E7E1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85E40">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A8D1A">
            <w:pPr>
              <w:jc w:val="center"/>
              <w:rPr>
                <w:rFonts w:hint="eastAsia" w:ascii="仿宋" w:hAnsi="仿宋" w:eastAsia="仿宋" w:cs="仿宋"/>
                <w:i w:val="0"/>
                <w:iCs w:val="0"/>
                <w:color w:val="000000"/>
                <w:sz w:val="20"/>
                <w:szCs w:val="20"/>
                <w:u w:val="none"/>
              </w:rPr>
            </w:pPr>
          </w:p>
        </w:tc>
      </w:tr>
      <w:tr w14:paraId="1DE2A1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A94E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41</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C2D0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擦手纸（商务）</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B1D6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22*15M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B7BB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F252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包</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47722">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D63D0">
            <w:pPr>
              <w:jc w:val="center"/>
              <w:rPr>
                <w:rFonts w:hint="eastAsia" w:ascii="仿宋" w:hAnsi="仿宋" w:eastAsia="仿宋" w:cs="仿宋"/>
                <w:i w:val="0"/>
                <w:iCs w:val="0"/>
                <w:color w:val="000000"/>
                <w:sz w:val="20"/>
                <w:szCs w:val="20"/>
                <w:u w:val="none"/>
              </w:rPr>
            </w:pPr>
          </w:p>
        </w:tc>
      </w:tr>
      <w:tr w14:paraId="1A311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F49E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42</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8B94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擦手纸盒</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DCBE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27*21cm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1D04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46</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41C6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79825">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83876">
            <w:pPr>
              <w:jc w:val="center"/>
              <w:rPr>
                <w:rFonts w:hint="eastAsia" w:ascii="仿宋" w:hAnsi="仿宋" w:eastAsia="仿宋" w:cs="仿宋"/>
                <w:i w:val="0"/>
                <w:iCs w:val="0"/>
                <w:color w:val="000000"/>
                <w:sz w:val="20"/>
                <w:szCs w:val="20"/>
                <w:u w:val="none"/>
              </w:rPr>
            </w:pPr>
          </w:p>
        </w:tc>
      </w:tr>
      <w:tr w14:paraId="36102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19FF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43</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5B8C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茶壶</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46ED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18cm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547C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28</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E77A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5FA0C">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52855">
            <w:pPr>
              <w:jc w:val="center"/>
              <w:rPr>
                <w:rFonts w:hint="eastAsia" w:ascii="仿宋" w:hAnsi="仿宋" w:eastAsia="仿宋" w:cs="仿宋"/>
                <w:i w:val="0"/>
                <w:iCs w:val="0"/>
                <w:color w:val="000000"/>
                <w:sz w:val="20"/>
                <w:szCs w:val="20"/>
                <w:u w:val="none"/>
              </w:rPr>
            </w:pPr>
          </w:p>
        </w:tc>
      </w:tr>
      <w:tr w14:paraId="020C9D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F033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44</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43FC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茶水桶</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05C7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60cm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B5EF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28</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3CAE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C561B">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1BCF2">
            <w:pPr>
              <w:jc w:val="center"/>
              <w:rPr>
                <w:rFonts w:hint="eastAsia" w:ascii="仿宋" w:hAnsi="仿宋" w:eastAsia="仿宋" w:cs="仿宋"/>
                <w:i w:val="0"/>
                <w:iCs w:val="0"/>
                <w:color w:val="000000"/>
                <w:sz w:val="20"/>
                <w:szCs w:val="20"/>
                <w:u w:val="none"/>
              </w:rPr>
            </w:pPr>
          </w:p>
        </w:tc>
      </w:tr>
      <w:tr w14:paraId="1A9D3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52EC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45</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8DE4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充电苍蝇拍</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18FD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中号</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31F7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39</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07A3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4FB10">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4A6D5">
            <w:pPr>
              <w:jc w:val="center"/>
              <w:rPr>
                <w:rFonts w:hint="eastAsia" w:ascii="仿宋" w:hAnsi="仿宋" w:eastAsia="仿宋" w:cs="仿宋"/>
                <w:i w:val="0"/>
                <w:iCs w:val="0"/>
                <w:color w:val="000000"/>
                <w:sz w:val="20"/>
                <w:szCs w:val="20"/>
                <w:u w:val="none"/>
              </w:rPr>
            </w:pPr>
          </w:p>
        </w:tc>
      </w:tr>
      <w:tr w14:paraId="1E6D78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070B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46</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3614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充电电池</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93CA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5号7号（12对一盒）符合国家GB/T88 97.2</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1D62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32</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E603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对</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796B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是</w:t>
            </w: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804E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南孚、双鹿、超霸</w:t>
            </w:r>
          </w:p>
        </w:tc>
      </w:tr>
      <w:tr w14:paraId="343300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08C3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47</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0B7A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充电电池充电器</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F1DC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4位</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5D6B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18</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2B53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位</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B3A46">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C8F5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公牛、品胜、超霸</w:t>
            </w:r>
          </w:p>
        </w:tc>
      </w:tr>
      <w:tr w14:paraId="6F1854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BB59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48</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CCB8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充电电筒</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4865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LED</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CDF4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D701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支</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65A27">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6D2E9">
            <w:pPr>
              <w:jc w:val="center"/>
              <w:rPr>
                <w:rFonts w:hint="eastAsia" w:ascii="仿宋" w:hAnsi="仿宋" w:eastAsia="仿宋" w:cs="仿宋"/>
                <w:i w:val="0"/>
                <w:iCs w:val="0"/>
                <w:color w:val="000000"/>
                <w:sz w:val="20"/>
                <w:szCs w:val="20"/>
                <w:u w:val="none"/>
              </w:rPr>
            </w:pPr>
          </w:p>
        </w:tc>
      </w:tr>
      <w:tr w14:paraId="2978EC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58E9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49</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9242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大盘檀香</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0FEC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圆形</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8EC4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6D20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盘</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BA052">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92E9E">
            <w:pPr>
              <w:jc w:val="center"/>
              <w:rPr>
                <w:rFonts w:hint="eastAsia" w:ascii="仿宋" w:hAnsi="仿宋" w:eastAsia="仿宋" w:cs="仿宋"/>
                <w:i w:val="0"/>
                <w:iCs w:val="0"/>
                <w:color w:val="000000"/>
                <w:sz w:val="20"/>
                <w:szCs w:val="20"/>
                <w:u w:val="none"/>
              </w:rPr>
            </w:pPr>
          </w:p>
        </w:tc>
      </w:tr>
      <w:tr w14:paraId="743EA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F65E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F993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大盘纸</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2126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加厚4层</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AA1E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7ECB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卷</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E2EB2">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0E868">
            <w:pPr>
              <w:jc w:val="center"/>
              <w:rPr>
                <w:rFonts w:hint="eastAsia" w:ascii="仿宋" w:hAnsi="仿宋" w:eastAsia="仿宋" w:cs="仿宋"/>
                <w:i w:val="0"/>
                <w:iCs w:val="0"/>
                <w:color w:val="000000"/>
                <w:sz w:val="20"/>
                <w:szCs w:val="20"/>
                <w:u w:val="none"/>
              </w:rPr>
            </w:pPr>
          </w:p>
        </w:tc>
      </w:tr>
      <w:tr w14:paraId="07DD6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D100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51</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3EEC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大头针</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7208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不锈钢316</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678E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EA57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盒</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9F6DD">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9241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w:t>
            </w:r>
          </w:p>
        </w:tc>
      </w:tr>
      <w:tr w14:paraId="4E6E7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F9FB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F2EB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党徽</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15E7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别针</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2DFB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A1BB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8C195">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F294B">
            <w:pPr>
              <w:jc w:val="center"/>
              <w:rPr>
                <w:rFonts w:hint="eastAsia" w:ascii="仿宋" w:hAnsi="仿宋" w:eastAsia="仿宋" w:cs="仿宋"/>
                <w:i w:val="0"/>
                <w:iCs w:val="0"/>
                <w:color w:val="000000"/>
                <w:sz w:val="20"/>
                <w:szCs w:val="20"/>
                <w:u w:val="none"/>
              </w:rPr>
            </w:pPr>
          </w:p>
        </w:tc>
      </w:tr>
      <w:tr w14:paraId="17350F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0B2C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53</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0535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党徽</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4482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吸铁</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0C8C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711A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AB954">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85F97">
            <w:pPr>
              <w:jc w:val="center"/>
              <w:rPr>
                <w:rFonts w:hint="eastAsia" w:ascii="仿宋" w:hAnsi="仿宋" w:eastAsia="仿宋" w:cs="仿宋"/>
                <w:i w:val="0"/>
                <w:iCs w:val="0"/>
                <w:color w:val="000000"/>
                <w:sz w:val="20"/>
                <w:szCs w:val="20"/>
                <w:u w:val="none"/>
              </w:rPr>
            </w:pPr>
          </w:p>
        </w:tc>
      </w:tr>
      <w:tr w14:paraId="24ADD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E46C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54</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E508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档案盒</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D034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4公分（塑料）</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4BF4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A218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4156D">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0F19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晶森、得力、晨光、真彩</w:t>
            </w:r>
          </w:p>
        </w:tc>
      </w:tr>
      <w:tr w14:paraId="702D29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6611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55</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2029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档案盒</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B84C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6公分（塑料）</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0C64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45F0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7126D">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4494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晶森、得力、晨光、真彩</w:t>
            </w:r>
          </w:p>
        </w:tc>
      </w:tr>
      <w:tr w14:paraId="306AC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DB4F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56</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F110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档案盒</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4858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8公分（塑料）</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861F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11</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74F2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64FCA">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2F0A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晶森、得力、晨光、真彩</w:t>
            </w:r>
          </w:p>
        </w:tc>
      </w:tr>
      <w:tr w14:paraId="680BB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CE26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57</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C5FA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地板胶</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8078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厚1mm、宽2m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6C77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19</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6860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22F38">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512C5">
            <w:pPr>
              <w:jc w:val="center"/>
              <w:rPr>
                <w:rFonts w:hint="eastAsia" w:ascii="仿宋" w:hAnsi="仿宋" w:eastAsia="仿宋" w:cs="仿宋"/>
                <w:i w:val="0"/>
                <w:iCs w:val="0"/>
                <w:color w:val="000000"/>
                <w:sz w:val="20"/>
                <w:szCs w:val="20"/>
                <w:u w:val="none"/>
              </w:rPr>
            </w:pPr>
          </w:p>
        </w:tc>
      </w:tr>
      <w:tr w14:paraId="01932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71B1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58</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F6B0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地板胶</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1600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厚2mm、宽2m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3F49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29</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EA8F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85DC7">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AEF73">
            <w:pPr>
              <w:jc w:val="center"/>
              <w:rPr>
                <w:rFonts w:hint="eastAsia" w:ascii="仿宋" w:hAnsi="仿宋" w:eastAsia="仿宋" w:cs="仿宋"/>
                <w:i w:val="0"/>
                <w:iCs w:val="0"/>
                <w:color w:val="000000"/>
                <w:sz w:val="20"/>
                <w:szCs w:val="20"/>
                <w:u w:val="none"/>
              </w:rPr>
            </w:pPr>
          </w:p>
        </w:tc>
      </w:tr>
      <w:tr w14:paraId="721E7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0480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59</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BDC0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电池</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A102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7号</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68B9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1A3D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对</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F8DC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是</w:t>
            </w: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8694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公牛、南孚、小米</w:t>
            </w:r>
          </w:p>
        </w:tc>
      </w:tr>
      <w:tr w14:paraId="1D7F6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E69C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60</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B272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电池</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5ABF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5号</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185E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D7EA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对</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0E0B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是</w:t>
            </w: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B775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公牛、南孚、小米</w:t>
            </w:r>
          </w:p>
        </w:tc>
      </w:tr>
      <w:tr w14:paraId="0212A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DDF4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61</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3BFC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电池</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2F51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2号</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826A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18</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E57A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对</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CB3C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是</w:t>
            </w: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B4FE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公牛、南孚、小米</w:t>
            </w:r>
          </w:p>
        </w:tc>
      </w:tr>
      <w:tr w14:paraId="0BD95A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C147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62</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D47D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电池</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7D90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1号</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D84A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24</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6EA6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对</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5F29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是</w:t>
            </w: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7ADA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公牛、南孚、小米</w:t>
            </w:r>
          </w:p>
        </w:tc>
      </w:tr>
      <w:tr w14:paraId="1CE54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6DA3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63</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81A1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电池</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0DDF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9v方形</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123E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1418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块</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D874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是</w:t>
            </w: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C35C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公牛、南孚、小米</w:t>
            </w:r>
          </w:p>
        </w:tc>
      </w:tr>
      <w:tr w14:paraId="1EF706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7FE6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64</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B2F5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电吹风</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EC11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1800W</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E95A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240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65EF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703DD">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C732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飞利浦、飞科、超人</w:t>
            </w:r>
          </w:p>
        </w:tc>
      </w:tr>
      <w:tr w14:paraId="3C3AD0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BDB8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65</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3C2B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电话子母机</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58C1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一拖一</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8CB7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370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A5D1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套</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867A0">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DC90D">
            <w:pPr>
              <w:jc w:val="center"/>
              <w:rPr>
                <w:rFonts w:hint="eastAsia" w:ascii="仿宋" w:hAnsi="仿宋" w:eastAsia="仿宋" w:cs="仿宋"/>
                <w:i w:val="0"/>
                <w:iCs w:val="0"/>
                <w:color w:val="000000"/>
                <w:sz w:val="20"/>
                <w:szCs w:val="20"/>
                <w:u w:val="none"/>
              </w:rPr>
            </w:pPr>
          </w:p>
        </w:tc>
      </w:tr>
      <w:tr w14:paraId="63A4A1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AC7A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66</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9A9A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电话子母机</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2033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一拖一</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802E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600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BE59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套</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3D086">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75837">
            <w:pPr>
              <w:jc w:val="center"/>
              <w:rPr>
                <w:rFonts w:hint="eastAsia" w:ascii="仿宋" w:hAnsi="仿宋" w:eastAsia="仿宋" w:cs="仿宋"/>
                <w:i w:val="0"/>
                <w:iCs w:val="0"/>
                <w:color w:val="000000"/>
                <w:sz w:val="20"/>
                <w:szCs w:val="20"/>
                <w:u w:val="none"/>
              </w:rPr>
            </w:pPr>
          </w:p>
        </w:tc>
      </w:tr>
      <w:tr w14:paraId="486359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6885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67</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5040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电话座机</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BAF7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787</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3804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06AC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0BF53">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18240">
            <w:pPr>
              <w:jc w:val="center"/>
              <w:rPr>
                <w:rFonts w:hint="eastAsia" w:ascii="仿宋" w:hAnsi="仿宋" w:eastAsia="仿宋" w:cs="仿宋"/>
                <w:i w:val="0"/>
                <w:iCs w:val="0"/>
                <w:color w:val="000000"/>
                <w:sz w:val="20"/>
                <w:szCs w:val="20"/>
                <w:u w:val="none"/>
              </w:rPr>
            </w:pPr>
          </w:p>
        </w:tc>
      </w:tr>
      <w:tr w14:paraId="11462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875E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68</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EA30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电灭蚊器</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81BA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卷线式</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D130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876E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6AF20">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757F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彩虹、榄菊、超威</w:t>
            </w:r>
          </w:p>
        </w:tc>
      </w:tr>
      <w:tr w14:paraId="65D00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5036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69</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4DE8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电灭蚊药片</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0B58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30片装</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DFD8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16</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0925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盒</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6FE09">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6D09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彩虹、榄菊、超威</w:t>
            </w:r>
          </w:p>
        </w:tc>
      </w:tr>
      <w:tr w14:paraId="1BDBD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4D25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70</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C660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电灭蚊药片</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9DF7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30片装（儿童药片）</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9ECE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18</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9DD6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盒</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7FAB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是</w:t>
            </w: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11CC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彩虹、榄菊、超威</w:t>
            </w:r>
          </w:p>
        </w:tc>
      </w:tr>
      <w:tr w14:paraId="5B8F1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E378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71</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3468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电热毯</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FDC0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单人</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6505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436A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F3625">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A1924">
            <w:pPr>
              <w:jc w:val="center"/>
              <w:rPr>
                <w:rFonts w:hint="eastAsia" w:ascii="仿宋" w:hAnsi="仿宋" w:eastAsia="仿宋" w:cs="仿宋"/>
                <w:i w:val="0"/>
                <w:iCs w:val="0"/>
                <w:color w:val="000000"/>
                <w:sz w:val="20"/>
                <w:szCs w:val="20"/>
                <w:u w:val="none"/>
              </w:rPr>
            </w:pPr>
          </w:p>
        </w:tc>
      </w:tr>
      <w:tr w14:paraId="36D58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11CA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72</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BDCC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电源线</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9A70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F655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19</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2B71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条</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D4A7D">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16AD8">
            <w:pPr>
              <w:jc w:val="center"/>
              <w:rPr>
                <w:rFonts w:hint="eastAsia" w:ascii="仿宋" w:hAnsi="仿宋" w:eastAsia="仿宋" w:cs="仿宋"/>
                <w:i w:val="0"/>
                <w:iCs w:val="0"/>
                <w:color w:val="000000"/>
                <w:sz w:val="20"/>
                <w:szCs w:val="20"/>
                <w:u w:val="none"/>
              </w:rPr>
            </w:pPr>
          </w:p>
        </w:tc>
      </w:tr>
      <w:tr w14:paraId="4FD8F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E45E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73</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0B9C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电子克秤</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033B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精确度：0.1克，材质：不锈钢</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F685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79</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9D8A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A9114">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3F3D0">
            <w:pPr>
              <w:jc w:val="center"/>
              <w:rPr>
                <w:rFonts w:hint="eastAsia" w:ascii="仿宋" w:hAnsi="仿宋" w:eastAsia="仿宋" w:cs="仿宋"/>
                <w:i w:val="0"/>
                <w:iCs w:val="0"/>
                <w:color w:val="000000"/>
                <w:sz w:val="20"/>
                <w:szCs w:val="20"/>
                <w:u w:val="none"/>
              </w:rPr>
            </w:pPr>
          </w:p>
        </w:tc>
      </w:tr>
      <w:tr w14:paraId="465ADA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445C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74</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5502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电子台秤</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F13A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材质：不锈钢</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96EE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D40E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台</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10DEF">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93F7E">
            <w:pPr>
              <w:jc w:val="center"/>
              <w:rPr>
                <w:rFonts w:hint="eastAsia" w:ascii="仿宋" w:hAnsi="仿宋" w:eastAsia="仿宋" w:cs="仿宋"/>
                <w:i w:val="0"/>
                <w:iCs w:val="0"/>
                <w:color w:val="000000"/>
                <w:sz w:val="20"/>
                <w:szCs w:val="20"/>
                <w:u w:val="none"/>
              </w:rPr>
            </w:pPr>
          </w:p>
        </w:tc>
      </w:tr>
      <w:tr w14:paraId="1F883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0553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75</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EDEF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订书机</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DFFC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中号</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9DF9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E3CB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D2133">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DB77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w:t>
            </w:r>
          </w:p>
        </w:tc>
      </w:tr>
      <w:tr w14:paraId="7A5654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E0BD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76</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E6E8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订书机</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1A6E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抗菌</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AA03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7F47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07598">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701A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SDI、齐心、手牌</w:t>
            </w:r>
          </w:p>
        </w:tc>
      </w:tr>
      <w:tr w14:paraId="0113B2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1C13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77</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BFA4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订书机</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9E3B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特小号</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6C32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BFA1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16C3E">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E9DE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w:t>
            </w:r>
          </w:p>
        </w:tc>
      </w:tr>
      <w:tr w14:paraId="50238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EE54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78</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5944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订书机</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32E1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重型</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6B93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160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4983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台</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1BD9A">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D78A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w:t>
            </w:r>
          </w:p>
        </w:tc>
      </w:tr>
      <w:tr w14:paraId="71AEE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157B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79</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5C32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订书机</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E524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转角</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18B6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22</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8B3D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35147">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0DC5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w:t>
            </w:r>
          </w:p>
        </w:tc>
      </w:tr>
      <w:tr w14:paraId="142E4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A50D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80</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0709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订书机（加厚）</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A745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大号</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5B77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A24A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FE857">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21D6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w:t>
            </w:r>
          </w:p>
        </w:tc>
      </w:tr>
      <w:tr w14:paraId="0BF96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B27D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81</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2AE9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订书针</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1D73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41D4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DC36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盒</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B7393">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10B4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w:t>
            </w:r>
          </w:p>
        </w:tc>
      </w:tr>
      <w:tr w14:paraId="51C48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AAAB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82</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7DCE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订书针</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EA0C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加厚</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96DB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5AA4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盒</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D9E68">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58BB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w:t>
            </w:r>
          </w:p>
        </w:tc>
      </w:tr>
      <w:tr w14:paraId="6EB90C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5CF3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83</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71AB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美工刀</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AB54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塑料（大号）</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0C3E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717F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把</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9C5D3">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78ED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w:t>
            </w:r>
          </w:p>
        </w:tc>
      </w:tr>
      <w:tr w14:paraId="48A9B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46AE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84</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4524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美工刀</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843A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全不锈钢（大号）</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FB55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EA2D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把</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06E24">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4024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w:t>
            </w:r>
          </w:p>
        </w:tc>
      </w:tr>
      <w:tr w14:paraId="7014A7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EA6B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85</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416F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帆布手套</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343D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帆布、分指</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A8FB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362A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双</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98595">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79381">
            <w:pPr>
              <w:jc w:val="center"/>
              <w:rPr>
                <w:rFonts w:hint="eastAsia" w:ascii="仿宋" w:hAnsi="仿宋" w:eastAsia="仿宋" w:cs="仿宋"/>
                <w:i w:val="0"/>
                <w:iCs w:val="0"/>
                <w:color w:val="000000"/>
                <w:sz w:val="20"/>
                <w:szCs w:val="20"/>
                <w:u w:val="none"/>
              </w:rPr>
            </w:pPr>
          </w:p>
        </w:tc>
      </w:tr>
      <w:tr w14:paraId="54197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3838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86</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CAAE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防滑垫</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A69E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厚2.0mm(加厚、幅宽200cm)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317A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0DD5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平方米</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0EA80">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A8C7A">
            <w:pPr>
              <w:jc w:val="center"/>
              <w:rPr>
                <w:rFonts w:hint="eastAsia" w:ascii="仿宋" w:hAnsi="仿宋" w:eastAsia="仿宋" w:cs="仿宋"/>
                <w:i w:val="0"/>
                <w:iCs w:val="0"/>
                <w:color w:val="000000"/>
                <w:sz w:val="20"/>
                <w:szCs w:val="20"/>
                <w:u w:val="none"/>
              </w:rPr>
            </w:pPr>
          </w:p>
        </w:tc>
      </w:tr>
      <w:tr w14:paraId="34D1F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AA3F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87</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4E70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肥皂</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71E1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250克（30块一件）</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E960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87FB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块</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463D1">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3511D">
            <w:pPr>
              <w:jc w:val="center"/>
              <w:rPr>
                <w:rFonts w:hint="eastAsia" w:ascii="仿宋" w:hAnsi="仿宋" w:eastAsia="仿宋" w:cs="仿宋"/>
                <w:i w:val="0"/>
                <w:iCs w:val="0"/>
                <w:color w:val="000000"/>
                <w:sz w:val="20"/>
                <w:szCs w:val="20"/>
                <w:u w:val="none"/>
              </w:rPr>
            </w:pPr>
          </w:p>
        </w:tc>
      </w:tr>
      <w:tr w14:paraId="5D61C3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75FF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88</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3914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分类垃圾桶</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30C8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445*330*540mm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6DF7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CDA2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E50E1">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F425D">
            <w:pPr>
              <w:jc w:val="center"/>
              <w:rPr>
                <w:rFonts w:hint="eastAsia" w:ascii="仿宋" w:hAnsi="仿宋" w:eastAsia="仿宋" w:cs="仿宋"/>
                <w:i w:val="0"/>
                <w:iCs w:val="0"/>
                <w:color w:val="000000"/>
                <w:sz w:val="20"/>
                <w:szCs w:val="20"/>
                <w:u w:val="none"/>
              </w:rPr>
            </w:pPr>
          </w:p>
        </w:tc>
      </w:tr>
      <w:tr w14:paraId="2BE07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B90B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89</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83E1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复写板</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56A2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A4</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34CC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6352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块</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5756B">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3037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w:t>
            </w:r>
          </w:p>
        </w:tc>
      </w:tr>
      <w:tr w14:paraId="1D5B56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5596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90</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CC49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钢丝球</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B186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不锈钢</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664A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F7BA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61A75">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478AB">
            <w:pPr>
              <w:jc w:val="center"/>
              <w:rPr>
                <w:rFonts w:hint="eastAsia" w:ascii="仿宋" w:hAnsi="仿宋" w:eastAsia="仿宋" w:cs="仿宋"/>
                <w:i w:val="0"/>
                <w:iCs w:val="0"/>
                <w:color w:val="000000"/>
                <w:sz w:val="20"/>
                <w:szCs w:val="20"/>
                <w:u w:val="none"/>
              </w:rPr>
            </w:pPr>
          </w:p>
        </w:tc>
      </w:tr>
      <w:tr w14:paraId="28EF5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BC8D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91</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502D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钢直尺</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2F11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25cm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EDA5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FE59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把</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73DF3">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EDAD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w:t>
            </w:r>
          </w:p>
        </w:tc>
      </w:tr>
      <w:tr w14:paraId="5E8F5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B1DC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92</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5F71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哥俩好胶水</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CDBF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10ML</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20C2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035A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板</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76683">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8ACF6">
            <w:pPr>
              <w:jc w:val="center"/>
              <w:rPr>
                <w:rFonts w:hint="eastAsia" w:ascii="仿宋" w:hAnsi="仿宋" w:eastAsia="仿宋" w:cs="仿宋"/>
                <w:i w:val="0"/>
                <w:iCs w:val="0"/>
                <w:color w:val="000000"/>
                <w:sz w:val="20"/>
                <w:szCs w:val="20"/>
                <w:u w:val="none"/>
              </w:rPr>
            </w:pPr>
          </w:p>
        </w:tc>
      </w:tr>
      <w:tr w14:paraId="2F4A25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BDC8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93</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E1D8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隔离杆</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6579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2米</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C25B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170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FE96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根</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DB495">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44D90">
            <w:pPr>
              <w:jc w:val="center"/>
              <w:rPr>
                <w:rFonts w:hint="eastAsia" w:ascii="仿宋" w:hAnsi="仿宋" w:eastAsia="仿宋" w:cs="仿宋"/>
                <w:i w:val="0"/>
                <w:iCs w:val="0"/>
                <w:color w:val="000000"/>
                <w:sz w:val="20"/>
                <w:szCs w:val="20"/>
                <w:u w:val="none"/>
              </w:rPr>
            </w:pPr>
          </w:p>
        </w:tc>
      </w:tr>
      <w:tr w14:paraId="1C72C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B425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94</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E58A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固体胶</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0A36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15g(12支）</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8883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3102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支</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BCD79">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398B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48687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29D3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95</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7767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挂式电话</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371A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挂式</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1BF8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5052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132BE">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8FAA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67DC77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E36D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96</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62B9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挂钟</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8BB8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12英寸（直径30.5cm)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BEC2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B949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52459">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A9ED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3ED52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B05E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97</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2818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光敏印油</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FC85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10ml</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1653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E372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瓶</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44C75">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1B45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49EA9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C690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98</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7ED0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海绵缸</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4C99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7*7cm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AF9B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6EF7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55338">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38C7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2ED24F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1DA9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99</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E97E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红糖</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E443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1公斤</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395B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E7DB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公斤</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46D68">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8EE84">
            <w:pPr>
              <w:jc w:val="center"/>
              <w:rPr>
                <w:rFonts w:hint="eastAsia" w:ascii="仿宋" w:hAnsi="仿宋" w:eastAsia="仿宋" w:cs="仿宋"/>
                <w:i w:val="0"/>
                <w:iCs w:val="0"/>
                <w:color w:val="000000"/>
                <w:sz w:val="20"/>
                <w:szCs w:val="20"/>
                <w:u w:val="none"/>
              </w:rPr>
            </w:pPr>
          </w:p>
        </w:tc>
      </w:tr>
      <w:tr w14:paraId="208B2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FF33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FFB1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户外罗马伞</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5051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3*3M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0F66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2200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2921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把</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C6B2D">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71D25">
            <w:pPr>
              <w:jc w:val="center"/>
              <w:rPr>
                <w:rFonts w:hint="eastAsia" w:ascii="仿宋" w:hAnsi="仿宋" w:eastAsia="仿宋" w:cs="仿宋"/>
                <w:i w:val="0"/>
                <w:iCs w:val="0"/>
                <w:color w:val="000000"/>
                <w:sz w:val="20"/>
                <w:szCs w:val="20"/>
                <w:u w:val="none"/>
              </w:rPr>
            </w:pPr>
          </w:p>
        </w:tc>
      </w:tr>
      <w:tr w14:paraId="15638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210F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101</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5DD3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花线手套</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8896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材质：260克纯棉</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B6F6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99EB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双</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C8FCC">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371CB">
            <w:pPr>
              <w:jc w:val="center"/>
              <w:rPr>
                <w:rFonts w:hint="eastAsia" w:ascii="仿宋" w:hAnsi="仿宋" w:eastAsia="仿宋" w:cs="仿宋"/>
                <w:i w:val="0"/>
                <w:iCs w:val="0"/>
                <w:color w:val="000000"/>
                <w:sz w:val="20"/>
                <w:szCs w:val="20"/>
                <w:u w:val="none"/>
              </w:rPr>
            </w:pPr>
          </w:p>
        </w:tc>
      </w:tr>
      <w:tr w14:paraId="386E5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4B08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102</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7EFD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回形针</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9A49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3#*100只</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565E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2E4B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盒</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E268A">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DD12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6BE91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E75C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103</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27CE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会议笔记本</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3BBB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皮本A4（软皮）</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B47D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27</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6476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本</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9943E">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E36D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申士、得力、晨光、真彩、齐心</w:t>
            </w:r>
          </w:p>
        </w:tc>
      </w:tr>
      <w:tr w14:paraId="4520D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0F5C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104</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5AAF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会议牌</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ECF7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22*15</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4084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11</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69AE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B1C65">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63917">
            <w:pPr>
              <w:jc w:val="center"/>
              <w:rPr>
                <w:rFonts w:hint="eastAsia" w:ascii="仿宋" w:hAnsi="仿宋" w:eastAsia="仿宋" w:cs="仿宋"/>
                <w:i w:val="0"/>
                <w:iCs w:val="0"/>
                <w:color w:val="000000"/>
                <w:sz w:val="20"/>
                <w:szCs w:val="20"/>
                <w:u w:val="none"/>
              </w:rPr>
            </w:pPr>
          </w:p>
        </w:tc>
      </w:tr>
      <w:tr w14:paraId="12717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3A25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105</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442B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会议三件套</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BC80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（笔、袋、记事本）</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E7BB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BBEF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套</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D840A">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BF5A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5AA1C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E28D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106</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4EC8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火钳</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29B7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0.5m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A3AD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17</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6425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把</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A6793">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1DF0D">
            <w:pPr>
              <w:jc w:val="center"/>
              <w:rPr>
                <w:rFonts w:hint="eastAsia" w:ascii="仿宋" w:hAnsi="仿宋" w:eastAsia="仿宋" w:cs="仿宋"/>
                <w:i w:val="0"/>
                <w:iCs w:val="0"/>
                <w:color w:val="000000"/>
                <w:sz w:val="20"/>
                <w:szCs w:val="20"/>
                <w:u w:val="none"/>
              </w:rPr>
            </w:pPr>
          </w:p>
        </w:tc>
      </w:tr>
      <w:tr w14:paraId="6FF0B5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ED39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107</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7EF0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计算器</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7535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标准方形</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EA8E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F4A1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324A1">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B08E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5D209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684C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108</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53BE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记事本（皮本）</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0E6F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100K(75*108mm80页）</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8B66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F136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本</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18309">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1B41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申士、得力、晨光、真彩、齐心</w:t>
            </w:r>
          </w:p>
        </w:tc>
      </w:tr>
      <w:tr w14:paraId="173C6D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1088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109</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0EDC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记事本（皮本）</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85BF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18K(141*207mm)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3C36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FE85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本</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4BF25">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6394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申士、得力、晨光、真彩、齐心</w:t>
            </w:r>
          </w:p>
        </w:tc>
      </w:tr>
      <w:tr w14:paraId="799348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7378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110</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57A5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记事本（皮本）</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7FFD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25K(145*205)</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5656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DA88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本</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3B737">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AD8C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申士、得力、晨光、真彩、齐心</w:t>
            </w:r>
          </w:p>
        </w:tc>
      </w:tr>
      <w:tr w14:paraId="3E14B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5915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111</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26AE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记事本（皮本）</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905F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A4(210*285)</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4539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22</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BD10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本</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18E77">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17F7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申士、得力、晨光、真彩、齐心</w:t>
            </w:r>
          </w:p>
        </w:tc>
      </w:tr>
      <w:tr w14:paraId="21BC9D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D8BB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112</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324F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加厚白方巾</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E7CD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45*45cm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A1DC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33FD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块</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4FF45">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95AE9">
            <w:pPr>
              <w:jc w:val="center"/>
              <w:rPr>
                <w:rFonts w:hint="eastAsia" w:ascii="仿宋" w:hAnsi="仿宋" w:eastAsia="仿宋" w:cs="仿宋"/>
                <w:i w:val="0"/>
                <w:iCs w:val="0"/>
                <w:color w:val="000000"/>
                <w:sz w:val="20"/>
                <w:szCs w:val="20"/>
                <w:u w:val="none"/>
              </w:rPr>
            </w:pPr>
          </w:p>
        </w:tc>
      </w:tr>
      <w:tr w14:paraId="7976C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F0CC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113</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2C7F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剪刀</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46B5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170cm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0AB4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07D7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把</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1DF4C">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1219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申士、得力、晨光、真彩、齐心</w:t>
            </w:r>
          </w:p>
        </w:tc>
      </w:tr>
      <w:tr w14:paraId="2DA85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87F8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114</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4B48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剪刀</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3E81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210cm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1D01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5A74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把</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F2538">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A216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申士、得力、晨光、真彩、齐心</w:t>
            </w:r>
          </w:p>
        </w:tc>
      </w:tr>
      <w:tr w14:paraId="0DFC7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B1FB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115</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32F2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剪刀</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2DCD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学生剪</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6820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1B5B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把</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EFE65">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B53A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申士、得力、晨光、真彩、齐心</w:t>
            </w:r>
          </w:p>
        </w:tc>
      </w:tr>
      <w:tr w14:paraId="568B30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B47A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116</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63FF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降解塑料袋</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76A8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定制</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95C6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A301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F2889">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A2F7C">
            <w:pPr>
              <w:jc w:val="center"/>
              <w:rPr>
                <w:rFonts w:hint="eastAsia" w:ascii="仿宋" w:hAnsi="仿宋" w:eastAsia="仿宋" w:cs="仿宋"/>
                <w:i w:val="0"/>
                <w:iCs w:val="0"/>
                <w:color w:val="000000"/>
                <w:sz w:val="20"/>
                <w:szCs w:val="20"/>
                <w:u w:val="none"/>
              </w:rPr>
            </w:pPr>
          </w:p>
        </w:tc>
      </w:tr>
      <w:tr w14:paraId="7B0CA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03C8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117</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ECA1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胶带机</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86AA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9F47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BDE4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98F54">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9FE4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2D81D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7553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118</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A4C2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胶水</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3361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50ml</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1FDD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2FA1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瓶</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5B4C1">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5A36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5A63D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5BC9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119</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DE4E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无芯卷筒纸</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A2C6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10卷/提、材质：原生木浆</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7294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27</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D989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提</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19320">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4ACA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洁柔、心相印、清风</w:t>
            </w:r>
          </w:p>
        </w:tc>
      </w:tr>
      <w:tr w14:paraId="55583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7B26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120</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BD2B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科学计算器</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7842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黑色240种功能</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43CA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7D81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DA7E6">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6BE2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41440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1F0D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121</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8E34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快干印泥盒</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3492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铁壳</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8E2E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6BC3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AE856">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7D14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65AD0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D5E0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122</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205C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快干印台</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DE96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方形</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EAD6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3288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4956B">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05AE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58C331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4FAB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123</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E730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快干印油</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2D93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40ml</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7837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CA2D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瓶</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B3BFE">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E4BD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426C5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C2E7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124</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5AA9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快劳夹</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D05C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75mm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A863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06A4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7A178">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EE99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55129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CB4A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125</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DE94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快劳夹</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C90F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55mm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3A8C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7DF6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DAFB4">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2345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23B98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7C9A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126</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9D9C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快劳夹内页</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48FC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11孔（加厚）</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AC6E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899D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4CF55">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423A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2067B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3CCC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127</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E5A9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捆扎带</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9831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D862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FC13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卷</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856F4">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74B9A">
            <w:pPr>
              <w:jc w:val="center"/>
              <w:rPr>
                <w:rFonts w:hint="eastAsia" w:ascii="仿宋" w:hAnsi="仿宋" w:eastAsia="仿宋" w:cs="仿宋"/>
                <w:i w:val="0"/>
                <w:iCs w:val="0"/>
                <w:color w:val="000000"/>
                <w:sz w:val="20"/>
                <w:szCs w:val="20"/>
                <w:u w:val="none"/>
              </w:rPr>
            </w:pPr>
          </w:p>
        </w:tc>
      </w:tr>
      <w:tr w14:paraId="695FA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D461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128</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D075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垃圾袋</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2839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36cm(黑色35个）</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28D0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65CB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把</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CD6B2">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CD0DE">
            <w:pPr>
              <w:jc w:val="center"/>
              <w:rPr>
                <w:rFonts w:hint="eastAsia" w:ascii="仿宋" w:hAnsi="仿宋" w:eastAsia="仿宋" w:cs="仿宋"/>
                <w:i w:val="0"/>
                <w:iCs w:val="0"/>
                <w:color w:val="000000"/>
                <w:sz w:val="20"/>
                <w:szCs w:val="20"/>
                <w:u w:val="none"/>
              </w:rPr>
            </w:pPr>
          </w:p>
        </w:tc>
      </w:tr>
      <w:tr w14:paraId="0A3BE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AFF4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129</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BA51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垃圾袋</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D6A5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42cm(白、黄、黑三色35个）</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62A6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8C1A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把</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D12AC">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5716F">
            <w:pPr>
              <w:jc w:val="center"/>
              <w:rPr>
                <w:rFonts w:hint="eastAsia" w:ascii="仿宋" w:hAnsi="仿宋" w:eastAsia="仿宋" w:cs="仿宋"/>
                <w:i w:val="0"/>
                <w:iCs w:val="0"/>
                <w:color w:val="000000"/>
                <w:sz w:val="20"/>
                <w:szCs w:val="20"/>
                <w:u w:val="none"/>
              </w:rPr>
            </w:pPr>
          </w:p>
        </w:tc>
      </w:tr>
      <w:tr w14:paraId="358024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104C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130</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D40A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垃圾桶</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CF34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120L带轮或带脚踏</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C917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180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BC71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支</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2E9AA">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C629A">
            <w:pPr>
              <w:jc w:val="center"/>
              <w:rPr>
                <w:rFonts w:hint="eastAsia" w:ascii="仿宋" w:hAnsi="仿宋" w:eastAsia="仿宋" w:cs="仿宋"/>
                <w:i w:val="0"/>
                <w:iCs w:val="0"/>
                <w:color w:val="000000"/>
                <w:sz w:val="20"/>
                <w:szCs w:val="20"/>
                <w:u w:val="none"/>
              </w:rPr>
            </w:pPr>
          </w:p>
        </w:tc>
      </w:tr>
      <w:tr w14:paraId="48CAE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BBE1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131</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ECAA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立式电子秤</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DE97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300Kg材质：金属</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74FA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0526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台</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A5548">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085E5">
            <w:pPr>
              <w:jc w:val="center"/>
              <w:rPr>
                <w:rFonts w:hint="eastAsia" w:ascii="仿宋" w:hAnsi="仿宋" w:eastAsia="仿宋" w:cs="仿宋"/>
                <w:i w:val="0"/>
                <w:iCs w:val="0"/>
                <w:color w:val="000000"/>
                <w:sz w:val="20"/>
                <w:szCs w:val="20"/>
                <w:u w:val="none"/>
              </w:rPr>
            </w:pPr>
          </w:p>
        </w:tc>
      </w:tr>
      <w:tr w14:paraId="39584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87C4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132</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EC30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利器盒</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C558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1L(圆形）</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D087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118A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FB753">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E204C">
            <w:pPr>
              <w:jc w:val="center"/>
              <w:rPr>
                <w:rFonts w:hint="eastAsia" w:ascii="仿宋" w:hAnsi="仿宋" w:eastAsia="仿宋" w:cs="仿宋"/>
                <w:i w:val="0"/>
                <w:iCs w:val="0"/>
                <w:color w:val="000000"/>
                <w:sz w:val="20"/>
                <w:szCs w:val="20"/>
                <w:u w:val="none"/>
              </w:rPr>
            </w:pPr>
          </w:p>
        </w:tc>
      </w:tr>
      <w:tr w14:paraId="69C9F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A9C5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133</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8E92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利器盒</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8BB4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3L(圆形）</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2138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F1CD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4806A">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A4BAE">
            <w:pPr>
              <w:jc w:val="center"/>
              <w:rPr>
                <w:rFonts w:hint="eastAsia" w:ascii="仿宋" w:hAnsi="仿宋" w:eastAsia="仿宋" w:cs="仿宋"/>
                <w:i w:val="0"/>
                <w:iCs w:val="0"/>
                <w:color w:val="000000"/>
                <w:sz w:val="20"/>
                <w:szCs w:val="20"/>
                <w:u w:val="none"/>
              </w:rPr>
            </w:pPr>
          </w:p>
        </w:tc>
      </w:tr>
      <w:tr w14:paraId="02D55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E5A6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134</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5584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利器盒</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105B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5L（圆形）</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D03B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7B2B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52E08">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F070F">
            <w:pPr>
              <w:jc w:val="center"/>
              <w:rPr>
                <w:rFonts w:hint="eastAsia" w:ascii="仿宋" w:hAnsi="仿宋" w:eastAsia="仿宋" w:cs="仿宋"/>
                <w:i w:val="0"/>
                <w:iCs w:val="0"/>
                <w:color w:val="000000"/>
                <w:sz w:val="20"/>
                <w:szCs w:val="20"/>
                <w:u w:val="none"/>
              </w:rPr>
            </w:pPr>
          </w:p>
        </w:tc>
      </w:tr>
      <w:tr w14:paraId="0E6FD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2502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135</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3017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利器盒</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7E17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15L(圆形）</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18F9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A8EA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ECF8C">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4930A">
            <w:pPr>
              <w:jc w:val="center"/>
              <w:rPr>
                <w:rFonts w:hint="eastAsia" w:ascii="仿宋" w:hAnsi="仿宋" w:eastAsia="仿宋" w:cs="仿宋"/>
                <w:i w:val="0"/>
                <w:iCs w:val="0"/>
                <w:color w:val="000000"/>
                <w:sz w:val="20"/>
                <w:szCs w:val="20"/>
                <w:u w:val="none"/>
              </w:rPr>
            </w:pPr>
          </w:p>
        </w:tc>
      </w:tr>
      <w:tr w14:paraId="7A0D8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8A24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136</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6D15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利器盒</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EF17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3L（方形）</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0053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F507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86395">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9AB11">
            <w:pPr>
              <w:jc w:val="center"/>
              <w:rPr>
                <w:rFonts w:hint="eastAsia" w:ascii="仿宋" w:hAnsi="仿宋" w:eastAsia="仿宋" w:cs="仿宋"/>
                <w:i w:val="0"/>
                <w:iCs w:val="0"/>
                <w:color w:val="000000"/>
                <w:sz w:val="20"/>
                <w:szCs w:val="20"/>
                <w:u w:val="none"/>
              </w:rPr>
            </w:pPr>
          </w:p>
        </w:tc>
      </w:tr>
      <w:tr w14:paraId="20019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8FCE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137</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7432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利器盒</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4192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5L（方形）</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C5DD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E562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2944F">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311C7">
            <w:pPr>
              <w:jc w:val="center"/>
              <w:rPr>
                <w:rFonts w:hint="eastAsia" w:ascii="仿宋" w:hAnsi="仿宋" w:eastAsia="仿宋" w:cs="仿宋"/>
                <w:i w:val="0"/>
                <w:iCs w:val="0"/>
                <w:color w:val="000000"/>
                <w:sz w:val="20"/>
                <w:szCs w:val="20"/>
                <w:u w:val="none"/>
              </w:rPr>
            </w:pPr>
          </w:p>
        </w:tc>
      </w:tr>
      <w:tr w14:paraId="6B77F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41BF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138</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A4E1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利器盒</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4B57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15L（方形）</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E2A7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24</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ED86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0E2FF">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BC9FA">
            <w:pPr>
              <w:jc w:val="center"/>
              <w:rPr>
                <w:rFonts w:hint="eastAsia" w:ascii="仿宋" w:hAnsi="仿宋" w:eastAsia="仿宋" w:cs="仿宋"/>
                <w:i w:val="0"/>
                <w:iCs w:val="0"/>
                <w:color w:val="000000"/>
                <w:sz w:val="20"/>
                <w:szCs w:val="20"/>
                <w:u w:val="none"/>
              </w:rPr>
            </w:pPr>
          </w:p>
        </w:tc>
      </w:tr>
      <w:tr w14:paraId="7CC11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A060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139</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DE60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练习本</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3CB5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24F</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EA00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84ED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本</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68FD3">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96678">
            <w:pPr>
              <w:jc w:val="center"/>
              <w:rPr>
                <w:rFonts w:hint="eastAsia" w:ascii="仿宋" w:hAnsi="仿宋" w:eastAsia="仿宋" w:cs="仿宋"/>
                <w:i w:val="0"/>
                <w:iCs w:val="0"/>
                <w:color w:val="000000"/>
                <w:sz w:val="20"/>
                <w:szCs w:val="20"/>
                <w:u w:val="none"/>
              </w:rPr>
            </w:pPr>
          </w:p>
        </w:tc>
      </w:tr>
      <w:tr w14:paraId="0BBBDE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42B3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140</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92ED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链子锁</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E770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 xml:space="preserve">大号 </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1F98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42</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CE55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条</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5FD12">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469E7">
            <w:pPr>
              <w:jc w:val="center"/>
              <w:rPr>
                <w:rFonts w:hint="eastAsia" w:ascii="仿宋" w:hAnsi="仿宋" w:eastAsia="仿宋" w:cs="仿宋"/>
                <w:i w:val="0"/>
                <w:iCs w:val="0"/>
                <w:color w:val="000000"/>
                <w:sz w:val="20"/>
                <w:szCs w:val="20"/>
                <w:u w:val="none"/>
              </w:rPr>
            </w:pPr>
          </w:p>
        </w:tc>
      </w:tr>
      <w:tr w14:paraId="3D6D4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1BDC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141</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E0F0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晾衣盘</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C983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不锈钢</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7322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38</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32B3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9EF0E">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1BD03">
            <w:pPr>
              <w:jc w:val="center"/>
              <w:rPr>
                <w:rFonts w:hint="eastAsia" w:ascii="仿宋" w:hAnsi="仿宋" w:eastAsia="仿宋" w:cs="仿宋"/>
                <w:i w:val="0"/>
                <w:iCs w:val="0"/>
                <w:color w:val="000000"/>
                <w:sz w:val="20"/>
                <w:szCs w:val="20"/>
                <w:u w:val="none"/>
              </w:rPr>
            </w:pPr>
          </w:p>
        </w:tc>
      </w:tr>
      <w:tr w14:paraId="41D1A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5A93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142</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969E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毛笔</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4D5F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D799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32D3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支</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F81A0">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AC006">
            <w:pPr>
              <w:jc w:val="center"/>
              <w:rPr>
                <w:rFonts w:hint="eastAsia" w:ascii="仿宋" w:hAnsi="仿宋" w:eastAsia="仿宋" w:cs="仿宋"/>
                <w:i w:val="0"/>
                <w:iCs w:val="0"/>
                <w:color w:val="000000"/>
                <w:sz w:val="20"/>
                <w:szCs w:val="20"/>
                <w:u w:val="none"/>
              </w:rPr>
            </w:pPr>
          </w:p>
        </w:tc>
      </w:tr>
      <w:tr w14:paraId="380DD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4C49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143</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DE05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毛巾</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04CD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350*750（化纤）</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362E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EF49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块</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84E8E">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7B148">
            <w:pPr>
              <w:jc w:val="center"/>
              <w:rPr>
                <w:rFonts w:hint="eastAsia" w:ascii="仿宋" w:hAnsi="仿宋" w:eastAsia="仿宋" w:cs="仿宋"/>
                <w:i w:val="0"/>
                <w:iCs w:val="0"/>
                <w:color w:val="000000"/>
                <w:sz w:val="20"/>
                <w:szCs w:val="20"/>
                <w:u w:val="none"/>
              </w:rPr>
            </w:pPr>
          </w:p>
        </w:tc>
      </w:tr>
      <w:tr w14:paraId="551B37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8DD3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144</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E6AE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毛巾</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B4FC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350*750（纯棉）</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1418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11</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26A1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块</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4E70F">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030D4">
            <w:pPr>
              <w:jc w:val="center"/>
              <w:rPr>
                <w:rFonts w:hint="eastAsia" w:ascii="仿宋" w:hAnsi="仿宋" w:eastAsia="仿宋" w:cs="仿宋"/>
                <w:i w:val="0"/>
                <w:iCs w:val="0"/>
                <w:color w:val="000000"/>
                <w:sz w:val="20"/>
                <w:szCs w:val="20"/>
                <w:u w:val="none"/>
              </w:rPr>
            </w:pPr>
          </w:p>
        </w:tc>
      </w:tr>
      <w:tr w14:paraId="25EC0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B32E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145</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6B1F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美工刀片</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CEA3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大号</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AB48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5EC8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盒</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F8225">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353E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05F9A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07B0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146</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B474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面巾纸</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73FE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70抽</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A381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0698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包</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4E82C">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DF47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洁柔、心相印、清风</w:t>
            </w:r>
          </w:p>
        </w:tc>
      </w:tr>
      <w:tr w14:paraId="2C01C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793E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147</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F2BC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面膜贴</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8C72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100片</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952C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16</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61B2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B61DB">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F84E8">
            <w:pPr>
              <w:jc w:val="center"/>
              <w:rPr>
                <w:rFonts w:hint="eastAsia" w:ascii="仿宋" w:hAnsi="仿宋" w:eastAsia="仿宋" w:cs="仿宋"/>
                <w:i w:val="0"/>
                <w:iCs w:val="0"/>
                <w:color w:val="000000"/>
                <w:sz w:val="20"/>
                <w:szCs w:val="20"/>
                <w:u w:val="none"/>
              </w:rPr>
            </w:pPr>
          </w:p>
        </w:tc>
      </w:tr>
      <w:tr w14:paraId="2C8B1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D969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148</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65A3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灭害灵</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4FA8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750ML</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B722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17</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A181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瓶</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159AF">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A4C9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超威、雷达、榄菊</w:t>
            </w:r>
          </w:p>
        </w:tc>
      </w:tr>
      <w:tr w14:paraId="544EE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0E5E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149</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C378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牛筋乳胶手套</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DC86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乳胶</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FACA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3595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双</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280CF">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F9FA2">
            <w:pPr>
              <w:jc w:val="center"/>
              <w:rPr>
                <w:rFonts w:hint="eastAsia" w:ascii="仿宋" w:hAnsi="仿宋" w:eastAsia="仿宋" w:cs="仿宋"/>
                <w:i w:val="0"/>
                <w:iCs w:val="0"/>
                <w:color w:val="000000"/>
                <w:sz w:val="20"/>
                <w:szCs w:val="20"/>
                <w:u w:val="none"/>
              </w:rPr>
            </w:pPr>
          </w:p>
        </w:tc>
      </w:tr>
      <w:tr w14:paraId="7E4B5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AEF3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150</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5153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牛皮纸档案袋</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12C9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A4</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3FCF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CF57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F4753">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16A0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12EA7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A8A1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151</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08B1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牛皮纸档案盒</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AA46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1公分</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083C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79B5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14FAF">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8ADA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57681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8024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152</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D044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牛皮纸档案盒</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EE6A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2公分</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FD77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68B0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35058">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C4BA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5D9B6F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8CDC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153</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6C5D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牛皮纸档案盒</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DD8D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4公分</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6B1E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9E98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8C7C4">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3261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67EE9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9F0B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154</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F48C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牛皮纸档案盒</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44F8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6公分</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E8F0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C978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BBAEB">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FEA2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47AB8B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2578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155</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00A2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牛皮纸档案盒</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ABF9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8公分</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A0BA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562C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67A01">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7D12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1F444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F20B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156</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A371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牛皮纸档案盒</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5882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10公分</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C9BE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E8E4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CAF2C">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0BD0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2F1FF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C09A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157</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2124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纽扣电池</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0FDC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CR2032、符合国家GB/T88 97.2</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155E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E6B2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颗</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AF3E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是</w:t>
            </w: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3C8A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南孚、公牛、小米</w:t>
            </w:r>
          </w:p>
        </w:tc>
      </w:tr>
      <w:tr w14:paraId="13466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684A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158</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793D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皮尺</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40D6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87F4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F014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66347">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BCCA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143F0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D54C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159</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FCA6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起钉器</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32EA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中号</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10DA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825D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FE3A9">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2F3F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71BE4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CE65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160</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AB23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铅笔</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8904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普</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7E9A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F3ED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支</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4CA33">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7958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63A2C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1B6E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161</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CF1D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清洗剂（草酸）</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E789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500ml</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1449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8637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瓶</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5C4FA">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13775">
            <w:pPr>
              <w:jc w:val="center"/>
              <w:rPr>
                <w:rFonts w:hint="eastAsia" w:ascii="仿宋" w:hAnsi="仿宋" w:eastAsia="仿宋" w:cs="仿宋"/>
                <w:i w:val="0"/>
                <w:iCs w:val="0"/>
                <w:color w:val="000000"/>
                <w:sz w:val="20"/>
                <w:szCs w:val="20"/>
                <w:u w:val="none"/>
              </w:rPr>
            </w:pPr>
          </w:p>
        </w:tc>
      </w:tr>
      <w:tr w14:paraId="77F74E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0929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162</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B765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日期印</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E50E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7BA9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3CBE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43E8D">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0334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58CB5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9340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163</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85BE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日期印</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199A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不锈钢</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97F3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BB1A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CB7FA">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B94B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4327FD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7114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164</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5572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荣誉证书</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77D8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硬壳A4</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F364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5EC1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本</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53840">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C21DE">
            <w:pPr>
              <w:jc w:val="center"/>
              <w:rPr>
                <w:rFonts w:hint="eastAsia" w:ascii="仿宋" w:hAnsi="仿宋" w:eastAsia="仿宋" w:cs="仿宋"/>
                <w:i w:val="0"/>
                <w:iCs w:val="0"/>
                <w:color w:val="000000"/>
                <w:sz w:val="20"/>
                <w:szCs w:val="20"/>
                <w:u w:val="none"/>
              </w:rPr>
            </w:pPr>
          </w:p>
        </w:tc>
      </w:tr>
      <w:tr w14:paraId="51150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0544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165</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0BED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软抄本</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618A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32K（50页）</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05E7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887F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本</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DEF14">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A7DA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58EB5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CAC0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166</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B198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软抄本</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9ADE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A4</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B9EB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A0FD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本</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596F3">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729F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5F4821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4529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167</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81D4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软锁</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8986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83cm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1D3D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1057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把</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FC04C">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B3C27">
            <w:pPr>
              <w:jc w:val="center"/>
              <w:rPr>
                <w:rFonts w:hint="eastAsia" w:ascii="仿宋" w:hAnsi="仿宋" w:eastAsia="仿宋" w:cs="仿宋"/>
                <w:i w:val="0"/>
                <w:iCs w:val="0"/>
                <w:color w:val="000000"/>
                <w:sz w:val="20"/>
                <w:szCs w:val="20"/>
                <w:u w:val="none"/>
              </w:rPr>
            </w:pPr>
          </w:p>
        </w:tc>
      </w:tr>
      <w:tr w14:paraId="11D4BE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1CA0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168</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4DAB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软锁</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0A1E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63cm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811F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18</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1D6D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把</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8C34C">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D7E4D">
            <w:pPr>
              <w:jc w:val="center"/>
              <w:rPr>
                <w:rFonts w:hint="eastAsia" w:ascii="仿宋" w:hAnsi="仿宋" w:eastAsia="仿宋" w:cs="仿宋"/>
                <w:i w:val="0"/>
                <w:iCs w:val="0"/>
                <w:color w:val="000000"/>
                <w:sz w:val="20"/>
                <w:szCs w:val="20"/>
                <w:u w:val="none"/>
              </w:rPr>
            </w:pPr>
          </w:p>
        </w:tc>
      </w:tr>
      <w:tr w14:paraId="168EB6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13C1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169</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EDCC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锐器盒纸箱</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02C1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23L</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3298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0AE4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059C0">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1C8DF">
            <w:pPr>
              <w:jc w:val="center"/>
              <w:rPr>
                <w:rFonts w:hint="eastAsia" w:ascii="仿宋" w:hAnsi="仿宋" w:eastAsia="仿宋" w:cs="仿宋"/>
                <w:i w:val="0"/>
                <w:iCs w:val="0"/>
                <w:color w:val="000000"/>
                <w:sz w:val="20"/>
                <w:szCs w:val="20"/>
                <w:u w:val="none"/>
              </w:rPr>
            </w:pPr>
          </w:p>
        </w:tc>
      </w:tr>
      <w:tr w14:paraId="4A304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BF42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170</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7754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润肤皂液</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76D3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500ml</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7B12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ADC4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瓶</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CF84C">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0895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洁芙柔、立白、威洁士</w:t>
            </w:r>
          </w:p>
        </w:tc>
      </w:tr>
      <w:tr w14:paraId="1BF7E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A5A0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171</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5633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润肤皂液</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D106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2.5kg</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AA41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69F8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桶</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439E5">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560B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洁芙柔、立白、威洁士</w:t>
            </w:r>
          </w:p>
        </w:tc>
      </w:tr>
      <w:tr w14:paraId="6A040F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FEBB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172</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9F63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扫把</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7FE6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1B2C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5006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把</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BF908">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3B524">
            <w:pPr>
              <w:jc w:val="center"/>
              <w:rPr>
                <w:rFonts w:hint="eastAsia" w:ascii="仿宋" w:hAnsi="仿宋" w:eastAsia="仿宋" w:cs="仿宋"/>
                <w:i w:val="0"/>
                <w:iCs w:val="0"/>
                <w:color w:val="000000"/>
                <w:sz w:val="20"/>
                <w:szCs w:val="20"/>
                <w:u w:val="none"/>
              </w:rPr>
            </w:pPr>
          </w:p>
        </w:tc>
      </w:tr>
      <w:tr w14:paraId="68B04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C623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173</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600D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扫把</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2C5F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凤尾</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3CEF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11</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09AC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把</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0EACD">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3B740">
            <w:pPr>
              <w:jc w:val="center"/>
              <w:rPr>
                <w:rFonts w:hint="eastAsia" w:ascii="仿宋" w:hAnsi="仿宋" w:eastAsia="仿宋" w:cs="仿宋"/>
                <w:i w:val="0"/>
                <w:iCs w:val="0"/>
                <w:color w:val="000000"/>
                <w:sz w:val="20"/>
                <w:szCs w:val="20"/>
                <w:u w:val="none"/>
              </w:rPr>
            </w:pPr>
          </w:p>
        </w:tc>
      </w:tr>
      <w:tr w14:paraId="7FB48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068A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174</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FF94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扫把</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C327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竹</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6F76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5E67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把</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CED8F">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56DA5">
            <w:pPr>
              <w:jc w:val="center"/>
              <w:rPr>
                <w:rFonts w:hint="eastAsia" w:ascii="仿宋" w:hAnsi="仿宋" w:eastAsia="仿宋" w:cs="仿宋"/>
                <w:i w:val="0"/>
                <w:iCs w:val="0"/>
                <w:color w:val="000000"/>
                <w:sz w:val="20"/>
                <w:szCs w:val="20"/>
                <w:u w:val="none"/>
              </w:rPr>
            </w:pPr>
          </w:p>
        </w:tc>
      </w:tr>
      <w:tr w14:paraId="01050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6BB4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175</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C651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扫把+撮箕</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1C87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0CE2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24</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B013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套</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80897">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8D12D">
            <w:pPr>
              <w:jc w:val="center"/>
              <w:rPr>
                <w:rFonts w:hint="eastAsia" w:ascii="仿宋" w:hAnsi="仿宋" w:eastAsia="仿宋" w:cs="仿宋"/>
                <w:i w:val="0"/>
                <w:iCs w:val="0"/>
                <w:color w:val="000000"/>
                <w:sz w:val="20"/>
                <w:szCs w:val="20"/>
                <w:u w:val="none"/>
              </w:rPr>
            </w:pPr>
          </w:p>
        </w:tc>
      </w:tr>
      <w:tr w14:paraId="5EF804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6195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176</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E584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扫床刷</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76D7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木柄</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1678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0726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429EB">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ECC94">
            <w:pPr>
              <w:jc w:val="center"/>
              <w:rPr>
                <w:rFonts w:hint="eastAsia" w:ascii="仿宋" w:hAnsi="仿宋" w:eastAsia="仿宋" w:cs="仿宋"/>
                <w:i w:val="0"/>
                <w:iCs w:val="0"/>
                <w:color w:val="000000"/>
                <w:sz w:val="20"/>
                <w:szCs w:val="20"/>
                <w:u w:val="none"/>
              </w:rPr>
            </w:pPr>
          </w:p>
        </w:tc>
      </w:tr>
      <w:tr w14:paraId="5638B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85EE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177</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3F59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纱线</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2475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棉质</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E86E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E101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支</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85D70">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A5140">
            <w:pPr>
              <w:jc w:val="center"/>
              <w:rPr>
                <w:rFonts w:hint="eastAsia" w:ascii="仿宋" w:hAnsi="仿宋" w:eastAsia="仿宋" w:cs="仿宋"/>
                <w:i w:val="0"/>
                <w:iCs w:val="0"/>
                <w:color w:val="000000"/>
                <w:sz w:val="20"/>
                <w:szCs w:val="20"/>
                <w:u w:val="none"/>
              </w:rPr>
            </w:pPr>
          </w:p>
        </w:tc>
      </w:tr>
      <w:tr w14:paraId="74EBA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ED39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178</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B547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生活垃圾桶</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1325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12L脚踏</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629F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32</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7C68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AC8A8">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803E5">
            <w:pPr>
              <w:jc w:val="center"/>
              <w:rPr>
                <w:rFonts w:hint="eastAsia" w:ascii="仿宋" w:hAnsi="仿宋" w:eastAsia="仿宋" w:cs="仿宋"/>
                <w:i w:val="0"/>
                <w:iCs w:val="0"/>
                <w:color w:val="000000"/>
                <w:sz w:val="20"/>
                <w:szCs w:val="20"/>
                <w:u w:val="none"/>
              </w:rPr>
            </w:pPr>
          </w:p>
        </w:tc>
      </w:tr>
      <w:tr w14:paraId="712B2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125C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179</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28AF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生活垃圾桶</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AA65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30L脚踏</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272C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54</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505B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485F4">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B3FC6">
            <w:pPr>
              <w:jc w:val="center"/>
              <w:rPr>
                <w:rFonts w:hint="eastAsia" w:ascii="仿宋" w:hAnsi="仿宋" w:eastAsia="仿宋" w:cs="仿宋"/>
                <w:i w:val="0"/>
                <w:iCs w:val="0"/>
                <w:color w:val="000000"/>
                <w:sz w:val="20"/>
                <w:szCs w:val="20"/>
                <w:u w:val="none"/>
              </w:rPr>
            </w:pPr>
          </w:p>
        </w:tc>
      </w:tr>
      <w:tr w14:paraId="3A7DE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3BEA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180</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3A96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生活垃圾桶</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E7B4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50L脚踏</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33EF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78</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4098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F1669">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D9BD2">
            <w:pPr>
              <w:jc w:val="center"/>
              <w:rPr>
                <w:rFonts w:hint="eastAsia" w:ascii="仿宋" w:hAnsi="仿宋" w:eastAsia="仿宋" w:cs="仿宋"/>
                <w:i w:val="0"/>
                <w:iCs w:val="0"/>
                <w:color w:val="000000"/>
                <w:sz w:val="20"/>
                <w:szCs w:val="20"/>
                <w:u w:val="none"/>
              </w:rPr>
            </w:pPr>
          </w:p>
        </w:tc>
      </w:tr>
      <w:tr w14:paraId="1D7EB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19A4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181</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9BA7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生料袋</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8965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加厚</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E2EF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7395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卷</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06CCD">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A2111">
            <w:pPr>
              <w:jc w:val="center"/>
              <w:rPr>
                <w:rFonts w:hint="eastAsia" w:ascii="仿宋" w:hAnsi="仿宋" w:eastAsia="仿宋" w:cs="仿宋"/>
                <w:i w:val="0"/>
                <w:iCs w:val="0"/>
                <w:color w:val="000000"/>
                <w:sz w:val="20"/>
                <w:szCs w:val="20"/>
                <w:u w:val="none"/>
              </w:rPr>
            </w:pPr>
          </w:p>
        </w:tc>
      </w:tr>
      <w:tr w14:paraId="521B9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FAFC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182</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E94D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湿纸巾（婴儿）</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F6E4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80片</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098F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3C53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包</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3C16C">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0A01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洁柔、心相印、清风</w:t>
            </w:r>
          </w:p>
        </w:tc>
      </w:tr>
      <w:tr w14:paraId="316F5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A32D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183</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71D0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室外垃圾桶</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B55A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60cm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CCBB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340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6828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99F64">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19D1F">
            <w:pPr>
              <w:jc w:val="center"/>
              <w:rPr>
                <w:rFonts w:hint="eastAsia" w:ascii="仿宋" w:hAnsi="仿宋" w:eastAsia="仿宋" w:cs="仿宋"/>
                <w:i w:val="0"/>
                <w:iCs w:val="0"/>
                <w:color w:val="000000"/>
                <w:sz w:val="20"/>
                <w:szCs w:val="20"/>
                <w:u w:val="none"/>
              </w:rPr>
            </w:pPr>
          </w:p>
        </w:tc>
      </w:tr>
      <w:tr w14:paraId="50E55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AE64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184</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E1A1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手抽纸</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EBAD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6包/一提</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9056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18</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4B4D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提</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A5E61">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0418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洁柔、心相印、清风</w:t>
            </w:r>
          </w:p>
        </w:tc>
      </w:tr>
      <w:tr w14:paraId="07C73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A480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185</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24E3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手抽纸（加长）</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18B4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3包/一提</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837A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18</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E888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提</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AE33A">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91E5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洁柔、心相印、清风</w:t>
            </w:r>
          </w:p>
        </w:tc>
      </w:tr>
      <w:tr w14:paraId="6BED6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6A9C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186</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71A8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手术病理标本袋</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D82C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100*150cm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9A7B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16D8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DF67A">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8C707">
            <w:pPr>
              <w:jc w:val="center"/>
              <w:rPr>
                <w:rFonts w:hint="eastAsia" w:ascii="仿宋" w:hAnsi="仿宋" w:eastAsia="仿宋" w:cs="仿宋"/>
                <w:i w:val="0"/>
                <w:iCs w:val="0"/>
                <w:color w:val="000000"/>
                <w:sz w:val="20"/>
                <w:szCs w:val="20"/>
                <w:u w:val="none"/>
              </w:rPr>
            </w:pPr>
          </w:p>
        </w:tc>
      </w:tr>
      <w:tr w14:paraId="46C70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E956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187</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A7C4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输液杆</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7443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1-1.5m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982F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3801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根</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2AD81">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A164F">
            <w:pPr>
              <w:jc w:val="center"/>
              <w:rPr>
                <w:rFonts w:hint="eastAsia" w:ascii="仿宋" w:hAnsi="仿宋" w:eastAsia="仿宋" w:cs="仿宋"/>
                <w:i w:val="0"/>
                <w:iCs w:val="0"/>
                <w:color w:val="000000"/>
                <w:sz w:val="20"/>
                <w:szCs w:val="20"/>
                <w:u w:val="none"/>
              </w:rPr>
            </w:pPr>
          </w:p>
        </w:tc>
      </w:tr>
      <w:tr w14:paraId="2D225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0E22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188</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8E00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数字印章</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9DF4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11位号码</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7A84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92FF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盒</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B1845">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8F11A">
            <w:pPr>
              <w:jc w:val="center"/>
              <w:rPr>
                <w:rFonts w:hint="eastAsia" w:ascii="仿宋" w:hAnsi="仿宋" w:eastAsia="仿宋" w:cs="仿宋"/>
                <w:i w:val="0"/>
                <w:iCs w:val="0"/>
                <w:color w:val="000000"/>
                <w:sz w:val="20"/>
                <w:szCs w:val="20"/>
                <w:u w:val="none"/>
              </w:rPr>
            </w:pPr>
          </w:p>
        </w:tc>
      </w:tr>
      <w:tr w14:paraId="3487C4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25BB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189</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0A63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双面胶</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3637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宽1.5cm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E3D0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A9DE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卷</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B8282">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10CD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513B54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42B1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190</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C444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水晶桌布</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C898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2mm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E4AD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FD7D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平方米</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193F3">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9A40F">
            <w:pPr>
              <w:jc w:val="center"/>
              <w:rPr>
                <w:rFonts w:hint="eastAsia" w:ascii="仿宋" w:hAnsi="仿宋" w:eastAsia="仿宋" w:cs="仿宋"/>
                <w:i w:val="0"/>
                <w:iCs w:val="0"/>
                <w:color w:val="000000"/>
                <w:sz w:val="20"/>
                <w:szCs w:val="20"/>
                <w:u w:val="none"/>
              </w:rPr>
            </w:pPr>
          </w:p>
        </w:tc>
      </w:tr>
      <w:tr w14:paraId="2AA30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69AC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191</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8766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水牌</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CEA9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A4</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7C85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18</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6188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E71BF">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F9D19">
            <w:pPr>
              <w:jc w:val="center"/>
              <w:rPr>
                <w:rFonts w:hint="eastAsia" w:ascii="仿宋" w:hAnsi="仿宋" w:eastAsia="仿宋" w:cs="仿宋"/>
                <w:i w:val="0"/>
                <w:iCs w:val="0"/>
                <w:color w:val="000000"/>
                <w:sz w:val="20"/>
                <w:szCs w:val="20"/>
                <w:u w:val="none"/>
              </w:rPr>
            </w:pPr>
          </w:p>
        </w:tc>
      </w:tr>
      <w:tr w14:paraId="6E300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48BC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192</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9893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水瓢</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2FD3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31E3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D878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把</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F2E77">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FF003">
            <w:pPr>
              <w:jc w:val="center"/>
              <w:rPr>
                <w:rFonts w:hint="eastAsia" w:ascii="仿宋" w:hAnsi="仿宋" w:eastAsia="仿宋" w:cs="仿宋"/>
                <w:i w:val="0"/>
                <w:iCs w:val="0"/>
                <w:color w:val="000000"/>
                <w:sz w:val="20"/>
                <w:szCs w:val="20"/>
                <w:u w:val="none"/>
              </w:rPr>
            </w:pPr>
          </w:p>
        </w:tc>
      </w:tr>
      <w:tr w14:paraId="6C89A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3ECD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193</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1E2F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水箱</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8711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140*40cm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7042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CEA6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0E446">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E2D39">
            <w:pPr>
              <w:jc w:val="center"/>
              <w:rPr>
                <w:rFonts w:hint="eastAsia" w:ascii="仿宋" w:hAnsi="仿宋" w:eastAsia="仿宋" w:cs="仿宋"/>
                <w:i w:val="0"/>
                <w:iCs w:val="0"/>
                <w:color w:val="000000"/>
                <w:sz w:val="20"/>
                <w:szCs w:val="20"/>
                <w:u w:val="none"/>
              </w:rPr>
            </w:pPr>
          </w:p>
        </w:tc>
      </w:tr>
      <w:tr w14:paraId="7C31C0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705F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194</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D870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塑料板夹</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EC62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A4</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77AA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3BBA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9C3A5">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C7E8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23BDBE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7B8A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195</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3FDC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塑料编织袋</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B199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50公斤</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D396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3087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F311D">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DB1EA">
            <w:pPr>
              <w:jc w:val="center"/>
              <w:rPr>
                <w:rFonts w:hint="eastAsia" w:ascii="仿宋" w:hAnsi="仿宋" w:eastAsia="仿宋" w:cs="仿宋"/>
                <w:i w:val="0"/>
                <w:iCs w:val="0"/>
                <w:color w:val="000000"/>
                <w:sz w:val="20"/>
                <w:szCs w:val="20"/>
                <w:u w:val="none"/>
              </w:rPr>
            </w:pPr>
          </w:p>
        </w:tc>
      </w:tr>
      <w:tr w14:paraId="6BE4A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1522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196</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746B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塑料抽柜</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6CCF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五层（250*400*115）</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26A7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270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5532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43ACC">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67621">
            <w:pPr>
              <w:jc w:val="center"/>
              <w:rPr>
                <w:rFonts w:hint="eastAsia" w:ascii="仿宋" w:hAnsi="仿宋" w:eastAsia="仿宋" w:cs="仿宋"/>
                <w:i w:val="0"/>
                <w:iCs w:val="0"/>
                <w:color w:val="000000"/>
                <w:sz w:val="20"/>
                <w:szCs w:val="20"/>
                <w:u w:val="none"/>
              </w:rPr>
            </w:pPr>
          </w:p>
        </w:tc>
      </w:tr>
      <w:tr w14:paraId="25889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DA99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197</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36F0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塑料储物箱</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0D37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6.5L</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9AD6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EA0B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2CA9D">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07D8E">
            <w:pPr>
              <w:jc w:val="center"/>
              <w:rPr>
                <w:rFonts w:hint="eastAsia" w:ascii="仿宋" w:hAnsi="仿宋" w:eastAsia="仿宋" w:cs="仿宋"/>
                <w:i w:val="0"/>
                <w:iCs w:val="0"/>
                <w:color w:val="000000"/>
                <w:sz w:val="20"/>
                <w:szCs w:val="20"/>
                <w:u w:val="none"/>
              </w:rPr>
            </w:pPr>
          </w:p>
        </w:tc>
      </w:tr>
      <w:tr w14:paraId="43266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7BB0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198</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B7D3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塑料储物箱</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6407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10L</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EF77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21</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3808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02FE5">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39BEC">
            <w:pPr>
              <w:jc w:val="center"/>
              <w:rPr>
                <w:rFonts w:hint="eastAsia" w:ascii="仿宋" w:hAnsi="仿宋" w:eastAsia="仿宋" w:cs="仿宋"/>
                <w:i w:val="0"/>
                <w:iCs w:val="0"/>
                <w:color w:val="000000"/>
                <w:sz w:val="20"/>
                <w:szCs w:val="20"/>
                <w:u w:val="none"/>
              </w:rPr>
            </w:pPr>
          </w:p>
        </w:tc>
      </w:tr>
      <w:tr w14:paraId="488687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939B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199</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E1ED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塑料储物箱</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374C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20L</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95B9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24</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309B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69704">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901C2">
            <w:pPr>
              <w:jc w:val="center"/>
              <w:rPr>
                <w:rFonts w:hint="eastAsia" w:ascii="仿宋" w:hAnsi="仿宋" w:eastAsia="仿宋" w:cs="仿宋"/>
                <w:i w:val="0"/>
                <w:iCs w:val="0"/>
                <w:color w:val="000000"/>
                <w:sz w:val="20"/>
                <w:szCs w:val="20"/>
                <w:u w:val="none"/>
              </w:rPr>
            </w:pPr>
          </w:p>
        </w:tc>
      </w:tr>
      <w:tr w14:paraId="64968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1616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200</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651F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塑料储物箱</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B178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30L</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5053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52FE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75381">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65BA1">
            <w:pPr>
              <w:jc w:val="center"/>
              <w:rPr>
                <w:rFonts w:hint="eastAsia" w:ascii="仿宋" w:hAnsi="仿宋" w:eastAsia="仿宋" w:cs="仿宋"/>
                <w:i w:val="0"/>
                <w:iCs w:val="0"/>
                <w:color w:val="000000"/>
                <w:sz w:val="20"/>
                <w:szCs w:val="20"/>
                <w:u w:val="none"/>
              </w:rPr>
            </w:pPr>
          </w:p>
        </w:tc>
      </w:tr>
      <w:tr w14:paraId="39B0F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176C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201</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2DC4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塑料储物箱</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E64E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50L</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E171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46</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9DC9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2B7E8">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BB10F">
            <w:pPr>
              <w:jc w:val="center"/>
              <w:rPr>
                <w:rFonts w:hint="eastAsia" w:ascii="仿宋" w:hAnsi="仿宋" w:eastAsia="仿宋" w:cs="仿宋"/>
                <w:i w:val="0"/>
                <w:iCs w:val="0"/>
                <w:color w:val="000000"/>
                <w:sz w:val="20"/>
                <w:szCs w:val="20"/>
                <w:u w:val="none"/>
              </w:rPr>
            </w:pPr>
          </w:p>
        </w:tc>
      </w:tr>
      <w:tr w14:paraId="7E18EC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878F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202</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4F8B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塑料储物箱</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4937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70L</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BFAA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58</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CCFE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0A081">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2B3D3">
            <w:pPr>
              <w:jc w:val="center"/>
              <w:rPr>
                <w:rFonts w:hint="eastAsia" w:ascii="仿宋" w:hAnsi="仿宋" w:eastAsia="仿宋" w:cs="仿宋"/>
                <w:i w:val="0"/>
                <w:iCs w:val="0"/>
                <w:color w:val="000000"/>
                <w:sz w:val="20"/>
                <w:szCs w:val="20"/>
                <w:u w:val="none"/>
              </w:rPr>
            </w:pPr>
          </w:p>
        </w:tc>
      </w:tr>
      <w:tr w14:paraId="678E1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B0D1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203</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8259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塑料储物箱</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AFF7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90L</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060D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56BE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88F30">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6D6E0">
            <w:pPr>
              <w:jc w:val="center"/>
              <w:rPr>
                <w:rFonts w:hint="eastAsia" w:ascii="仿宋" w:hAnsi="仿宋" w:eastAsia="仿宋" w:cs="仿宋"/>
                <w:i w:val="0"/>
                <w:iCs w:val="0"/>
                <w:color w:val="000000"/>
                <w:sz w:val="20"/>
                <w:szCs w:val="20"/>
                <w:u w:val="none"/>
              </w:rPr>
            </w:pPr>
          </w:p>
        </w:tc>
      </w:tr>
      <w:tr w14:paraId="11C1A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7714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204</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5F1C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塑料储物箱</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69C7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110L</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D6A5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62F5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D495C">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72B75">
            <w:pPr>
              <w:jc w:val="center"/>
              <w:rPr>
                <w:rFonts w:hint="eastAsia" w:ascii="仿宋" w:hAnsi="仿宋" w:eastAsia="仿宋" w:cs="仿宋"/>
                <w:i w:val="0"/>
                <w:iCs w:val="0"/>
                <w:color w:val="000000"/>
                <w:sz w:val="20"/>
                <w:szCs w:val="20"/>
                <w:u w:val="none"/>
              </w:rPr>
            </w:pPr>
          </w:p>
        </w:tc>
      </w:tr>
      <w:tr w14:paraId="43A30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03F1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205</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4769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奶茶杯</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D7EB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700ml</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4362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4E4D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F9A59">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39D53">
            <w:pPr>
              <w:jc w:val="center"/>
              <w:rPr>
                <w:rFonts w:hint="eastAsia" w:ascii="仿宋" w:hAnsi="仿宋" w:eastAsia="仿宋" w:cs="仿宋"/>
                <w:i w:val="0"/>
                <w:iCs w:val="0"/>
                <w:color w:val="000000"/>
                <w:sz w:val="20"/>
                <w:szCs w:val="20"/>
                <w:u w:val="none"/>
              </w:rPr>
            </w:pPr>
          </w:p>
        </w:tc>
      </w:tr>
      <w:tr w14:paraId="73C07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61AA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206</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AD07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塑料袋</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F118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24cm(白色7000个）</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08FC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2905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件</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40FF3">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1F749">
            <w:pPr>
              <w:jc w:val="center"/>
              <w:rPr>
                <w:rFonts w:hint="eastAsia" w:ascii="仿宋" w:hAnsi="仿宋" w:eastAsia="仿宋" w:cs="仿宋"/>
                <w:i w:val="0"/>
                <w:iCs w:val="0"/>
                <w:color w:val="000000"/>
                <w:sz w:val="20"/>
                <w:szCs w:val="20"/>
                <w:u w:val="none"/>
              </w:rPr>
            </w:pPr>
          </w:p>
        </w:tc>
      </w:tr>
      <w:tr w14:paraId="202BE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7A33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207</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25B7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塑料袋</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E9A1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30cm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CCF3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825F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件</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32C2C">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E6FAE">
            <w:pPr>
              <w:jc w:val="center"/>
              <w:rPr>
                <w:rFonts w:hint="eastAsia" w:ascii="仿宋" w:hAnsi="仿宋" w:eastAsia="仿宋" w:cs="仿宋"/>
                <w:i w:val="0"/>
                <w:iCs w:val="0"/>
                <w:color w:val="000000"/>
                <w:sz w:val="20"/>
                <w:szCs w:val="20"/>
                <w:u w:val="none"/>
              </w:rPr>
            </w:pPr>
          </w:p>
        </w:tc>
      </w:tr>
      <w:tr w14:paraId="3E5521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FD4B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208</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2433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塑料袋</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442E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28cm(白色3000个）</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DACB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280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65FF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件</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9D4C9">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975CF">
            <w:pPr>
              <w:jc w:val="center"/>
              <w:rPr>
                <w:rFonts w:hint="eastAsia" w:ascii="仿宋" w:hAnsi="仿宋" w:eastAsia="仿宋" w:cs="仿宋"/>
                <w:i w:val="0"/>
                <w:iCs w:val="0"/>
                <w:color w:val="000000"/>
                <w:sz w:val="20"/>
                <w:szCs w:val="20"/>
                <w:u w:val="none"/>
              </w:rPr>
            </w:pPr>
          </w:p>
        </w:tc>
      </w:tr>
      <w:tr w14:paraId="73C8C1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A5B0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209</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24F7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塑料袋</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CD0D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20cm(白色7500个）</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A424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270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9DF6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件</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ED270">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C6AD3">
            <w:pPr>
              <w:jc w:val="center"/>
              <w:rPr>
                <w:rFonts w:hint="eastAsia" w:ascii="仿宋" w:hAnsi="仿宋" w:eastAsia="仿宋" w:cs="仿宋"/>
                <w:i w:val="0"/>
                <w:iCs w:val="0"/>
                <w:color w:val="000000"/>
                <w:sz w:val="20"/>
                <w:szCs w:val="20"/>
                <w:u w:val="none"/>
              </w:rPr>
            </w:pPr>
          </w:p>
        </w:tc>
      </w:tr>
      <w:tr w14:paraId="63213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19B5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210</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5046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塑料凳</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D101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加厚</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530A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24</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C560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条</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F695C">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D5029">
            <w:pPr>
              <w:jc w:val="center"/>
              <w:rPr>
                <w:rFonts w:hint="eastAsia" w:ascii="仿宋" w:hAnsi="仿宋" w:eastAsia="仿宋" w:cs="仿宋"/>
                <w:i w:val="0"/>
                <w:iCs w:val="0"/>
                <w:color w:val="000000"/>
                <w:sz w:val="20"/>
                <w:szCs w:val="20"/>
                <w:u w:val="none"/>
              </w:rPr>
            </w:pPr>
          </w:p>
        </w:tc>
      </w:tr>
      <w:tr w14:paraId="3AF26A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1060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211</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9A88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塑料方刷</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E438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加长</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42AB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FDB0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把</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CA035">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02AB5">
            <w:pPr>
              <w:jc w:val="center"/>
              <w:rPr>
                <w:rFonts w:hint="eastAsia" w:ascii="仿宋" w:hAnsi="仿宋" w:eastAsia="仿宋" w:cs="仿宋"/>
                <w:i w:val="0"/>
                <w:iCs w:val="0"/>
                <w:color w:val="000000"/>
                <w:sz w:val="20"/>
                <w:szCs w:val="20"/>
                <w:u w:val="none"/>
              </w:rPr>
            </w:pPr>
          </w:p>
        </w:tc>
      </w:tr>
      <w:tr w14:paraId="65B909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C9E3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212</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4462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塑料果篮</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D53D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14*28*5.5</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2014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FBA8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FE967">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DA0A7">
            <w:pPr>
              <w:jc w:val="center"/>
              <w:rPr>
                <w:rFonts w:hint="eastAsia" w:ascii="仿宋" w:hAnsi="仿宋" w:eastAsia="仿宋" w:cs="仿宋"/>
                <w:i w:val="0"/>
                <w:iCs w:val="0"/>
                <w:color w:val="000000"/>
                <w:sz w:val="20"/>
                <w:szCs w:val="20"/>
                <w:u w:val="none"/>
              </w:rPr>
            </w:pPr>
          </w:p>
        </w:tc>
      </w:tr>
      <w:tr w14:paraId="4AA61E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ECDA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213</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10AD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塑料果篮</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153B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30*37*10</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A47B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F69D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1FA54">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0C8E2">
            <w:pPr>
              <w:jc w:val="center"/>
              <w:rPr>
                <w:rFonts w:hint="eastAsia" w:ascii="仿宋" w:hAnsi="仿宋" w:eastAsia="仿宋" w:cs="仿宋"/>
                <w:i w:val="0"/>
                <w:iCs w:val="0"/>
                <w:color w:val="000000"/>
                <w:sz w:val="20"/>
                <w:szCs w:val="20"/>
                <w:u w:val="none"/>
              </w:rPr>
            </w:pPr>
          </w:p>
        </w:tc>
      </w:tr>
      <w:tr w14:paraId="39DE8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8055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214</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D74C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塑料果篮</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EDE0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25*31*9</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FD22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B6A8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3E831">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3EC1B">
            <w:pPr>
              <w:jc w:val="center"/>
              <w:rPr>
                <w:rFonts w:hint="eastAsia" w:ascii="仿宋" w:hAnsi="仿宋" w:eastAsia="仿宋" w:cs="仿宋"/>
                <w:i w:val="0"/>
                <w:iCs w:val="0"/>
                <w:color w:val="000000"/>
                <w:sz w:val="20"/>
                <w:szCs w:val="20"/>
                <w:u w:val="none"/>
              </w:rPr>
            </w:pPr>
          </w:p>
        </w:tc>
      </w:tr>
      <w:tr w14:paraId="6CD461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1A2C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215</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4A30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塑料加仑桶</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2C08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50kg</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A6F2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57</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623F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65955">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E2D9E">
            <w:pPr>
              <w:jc w:val="center"/>
              <w:rPr>
                <w:rFonts w:hint="eastAsia" w:ascii="仿宋" w:hAnsi="仿宋" w:eastAsia="仿宋" w:cs="仿宋"/>
                <w:i w:val="0"/>
                <w:iCs w:val="0"/>
                <w:color w:val="000000"/>
                <w:sz w:val="20"/>
                <w:szCs w:val="20"/>
                <w:u w:val="none"/>
              </w:rPr>
            </w:pPr>
          </w:p>
        </w:tc>
      </w:tr>
      <w:tr w14:paraId="27EA4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0513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216</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3067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塑料加轮桶</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6472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圆形（25kg)</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A43E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29</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1C6F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98622">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D1337">
            <w:pPr>
              <w:jc w:val="center"/>
              <w:rPr>
                <w:rFonts w:hint="eastAsia" w:ascii="仿宋" w:hAnsi="仿宋" w:eastAsia="仿宋" w:cs="仿宋"/>
                <w:i w:val="0"/>
                <w:iCs w:val="0"/>
                <w:color w:val="000000"/>
                <w:sz w:val="20"/>
                <w:szCs w:val="20"/>
                <w:u w:val="none"/>
              </w:rPr>
            </w:pPr>
          </w:p>
        </w:tc>
      </w:tr>
      <w:tr w14:paraId="4AE98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683C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217</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2ECC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塑料扣袋</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7B4E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A4</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AF5F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19DC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FF14C">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99403">
            <w:pPr>
              <w:jc w:val="center"/>
              <w:rPr>
                <w:rFonts w:hint="eastAsia" w:ascii="仿宋" w:hAnsi="仿宋" w:eastAsia="仿宋" w:cs="仿宋"/>
                <w:i w:val="0"/>
                <w:iCs w:val="0"/>
                <w:color w:val="000000"/>
                <w:sz w:val="20"/>
                <w:szCs w:val="20"/>
                <w:u w:val="none"/>
              </w:rPr>
            </w:pPr>
          </w:p>
        </w:tc>
      </w:tr>
      <w:tr w14:paraId="256928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D63A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218</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B95A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塑料量杯</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5F3D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2000ml</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261E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8FAC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3245D">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21385">
            <w:pPr>
              <w:jc w:val="center"/>
              <w:rPr>
                <w:rFonts w:hint="eastAsia" w:ascii="仿宋" w:hAnsi="仿宋" w:eastAsia="仿宋" w:cs="仿宋"/>
                <w:i w:val="0"/>
                <w:iCs w:val="0"/>
                <w:color w:val="000000"/>
                <w:sz w:val="20"/>
                <w:szCs w:val="20"/>
                <w:u w:val="none"/>
              </w:rPr>
            </w:pPr>
          </w:p>
        </w:tc>
      </w:tr>
      <w:tr w14:paraId="10A60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8B35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219</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4E16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塑料量杯</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3032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1000ml</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BC7C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2E7B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C3B84">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2BBC2">
            <w:pPr>
              <w:jc w:val="center"/>
              <w:rPr>
                <w:rFonts w:hint="eastAsia" w:ascii="仿宋" w:hAnsi="仿宋" w:eastAsia="仿宋" w:cs="仿宋"/>
                <w:i w:val="0"/>
                <w:iCs w:val="0"/>
                <w:color w:val="000000"/>
                <w:sz w:val="20"/>
                <w:szCs w:val="20"/>
                <w:u w:val="none"/>
              </w:rPr>
            </w:pPr>
          </w:p>
        </w:tc>
      </w:tr>
      <w:tr w14:paraId="134C5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C17E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220</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424C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塑料量杯</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C378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500ml</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225E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17</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ED85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58865">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F8B3C">
            <w:pPr>
              <w:jc w:val="center"/>
              <w:rPr>
                <w:rFonts w:hint="eastAsia" w:ascii="仿宋" w:hAnsi="仿宋" w:eastAsia="仿宋" w:cs="仿宋"/>
                <w:i w:val="0"/>
                <w:iCs w:val="0"/>
                <w:color w:val="000000"/>
                <w:sz w:val="20"/>
                <w:szCs w:val="20"/>
                <w:u w:val="none"/>
              </w:rPr>
            </w:pPr>
          </w:p>
        </w:tc>
      </w:tr>
      <w:tr w14:paraId="2C6B0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3C68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221</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E254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塑料量杯</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674B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200ml</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1F7D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EE6E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4403A">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4859B">
            <w:pPr>
              <w:jc w:val="center"/>
              <w:rPr>
                <w:rFonts w:hint="eastAsia" w:ascii="仿宋" w:hAnsi="仿宋" w:eastAsia="仿宋" w:cs="仿宋"/>
                <w:i w:val="0"/>
                <w:iCs w:val="0"/>
                <w:color w:val="000000"/>
                <w:sz w:val="20"/>
                <w:szCs w:val="20"/>
                <w:u w:val="none"/>
              </w:rPr>
            </w:pPr>
          </w:p>
        </w:tc>
      </w:tr>
      <w:tr w14:paraId="78ECB4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A46E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222</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FB01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塑料喷壶</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B903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1.5L</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3444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18</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2CE1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31D40">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3A423">
            <w:pPr>
              <w:jc w:val="center"/>
              <w:rPr>
                <w:rFonts w:hint="eastAsia" w:ascii="仿宋" w:hAnsi="仿宋" w:eastAsia="仿宋" w:cs="仿宋"/>
                <w:i w:val="0"/>
                <w:iCs w:val="0"/>
                <w:color w:val="000000"/>
                <w:sz w:val="20"/>
                <w:szCs w:val="20"/>
                <w:u w:val="none"/>
              </w:rPr>
            </w:pPr>
          </w:p>
        </w:tc>
      </w:tr>
      <w:tr w14:paraId="4E1EF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0E89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223</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A291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塑料喷壶</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2B28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250ml</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4136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9B5A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A84EE">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7B162">
            <w:pPr>
              <w:jc w:val="center"/>
              <w:rPr>
                <w:rFonts w:hint="eastAsia" w:ascii="仿宋" w:hAnsi="仿宋" w:eastAsia="仿宋" w:cs="仿宋"/>
                <w:i w:val="0"/>
                <w:iCs w:val="0"/>
                <w:color w:val="000000"/>
                <w:sz w:val="20"/>
                <w:szCs w:val="20"/>
                <w:u w:val="none"/>
              </w:rPr>
            </w:pPr>
          </w:p>
        </w:tc>
      </w:tr>
      <w:tr w14:paraId="1299F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85FE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224</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E267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塑料盆</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A2E6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39.5*14.5cm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5EA1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4DBE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9947E">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60996">
            <w:pPr>
              <w:jc w:val="center"/>
              <w:rPr>
                <w:rFonts w:hint="eastAsia" w:ascii="仿宋" w:hAnsi="仿宋" w:eastAsia="仿宋" w:cs="仿宋"/>
                <w:i w:val="0"/>
                <w:iCs w:val="0"/>
                <w:color w:val="000000"/>
                <w:sz w:val="20"/>
                <w:szCs w:val="20"/>
                <w:u w:val="none"/>
              </w:rPr>
            </w:pPr>
          </w:p>
        </w:tc>
      </w:tr>
      <w:tr w14:paraId="638DF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DDC1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225</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670A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塑料盆</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5023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36.5*13.5cm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290C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D1B5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60EE5">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91FFA">
            <w:pPr>
              <w:jc w:val="center"/>
              <w:rPr>
                <w:rFonts w:hint="eastAsia" w:ascii="仿宋" w:hAnsi="仿宋" w:eastAsia="仿宋" w:cs="仿宋"/>
                <w:i w:val="0"/>
                <w:iCs w:val="0"/>
                <w:color w:val="000000"/>
                <w:sz w:val="20"/>
                <w:szCs w:val="20"/>
                <w:u w:val="none"/>
              </w:rPr>
            </w:pPr>
          </w:p>
        </w:tc>
      </w:tr>
      <w:tr w14:paraId="0600A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B274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226</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42E5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塑料盆</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4BF7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34*12.5cm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849D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F25E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EED08">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A5B98">
            <w:pPr>
              <w:jc w:val="center"/>
              <w:rPr>
                <w:rFonts w:hint="eastAsia" w:ascii="仿宋" w:hAnsi="仿宋" w:eastAsia="仿宋" w:cs="仿宋"/>
                <w:i w:val="0"/>
                <w:iCs w:val="0"/>
                <w:color w:val="000000"/>
                <w:sz w:val="20"/>
                <w:szCs w:val="20"/>
                <w:u w:val="none"/>
              </w:rPr>
            </w:pPr>
          </w:p>
        </w:tc>
      </w:tr>
      <w:tr w14:paraId="4708B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F9C5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227</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A889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塑料书栏</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8A2F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4栏</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4A0D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2935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69818">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48C2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689A5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F27B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228</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B696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塑料书栏</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AF0F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6栏</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9765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31</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6532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68213">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CDF2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4C2F92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D056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229</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D6F7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塑料水缸</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FAC6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120L</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EE93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57</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F98B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677D1">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9717E">
            <w:pPr>
              <w:jc w:val="center"/>
              <w:rPr>
                <w:rFonts w:hint="eastAsia" w:ascii="仿宋" w:hAnsi="仿宋" w:eastAsia="仿宋" w:cs="仿宋"/>
                <w:i w:val="0"/>
                <w:iCs w:val="0"/>
                <w:color w:val="000000"/>
                <w:sz w:val="20"/>
                <w:szCs w:val="20"/>
                <w:u w:val="none"/>
              </w:rPr>
            </w:pPr>
          </w:p>
        </w:tc>
      </w:tr>
      <w:tr w14:paraId="5A16B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45BC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230</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9576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塑料提篮</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6876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M3（加厚）</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2467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1CC4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AF365">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71EAA">
            <w:pPr>
              <w:jc w:val="center"/>
              <w:rPr>
                <w:rFonts w:hint="eastAsia" w:ascii="仿宋" w:hAnsi="仿宋" w:eastAsia="仿宋" w:cs="仿宋"/>
                <w:i w:val="0"/>
                <w:iCs w:val="0"/>
                <w:color w:val="000000"/>
                <w:sz w:val="20"/>
                <w:szCs w:val="20"/>
                <w:u w:val="none"/>
              </w:rPr>
            </w:pPr>
          </w:p>
        </w:tc>
      </w:tr>
      <w:tr w14:paraId="383F7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20BA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231</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D069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塑料提篮</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A2B6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M2（加厚）</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52E8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17</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54EE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3AA7A">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0A168">
            <w:pPr>
              <w:jc w:val="center"/>
              <w:rPr>
                <w:rFonts w:hint="eastAsia" w:ascii="仿宋" w:hAnsi="仿宋" w:eastAsia="仿宋" w:cs="仿宋"/>
                <w:i w:val="0"/>
                <w:iCs w:val="0"/>
                <w:color w:val="000000"/>
                <w:sz w:val="20"/>
                <w:szCs w:val="20"/>
                <w:u w:val="none"/>
              </w:rPr>
            </w:pPr>
          </w:p>
        </w:tc>
      </w:tr>
      <w:tr w14:paraId="6E9021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E7EC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232</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8AF5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塑料桶</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67FD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21*24</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E71B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C828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7A570">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1BD14">
            <w:pPr>
              <w:jc w:val="center"/>
              <w:rPr>
                <w:rFonts w:hint="eastAsia" w:ascii="仿宋" w:hAnsi="仿宋" w:eastAsia="仿宋" w:cs="仿宋"/>
                <w:i w:val="0"/>
                <w:iCs w:val="0"/>
                <w:color w:val="000000"/>
                <w:sz w:val="20"/>
                <w:szCs w:val="20"/>
                <w:u w:val="none"/>
              </w:rPr>
            </w:pPr>
          </w:p>
        </w:tc>
      </w:tr>
      <w:tr w14:paraId="7326D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C2DC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233</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612B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塑料桶</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E559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34*36（加厚）</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5713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18</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5744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058D5">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E6C6B">
            <w:pPr>
              <w:jc w:val="center"/>
              <w:rPr>
                <w:rFonts w:hint="eastAsia" w:ascii="仿宋" w:hAnsi="仿宋" w:eastAsia="仿宋" w:cs="仿宋"/>
                <w:i w:val="0"/>
                <w:iCs w:val="0"/>
                <w:color w:val="000000"/>
                <w:sz w:val="20"/>
                <w:szCs w:val="20"/>
                <w:u w:val="none"/>
              </w:rPr>
            </w:pPr>
          </w:p>
        </w:tc>
      </w:tr>
      <w:tr w14:paraId="3A9F7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5A8B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234</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A813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塑料桶</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D1E4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38*40（加厚）</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2DE7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23</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BC58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A6B8F">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99053">
            <w:pPr>
              <w:jc w:val="center"/>
              <w:rPr>
                <w:rFonts w:hint="eastAsia" w:ascii="仿宋" w:hAnsi="仿宋" w:eastAsia="仿宋" w:cs="仿宋"/>
                <w:i w:val="0"/>
                <w:iCs w:val="0"/>
                <w:color w:val="000000"/>
                <w:sz w:val="20"/>
                <w:szCs w:val="20"/>
                <w:u w:val="none"/>
              </w:rPr>
            </w:pPr>
          </w:p>
        </w:tc>
      </w:tr>
      <w:tr w14:paraId="1D4E0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C385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235</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EA21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塑料桶</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134F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32*34（加厚）</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9D10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F030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E4B10">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6450A">
            <w:pPr>
              <w:jc w:val="center"/>
              <w:rPr>
                <w:rFonts w:hint="eastAsia" w:ascii="仿宋" w:hAnsi="仿宋" w:eastAsia="仿宋" w:cs="仿宋"/>
                <w:i w:val="0"/>
                <w:iCs w:val="0"/>
                <w:color w:val="000000"/>
                <w:sz w:val="20"/>
                <w:szCs w:val="20"/>
                <w:u w:val="none"/>
              </w:rPr>
            </w:pPr>
          </w:p>
        </w:tc>
      </w:tr>
      <w:tr w14:paraId="136BE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44FD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236</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CEF5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塑料桶</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AC7E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20.5*18cm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1C72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4B4A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89059">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9133F">
            <w:pPr>
              <w:jc w:val="center"/>
              <w:rPr>
                <w:rFonts w:hint="eastAsia" w:ascii="仿宋" w:hAnsi="仿宋" w:eastAsia="仿宋" w:cs="仿宋"/>
                <w:i w:val="0"/>
                <w:iCs w:val="0"/>
                <w:color w:val="000000"/>
                <w:sz w:val="20"/>
                <w:szCs w:val="20"/>
                <w:u w:val="none"/>
              </w:rPr>
            </w:pPr>
          </w:p>
        </w:tc>
      </w:tr>
      <w:tr w14:paraId="3AFD0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554D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237</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55E6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塑料文件袋</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7C34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拉链式</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55FF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CB90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A6FA0">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BC0C2">
            <w:pPr>
              <w:jc w:val="center"/>
              <w:rPr>
                <w:rFonts w:hint="eastAsia" w:ascii="仿宋" w:hAnsi="仿宋" w:eastAsia="仿宋" w:cs="仿宋"/>
                <w:i w:val="0"/>
                <w:iCs w:val="0"/>
                <w:color w:val="000000"/>
                <w:sz w:val="20"/>
                <w:szCs w:val="20"/>
                <w:u w:val="none"/>
              </w:rPr>
            </w:pPr>
          </w:p>
        </w:tc>
      </w:tr>
      <w:tr w14:paraId="36A06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6508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238</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241D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塑料小板凳</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14AD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长方形</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C957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B095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45203">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A4C8D">
            <w:pPr>
              <w:jc w:val="center"/>
              <w:rPr>
                <w:rFonts w:hint="eastAsia" w:ascii="仿宋" w:hAnsi="仿宋" w:eastAsia="仿宋" w:cs="仿宋"/>
                <w:i w:val="0"/>
                <w:iCs w:val="0"/>
                <w:color w:val="000000"/>
                <w:sz w:val="20"/>
                <w:szCs w:val="20"/>
                <w:u w:val="none"/>
              </w:rPr>
            </w:pPr>
          </w:p>
        </w:tc>
      </w:tr>
      <w:tr w14:paraId="0AE17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606D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239</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02AF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塑料牙签</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5903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300支</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C76F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11</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202D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盒</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7214B">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27C28">
            <w:pPr>
              <w:jc w:val="center"/>
              <w:rPr>
                <w:rFonts w:hint="eastAsia" w:ascii="仿宋" w:hAnsi="仿宋" w:eastAsia="仿宋" w:cs="仿宋"/>
                <w:i w:val="0"/>
                <w:iCs w:val="0"/>
                <w:color w:val="000000"/>
                <w:sz w:val="20"/>
                <w:szCs w:val="20"/>
                <w:u w:val="none"/>
              </w:rPr>
            </w:pPr>
          </w:p>
        </w:tc>
      </w:tr>
      <w:tr w14:paraId="34D0F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1F6E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240</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CDD7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塑料衣架</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B68E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40cm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DD50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1C05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D5DE1">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8B8B5">
            <w:pPr>
              <w:jc w:val="center"/>
              <w:rPr>
                <w:rFonts w:hint="eastAsia" w:ascii="仿宋" w:hAnsi="仿宋" w:eastAsia="仿宋" w:cs="仿宋"/>
                <w:i w:val="0"/>
                <w:iCs w:val="0"/>
                <w:color w:val="000000"/>
                <w:sz w:val="20"/>
                <w:szCs w:val="20"/>
                <w:u w:val="none"/>
              </w:rPr>
            </w:pPr>
          </w:p>
        </w:tc>
      </w:tr>
      <w:tr w14:paraId="1C2BC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5393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241</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B5A6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塑料纸萝</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D9E0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26*24(无孔）</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9488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2F5C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177AD">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5FA17">
            <w:pPr>
              <w:jc w:val="center"/>
              <w:rPr>
                <w:rFonts w:hint="eastAsia" w:ascii="仿宋" w:hAnsi="仿宋" w:eastAsia="仿宋" w:cs="仿宋"/>
                <w:i w:val="0"/>
                <w:iCs w:val="0"/>
                <w:color w:val="000000"/>
                <w:sz w:val="20"/>
                <w:szCs w:val="20"/>
                <w:u w:val="none"/>
              </w:rPr>
            </w:pPr>
          </w:p>
        </w:tc>
      </w:tr>
      <w:tr w14:paraId="16F9A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885A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242</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6411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塑料纸萝</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AC8D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26*24（有孔）</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CF3E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056E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F5A83">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94916">
            <w:pPr>
              <w:jc w:val="center"/>
              <w:rPr>
                <w:rFonts w:hint="eastAsia" w:ascii="仿宋" w:hAnsi="仿宋" w:eastAsia="仿宋" w:cs="仿宋"/>
                <w:i w:val="0"/>
                <w:iCs w:val="0"/>
                <w:color w:val="000000"/>
                <w:sz w:val="20"/>
                <w:szCs w:val="20"/>
                <w:u w:val="none"/>
              </w:rPr>
            </w:pPr>
          </w:p>
        </w:tc>
      </w:tr>
      <w:tr w14:paraId="0E406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244C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243</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3C6E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台笔</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70C0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带底座</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9A8A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B64D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支</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EA8B6">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8F8A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282C3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E96A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244</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7654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痰盂刷</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5301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40FA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3D16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F26A2">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8092E">
            <w:pPr>
              <w:jc w:val="center"/>
              <w:rPr>
                <w:rFonts w:hint="eastAsia" w:ascii="仿宋" w:hAnsi="仿宋" w:eastAsia="仿宋" w:cs="仿宋"/>
                <w:i w:val="0"/>
                <w:iCs w:val="0"/>
                <w:color w:val="000000"/>
                <w:sz w:val="20"/>
                <w:szCs w:val="20"/>
                <w:u w:val="none"/>
              </w:rPr>
            </w:pPr>
          </w:p>
        </w:tc>
      </w:tr>
      <w:tr w14:paraId="4F4F5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C81E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245</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AFC1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碳素笔</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844D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0.5mm带帽 红、黑</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D691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A60C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支</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5D8B3">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D5B0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21C89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31A2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246</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A303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碳素笔芯</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B975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0.5mm 红、黑</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318D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8936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支</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8E6A6">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80AF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7FCED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B368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247</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38AE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特种铅笔</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1C9C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红、蓝</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EA69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48AA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支</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2578A">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D080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中华、得力、晨光、真彩、齐心</w:t>
            </w:r>
          </w:p>
        </w:tc>
      </w:tr>
      <w:tr w14:paraId="2F414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1739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248</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B2EE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铁撮箕</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1CF2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带提把</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E749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1B4B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把</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AED1A">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9C840">
            <w:pPr>
              <w:jc w:val="center"/>
              <w:rPr>
                <w:rFonts w:hint="eastAsia" w:ascii="仿宋" w:hAnsi="仿宋" w:eastAsia="仿宋" w:cs="仿宋"/>
                <w:i w:val="0"/>
                <w:iCs w:val="0"/>
                <w:color w:val="000000"/>
                <w:sz w:val="20"/>
                <w:szCs w:val="20"/>
                <w:u w:val="none"/>
              </w:rPr>
            </w:pPr>
          </w:p>
        </w:tc>
      </w:tr>
      <w:tr w14:paraId="4BCC7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2A7D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249</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6263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透明胶带</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901A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1.5cm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19CD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1B74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卷</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5068F">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7761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0831B2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1875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250</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B127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涂改液</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5563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18ml</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FDEF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EB26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瓶</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89EF7">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4F09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1B8721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C2F8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251</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8923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拖把</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09B5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中号（棉质）</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0733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EC2E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把</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3438E">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297CA">
            <w:pPr>
              <w:jc w:val="center"/>
              <w:rPr>
                <w:rFonts w:hint="eastAsia" w:ascii="仿宋" w:hAnsi="仿宋" w:eastAsia="仿宋" w:cs="仿宋"/>
                <w:i w:val="0"/>
                <w:iCs w:val="0"/>
                <w:color w:val="000000"/>
                <w:sz w:val="20"/>
                <w:szCs w:val="20"/>
                <w:u w:val="none"/>
              </w:rPr>
            </w:pPr>
          </w:p>
        </w:tc>
      </w:tr>
      <w:tr w14:paraId="4BD821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6C4C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252</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E4E7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拖把</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F679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悬浮桶</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8CBA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AF02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把</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6CDC0">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27638">
            <w:pPr>
              <w:jc w:val="center"/>
              <w:rPr>
                <w:rFonts w:hint="eastAsia" w:ascii="仿宋" w:hAnsi="仿宋" w:eastAsia="仿宋" w:cs="仿宋"/>
                <w:i w:val="0"/>
                <w:iCs w:val="0"/>
                <w:color w:val="000000"/>
                <w:sz w:val="20"/>
                <w:szCs w:val="20"/>
                <w:u w:val="none"/>
              </w:rPr>
            </w:pPr>
          </w:p>
        </w:tc>
      </w:tr>
      <w:tr w14:paraId="06BB7E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E136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253</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9679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拖鞋</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DA57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男、女式（塑料）</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7762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7483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双</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9D860">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B1DFF">
            <w:pPr>
              <w:jc w:val="center"/>
              <w:rPr>
                <w:rFonts w:hint="eastAsia" w:ascii="仿宋" w:hAnsi="仿宋" w:eastAsia="仿宋" w:cs="仿宋"/>
                <w:i w:val="0"/>
                <w:iCs w:val="0"/>
                <w:color w:val="000000"/>
                <w:sz w:val="20"/>
                <w:szCs w:val="20"/>
                <w:u w:val="none"/>
              </w:rPr>
            </w:pPr>
          </w:p>
        </w:tc>
      </w:tr>
      <w:tr w14:paraId="097C2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376F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254</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EAF9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网纱资料袋</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CF6D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A4</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DCC2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9E95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BD79A">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7149D">
            <w:pPr>
              <w:jc w:val="center"/>
              <w:rPr>
                <w:rFonts w:hint="eastAsia" w:ascii="仿宋" w:hAnsi="仿宋" w:eastAsia="仿宋" w:cs="仿宋"/>
                <w:i w:val="0"/>
                <w:iCs w:val="0"/>
                <w:color w:val="000000"/>
                <w:sz w:val="20"/>
                <w:szCs w:val="20"/>
                <w:u w:val="none"/>
              </w:rPr>
            </w:pPr>
          </w:p>
        </w:tc>
      </w:tr>
      <w:tr w14:paraId="5C221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878E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255</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E370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卫生纸</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4E45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115克</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ADBF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D09F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包</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8AFB6">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F3AA5">
            <w:pPr>
              <w:jc w:val="center"/>
              <w:rPr>
                <w:rFonts w:hint="eastAsia" w:ascii="仿宋" w:hAnsi="仿宋" w:eastAsia="仿宋" w:cs="仿宋"/>
                <w:i w:val="0"/>
                <w:iCs w:val="0"/>
                <w:color w:val="000000"/>
                <w:sz w:val="20"/>
                <w:szCs w:val="20"/>
                <w:u w:val="none"/>
              </w:rPr>
            </w:pPr>
          </w:p>
        </w:tc>
      </w:tr>
      <w:tr w14:paraId="3EB19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0B00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256</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E688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卫生纸</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DB31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135克</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28B6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3AE3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包</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FBF4E">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7AEB2">
            <w:pPr>
              <w:jc w:val="center"/>
              <w:rPr>
                <w:rFonts w:hint="eastAsia" w:ascii="仿宋" w:hAnsi="仿宋" w:eastAsia="仿宋" w:cs="仿宋"/>
                <w:i w:val="0"/>
                <w:iCs w:val="0"/>
                <w:color w:val="000000"/>
                <w:sz w:val="20"/>
                <w:szCs w:val="20"/>
                <w:u w:val="none"/>
              </w:rPr>
            </w:pPr>
          </w:p>
        </w:tc>
      </w:tr>
      <w:tr w14:paraId="5C9C73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589E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257</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9435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抽杆文件夹</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CD71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A4</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090E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B67D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767F5">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9982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7197C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570C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258</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0F77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文件夹（双夹）</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3038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横竖夹（A4)</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6007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B952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98443">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F0C6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349D2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C41B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259</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3CF3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文件夹单夹</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F0E3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A4</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1441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A5BE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BB763">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D364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3623C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B18B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260</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AC06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蚊帐</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422E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单人</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D749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38</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0C6B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3BBE8">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B3122">
            <w:pPr>
              <w:jc w:val="center"/>
              <w:rPr>
                <w:rFonts w:hint="eastAsia" w:ascii="仿宋" w:hAnsi="仿宋" w:eastAsia="仿宋" w:cs="仿宋"/>
                <w:i w:val="0"/>
                <w:iCs w:val="0"/>
                <w:color w:val="000000"/>
                <w:sz w:val="20"/>
                <w:szCs w:val="20"/>
                <w:u w:val="none"/>
              </w:rPr>
            </w:pPr>
          </w:p>
        </w:tc>
      </w:tr>
      <w:tr w14:paraId="0542C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49FC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261</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0124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污衣车</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8398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102*50*78</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5AF1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555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E339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7A9DF">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A63D1">
            <w:pPr>
              <w:jc w:val="center"/>
              <w:rPr>
                <w:rFonts w:hint="eastAsia" w:ascii="仿宋" w:hAnsi="仿宋" w:eastAsia="仿宋" w:cs="仿宋"/>
                <w:i w:val="0"/>
                <w:iCs w:val="0"/>
                <w:color w:val="000000"/>
                <w:sz w:val="20"/>
                <w:szCs w:val="20"/>
                <w:u w:val="none"/>
              </w:rPr>
            </w:pPr>
          </w:p>
        </w:tc>
      </w:tr>
      <w:tr w14:paraId="2047E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2E1A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262</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DA71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污衣车内袋</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51CD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102*50*78</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730E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332E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C1078">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4C3B2">
            <w:pPr>
              <w:jc w:val="center"/>
              <w:rPr>
                <w:rFonts w:hint="eastAsia" w:ascii="仿宋" w:hAnsi="仿宋" w:eastAsia="仿宋" w:cs="仿宋"/>
                <w:i w:val="0"/>
                <w:iCs w:val="0"/>
                <w:color w:val="000000"/>
                <w:sz w:val="20"/>
                <w:szCs w:val="20"/>
                <w:u w:val="none"/>
              </w:rPr>
            </w:pPr>
          </w:p>
        </w:tc>
      </w:tr>
      <w:tr w14:paraId="71D7A7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EB67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263</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2951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无烟标红袖套</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8A57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红色</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7FDC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B2F2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04570">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2A583">
            <w:pPr>
              <w:jc w:val="center"/>
              <w:rPr>
                <w:rFonts w:hint="eastAsia" w:ascii="仿宋" w:hAnsi="仿宋" w:eastAsia="仿宋" w:cs="仿宋"/>
                <w:i w:val="0"/>
                <w:iCs w:val="0"/>
                <w:color w:val="000000"/>
                <w:sz w:val="20"/>
                <w:szCs w:val="20"/>
                <w:u w:val="none"/>
              </w:rPr>
            </w:pPr>
          </w:p>
        </w:tc>
      </w:tr>
      <w:tr w14:paraId="218606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7B78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264</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FA41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洗洁精</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C494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2kg</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676E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34DB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桶</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8B6A3">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6BD0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白猫、立白、好爸爸</w:t>
            </w:r>
          </w:p>
        </w:tc>
      </w:tr>
      <w:tr w14:paraId="64DE4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80D9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265</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52E7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洗洁精</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3091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500g</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DB27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F7EF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瓶</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6A76D">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05A1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白猫、立白、好爸爸</w:t>
            </w:r>
          </w:p>
        </w:tc>
      </w:tr>
      <w:tr w14:paraId="192CB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B238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266</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628A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洗手液</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B009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25kg</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33A1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9287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桶</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434D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是</w:t>
            </w: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F46F3">
            <w:pPr>
              <w:jc w:val="center"/>
              <w:rPr>
                <w:rFonts w:hint="eastAsia" w:ascii="仿宋" w:hAnsi="仿宋" w:eastAsia="仿宋" w:cs="仿宋"/>
                <w:i w:val="0"/>
                <w:iCs w:val="0"/>
                <w:color w:val="000000"/>
                <w:sz w:val="20"/>
                <w:szCs w:val="20"/>
                <w:u w:val="none"/>
              </w:rPr>
            </w:pPr>
          </w:p>
        </w:tc>
      </w:tr>
      <w:tr w14:paraId="6F515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73A3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267</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8FD1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洗手液盒</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DBD1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2531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1C50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1CC61">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9407A">
            <w:pPr>
              <w:jc w:val="center"/>
              <w:rPr>
                <w:rFonts w:hint="eastAsia" w:ascii="仿宋" w:hAnsi="仿宋" w:eastAsia="仿宋" w:cs="仿宋"/>
                <w:i w:val="0"/>
                <w:iCs w:val="0"/>
                <w:color w:val="000000"/>
                <w:sz w:val="20"/>
                <w:szCs w:val="20"/>
                <w:u w:val="none"/>
              </w:rPr>
            </w:pPr>
          </w:p>
        </w:tc>
      </w:tr>
      <w:tr w14:paraId="2E754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3E24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268</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42BB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洗碗布</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64A6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5*10</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161A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7977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32345">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E3221">
            <w:pPr>
              <w:jc w:val="center"/>
              <w:rPr>
                <w:rFonts w:hint="eastAsia" w:ascii="仿宋" w:hAnsi="仿宋" w:eastAsia="仿宋" w:cs="仿宋"/>
                <w:i w:val="0"/>
                <w:iCs w:val="0"/>
                <w:color w:val="000000"/>
                <w:sz w:val="20"/>
                <w:szCs w:val="20"/>
                <w:u w:val="none"/>
              </w:rPr>
            </w:pPr>
          </w:p>
        </w:tc>
      </w:tr>
      <w:tr w14:paraId="3A565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1461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269</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60C2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洗衣粉</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E9B7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508g</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2C99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7265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包</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0562C">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EB01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汰渍、白猫、立白、好爸爸</w:t>
            </w:r>
          </w:p>
        </w:tc>
      </w:tr>
      <w:tr w14:paraId="36C941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0E2E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270</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9651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线手套</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09D0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棉质</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7D12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0306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双</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B75A2">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4CCB3">
            <w:pPr>
              <w:jc w:val="center"/>
              <w:rPr>
                <w:rFonts w:hint="eastAsia" w:ascii="仿宋" w:hAnsi="仿宋" w:eastAsia="仿宋" w:cs="仿宋"/>
                <w:i w:val="0"/>
                <w:iCs w:val="0"/>
                <w:color w:val="000000"/>
                <w:sz w:val="20"/>
                <w:szCs w:val="20"/>
                <w:u w:val="none"/>
              </w:rPr>
            </w:pPr>
          </w:p>
        </w:tc>
      </w:tr>
      <w:tr w14:paraId="73A82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91A4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271</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36AF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香糊（大）</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6206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32瓶/箱</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914F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6471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瓶</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48FF8">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7BA33">
            <w:pPr>
              <w:jc w:val="center"/>
              <w:rPr>
                <w:rFonts w:hint="eastAsia" w:ascii="仿宋" w:hAnsi="仿宋" w:eastAsia="仿宋" w:cs="仿宋"/>
                <w:i w:val="0"/>
                <w:iCs w:val="0"/>
                <w:color w:val="000000"/>
                <w:sz w:val="20"/>
                <w:szCs w:val="20"/>
                <w:u w:val="none"/>
              </w:rPr>
            </w:pPr>
          </w:p>
        </w:tc>
      </w:tr>
      <w:tr w14:paraId="7E80C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8F33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272</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866B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香糊（小）</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012E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80瓶/箱</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E529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74CF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瓶</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B986C">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772A9">
            <w:pPr>
              <w:jc w:val="center"/>
              <w:rPr>
                <w:rFonts w:hint="eastAsia" w:ascii="仿宋" w:hAnsi="仿宋" w:eastAsia="仿宋" w:cs="仿宋"/>
                <w:i w:val="0"/>
                <w:iCs w:val="0"/>
                <w:color w:val="000000"/>
                <w:sz w:val="20"/>
                <w:szCs w:val="20"/>
                <w:u w:val="none"/>
              </w:rPr>
            </w:pPr>
          </w:p>
        </w:tc>
      </w:tr>
      <w:tr w14:paraId="76134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B1B8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273</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3B9D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橡皮擦</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D76F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白、蓝</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BB60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8E67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块</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E2ACA">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3815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7116B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639C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274</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32D7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橡皮筋</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D350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100g</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A235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F07B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包</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AAB75">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E264E">
            <w:pPr>
              <w:jc w:val="center"/>
              <w:rPr>
                <w:rFonts w:hint="eastAsia" w:ascii="仿宋" w:hAnsi="仿宋" w:eastAsia="仿宋" w:cs="仿宋"/>
                <w:i w:val="0"/>
                <w:iCs w:val="0"/>
                <w:color w:val="000000"/>
                <w:sz w:val="20"/>
                <w:szCs w:val="20"/>
                <w:u w:val="none"/>
              </w:rPr>
            </w:pPr>
          </w:p>
        </w:tc>
      </w:tr>
      <w:tr w14:paraId="09ED4E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C9E7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275</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F1C3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小板车</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8175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40*60cm(静音轮）</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490C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760F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辆</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D8DEF">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BA449">
            <w:pPr>
              <w:jc w:val="center"/>
              <w:rPr>
                <w:rFonts w:hint="eastAsia" w:ascii="仿宋" w:hAnsi="仿宋" w:eastAsia="仿宋" w:cs="仿宋"/>
                <w:i w:val="0"/>
                <w:iCs w:val="0"/>
                <w:color w:val="000000"/>
                <w:sz w:val="20"/>
                <w:szCs w:val="20"/>
                <w:u w:val="none"/>
              </w:rPr>
            </w:pPr>
          </w:p>
        </w:tc>
      </w:tr>
      <w:tr w14:paraId="6F55A0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AC4C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276</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019B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小板车</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4910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50*70cm(静音轮）</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8B0C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190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9CCC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辆</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C4CBA">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14A8D">
            <w:pPr>
              <w:jc w:val="center"/>
              <w:rPr>
                <w:rFonts w:hint="eastAsia" w:ascii="仿宋" w:hAnsi="仿宋" w:eastAsia="仿宋" w:cs="仿宋"/>
                <w:i w:val="0"/>
                <w:iCs w:val="0"/>
                <w:color w:val="000000"/>
                <w:sz w:val="20"/>
                <w:szCs w:val="20"/>
                <w:u w:val="none"/>
              </w:rPr>
            </w:pPr>
          </w:p>
        </w:tc>
      </w:tr>
      <w:tr w14:paraId="0E888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D6E2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277</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3F23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小板车</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FC93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60*90cm(静音轮）</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FBDD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220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D69E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辆</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89FF5">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15D40">
            <w:pPr>
              <w:jc w:val="center"/>
              <w:rPr>
                <w:rFonts w:hint="eastAsia" w:ascii="仿宋" w:hAnsi="仿宋" w:eastAsia="仿宋" w:cs="仿宋"/>
                <w:i w:val="0"/>
                <w:iCs w:val="0"/>
                <w:color w:val="000000"/>
                <w:sz w:val="20"/>
                <w:szCs w:val="20"/>
                <w:u w:val="none"/>
              </w:rPr>
            </w:pPr>
          </w:p>
        </w:tc>
      </w:tr>
      <w:tr w14:paraId="3FBF9B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02C1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278</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EF84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小毛巾</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6BF3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30*30（化纤）</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2220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CFF4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块</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DC96B">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4FED0">
            <w:pPr>
              <w:jc w:val="center"/>
              <w:rPr>
                <w:rFonts w:hint="eastAsia" w:ascii="仿宋" w:hAnsi="仿宋" w:eastAsia="仿宋" w:cs="仿宋"/>
                <w:i w:val="0"/>
                <w:iCs w:val="0"/>
                <w:color w:val="000000"/>
                <w:sz w:val="20"/>
                <w:szCs w:val="20"/>
                <w:u w:val="none"/>
              </w:rPr>
            </w:pPr>
          </w:p>
        </w:tc>
      </w:tr>
      <w:tr w14:paraId="40BA62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7D75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279</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8413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小毛巾</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F7D2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35*35</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5A54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2C1A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块</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78A78">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798DC">
            <w:pPr>
              <w:jc w:val="center"/>
              <w:rPr>
                <w:rFonts w:hint="eastAsia" w:ascii="仿宋" w:hAnsi="仿宋" w:eastAsia="仿宋" w:cs="仿宋"/>
                <w:i w:val="0"/>
                <w:iCs w:val="0"/>
                <w:color w:val="000000"/>
                <w:sz w:val="20"/>
                <w:szCs w:val="20"/>
                <w:u w:val="none"/>
              </w:rPr>
            </w:pPr>
          </w:p>
        </w:tc>
      </w:tr>
      <w:tr w14:paraId="6AFD5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0855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280</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9171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鞋架</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804F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五层</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8BE9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180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8CAE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B5EDF">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39F12">
            <w:pPr>
              <w:jc w:val="center"/>
              <w:rPr>
                <w:rFonts w:hint="eastAsia" w:ascii="仿宋" w:hAnsi="仿宋" w:eastAsia="仿宋" w:cs="仿宋"/>
                <w:i w:val="0"/>
                <w:iCs w:val="0"/>
                <w:color w:val="000000"/>
                <w:sz w:val="20"/>
                <w:szCs w:val="20"/>
                <w:u w:val="none"/>
              </w:rPr>
            </w:pPr>
          </w:p>
        </w:tc>
      </w:tr>
      <w:tr w14:paraId="2000DA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04CB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281</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5BB3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鞋架</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8C0B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三层</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C18D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62B1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4FAD8">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8629F">
            <w:pPr>
              <w:jc w:val="center"/>
              <w:rPr>
                <w:rFonts w:hint="eastAsia" w:ascii="仿宋" w:hAnsi="仿宋" w:eastAsia="仿宋" w:cs="仿宋"/>
                <w:i w:val="0"/>
                <w:iCs w:val="0"/>
                <w:color w:val="000000"/>
                <w:sz w:val="20"/>
                <w:szCs w:val="20"/>
                <w:u w:val="none"/>
              </w:rPr>
            </w:pPr>
          </w:p>
        </w:tc>
      </w:tr>
      <w:tr w14:paraId="6846A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6A5E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282</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8E70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鞋刷</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1749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长把</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1ED7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D998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把</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80B3D">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8F247">
            <w:pPr>
              <w:jc w:val="center"/>
              <w:rPr>
                <w:rFonts w:hint="eastAsia" w:ascii="仿宋" w:hAnsi="仿宋" w:eastAsia="仿宋" w:cs="仿宋"/>
                <w:i w:val="0"/>
                <w:iCs w:val="0"/>
                <w:color w:val="000000"/>
                <w:sz w:val="20"/>
                <w:szCs w:val="20"/>
                <w:u w:val="none"/>
              </w:rPr>
            </w:pPr>
          </w:p>
        </w:tc>
      </w:tr>
      <w:tr w14:paraId="1511C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3A8B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283</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5A6F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信封</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96C7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A4</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6ECA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4809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92933">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DB676">
            <w:pPr>
              <w:jc w:val="center"/>
              <w:rPr>
                <w:rFonts w:hint="eastAsia" w:ascii="仿宋" w:hAnsi="仿宋" w:eastAsia="仿宋" w:cs="仿宋"/>
                <w:i w:val="0"/>
                <w:iCs w:val="0"/>
                <w:color w:val="000000"/>
                <w:sz w:val="20"/>
                <w:szCs w:val="20"/>
                <w:u w:val="none"/>
              </w:rPr>
            </w:pPr>
          </w:p>
        </w:tc>
      </w:tr>
      <w:tr w14:paraId="5B0DC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2963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284</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3C91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信封</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7474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23*12cm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145F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A174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2A368">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BF040">
            <w:pPr>
              <w:jc w:val="center"/>
              <w:rPr>
                <w:rFonts w:hint="eastAsia" w:ascii="仿宋" w:hAnsi="仿宋" w:eastAsia="仿宋" w:cs="仿宋"/>
                <w:i w:val="0"/>
                <w:iCs w:val="0"/>
                <w:color w:val="000000"/>
                <w:sz w:val="20"/>
                <w:szCs w:val="20"/>
                <w:u w:val="none"/>
              </w:rPr>
            </w:pPr>
          </w:p>
        </w:tc>
      </w:tr>
      <w:tr w14:paraId="701DE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2939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285</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6D27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信封</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CAAF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A5</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98F3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4E2E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0F9D6">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38FCC">
            <w:pPr>
              <w:jc w:val="center"/>
              <w:rPr>
                <w:rFonts w:hint="eastAsia" w:ascii="仿宋" w:hAnsi="仿宋" w:eastAsia="仿宋" w:cs="仿宋"/>
                <w:i w:val="0"/>
                <w:iCs w:val="0"/>
                <w:color w:val="000000"/>
                <w:sz w:val="20"/>
                <w:szCs w:val="20"/>
                <w:u w:val="none"/>
              </w:rPr>
            </w:pPr>
          </w:p>
        </w:tc>
      </w:tr>
      <w:tr w14:paraId="3DD7B1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0E23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286</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CD7E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行李袋</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A878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中号</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9729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62C3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C58D3">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BE6A0">
            <w:pPr>
              <w:jc w:val="center"/>
              <w:rPr>
                <w:rFonts w:hint="eastAsia" w:ascii="仿宋" w:hAnsi="仿宋" w:eastAsia="仿宋" w:cs="仿宋"/>
                <w:i w:val="0"/>
                <w:iCs w:val="0"/>
                <w:color w:val="000000"/>
                <w:sz w:val="20"/>
                <w:szCs w:val="20"/>
                <w:u w:val="none"/>
              </w:rPr>
            </w:pPr>
          </w:p>
        </w:tc>
      </w:tr>
      <w:tr w14:paraId="6C851B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9312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287</w:t>
            </w:r>
          </w:p>
        </w:tc>
        <w:tc>
          <w:tcPr>
            <w:tcW w:w="15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D8433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胸卡</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ED6F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防水塑料</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6D3B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F141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69EDD">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50C0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6EA388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6337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288</w:t>
            </w:r>
          </w:p>
        </w:tc>
        <w:tc>
          <w:tcPr>
            <w:tcW w:w="15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ADF57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胸卡</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651F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6*2cm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6E6F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159A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C2942">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A438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5E910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D17F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289</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E7B2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削笔器</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F388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手动</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CF36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6107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台</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E9398">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02B3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346FC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A0CB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290</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11C3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压水器</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5D3D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手动</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B6D6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16</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B8F7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5B867">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C2D8C">
            <w:pPr>
              <w:jc w:val="center"/>
              <w:rPr>
                <w:rFonts w:hint="eastAsia" w:ascii="仿宋" w:hAnsi="仿宋" w:eastAsia="仿宋" w:cs="仿宋"/>
                <w:i w:val="0"/>
                <w:iCs w:val="0"/>
                <w:color w:val="000000"/>
                <w:sz w:val="20"/>
                <w:szCs w:val="20"/>
                <w:u w:val="none"/>
              </w:rPr>
            </w:pPr>
          </w:p>
        </w:tc>
      </w:tr>
      <w:tr w14:paraId="05389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76B7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291</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EC4B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氧气瓶推车</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4C5C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10L</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7C1E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158</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5390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张</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F7095">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0E2A8">
            <w:pPr>
              <w:jc w:val="center"/>
              <w:rPr>
                <w:rFonts w:hint="eastAsia" w:ascii="仿宋" w:hAnsi="仿宋" w:eastAsia="仿宋" w:cs="仿宋"/>
                <w:i w:val="0"/>
                <w:iCs w:val="0"/>
                <w:color w:val="000000"/>
                <w:sz w:val="20"/>
                <w:szCs w:val="20"/>
                <w:u w:val="none"/>
              </w:rPr>
            </w:pPr>
          </w:p>
        </w:tc>
      </w:tr>
      <w:tr w14:paraId="35F31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E21C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292</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094C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氧气瓶推车</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575E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40L</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68D6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245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0689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张</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4CB17">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31BD3">
            <w:pPr>
              <w:jc w:val="center"/>
              <w:rPr>
                <w:rFonts w:hint="eastAsia" w:ascii="仿宋" w:hAnsi="仿宋" w:eastAsia="仿宋" w:cs="仿宋"/>
                <w:i w:val="0"/>
                <w:iCs w:val="0"/>
                <w:color w:val="000000"/>
                <w:sz w:val="20"/>
                <w:szCs w:val="20"/>
                <w:u w:val="none"/>
              </w:rPr>
            </w:pPr>
          </w:p>
        </w:tc>
      </w:tr>
      <w:tr w14:paraId="0A752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006F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293</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F670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氧气五防安全牌</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97CA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5*10cm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467B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6253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3686C">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97A78">
            <w:pPr>
              <w:jc w:val="center"/>
              <w:rPr>
                <w:rFonts w:hint="eastAsia" w:ascii="仿宋" w:hAnsi="仿宋" w:eastAsia="仿宋" w:cs="仿宋"/>
                <w:i w:val="0"/>
                <w:iCs w:val="0"/>
                <w:color w:val="000000"/>
                <w:sz w:val="20"/>
                <w:szCs w:val="20"/>
                <w:u w:val="none"/>
              </w:rPr>
            </w:pPr>
          </w:p>
        </w:tc>
      </w:tr>
      <w:tr w14:paraId="267918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9B60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294</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05EF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摇盖垃圾桶</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8DC9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6.5L</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9C79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EF77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B1803">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2D845">
            <w:pPr>
              <w:jc w:val="center"/>
              <w:rPr>
                <w:rFonts w:hint="eastAsia" w:ascii="仿宋" w:hAnsi="仿宋" w:eastAsia="仿宋" w:cs="仿宋"/>
                <w:i w:val="0"/>
                <w:iCs w:val="0"/>
                <w:color w:val="000000"/>
                <w:sz w:val="20"/>
                <w:szCs w:val="20"/>
                <w:u w:val="none"/>
              </w:rPr>
            </w:pPr>
          </w:p>
        </w:tc>
      </w:tr>
      <w:tr w14:paraId="2EE0F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4751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295</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1470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摇盖垃圾桶</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70F5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10L</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59A9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8A50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88688">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B00E5">
            <w:pPr>
              <w:jc w:val="center"/>
              <w:rPr>
                <w:rFonts w:hint="eastAsia" w:ascii="仿宋" w:hAnsi="仿宋" w:eastAsia="仿宋" w:cs="仿宋"/>
                <w:i w:val="0"/>
                <w:iCs w:val="0"/>
                <w:color w:val="000000"/>
                <w:sz w:val="20"/>
                <w:szCs w:val="20"/>
                <w:u w:val="none"/>
              </w:rPr>
            </w:pPr>
          </w:p>
        </w:tc>
      </w:tr>
      <w:tr w14:paraId="0341B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97D8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296</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C54B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钥匙扣</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1AC1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挂扣</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BE90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4DC8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B5C98">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BCA7E">
            <w:pPr>
              <w:jc w:val="center"/>
              <w:rPr>
                <w:rFonts w:hint="eastAsia" w:ascii="仿宋" w:hAnsi="仿宋" w:eastAsia="仿宋" w:cs="仿宋"/>
                <w:i w:val="0"/>
                <w:iCs w:val="0"/>
                <w:color w:val="000000"/>
                <w:sz w:val="20"/>
                <w:szCs w:val="20"/>
                <w:u w:val="none"/>
              </w:rPr>
            </w:pPr>
          </w:p>
        </w:tc>
      </w:tr>
      <w:tr w14:paraId="6BCEF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4FDE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297</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048C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钥匙盘</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E041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28位</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0B44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9B31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96E66">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A0630">
            <w:pPr>
              <w:jc w:val="center"/>
              <w:rPr>
                <w:rFonts w:hint="eastAsia" w:ascii="仿宋" w:hAnsi="仿宋" w:eastAsia="仿宋" w:cs="仿宋"/>
                <w:i w:val="0"/>
                <w:iCs w:val="0"/>
                <w:color w:val="000000"/>
                <w:sz w:val="20"/>
                <w:szCs w:val="20"/>
                <w:u w:val="none"/>
              </w:rPr>
            </w:pPr>
          </w:p>
        </w:tc>
      </w:tr>
      <w:tr w14:paraId="35F45B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5ED4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298</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273A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钥匙盘</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468B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64位</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CC68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4E3C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1A6DD">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A0A58">
            <w:pPr>
              <w:jc w:val="center"/>
              <w:rPr>
                <w:rFonts w:hint="eastAsia" w:ascii="仿宋" w:hAnsi="仿宋" w:eastAsia="仿宋" w:cs="仿宋"/>
                <w:i w:val="0"/>
                <w:iCs w:val="0"/>
                <w:color w:val="000000"/>
                <w:sz w:val="20"/>
                <w:szCs w:val="20"/>
                <w:u w:val="none"/>
              </w:rPr>
            </w:pPr>
          </w:p>
        </w:tc>
      </w:tr>
      <w:tr w14:paraId="1B77D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D857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299</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9C3D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一次性PE围裙</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FEF6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加厚</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7F39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7E33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A85AA">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FE4A4">
            <w:pPr>
              <w:jc w:val="center"/>
              <w:rPr>
                <w:rFonts w:hint="eastAsia" w:ascii="仿宋" w:hAnsi="仿宋" w:eastAsia="仿宋" w:cs="仿宋"/>
                <w:i w:val="0"/>
                <w:iCs w:val="0"/>
                <w:color w:val="000000"/>
                <w:sz w:val="20"/>
                <w:szCs w:val="20"/>
                <w:u w:val="none"/>
              </w:rPr>
            </w:pPr>
          </w:p>
        </w:tc>
      </w:tr>
      <w:tr w14:paraId="3AB09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6DB4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300</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217D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一次性PE袖套</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27D5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加厚</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EB77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3BC4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7D063">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FBD5B">
            <w:pPr>
              <w:jc w:val="center"/>
              <w:rPr>
                <w:rFonts w:hint="eastAsia" w:ascii="仿宋" w:hAnsi="仿宋" w:eastAsia="仿宋" w:cs="仿宋"/>
                <w:i w:val="0"/>
                <w:iCs w:val="0"/>
                <w:color w:val="000000"/>
                <w:sz w:val="20"/>
                <w:szCs w:val="20"/>
                <w:u w:val="none"/>
              </w:rPr>
            </w:pPr>
          </w:p>
        </w:tc>
      </w:tr>
      <w:tr w14:paraId="7C320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5288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301</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611F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一次性口杯（定制）</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04AF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医院专用（12盎司，350ml)</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E994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EA46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B4D42">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8F91F">
            <w:pPr>
              <w:jc w:val="center"/>
              <w:rPr>
                <w:rFonts w:hint="eastAsia" w:ascii="仿宋" w:hAnsi="仿宋" w:eastAsia="仿宋" w:cs="仿宋"/>
                <w:i w:val="0"/>
                <w:iCs w:val="0"/>
                <w:color w:val="000000"/>
                <w:sz w:val="20"/>
                <w:szCs w:val="20"/>
                <w:u w:val="none"/>
              </w:rPr>
            </w:pPr>
          </w:p>
        </w:tc>
      </w:tr>
      <w:tr w14:paraId="63850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0C61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302</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8192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一次性小纸杯</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181C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小号</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BA95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0C6D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提</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B329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是</w:t>
            </w: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BDBDB">
            <w:pPr>
              <w:jc w:val="center"/>
              <w:rPr>
                <w:rFonts w:hint="eastAsia" w:ascii="仿宋" w:hAnsi="仿宋" w:eastAsia="仿宋" w:cs="仿宋"/>
                <w:i w:val="0"/>
                <w:iCs w:val="0"/>
                <w:color w:val="000000"/>
                <w:sz w:val="20"/>
                <w:szCs w:val="20"/>
                <w:u w:val="none"/>
              </w:rPr>
            </w:pPr>
          </w:p>
        </w:tc>
      </w:tr>
      <w:tr w14:paraId="6C8DB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4507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303</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B1DC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一次性纸杯</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381F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100个装</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8E4C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11</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AF54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提</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EF0A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是</w:t>
            </w: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70EF9">
            <w:pPr>
              <w:jc w:val="center"/>
              <w:rPr>
                <w:rFonts w:hint="eastAsia" w:ascii="仿宋" w:hAnsi="仿宋" w:eastAsia="仿宋" w:cs="仿宋"/>
                <w:i w:val="0"/>
                <w:iCs w:val="0"/>
                <w:color w:val="000000"/>
                <w:sz w:val="20"/>
                <w:szCs w:val="20"/>
                <w:u w:val="none"/>
              </w:rPr>
            </w:pPr>
          </w:p>
        </w:tc>
      </w:tr>
      <w:tr w14:paraId="0F3E8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E785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304</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1954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一次性纸杯取杯器</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E102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440D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2B38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DE942">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A050F">
            <w:pPr>
              <w:jc w:val="center"/>
              <w:rPr>
                <w:rFonts w:hint="eastAsia" w:ascii="仿宋" w:hAnsi="仿宋" w:eastAsia="仿宋" w:cs="仿宋"/>
                <w:i w:val="0"/>
                <w:iCs w:val="0"/>
                <w:color w:val="000000"/>
                <w:sz w:val="20"/>
                <w:szCs w:val="20"/>
                <w:u w:val="none"/>
              </w:rPr>
            </w:pPr>
          </w:p>
        </w:tc>
      </w:tr>
      <w:tr w14:paraId="615639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F017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305</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AC03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衣钩（4头）</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93A3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不锈钢</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EDB2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7AE0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02344">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5A570">
            <w:pPr>
              <w:jc w:val="center"/>
              <w:rPr>
                <w:rFonts w:hint="eastAsia" w:ascii="仿宋" w:hAnsi="仿宋" w:eastAsia="仿宋" w:cs="仿宋"/>
                <w:i w:val="0"/>
                <w:iCs w:val="0"/>
                <w:color w:val="000000"/>
                <w:sz w:val="20"/>
                <w:szCs w:val="20"/>
                <w:u w:val="none"/>
              </w:rPr>
            </w:pPr>
          </w:p>
        </w:tc>
      </w:tr>
      <w:tr w14:paraId="1F140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159E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306</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58E1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衣钩（6头）</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2C6F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不锈钢</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6DE1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401F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8303A">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EDF8D">
            <w:pPr>
              <w:jc w:val="center"/>
              <w:rPr>
                <w:rFonts w:hint="eastAsia" w:ascii="仿宋" w:hAnsi="仿宋" w:eastAsia="仿宋" w:cs="仿宋"/>
                <w:i w:val="0"/>
                <w:iCs w:val="0"/>
                <w:color w:val="000000"/>
                <w:sz w:val="20"/>
                <w:szCs w:val="20"/>
                <w:u w:val="none"/>
              </w:rPr>
            </w:pPr>
          </w:p>
        </w:tc>
      </w:tr>
      <w:tr w14:paraId="352BC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842D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307</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344D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衣钩（8头）</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2A46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不锈钢</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5B32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7AE2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A9A8C">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AF0A7">
            <w:pPr>
              <w:jc w:val="center"/>
              <w:rPr>
                <w:rFonts w:hint="eastAsia" w:ascii="仿宋" w:hAnsi="仿宋" w:eastAsia="仿宋" w:cs="仿宋"/>
                <w:i w:val="0"/>
                <w:iCs w:val="0"/>
                <w:color w:val="000000"/>
                <w:sz w:val="20"/>
                <w:szCs w:val="20"/>
                <w:u w:val="none"/>
              </w:rPr>
            </w:pPr>
          </w:p>
        </w:tc>
      </w:tr>
      <w:tr w14:paraId="09A3F8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CBD6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308</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1F0F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医疗垃圾袋</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BF3D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1100*930（黄色）</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9F93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0908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FDB43">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77B92">
            <w:pPr>
              <w:jc w:val="center"/>
              <w:rPr>
                <w:rFonts w:hint="eastAsia" w:ascii="仿宋" w:hAnsi="仿宋" w:eastAsia="仿宋" w:cs="仿宋"/>
                <w:i w:val="0"/>
                <w:iCs w:val="0"/>
                <w:color w:val="000000"/>
                <w:sz w:val="20"/>
                <w:szCs w:val="20"/>
                <w:u w:val="none"/>
              </w:rPr>
            </w:pPr>
          </w:p>
        </w:tc>
      </w:tr>
      <w:tr w14:paraId="50F158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DC77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309</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DF84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医疗垃圾袋</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4E1E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730*670（黄色）</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E8AB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9071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7C4B4">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4CE20">
            <w:pPr>
              <w:jc w:val="center"/>
              <w:rPr>
                <w:rFonts w:hint="eastAsia" w:ascii="仿宋" w:hAnsi="仿宋" w:eastAsia="仿宋" w:cs="仿宋"/>
                <w:i w:val="0"/>
                <w:iCs w:val="0"/>
                <w:color w:val="000000"/>
                <w:sz w:val="20"/>
                <w:szCs w:val="20"/>
                <w:u w:val="none"/>
              </w:rPr>
            </w:pPr>
          </w:p>
        </w:tc>
      </w:tr>
      <w:tr w14:paraId="69E8B7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D5FA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310</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33D8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医疗垃圾袋</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90DF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450*550（黄色）</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3783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6AF6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5C604">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28BF1">
            <w:pPr>
              <w:jc w:val="center"/>
              <w:rPr>
                <w:rFonts w:hint="eastAsia" w:ascii="仿宋" w:hAnsi="仿宋" w:eastAsia="仿宋" w:cs="仿宋"/>
                <w:i w:val="0"/>
                <w:iCs w:val="0"/>
                <w:color w:val="000000"/>
                <w:sz w:val="20"/>
                <w:szCs w:val="20"/>
                <w:u w:val="none"/>
              </w:rPr>
            </w:pPr>
          </w:p>
        </w:tc>
      </w:tr>
      <w:tr w14:paraId="2C31E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00E3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311</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0054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医疗垃圾桶</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B735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15L(脚踏）</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6735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F8AC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2721A">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980E2">
            <w:pPr>
              <w:jc w:val="center"/>
              <w:rPr>
                <w:rFonts w:hint="eastAsia" w:ascii="仿宋" w:hAnsi="仿宋" w:eastAsia="仿宋" w:cs="仿宋"/>
                <w:i w:val="0"/>
                <w:iCs w:val="0"/>
                <w:color w:val="000000"/>
                <w:sz w:val="20"/>
                <w:szCs w:val="20"/>
                <w:u w:val="none"/>
              </w:rPr>
            </w:pPr>
          </w:p>
        </w:tc>
      </w:tr>
      <w:tr w14:paraId="29014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9987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312</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5686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医疗垃圾桶</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B164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30L（脚踏）</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7AB3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C649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32F8D">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9ACCB">
            <w:pPr>
              <w:jc w:val="center"/>
              <w:rPr>
                <w:rFonts w:hint="eastAsia" w:ascii="仿宋" w:hAnsi="仿宋" w:eastAsia="仿宋" w:cs="仿宋"/>
                <w:i w:val="0"/>
                <w:iCs w:val="0"/>
                <w:color w:val="000000"/>
                <w:sz w:val="20"/>
                <w:szCs w:val="20"/>
                <w:u w:val="none"/>
              </w:rPr>
            </w:pPr>
          </w:p>
        </w:tc>
      </w:tr>
      <w:tr w14:paraId="38008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6627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313</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8497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医疗垃圾桶</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0D0A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120L(脚踏）</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BFEC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D3BD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81456">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3A841">
            <w:pPr>
              <w:jc w:val="center"/>
              <w:rPr>
                <w:rFonts w:hint="eastAsia" w:ascii="仿宋" w:hAnsi="仿宋" w:eastAsia="仿宋" w:cs="仿宋"/>
                <w:i w:val="0"/>
                <w:iCs w:val="0"/>
                <w:color w:val="000000"/>
                <w:sz w:val="20"/>
                <w:szCs w:val="20"/>
                <w:u w:val="none"/>
              </w:rPr>
            </w:pPr>
          </w:p>
        </w:tc>
      </w:tr>
      <w:tr w14:paraId="32629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325F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314</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A25F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医疗垃圾桶</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F9EF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100L(脚踏）</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16F5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160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08F3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9A376">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5C72A">
            <w:pPr>
              <w:jc w:val="center"/>
              <w:rPr>
                <w:rFonts w:hint="eastAsia" w:ascii="仿宋" w:hAnsi="仿宋" w:eastAsia="仿宋" w:cs="仿宋"/>
                <w:i w:val="0"/>
                <w:iCs w:val="0"/>
                <w:color w:val="000000"/>
                <w:sz w:val="20"/>
                <w:szCs w:val="20"/>
                <w:u w:val="none"/>
              </w:rPr>
            </w:pPr>
          </w:p>
        </w:tc>
      </w:tr>
      <w:tr w14:paraId="24740B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133B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315</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66B5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医疗垃圾桶</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AD84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50L（脚踏）</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526A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7C25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5EFAD">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611CD">
            <w:pPr>
              <w:jc w:val="center"/>
              <w:rPr>
                <w:rFonts w:hint="eastAsia" w:ascii="仿宋" w:hAnsi="仿宋" w:eastAsia="仿宋" w:cs="仿宋"/>
                <w:i w:val="0"/>
                <w:iCs w:val="0"/>
                <w:color w:val="000000"/>
                <w:sz w:val="20"/>
                <w:szCs w:val="20"/>
                <w:u w:val="none"/>
              </w:rPr>
            </w:pPr>
          </w:p>
        </w:tc>
      </w:tr>
      <w:tr w14:paraId="51AA0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5067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316</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2E30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医疗垃圾桶</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F30B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10L</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6431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8B89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EDF06">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1E7AA">
            <w:pPr>
              <w:jc w:val="center"/>
              <w:rPr>
                <w:rFonts w:hint="eastAsia" w:ascii="仿宋" w:hAnsi="仿宋" w:eastAsia="仿宋" w:cs="仿宋"/>
                <w:i w:val="0"/>
                <w:iCs w:val="0"/>
                <w:color w:val="000000"/>
                <w:sz w:val="20"/>
                <w:szCs w:val="20"/>
                <w:u w:val="none"/>
              </w:rPr>
            </w:pPr>
          </w:p>
        </w:tc>
      </w:tr>
      <w:tr w14:paraId="7AEF37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3467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317</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92CE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医用擦手纸</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35A3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200抽</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4CC4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6D8E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包</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533D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是</w:t>
            </w: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66CCF">
            <w:pPr>
              <w:jc w:val="center"/>
              <w:rPr>
                <w:rFonts w:hint="eastAsia" w:ascii="仿宋" w:hAnsi="仿宋" w:eastAsia="仿宋" w:cs="仿宋"/>
                <w:i w:val="0"/>
                <w:iCs w:val="0"/>
                <w:color w:val="000000"/>
                <w:sz w:val="20"/>
                <w:szCs w:val="20"/>
                <w:u w:val="none"/>
              </w:rPr>
            </w:pPr>
          </w:p>
        </w:tc>
      </w:tr>
      <w:tr w14:paraId="61B41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2FB5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318</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E8B4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饮水机抽水器</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9E5E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电动</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A2E0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32</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C086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B4AB4">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FD4CD">
            <w:pPr>
              <w:jc w:val="center"/>
              <w:rPr>
                <w:rFonts w:hint="eastAsia" w:ascii="仿宋" w:hAnsi="仿宋" w:eastAsia="仿宋" w:cs="仿宋"/>
                <w:i w:val="0"/>
                <w:iCs w:val="0"/>
                <w:color w:val="000000"/>
                <w:sz w:val="20"/>
                <w:szCs w:val="20"/>
                <w:u w:val="none"/>
              </w:rPr>
            </w:pPr>
          </w:p>
        </w:tc>
      </w:tr>
      <w:tr w14:paraId="4DE559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2F58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319</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B918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应急灯</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7CE4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手提应急灯</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86C5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6D6F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支</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21A7C">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60E0C">
            <w:pPr>
              <w:jc w:val="center"/>
              <w:rPr>
                <w:rFonts w:hint="eastAsia" w:ascii="仿宋" w:hAnsi="仿宋" w:eastAsia="仿宋" w:cs="仿宋"/>
                <w:i w:val="0"/>
                <w:iCs w:val="0"/>
                <w:color w:val="000000"/>
                <w:sz w:val="20"/>
                <w:szCs w:val="20"/>
                <w:u w:val="none"/>
              </w:rPr>
            </w:pPr>
          </w:p>
        </w:tc>
      </w:tr>
      <w:tr w14:paraId="776F3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33C9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320</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3E48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婴儿沐浴露</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3F4D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1kg</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3999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3241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瓶</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8128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是</w:t>
            </w: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8AE89">
            <w:pPr>
              <w:jc w:val="center"/>
              <w:rPr>
                <w:rFonts w:hint="eastAsia" w:ascii="仿宋" w:hAnsi="仿宋" w:eastAsia="仿宋" w:cs="仿宋"/>
                <w:i w:val="0"/>
                <w:iCs w:val="0"/>
                <w:color w:val="000000"/>
                <w:sz w:val="20"/>
                <w:szCs w:val="20"/>
                <w:u w:val="none"/>
              </w:rPr>
            </w:pPr>
          </w:p>
        </w:tc>
      </w:tr>
      <w:tr w14:paraId="76F57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FE57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321</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4DC1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婴儿润肤油</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8C25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100ml</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95B6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FCFD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瓶</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BE19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是</w:t>
            </w: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53CB5">
            <w:pPr>
              <w:jc w:val="center"/>
              <w:rPr>
                <w:rFonts w:hint="eastAsia" w:ascii="仿宋" w:hAnsi="仿宋" w:eastAsia="仿宋" w:cs="仿宋"/>
                <w:i w:val="0"/>
                <w:iCs w:val="0"/>
                <w:color w:val="000000"/>
                <w:sz w:val="20"/>
                <w:szCs w:val="20"/>
                <w:u w:val="none"/>
              </w:rPr>
            </w:pPr>
          </w:p>
        </w:tc>
      </w:tr>
      <w:tr w14:paraId="379AF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6912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322</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04E4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硬抄本</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FCFD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210*148(98页）</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04E1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D8BA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本</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5FE5E">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3471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61BC03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9B85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323</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B792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油漆笔</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16B1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笔式</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3459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76C1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支</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88C32">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9FAC2">
            <w:pPr>
              <w:jc w:val="center"/>
              <w:rPr>
                <w:rFonts w:hint="eastAsia" w:ascii="仿宋" w:hAnsi="仿宋" w:eastAsia="仿宋" w:cs="仿宋"/>
                <w:i w:val="0"/>
                <w:iCs w:val="0"/>
                <w:color w:val="000000"/>
                <w:sz w:val="20"/>
                <w:szCs w:val="20"/>
                <w:u w:val="none"/>
              </w:rPr>
            </w:pPr>
          </w:p>
        </w:tc>
      </w:tr>
      <w:tr w14:paraId="32971E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BAC0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324</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D782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油性笔</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15B2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黑、蓝、红</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6D5D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8CB3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支</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ADA73">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6BA9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3E095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0BE7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325</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365F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雨鞋</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6B77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中筒</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C38A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CAE1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双</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99A55">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A348F">
            <w:pPr>
              <w:jc w:val="center"/>
              <w:rPr>
                <w:rFonts w:hint="eastAsia" w:ascii="仿宋" w:hAnsi="仿宋" w:eastAsia="仿宋" w:cs="仿宋"/>
                <w:i w:val="0"/>
                <w:iCs w:val="0"/>
                <w:color w:val="000000"/>
                <w:sz w:val="20"/>
                <w:szCs w:val="20"/>
                <w:u w:val="none"/>
              </w:rPr>
            </w:pPr>
          </w:p>
        </w:tc>
      </w:tr>
      <w:tr w14:paraId="4C8B7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6114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326</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9BF4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雨衣</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0565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加厚</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4A74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4F46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件</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15E95">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FD346">
            <w:pPr>
              <w:jc w:val="center"/>
              <w:rPr>
                <w:rFonts w:hint="eastAsia" w:ascii="仿宋" w:hAnsi="仿宋" w:eastAsia="仿宋" w:cs="仿宋"/>
                <w:i w:val="0"/>
                <w:iCs w:val="0"/>
                <w:color w:val="000000"/>
                <w:sz w:val="20"/>
                <w:szCs w:val="20"/>
                <w:u w:val="none"/>
              </w:rPr>
            </w:pPr>
          </w:p>
        </w:tc>
      </w:tr>
      <w:tr w14:paraId="5F0276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08F9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327</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A4F3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浴巾</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81D0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40*80cm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1841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78</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EB2D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条</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2728B">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BE487">
            <w:pPr>
              <w:jc w:val="center"/>
              <w:rPr>
                <w:rFonts w:hint="eastAsia" w:ascii="仿宋" w:hAnsi="仿宋" w:eastAsia="仿宋" w:cs="仿宋"/>
                <w:i w:val="0"/>
                <w:iCs w:val="0"/>
                <w:color w:val="000000"/>
                <w:sz w:val="20"/>
                <w:szCs w:val="20"/>
                <w:u w:val="none"/>
              </w:rPr>
            </w:pPr>
          </w:p>
        </w:tc>
      </w:tr>
      <w:tr w14:paraId="4AA81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B39E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328</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10D5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圆珠笔</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52B2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标准</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8FC3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29E4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支</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3415F">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4711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24DDE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FB96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329</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CA66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圆珠芯</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954D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标准</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6F45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EC30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支</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5AC76">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F6B5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196CF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BD45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330</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F182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粘尘垫</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055E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65*115cm(30张）</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DE65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DFDA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盒</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3E292">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11252">
            <w:pPr>
              <w:jc w:val="center"/>
              <w:rPr>
                <w:rFonts w:hint="eastAsia" w:ascii="仿宋" w:hAnsi="仿宋" w:eastAsia="仿宋" w:cs="仿宋"/>
                <w:i w:val="0"/>
                <w:iCs w:val="0"/>
                <w:color w:val="000000"/>
                <w:sz w:val="20"/>
                <w:szCs w:val="20"/>
                <w:u w:val="none"/>
              </w:rPr>
            </w:pPr>
          </w:p>
        </w:tc>
      </w:tr>
      <w:tr w14:paraId="72DFA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EB21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331</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6913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粘钩</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B957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1个装</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F26E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1128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8715A">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8B211">
            <w:pPr>
              <w:jc w:val="center"/>
              <w:rPr>
                <w:rFonts w:hint="eastAsia" w:ascii="仿宋" w:hAnsi="仿宋" w:eastAsia="仿宋" w:cs="仿宋"/>
                <w:i w:val="0"/>
                <w:iCs w:val="0"/>
                <w:color w:val="000000"/>
                <w:sz w:val="20"/>
                <w:szCs w:val="20"/>
                <w:u w:val="none"/>
              </w:rPr>
            </w:pPr>
          </w:p>
        </w:tc>
      </w:tr>
      <w:tr w14:paraId="3D7E2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91A3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332</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5142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粘鼠板</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4525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A8</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53EC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9DE4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张</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F067C">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9749C">
            <w:pPr>
              <w:jc w:val="center"/>
              <w:rPr>
                <w:rFonts w:hint="eastAsia" w:ascii="仿宋" w:hAnsi="仿宋" w:eastAsia="仿宋" w:cs="仿宋"/>
                <w:i w:val="0"/>
                <w:iCs w:val="0"/>
                <w:color w:val="000000"/>
                <w:sz w:val="20"/>
                <w:szCs w:val="20"/>
                <w:u w:val="none"/>
              </w:rPr>
            </w:pPr>
          </w:p>
        </w:tc>
      </w:tr>
      <w:tr w14:paraId="14B21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9D23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333</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C095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粘鼠板</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DE26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1*50</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88C4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84BE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片</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4C681">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190C2">
            <w:pPr>
              <w:jc w:val="center"/>
              <w:rPr>
                <w:rFonts w:hint="eastAsia" w:ascii="仿宋" w:hAnsi="仿宋" w:eastAsia="仿宋" w:cs="仿宋"/>
                <w:i w:val="0"/>
                <w:iCs w:val="0"/>
                <w:color w:val="000000"/>
                <w:sz w:val="20"/>
                <w:szCs w:val="20"/>
                <w:u w:val="none"/>
              </w:rPr>
            </w:pPr>
          </w:p>
        </w:tc>
      </w:tr>
      <w:tr w14:paraId="7D209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E94D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334</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239B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樟脑丸</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C399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15粒</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DA88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91B5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包</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0873C">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24370">
            <w:pPr>
              <w:jc w:val="center"/>
              <w:rPr>
                <w:rFonts w:hint="eastAsia" w:ascii="仿宋" w:hAnsi="仿宋" w:eastAsia="仿宋" w:cs="仿宋"/>
                <w:i w:val="0"/>
                <w:iCs w:val="0"/>
                <w:color w:val="000000"/>
                <w:sz w:val="20"/>
                <w:szCs w:val="20"/>
                <w:u w:val="none"/>
              </w:rPr>
            </w:pPr>
          </w:p>
        </w:tc>
      </w:tr>
      <w:tr w14:paraId="38975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D371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335</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0ADD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长尾票夹</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2392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15mm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094B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9D8C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盒</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5FDC6">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12C2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6C55A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FBFF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336</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E48B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长尾票夹</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DD60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25mm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1C82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BAF3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盒</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F7171">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8B2F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6673B0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EA9F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337</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D847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长尾票夹</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5145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32mm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1AF9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16</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FE84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盒</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A04B3">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F2B1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049185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2133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338</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58E9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长尾票夹</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AF7D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50mm</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9CC5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17</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AE59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盒</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A9810">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450C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54B39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DCB3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339</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82F1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账壳</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5C99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A4</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E08C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AABA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付</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A065F">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DA763">
            <w:pPr>
              <w:jc w:val="center"/>
              <w:rPr>
                <w:rFonts w:hint="eastAsia" w:ascii="仿宋" w:hAnsi="仿宋" w:eastAsia="仿宋" w:cs="仿宋"/>
                <w:i w:val="0"/>
                <w:iCs w:val="0"/>
                <w:color w:val="000000"/>
                <w:sz w:val="20"/>
                <w:szCs w:val="20"/>
                <w:u w:val="none"/>
              </w:rPr>
            </w:pPr>
          </w:p>
        </w:tc>
      </w:tr>
      <w:tr w14:paraId="1617B4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0CE0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340</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B23C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直尺</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02DD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30cm(塑料）</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4EF2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7C2A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把</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C83E7">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2089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42A8BD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E608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341</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1973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纸杯托</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7E03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塑料</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B779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7CA7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085B1">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0F1AB">
            <w:pPr>
              <w:jc w:val="center"/>
              <w:rPr>
                <w:rFonts w:hint="eastAsia" w:ascii="仿宋" w:hAnsi="仿宋" w:eastAsia="仿宋" w:cs="仿宋"/>
                <w:i w:val="0"/>
                <w:iCs w:val="0"/>
                <w:color w:val="000000"/>
                <w:sz w:val="20"/>
                <w:szCs w:val="20"/>
                <w:u w:val="none"/>
              </w:rPr>
            </w:pPr>
          </w:p>
        </w:tc>
      </w:tr>
      <w:tr w14:paraId="4EA7C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E73D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342</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3862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指甲刀</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2BF4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12把/盒</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1978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7A40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把</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D9101">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60B11">
            <w:pPr>
              <w:jc w:val="center"/>
              <w:rPr>
                <w:rFonts w:hint="eastAsia" w:ascii="仿宋" w:hAnsi="仿宋" w:eastAsia="仿宋" w:cs="仿宋"/>
                <w:i w:val="0"/>
                <w:iCs w:val="0"/>
                <w:color w:val="000000"/>
                <w:sz w:val="20"/>
                <w:szCs w:val="20"/>
                <w:u w:val="none"/>
              </w:rPr>
            </w:pPr>
          </w:p>
        </w:tc>
      </w:tr>
      <w:tr w14:paraId="58754D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5B85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343</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29C4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志愿者马甲</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4F66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S-4XL</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6642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A426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件</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3B580">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8D352">
            <w:pPr>
              <w:jc w:val="center"/>
              <w:rPr>
                <w:rFonts w:hint="eastAsia" w:ascii="仿宋" w:hAnsi="仿宋" w:eastAsia="仿宋" w:cs="仿宋"/>
                <w:i w:val="0"/>
                <w:iCs w:val="0"/>
                <w:color w:val="000000"/>
                <w:sz w:val="20"/>
                <w:szCs w:val="20"/>
                <w:u w:val="none"/>
              </w:rPr>
            </w:pPr>
          </w:p>
        </w:tc>
      </w:tr>
      <w:tr w14:paraId="79D89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CE6D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344</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4C35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竹签</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2391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机制</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B68B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D529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包</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0CC64">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810C6">
            <w:pPr>
              <w:jc w:val="center"/>
              <w:rPr>
                <w:rFonts w:hint="eastAsia" w:ascii="仿宋" w:hAnsi="仿宋" w:eastAsia="仿宋" w:cs="仿宋"/>
                <w:i w:val="0"/>
                <w:iCs w:val="0"/>
                <w:color w:val="000000"/>
                <w:sz w:val="20"/>
                <w:szCs w:val="20"/>
                <w:u w:val="none"/>
              </w:rPr>
            </w:pPr>
          </w:p>
        </w:tc>
      </w:tr>
      <w:tr w14:paraId="425A8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B00F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345</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4436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转换插座</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9F15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一拖三</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5E85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BD9C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5B482">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A9B7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公牛、德力西、正泰、品胜</w:t>
            </w:r>
          </w:p>
        </w:tc>
      </w:tr>
      <w:tr w14:paraId="3016DB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4B59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346</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A259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装订机铆管</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62CF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HK-21.2</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8676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52</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E5B2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盒</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16655">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9DAC3">
            <w:pPr>
              <w:jc w:val="center"/>
              <w:rPr>
                <w:rFonts w:hint="eastAsia" w:ascii="仿宋" w:hAnsi="仿宋" w:eastAsia="仿宋" w:cs="仿宋"/>
                <w:i w:val="0"/>
                <w:iCs w:val="0"/>
                <w:color w:val="000000"/>
                <w:sz w:val="20"/>
                <w:szCs w:val="20"/>
                <w:u w:val="none"/>
              </w:rPr>
            </w:pPr>
          </w:p>
        </w:tc>
      </w:tr>
      <w:tr w14:paraId="21DAE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EC4C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347</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961B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资料册</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7681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10页</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F1BD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F6FD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本</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C9D06">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4C43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09A20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B3F9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348</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C412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资料册</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27A5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20页</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9B06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A354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本</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87692">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60B8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27C9C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2E19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349</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4833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资料册</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59BD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30页</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B705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2EF8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本</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264E5">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5DBD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0D129F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99E8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350</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DEB8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资料册</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0638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40页</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F9CC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2124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本</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5110D">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1A09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2C580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75B5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351</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D45B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资料册</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4618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60页</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C136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8E78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本</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FB6E8">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6E45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4785EB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E5B3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352</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F864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资料册</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7CE1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80页</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23B7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DBCA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本</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71E99">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FAE5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28240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26A6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353</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5898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资料册</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A562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100页</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C5EF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18</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00C9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本</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A966B">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37BE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得力、晨光、真彩、齐心</w:t>
            </w:r>
          </w:p>
        </w:tc>
      </w:tr>
      <w:tr w14:paraId="512CE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A235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354</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15FC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自封袋</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9D7B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5#、材质全新PE塑料、厚度6丝</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9F9A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03FF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包</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81D10">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22B35">
            <w:pPr>
              <w:jc w:val="center"/>
              <w:rPr>
                <w:rFonts w:hint="eastAsia" w:ascii="仿宋" w:hAnsi="仿宋" w:eastAsia="仿宋" w:cs="仿宋"/>
                <w:i w:val="0"/>
                <w:iCs w:val="0"/>
                <w:color w:val="000000"/>
                <w:sz w:val="20"/>
                <w:szCs w:val="20"/>
                <w:u w:val="none"/>
              </w:rPr>
            </w:pPr>
          </w:p>
        </w:tc>
      </w:tr>
      <w:tr w14:paraId="0921B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3EA8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355</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59F5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自封袋</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6E90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7#、材质全新PE塑料、厚度6丝</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CEE5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46B3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包</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29708">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A6FE5">
            <w:pPr>
              <w:jc w:val="center"/>
              <w:rPr>
                <w:rFonts w:hint="eastAsia" w:ascii="仿宋" w:hAnsi="仿宋" w:eastAsia="仿宋" w:cs="仿宋"/>
                <w:i w:val="0"/>
                <w:iCs w:val="0"/>
                <w:color w:val="000000"/>
                <w:sz w:val="20"/>
                <w:szCs w:val="20"/>
                <w:u w:val="none"/>
              </w:rPr>
            </w:pPr>
          </w:p>
        </w:tc>
      </w:tr>
      <w:tr w14:paraId="2D9465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E81F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356</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F6BE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自封袋</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CE21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7.5#、材质全新PE塑料、厚度6丝</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A2AE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8AA1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包</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A2879">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4E80B">
            <w:pPr>
              <w:jc w:val="center"/>
              <w:rPr>
                <w:rFonts w:hint="eastAsia" w:ascii="仿宋" w:hAnsi="仿宋" w:eastAsia="仿宋" w:cs="仿宋"/>
                <w:i w:val="0"/>
                <w:iCs w:val="0"/>
                <w:color w:val="000000"/>
                <w:sz w:val="20"/>
                <w:szCs w:val="20"/>
                <w:u w:val="none"/>
              </w:rPr>
            </w:pPr>
          </w:p>
        </w:tc>
      </w:tr>
      <w:tr w14:paraId="10AA3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3EE4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357</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CA40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自封袋</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C7A4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8#、材质全新PE塑料、厚度6丝</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9F60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11</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672C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包</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6B408">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8900B">
            <w:pPr>
              <w:jc w:val="center"/>
              <w:rPr>
                <w:rFonts w:hint="eastAsia" w:ascii="仿宋" w:hAnsi="仿宋" w:eastAsia="仿宋" w:cs="仿宋"/>
                <w:i w:val="0"/>
                <w:iCs w:val="0"/>
                <w:color w:val="000000"/>
                <w:sz w:val="20"/>
                <w:szCs w:val="20"/>
                <w:u w:val="none"/>
              </w:rPr>
            </w:pPr>
          </w:p>
        </w:tc>
      </w:tr>
      <w:tr w14:paraId="5FCC0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1F36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358</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871B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自封袋</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11CB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8.5#、材质全新PE塑料、厚度7丝</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ACE6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6AD1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包</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15D2F">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D00BB">
            <w:pPr>
              <w:jc w:val="center"/>
              <w:rPr>
                <w:rFonts w:hint="eastAsia" w:ascii="仿宋" w:hAnsi="仿宋" w:eastAsia="仿宋" w:cs="仿宋"/>
                <w:i w:val="0"/>
                <w:iCs w:val="0"/>
                <w:color w:val="000000"/>
                <w:sz w:val="20"/>
                <w:szCs w:val="20"/>
                <w:u w:val="none"/>
              </w:rPr>
            </w:pPr>
          </w:p>
        </w:tc>
      </w:tr>
      <w:tr w14:paraId="559DE5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A8CC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359</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8E71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自封袋</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CC81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9#、材质全新PE塑料、厚度8丝</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037E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5208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包</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9EB23">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57326">
            <w:pPr>
              <w:jc w:val="center"/>
              <w:rPr>
                <w:rFonts w:hint="eastAsia" w:ascii="仿宋" w:hAnsi="仿宋" w:eastAsia="仿宋" w:cs="仿宋"/>
                <w:i w:val="0"/>
                <w:iCs w:val="0"/>
                <w:color w:val="000000"/>
                <w:sz w:val="20"/>
                <w:szCs w:val="20"/>
                <w:u w:val="none"/>
              </w:rPr>
            </w:pPr>
          </w:p>
        </w:tc>
      </w:tr>
      <w:tr w14:paraId="60025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6619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360</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92AB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自封袋</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E247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10#、材质全新PE塑料、厚度9丝</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DCC9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22</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0396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包</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FAA89">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ECA55">
            <w:pPr>
              <w:jc w:val="center"/>
              <w:rPr>
                <w:rFonts w:hint="eastAsia" w:ascii="仿宋" w:hAnsi="仿宋" w:eastAsia="仿宋" w:cs="仿宋"/>
                <w:i w:val="0"/>
                <w:iCs w:val="0"/>
                <w:color w:val="000000"/>
                <w:sz w:val="20"/>
                <w:szCs w:val="20"/>
                <w:u w:val="none"/>
              </w:rPr>
            </w:pPr>
          </w:p>
        </w:tc>
      </w:tr>
      <w:tr w14:paraId="5703C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877E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361</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DE9A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自封袋</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9667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10.5#、材质全新PE塑料、厚度10丝</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2253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24</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B9AF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包</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C59DC">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9963E">
            <w:pPr>
              <w:jc w:val="center"/>
              <w:rPr>
                <w:rFonts w:hint="eastAsia" w:ascii="仿宋" w:hAnsi="仿宋" w:eastAsia="仿宋" w:cs="仿宋"/>
                <w:i w:val="0"/>
                <w:iCs w:val="0"/>
                <w:color w:val="000000"/>
                <w:sz w:val="20"/>
                <w:szCs w:val="20"/>
                <w:u w:val="none"/>
              </w:rPr>
            </w:pPr>
          </w:p>
        </w:tc>
      </w:tr>
      <w:tr w14:paraId="79B3E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17E7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362</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E83A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自封袋</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BC46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11#、材质全新PE塑料、厚度11丝</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5690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28</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F6B4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包</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CD11F">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38882">
            <w:pPr>
              <w:jc w:val="center"/>
              <w:rPr>
                <w:rFonts w:hint="eastAsia" w:ascii="仿宋" w:hAnsi="仿宋" w:eastAsia="仿宋" w:cs="仿宋"/>
                <w:i w:val="0"/>
                <w:iCs w:val="0"/>
                <w:color w:val="000000"/>
                <w:sz w:val="20"/>
                <w:szCs w:val="20"/>
                <w:u w:val="none"/>
              </w:rPr>
            </w:pPr>
          </w:p>
        </w:tc>
      </w:tr>
      <w:tr w14:paraId="17F1A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8E54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363</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30AD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自封袋</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6D38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11.5#、材质全新PE塑料、厚度12丝</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AC38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ACBB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包</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FD3D1">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417DD">
            <w:pPr>
              <w:jc w:val="center"/>
              <w:rPr>
                <w:rFonts w:hint="eastAsia" w:ascii="仿宋" w:hAnsi="仿宋" w:eastAsia="仿宋" w:cs="仿宋"/>
                <w:i w:val="0"/>
                <w:iCs w:val="0"/>
                <w:color w:val="000000"/>
                <w:sz w:val="20"/>
                <w:szCs w:val="20"/>
                <w:u w:val="none"/>
              </w:rPr>
            </w:pPr>
          </w:p>
        </w:tc>
      </w:tr>
      <w:tr w14:paraId="11CF1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C46F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364</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D729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自喷漆</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D83E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450ml</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DE22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4B17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瓶</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12EBA">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BD57C">
            <w:pPr>
              <w:jc w:val="center"/>
              <w:rPr>
                <w:rFonts w:hint="eastAsia" w:ascii="仿宋" w:hAnsi="仿宋" w:eastAsia="仿宋" w:cs="仿宋"/>
                <w:i w:val="0"/>
                <w:iCs w:val="0"/>
                <w:color w:val="000000"/>
                <w:sz w:val="20"/>
                <w:szCs w:val="20"/>
                <w:u w:val="none"/>
              </w:rPr>
            </w:pPr>
          </w:p>
        </w:tc>
      </w:tr>
      <w:tr w14:paraId="74053B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7D83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365</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49CA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微波炉</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8903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20L</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4AB8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400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7DF4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台</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53091">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0A3FF">
            <w:pPr>
              <w:jc w:val="center"/>
              <w:rPr>
                <w:rFonts w:hint="eastAsia" w:ascii="仿宋" w:hAnsi="仿宋" w:eastAsia="仿宋" w:cs="仿宋"/>
                <w:i w:val="0"/>
                <w:iCs w:val="0"/>
                <w:color w:val="000000"/>
                <w:sz w:val="20"/>
                <w:szCs w:val="20"/>
                <w:u w:val="none"/>
              </w:rPr>
            </w:pPr>
          </w:p>
        </w:tc>
      </w:tr>
      <w:tr w14:paraId="6C09C0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B97C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366</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843D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轮椅</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B1A4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手动推车</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68FA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500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1C41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把</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354EC">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C4015">
            <w:pPr>
              <w:jc w:val="center"/>
              <w:rPr>
                <w:rFonts w:hint="eastAsia" w:ascii="仿宋" w:hAnsi="仿宋" w:eastAsia="仿宋" w:cs="仿宋"/>
                <w:i w:val="0"/>
                <w:iCs w:val="0"/>
                <w:color w:val="000000"/>
                <w:sz w:val="20"/>
                <w:szCs w:val="20"/>
                <w:u w:val="none"/>
              </w:rPr>
            </w:pPr>
          </w:p>
        </w:tc>
      </w:tr>
      <w:tr w14:paraId="3030A4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E782F">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367</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35226">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一次性围裙</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AF236">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300支/箱</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E170E">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50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2A5A1">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箱</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5D980">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382A0">
            <w:pPr>
              <w:jc w:val="center"/>
              <w:rPr>
                <w:rFonts w:hint="eastAsia" w:ascii="仿宋" w:hAnsi="仿宋" w:eastAsia="仿宋" w:cs="仿宋"/>
                <w:i w:val="0"/>
                <w:iCs w:val="0"/>
                <w:color w:val="000000"/>
                <w:sz w:val="20"/>
                <w:szCs w:val="20"/>
                <w:u w:val="none"/>
              </w:rPr>
            </w:pPr>
          </w:p>
        </w:tc>
      </w:tr>
      <w:tr w14:paraId="56C3C9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ADCB2">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368</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4C423">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一次性床罩</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01B5C">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120*230/10条</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81440">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45</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34DB1">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包</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7E251">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6CBA6">
            <w:pPr>
              <w:jc w:val="center"/>
              <w:rPr>
                <w:rFonts w:hint="eastAsia" w:ascii="仿宋" w:hAnsi="仿宋" w:eastAsia="仿宋" w:cs="仿宋"/>
                <w:i w:val="0"/>
                <w:iCs w:val="0"/>
                <w:color w:val="000000"/>
                <w:sz w:val="20"/>
                <w:szCs w:val="20"/>
                <w:u w:val="none"/>
              </w:rPr>
            </w:pPr>
          </w:p>
        </w:tc>
      </w:tr>
      <w:tr w14:paraId="188C3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9F71E">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369</w:t>
            </w:r>
          </w:p>
        </w:tc>
        <w:tc>
          <w:tcPr>
            <w:tcW w:w="1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9FE8E">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小蜜蜂扩音器</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6063D">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52E0C">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240</w:t>
            </w:r>
          </w:p>
        </w:tc>
        <w:tc>
          <w:tcPr>
            <w:tcW w:w="6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25E66">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EC581">
            <w:pPr>
              <w:jc w:val="center"/>
              <w:rPr>
                <w:rFonts w:hint="eastAsia" w:ascii="仿宋" w:hAnsi="仿宋" w:eastAsia="仿宋" w:cs="仿宋"/>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778AC">
            <w:pPr>
              <w:jc w:val="center"/>
              <w:rPr>
                <w:rFonts w:hint="eastAsia" w:ascii="仿宋" w:hAnsi="仿宋" w:eastAsia="仿宋" w:cs="仿宋"/>
                <w:i w:val="0"/>
                <w:iCs w:val="0"/>
                <w:color w:val="000000"/>
                <w:sz w:val="20"/>
                <w:szCs w:val="20"/>
                <w:u w:val="none"/>
              </w:rPr>
            </w:pPr>
          </w:p>
        </w:tc>
      </w:tr>
    </w:tbl>
    <w:p w14:paraId="1FE8F1B3">
      <w:pPr>
        <w:jc w:val="center"/>
        <w:rPr>
          <w:rFonts w:hint="eastAsia" w:ascii="仿宋" w:hAnsi="仿宋" w:eastAsia="仿宋" w:cs="仿宋"/>
          <w:b/>
          <w:bCs/>
          <w:color w:val="auto"/>
          <w:sz w:val="21"/>
          <w:szCs w:val="21"/>
          <w:highlight w:val="none"/>
          <w:lang w:val="en-US" w:eastAsia="zh-CN"/>
        </w:rPr>
      </w:pPr>
    </w:p>
    <w:p w14:paraId="07729C5C">
      <w:pPr>
        <w:pStyle w:val="17"/>
        <w:rPr>
          <w:rFonts w:hint="eastAsia"/>
          <w:lang w:val="en-US" w:eastAsia="zh-CN"/>
        </w:rPr>
      </w:pPr>
    </w:p>
    <w:p w14:paraId="6AE1728E">
      <w:pPr>
        <w:pStyle w:val="28"/>
        <w:keepNext w:val="0"/>
        <w:keepLines w:val="0"/>
        <w:pageBreakBefore w:val="0"/>
        <w:widowControl w:val="0"/>
        <w:kinsoku/>
        <w:wordWrap w:val="0"/>
        <w:overflowPunct/>
        <w:topLinePunct/>
        <w:autoSpaceDE/>
        <w:autoSpaceDN/>
        <w:bidi w:val="0"/>
        <w:adjustRightInd/>
        <w:snapToGrid/>
        <w:jc w:val="center"/>
        <w:textAlignment w:val="auto"/>
        <w:outlineLvl w:val="2"/>
        <w:rPr>
          <w:rFonts w:hint="eastAsia" w:ascii="仿宋" w:hAnsi="仿宋" w:eastAsia="仿宋" w:cs="仿宋"/>
          <w:color w:val="auto"/>
          <w:sz w:val="21"/>
          <w:szCs w:val="21"/>
          <w:highlight w:val="none"/>
          <w:lang w:val="en-US" w:eastAsia="zh-CN"/>
        </w:rPr>
      </w:pPr>
      <w:bookmarkStart w:id="1290" w:name="_Toc6472"/>
      <w:bookmarkStart w:id="1291" w:name="_Toc6547"/>
      <w:bookmarkStart w:id="1292" w:name="_Toc497486326"/>
      <w:r>
        <w:rPr>
          <w:rFonts w:hint="eastAsia" w:ascii="仿宋" w:hAnsi="仿宋" w:eastAsia="仿宋" w:cs="仿宋"/>
          <w:bCs/>
          <w:color w:val="auto"/>
          <w:sz w:val="21"/>
          <w:szCs w:val="21"/>
          <w:highlight w:val="none"/>
        </w:rPr>
        <w:t>★</w:t>
      </w:r>
      <w:r>
        <w:rPr>
          <w:rStyle w:val="250"/>
          <w:rFonts w:hint="eastAsia" w:ascii="仿宋" w:hAnsi="仿宋" w:eastAsia="仿宋" w:cs="仿宋"/>
          <w:color w:val="auto"/>
          <w:sz w:val="21"/>
          <w:szCs w:val="21"/>
          <w:highlight w:val="none"/>
          <w:lang w:val="en-US" w:eastAsia="zh-CN"/>
        </w:rPr>
        <w:t>三、其他商务要求</w:t>
      </w:r>
      <w:bookmarkEnd w:id="1290"/>
      <w:bookmarkEnd w:id="1291"/>
    </w:p>
    <w:tbl>
      <w:tblPr>
        <w:tblStyle w:val="67"/>
        <w:tblW w:w="9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16"/>
        <w:gridCol w:w="1934"/>
        <w:gridCol w:w="7113"/>
      </w:tblGrid>
      <w:tr w14:paraId="7D967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Header/>
          <w:jc w:val="center"/>
        </w:trPr>
        <w:tc>
          <w:tcPr>
            <w:tcW w:w="716" w:type="dxa"/>
            <w:shd w:val="clear" w:color="auto" w:fill="FEF2CC" w:themeFill="accent4" w:themeFillTint="33"/>
            <w:vAlign w:val="center"/>
          </w:tcPr>
          <w:p w14:paraId="21BE1680">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序号</w:t>
            </w:r>
          </w:p>
        </w:tc>
        <w:tc>
          <w:tcPr>
            <w:tcW w:w="1934" w:type="dxa"/>
            <w:shd w:val="clear" w:color="auto" w:fill="FEF2CC" w:themeFill="accent4" w:themeFillTint="33"/>
            <w:vAlign w:val="center"/>
          </w:tcPr>
          <w:p w14:paraId="179260EF">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lang w:val="en-US" w:eastAsia="zh-CN"/>
              </w:rPr>
              <w:t>要求</w:t>
            </w:r>
            <w:r>
              <w:rPr>
                <w:rFonts w:hint="eastAsia" w:ascii="仿宋" w:hAnsi="仿宋" w:eastAsia="仿宋" w:cs="仿宋"/>
                <w:b/>
                <w:bCs/>
                <w:sz w:val="21"/>
                <w:szCs w:val="21"/>
              </w:rPr>
              <w:t>条款</w:t>
            </w:r>
          </w:p>
        </w:tc>
        <w:tc>
          <w:tcPr>
            <w:tcW w:w="7113" w:type="dxa"/>
            <w:shd w:val="clear" w:color="auto" w:fill="FEF2CC" w:themeFill="accent4" w:themeFillTint="33"/>
            <w:vAlign w:val="center"/>
          </w:tcPr>
          <w:p w14:paraId="35718127">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内    容</w:t>
            </w:r>
          </w:p>
        </w:tc>
      </w:tr>
      <w:tr w14:paraId="06CB8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4" w:hRule="atLeast"/>
          <w:jc w:val="center"/>
        </w:trPr>
        <w:tc>
          <w:tcPr>
            <w:tcW w:w="716" w:type="dxa"/>
            <w:vAlign w:val="center"/>
          </w:tcPr>
          <w:p w14:paraId="3AB960F1">
            <w:pPr>
              <w:keepNext w:val="0"/>
              <w:keepLines w:val="0"/>
              <w:pageBreakBefore w:val="0"/>
              <w:widowControl w:val="0"/>
              <w:numPr>
                <w:ilvl w:val="0"/>
                <w:numId w:val="17"/>
              </w:numPr>
              <w:kinsoku/>
              <w:wordWrap w:val="0"/>
              <w:overflowPunct/>
              <w:topLinePunct/>
              <w:autoSpaceDE/>
              <w:autoSpaceDN/>
              <w:bidi w:val="0"/>
              <w:adjustRightInd/>
              <w:snapToGrid/>
              <w:spacing w:line="360" w:lineRule="auto"/>
              <w:ind w:left="425" w:leftChars="0" w:hanging="425" w:firstLineChars="0"/>
              <w:jc w:val="center"/>
              <w:textAlignment w:val="auto"/>
              <w:rPr>
                <w:rFonts w:hint="eastAsia" w:ascii="仿宋" w:hAnsi="仿宋" w:eastAsia="仿宋" w:cs="仿宋"/>
                <w:sz w:val="21"/>
                <w:szCs w:val="21"/>
                <w:lang w:val="en-US" w:eastAsia="zh-CN"/>
              </w:rPr>
            </w:pPr>
          </w:p>
        </w:tc>
        <w:tc>
          <w:tcPr>
            <w:tcW w:w="1934" w:type="dxa"/>
            <w:vAlign w:val="center"/>
          </w:tcPr>
          <w:p w14:paraId="7720DE6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供货期</w:t>
            </w:r>
          </w:p>
        </w:tc>
        <w:tc>
          <w:tcPr>
            <w:tcW w:w="7113" w:type="dxa"/>
            <w:vAlign w:val="center"/>
          </w:tcPr>
          <w:p w14:paraId="4C8F9DD6">
            <w:pPr>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供货周期一年（自签订合同之日起计算），采购产品为一年用，投标人根据采购人订货计划及时配送（在接到采购人订货通知后 24 个小时内送达），不确定年供货次数，投标人综合考虑配送成本。</w:t>
            </w:r>
          </w:p>
        </w:tc>
      </w:tr>
      <w:tr w14:paraId="034BB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92" w:hRule="atLeast"/>
          <w:jc w:val="center"/>
        </w:trPr>
        <w:tc>
          <w:tcPr>
            <w:tcW w:w="716" w:type="dxa"/>
            <w:vAlign w:val="center"/>
          </w:tcPr>
          <w:p w14:paraId="08D9A908">
            <w:pPr>
              <w:keepNext w:val="0"/>
              <w:keepLines w:val="0"/>
              <w:pageBreakBefore w:val="0"/>
              <w:widowControl w:val="0"/>
              <w:numPr>
                <w:ilvl w:val="0"/>
                <w:numId w:val="17"/>
              </w:numPr>
              <w:kinsoku/>
              <w:wordWrap w:val="0"/>
              <w:overflowPunct/>
              <w:topLinePunct/>
              <w:autoSpaceDE/>
              <w:autoSpaceDN/>
              <w:bidi w:val="0"/>
              <w:adjustRightInd/>
              <w:snapToGrid/>
              <w:spacing w:line="360" w:lineRule="auto"/>
              <w:ind w:left="425" w:leftChars="0" w:hanging="425" w:firstLineChars="0"/>
              <w:jc w:val="center"/>
              <w:textAlignment w:val="auto"/>
              <w:rPr>
                <w:rFonts w:hint="eastAsia" w:ascii="仿宋" w:hAnsi="仿宋" w:eastAsia="仿宋" w:cs="仿宋"/>
                <w:sz w:val="21"/>
                <w:szCs w:val="21"/>
                <w:lang w:val="en-US" w:eastAsia="zh-CN"/>
              </w:rPr>
            </w:pPr>
          </w:p>
        </w:tc>
        <w:tc>
          <w:tcPr>
            <w:tcW w:w="1934" w:type="dxa"/>
            <w:vAlign w:val="center"/>
          </w:tcPr>
          <w:p w14:paraId="4D3F0AD4">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包装及运输</w:t>
            </w:r>
          </w:p>
        </w:tc>
        <w:tc>
          <w:tcPr>
            <w:tcW w:w="7113" w:type="dxa"/>
            <w:vAlign w:val="center"/>
          </w:tcPr>
          <w:p w14:paraId="20F93D27">
            <w:pPr>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产品包装应符合国家或专业（部）标准规定。货物的交付时，应附有产品合格证书（包括合格证、部件合格证、材料合格证等）、产品说明书、装箱单、易损件、备件及专用工具清单等，一套完整的技术文件资料。</w:t>
            </w:r>
          </w:p>
          <w:p w14:paraId="343A2DAA">
            <w:pPr>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2．供货方应保证所供货物是全新的、未使用过的货物。供货方应保证其货物在正确安装、正常使用和保养条件下，在使用寿命内应确保正常使用。</w:t>
            </w:r>
          </w:p>
          <w:p w14:paraId="42B9A547">
            <w:pPr>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3.供方应负责设备的途中运输，对途中运输的安全负责。</w:t>
            </w:r>
          </w:p>
        </w:tc>
      </w:tr>
      <w:tr w14:paraId="68C8B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1" w:hRule="atLeast"/>
          <w:jc w:val="center"/>
        </w:trPr>
        <w:tc>
          <w:tcPr>
            <w:tcW w:w="716" w:type="dxa"/>
            <w:vAlign w:val="center"/>
          </w:tcPr>
          <w:p w14:paraId="02A9A402">
            <w:pPr>
              <w:keepNext w:val="0"/>
              <w:keepLines w:val="0"/>
              <w:pageBreakBefore w:val="0"/>
              <w:widowControl w:val="0"/>
              <w:numPr>
                <w:ilvl w:val="0"/>
                <w:numId w:val="17"/>
              </w:numPr>
              <w:kinsoku/>
              <w:wordWrap w:val="0"/>
              <w:overflowPunct/>
              <w:topLinePunct/>
              <w:autoSpaceDE/>
              <w:autoSpaceDN/>
              <w:bidi w:val="0"/>
              <w:adjustRightInd/>
              <w:snapToGrid/>
              <w:spacing w:line="360" w:lineRule="auto"/>
              <w:ind w:left="425" w:leftChars="0" w:hanging="425" w:firstLineChars="0"/>
              <w:jc w:val="center"/>
              <w:textAlignment w:val="auto"/>
              <w:rPr>
                <w:rFonts w:hint="eastAsia" w:ascii="仿宋" w:hAnsi="仿宋" w:eastAsia="仿宋" w:cs="仿宋"/>
                <w:sz w:val="21"/>
                <w:szCs w:val="21"/>
                <w:lang w:val="en-US" w:eastAsia="zh-CN"/>
              </w:rPr>
            </w:pPr>
          </w:p>
        </w:tc>
        <w:tc>
          <w:tcPr>
            <w:tcW w:w="1934" w:type="dxa"/>
            <w:vAlign w:val="center"/>
          </w:tcPr>
          <w:p w14:paraId="12AF105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供货时间要求</w:t>
            </w:r>
          </w:p>
        </w:tc>
        <w:tc>
          <w:tcPr>
            <w:tcW w:w="7113" w:type="dxa"/>
            <w:vAlign w:val="center"/>
          </w:tcPr>
          <w:p w14:paraId="170951DF">
            <w:pPr>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1、供货方须准备充足的物资及储备物资的仓库。供货方收到采购单位的供货通知后，根据采购单位要求及时将货物送到采购人指定交货地点。</w:t>
            </w:r>
          </w:p>
          <w:p w14:paraId="35EF38A2">
            <w:pPr>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2、供货方必须按采购单位需求供货，接到采购单位通知后及时供货，且自行处理好</w:t>
            </w:r>
          </w:p>
          <w:p w14:paraId="504835B5">
            <w:pPr>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3、供货期间涉及配货、送货人员、运输车辆、安全等一切问题及费用。在服务期内，如中标人未能按采购人要求供货的，采购单位有权终止合同。</w:t>
            </w:r>
          </w:p>
        </w:tc>
      </w:tr>
      <w:tr w14:paraId="384EB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5" w:hRule="atLeast"/>
          <w:jc w:val="center"/>
        </w:trPr>
        <w:tc>
          <w:tcPr>
            <w:tcW w:w="716" w:type="dxa"/>
            <w:vAlign w:val="center"/>
          </w:tcPr>
          <w:p w14:paraId="4042ABCA">
            <w:pPr>
              <w:keepNext w:val="0"/>
              <w:keepLines w:val="0"/>
              <w:pageBreakBefore w:val="0"/>
              <w:widowControl w:val="0"/>
              <w:numPr>
                <w:ilvl w:val="0"/>
                <w:numId w:val="17"/>
              </w:numPr>
              <w:kinsoku/>
              <w:wordWrap w:val="0"/>
              <w:overflowPunct/>
              <w:topLinePunct/>
              <w:autoSpaceDE/>
              <w:autoSpaceDN/>
              <w:bidi w:val="0"/>
              <w:adjustRightInd/>
              <w:snapToGrid/>
              <w:spacing w:line="360" w:lineRule="auto"/>
              <w:ind w:left="425" w:leftChars="0" w:hanging="425" w:firstLineChars="0"/>
              <w:jc w:val="center"/>
              <w:textAlignment w:val="auto"/>
              <w:rPr>
                <w:rFonts w:hint="eastAsia" w:ascii="仿宋" w:hAnsi="仿宋" w:eastAsia="仿宋" w:cs="仿宋"/>
                <w:sz w:val="21"/>
                <w:szCs w:val="21"/>
                <w:lang w:val="en-US" w:eastAsia="zh-CN"/>
              </w:rPr>
            </w:pPr>
          </w:p>
        </w:tc>
        <w:tc>
          <w:tcPr>
            <w:tcW w:w="1934" w:type="dxa"/>
            <w:vAlign w:val="center"/>
          </w:tcPr>
          <w:p w14:paraId="0F21F20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供货要求</w:t>
            </w:r>
          </w:p>
        </w:tc>
        <w:tc>
          <w:tcPr>
            <w:tcW w:w="7113" w:type="dxa"/>
            <w:vAlign w:val="center"/>
          </w:tcPr>
          <w:p w14:paraId="2505192B">
            <w:pPr>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投标人提供的产品品牌、规格需经招标人同意后才可供应，中标方所供应的产品档次不得低于采购单位现在使用的产品档次（品牌），如提供的货物采购单位不满意，采购单位有权拒收货物，且按采购单位要求进行更换。</w:t>
            </w:r>
          </w:p>
        </w:tc>
      </w:tr>
      <w:tr w14:paraId="1CFBF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1" w:hRule="atLeast"/>
          <w:jc w:val="center"/>
        </w:trPr>
        <w:tc>
          <w:tcPr>
            <w:tcW w:w="716" w:type="dxa"/>
            <w:vAlign w:val="center"/>
          </w:tcPr>
          <w:p w14:paraId="70056801">
            <w:pPr>
              <w:keepNext w:val="0"/>
              <w:keepLines w:val="0"/>
              <w:pageBreakBefore w:val="0"/>
              <w:widowControl w:val="0"/>
              <w:numPr>
                <w:ilvl w:val="0"/>
                <w:numId w:val="17"/>
              </w:numPr>
              <w:kinsoku/>
              <w:wordWrap w:val="0"/>
              <w:overflowPunct/>
              <w:topLinePunct/>
              <w:autoSpaceDE/>
              <w:autoSpaceDN/>
              <w:bidi w:val="0"/>
              <w:adjustRightInd/>
              <w:snapToGrid/>
              <w:spacing w:line="360" w:lineRule="auto"/>
              <w:ind w:left="425" w:leftChars="0" w:hanging="425" w:firstLineChars="0"/>
              <w:jc w:val="center"/>
              <w:textAlignment w:val="auto"/>
              <w:rPr>
                <w:rFonts w:hint="eastAsia" w:ascii="仿宋" w:hAnsi="仿宋" w:eastAsia="仿宋" w:cs="仿宋"/>
                <w:sz w:val="21"/>
                <w:szCs w:val="21"/>
                <w:lang w:val="en-US" w:eastAsia="zh-CN"/>
              </w:rPr>
            </w:pPr>
          </w:p>
        </w:tc>
        <w:tc>
          <w:tcPr>
            <w:tcW w:w="1934" w:type="dxa"/>
            <w:vAlign w:val="center"/>
          </w:tcPr>
          <w:p w14:paraId="49EB70EB">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交货（送货）地点</w:t>
            </w:r>
          </w:p>
        </w:tc>
        <w:tc>
          <w:tcPr>
            <w:tcW w:w="7113" w:type="dxa"/>
            <w:vAlign w:val="center"/>
          </w:tcPr>
          <w:p w14:paraId="1E188EBB">
            <w:pPr>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楚雄州人民医院南路院区、新区医院</w:t>
            </w:r>
          </w:p>
        </w:tc>
      </w:tr>
      <w:tr w14:paraId="70C4D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16" w:type="dxa"/>
            <w:vAlign w:val="center"/>
          </w:tcPr>
          <w:p w14:paraId="76B7C246">
            <w:pPr>
              <w:keepNext w:val="0"/>
              <w:keepLines w:val="0"/>
              <w:pageBreakBefore w:val="0"/>
              <w:widowControl w:val="0"/>
              <w:numPr>
                <w:ilvl w:val="0"/>
                <w:numId w:val="17"/>
              </w:numPr>
              <w:kinsoku/>
              <w:wordWrap w:val="0"/>
              <w:overflowPunct/>
              <w:topLinePunct/>
              <w:autoSpaceDE/>
              <w:autoSpaceDN/>
              <w:bidi w:val="0"/>
              <w:adjustRightInd/>
              <w:snapToGrid/>
              <w:spacing w:line="360" w:lineRule="auto"/>
              <w:ind w:left="425" w:leftChars="0" w:hanging="425" w:firstLineChars="0"/>
              <w:jc w:val="center"/>
              <w:textAlignment w:val="auto"/>
              <w:rPr>
                <w:rFonts w:hint="eastAsia" w:ascii="仿宋" w:hAnsi="仿宋" w:eastAsia="仿宋" w:cs="仿宋"/>
                <w:sz w:val="21"/>
                <w:szCs w:val="21"/>
                <w:lang w:val="en-US" w:eastAsia="zh-CN"/>
              </w:rPr>
            </w:pPr>
          </w:p>
        </w:tc>
        <w:tc>
          <w:tcPr>
            <w:tcW w:w="1934" w:type="dxa"/>
            <w:vAlign w:val="center"/>
          </w:tcPr>
          <w:p w14:paraId="41BB7BFC">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质量标准</w:t>
            </w:r>
          </w:p>
        </w:tc>
        <w:tc>
          <w:tcPr>
            <w:tcW w:w="7113" w:type="dxa"/>
            <w:vAlign w:val="center"/>
          </w:tcPr>
          <w:p w14:paraId="5C64ECF2">
            <w:pPr>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产品符合国家规定的质量标准和相关行业标准、CCC认证及采购人使用需求，符合国家对环保和节能产品的要求。</w:t>
            </w:r>
          </w:p>
        </w:tc>
      </w:tr>
      <w:tr w14:paraId="62E62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16" w:type="dxa"/>
            <w:vAlign w:val="center"/>
          </w:tcPr>
          <w:p w14:paraId="0D156C8A">
            <w:pPr>
              <w:keepNext w:val="0"/>
              <w:keepLines w:val="0"/>
              <w:pageBreakBefore w:val="0"/>
              <w:widowControl w:val="0"/>
              <w:numPr>
                <w:ilvl w:val="0"/>
                <w:numId w:val="17"/>
              </w:numPr>
              <w:kinsoku/>
              <w:wordWrap w:val="0"/>
              <w:overflowPunct/>
              <w:topLinePunct/>
              <w:autoSpaceDE/>
              <w:autoSpaceDN/>
              <w:bidi w:val="0"/>
              <w:adjustRightInd/>
              <w:snapToGrid/>
              <w:spacing w:line="360" w:lineRule="auto"/>
              <w:ind w:left="425" w:leftChars="0" w:hanging="425" w:firstLineChars="0"/>
              <w:jc w:val="center"/>
              <w:textAlignment w:val="auto"/>
              <w:rPr>
                <w:rFonts w:hint="eastAsia" w:ascii="仿宋" w:hAnsi="仿宋" w:eastAsia="仿宋" w:cs="仿宋"/>
                <w:sz w:val="21"/>
                <w:szCs w:val="21"/>
                <w:lang w:val="en-US" w:eastAsia="zh-CN"/>
              </w:rPr>
            </w:pPr>
          </w:p>
        </w:tc>
        <w:tc>
          <w:tcPr>
            <w:tcW w:w="1934" w:type="dxa"/>
            <w:vAlign w:val="center"/>
          </w:tcPr>
          <w:p w14:paraId="3BB80BBC">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质保期</w:t>
            </w:r>
          </w:p>
        </w:tc>
        <w:tc>
          <w:tcPr>
            <w:tcW w:w="7113" w:type="dxa"/>
            <w:vAlign w:val="center"/>
          </w:tcPr>
          <w:p w14:paraId="69BD199B">
            <w:pPr>
              <w:keepNext w:val="0"/>
              <w:keepLines w:val="0"/>
              <w:widowControl/>
              <w:suppressLineNumbers w:val="0"/>
              <w:spacing w:line="360" w:lineRule="auto"/>
              <w:ind w:firstLine="420" w:firstLineChars="20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质保期不低于1 年，投标人也可自报最优质保期。自验收合格之日起算。投标人承诺质保期延长的，执行其承诺。</w:t>
            </w:r>
          </w:p>
        </w:tc>
      </w:tr>
      <w:tr w14:paraId="69C11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jc w:val="center"/>
        </w:trPr>
        <w:tc>
          <w:tcPr>
            <w:tcW w:w="716" w:type="dxa"/>
            <w:vAlign w:val="center"/>
          </w:tcPr>
          <w:p w14:paraId="69133E0C">
            <w:pPr>
              <w:keepNext w:val="0"/>
              <w:keepLines w:val="0"/>
              <w:pageBreakBefore w:val="0"/>
              <w:widowControl w:val="0"/>
              <w:numPr>
                <w:ilvl w:val="0"/>
                <w:numId w:val="17"/>
              </w:numPr>
              <w:kinsoku/>
              <w:wordWrap w:val="0"/>
              <w:overflowPunct/>
              <w:topLinePunct/>
              <w:autoSpaceDE/>
              <w:autoSpaceDN/>
              <w:bidi w:val="0"/>
              <w:adjustRightInd/>
              <w:snapToGrid/>
              <w:spacing w:line="360" w:lineRule="auto"/>
              <w:ind w:left="425" w:leftChars="0" w:hanging="425" w:firstLineChars="0"/>
              <w:jc w:val="center"/>
              <w:textAlignment w:val="auto"/>
              <w:rPr>
                <w:rFonts w:hint="eastAsia" w:ascii="仿宋" w:hAnsi="仿宋" w:eastAsia="仿宋" w:cs="仿宋"/>
                <w:sz w:val="21"/>
                <w:szCs w:val="21"/>
                <w:lang w:val="en-US" w:eastAsia="zh-CN"/>
              </w:rPr>
            </w:pPr>
          </w:p>
        </w:tc>
        <w:tc>
          <w:tcPr>
            <w:tcW w:w="1934" w:type="dxa"/>
            <w:vAlign w:val="center"/>
          </w:tcPr>
          <w:p w14:paraId="105FB7F4">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其它说明</w:t>
            </w:r>
          </w:p>
        </w:tc>
        <w:tc>
          <w:tcPr>
            <w:tcW w:w="7113" w:type="dxa"/>
            <w:vAlign w:val="center"/>
          </w:tcPr>
          <w:p w14:paraId="36228C58">
            <w:pPr>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1、采购文件中如果涉及到品牌、型号、相关描述等，仅出于描述技术参数、性能要求的需要，采购人不存在指定厂家、指定品牌型号的意向。</w:t>
            </w:r>
          </w:p>
          <w:p w14:paraId="6D1CA5F8">
            <w:pPr>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2、投标人投标时应从响应采购人需求为出发点选择合适的产品，投标人应保证所投产品为正规厂家生产的全新、未使用过的合格产品。在产品质保期内成交投标人应对由于设计、工艺或者材料的缺陷而发生的任何不足或者故障负责。成交投标人应提供产品的出厂合格证等相关资料。</w:t>
            </w:r>
          </w:p>
          <w:p w14:paraId="075D1A00">
            <w:pPr>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3、供货要求：</w:t>
            </w:r>
          </w:p>
          <w:p w14:paraId="3EBCAA56">
            <w:pPr>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3.1 投标人须按照采购人订货计划，核对订货产品、规格型号及数量后及时配送，随要随送，按照采购人的要求送至指定地点，负责运输、上架、摆放整齐，避免因订货产品、规格型号及数量变动产生风险，否则由此造成的一切损失由投标人自行负责。</w:t>
            </w:r>
          </w:p>
          <w:p w14:paraId="7093EF51">
            <w:pPr>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3.2 不允许投标人超计划供货，超出计划数量，采购人不予验收入库，由投标人无条件带回。</w:t>
            </w:r>
          </w:p>
          <w:p w14:paraId="140C002B">
            <w:pPr>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3.3 投标人供货产品在使用过程中出现质量和使用问题，采购人有权要求更换，直至采购人满意，且不另行再支付任何费用。</w:t>
            </w:r>
          </w:p>
          <w:p w14:paraId="1BD802E8">
            <w:pPr>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sz w:val="21"/>
                <w:szCs w:val="21"/>
                <w:lang w:val="zh-CN"/>
              </w:rPr>
            </w:pPr>
            <w:r>
              <w:rPr>
                <w:rFonts w:hint="eastAsia" w:ascii="仿宋" w:hAnsi="仿宋" w:eastAsia="仿宋" w:cs="仿宋"/>
                <w:sz w:val="21"/>
                <w:szCs w:val="21"/>
                <w:lang w:val="en-US" w:eastAsia="zh-CN"/>
              </w:rPr>
              <w:t>4、投标人所提供的产品应不存在任何权利上的瑕疵，保证采购人使用该产品时，免受第三方提出的侵犯其专利权、商标权、著作权或其它知识产权的起诉，其产品的销售和使用不侵犯第三方合法权益。任何第三方如果提出侵权指控，投标人须与第三方交涉并承担由此引起的一切法律责任和费用。</w:t>
            </w:r>
          </w:p>
        </w:tc>
      </w:tr>
      <w:tr w14:paraId="20109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atLeast"/>
          <w:jc w:val="center"/>
        </w:trPr>
        <w:tc>
          <w:tcPr>
            <w:tcW w:w="716" w:type="dxa"/>
            <w:vAlign w:val="center"/>
          </w:tcPr>
          <w:p w14:paraId="28478D7B">
            <w:pPr>
              <w:keepNext w:val="0"/>
              <w:keepLines w:val="0"/>
              <w:pageBreakBefore w:val="0"/>
              <w:widowControl w:val="0"/>
              <w:numPr>
                <w:ilvl w:val="0"/>
                <w:numId w:val="17"/>
              </w:numPr>
              <w:kinsoku/>
              <w:wordWrap w:val="0"/>
              <w:overflowPunct/>
              <w:topLinePunct/>
              <w:autoSpaceDE/>
              <w:autoSpaceDN/>
              <w:bidi w:val="0"/>
              <w:adjustRightInd/>
              <w:snapToGrid/>
              <w:spacing w:line="360" w:lineRule="auto"/>
              <w:ind w:left="425" w:leftChars="0" w:hanging="425" w:firstLineChars="0"/>
              <w:jc w:val="center"/>
              <w:textAlignment w:val="auto"/>
              <w:rPr>
                <w:rFonts w:hint="eastAsia" w:ascii="仿宋" w:hAnsi="仿宋" w:eastAsia="仿宋" w:cs="仿宋"/>
                <w:sz w:val="21"/>
                <w:szCs w:val="21"/>
                <w:lang w:val="en-US" w:eastAsia="zh-CN"/>
              </w:rPr>
            </w:pPr>
          </w:p>
        </w:tc>
        <w:tc>
          <w:tcPr>
            <w:tcW w:w="1934" w:type="dxa"/>
            <w:vAlign w:val="center"/>
          </w:tcPr>
          <w:p w14:paraId="0F898027">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结算</w:t>
            </w:r>
          </w:p>
        </w:tc>
        <w:tc>
          <w:tcPr>
            <w:tcW w:w="7113" w:type="dxa"/>
            <w:vAlign w:val="center"/>
          </w:tcPr>
          <w:p w14:paraId="486A4C73">
            <w:pPr>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中标人报价按折扣率形式报价，中标后，各项货物单价均按本次给定的各单价上限*投标的人所报折扣率计算。</w:t>
            </w:r>
          </w:p>
          <w:p w14:paraId="7BB66D78">
            <w:pPr>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sz w:val="21"/>
                <w:szCs w:val="21"/>
                <w:lang w:val="zh-CN"/>
              </w:rPr>
            </w:pPr>
            <w:r>
              <w:rPr>
                <w:rFonts w:hint="eastAsia" w:ascii="仿宋" w:hAnsi="仿宋" w:eastAsia="仿宋" w:cs="仿宋"/>
                <w:sz w:val="21"/>
                <w:szCs w:val="21"/>
                <w:lang w:val="en-US" w:eastAsia="zh-CN"/>
              </w:rPr>
              <w:t>结算单价不予调整。按采购单位实际需要供货，中标人按采购单位实际需要供货，中标人每月末提供销售清单，双方核对出库单，按</w:t>
            </w:r>
            <w:r>
              <w:rPr>
                <w:rFonts w:hint="eastAsia" w:ascii="仿宋" w:hAnsi="仿宋" w:eastAsia="仿宋" w:cs="仿宋"/>
                <w:color w:val="FF0000"/>
                <w:sz w:val="21"/>
                <w:szCs w:val="21"/>
                <w:lang w:val="en-US" w:eastAsia="zh-CN"/>
              </w:rPr>
              <w:t>季度</w:t>
            </w:r>
            <w:r>
              <w:rPr>
                <w:rFonts w:hint="eastAsia" w:ascii="仿宋" w:hAnsi="仿宋" w:eastAsia="仿宋" w:cs="仿宋"/>
                <w:sz w:val="21"/>
                <w:szCs w:val="21"/>
                <w:lang w:val="en-US" w:eastAsia="zh-CN"/>
              </w:rPr>
              <w:t>据实结算支付货款。</w:t>
            </w:r>
          </w:p>
        </w:tc>
      </w:tr>
      <w:tr w14:paraId="23D70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5" w:hRule="atLeast"/>
          <w:jc w:val="center"/>
        </w:trPr>
        <w:tc>
          <w:tcPr>
            <w:tcW w:w="716" w:type="dxa"/>
            <w:vAlign w:val="center"/>
          </w:tcPr>
          <w:p w14:paraId="0CD94B58">
            <w:pPr>
              <w:keepNext w:val="0"/>
              <w:keepLines w:val="0"/>
              <w:pageBreakBefore w:val="0"/>
              <w:widowControl w:val="0"/>
              <w:numPr>
                <w:ilvl w:val="0"/>
                <w:numId w:val="17"/>
              </w:numPr>
              <w:kinsoku/>
              <w:wordWrap w:val="0"/>
              <w:overflowPunct/>
              <w:topLinePunct/>
              <w:autoSpaceDE/>
              <w:autoSpaceDN/>
              <w:bidi w:val="0"/>
              <w:adjustRightInd/>
              <w:snapToGrid/>
              <w:spacing w:line="360" w:lineRule="auto"/>
              <w:ind w:left="425" w:leftChars="0" w:hanging="425" w:firstLineChars="0"/>
              <w:jc w:val="center"/>
              <w:textAlignment w:val="auto"/>
              <w:rPr>
                <w:rFonts w:hint="eastAsia" w:ascii="仿宋" w:hAnsi="仿宋" w:eastAsia="仿宋" w:cs="仿宋"/>
                <w:sz w:val="21"/>
                <w:szCs w:val="21"/>
                <w:lang w:val="en-US" w:eastAsia="zh-CN"/>
              </w:rPr>
            </w:pPr>
          </w:p>
        </w:tc>
        <w:tc>
          <w:tcPr>
            <w:tcW w:w="1934" w:type="dxa"/>
            <w:vAlign w:val="center"/>
          </w:tcPr>
          <w:p w14:paraId="2E8CAF0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付款条件</w:t>
            </w:r>
          </w:p>
        </w:tc>
        <w:tc>
          <w:tcPr>
            <w:tcW w:w="7113" w:type="dxa"/>
            <w:vAlign w:val="center"/>
          </w:tcPr>
          <w:p w14:paraId="225C73BD">
            <w:pPr>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1.付款方式：采购单位根据每月的出库单，按</w:t>
            </w:r>
            <w:r>
              <w:rPr>
                <w:rFonts w:hint="eastAsia" w:ascii="仿宋" w:hAnsi="仿宋" w:eastAsia="仿宋" w:cs="仿宋"/>
                <w:color w:val="FF0000"/>
                <w:sz w:val="21"/>
                <w:szCs w:val="21"/>
                <w:lang w:val="en-US" w:eastAsia="zh-CN"/>
              </w:rPr>
              <w:t>季度</w:t>
            </w:r>
            <w:r>
              <w:rPr>
                <w:rFonts w:hint="eastAsia" w:ascii="仿宋" w:hAnsi="仿宋" w:eastAsia="仿宋" w:cs="仿宋"/>
                <w:sz w:val="21"/>
                <w:szCs w:val="21"/>
                <w:lang w:val="en-US" w:eastAsia="zh-CN"/>
              </w:rPr>
              <w:t>据实结算支付货款。</w:t>
            </w:r>
          </w:p>
          <w:p w14:paraId="62E12C4A">
            <w:pPr>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2.中标人在结算合同价款时须提供正式发票。</w:t>
            </w:r>
          </w:p>
          <w:p w14:paraId="7A67B822">
            <w:pPr>
              <w:keepNext w:val="0"/>
              <w:keepLines w:val="0"/>
              <w:pageBreakBefore w:val="0"/>
              <w:widowControl w:val="0"/>
              <w:tabs>
                <w:tab w:val="center" w:pos="3448"/>
              </w:tabs>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3.付款方式不允许负偏离。</w:t>
            </w:r>
            <w:r>
              <w:rPr>
                <w:rFonts w:hint="eastAsia" w:ascii="仿宋" w:hAnsi="仿宋" w:eastAsia="仿宋" w:cs="仿宋"/>
                <w:sz w:val="21"/>
                <w:szCs w:val="21"/>
                <w:lang w:val="en-US" w:eastAsia="zh-CN"/>
              </w:rPr>
              <w:tab/>
            </w:r>
          </w:p>
        </w:tc>
      </w:tr>
      <w:tr w14:paraId="6F77C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jc w:val="center"/>
        </w:trPr>
        <w:tc>
          <w:tcPr>
            <w:tcW w:w="716" w:type="dxa"/>
            <w:vAlign w:val="center"/>
          </w:tcPr>
          <w:p w14:paraId="45DE7FE3">
            <w:pPr>
              <w:keepNext w:val="0"/>
              <w:keepLines w:val="0"/>
              <w:pageBreakBefore w:val="0"/>
              <w:widowControl w:val="0"/>
              <w:numPr>
                <w:ilvl w:val="0"/>
                <w:numId w:val="17"/>
              </w:numPr>
              <w:kinsoku/>
              <w:wordWrap w:val="0"/>
              <w:overflowPunct/>
              <w:topLinePunct/>
              <w:autoSpaceDE/>
              <w:autoSpaceDN/>
              <w:bidi w:val="0"/>
              <w:adjustRightInd/>
              <w:snapToGrid/>
              <w:spacing w:line="360" w:lineRule="auto"/>
              <w:ind w:left="425" w:leftChars="0" w:hanging="425" w:firstLineChars="0"/>
              <w:jc w:val="center"/>
              <w:textAlignment w:val="auto"/>
              <w:rPr>
                <w:rFonts w:hint="eastAsia" w:ascii="仿宋" w:hAnsi="仿宋" w:eastAsia="仿宋" w:cs="仿宋"/>
                <w:sz w:val="21"/>
                <w:szCs w:val="21"/>
                <w:lang w:val="en-US" w:eastAsia="zh-CN"/>
              </w:rPr>
            </w:pPr>
          </w:p>
        </w:tc>
        <w:tc>
          <w:tcPr>
            <w:tcW w:w="1934" w:type="dxa"/>
            <w:vAlign w:val="center"/>
          </w:tcPr>
          <w:p w14:paraId="5331AE20">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违约责任</w:t>
            </w:r>
          </w:p>
        </w:tc>
        <w:tc>
          <w:tcPr>
            <w:tcW w:w="7113" w:type="dxa"/>
            <w:vAlign w:val="center"/>
          </w:tcPr>
          <w:p w14:paraId="7270789A">
            <w:pPr>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（一）中标人的违约责任</w:t>
            </w:r>
          </w:p>
          <w:p w14:paraId="044C3306">
            <w:pPr>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中标人逾期交货（包括零部件）的，按总货款计算，向采购人偿付每日千分之五的违约金，并承担采购人因此所受的损失费用；中标人逾期交货超过20天，中标人经采购人书面通知后仍未交货，视为中标人不能交货；中标人不能交货的，采购人有权拒付中标人剩余货款，中标人应向采购人偿付相当于货款的20%的违约金，且采购人有权解除合同，中标人还应当退回采购人已经支付的所有款项。中标人因特殊原因无法按时交货的，经采购人同意后方可延迟送货，并与采购人确定新的供货安装期限，免除此条违约责任；</w:t>
            </w:r>
          </w:p>
          <w:p w14:paraId="5DBA5D6F">
            <w:pPr>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中标人所交产品（包括零部件）品种、数量、规格、型号、质量、技术参数及配置不符合国家法律法规、招标文件和投标文件及合同规定的，采购人有权拒绝收货，由中标人负责包换或退货，并承担由此而支付的实际费用。换货的供货安装期限超过合同履约期的视为逾期交货，退货的视为不能交货，并承担逾期交货、不能交货的违约责任；</w:t>
            </w:r>
          </w:p>
          <w:p w14:paraId="7CB688CD">
            <w:pPr>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3）产品验收不合格导致逾期交货（包括零部件）的，中标人应承担逾期交货的违约责任；验收不合格的次数达到3次以上的，中标人应承担不能交货的违约责任，向采购人偿付相当于货款20%的违约金及退回采购人已经支付的所有款项，且采购人有权解除合同。</w:t>
            </w:r>
          </w:p>
          <w:p w14:paraId="7B414DC9">
            <w:pPr>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（二）采购人的违约责任： 采购人无正当理由拒绝接货的，应当承担由此对中标人造成的损失，并向中标人偿付拒绝接收部分货款的20%的违约金。</w:t>
            </w:r>
          </w:p>
          <w:p w14:paraId="0874B379">
            <w:pPr>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（三）双方的违约责任： 除明确约定的违约情形和违约责任外，任何一方违反本合同约定内容的，守约方可视情况追究违约责任，根据违反约定的程度确定违约方偿付相当于货款3%至20%的违约金。</w:t>
            </w:r>
          </w:p>
        </w:tc>
      </w:tr>
    </w:tbl>
    <w:p w14:paraId="2F6DF3A8">
      <w:pPr>
        <w:rPr>
          <w:rFonts w:hint="eastAsia" w:ascii="仿宋" w:hAnsi="仿宋" w:eastAsia="仿宋" w:cs="仿宋"/>
          <w:color w:val="auto"/>
          <w:highlight w:val="none"/>
          <w:lang w:eastAsia="zh-CN"/>
        </w:rPr>
      </w:pPr>
    </w:p>
    <w:p w14:paraId="5AE43D9D">
      <w:pPr>
        <w:pStyle w:val="2"/>
        <w:keepNext w:val="0"/>
        <w:keepLines w:val="0"/>
        <w:pageBreakBefore w:val="0"/>
        <w:widowControl w:val="0"/>
        <w:kinsoku/>
        <w:wordWrap w:val="0"/>
        <w:overflowPunct/>
        <w:topLinePunct/>
        <w:autoSpaceDE/>
        <w:autoSpaceDN/>
        <w:bidi w:val="0"/>
        <w:adjustRightInd/>
        <w:snapToGrid/>
        <w:ind w:left="0" w:leftChars="0" w:right="0"/>
        <w:jc w:val="center"/>
        <w:outlineLvl w:val="9"/>
        <w:rPr>
          <w:rFonts w:hint="eastAsia" w:ascii="仿宋" w:hAnsi="仿宋" w:eastAsia="仿宋" w:cs="仿宋"/>
          <w:color w:val="auto"/>
          <w:highlight w:val="none"/>
          <w:lang w:eastAsia="zh-CN"/>
        </w:rPr>
        <w:sectPr>
          <w:pgSz w:w="11906" w:h="16838"/>
          <w:pgMar w:top="1134" w:right="1134" w:bottom="1134" w:left="1134" w:header="567" w:footer="907" w:gutter="0"/>
          <w:pgBorders>
            <w:top w:val="none" w:sz="0" w:space="0"/>
            <w:left w:val="none" w:sz="0" w:space="0"/>
            <w:bottom w:val="none" w:sz="0" w:space="0"/>
            <w:right w:val="none" w:sz="0" w:space="0"/>
          </w:pgBorders>
          <w:pgNumType w:fmt="decimal"/>
          <w:cols w:space="720" w:num="1"/>
          <w:titlePg/>
          <w:rtlGutter w:val="0"/>
          <w:docGrid w:linePitch="299" w:charSpace="0"/>
        </w:sectPr>
      </w:pPr>
    </w:p>
    <w:p w14:paraId="1306BCA6">
      <w:pPr>
        <w:pStyle w:val="2"/>
        <w:keepNext w:val="0"/>
        <w:keepLines w:val="0"/>
        <w:pageBreakBefore w:val="0"/>
        <w:widowControl w:val="0"/>
        <w:kinsoku/>
        <w:wordWrap w:val="0"/>
        <w:overflowPunct/>
        <w:topLinePunct/>
        <w:autoSpaceDE/>
        <w:autoSpaceDN/>
        <w:bidi w:val="0"/>
        <w:adjustRightInd/>
        <w:snapToGrid/>
        <w:ind w:left="0" w:leftChars="0" w:right="0"/>
        <w:jc w:val="center"/>
        <w:rPr>
          <w:rStyle w:val="89"/>
          <w:rFonts w:hint="eastAsia" w:ascii="仿宋" w:hAnsi="仿宋" w:eastAsia="仿宋" w:cs="仿宋"/>
          <w:b/>
          <w:bCs/>
          <w:color w:val="auto"/>
          <w:highlight w:val="none"/>
          <w:lang w:eastAsia="zh-CN"/>
        </w:rPr>
      </w:pPr>
      <w:bookmarkStart w:id="1293" w:name="_Toc16875"/>
      <w:bookmarkStart w:id="1294" w:name="_Toc12008"/>
      <w:r>
        <w:rPr>
          <w:rFonts w:hint="eastAsia" w:ascii="仿宋" w:hAnsi="仿宋" w:eastAsia="仿宋" w:cs="仿宋"/>
          <w:color w:val="auto"/>
          <w:highlight w:val="none"/>
          <w:lang w:eastAsia="zh-CN"/>
        </w:rPr>
        <w:t>第</w:t>
      </w:r>
      <w:r>
        <w:rPr>
          <w:rFonts w:hint="eastAsia" w:ascii="仿宋" w:hAnsi="仿宋" w:eastAsia="仿宋" w:cs="仿宋"/>
          <w:color w:val="auto"/>
          <w:highlight w:val="none"/>
          <w:lang w:val="en-US" w:eastAsia="zh-CN"/>
        </w:rPr>
        <w:t>五</w:t>
      </w:r>
      <w:r>
        <w:rPr>
          <w:rFonts w:hint="eastAsia" w:ascii="仿宋" w:hAnsi="仿宋" w:eastAsia="仿宋" w:cs="仿宋"/>
          <w:color w:val="auto"/>
          <w:highlight w:val="none"/>
          <w:lang w:eastAsia="zh-CN"/>
        </w:rPr>
        <w:t>章</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合同条款及格式</w:t>
      </w:r>
      <w:bookmarkEnd w:id="1293"/>
      <w:bookmarkEnd w:id="1294"/>
    </w:p>
    <w:p w14:paraId="0B911F60">
      <w:pPr>
        <w:pStyle w:val="16"/>
        <w:keepNext w:val="0"/>
        <w:keepLines w:val="0"/>
        <w:pageBreakBefore w:val="0"/>
        <w:widowControl w:val="0"/>
        <w:kinsoku/>
        <w:wordWrap w:val="0"/>
        <w:overflowPunct/>
        <w:topLinePunct/>
        <w:autoSpaceDE/>
        <w:autoSpaceDN/>
        <w:bidi w:val="0"/>
        <w:adjustRightInd/>
        <w:snapToGrid/>
        <w:ind w:left="0" w:leftChars="0" w:right="0" w:firstLine="0" w:firstLineChars="0"/>
        <w:jc w:val="both"/>
        <w:rPr>
          <w:rFonts w:hint="eastAsia" w:ascii="仿宋" w:hAnsi="仿宋" w:eastAsia="仿宋" w:cs="仿宋"/>
          <w:b/>
          <w:bCs/>
          <w:color w:val="auto"/>
          <w:kern w:val="2"/>
          <w:sz w:val="24"/>
          <w:highlight w:val="none"/>
          <w:lang w:eastAsia="zh-CN"/>
        </w:rPr>
      </w:pPr>
      <w:bookmarkStart w:id="1295" w:name="_Hlk133595334"/>
      <w:r>
        <w:rPr>
          <w:rFonts w:hint="eastAsia" w:ascii="仿宋" w:hAnsi="仿宋" w:eastAsia="仿宋" w:cs="仿宋"/>
          <w:b/>
          <w:bCs/>
          <w:color w:val="auto"/>
          <w:kern w:val="2"/>
          <w:sz w:val="24"/>
          <w:szCs w:val="24"/>
          <w:highlight w:val="none"/>
          <w:lang w:eastAsia="zh-CN"/>
        </w:rPr>
        <w:t>说明：合同基本格式及主要条款以中标人和采购人最终协商确定的内容为准，但</w:t>
      </w:r>
      <w:r>
        <w:rPr>
          <w:rFonts w:hint="eastAsia" w:ascii="仿宋" w:hAnsi="仿宋" w:eastAsia="仿宋" w:cs="仿宋"/>
          <w:b/>
          <w:bCs/>
          <w:color w:val="auto"/>
          <w:kern w:val="2"/>
          <w:sz w:val="24"/>
          <w:highlight w:val="none"/>
          <w:lang w:eastAsia="zh-CN"/>
        </w:rPr>
        <w:t>所签订的合同不得对招标文件确定的事项和中标人的投标文件作实质性修改。</w:t>
      </w:r>
    </w:p>
    <w:p w14:paraId="2D6B9572">
      <w:pPr>
        <w:keepNext w:val="0"/>
        <w:keepLines w:val="0"/>
        <w:pageBreakBefore w:val="0"/>
        <w:widowControl w:val="0"/>
        <w:kinsoku/>
        <w:wordWrap w:val="0"/>
        <w:overflowPunct/>
        <w:topLinePunct/>
        <w:autoSpaceDE/>
        <w:autoSpaceDN/>
        <w:bidi w:val="0"/>
        <w:adjustRightInd/>
        <w:snapToGrid/>
        <w:spacing w:line="360" w:lineRule="auto"/>
        <w:ind w:left="0" w:leftChars="0" w:right="0"/>
        <w:rPr>
          <w:rFonts w:hint="eastAsia" w:ascii="仿宋" w:hAnsi="仿宋" w:eastAsia="仿宋" w:cs="仿宋"/>
          <w:color w:val="auto"/>
          <w:sz w:val="24"/>
          <w:highlight w:val="none"/>
          <w:lang w:val="en-US" w:eastAsia="zh-CN"/>
        </w:rPr>
      </w:pPr>
    </w:p>
    <w:p w14:paraId="6CE7B4DC">
      <w:pPr>
        <w:keepNext w:val="0"/>
        <w:keepLines w:val="0"/>
        <w:pageBreakBefore w:val="0"/>
        <w:widowControl w:val="0"/>
        <w:kinsoku/>
        <w:wordWrap w:val="0"/>
        <w:overflowPunct/>
        <w:topLinePunct/>
        <w:autoSpaceDE/>
        <w:autoSpaceDN/>
        <w:bidi w:val="0"/>
        <w:adjustRightInd/>
        <w:snapToGrid/>
        <w:spacing w:line="360" w:lineRule="auto"/>
        <w:ind w:left="0" w:leftChars="0" w:right="0"/>
        <w:rPr>
          <w:rFonts w:hint="eastAsia" w:ascii="仿宋" w:hAnsi="仿宋" w:eastAsia="仿宋" w:cs="仿宋"/>
          <w:color w:val="auto"/>
          <w:sz w:val="24"/>
          <w:highlight w:val="none"/>
          <w:lang w:eastAsia="zh-CN"/>
        </w:rPr>
      </w:pPr>
    </w:p>
    <w:p w14:paraId="4C487322">
      <w:pPr>
        <w:keepNext w:val="0"/>
        <w:keepLines w:val="0"/>
        <w:pageBreakBefore w:val="0"/>
        <w:widowControl w:val="0"/>
        <w:kinsoku/>
        <w:wordWrap w:val="0"/>
        <w:overflowPunct/>
        <w:topLinePunct/>
        <w:autoSpaceDE/>
        <w:autoSpaceDN/>
        <w:bidi w:val="0"/>
        <w:adjustRightInd/>
        <w:snapToGrid/>
        <w:spacing w:line="360" w:lineRule="auto"/>
        <w:ind w:left="0" w:leftChars="0" w:right="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●本合同须加盖甲乙双方骑缝章有效</w:t>
      </w:r>
    </w:p>
    <w:p w14:paraId="7D056B44">
      <w:pPr>
        <w:keepNext w:val="0"/>
        <w:keepLines w:val="0"/>
        <w:pageBreakBefore w:val="0"/>
        <w:widowControl w:val="0"/>
        <w:kinsoku/>
        <w:wordWrap w:val="0"/>
        <w:overflowPunct/>
        <w:topLinePunct/>
        <w:autoSpaceDE/>
        <w:autoSpaceDN/>
        <w:bidi w:val="0"/>
        <w:adjustRightInd/>
        <w:snapToGrid/>
        <w:ind w:left="0" w:leftChars="0" w:right="0" w:hanging="425"/>
        <w:jc w:val="both"/>
        <w:textAlignment w:val="baseline"/>
        <w:rPr>
          <w:rFonts w:hint="eastAsia" w:ascii="仿宋" w:hAnsi="仿宋" w:eastAsia="仿宋" w:cs="仿宋"/>
          <w:color w:val="auto"/>
          <w:sz w:val="21"/>
          <w:szCs w:val="21"/>
          <w:highlight w:val="none"/>
          <w:lang w:eastAsia="zh-CN"/>
        </w:rPr>
      </w:pPr>
    </w:p>
    <w:p w14:paraId="4CE8B278">
      <w:pPr>
        <w:keepNext w:val="0"/>
        <w:keepLines w:val="0"/>
        <w:pageBreakBefore w:val="0"/>
        <w:widowControl w:val="0"/>
        <w:kinsoku/>
        <w:wordWrap w:val="0"/>
        <w:overflowPunct/>
        <w:topLinePunct/>
        <w:autoSpaceDE/>
        <w:autoSpaceDN/>
        <w:bidi w:val="0"/>
        <w:adjustRightInd/>
        <w:snapToGrid/>
        <w:ind w:right="0"/>
        <w:jc w:val="both"/>
        <w:textAlignment w:val="baseline"/>
        <w:rPr>
          <w:rFonts w:hint="eastAsia" w:ascii="仿宋" w:hAnsi="仿宋" w:eastAsia="仿宋" w:cs="仿宋"/>
          <w:color w:val="auto"/>
          <w:sz w:val="48"/>
          <w:szCs w:val="48"/>
          <w:highlight w:val="none"/>
          <w:lang w:val="zh-CN" w:eastAsia="zh-CN"/>
        </w:rPr>
      </w:pPr>
      <w:r>
        <w:rPr>
          <w:rFonts w:hint="eastAsia" w:ascii="仿宋" w:hAnsi="仿宋" w:eastAsia="仿宋" w:cs="仿宋"/>
          <w:color w:val="auto"/>
          <w:sz w:val="21"/>
          <w:szCs w:val="21"/>
          <w:highlight w:val="none"/>
          <w:lang w:eastAsia="zh-CN"/>
        </w:rPr>
        <w:t>合同编号：</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合同自编号：</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项目编号：</w:t>
      </w:r>
      <w:r>
        <w:rPr>
          <w:rFonts w:hint="eastAsia" w:ascii="仿宋" w:hAnsi="仿宋" w:eastAsia="仿宋" w:cs="仿宋"/>
          <w:color w:val="auto"/>
          <w:sz w:val="21"/>
          <w:szCs w:val="21"/>
          <w:highlight w:val="none"/>
          <w:u w:val="single"/>
          <w:lang w:val="en-US" w:eastAsia="zh-CN"/>
        </w:rPr>
        <w:t xml:space="preserve">               </w:t>
      </w:r>
    </w:p>
    <w:p w14:paraId="05B6C479">
      <w:pPr>
        <w:keepNext w:val="0"/>
        <w:keepLines w:val="0"/>
        <w:pageBreakBefore w:val="0"/>
        <w:widowControl w:val="0"/>
        <w:kinsoku/>
        <w:wordWrap w:val="0"/>
        <w:overflowPunct/>
        <w:topLinePunct/>
        <w:autoSpaceDE/>
        <w:autoSpaceDN/>
        <w:bidi w:val="0"/>
        <w:adjustRightInd/>
        <w:snapToGrid/>
        <w:spacing w:line="800" w:lineRule="exact"/>
        <w:ind w:left="0" w:leftChars="0" w:right="0" w:firstLine="1920" w:firstLineChars="400"/>
        <w:outlineLvl w:val="1"/>
        <w:rPr>
          <w:rFonts w:hint="eastAsia" w:ascii="仿宋" w:hAnsi="仿宋" w:eastAsia="仿宋" w:cs="仿宋"/>
          <w:color w:val="auto"/>
          <w:sz w:val="48"/>
          <w:szCs w:val="48"/>
          <w:highlight w:val="none"/>
          <w:lang w:val="zh-CN" w:eastAsia="zh-CN"/>
        </w:rPr>
      </w:pPr>
      <w:bookmarkStart w:id="1296" w:name="_Toc4471"/>
      <w:bookmarkStart w:id="1297" w:name="_Toc31373"/>
      <w:r>
        <w:rPr>
          <w:rFonts w:hint="eastAsia" w:ascii="仿宋" w:hAnsi="仿宋" w:eastAsia="仿宋" w:cs="仿宋"/>
          <w:color w:val="auto"/>
          <w:sz w:val="48"/>
          <w:szCs w:val="48"/>
          <w:highlight w:val="none"/>
          <w:lang w:val="zh-CN" w:eastAsia="zh-CN"/>
        </w:rPr>
        <w:t>楚雄彝族自治州人民医院</w:t>
      </w:r>
      <w:bookmarkEnd w:id="1296"/>
      <w:bookmarkEnd w:id="1297"/>
    </w:p>
    <w:p w14:paraId="0F6CBD81">
      <w:pPr>
        <w:keepNext w:val="0"/>
        <w:keepLines w:val="0"/>
        <w:pageBreakBefore w:val="0"/>
        <w:widowControl w:val="0"/>
        <w:kinsoku/>
        <w:wordWrap w:val="0"/>
        <w:overflowPunct/>
        <w:topLinePunct/>
        <w:autoSpaceDE/>
        <w:autoSpaceDN/>
        <w:bidi w:val="0"/>
        <w:adjustRightInd/>
        <w:snapToGrid/>
        <w:spacing w:line="800" w:lineRule="exact"/>
        <w:ind w:left="0" w:leftChars="0" w:right="0"/>
        <w:jc w:val="center"/>
        <w:rPr>
          <w:rFonts w:hint="eastAsia" w:ascii="仿宋" w:hAnsi="仿宋" w:eastAsia="仿宋" w:cs="仿宋"/>
          <w:color w:val="auto"/>
          <w:sz w:val="72"/>
          <w:szCs w:val="56"/>
          <w:highlight w:val="none"/>
          <w:lang w:val="zh-CN" w:eastAsia="zh-CN"/>
        </w:rPr>
      </w:pPr>
    </w:p>
    <w:p w14:paraId="220876FA">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仿宋" w:hAnsi="仿宋" w:eastAsia="仿宋" w:cs="仿宋"/>
          <w:color w:val="auto"/>
          <w:sz w:val="72"/>
          <w:szCs w:val="56"/>
          <w:highlight w:val="none"/>
          <w:lang w:val="zh-CN" w:eastAsia="zh-CN"/>
        </w:rPr>
      </w:pPr>
      <w:r>
        <w:rPr>
          <w:rFonts w:hint="eastAsia" w:ascii="仿宋" w:hAnsi="仿宋" w:eastAsia="仿宋" w:cs="仿宋"/>
          <w:color w:val="auto"/>
          <w:sz w:val="72"/>
          <w:szCs w:val="56"/>
          <w:highlight w:val="none"/>
          <w:lang w:val="zh-CN" w:eastAsia="zh-CN"/>
        </w:rPr>
        <w:t>合</w:t>
      </w:r>
    </w:p>
    <w:p w14:paraId="6B3F0253">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仿宋" w:hAnsi="仿宋" w:eastAsia="仿宋" w:cs="仿宋"/>
          <w:color w:val="auto"/>
          <w:sz w:val="72"/>
          <w:szCs w:val="56"/>
          <w:highlight w:val="none"/>
          <w:lang w:val="zh-CN" w:eastAsia="zh-CN"/>
        </w:rPr>
      </w:pPr>
      <w:r>
        <w:rPr>
          <w:rFonts w:hint="eastAsia" w:ascii="仿宋" w:hAnsi="仿宋" w:eastAsia="仿宋" w:cs="仿宋"/>
          <w:color w:val="auto"/>
          <w:sz w:val="72"/>
          <w:szCs w:val="56"/>
          <w:highlight w:val="none"/>
          <w:lang w:val="zh-CN" w:eastAsia="zh-CN"/>
        </w:rPr>
        <w:t>同</w:t>
      </w:r>
    </w:p>
    <w:p w14:paraId="72DFEC38">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仿宋" w:hAnsi="仿宋" w:eastAsia="仿宋" w:cs="仿宋"/>
          <w:color w:val="auto"/>
          <w:sz w:val="72"/>
          <w:szCs w:val="56"/>
          <w:highlight w:val="none"/>
          <w:lang w:val="zh-CN" w:eastAsia="zh-CN"/>
        </w:rPr>
      </w:pPr>
      <w:r>
        <w:rPr>
          <w:rFonts w:hint="eastAsia" w:ascii="仿宋" w:hAnsi="仿宋" w:eastAsia="仿宋" w:cs="仿宋"/>
          <w:color w:val="auto"/>
          <w:sz w:val="72"/>
          <w:szCs w:val="56"/>
          <w:highlight w:val="none"/>
          <w:lang w:val="zh-CN" w:eastAsia="zh-CN"/>
        </w:rPr>
        <w:t>书</w:t>
      </w:r>
    </w:p>
    <w:p w14:paraId="07DD6F17">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highlight w:val="none"/>
          <w:lang w:val="zh-CN" w:eastAsia="zh-CN"/>
        </w:rPr>
      </w:pPr>
    </w:p>
    <w:p w14:paraId="1D08670C">
      <w:pPr>
        <w:keepNext w:val="0"/>
        <w:keepLines w:val="0"/>
        <w:pageBreakBefore w:val="0"/>
        <w:widowControl w:val="0"/>
        <w:kinsoku/>
        <w:wordWrap w:val="0"/>
        <w:overflowPunct/>
        <w:topLinePunct/>
        <w:autoSpaceDE/>
        <w:autoSpaceDN/>
        <w:bidi w:val="0"/>
        <w:adjustRightInd/>
        <w:snapToGrid/>
        <w:spacing w:line="840" w:lineRule="exact"/>
        <w:ind w:left="0" w:leftChars="0" w:right="0"/>
        <w:rPr>
          <w:rFonts w:hint="eastAsia" w:ascii="仿宋" w:hAnsi="仿宋" w:eastAsia="仿宋" w:cs="仿宋"/>
          <w:color w:val="auto"/>
          <w:sz w:val="32"/>
          <w:highlight w:val="none"/>
          <w:lang w:val="zh-CN" w:eastAsia="zh-CN"/>
        </w:rPr>
      </w:pPr>
    </w:p>
    <w:p w14:paraId="2B6F4B6A">
      <w:pPr>
        <w:keepNext w:val="0"/>
        <w:keepLines w:val="0"/>
        <w:pageBreakBefore w:val="0"/>
        <w:widowControl w:val="0"/>
        <w:kinsoku/>
        <w:wordWrap w:val="0"/>
        <w:overflowPunct/>
        <w:topLinePunct/>
        <w:autoSpaceDE/>
        <w:autoSpaceDN/>
        <w:bidi w:val="0"/>
        <w:adjustRightInd/>
        <w:snapToGrid/>
        <w:spacing w:line="480" w:lineRule="auto"/>
        <w:ind w:left="0" w:leftChars="0" w:right="0"/>
        <w:textAlignment w:val="auto"/>
        <w:rPr>
          <w:rFonts w:hint="eastAsia" w:ascii="仿宋" w:hAnsi="仿宋" w:eastAsia="仿宋" w:cs="仿宋"/>
          <w:color w:val="auto"/>
          <w:sz w:val="32"/>
          <w:highlight w:val="none"/>
          <w:u w:val="single"/>
          <w:lang w:val="zh-CN" w:eastAsia="zh-CN"/>
        </w:rPr>
      </w:pPr>
      <w:r>
        <w:rPr>
          <w:rFonts w:hint="eastAsia" w:ascii="仿宋" w:hAnsi="仿宋" w:eastAsia="仿宋" w:cs="仿宋"/>
          <w:color w:val="auto"/>
          <w:sz w:val="32"/>
          <w:highlight w:val="none"/>
          <w:lang w:val="zh-CN" w:eastAsia="zh-CN"/>
        </w:rPr>
        <w:t>采</w:t>
      </w:r>
      <w:r>
        <w:rPr>
          <w:rFonts w:hint="eastAsia" w:ascii="仿宋" w:hAnsi="仿宋" w:eastAsia="仿宋" w:cs="仿宋"/>
          <w:color w:val="auto"/>
          <w:sz w:val="32"/>
          <w:highlight w:val="none"/>
          <w:lang w:eastAsia="zh-CN"/>
        </w:rPr>
        <w:t xml:space="preserve"> </w:t>
      </w:r>
      <w:r>
        <w:rPr>
          <w:rFonts w:hint="eastAsia" w:ascii="仿宋" w:hAnsi="仿宋" w:eastAsia="仿宋" w:cs="仿宋"/>
          <w:color w:val="auto"/>
          <w:sz w:val="32"/>
          <w:highlight w:val="none"/>
          <w:lang w:val="zh-CN" w:eastAsia="zh-CN"/>
        </w:rPr>
        <w:t>购 人（甲方）：</w:t>
      </w:r>
      <w:r>
        <w:rPr>
          <w:rFonts w:hint="eastAsia" w:ascii="仿宋" w:hAnsi="仿宋" w:eastAsia="仿宋" w:cs="仿宋"/>
          <w:color w:val="auto"/>
          <w:sz w:val="32"/>
          <w:highlight w:val="none"/>
          <w:u w:val="single"/>
          <w:lang w:val="zh-CN" w:eastAsia="zh-CN"/>
        </w:rPr>
        <w:t>楚雄彝族自治州人民医院</w:t>
      </w:r>
    </w:p>
    <w:p w14:paraId="4C65A98C">
      <w:pPr>
        <w:keepNext w:val="0"/>
        <w:keepLines w:val="0"/>
        <w:pageBreakBefore w:val="0"/>
        <w:widowControl w:val="0"/>
        <w:kinsoku/>
        <w:wordWrap w:val="0"/>
        <w:overflowPunct/>
        <w:topLinePunct/>
        <w:autoSpaceDE/>
        <w:autoSpaceDN/>
        <w:bidi w:val="0"/>
        <w:adjustRightInd/>
        <w:snapToGrid/>
        <w:spacing w:line="480" w:lineRule="auto"/>
        <w:ind w:left="0" w:leftChars="0" w:right="0"/>
        <w:textAlignment w:val="auto"/>
        <w:rPr>
          <w:rFonts w:hint="eastAsia" w:ascii="仿宋" w:hAnsi="仿宋" w:eastAsia="仿宋" w:cs="仿宋"/>
          <w:color w:val="auto"/>
          <w:sz w:val="32"/>
          <w:highlight w:val="none"/>
          <w:u w:val="single"/>
          <w:lang w:eastAsia="zh-CN"/>
        </w:rPr>
      </w:pPr>
      <w:r>
        <w:rPr>
          <w:rFonts w:hint="eastAsia" w:ascii="仿宋" w:hAnsi="仿宋" w:eastAsia="仿宋" w:cs="仿宋"/>
          <w:color w:val="auto"/>
          <w:sz w:val="32"/>
          <w:highlight w:val="none"/>
          <w:lang w:eastAsia="zh-CN"/>
        </w:rPr>
        <w:t>供 应 商（乙方）：</w:t>
      </w:r>
      <w:r>
        <w:rPr>
          <w:rFonts w:hint="eastAsia" w:ascii="仿宋" w:hAnsi="仿宋" w:eastAsia="仿宋" w:cs="仿宋"/>
          <w:color w:val="auto"/>
          <w:sz w:val="32"/>
          <w:highlight w:val="none"/>
          <w:u w:val="single"/>
          <w:lang w:eastAsia="zh-CN"/>
        </w:rPr>
        <w:t xml:space="preserve">                      </w:t>
      </w:r>
    </w:p>
    <w:p w14:paraId="53C9FEFA">
      <w:pPr>
        <w:keepNext w:val="0"/>
        <w:keepLines w:val="0"/>
        <w:pageBreakBefore w:val="0"/>
        <w:widowControl w:val="0"/>
        <w:kinsoku/>
        <w:wordWrap w:val="0"/>
        <w:overflowPunct/>
        <w:topLinePunct/>
        <w:autoSpaceDE/>
        <w:autoSpaceDN/>
        <w:bidi w:val="0"/>
        <w:adjustRightInd/>
        <w:snapToGrid/>
        <w:spacing w:line="480" w:lineRule="auto"/>
        <w:ind w:left="0" w:leftChars="0" w:right="0"/>
        <w:textAlignment w:val="auto"/>
        <w:rPr>
          <w:rFonts w:hint="eastAsia" w:ascii="仿宋" w:hAnsi="仿宋" w:eastAsia="仿宋" w:cs="仿宋"/>
          <w:color w:val="auto"/>
          <w:sz w:val="32"/>
          <w:highlight w:val="none"/>
          <w:u w:val="single"/>
          <w:lang w:val="en-US" w:eastAsia="zh-CN"/>
        </w:rPr>
      </w:pPr>
      <w:r>
        <w:rPr>
          <w:rFonts w:hint="eastAsia" w:ascii="仿宋" w:hAnsi="仿宋" w:eastAsia="仿宋" w:cs="仿宋"/>
          <w:color w:val="auto"/>
          <w:sz w:val="32"/>
          <w:highlight w:val="none"/>
          <w:lang w:eastAsia="zh-CN"/>
        </w:rPr>
        <w:t>项目名称：</w:t>
      </w:r>
      <w:r>
        <w:rPr>
          <w:rFonts w:hint="eastAsia" w:ascii="仿宋" w:hAnsi="仿宋" w:eastAsia="仿宋" w:cs="仿宋"/>
          <w:color w:val="auto"/>
          <w:sz w:val="32"/>
          <w:highlight w:val="none"/>
          <w:u w:val="single"/>
          <w:lang w:eastAsia="zh-CN"/>
        </w:rPr>
        <w:t xml:space="preserve">                       </w:t>
      </w:r>
      <w:r>
        <w:rPr>
          <w:rFonts w:hint="eastAsia" w:ascii="仿宋" w:hAnsi="仿宋" w:eastAsia="仿宋" w:cs="仿宋"/>
          <w:color w:val="auto"/>
          <w:sz w:val="32"/>
          <w:highlight w:val="none"/>
          <w:u w:val="single"/>
          <w:lang w:val="en-US" w:eastAsia="zh-CN"/>
        </w:rPr>
        <w:t xml:space="preserve">       </w:t>
      </w:r>
    </w:p>
    <w:p w14:paraId="7E523916">
      <w:pPr>
        <w:keepNext w:val="0"/>
        <w:keepLines w:val="0"/>
        <w:pageBreakBefore w:val="0"/>
        <w:widowControl w:val="0"/>
        <w:kinsoku/>
        <w:wordWrap w:val="0"/>
        <w:overflowPunct/>
        <w:topLinePunct/>
        <w:autoSpaceDE/>
        <w:autoSpaceDN/>
        <w:bidi w:val="0"/>
        <w:adjustRightInd/>
        <w:snapToGrid/>
        <w:spacing w:line="480" w:lineRule="auto"/>
        <w:ind w:left="0" w:leftChars="0" w:right="0"/>
        <w:textAlignment w:val="auto"/>
        <w:rPr>
          <w:rFonts w:hint="eastAsia" w:ascii="仿宋" w:hAnsi="仿宋" w:eastAsia="仿宋" w:cs="仿宋"/>
          <w:color w:val="auto"/>
          <w:sz w:val="28"/>
          <w:szCs w:val="18"/>
          <w:highlight w:val="none"/>
          <w:u w:val="single"/>
          <w:lang w:eastAsia="zh-CN"/>
        </w:rPr>
      </w:pPr>
      <w:r>
        <w:rPr>
          <w:rFonts w:hint="eastAsia" w:ascii="仿宋" w:hAnsi="仿宋" w:eastAsia="仿宋" w:cs="仿宋"/>
          <w:color w:val="auto"/>
          <w:sz w:val="32"/>
          <w:highlight w:val="none"/>
          <w:lang w:eastAsia="zh-CN"/>
        </w:rPr>
        <w:t>代理机构（</w:t>
      </w:r>
      <w:r>
        <w:rPr>
          <w:rFonts w:hint="eastAsia" w:ascii="仿宋" w:hAnsi="仿宋" w:eastAsia="仿宋" w:cs="仿宋"/>
          <w:color w:val="auto"/>
          <w:sz w:val="32"/>
          <w:highlight w:val="none"/>
          <w:lang w:val="en-US" w:eastAsia="zh-CN"/>
        </w:rPr>
        <w:t>见证方</w:t>
      </w:r>
      <w:r>
        <w:rPr>
          <w:rFonts w:hint="eastAsia" w:ascii="仿宋" w:hAnsi="仿宋" w:eastAsia="仿宋" w:cs="仿宋"/>
          <w:color w:val="auto"/>
          <w:sz w:val="32"/>
          <w:highlight w:val="none"/>
          <w:lang w:eastAsia="zh-CN"/>
        </w:rPr>
        <w:t>）</w:t>
      </w:r>
      <w:r>
        <w:rPr>
          <w:rFonts w:hint="eastAsia" w:ascii="仿宋" w:hAnsi="仿宋" w:eastAsia="仿宋" w:cs="仿宋"/>
          <w:color w:val="auto"/>
          <w:sz w:val="32"/>
          <w:highlight w:val="none"/>
          <w:lang w:val="zh-CN" w:eastAsia="zh-CN"/>
        </w:rPr>
        <w:t>：</w:t>
      </w:r>
      <w:r>
        <w:rPr>
          <w:rFonts w:hint="eastAsia" w:ascii="仿宋" w:hAnsi="仿宋" w:eastAsia="仿宋" w:cs="仿宋"/>
          <w:color w:val="auto"/>
          <w:sz w:val="32"/>
          <w:highlight w:val="none"/>
          <w:u w:val="single"/>
          <w:lang w:eastAsia="zh-CN"/>
        </w:rPr>
        <w:t xml:space="preserve">             </w:t>
      </w:r>
      <w:r>
        <w:rPr>
          <w:rFonts w:hint="eastAsia" w:ascii="仿宋" w:hAnsi="仿宋" w:eastAsia="仿宋" w:cs="仿宋"/>
          <w:color w:val="auto"/>
          <w:sz w:val="32"/>
          <w:highlight w:val="none"/>
          <w:u w:val="single"/>
          <w:lang w:val="en-US" w:eastAsia="zh-CN"/>
        </w:rPr>
        <w:t xml:space="preserve">     </w:t>
      </w:r>
      <w:r>
        <w:rPr>
          <w:rFonts w:hint="eastAsia" w:ascii="仿宋" w:hAnsi="仿宋" w:eastAsia="仿宋" w:cs="仿宋"/>
          <w:color w:val="auto"/>
          <w:sz w:val="32"/>
          <w:highlight w:val="none"/>
          <w:u w:val="single"/>
          <w:lang w:eastAsia="zh-CN"/>
        </w:rPr>
        <w:t xml:space="preserve">  </w:t>
      </w:r>
    </w:p>
    <w:p w14:paraId="5886CCD1">
      <w:pPr>
        <w:keepNext w:val="0"/>
        <w:keepLines w:val="0"/>
        <w:pageBreakBefore w:val="0"/>
        <w:widowControl w:val="0"/>
        <w:kinsoku/>
        <w:wordWrap w:val="0"/>
        <w:overflowPunct/>
        <w:topLinePunct/>
        <w:autoSpaceDE/>
        <w:autoSpaceDN/>
        <w:bidi w:val="0"/>
        <w:adjustRightInd/>
        <w:snapToGrid/>
        <w:spacing w:line="480" w:lineRule="auto"/>
        <w:ind w:left="0" w:leftChars="0" w:right="0"/>
        <w:textAlignment w:val="auto"/>
        <w:rPr>
          <w:rFonts w:hint="eastAsia" w:ascii="仿宋" w:hAnsi="仿宋" w:eastAsia="仿宋" w:cs="仿宋"/>
          <w:color w:val="auto"/>
          <w:sz w:val="32"/>
          <w:highlight w:val="none"/>
          <w:lang w:eastAsia="zh-CN"/>
        </w:rPr>
      </w:pPr>
      <w:r>
        <w:rPr>
          <w:rFonts w:hint="eastAsia" w:ascii="仿宋" w:hAnsi="仿宋" w:eastAsia="仿宋" w:cs="仿宋"/>
          <w:color w:val="auto"/>
          <w:sz w:val="32"/>
          <w:highlight w:val="none"/>
          <w:lang w:eastAsia="zh-CN"/>
        </w:rPr>
        <w:t>合同签订地点：</w:t>
      </w:r>
      <w:r>
        <w:rPr>
          <w:rFonts w:hint="eastAsia" w:ascii="仿宋" w:hAnsi="仿宋" w:eastAsia="仿宋" w:cs="仿宋"/>
          <w:color w:val="auto"/>
          <w:sz w:val="32"/>
          <w:highlight w:val="none"/>
          <w:u w:val="single"/>
          <w:lang w:eastAsia="zh-CN"/>
        </w:rPr>
        <w:t>云南省楚雄市</w:t>
      </w:r>
    </w:p>
    <w:p w14:paraId="5F44276C">
      <w:pPr>
        <w:keepNext w:val="0"/>
        <w:keepLines w:val="0"/>
        <w:pageBreakBefore w:val="0"/>
        <w:widowControl w:val="0"/>
        <w:kinsoku/>
        <w:wordWrap w:val="0"/>
        <w:overflowPunct/>
        <w:topLinePunct/>
        <w:autoSpaceDE/>
        <w:autoSpaceDN/>
        <w:bidi w:val="0"/>
        <w:adjustRightInd/>
        <w:snapToGrid/>
        <w:spacing w:line="480" w:lineRule="auto"/>
        <w:ind w:left="0" w:leftChars="0" w:right="0"/>
        <w:textAlignment w:val="auto"/>
        <w:rPr>
          <w:rFonts w:hint="eastAsia" w:ascii="仿宋" w:hAnsi="仿宋" w:eastAsia="仿宋" w:cs="仿宋"/>
          <w:color w:val="auto"/>
          <w:sz w:val="32"/>
          <w:highlight w:val="none"/>
          <w:u w:val="none"/>
          <w:lang w:eastAsia="zh-CN"/>
        </w:rPr>
      </w:pPr>
      <w:r>
        <w:rPr>
          <w:rFonts w:hint="eastAsia" w:ascii="仿宋" w:hAnsi="仿宋" w:eastAsia="仿宋" w:cs="仿宋"/>
          <w:color w:val="auto"/>
          <w:sz w:val="32"/>
          <w:highlight w:val="none"/>
          <w:lang w:eastAsia="zh-CN"/>
        </w:rPr>
        <w:t>合同签订时间：</w:t>
      </w:r>
      <w:r>
        <w:rPr>
          <w:rFonts w:hint="eastAsia" w:ascii="仿宋" w:hAnsi="仿宋" w:eastAsia="仿宋" w:cs="仿宋"/>
          <w:color w:val="auto"/>
          <w:sz w:val="32"/>
          <w:highlight w:val="none"/>
          <w:u w:val="single"/>
          <w:lang w:eastAsia="zh-CN"/>
        </w:rPr>
        <w:t>202</w:t>
      </w:r>
      <w:r>
        <w:rPr>
          <w:rFonts w:hint="eastAsia" w:ascii="仿宋" w:hAnsi="仿宋" w:eastAsia="仿宋" w:cs="仿宋"/>
          <w:color w:val="auto"/>
          <w:sz w:val="32"/>
          <w:highlight w:val="none"/>
          <w:u w:val="single"/>
          <w:lang w:val="en-US" w:eastAsia="zh-CN"/>
        </w:rPr>
        <w:t xml:space="preserve"> </w:t>
      </w:r>
      <w:r>
        <w:rPr>
          <w:rFonts w:hint="eastAsia" w:ascii="仿宋" w:hAnsi="仿宋" w:eastAsia="仿宋" w:cs="仿宋"/>
          <w:color w:val="auto"/>
          <w:sz w:val="32"/>
          <w:highlight w:val="none"/>
          <w:u w:val="none"/>
          <w:lang w:eastAsia="zh-CN"/>
        </w:rPr>
        <w:t>年</w:t>
      </w:r>
      <w:r>
        <w:rPr>
          <w:rFonts w:hint="eastAsia" w:ascii="仿宋" w:hAnsi="仿宋" w:eastAsia="仿宋" w:cs="仿宋"/>
          <w:color w:val="auto"/>
          <w:sz w:val="32"/>
          <w:highlight w:val="none"/>
          <w:u w:val="single"/>
          <w:lang w:eastAsia="zh-CN"/>
        </w:rPr>
        <w:t xml:space="preserve">   </w:t>
      </w:r>
      <w:r>
        <w:rPr>
          <w:rFonts w:hint="eastAsia" w:ascii="仿宋" w:hAnsi="仿宋" w:eastAsia="仿宋" w:cs="仿宋"/>
          <w:color w:val="auto"/>
          <w:sz w:val="32"/>
          <w:highlight w:val="none"/>
          <w:u w:val="none"/>
          <w:lang w:eastAsia="zh-CN"/>
        </w:rPr>
        <w:t>月</w:t>
      </w:r>
      <w:r>
        <w:rPr>
          <w:rFonts w:hint="eastAsia" w:ascii="仿宋" w:hAnsi="仿宋" w:eastAsia="仿宋" w:cs="仿宋"/>
          <w:color w:val="auto"/>
          <w:sz w:val="32"/>
          <w:highlight w:val="none"/>
          <w:u w:val="single"/>
          <w:lang w:eastAsia="zh-CN"/>
        </w:rPr>
        <w:t xml:space="preserve">   </w:t>
      </w:r>
      <w:r>
        <w:rPr>
          <w:rFonts w:hint="eastAsia" w:ascii="仿宋" w:hAnsi="仿宋" w:eastAsia="仿宋" w:cs="仿宋"/>
          <w:color w:val="auto"/>
          <w:sz w:val="32"/>
          <w:highlight w:val="none"/>
          <w:u w:val="none"/>
          <w:lang w:eastAsia="zh-CN"/>
        </w:rPr>
        <w:t>日</w:t>
      </w:r>
      <w:bookmarkEnd w:id="1295"/>
    </w:p>
    <w:p w14:paraId="04C4ACFB">
      <w:pPr>
        <w:keepNext w:val="0"/>
        <w:keepLines w:val="0"/>
        <w:pageBreakBefore w:val="0"/>
        <w:widowControl w:val="0"/>
        <w:kinsoku/>
        <w:wordWrap w:val="0"/>
        <w:overflowPunct/>
        <w:topLinePunct/>
        <w:autoSpaceDE/>
        <w:autoSpaceDN/>
        <w:bidi w:val="0"/>
        <w:adjustRightInd/>
        <w:snapToGrid/>
        <w:spacing w:line="480" w:lineRule="auto"/>
        <w:ind w:left="0" w:leftChars="0" w:right="0"/>
        <w:jc w:val="center"/>
        <w:textAlignment w:val="auto"/>
        <w:rPr>
          <w:rStyle w:val="685"/>
          <w:rFonts w:hint="eastAsia" w:ascii="仿宋" w:hAnsi="仿宋" w:eastAsia="仿宋" w:cs="仿宋"/>
          <w:color w:val="auto"/>
          <w:sz w:val="32"/>
          <w:szCs w:val="32"/>
          <w:highlight w:val="none"/>
        </w:rPr>
        <w:sectPr>
          <w:pgSz w:w="11906" w:h="16838"/>
          <w:pgMar w:top="1134" w:right="1134" w:bottom="1134" w:left="1134" w:header="567" w:footer="907" w:gutter="0"/>
          <w:pgBorders>
            <w:top w:val="none" w:sz="0" w:space="0"/>
            <w:left w:val="none" w:sz="0" w:space="0"/>
            <w:bottom w:val="none" w:sz="0" w:space="0"/>
            <w:right w:val="none" w:sz="0" w:space="0"/>
          </w:pgBorders>
          <w:pgNumType w:fmt="decimal"/>
          <w:cols w:space="720" w:num="1"/>
          <w:titlePg/>
          <w:rtlGutter w:val="0"/>
          <w:docGrid w:linePitch="299" w:charSpace="0"/>
        </w:sectPr>
      </w:pPr>
      <w:bookmarkStart w:id="1298" w:name="_Toc12284"/>
    </w:p>
    <w:bookmarkEnd w:id="1298"/>
    <w:p w14:paraId="0643EE56">
      <w:pPr>
        <w:pStyle w:val="5"/>
        <w:spacing w:line="443" w:lineRule="exact"/>
        <w:ind w:left="2973" w:firstLine="301" w:firstLineChars="100"/>
        <w:outlineLvl w:val="1"/>
        <w:rPr>
          <w:rFonts w:hint="eastAsia" w:ascii="仿宋" w:hAnsi="仿宋" w:eastAsia="仿宋" w:cs="仿宋"/>
          <w:color w:val="auto"/>
          <w:kern w:val="0"/>
          <w:sz w:val="30"/>
          <w:szCs w:val="32"/>
          <w:highlight w:val="none"/>
        </w:rPr>
      </w:pPr>
      <w:bookmarkStart w:id="1299" w:name="_Toc31298"/>
      <w:bookmarkStart w:id="1300" w:name="_Toc27999"/>
      <w:r>
        <w:rPr>
          <w:rFonts w:hint="eastAsia" w:ascii="仿宋" w:hAnsi="仿宋" w:eastAsia="仿宋" w:cs="仿宋"/>
          <w:b/>
          <w:bCs/>
          <w:color w:val="auto"/>
          <w:kern w:val="0"/>
          <w:sz w:val="30"/>
          <w:szCs w:val="32"/>
          <w:highlight w:val="none"/>
        </w:rPr>
        <w:t>第</w:t>
      </w:r>
      <w:r>
        <w:rPr>
          <w:rFonts w:hint="eastAsia" w:ascii="仿宋" w:hAnsi="仿宋" w:eastAsia="仿宋" w:cs="仿宋"/>
          <w:b/>
          <w:bCs/>
          <w:color w:val="auto"/>
          <w:sz w:val="30"/>
          <w:highlight w:val="none"/>
        </w:rPr>
        <w:t>一部分</w:t>
      </w:r>
      <w:r>
        <w:rPr>
          <w:rFonts w:hint="eastAsia" w:ascii="仿宋" w:hAnsi="仿宋" w:eastAsia="仿宋" w:cs="仿宋"/>
          <w:b/>
          <w:bCs/>
          <w:color w:val="auto"/>
          <w:kern w:val="0"/>
          <w:sz w:val="30"/>
          <w:szCs w:val="32"/>
          <w:highlight w:val="none"/>
        </w:rPr>
        <w:t xml:space="preserve"> 政府采购合同协议书</w:t>
      </w:r>
      <w:bookmarkEnd w:id="1299"/>
      <w:bookmarkEnd w:id="1300"/>
    </w:p>
    <w:p w14:paraId="149BE182">
      <w:pPr>
        <w:wordWrap w:val="0"/>
        <w:topLinePunct/>
        <w:spacing w:line="360" w:lineRule="auto"/>
        <w:ind w:firstLine="480" w:firstLineChars="200"/>
        <w:jc w:val="left"/>
        <w:rPr>
          <w:rFonts w:hint="eastAsia" w:ascii="仿宋" w:hAnsi="仿宋" w:eastAsia="仿宋" w:cs="仿宋"/>
          <w:color w:val="auto"/>
          <w:sz w:val="24"/>
          <w:szCs w:val="24"/>
          <w:highlight w:val="none"/>
        </w:rPr>
      </w:pPr>
    </w:p>
    <w:p w14:paraId="45311E7A">
      <w:pPr>
        <w:wordWrap w:val="0"/>
        <w:topLinePunct/>
        <w:spacing w:line="360" w:lineRule="auto"/>
        <w:ind w:left="4560" w:hanging="3990" w:hangingChars="19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甲方（全称）：</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（采购人、受采购人委托签订合同的单位或采购文件约定的合同甲方）</w:t>
      </w:r>
    </w:p>
    <w:p w14:paraId="2CDFBF6E">
      <w:pPr>
        <w:wordWrap w:val="0"/>
        <w:topLinePunct/>
        <w:spacing w:line="360" w:lineRule="auto"/>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乙方1（全称）：</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w:t>
      </w:r>
    </w:p>
    <w:p w14:paraId="36238133">
      <w:pPr>
        <w:wordWrap w:val="0"/>
        <w:topLinePunct/>
        <w:spacing w:line="360" w:lineRule="auto"/>
        <w:ind w:left="4800" w:hanging="4200" w:hangingChars="20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乙方2（全称）：</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（联合体成员</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或其他合同主体）（如有）</w:t>
      </w:r>
    </w:p>
    <w:p w14:paraId="549A3E75">
      <w:pPr>
        <w:wordWrap w:val="0"/>
        <w:topLinePunct/>
        <w:spacing w:line="360" w:lineRule="auto"/>
        <w:ind w:left="4800" w:hanging="4200" w:hangingChars="20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乙方3（全称）：</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（联合体成员</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或其他合同主体）（如有）</w:t>
      </w:r>
    </w:p>
    <w:p w14:paraId="31A27850">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p>
    <w:p w14:paraId="6281B7AC">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5A7472F9">
      <w:pPr>
        <w:pStyle w:val="6"/>
        <w:keepNext w:val="0"/>
        <w:keepLines w:val="0"/>
        <w:pageBreakBefore w:val="0"/>
        <w:widowControl w:val="0"/>
        <w:kinsoku/>
        <w:wordWrap w:val="0"/>
        <w:overflowPunct/>
        <w:topLinePunct/>
        <w:autoSpaceDE/>
        <w:autoSpaceDN/>
        <w:bidi w:val="0"/>
        <w:adjustRightInd/>
        <w:snapToGrid/>
        <w:spacing w:line="360" w:lineRule="auto"/>
        <w:ind w:left="0" w:leftChars="0"/>
        <w:textAlignment w:val="auto"/>
        <w:outlineLvl w:val="2"/>
        <w:rPr>
          <w:rFonts w:hint="eastAsia" w:ascii="仿宋" w:hAnsi="仿宋" w:eastAsia="仿宋" w:cs="仿宋"/>
          <w:color w:val="auto"/>
          <w:sz w:val="21"/>
          <w:szCs w:val="21"/>
          <w:highlight w:val="none"/>
        </w:rPr>
      </w:pPr>
      <w:bookmarkStart w:id="1301" w:name="_Toc26267"/>
      <w:bookmarkStart w:id="1302" w:name="_Toc31402"/>
      <w:r>
        <w:rPr>
          <w:rFonts w:hint="eastAsia" w:ascii="仿宋" w:hAnsi="仿宋" w:eastAsia="仿宋" w:cs="仿宋"/>
          <w:color w:val="auto"/>
          <w:sz w:val="21"/>
          <w:szCs w:val="21"/>
          <w:highlight w:val="none"/>
        </w:rPr>
        <w:t>1.项目信息</w:t>
      </w:r>
      <w:bookmarkEnd w:id="1301"/>
      <w:bookmarkEnd w:id="1302"/>
    </w:p>
    <w:p w14:paraId="28AD1B1D">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（1）采购项目名称：</w:t>
      </w:r>
      <w:r>
        <w:rPr>
          <w:rFonts w:hint="eastAsia" w:ascii="仿宋" w:hAnsi="仿宋" w:eastAsia="仿宋" w:cs="仿宋"/>
          <w:color w:val="auto"/>
          <w:sz w:val="21"/>
          <w:szCs w:val="21"/>
          <w:highlight w:val="none"/>
          <w:u w:val="single"/>
        </w:rPr>
        <w:t xml:space="preserve">                                                  </w:t>
      </w:r>
    </w:p>
    <w:p w14:paraId="1746B1C9">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    采购项目编号：</w:t>
      </w:r>
      <w:r>
        <w:rPr>
          <w:rFonts w:hint="eastAsia" w:ascii="仿宋" w:hAnsi="仿宋" w:eastAsia="仿宋" w:cs="仿宋"/>
          <w:color w:val="auto"/>
          <w:sz w:val="21"/>
          <w:szCs w:val="21"/>
          <w:highlight w:val="none"/>
          <w:u w:val="single"/>
        </w:rPr>
        <w:t xml:space="preserve">                                                  </w:t>
      </w:r>
    </w:p>
    <w:p w14:paraId="0F5625AF">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（2）采购计划编号：</w:t>
      </w:r>
      <w:r>
        <w:rPr>
          <w:rFonts w:hint="eastAsia" w:ascii="仿宋" w:hAnsi="仿宋" w:eastAsia="仿宋" w:cs="仿宋"/>
          <w:color w:val="auto"/>
          <w:sz w:val="21"/>
          <w:szCs w:val="21"/>
          <w:highlight w:val="none"/>
          <w:u w:val="single"/>
        </w:rPr>
        <w:t xml:space="preserve">                                                  </w:t>
      </w:r>
    </w:p>
    <w:p w14:paraId="38F7E0FC">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（3）项目内容：</w:t>
      </w:r>
    </w:p>
    <w:tbl>
      <w:tblPr>
        <w:tblStyle w:val="67"/>
        <w:tblW w:w="96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108"/>
        <w:gridCol w:w="1758"/>
        <w:gridCol w:w="1095"/>
        <w:gridCol w:w="690"/>
        <w:gridCol w:w="1095"/>
        <w:gridCol w:w="1140"/>
        <w:gridCol w:w="1741"/>
      </w:tblGrid>
      <w:tr w14:paraId="6A1F8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jc w:val="center"/>
        </w:trPr>
        <w:tc>
          <w:tcPr>
            <w:tcW w:w="2108" w:type="dxa"/>
            <w:vAlign w:val="center"/>
          </w:tcPr>
          <w:p w14:paraId="7B24732A">
            <w:pPr>
              <w:keepNext w:val="0"/>
              <w:keepLines w:val="0"/>
              <w:pageBreakBefore w:val="0"/>
              <w:widowControl w:val="0"/>
              <w:tabs>
                <w:tab w:val="left" w:pos="210"/>
              </w:tabs>
              <w:kinsoku/>
              <w:wordWrap w:val="0"/>
              <w:overflowPunct/>
              <w:topLinePunct/>
              <w:autoSpaceDE/>
              <w:autoSpaceDN/>
              <w:bidi w:val="0"/>
              <w:adjustRightInd/>
              <w:snapToGrid/>
              <w:spacing w:line="360" w:lineRule="auto"/>
              <w:ind w:left="0" w:leftChars="0" w:firstLine="0" w:firstLineChars="0"/>
              <w:jc w:val="center"/>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设备、仪器名称</w:t>
            </w:r>
          </w:p>
        </w:tc>
        <w:tc>
          <w:tcPr>
            <w:tcW w:w="1758" w:type="dxa"/>
            <w:vAlign w:val="center"/>
          </w:tcPr>
          <w:p w14:paraId="0885E062">
            <w:pPr>
              <w:keepNext w:val="0"/>
              <w:keepLines w:val="0"/>
              <w:pageBreakBefore w:val="0"/>
              <w:widowControl w:val="0"/>
              <w:tabs>
                <w:tab w:val="left" w:pos="210"/>
              </w:tabs>
              <w:kinsoku/>
              <w:wordWrap w:val="0"/>
              <w:overflowPunct/>
              <w:topLinePunct/>
              <w:autoSpaceDE/>
              <w:autoSpaceDN/>
              <w:bidi w:val="0"/>
              <w:adjustRightInd/>
              <w:snapToGrid/>
              <w:spacing w:line="360" w:lineRule="auto"/>
              <w:ind w:left="0" w:leftChars="0" w:firstLine="0" w:firstLineChars="0"/>
              <w:jc w:val="center"/>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品牌、生产厂家</w:t>
            </w:r>
          </w:p>
        </w:tc>
        <w:tc>
          <w:tcPr>
            <w:tcW w:w="1095" w:type="dxa"/>
            <w:vAlign w:val="center"/>
          </w:tcPr>
          <w:p w14:paraId="357015C8">
            <w:pPr>
              <w:keepNext w:val="0"/>
              <w:keepLines w:val="0"/>
              <w:pageBreakBefore w:val="0"/>
              <w:widowControl w:val="0"/>
              <w:tabs>
                <w:tab w:val="left" w:pos="210"/>
              </w:tabs>
              <w:kinsoku/>
              <w:wordWrap w:val="0"/>
              <w:overflowPunct/>
              <w:topLinePunct/>
              <w:autoSpaceDE/>
              <w:autoSpaceDN/>
              <w:bidi w:val="0"/>
              <w:adjustRightInd/>
              <w:snapToGrid/>
              <w:spacing w:line="360" w:lineRule="auto"/>
              <w:ind w:left="0" w:leftChars="0" w:firstLine="0" w:firstLineChars="0"/>
              <w:jc w:val="center"/>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规格型号</w:t>
            </w:r>
          </w:p>
        </w:tc>
        <w:tc>
          <w:tcPr>
            <w:tcW w:w="690" w:type="dxa"/>
            <w:vAlign w:val="center"/>
          </w:tcPr>
          <w:p w14:paraId="2359BB3C">
            <w:pPr>
              <w:keepNext w:val="0"/>
              <w:keepLines w:val="0"/>
              <w:pageBreakBefore w:val="0"/>
              <w:widowControl w:val="0"/>
              <w:tabs>
                <w:tab w:val="left" w:pos="210"/>
              </w:tabs>
              <w:kinsoku/>
              <w:wordWrap w:val="0"/>
              <w:overflowPunct/>
              <w:topLinePunct/>
              <w:autoSpaceDE/>
              <w:autoSpaceDN/>
              <w:bidi w:val="0"/>
              <w:adjustRightInd/>
              <w:snapToGrid/>
              <w:spacing w:line="360" w:lineRule="auto"/>
              <w:ind w:left="0" w:leftChars="0" w:firstLine="0" w:firstLineChars="0"/>
              <w:jc w:val="center"/>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数量</w:t>
            </w:r>
          </w:p>
        </w:tc>
        <w:tc>
          <w:tcPr>
            <w:tcW w:w="1095" w:type="dxa"/>
            <w:vAlign w:val="center"/>
          </w:tcPr>
          <w:p w14:paraId="128F803F">
            <w:pPr>
              <w:keepNext w:val="0"/>
              <w:keepLines w:val="0"/>
              <w:pageBreakBefore w:val="0"/>
              <w:widowControl w:val="0"/>
              <w:tabs>
                <w:tab w:val="left" w:pos="210"/>
              </w:tabs>
              <w:kinsoku/>
              <w:wordWrap w:val="0"/>
              <w:overflowPunct/>
              <w:topLinePunct/>
              <w:autoSpaceDE/>
              <w:autoSpaceDN/>
              <w:bidi w:val="0"/>
              <w:adjustRightInd/>
              <w:snapToGrid/>
              <w:spacing w:line="360" w:lineRule="auto"/>
              <w:ind w:left="0" w:leftChars="0" w:firstLine="0" w:firstLineChars="0"/>
              <w:jc w:val="center"/>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单价（</w:t>
            </w:r>
            <w:r>
              <w:rPr>
                <w:rFonts w:hint="eastAsia" w:ascii="仿宋" w:hAnsi="仿宋" w:eastAsia="仿宋" w:cs="仿宋"/>
                <w:sz w:val="21"/>
                <w:szCs w:val="21"/>
                <w:highlight w:val="none"/>
                <w:lang w:val="en-US" w:eastAsia="zh-CN"/>
              </w:rPr>
              <w:t>元</w:t>
            </w:r>
            <w:r>
              <w:rPr>
                <w:rFonts w:hint="eastAsia" w:ascii="仿宋" w:hAnsi="仿宋" w:eastAsia="仿宋" w:cs="仿宋"/>
                <w:sz w:val="21"/>
                <w:szCs w:val="21"/>
                <w:highlight w:val="none"/>
                <w:lang w:eastAsia="zh-CN"/>
              </w:rPr>
              <w:t>）</w:t>
            </w:r>
          </w:p>
        </w:tc>
        <w:tc>
          <w:tcPr>
            <w:tcW w:w="1140" w:type="dxa"/>
            <w:vAlign w:val="center"/>
          </w:tcPr>
          <w:p w14:paraId="5E049620">
            <w:pPr>
              <w:keepNext w:val="0"/>
              <w:keepLines w:val="0"/>
              <w:pageBreakBefore w:val="0"/>
              <w:widowControl w:val="0"/>
              <w:tabs>
                <w:tab w:val="left" w:pos="210"/>
              </w:tabs>
              <w:kinsoku/>
              <w:wordWrap w:val="0"/>
              <w:overflowPunct/>
              <w:topLinePunct/>
              <w:autoSpaceDE/>
              <w:autoSpaceDN/>
              <w:bidi w:val="0"/>
              <w:adjustRightInd/>
              <w:snapToGrid/>
              <w:spacing w:line="360" w:lineRule="auto"/>
              <w:ind w:left="0" w:leftChars="0" w:firstLine="0" w:firstLineChars="0"/>
              <w:jc w:val="center"/>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总价（</w:t>
            </w:r>
            <w:r>
              <w:rPr>
                <w:rFonts w:hint="eastAsia" w:ascii="仿宋" w:hAnsi="仿宋" w:eastAsia="仿宋" w:cs="仿宋"/>
                <w:sz w:val="21"/>
                <w:szCs w:val="21"/>
                <w:highlight w:val="none"/>
                <w:lang w:val="en-US" w:eastAsia="zh-CN"/>
              </w:rPr>
              <w:t>元</w:t>
            </w:r>
            <w:r>
              <w:rPr>
                <w:rFonts w:hint="eastAsia" w:ascii="仿宋" w:hAnsi="仿宋" w:eastAsia="仿宋" w:cs="仿宋"/>
                <w:sz w:val="21"/>
                <w:szCs w:val="21"/>
                <w:highlight w:val="none"/>
                <w:lang w:eastAsia="zh-CN"/>
              </w:rPr>
              <w:t>）</w:t>
            </w:r>
          </w:p>
        </w:tc>
        <w:tc>
          <w:tcPr>
            <w:tcW w:w="1741" w:type="dxa"/>
            <w:vAlign w:val="center"/>
          </w:tcPr>
          <w:p w14:paraId="7D3C2071">
            <w:pPr>
              <w:keepNext w:val="0"/>
              <w:keepLines w:val="0"/>
              <w:pageBreakBefore w:val="0"/>
              <w:widowControl w:val="0"/>
              <w:tabs>
                <w:tab w:val="left" w:pos="210"/>
              </w:tabs>
              <w:kinsoku/>
              <w:wordWrap w:val="0"/>
              <w:overflowPunct/>
              <w:topLinePunct/>
              <w:autoSpaceDE/>
              <w:autoSpaceDN/>
              <w:bidi w:val="0"/>
              <w:adjustRightInd/>
              <w:snapToGrid/>
              <w:spacing w:line="360" w:lineRule="auto"/>
              <w:ind w:left="0" w:leftChars="0" w:firstLine="0" w:firstLineChars="0"/>
              <w:jc w:val="center"/>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备注（保修期等）</w:t>
            </w:r>
          </w:p>
        </w:tc>
      </w:tr>
      <w:tr w14:paraId="56A24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2108" w:type="dxa"/>
          </w:tcPr>
          <w:p w14:paraId="3E6F8860">
            <w:pPr>
              <w:keepNext w:val="0"/>
              <w:keepLines w:val="0"/>
              <w:pageBreakBefore w:val="0"/>
              <w:widowControl w:val="0"/>
              <w:tabs>
                <w:tab w:val="left" w:pos="210"/>
              </w:tabs>
              <w:kinsoku/>
              <w:wordWrap w:val="0"/>
              <w:overflowPunct/>
              <w:topLinePunct/>
              <w:autoSpaceDE/>
              <w:autoSpaceDN/>
              <w:bidi w:val="0"/>
              <w:adjustRightInd/>
              <w:snapToGrid/>
              <w:spacing w:line="360" w:lineRule="auto"/>
              <w:ind w:left="0" w:leftChars="0" w:firstLine="0" w:firstLineChars="0"/>
              <w:jc w:val="center"/>
              <w:textAlignment w:val="auto"/>
              <w:rPr>
                <w:rFonts w:hint="eastAsia" w:ascii="仿宋" w:hAnsi="仿宋" w:eastAsia="仿宋" w:cs="仿宋"/>
                <w:sz w:val="21"/>
                <w:szCs w:val="21"/>
                <w:highlight w:val="none"/>
                <w:lang w:eastAsia="zh-CN"/>
              </w:rPr>
            </w:pPr>
          </w:p>
        </w:tc>
        <w:tc>
          <w:tcPr>
            <w:tcW w:w="1758" w:type="dxa"/>
          </w:tcPr>
          <w:p w14:paraId="705C4E16">
            <w:pPr>
              <w:keepNext w:val="0"/>
              <w:keepLines w:val="0"/>
              <w:pageBreakBefore w:val="0"/>
              <w:widowControl w:val="0"/>
              <w:tabs>
                <w:tab w:val="left" w:pos="210"/>
              </w:tabs>
              <w:kinsoku/>
              <w:wordWrap w:val="0"/>
              <w:overflowPunct/>
              <w:topLinePunct/>
              <w:autoSpaceDE/>
              <w:autoSpaceDN/>
              <w:bidi w:val="0"/>
              <w:adjustRightInd/>
              <w:snapToGrid/>
              <w:spacing w:line="360" w:lineRule="auto"/>
              <w:ind w:left="0" w:leftChars="0" w:firstLine="0" w:firstLineChars="0"/>
              <w:jc w:val="center"/>
              <w:textAlignment w:val="auto"/>
              <w:rPr>
                <w:rFonts w:hint="eastAsia" w:ascii="仿宋" w:hAnsi="仿宋" w:eastAsia="仿宋" w:cs="仿宋"/>
                <w:sz w:val="21"/>
                <w:szCs w:val="21"/>
                <w:highlight w:val="none"/>
                <w:lang w:eastAsia="zh-CN"/>
              </w:rPr>
            </w:pPr>
          </w:p>
        </w:tc>
        <w:tc>
          <w:tcPr>
            <w:tcW w:w="1095" w:type="dxa"/>
          </w:tcPr>
          <w:p w14:paraId="420E468B">
            <w:pPr>
              <w:keepNext w:val="0"/>
              <w:keepLines w:val="0"/>
              <w:pageBreakBefore w:val="0"/>
              <w:widowControl w:val="0"/>
              <w:tabs>
                <w:tab w:val="left" w:pos="210"/>
              </w:tabs>
              <w:kinsoku/>
              <w:wordWrap w:val="0"/>
              <w:overflowPunct/>
              <w:topLinePunct/>
              <w:autoSpaceDE/>
              <w:autoSpaceDN/>
              <w:bidi w:val="0"/>
              <w:adjustRightInd/>
              <w:snapToGrid/>
              <w:spacing w:line="360" w:lineRule="auto"/>
              <w:ind w:left="0" w:leftChars="0" w:firstLine="0" w:firstLineChars="0"/>
              <w:jc w:val="center"/>
              <w:textAlignment w:val="auto"/>
              <w:rPr>
                <w:rFonts w:hint="eastAsia" w:ascii="仿宋" w:hAnsi="仿宋" w:eastAsia="仿宋" w:cs="仿宋"/>
                <w:sz w:val="21"/>
                <w:szCs w:val="21"/>
                <w:highlight w:val="none"/>
                <w:lang w:eastAsia="zh-CN"/>
              </w:rPr>
            </w:pPr>
          </w:p>
        </w:tc>
        <w:tc>
          <w:tcPr>
            <w:tcW w:w="690" w:type="dxa"/>
          </w:tcPr>
          <w:p w14:paraId="0AF79A93">
            <w:pPr>
              <w:keepNext w:val="0"/>
              <w:keepLines w:val="0"/>
              <w:pageBreakBefore w:val="0"/>
              <w:widowControl w:val="0"/>
              <w:tabs>
                <w:tab w:val="left" w:pos="210"/>
              </w:tabs>
              <w:kinsoku/>
              <w:wordWrap w:val="0"/>
              <w:overflowPunct/>
              <w:topLinePunct/>
              <w:autoSpaceDE/>
              <w:autoSpaceDN/>
              <w:bidi w:val="0"/>
              <w:adjustRightInd/>
              <w:snapToGrid/>
              <w:spacing w:line="360" w:lineRule="auto"/>
              <w:ind w:left="0" w:leftChars="0" w:firstLine="0" w:firstLineChars="0"/>
              <w:jc w:val="center"/>
              <w:textAlignment w:val="auto"/>
              <w:rPr>
                <w:rFonts w:hint="eastAsia" w:ascii="仿宋" w:hAnsi="仿宋" w:eastAsia="仿宋" w:cs="仿宋"/>
                <w:sz w:val="21"/>
                <w:szCs w:val="21"/>
                <w:highlight w:val="none"/>
                <w:lang w:eastAsia="zh-CN"/>
              </w:rPr>
            </w:pPr>
          </w:p>
        </w:tc>
        <w:tc>
          <w:tcPr>
            <w:tcW w:w="1095" w:type="dxa"/>
          </w:tcPr>
          <w:p w14:paraId="01AA8FA0">
            <w:pPr>
              <w:keepNext w:val="0"/>
              <w:keepLines w:val="0"/>
              <w:pageBreakBefore w:val="0"/>
              <w:widowControl w:val="0"/>
              <w:tabs>
                <w:tab w:val="left" w:pos="210"/>
              </w:tabs>
              <w:kinsoku/>
              <w:wordWrap w:val="0"/>
              <w:overflowPunct/>
              <w:topLinePunct/>
              <w:autoSpaceDE/>
              <w:autoSpaceDN/>
              <w:bidi w:val="0"/>
              <w:adjustRightInd/>
              <w:snapToGrid/>
              <w:spacing w:line="360" w:lineRule="auto"/>
              <w:ind w:left="0" w:leftChars="0" w:firstLine="0" w:firstLineChars="0"/>
              <w:jc w:val="center"/>
              <w:textAlignment w:val="auto"/>
              <w:rPr>
                <w:rFonts w:hint="eastAsia" w:ascii="仿宋" w:hAnsi="仿宋" w:eastAsia="仿宋" w:cs="仿宋"/>
                <w:sz w:val="21"/>
                <w:szCs w:val="21"/>
                <w:highlight w:val="none"/>
                <w:lang w:eastAsia="zh-CN"/>
              </w:rPr>
            </w:pPr>
          </w:p>
        </w:tc>
        <w:tc>
          <w:tcPr>
            <w:tcW w:w="1140" w:type="dxa"/>
          </w:tcPr>
          <w:p w14:paraId="6C8B2115">
            <w:pPr>
              <w:keepNext w:val="0"/>
              <w:keepLines w:val="0"/>
              <w:pageBreakBefore w:val="0"/>
              <w:widowControl w:val="0"/>
              <w:tabs>
                <w:tab w:val="left" w:pos="210"/>
              </w:tabs>
              <w:kinsoku/>
              <w:wordWrap w:val="0"/>
              <w:overflowPunct/>
              <w:topLinePunct/>
              <w:autoSpaceDE/>
              <w:autoSpaceDN/>
              <w:bidi w:val="0"/>
              <w:adjustRightInd/>
              <w:snapToGrid/>
              <w:spacing w:line="360" w:lineRule="auto"/>
              <w:ind w:left="0" w:leftChars="0" w:firstLine="0" w:firstLineChars="0"/>
              <w:jc w:val="center"/>
              <w:textAlignment w:val="auto"/>
              <w:rPr>
                <w:rFonts w:hint="eastAsia" w:ascii="仿宋" w:hAnsi="仿宋" w:eastAsia="仿宋" w:cs="仿宋"/>
                <w:sz w:val="21"/>
                <w:szCs w:val="21"/>
                <w:highlight w:val="none"/>
                <w:lang w:eastAsia="zh-CN"/>
              </w:rPr>
            </w:pPr>
          </w:p>
        </w:tc>
        <w:tc>
          <w:tcPr>
            <w:tcW w:w="1741" w:type="dxa"/>
          </w:tcPr>
          <w:p w14:paraId="55073D29">
            <w:pPr>
              <w:keepNext w:val="0"/>
              <w:keepLines w:val="0"/>
              <w:pageBreakBefore w:val="0"/>
              <w:widowControl w:val="0"/>
              <w:tabs>
                <w:tab w:val="left" w:pos="210"/>
              </w:tabs>
              <w:kinsoku/>
              <w:wordWrap w:val="0"/>
              <w:overflowPunct/>
              <w:topLinePunct/>
              <w:autoSpaceDE/>
              <w:autoSpaceDN/>
              <w:bidi w:val="0"/>
              <w:adjustRightInd/>
              <w:snapToGrid/>
              <w:spacing w:line="360" w:lineRule="auto"/>
              <w:ind w:left="0" w:leftChars="0" w:firstLine="0" w:firstLineChars="0"/>
              <w:jc w:val="center"/>
              <w:textAlignment w:val="auto"/>
              <w:rPr>
                <w:rFonts w:hint="eastAsia" w:ascii="仿宋" w:hAnsi="仿宋" w:eastAsia="仿宋" w:cs="仿宋"/>
                <w:sz w:val="21"/>
                <w:szCs w:val="21"/>
                <w:highlight w:val="none"/>
                <w:lang w:eastAsia="zh-CN"/>
              </w:rPr>
            </w:pPr>
          </w:p>
        </w:tc>
      </w:tr>
      <w:tr w14:paraId="42D57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2108" w:type="dxa"/>
          </w:tcPr>
          <w:p w14:paraId="1B446829">
            <w:pPr>
              <w:keepNext w:val="0"/>
              <w:keepLines w:val="0"/>
              <w:pageBreakBefore w:val="0"/>
              <w:widowControl w:val="0"/>
              <w:tabs>
                <w:tab w:val="left" w:pos="210"/>
              </w:tabs>
              <w:kinsoku/>
              <w:wordWrap w:val="0"/>
              <w:overflowPunct/>
              <w:topLinePunct/>
              <w:autoSpaceDE/>
              <w:autoSpaceDN/>
              <w:bidi w:val="0"/>
              <w:adjustRightInd/>
              <w:snapToGrid/>
              <w:spacing w:line="360" w:lineRule="auto"/>
              <w:ind w:left="0" w:leftChars="0" w:firstLine="0" w:firstLineChars="0"/>
              <w:jc w:val="center"/>
              <w:textAlignment w:val="auto"/>
              <w:rPr>
                <w:rFonts w:hint="eastAsia" w:ascii="仿宋" w:hAnsi="仿宋" w:eastAsia="仿宋" w:cs="仿宋"/>
                <w:sz w:val="21"/>
                <w:szCs w:val="21"/>
                <w:highlight w:val="none"/>
                <w:lang w:eastAsia="zh-CN"/>
              </w:rPr>
            </w:pPr>
          </w:p>
        </w:tc>
        <w:tc>
          <w:tcPr>
            <w:tcW w:w="1758" w:type="dxa"/>
          </w:tcPr>
          <w:p w14:paraId="5E41B063">
            <w:pPr>
              <w:keepNext w:val="0"/>
              <w:keepLines w:val="0"/>
              <w:pageBreakBefore w:val="0"/>
              <w:widowControl w:val="0"/>
              <w:tabs>
                <w:tab w:val="left" w:pos="210"/>
              </w:tabs>
              <w:kinsoku/>
              <w:wordWrap w:val="0"/>
              <w:overflowPunct/>
              <w:topLinePunct/>
              <w:autoSpaceDE/>
              <w:autoSpaceDN/>
              <w:bidi w:val="0"/>
              <w:adjustRightInd/>
              <w:snapToGrid/>
              <w:spacing w:line="360" w:lineRule="auto"/>
              <w:ind w:left="0" w:leftChars="0" w:firstLine="0" w:firstLineChars="0"/>
              <w:jc w:val="center"/>
              <w:textAlignment w:val="auto"/>
              <w:rPr>
                <w:rFonts w:hint="eastAsia" w:ascii="仿宋" w:hAnsi="仿宋" w:eastAsia="仿宋" w:cs="仿宋"/>
                <w:sz w:val="21"/>
                <w:szCs w:val="21"/>
                <w:highlight w:val="none"/>
                <w:lang w:eastAsia="zh-CN"/>
              </w:rPr>
            </w:pPr>
          </w:p>
        </w:tc>
        <w:tc>
          <w:tcPr>
            <w:tcW w:w="1095" w:type="dxa"/>
          </w:tcPr>
          <w:p w14:paraId="5D628E55">
            <w:pPr>
              <w:keepNext w:val="0"/>
              <w:keepLines w:val="0"/>
              <w:pageBreakBefore w:val="0"/>
              <w:widowControl w:val="0"/>
              <w:tabs>
                <w:tab w:val="left" w:pos="210"/>
              </w:tabs>
              <w:kinsoku/>
              <w:wordWrap w:val="0"/>
              <w:overflowPunct/>
              <w:topLinePunct/>
              <w:autoSpaceDE/>
              <w:autoSpaceDN/>
              <w:bidi w:val="0"/>
              <w:adjustRightInd/>
              <w:snapToGrid/>
              <w:spacing w:line="360" w:lineRule="auto"/>
              <w:ind w:left="0" w:leftChars="0" w:firstLine="0" w:firstLineChars="0"/>
              <w:jc w:val="center"/>
              <w:textAlignment w:val="auto"/>
              <w:rPr>
                <w:rFonts w:hint="eastAsia" w:ascii="仿宋" w:hAnsi="仿宋" w:eastAsia="仿宋" w:cs="仿宋"/>
                <w:sz w:val="21"/>
                <w:szCs w:val="21"/>
                <w:highlight w:val="none"/>
                <w:lang w:eastAsia="zh-CN"/>
              </w:rPr>
            </w:pPr>
          </w:p>
        </w:tc>
        <w:tc>
          <w:tcPr>
            <w:tcW w:w="690" w:type="dxa"/>
          </w:tcPr>
          <w:p w14:paraId="0B996DC7">
            <w:pPr>
              <w:keepNext w:val="0"/>
              <w:keepLines w:val="0"/>
              <w:pageBreakBefore w:val="0"/>
              <w:widowControl w:val="0"/>
              <w:tabs>
                <w:tab w:val="left" w:pos="210"/>
              </w:tabs>
              <w:kinsoku/>
              <w:wordWrap w:val="0"/>
              <w:overflowPunct/>
              <w:topLinePunct/>
              <w:autoSpaceDE/>
              <w:autoSpaceDN/>
              <w:bidi w:val="0"/>
              <w:adjustRightInd/>
              <w:snapToGrid/>
              <w:spacing w:line="360" w:lineRule="auto"/>
              <w:ind w:left="0" w:leftChars="0" w:firstLine="0" w:firstLineChars="0"/>
              <w:jc w:val="center"/>
              <w:textAlignment w:val="auto"/>
              <w:rPr>
                <w:rFonts w:hint="eastAsia" w:ascii="仿宋" w:hAnsi="仿宋" w:eastAsia="仿宋" w:cs="仿宋"/>
                <w:sz w:val="21"/>
                <w:szCs w:val="21"/>
                <w:highlight w:val="none"/>
                <w:lang w:eastAsia="zh-CN"/>
              </w:rPr>
            </w:pPr>
          </w:p>
        </w:tc>
        <w:tc>
          <w:tcPr>
            <w:tcW w:w="1095" w:type="dxa"/>
          </w:tcPr>
          <w:p w14:paraId="16DE24AE">
            <w:pPr>
              <w:keepNext w:val="0"/>
              <w:keepLines w:val="0"/>
              <w:pageBreakBefore w:val="0"/>
              <w:widowControl w:val="0"/>
              <w:tabs>
                <w:tab w:val="left" w:pos="210"/>
              </w:tabs>
              <w:kinsoku/>
              <w:wordWrap w:val="0"/>
              <w:overflowPunct/>
              <w:topLinePunct/>
              <w:autoSpaceDE/>
              <w:autoSpaceDN/>
              <w:bidi w:val="0"/>
              <w:adjustRightInd/>
              <w:snapToGrid/>
              <w:spacing w:line="360" w:lineRule="auto"/>
              <w:ind w:left="0" w:leftChars="0" w:firstLine="0" w:firstLineChars="0"/>
              <w:jc w:val="center"/>
              <w:textAlignment w:val="auto"/>
              <w:rPr>
                <w:rFonts w:hint="eastAsia" w:ascii="仿宋" w:hAnsi="仿宋" w:eastAsia="仿宋" w:cs="仿宋"/>
                <w:sz w:val="21"/>
                <w:szCs w:val="21"/>
                <w:highlight w:val="none"/>
                <w:lang w:eastAsia="zh-CN"/>
              </w:rPr>
            </w:pPr>
          </w:p>
        </w:tc>
        <w:tc>
          <w:tcPr>
            <w:tcW w:w="1140" w:type="dxa"/>
          </w:tcPr>
          <w:p w14:paraId="5A9EAA65">
            <w:pPr>
              <w:keepNext w:val="0"/>
              <w:keepLines w:val="0"/>
              <w:pageBreakBefore w:val="0"/>
              <w:widowControl w:val="0"/>
              <w:tabs>
                <w:tab w:val="left" w:pos="210"/>
              </w:tabs>
              <w:kinsoku/>
              <w:wordWrap w:val="0"/>
              <w:overflowPunct/>
              <w:topLinePunct/>
              <w:autoSpaceDE/>
              <w:autoSpaceDN/>
              <w:bidi w:val="0"/>
              <w:adjustRightInd/>
              <w:snapToGrid/>
              <w:spacing w:line="360" w:lineRule="auto"/>
              <w:ind w:left="0" w:leftChars="0" w:firstLine="0" w:firstLineChars="0"/>
              <w:jc w:val="center"/>
              <w:textAlignment w:val="auto"/>
              <w:rPr>
                <w:rFonts w:hint="eastAsia" w:ascii="仿宋" w:hAnsi="仿宋" w:eastAsia="仿宋" w:cs="仿宋"/>
                <w:sz w:val="21"/>
                <w:szCs w:val="21"/>
                <w:highlight w:val="none"/>
                <w:lang w:eastAsia="zh-CN"/>
              </w:rPr>
            </w:pPr>
          </w:p>
        </w:tc>
        <w:tc>
          <w:tcPr>
            <w:tcW w:w="1741" w:type="dxa"/>
          </w:tcPr>
          <w:p w14:paraId="5B241124">
            <w:pPr>
              <w:keepNext w:val="0"/>
              <w:keepLines w:val="0"/>
              <w:pageBreakBefore w:val="0"/>
              <w:widowControl w:val="0"/>
              <w:tabs>
                <w:tab w:val="left" w:pos="210"/>
              </w:tabs>
              <w:kinsoku/>
              <w:wordWrap w:val="0"/>
              <w:overflowPunct/>
              <w:topLinePunct/>
              <w:autoSpaceDE/>
              <w:autoSpaceDN/>
              <w:bidi w:val="0"/>
              <w:adjustRightInd/>
              <w:snapToGrid/>
              <w:spacing w:line="360" w:lineRule="auto"/>
              <w:ind w:left="0" w:leftChars="0" w:firstLine="0" w:firstLineChars="0"/>
              <w:jc w:val="center"/>
              <w:textAlignment w:val="auto"/>
              <w:rPr>
                <w:rFonts w:hint="eastAsia" w:ascii="仿宋" w:hAnsi="仿宋" w:eastAsia="仿宋" w:cs="仿宋"/>
                <w:sz w:val="21"/>
                <w:szCs w:val="21"/>
                <w:highlight w:val="none"/>
                <w:lang w:eastAsia="zh-CN"/>
              </w:rPr>
            </w:pPr>
          </w:p>
        </w:tc>
      </w:tr>
      <w:tr w14:paraId="1549D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2108" w:type="dxa"/>
          </w:tcPr>
          <w:p w14:paraId="7E0D85D5">
            <w:pPr>
              <w:keepNext w:val="0"/>
              <w:keepLines w:val="0"/>
              <w:pageBreakBefore w:val="0"/>
              <w:widowControl w:val="0"/>
              <w:tabs>
                <w:tab w:val="left" w:pos="210"/>
              </w:tabs>
              <w:kinsoku/>
              <w:wordWrap w:val="0"/>
              <w:overflowPunct/>
              <w:topLinePunct/>
              <w:autoSpaceDE/>
              <w:autoSpaceDN/>
              <w:bidi w:val="0"/>
              <w:adjustRightInd/>
              <w:snapToGrid/>
              <w:spacing w:line="360" w:lineRule="auto"/>
              <w:ind w:left="0" w:leftChars="0" w:firstLine="0" w:firstLineChars="0"/>
              <w:jc w:val="center"/>
              <w:textAlignment w:val="auto"/>
              <w:rPr>
                <w:rFonts w:hint="eastAsia" w:ascii="仿宋" w:hAnsi="仿宋" w:eastAsia="仿宋" w:cs="仿宋"/>
                <w:sz w:val="21"/>
                <w:szCs w:val="21"/>
                <w:highlight w:val="none"/>
                <w:lang w:eastAsia="zh-CN"/>
              </w:rPr>
            </w:pPr>
          </w:p>
        </w:tc>
        <w:tc>
          <w:tcPr>
            <w:tcW w:w="1758" w:type="dxa"/>
          </w:tcPr>
          <w:p w14:paraId="3D70D8F5">
            <w:pPr>
              <w:keepNext w:val="0"/>
              <w:keepLines w:val="0"/>
              <w:pageBreakBefore w:val="0"/>
              <w:widowControl w:val="0"/>
              <w:tabs>
                <w:tab w:val="left" w:pos="210"/>
              </w:tabs>
              <w:kinsoku/>
              <w:wordWrap w:val="0"/>
              <w:overflowPunct/>
              <w:topLinePunct/>
              <w:autoSpaceDE/>
              <w:autoSpaceDN/>
              <w:bidi w:val="0"/>
              <w:adjustRightInd/>
              <w:snapToGrid/>
              <w:spacing w:line="360" w:lineRule="auto"/>
              <w:ind w:left="0" w:leftChars="0" w:firstLine="0" w:firstLineChars="0"/>
              <w:jc w:val="center"/>
              <w:textAlignment w:val="auto"/>
              <w:rPr>
                <w:rFonts w:hint="eastAsia" w:ascii="仿宋" w:hAnsi="仿宋" w:eastAsia="仿宋" w:cs="仿宋"/>
                <w:sz w:val="21"/>
                <w:szCs w:val="21"/>
                <w:highlight w:val="none"/>
                <w:lang w:eastAsia="zh-CN"/>
              </w:rPr>
            </w:pPr>
          </w:p>
        </w:tc>
        <w:tc>
          <w:tcPr>
            <w:tcW w:w="1095" w:type="dxa"/>
          </w:tcPr>
          <w:p w14:paraId="2F0B6A84">
            <w:pPr>
              <w:keepNext w:val="0"/>
              <w:keepLines w:val="0"/>
              <w:pageBreakBefore w:val="0"/>
              <w:widowControl w:val="0"/>
              <w:tabs>
                <w:tab w:val="left" w:pos="210"/>
              </w:tabs>
              <w:kinsoku/>
              <w:wordWrap w:val="0"/>
              <w:overflowPunct/>
              <w:topLinePunct/>
              <w:autoSpaceDE/>
              <w:autoSpaceDN/>
              <w:bidi w:val="0"/>
              <w:adjustRightInd/>
              <w:snapToGrid/>
              <w:spacing w:line="360" w:lineRule="auto"/>
              <w:ind w:left="0" w:leftChars="0" w:firstLine="0" w:firstLineChars="0"/>
              <w:jc w:val="center"/>
              <w:textAlignment w:val="auto"/>
              <w:rPr>
                <w:rFonts w:hint="eastAsia" w:ascii="仿宋" w:hAnsi="仿宋" w:eastAsia="仿宋" w:cs="仿宋"/>
                <w:sz w:val="21"/>
                <w:szCs w:val="21"/>
                <w:highlight w:val="none"/>
                <w:lang w:eastAsia="zh-CN"/>
              </w:rPr>
            </w:pPr>
          </w:p>
        </w:tc>
        <w:tc>
          <w:tcPr>
            <w:tcW w:w="690" w:type="dxa"/>
          </w:tcPr>
          <w:p w14:paraId="6E89239A">
            <w:pPr>
              <w:keepNext w:val="0"/>
              <w:keepLines w:val="0"/>
              <w:pageBreakBefore w:val="0"/>
              <w:widowControl w:val="0"/>
              <w:tabs>
                <w:tab w:val="left" w:pos="210"/>
              </w:tabs>
              <w:kinsoku/>
              <w:wordWrap w:val="0"/>
              <w:overflowPunct/>
              <w:topLinePunct/>
              <w:autoSpaceDE/>
              <w:autoSpaceDN/>
              <w:bidi w:val="0"/>
              <w:adjustRightInd/>
              <w:snapToGrid/>
              <w:spacing w:line="360" w:lineRule="auto"/>
              <w:ind w:left="0" w:leftChars="0" w:firstLine="0" w:firstLineChars="0"/>
              <w:jc w:val="center"/>
              <w:textAlignment w:val="auto"/>
              <w:rPr>
                <w:rFonts w:hint="eastAsia" w:ascii="仿宋" w:hAnsi="仿宋" w:eastAsia="仿宋" w:cs="仿宋"/>
                <w:sz w:val="21"/>
                <w:szCs w:val="21"/>
                <w:highlight w:val="none"/>
                <w:lang w:eastAsia="zh-CN"/>
              </w:rPr>
            </w:pPr>
          </w:p>
        </w:tc>
        <w:tc>
          <w:tcPr>
            <w:tcW w:w="1095" w:type="dxa"/>
          </w:tcPr>
          <w:p w14:paraId="00D903E1">
            <w:pPr>
              <w:keepNext w:val="0"/>
              <w:keepLines w:val="0"/>
              <w:pageBreakBefore w:val="0"/>
              <w:widowControl w:val="0"/>
              <w:tabs>
                <w:tab w:val="left" w:pos="210"/>
              </w:tabs>
              <w:kinsoku/>
              <w:wordWrap w:val="0"/>
              <w:overflowPunct/>
              <w:topLinePunct/>
              <w:autoSpaceDE/>
              <w:autoSpaceDN/>
              <w:bidi w:val="0"/>
              <w:adjustRightInd/>
              <w:snapToGrid/>
              <w:spacing w:line="360" w:lineRule="auto"/>
              <w:ind w:left="0" w:leftChars="0" w:firstLine="0" w:firstLineChars="0"/>
              <w:jc w:val="center"/>
              <w:textAlignment w:val="auto"/>
              <w:rPr>
                <w:rFonts w:hint="eastAsia" w:ascii="仿宋" w:hAnsi="仿宋" w:eastAsia="仿宋" w:cs="仿宋"/>
                <w:sz w:val="21"/>
                <w:szCs w:val="21"/>
                <w:highlight w:val="none"/>
                <w:lang w:eastAsia="zh-CN"/>
              </w:rPr>
            </w:pPr>
          </w:p>
        </w:tc>
        <w:tc>
          <w:tcPr>
            <w:tcW w:w="1140" w:type="dxa"/>
          </w:tcPr>
          <w:p w14:paraId="5E957620">
            <w:pPr>
              <w:keepNext w:val="0"/>
              <w:keepLines w:val="0"/>
              <w:pageBreakBefore w:val="0"/>
              <w:widowControl w:val="0"/>
              <w:tabs>
                <w:tab w:val="left" w:pos="210"/>
              </w:tabs>
              <w:kinsoku/>
              <w:wordWrap w:val="0"/>
              <w:overflowPunct/>
              <w:topLinePunct/>
              <w:autoSpaceDE/>
              <w:autoSpaceDN/>
              <w:bidi w:val="0"/>
              <w:adjustRightInd/>
              <w:snapToGrid/>
              <w:spacing w:line="360" w:lineRule="auto"/>
              <w:ind w:left="0" w:leftChars="0" w:firstLine="0" w:firstLineChars="0"/>
              <w:jc w:val="center"/>
              <w:textAlignment w:val="auto"/>
              <w:rPr>
                <w:rFonts w:hint="eastAsia" w:ascii="仿宋" w:hAnsi="仿宋" w:eastAsia="仿宋" w:cs="仿宋"/>
                <w:sz w:val="21"/>
                <w:szCs w:val="21"/>
                <w:highlight w:val="none"/>
                <w:lang w:eastAsia="zh-CN"/>
              </w:rPr>
            </w:pPr>
          </w:p>
        </w:tc>
        <w:tc>
          <w:tcPr>
            <w:tcW w:w="1741" w:type="dxa"/>
          </w:tcPr>
          <w:p w14:paraId="470CBD62">
            <w:pPr>
              <w:keepNext w:val="0"/>
              <w:keepLines w:val="0"/>
              <w:pageBreakBefore w:val="0"/>
              <w:widowControl w:val="0"/>
              <w:tabs>
                <w:tab w:val="left" w:pos="210"/>
              </w:tabs>
              <w:kinsoku/>
              <w:wordWrap w:val="0"/>
              <w:overflowPunct/>
              <w:topLinePunct/>
              <w:autoSpaceDE/>
              <w:autoSpaceDN/>
              <w:bidi w:val="0"/>
              <w:adjustRightInd/>
              <w:snapToGrid/>
              <w:spacing w:line="360" w:lineRule="auto"/>
              <w:ind w:left="0" w:leftChars="0" w:firstLine="0" w:firstLineChars="0"/>
              <w:jc w:val="center"/>
              <w:textAlignment w:val="auto"/>
              <w:rPr>
                <w:rFonts w:hint="eastAsia" w:ascii="仿宋" w:hAnsi="仿宋" w:eastAsia="仿宋" w:cs="仿宋"/>
                <w:sz w:val="21"/>
                <w:szCs w:val="21"/>
                <w:highlight w:val="none"/>
                <w:lang w:eastAsia="zh-CN"/>
              </w:rPr>
            </w:pPr>
          </w:p>
        </w:tc>
      </w:tr>
      <w:tr w14:paraId="4414F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9627" w:type="dxa"/>
            <w:gridSpan w:val="7"/>
            <w:vAlign w:val="center"/>
          </w:tcPr>
          <w:p w14:paraId="10773552">
            <w:pPr>
              <w:keepNext w:val="0"/>
              <w:keepLines w:val="0"/>
              <w:pageBreakBefore w:val="0"/>
              <w:widowControl w:val="0"/>
              <w:tabs>
                <w:tab w:val="left" w:pos="210"/>
              </w:tabs>
              <w:kinsoku/>
              <w:wordWrap w:val="0"/>
              <w:overflowPunct/>
              <w:topLinePunct/>
              <w:autoSpaceDE/>
              <w:autoSpaceDN/>
              <w:bidi w:val="0"/>
              <w:adjustRightInd/>
              <w:snapToGrid/>
              <w:spacing w:line="360" w:lineRule="auto"/>
              <w:ind w:left="0" w:leftChars="0" w:firstLine="0" w:firstLineChars="0"/>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合计</w:t>
            </w:r>
          </w:p>
        </w:tc>
      </w:tr>
    </w:tbl>
    <w:p w14:paraId="57100C81">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
        </w:rPr>
        <w:t>4</w:t>
      </w:r>
      <w:r>
        <w:rPr>
          <w:rFonts w:hint="eastAsia" w:ascii="仿宋" w:hAnsi="仿宋" w:eastAsia="仿宋" w:cs="仿宋"/>
          <w:color w:val="auto"/>
          <w:sz w:val="21"/>
          <w:szCs w:val="21"/>
          <w:highlight w:val="none"/>
        </w:rPr>
        <w:t>）政府采购组织形式：</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政府集中采购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部门集中采购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分散采购</w:t>
      </w:r>
    </w:p>
    <w:p w14:paraId="3D9DBB7A">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
        </w:rPr>
        <w:t>5</w:t>
      </w:r>
      <w:r>
        <w:rPr>
          <w:rFonts w:hint="eastAsia" w:ascii="仿宋" w:hAnsi="仿宋" w:eastAsia="仿宋" w:cs="仿宋"/>
          <w:color w:val="auto"/>
          <w:sz w:val="21"/>
          <w:szCs w:val="21"/>
          <w:highlight w:val="none"/>
        </w:rPr>
        <w:t>）政府采购方式：</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公开招标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邀请招标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竞争性谈判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竞争性磋商</w:t>
      </w:r>
    </w:p>
    <w:p w14:paraId="5AB4781B">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询价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单一来源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框架协议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其他：          </w:t>
      </w:r>
    </w:p>
    <w:p w14:paraId="7EA6C362">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（注：在框架协议采购的第二阶段，可选择使用该合同文本）</w:t>
      </w:r>
    </w:p>
    <w:p w14:paraId="58656CAB">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
        </w:rPr>
        <w:t>6</w:t>
      </w:r>
      <w:r>
        <w:rPr>
          <w:rFonts w:hint="eastAsia" w:ascii="仿宋" w:hAnsi="仿宋" w:eastAsia="仿宋" w:cs="仿宋"/>
          <w:color w:val="auto"/>
          <w:sz w:val="21"/>
          <w:szCs w:val="21"/>
          <w:highlight w:val="none"/>
        </w:rPr>
        <w:t>）中标（成交）采购标的制造商是否为中小企业：</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是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否</w:t>
      </w:r>
    </w:p>
    <w:p w14:paraId="74E9DE37">
      <w:pPr>
        <w:keepNext w:val="0"/>
        <w:keepLines w:val="0"/>
        <w:pageBreakBefore w:val="0"/>
        <w:widowControl w:val="0"/>
        <w:kinsoku/>
        <w:wordWrap w:val="0"/>
        <w:overflowPunct/>
        <w:topLinePunct/>
        <w:autoSpaceDE/>
        <w:autoSpaceDN/>
        <w:bidi w:val="0"/>
        <w:adjustRightInd/>
        <w:snapToGrid/>
        <w:spacing w:line="360" w:lineRule="auto"/>
        <w:ind w:left="0" w:leftChars="0" w:firstLine="840" w:firstLineChars="4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本合同是否为专门面向中小企业的采购合同（中小企业预留合同）：</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是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否</w:t>
      </w:r>
    </w:p>
    <w:p w14:paraId="5E7602CF">
      <w:pPr>
        <w:keepNext w:val="0"/>
        <w:keepLines w:val="0"/>
        <w:pageBreakBefore w:val="0"/>
        <w:widowControl w:val="0"/>
        <w:kinsoku/>
        <w:wordWrap w:val="0"/>
        <w:overflowPunct/>
        <w:topLinePunct/>
        <w:autoSpaceDE/>
        <w:autoSpaceDN/>
        <w:bidi w:val="0"/>
        <w:adjustRightInd/>
        <w:snapToGrid/>
        <w:spacing w:line="360" w:lineRule="auto"/>
        <w:ind w:left="0" w:leftChars="0" w:firstLine="840" w:firstLineChars="4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若本项目不专门面向中小企业采购，是否给予小微企业评审优惠：</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是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否</w:t>
      </w:r>
    </w:p>
    <w:p w14:paraId="11471300">
      <w:pPr>
        <w:keepNext w:val="0"/>
        <w:keepLines w:val="0"/>
        <w:pageBreakBefore w:val="0"/>
        <w:widowControl w:val="0"/>
        <w:kinsoku/>
        <w:wordWrap w:val="0"/>
        <w:overflowPunct/>
        <w:topLinePunct/>
        <w:autoSpaceDE/>
        <w:autoSpaceDN/>
        <w:bidi w:val="0"/>
        <w:adjustRightInd/>
        <w:snapToGrid/>
        <w:spacing w:line="360" w:lineRule="auto"/>
        <w:ind w:left="0" w:leftChars="0" w:firstLine="840" w:firstLineChars="4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中标（成交）采购标的制造商是否为残疾人福利性单位：</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是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否</w:t>
      </w:r>
    </w:p>
    <w:p w14:paraId="4230C9BB">
      <w:pPr>
        <w:keepNext w:val="0"/>
        <w:keepLines w:val="0"/>
        <w:pageBreakBefore w:val="0"/>
        <w:widowControl w:val="0"/>
        <w:kinsoku/>
        <w:wordWrap w:val="0"/>
        <w:overflowPunct/>
        <w:topLinePunct/>
        <w:autoSpaceDE/>
        <w:autoSpaceDN/>
        <w:bidi w:val="0"/>
        <w:adjustRightInd/>
        <w:snapToGrid/>
        <w:spacing w:line="360" w:lineRule="auto"/>
        <w:ind w:left="0" w:leftChars="0" w:firstLine="840" w:firstLineChars="4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中标（成交）采购标的制造商是否为监狱企业：</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是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否</w:t>
      </w:r>
    </w:p>
    <w:p w14:paraId="22C0E270">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
        </w:rPr>
        <w:t>7</w:t>
      </w:r>
      <w:r>
        <w:rPr>
          <w:rFonts w:hint="eastAsia" w:ascii="仿宋" w:hAnsi="仿宋" w:eastAsia="仿宋" w:cs="仿宋"/>
          <w:color w:val="auto"/>
          <w:sz w:val="21"/>
          <w:szCs w:val="21"/>
          <w:highlight w:val="none"/>
        </w:rPr>
        <w:t>）合同是否分包：</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是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否</w:t>
      </w:r>
    </w:p>
    <w:p w14:paraId="5FD2B3A2">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 分包主要内容：</w:t>
      </w:r>
      <w:r>
        <w:rPr>
          <w:rFonts w:hint="eastAsia" w:ascii="仿宋" w:hAnsi="仿宋" w:eastAsia="仿宋" w:cs="仿宋"/>
          <w:color w:val="auto"/>
          <w:sz w:val="21"/>
          <w:szCs w:val="21"/>
          <w:highlight w:val="none"/>
          <w:u w:val="single"/>
        </w:rPr>
        <w:t xml:space="preserve">                                                  </w:t>
      </w:r>
    </w:p>
    <w:p w14:paraId="22EB4896">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分包</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/制造商名称（如</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和制造商不同，请分别填写）：</w:t>
      </w:r>
    </w:p>
    <w:p w14:paraId="3402D4B7">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                                                                 </w:t>
      </w:r>
    </w:p>
    <w:p w14:paraId="048114CF">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分包</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/制造商类型（如果</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和制造商不同，只填写制造商类型）：</w:t>
      </w:r>
    </w:p>
    <w:p w14:paraId="22F66C28">
      <w:pPr>
        <w:keepNext w:val="0"/>
        <w:keepLines w:val="0"/>
        <w:pageBreakBefore w:val="0"/>
        <w:widowControl w:val="0"/>
        <w:kinsoku/>
        <w:wordWrap w:val="0"/>
        <w:overflowPunct/>
        <w:topLinePunct/>
        <w:autoSpaceDE/>
        <w:autoSpaceDN/>
        <w:bidi w:val="0"/>
        <w:adjustRightInd/>
        <w:snapToGrid/>
        <w:spacing w:line="360" w:lineRule="auto"/>
        <w:ind w:left="0" w:leftChars="0" w:firstLine="840" w:firstLineChars="4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大型企业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中型企业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小微型企业  </w:t>
      </w:r>
    </w:p>
    <w:p w14:paraId="29B1816C">
      <w:pPr>
        <w:keepNext w:val="0"/>
        <w:keepLines w:val="0"/>
        <w:pageBreakBefore w:val="0"/>
        <w:widowControl w:val="0"/>
        <w:kinsoku/>
        <w:wordWrap w:val="0"/>
        <w:overflowPunct/>
        <w:topLinePunct/>
        <w:autoSpaceDE/>
        <w:autoSpaceDN/>
        <w:bidi w:val="0"/>
        <w:adjustRightInd/>
        <w:snapToGrid/>
        <w:spacing w:line="360" w:lineRule="auto"/>
        <w:ind w:left="0" w:leftChars="0" w:firstLine="840" w:firstLineChars="4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残疾人福利性单位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监狱企业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其他</w:t>
      </w:r>
    </w:p>
    <w:p w14:paraId="52B3C567">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
        </w:rPr>
        <w:t>8</w:t>
      </w:r>
      <w:r>
        <w:rPr>
          <w:rFonts w:hint="eastAsia" w:ascii="仿宋" w:hAnsi="仿宋" w:eastAsia="仿宋" w:cs="仿宋"/>
          <w:color w:val="auto"/>
          <w:sz w:val="21"/>
          <w:szCs w:val="21"/>
          <w:highlight w:val="none"/>
        </w:rPr>
        <w:t>）中标（成交）</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是否为外商投资企业：</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是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否</w:t>
      </w:r>
    </w:p>
    <w:p w14:paraId="6915E1B4">
      <w:pPr>
        <w:keepNext w:val="0"/>
        <w:keepLines w:val="0"/>
        <w:pageBreakBefore w:val="0"/>
        <w:widowControl w:val="0"/>
        <w:kinsoku/>
        <w:wordWrap w:val="0"/>
        <w:overflowPunct/>
        <w:topLinePunct/>
        <w:autoSpaceDE/>
        <w:autoSpaceDN/>
        <w:bidi w:val="0"/>
        <w:adjustRightInd/>
        <w:snapToGrid/>
        <w:spacing w:line="360" w:lineRule="auto"/>
        <w:ind w:left="0" w:leftChars="0" w:firstLine="840" w:firstLineChars="4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外商投资企业类型：</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全部由外国投资者投资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部分由外国投资者投资</w:t>
      </w:r>
    </w:p>
    <w:p w14:paraId="0595F0ED">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
        </w:rPr>
        <w:t>9</w:t>
      </w:r>
      <w:r>
        <w:rPr>
          <w:rFonts w:hint="eastAsia" w:ascii="仿宋" w:hAnsi="仿宋" w:eastAsia="仿宋" w:cs="仿宋"/>
          <w:color w:val="auto"/>
          <w:sz w:val="21"/>
          <w:szCs w:val="21"/>
          <w:highlight w:val="none"/>
        </w:rPr>
        <w:t>）是否涉及进口产品：</w:t>
      </w:r>
    </w:p>
    <w:p w14:paraId="73B6AD6D">
      <w:pPr>
        <w:keepNext w:val="0"/>
        <w:keepLines w:val="0"/>
        <w:pageBreakBefore w:val="0"/>
        <w:widowControl w:val="0"/>
        <w:kinsoku/>
        <w:wordWrap w:val="0"/>
        <w:overflowPunct/>
        <w:topLinePunct/>
        <w:autoSpaceDE/>
        <w:autoSpaceDN/>
        <w:bidi w:val="0"/>
        <w:adjustRightInd/>
        <w:snapToGrid/>
        <w:spacing w:line="360" w:lineRule="auto"/>
        <w:ind w:left="1470" w:leftChars="0" w:hanging="1470" w:hangingChars="700"/>
        <w:jc w:val="left"/>
        <w:textAlignment w:val="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是，《政府采购品目分类目录》底级品目名称：</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 金额：</w:t>
      </w:r>
      <w:r>
        <w:rPr>
          <w:rFonts w:hint="eastAsia" w:ascii="仿宋" w:hAnsi="仿宋" w:eastAsia="仿宋" w:cs="仿宋"/>
          <w:color w:val="auto"/>
          <w:sz w:val="21"/>
          <w:szCs w:val="21"/>
          <w:highlight w:val="none"/>
          <w:u w:val="single"/>
        </w:rPr>
        <w:t xml:space="preserve">          </w:t>
      </w:r>
    </w:p>
    <w:p w14:paraId="40AD9AC9">
      <w:pPr>
        <w:keepNext w:val="0"/>
        <w:keepLines w:val="0"/>
        <w:pageBreakBefore w:val="0"/>
        <w:widowControl w:val="0"/>
        <w:kinsoku/>
        <w:wordWrap w:val="0"/>
        <w:overflowPunct/>
        <w:topLinePunct/>
        <w:autoSpaceDE/>
        <w:autoSpaceDN/>
        <w:bidi w:val="0"/>
        <w:adjustRightInd/>
        <w:snapToGrid/>
        <w:spacing w:line="360" w:lineRule="auto"/>
        <w:ind w:left="0" w:leftChars="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国别：</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 品牌：</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 规格型号：</w:t>
      </w:r>
      <w:r>
        <w:rPr>
          <w:rFonts w:hint="eastAsia" w:ascii="仿宋" w:hAnsi="仿宋" w:eastAsia="仿宋" w:cs="仿宋"/>
          <w:color w:val="auto"/>
          <w:sz w:val="21"/>
          <w:szCs w:val="21"/>
          <w:highlight w:val="none"/>
          <w:u w:val="single"/>
        </w:rPr>
        <w:t xml:space="preserve">           </w:t>
      </w:r>
    </w:p>
    <w:p w14:paraId="2705DFB0">
      <w:pPr>
        <w:keepNext w:val="0"/>
        <w:keepLines w:val="0"/>
        <w:pageBreakBefore w:val="0"/>
        <w:widowControl w:val="0"/>
        <w:kinsoku/>
        <w:wordWrap w:val="0"/>
        <w:overflowPunct/>
        <w:topLinePunct/>
        <w:autoSpaceDE/>
        <w:autoSpaceDN/>
        <w:bidi w:val="0"/>
        <w:adjustRightInd/>
        <w:snapToGrid/>
        <w:spacing w:line="360" w:lineRule="auto"/>
        <w:ind w:left="0" w:leftChars="0" w:firstLine="840" w:firstLineChars="4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否</w:t>
      </w:r>
    </w:p>
    <w:p w14:paraId="166F7780">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
        </w:rPr>
        <w:t>0</w:t>
      </w:r>
      <w:r>
        <w:rPr>
          <w:rFonts w:hint="eastAsia" w:ascii="仿宋" w:hAnsi="仿宋" w:eastAsia="仿宋" w:cs="仿宋"/>
          <w:color w:val="auto"/>
          <w:sz w:val="21"/>
          <w:szCs w:val="21"/>
          <w:highlight w:val="none"/>
        </w:rPr>
        <w:t>）是否涉及节能产品：</w:t>
      </w:r>
    </w:p>
    <w:p w14:paraId="1E1A04AB">
      <w:pPr>
        <w:keepNext w:val="0"/>
        <w:keepLines w:val="0"/>
        <w:pageBreakBefore w:val="0"/>
        <w:widowControl w:val="0"/>
        <w:kinsoku/>
        <w:wordWrap w:val="0"/>
        <w:overflowPunct/>
        <w:topLinePunct/>
        <w:autoSpaceDE/>
        <w:autoSpaceDN/>
        <w:bidi w:val="0"/>
        <w:adjustRightInd/>
        <w:snapToGrid/>
        <w:spacing w:line="360" w:lineRule="auto"/>
        <w:ind w:left="0" w:leftChars="0" w:firstLine="840" w:firstLineChars="400"/>
        <w:jc w:val="left"/>
        <w:textAlignment w:val="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是，《节能产品政府采购品目清单》的底级品目名称：</w:t>
      </w:r>
      <w:r>
        <w:rPr>
          <w:rFonts w:hint="eastAsia" w:ascii="仿宋" w:hAnsi="仿宋" w:eastAsia="仿宋" w:cs="仿宋"/>
          <w:color w:val="auto"/>
          <w:sz w:val="21"/>
          <w:szCs w:val="21"/>
          <w:highlight w:val="none"/>
          <w:u w:val="single"/>
        </w:rPr>
        <w:t xml:space="preserve">              </w:t>
      </w:r>
    </w:p>
    <w:p w14:paraId="1D1D167C">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强制采购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优先采购    </w:t>
      </w:r>
    </w:p>
    <w:p w14:paraId="2197F6EA">
      <w:pPr>
        <w:keepNext w:val="0"/>
        <w:keepLines w:val="0"/>
        <w:pageBreakBefore w:val="0"/>
        <w:widowControl w:val="0"/>
        <w:kinsoku/>
        <w:wordWrap w:val="0"/>
        <w:overflowPunct/>
        <w:topLinePunct/>
        <w:autoSpaceDE/>
        <w:autoSpaceDN/>
        <w:bidi w:val="0"/>
        <w:adjustRightInd/>
        <w:snapToGrid/>
        <w:spacing w:line="360" w:lineRule="auto"/>
        <w:ind w:left="0" w:leftChars="0" w:firstLine="840" w:firstLineChars="4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否</w:t>
      </w:r>
    </w:p>
    <w:p w14:paraId="5D162011">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p>
    <w:p w14:paraId="271C4801">
      <w:pPr>
        <w:keepNext w:val="0"/>
        <w:keepLines w:val="0"/>
        <w:pageBreakBefore w:val="0"/>
        <w:widowControl w:val="0"/>
        <w:kinsoku/>
        <w:wordWrap w:val="0"/>
        <w:overflowPunct/>
        <w:topLinePunct/>
        <w:autoSpaceDE/>
        <w:autoSpaceDN/>
        <w:bidi w:val="0"/>
        <w:adjustRightInd/>
        <w:snapToGrid/>
        <w:spacing w:line="360" w:lineRule="auto"/>
        <w:ind w:left="0" w:leftChars="0" w:firstLine="840" w:firstLineChars="4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是否涉及环境标志产品：</w:t>
      </w:r>
    </w:p>
    <w:p w14:paraId="52519783">
      <w:pPr>
        <w:keepNext w:val="0"/>
        <w:keepLines w:val="0"/>
        <w:pageBreakBefore w:val="0"/>
        <w:widowControl w:val="0"/>
        <w:kinsoku/>
        <w:wordWrap w:val="0"/>
        <w:overflowPunct/>
        <w:topLinePunct/>
        <w:autoSpaceDE/>
        <w:autoSpaceDN/>
        <w:bidi w:val="0"/>
        <w:adjustRightInd/>
        <w:snapToGrid/>
        <w:spacing w:line="360" w:lineRule="auto"/>
        <w:ind w:left="0" w:leftChars="0" w:firstLine="840" w:firstLineChars="400"/>
        <w:jc w:val="left"/>
        <w:textAlignment w:val="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是，《环境标志产品政府采购品目清单》的底级品目名称：</w:t>
      </w:r>
      <w:r>
        <w:rPr>
          <w:rFonts w:hint="eastAsia" w:ascii="仿宋" w:hAnsi="仿宋" w:eastAsia="仿宋" w:cs="仿宋"/>
          <w:color w:val="auto"/>
          <w:sz w:val="21"/>
          <w:szCs w:val="21"/>
          <w:highlight w:val="none"/>
          <w:u w:val="single"/>
        </w:rPr>
        <w:t xml:space="preserve">          </w:t>
      </w:r>
    </w:p>
    <w:p w14:paraId="1C05FBC0">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强制采购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优先采购    </w:t>
      </w:r>
    </w:p>
    <w:p w14:paraId="3F7E1FEE">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否</w:t>
      </w:r>
    </w:p>
    <w:p w14:paraId="601FEBED">
      <w:pPr>
        <w:keepNext w:val="0"/>
        <w:keepLines w:val="0"/>
        <w:pageBreakBefore w:val="0"/>
        <w:widowControl w:val="0"/>
        <w:kinsoku/>
        <w:wordWrap w:val="0"/>
        <w:overflowPunct/>
        <w:topLinePunct/>
        <w:autoSpaceDE/>
        <w:autoSpaceDN/>
        <w:bidi w:val="0"/>
        <w:adjustRightInd/>
        <w:snapToGrid/>
        <w:spacing w:line="360" w:lineRule="auto"/>
        <w:ind w:left="0" w:leftChars="0" w:firstLine="840" w:firstLineChars="400"/>
        <w:jc w:val="left"/>
        <w:textAlignment w:val="auto"/>
        <w:rPr>
          <w:rFonts w:hint="eastAsia" w:ascii="仿宋" w:hAnsi="仿宋" w:eastAsia="仿宋" w:cs="仿宋"/>
          <w:color w:val="auto"/>
          <w:sz w:val="21"/>
          <w:szCs w:val="21"/>
          <w:highlight w:val="none"/>
        </w:rPr>
      </w:pPr>
    </w:p>
    <w:p w14:paraId="6C22C9A6">
      <w:pPr>
        <w:keepNext w:val="0"/>
        <w:keepLines w:val="0"/>
        <w:pageBreakBefore w:val="0"/>
        <w:widowControl w:val="0"/>
        <w:kinsoku/>
        <w:wordWrap w:val="0"/>
        <w:overflowPunct/>
        <w:topLinePunct/>
        <w:autoSpaceDE/>
        <w:autoSpaceDN/>
        <w:bidi w:val="0"/>
        <w:adjustRightInd/>
        <w:snapToGrid/>
        <w:spacing w:line="360" w:lineRule="auto"/>
        <w:ind w:left="0" w:leftChars="0" w:firstLine="840" w:firstLineChars="4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是否涉及绿色产品： </w:t>
      </w:r>
    </w:p>
    <w:p w14:paraId="0AEE2B0B">
      <w:pPr>
        <w:keepNext w:val="0"/>
        <w:keepLines w:val="0"/>
        <w:pageBreakBefore w:val="0"/>
        <w:widowControl w:val="0"/>
        <w:kinsoku/>
        <w:wordWrap w:val="0"/>
        <w:overflowPunct/>
        <w:topLinePunct/>
        <w:autoSpaceDE/>
        <w:autoSpaceDN/>
        <w:bidi w:val="0"/>
        <w:adjustRightInd/>
        <w:snapToGrid/>
        <w:spacing w:line="360" w:lineRule="auto"/>
        <w:ind w:left="0" w:leftChars="0" w:firstLine="1260" w:firstLineChars="600"/>
        <w:jc w:val="left"/>
        <w:textAlignment w:val="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是，绿色产品政府采购相关政策确定的底级品目名称：</w:t>
      </w:r>
      <w:r>
        <w:rPr>
          <w:rFonts w:hint="eastAsia" w:ascii="仿宋" w:hAnsi="仿宋" w:eastAsia="仿宋" w:cs="仿宋"/>
          <w:color w:val="auto"/>
          <w:sz w:val="21"/>
          <w:szCs w:val="21"/>
          <w:highlight w:val="none"/>
          <w:u w:val="single"/>
        </w:rPr>
        <w:t xml:space="preserve">         </w:t>
      </w:r>
    </w:p>
    <w:p w14:paraId="0722F62D">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强制采购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优先采购    </w:t>
      </w:r>
    </w:p>
    <w:p w14:paraId="0EC89E10">
      <w:pPr>
        <w:keepNext w:val="0"/>
        <w:keepLines w:val="0"/>
        <w:pageBreakBefore w:val="0"/>
        <w:widowControl w:val="0"/>
        <w:kinsoku/>
        <w:wordWrap w:val="0"/>
        <w:overflowPunct/>
        <w:topLinePunct/>
        <w:autoSpaceDE/>
        <w:autoSpaceDN/>
        <w:bidi w:val="0"/>
        <w:adjustRightInd/>
        <w:snapToGrid/>
        <w:spacing w:line="360" w:lineRule="auto"/>
        <w:ind w:left="0" w:leftChars="0" w:firstLine="1260" w:firstLineChars="6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否</w:t>
      </w:r>
    </w:p>
    <w:p w14:paraId="028E9F9A">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
        </w:rPr>
        <w:t>1</w:t>
      </w:r>
      <w:r>
        <w:rPr>
          <w:rFonts w:hint="eastAsia" w:ascii="仿宋" w:hAnsi="仿宋" w:eastAsia="仿宋" w:cs="仿宋"/>
          <w:color w:val="auto"/>
          <w:sz w:val="21"/>
          <w:szCs w:val="21"/>
          <w:highlight w:val="none"/>
        </w:rPr>
        <w:t>）涉及商品包装和快递包装的，是否参考《商品包装政府采购需求标准（试行）》《快递包装政府采购需求标准（试行）》明确产品及相关快递服务的具体包装要求：</w:t>
      </w:r>
    </w:p>
    <w:p w14:paraId="0BCF3D12">
      <w:pPr>
        <w:keepNext w:val="0"/>
        <w:keepLines w:val="0"/>
        <w:pageBreakBefore w:val="0"/>
        <w:widowControl w:val="0"/>
        <w:kinsoku/>
        <w:wordWrap w:val="0"/>
        <w:overflowPunct/>
        <w:topLinePunct/>
        <w:autoSpaceDE/>
        <w:autoSpaceDN/>
        <w:bidi w:val="0"/>
        <w:adjustRightInd/>
        <w:snapToGrid/>
        <w:spacing w:line="360" w:lineRule="auto"/>
        <w:ind w:left="0" w:leftChars="0" w:firstLine="1260" w:firstLineChars="6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是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否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不涉及</w:t>
      </w:r>
    </w:p>
    <w:p w14:paraId="1B53BFEE">
      <w:pPr>
        <w:pStyle w:val="6"/>
        <w:keepNext w:val="0"/>
        <w:keepLines w:val="0"/>
        <w:pageBreakBefore w:val="0"/>
        <w:widowControl w:val="0"/>
        <w:kinsoku/>
        <w:wordWrap w:val="0"/>
        <w:overflowPunct/>
        <w:topLinePunct/>
        <w:autoSpaceDE/>
        <w:autoSpaceDN/>
        <w:bidi w:val="0"/>
        <w:adjustRightInd/>
        <w:snapToGrid/>
        <w:spacing w:line="360" w:lineRule="auto"/>
        <w:ind w:left="0" w:leftChars="0"/>
        <w:textAlignment w:val="auto"/>
        <w:outlineLvl w:val="2"/>
        <w:rPr>
          <w:rFonts w:hint="eastAsia" w:ascii="仿宋" w:hAnsi="仿宋" w:eastAsia="仿宋" w:cs="仿宋"/>
          <w:color w:val="auto"/>
          <w:sz w:val="21"/>
          <w:szCs w:val="21"/>
          <w:highlight w:val="none"/>
        </w:rPr>
      </w:pPr>
      <w:bookmarkStart w:id="1303" w:name="_Toc21390"/>
      <w:bookmarkStart w:id="1304" w:name="_Toc17550"/>
      <w:r>
        <w:rPr>
          <w:rFonts w:hint="eastAsia" w:ascii="仿宋" w:hAnsi="仿宋" w:eastAsia="仿宋" w:cs="仿宋"/>
          <w:color w:val="auto"/>
          <w:sz w:val="21"/>
          <w:szCs w:val="21"/>
          <w:highlight w:val="none"/>
        </w:rPr>
        <w:t>2.合同金额</w:t>
      </w:r>
      <w:bookmarkEnd w:id="1303"/>
      <w:bookmarkEnd w:id="1304"/>
    </w:p>
    <w:p w14:paraId="615447B5">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（1）合同金额小写：</w:t>
      </w:r>
      <w:r>
        <w:rPr>
          <w:rFonts w:hint="eastAsia" w:ascii="仿宋" w:hAnsi="仿宋" w:eastAsia="仿宋" w:cs="仿宋"/>
          <w:color w:val="auto"/>
          <w:sz w:val="21"/>
          <w:szCs w:val="21"/>
          <w:highlight w:val="none"/>
          <w:u w:val="single"/>
        </w:rPr>
        <w:t xml:space="preserve">                                                  </w:t>
      </w:r>
    </w:p>
    <w:p w14:paraId="614FD745">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大写：</w:t>
      </w:r>
      <w:r>
        <w:rPr>
          <w:rFonts w:hint="eastAsia" w:ascii="仿宋" w:hAnsi="仿宋" w:eastAsia="仿宋" w:cs="仿宋"/>
          <w:color w:val="auto"/>
          <w:sz w:val="21"/>
          <w:szCs w:val="21"/>
          <w:highlight w:val="none"/>
          <w:u w:val="single"/>
        </w:rPr>
        <w:t xml:space="preserve">                                                  </w:t>
      </w:r>
    </w:p>
    <w:p w14:paraId="65FA2648">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分包金额（如有）小写：</w:t>
      </w:r>
      <w:r>
        <w:rPr>
          <w:rFonts w:hint="eastAsia" w:ascii="仿宋" w:hAnsi="仿宋" w:eastAsia="仿宋" w:cs="仿宋"/>
          <w:color w:val="auto"/>
          <w:sz w:val="21"/>
          <w:szCs w:val="21"/>
          <w:highlight w:val="none"/>
          <w:u w:val="single"/>
        </w:rPr>
        <w:t xml:space="preserve">                                          </w:t>
      </w:r>
    </w:p>
    <w:p w14:paraId="14D86D04">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大写：</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             </w:t>
      </w:r>
    </w:p>
    <w:p w14:paraId="63D72F7E">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（注：固定单价合同应填写单价和最高限价）</w:t>
      </w:r>
    </w:p>
    <w:p w14:paraId="4BB02B70">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（2）合同定价方式（采用组合定价方式的，可以勾选多项）：</w:t>
      </w:r>
    </w:p>
    <w:p w14:paraId="3D4CA46E">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固定总价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固定单价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固定费率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成本补偿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绩效激励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其他 </w:t>
      </w:r>
    </w:p>
    <w:p w14:paraId="5F9424E0">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（3）付款方式（按项目实际勾选填写）：</w:t>
      </w:r>
    </w:p>
    <w:p w14:paraId="426C5565">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rPr>
        <w:sym w:font="Wingdings" w:char="00A8"/>
      </w:r>
      <w:r>
        <w:rPr>
          <w:rFonts w:hint="eastAsia" w:ascii="仿宋" w:hAnsi="仿宋" w:eastAsia="仿宋" w:cs="仿宋"/>
          <w:i w:val="0"/>
          <w:iCs w:val="0"/>
          <w:color w:val="auto"/>
          <w:sz w:val="21"/>
          <w:szCs w:val="21"/>
          <w:highlight w:val="none"/>
        </w:rPr>
        <w:t>全额付款：</w:t>
      </w:r>
      <w:r>
        <w:rPr>
          <w:rFonts w:hint="eastAsia" w:ascii="仿宋" w:hAnsi="仿宋" w:eastAsia="仿宋" w:cs="仿宋"/>
          <w:i w:val="0"/>
          <w:iCs w:val="0"/>
          <w:color w:val="auto"/>
          <w:sz w:val="21"/>
          <w:szCs w:val="21"/>
          <w:highlight w:val="none"/>
          <w:lang w:eastAsia="zh-CN"/>
        </w:rPr>
        <w:t>设备安装调试并由医院组织验收合格、使用人员进行培训，并提供仪器操作规程后60天内支付合同总金额的</w:t>
      </w:r>
      <w:r>
        <w:rPr>
          <w:rFonts w:hint="eastAsia" w:ascii="仿宋" w:hAnsi="仿宋" w:eastAsia="仿宋" w:cs="仿宋"/>
          <w:i w:val="0"/>
          <w:iCs w:val="0"/>
          <w:color w:val="auto"/>
          <w:sz w:val="21"/>
          <w:szCs w:val="21"/>
          <w:highlight w:val="none"/>
          <w:u w:val="single"/>
          <w:lang w:val="en-US" w:eastAsia="zh-CN"/>
        </w:rPr>
        <w:t xml:space="preserve">   </w:t>
      </w:r>
      <w:r>
        <w:rPr>
          <w:rFonts w:hint="eastAsia" w:ascii="仿宋" w:hAnsi="仿宋" w:eastAsia="仿宋" w:cs="仿宋"/>
          <w:i w:val="0"/>
          <w:iCs w:val="0"/>
          <w:color w:val="auto"/>
          <w:sz w:val="21"/>
          <w:szCs w:val="21"/>
          <w:highlight w:val="none"/>
          <w:lang w:eastAsia="zh-CN"/>
        </w:rPr>
        <w:t>%（人民币：</w:t>
      </w:r>
      <w:r>
        <w:rPr>
          <w:rFonts w:hint="eastAsia" w:ascii="仿宋" w:hAnsi="仿宋" w:eastAsia="仿宋" w:cs="仿宋"/>
          <w:i w:val="0"/>
          <w:iCs w:val="0"/>
          <w:color w:val="auto"/>
          <w:sz w:val="21"/>
          <w:szCs w:val="21"/>
          <w:highlight w:val="none"/>
          <w:u w:val="single"/>
          <w:lang w:val="en-US" w:eastAsia="zh-CN"/>
        </w:rPr>
        <w:t xml:space="preserve">     </w:t>
      </w:r>
      <w:r>
        <w:rPr>
          <w:rFonts w:hint="eastAsia" w:ascii="仿宋" w:hAnsi="仿宋" w:eastAsia="仿宋" w:cs="仿宋"/>
          <w:i w:val="0"/>
          <w:iCs w:val="0"/>
          <w:color w:val="auto"/>
          <w:sz w:val="21"/>
          <w:szCs w:val="21"/>
          <w:highlight w:val="none"/>
          <w:lang w:eastAsia="zh-CN"/>
        </w:rPr>
        <w:t>元；大写：</w:t>
      </w:r>
      <w:r>
        <w:rPr>
          <w:rFonts w:hint="eastAsia" w:ascii="仿宋" w:hAnsi="仿宋" w:eastAsia="仿宋" w:cs="仿宋"/>
          <w:i w:val="0"/>
          <w:iCs w:val="0"/>
          <w:color w:val="auto"/>
          <w:sz w:val="21"/>
          <w:szCs w:val="21"/>
          <w:highlight w:val="none"/>
          <w:u w:val="single"/>
          <w:lang w:val="en-US" w:eastAsia="zh-CN"/>
        </w:rPr>
        <w:t xml:space="preserve">     </w:t>
      </w:r>
      <w:r>
        <w:rPr>
          <w:rFonts w:hint="eastAsia" w:ascii="仿宋" w:hAnsi="仿宋" w:eastAsia="仿宋" w:cs="仿宋"/>
          <w:i w:val="0"/>
          <w:iCs w:val="0"/>
          <w:color w:val="auto"/>
          <w:sz w:val="21"/>
          <w:szCs w:val="21"/>
          <w:highlight w:val="none"/>
          <w:lang w:eastAsia="zh-CN"/>
        </w:rPr>
        <w:t>）。</w:t>
      </w:r>
    </w:p>
    <w:p w14:paraId="2EE3DBE5">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sym w:font="Wingdings" w:char="00A8"/>
      </w:r>
      <w:r>
        <w:rPr>
          <w:rFonts w:hint="eastAsia" w:ascii="仿宋" w:hAnsi="仿宋" w:eastAsia="仿宋" w:cs="仿宋"/>
          <w:i w:val="0"/>
          <w:iCs w:val="0"/>
          <w:color w:val="auto"/>
          <w:sz w:val="21"/>
          <w:szCs w:val="21"/>
          <w:highlight w:val="none"/>
        </w:rPr>
        <w:t>分期付款：</w:t>
      </w:r>
      <w:r>
        <w:rPr>
          <w:rFonts w:hint="eastAsia" w:ascii="仿宋" w:hAnsi="仿宋" w:eastAsia="仿宋" w:cs="仿宋"/>
          <w:i w:val="0"/>
          <w:iCs w:val="0"/>
          <w:color w:val="auto"/>
          <w:sz w:val="21"/>
          <w:szCs w:val="21"/>
          <w:highlight w:val="none"/>
          <w:lang w:eastAsia="zh-CN"/>
        </w:rPr>
        <w:t>合同签订后支付合同总金额的</w:t>
      </w:r>
      <w:r>
        <w:rPr>
          <w:rFonts w:hint="eastAsia" w:ascii="仿宋" w:hAnsi="仿宋" w:eastAsia="仿宋" w:cs="仿宋"/>
          <w:i w:val="0"/>
          <w:iCs w:val="0"/>
          <w:color w:val="auto"/>
          <w:sz w:val="21"/>
          <w:szCs w:val="21"/>
          <w:highlight w:val="none"/>
          <w:u w:val="single"/>
          <w:lang w:val="en-US" w:eastAsia="zh-CN"/>
        </w:rPr>
        <w:t xml:space="preserve">   </w:t>
      </w:r>
      <w:r>
        <w:rPr>
          <w:rFonts w:hint="eastAsia" w:ascii="仿宋" w:hAnsi="仿宋" w:eastAsia="仿宋" w:cs="仿宋"/>
          <w:i w:val="0"/>
          <w:iCs w:val="0"/>
          <w:color w:val="auto"/>
          <w:sz w:val="21"/>
          <w:szCs w:val="21"/>
          <w:highlight w:val="none"/>
          <w:lang w:eastAsia="zh-CN"/>
        </w:rPr>
        <w:t>%（人民币：</w:t>
      </w:r>
      <w:r>
        <w:rPr>
          <w:rFonts w:hint="eastAsia" w:ascii="仿宋" w:hAnsi="仿宋" w:eastAsia="仿宋" w:cs="仿宋"/>
          <w:i w:val="0"/>
          <w:iCs w:val="0"/>
          <w:color w:val="auto"/>
          <w:sz w:val="21"/>
          <w:szCs w:val="21"/>
          <w:highlight w:val="none"/>
          <w:u w:val="single"/>
          <w:lang w:val="en-US" w:eastAsia="zh-CN"/>
        </w:rPr>
        <w:t xml:space="preserve">     </w:t>
      </w:r>
      <w:r>
        <w:rPr>
          <w:rFonts w:hint="eastAsia" w:ascii="仿宋" w:hAnsi="仿宋" w:eastAsia="仿宋" w:cs="仿宋"/>
          <w:i w:val="0"/>
          <w:iCs w:val="0"/>
          <w:color w:val="auto"/>
          <w:sz w:val="21"/>
          <w:szCs w:val="21"/>
          <w:highlight w:val="none"/>
          <w:lang w:eastAsia="zh-CN"/>
        </w:rPr>
        <w:t>元；大写：</w:t>
      </w:r>
      <w:r>
        <w:rPr>
          <w:rFonts w:hint="eastAsia" w:ascii="仿宋" w:hAnsi="仿宋" w:eastAsia="仿宋" w:cs="仿宋"/>
          <w:i w:val="0"/>
          <w:iCs w:val="0"/>
          <w:color w:val="auto"/>
          <w:sz w:val="21"/>
          <w:szCs w:val="21"/>
          <w:highlight w:val="none"/>
          <w:u w:val="single"/>
          <w:lang w:val="en-US" w:eastAsia="zh-CN"/>
        </w:rPr>
        <w:t xml:space="preserve">    </w:t>
      </w:r>
      <w:r>
        <w:rPr>
          <w:rFonts w:hint="eastAsia" w:ascii="仿宋" w:hAnsi="仿宋" w:eastAsia="仿宋" w:cs="仿宋"/>
          <w:i w:val="0"/>
          <w:iCs w:val="0"/>
          <w:color w:val="auto"/>
          <w:sz w:val="21"/>
          <w:szCs w:val="21"/>
          <w:highlight w:val="none"/>
          <w:lang w:eastAsia="zh-CN"/>
        </w:rPr>
        <w:t>），设备开始安装支付合同总金额的</w:t>
      </w:r>
      <w:r>
        <w:rPr>
          <w:rFonts w:hint="eastAsia" w:ascii="仿宋" w:hAnsi="仿宋" w:eastAsia="仿宋" w:cs="仿宋"/>
          <w:i w:val="0"/>
          <w:iCs w:val="0"/>
          <w:color w:val="auto"/>
          <w:sz w:val="21"/>
          <w:szCs w:val="21"/>
          <w:highlight w:val="none"/>
          <w:u w:val="single"/>
          <w:lang w:val="en-US" w:eastAsia="zh-CN"/>
        </w:rPr>
        <w:t xml:space="preserve">   </w:t>
      </w:r>
      <w:r>
        <w:rPr>
          <w:rFonts w:hint="eastAsia" w:ascii="仿宋" w:hAnsi="仿宋" w:eastAsia="仿宋" w:cs="仿宋"/>
          <w:i w:val="0"/>
          <w:iCs w:val="0"/>
          <w:color w:val="auto"/>
          <w:sz w:val="21"/>
          <w:szCs w:val="21"/>
          <w:highlight w:val="none"/>
          <w:lang w:eastAsia="zh-CN"/>
        </w:rPr>
        <w:t>%（人民币：</w:t>
      </w:r>
      <w:r>
        <w:rPr>
          <w:rFonts w:hint="eastAsia" w:ascii="仿宋" w:hAnsi="仿宋" w:eastAsia="仿宋" w:cs="仿宋"/>
          <w:i w:val="0"/>
          <w:iCs w:val="0"/>
          <w:color w:val="auto"/>
          <w:sz w:val="21"/>
          <w:szCs w:val="21"/>
          <w:highlight w:val="none"/>
          <w:u w:val="single"/>
          <w:lang w:val="en-US" w:eastAsia="zh-CN"/>
        </w:rPr>
        <w:t xml:space="preserve">    </w:t>
      </w:r>
      <w:r>
        <w:rPr>
          <w:rFonts w:hint="eastAsia" w:ascii="仿宋" w:hAnsi="仿宋" w:eastAsia="仿宋" w:cs="仿宋"/>
          <w:i w:val="0"/>
          <w:iCs w:val="0"/>
          <w:color w:val="auto"/>
          <w:sz w:val="21"/>
          <w:szCs w:val="21"/>
          <w:highlight w:val="none"/>
          <w:lang w:eastAsia="zh-CN"/>
        </w:rPr>
        <w:t>元；大写：</w:t>
      </w:r>
      <w:r>
        <w:rPr>
          <w:rFonts w:hint="eastAsia" w:ascii="仿宋" w:hAnsi="仿宋" w:eastAsia="仿宋" w:cs="仿宋"/>
          <w:i w:val="0"/>
          <w:iCs w:val="0"/>
          <w:color w:val="auto"/>
          <w:sz w:val="21"/>
          <w:szCs w:val="21"/>
          <w:highlight w:val="none"/>
          <w:u w:val="single"/>
          <w:lang w:val="en-US" w:eastAsia="zh-CN"/>
        </w:rPr>
        <w:t xml:space="preserve">    </w:t>
      </w:r>
      <w:r>
        <w:rPr>
          <w:rFonts w:hint="eastAsia" w:ascii="仿宋" w:hAnsi="仿宋" w:eastAsia="仿宋" w:cs="仿宋"/>
          <w:i w:val="0"/>
          <w:iCs w:val="0"/>
          <w:color w:val="auto"/>
          <w:sz w:val="21"/>
          <w:szCs w:val="21"/>
          <w:highlight w:val="none"/>
          <w:lang w:eastAsia="zh-CN"/>
        </w:rPr>
        <w:t>），设备安装调试并由医院组织验收合格、使用人员进行培训，并提供仪器操作规程后60天内支付合同总金额的</w:t>
      </w:r>
      <w:r>
        <w:rPr>
          <w:rFonts w:hint="eastAsia" w:ascii="仿宋" w:hAnsi="仿宋" w:eastAsia="仿宋" w:cs="仿宋"/>
          <w:i w:val="0"/>
          <w:iCs w:val="0"/>
          <w:color w:val="auto"/>
          <w:sz w:val="21"/>
          <w:szCs w:val="21"/>
          <w:highlight w:val="none"/>
          <w:u w:val="single"/>
          <w:lang w:val="en-US" w:eastAsia="zh-CN"/>
        </w:rPr>
        <w:t xml:space="preserve">   </w:t>
      </w:r>
      <w:r>
        <w:rPr>
          <w:rFonts w:hint="eastAsia" w:ascii="仿宋" w:hAnsi="仿宋" w:eastAsia="仿宋" w:cs="仿宋"/>
          <w:i w:val="0"/>
          <w:iCs w:val="0"/>
          <w:color w:val="auto"/>
          <w:sz w:val="21"/>
          <w:szCs w:val="21"/>
          <w:highlight w:val="none"/>
          <w:lang w:eastAsia="zh-CN"/>
        </w:rPr>
        <w:t>%（人民币：</w:t>
      </w:r>
      <w:r>
        <w:rPr>
          <w:rFonts w:hint="eastAsia" w:ascii="仿宋" w:hAnsi="仿宋" w:eastAsia="仿宋" w:cs="仿宋"/>
          <w:i w:val="0"/>
          <w:iCs w:val="0"/>
          <w:color w:val="auto"/>
          <w:sz w:val="21"/>
          <w:szCs w:val="21"/>
          <w:highlight w:val="none"/>
          <w:u w:val="single"/>
          <w:lang w:val="en-US" w:eastAsia="zh-CN"/>
        </w:rPr>
        <w:t xml:space="preserve">     </w:t>
      </w:r>
      <w:r>
        <w:rPr>
          <w:rFonts w:hint="eastAsia" w:ascii="仿宋" w:hAnsi="仿宋" w:eastAsia="仿宋" w:cs="仿宋"/>
          <w:i w:val="0"/>
          <w:iCs w:val="0"/>
          <w:color w:val="auto"/>
          <w:sz w:val="21"/>
          <w:szCs w:val="21"/>
          <w:highlight w:val="none"/>
          <w:lang w:eastAsia="zh-CN"/>
        </w:rPr>
        <w:t>元；大写：</w:t>
      </w:r>
      <w:r>
        <w:rPr>
          <w:rFonts w:hint="eastAsia" w:ascii="仿宋" w:hAnsi="仿宋" w:eastAsia="仿宋" w:cs="仿宋"/>
          <w:i w:val="0"/>
          <w:iCs w:val="0"/>
          <w:color w:val="auto"/>
          <w:sz w:val="21"/>
          <w:szCs w:val="21"/>
          <w:highlight w:val="none"/>
          <w:u w:val="single"/>
          <w:lang w:val="en-US" w:eastAsia="zh-CN"/>
        </w:rPr>
        <w:t xml:space="preserve">     </w:t>
      </w:r>
      <w:r>
        <w:rPr>
          <w:rFonts w:hint="eastAsia" w:ascii="仿宋" w:hAnsi="仿宋" w:eastAsia="仿宋" w:cs="仿宋"/>
          <w:i w:val="0"/>
          <w:iCs w:val="0"/>
          <w:color w:val="auto"/>
          <w:sz w:val="21"/>
          <w:szCs w:val="21"/>
          <w:highlight w:val="none"/>
          <w:lang w:eastAsia="zh-CN"/>
        </w:rPr>
        <w:t>）。乙方承诺的质保期内仍须按原有承诺承担相关质保义务，否则甲方将追究乙方的相关法律责任。</w:t>
      </w:r>
      <w:r>
        <w:rPr>
          <w:rFonts w:hint="eastAsia" w:ascii="仿宋" w:hAnsi="仿宋" w:eastAsia="仿宋" w:cs="仿宋"/>
          <w:i w:val="0"/>
          <w:iCs w:val="0"/>
          <w:color w:val="auto"/>
          <w:sz w:val="21"/>
          <w:szCs w:val="21"/>
          <w:highlight w:val="none"/>
        </w:rPr>
        <w:t xml:space="preserve"> </w:t>
      </w:r>
    </w:p>
    <w:p w14:paraId="6054A7EE">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成本补偿：</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（应明确按照成本补偿方式的支付方式和支付条件）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绩效激励：</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（应明确按照绩效激励方式的支付方式和支付条件</w:t>
      </w:r>
      <w:r>
        <w:rPr>
          <w:rFonts w:hint="eastAsia" w:ascii="仿宋" w:hAnsi="仿宋" w:eastAsia="仿宋" w:cs="仿宋"/>
          <w:color w:val="auto"/>
          <w:sz w:val="21"/>
          <w:szCs w:val="21"/>
          <w:highlight w:val="none"/>
          <w:lang w:eastAsia="zh-CN"/>
        </w:rPr>
        <w:t>。</w:t>
      </w:r>
    </w:p>
    <w:p w14:paraId="239216C2">
      <w:pPr>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leftChars="0" w:right="0" w:rightChars="0" w:firstLine="420" w:firstLineChars="200"/>
        <w:jc w:val="left"/>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（4）相关账户信息：</w:t>
      </w:r>
    </w:p>
    <w:p w14:paraId="768BA70C">
      <w:pPr>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leftChars="0" w:right="0" w:rightChars="0" w:firstLine="420" w:firstLineChars="20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招标人</w:t>
      </w:r>
      <w:r>
        <w:rPr>
          <w:rFonts w:hint="eastAsia" w:ascii="仿宋" w:hAnsi="仿宋" w:eastAsia="仿宋" w:cs="仿宋"/>
          <w:color w:val="000000"/>
          <w:sz w:val="21"/>
          <w:szCs w:val="21"/>
          <w:highlight w:val="none"/>
        </w:rPr>
        <w:t>的账户为：</w:t>
      </w:r>
    </w:p>
    <w:p w14:paraId="0DEE1BCF">
      <w:pPr>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leftChars="0" w:right="0" w:rightChars="0" w:firstLine="840" w:firstLineChars="400"/>
        <w:jc w:val="left"/>
        <w:outlineLvl w:val="2"/>
        <w:rPr>
          <w:rFonts w:hint="eastAsia" w:ascii="仿宋" w:hAnsi="仿宋" w:eastAsia="仿宋" w:cs="仿宋"/>
          <w:color w:val="000000"/>
          <w:sz w:val="21"/>
          <w:szCs w:val="21"/>
          <w:highlight w:val="none"/>
          <w:u w:val="none"/>
          <w:lang w:eastAsia="zh-CN"/>
        </w:rPr>
      </w:pPr>
      <w:bookmarkStart w:id="1305" w:name="_Toc18651"/>
      <w:bookmarkStart w:id="1306" w:name="_Toc25183"/>
      <w:bookmarkStart w:id="1307" w:name="_Toc32562"/>
      <w:bookmarkStart w:id="1308" w:name="_Toc22555"/>
      <w:bookmarkStart w:id="1309" w:name="_Toc11951"/>
      <w:bookmarkStart w:id="1310" w:name="_Toc29316"/>
      <w:bookmarkStart w:id="1311" w:name="_Toc14353"/>
      <w:bookmarkStart w:id="1312" w:name="_Toc19030"/>
      <w:bookmarkStart w:id="1313" w:name="_Toc14447"/>
      <w:bookmarkStart w:id="1314" w:name="_Toc4910"/>
      <w:bookmarkStart w:id="1315" w:name="_Toc13385"/>
      <w:bookmarkStart w:id="1316" w:name="_Toc30244"/>
      <w:bookmarkStart w:id="1317" w:name="_Toc5859"/>
      <w:bookmarkStart w:id="1318" w:name="_Toc20172"/>
      <w:bookmarkStart w:id="1319" w:name="_Toc25746"/>
      <w:bookmarkStart w:id="1320" w:name="_Toc26748"/>
      <w:bookmarkStart w:id="1321" w:name="_Toc24767"/>
      <w:bookmarkStart w:id="1322" w:name="_Toc12253"/>
      <w:r>
        <w:rPr>
          <w:rFonts w:hint="eastAsia" w:ascii="仿宋" w:hAnsi="仿宋" w:eastAsia="仿宋" w:cs="仿宋"/>
          <w:color w:val="000000"/>
          <w:sz w:val="21"/>
          <w:szCs w:val="21"/>
          <w:highlight w:val="none"/>
          <w:lang w:eastAsia="zh-CN"/>
        </w:rPr>
        <w:t>招标人</w:t>
      </w:r>
      <w:r>
        <w:rPr>
          <w:rFonts w:hint="eastAsia" w:ascii="仿宋" w:hAnsi="仿宋" w:eastAsia="仿宋" w:cs="仿宋"/>
          <w:color w:val="000000"/>
          <w:sz w:val="21"/>
          <w:szCs w:val="21"/>
          <w:highlight w:val="none"/>
        </w:rPr>
        <w:t>户名：</w:t>
      </w:r>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none"/>
          <w:lang w:eastAsia="zh-CN"/>
        </w:rPr>
        <w:t>；</w:t>
      </w:r>
      <w:bookmarkEnd w:id="1320"/>
      <w:bookmarkEnd w:id="1321"/>
      <w:bookmarkEnd w:id="1322"/>
    </w:p>
    <w:p w14:paraId="405221F3">
      <w:pPr>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leftChars="0" w:right="0" w:rightChars="0" w:firstLine="840" w:firstLineChars="400"/>
        <w:jc w:val="left"/>
        <w:outlineLvl w:val="2"/>
        <w:rPr>
          <w:rFonts w:hint="eastAsia" w:ascii="仿宋" w:hAnsi="仿宋" w:eastAsia="仿宋" w:cs="仿宋"/>
          <w:color w:val="000000"/>
          <w:sz w:val="21"/>
          <w:szCs w:val="21"/>
          <w:highlight w:val="none"/>
          <w:lang w:eastAsia="zh-CN"/>
        </w:rPr>
      </w:pPr>
      <w:bookmarkStart w:id="1323" w:name="_Toc17931"/>
      <w:bookmarkStart w:id="1324" w:name="_Toc30536"/>
      <w:bookmarkStart w:id="1325" w:name="_Toc5697"/>
      <w:bookmarkStart w:id="1326" w:name="_Toc2262"/>
      <w:bookmarkStart w:id="1327" w:name="_Toc7480"/>
      <w:bookmarkStart w:id="1328" w:name="_Toc8390"/>
      <w:bookmarkStart w:id="1329" w:name="_Toc24896"/>
      <w:bookmarkStart w:id="1330" w:name="_Toc16355"/>
      <w:bookmarkStart w:id="1331" w:name="_Toc21716"/>
      <w:bookmarkStart w:id="1332" w:name="_Toc23572"/>
      <w:bookmarkStart w:id="1333" w:name="_Toc29262"/>
      <w:bookmarkStart w:id="1334" w:name="_Toc4554"/>
      <w:bookmarkStart w:id="1335" w:name="_Toc3855"/>
      <w:bookmarkStart w:id="1336" w:name="_Toc5461"/>
      <w:bookmarkStart w:id="1337" w:name="_Toc4423"/>
      <w:r>
        <w:rPr>
          <w:rFonts w:hint="eastAsia" w:ascii="仿宋" w:hAnsi="仿宋" w:eastAsia="仿宋" w:cs="仿宋"/>
          <w:color w:val="000000"/>
          <w:sz w:val="21"/>
          <w:szCs w:val="21"/>
          <w:highlight w:val="none"/>
          <w:lang w:eastAsia="zh-CN"/>
        </w:rPr>
        <w:t>纳税人识别号：</w:t>
      </w:r>
      <w:bookmarkEnd w:id="1323"/>
      <w:bookmarkEnd w:id="1324"/>
      <w:bookmarkEnd w:id="1325"/>
      <w:bookmarkEnd w:id="1326"/>
      <w:bookmarkEnd w:id="1327"/>
      <w:bookmarkEnd w:id="1328"/>
      <w:bookmarkEnd w:id="1329"/>
      <w:bookmarkEnd w:id="1330"/>
      <w:bookmarkEnd w:id="1331"/>
      <w:bookmarkEnd w:id="1332"/>
      <w:bookmarkEnd w:id="1333"/>
      <w:bookmarkEnd w:id="1334"/>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none"/>
          <w:lang w:eastAsia="zh-CN"/>
        </w:rPr>
        <w:t>；</w:t>
      </w:r>
      <w:bookmarkEnd w:id="1335"/>
      <w:bookmarkEnd w:id="1336"/>
      <w:bookmarkEnd w:id="1337"/>
    </w:p>
    <w:p w14:paraId="69476BA2">
      <w:pPr>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leftChars="0" w:right="0" w:rightChars="0" w:firstLine="840" w:firstLineChars="40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招标人</w:t>
      </w:r>
      <w:r>
        <w:rPr>
          <w:rFonts w:hint="eastAsia" w:ascii="仿宋" w:hAnsi="仿宋" w:eastAsia="仿宋" w:cs="仿宋"/>
          <w:color w:val="000000"/>
          <w:sz w:val="21"/>
          <w:szCs w:val="21"/>
          <w:highlight w:val="none"/>
        </w:rPr>
        <w:t>开户银行：</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none"/>
          <w:lang w:eastAsia="zh-CN"/>
        </w:rPr>
        <w:t>；</w:t>
      </w:r>
    </w:p>
    <w:p w14:paraId="0BDB869C">
      <w:pPr>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right="0" w:rightChars="0" w:firstLine="840" w:firstLineChars="40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招标人</w:t>
      </w:r>
      <w:r>
        <w:rPr>
          <w:rFonts w:hint="eastAsia" w:ascii="仿宋" w:hAnsi="仿宋" w:eastAsia="仿宋" w:cs="仿宋"/>
          <w:color w:val="000000"/>
          <w:sz w:val="21"/>
          <w:szCs w:val="21"/>
          <w:highlight w:val="none"/>
        </w:rPr>
        <w:t>账号：</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none"/>
          <w:lang w:eastAsia="zh-CN"/>
        </w:rPr>
        <w:t>；</w:t>
      </w:r>
    </w:p>
    <w:p w14:paraId="5B8F6F39">
      <w:pPr>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right="0" w:rightChars="0" w:firstLine="420" w:firstLineChars="200"/>
        <w:jc w:val="left"/>
        <w:rPr>
          <w:rFonts w:hint="eastAsia" w:ascii="仿宋" w:hAnsi="仿宋" w:eastAsia="仿宋" w:cs="仿宋"/>
          <w:color w:val="000000"/>
          <w:sz w:val="21"/>
          <w:szCs w:val="21"/>
          <w:highlight w:val="none"/>
          <w:lang w:eastAsia="zh-CN"/>
        </w:rPr>
      </w:pPr>
    </w:p>
    <w:p w14:paraId="1B1B2A71">
      <w:pPr>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right="0" w:rightChars="0" w:firstLine="420" w:firstLineChars="20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中标人</w:t>
      </w:r>
      <w:r>
        <w:rPr>
          <w:rFonts w:hint="eastAsia" w:ascii="仿宋" w:hAnsi="仿宋" w:eastAsia="仿宋" w:cs="仿宋"/>
          <w:color w:val="000000"/>
          <w:sz w:val="21"/>
          <w:szCs w:val="21"/>
          <w:highlight w:val="none"/>
        </w:rPr>
        <w:t>的账户为：</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none"/>
          <w:lang w:eastAsia="zh-CN"/>
        </w:rPr>
        <w:t>；</w:t>
      </w:r>
    </w:p>
    <w:p w14:paraId="0CFC8406">
      <w:pPr>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right="0" w:rightChars="0" w:firstLine="840" w:firstLineChars="40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中标人</w:t>
      </w:r>
      <w:r>
        <w:rPr>
          <w:rFonts w:hint="eastAsia" w:ascii="仿宋" w:hAnsi="仿宋" w:eastAsia="仿宋" w:cs="仿宋"/>
          <w:color w:val="000000"/>
          <w:sz w:val="21"/>
          <w:szCs w:val="21"/>
          <w:highlight w:val="none"/>
        </w:rPr>
        <w:t>银行账户：</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none"/>
          <w:lang w:eastAsia="zh-CN"/>
        </w:rPr>
        <w:t>；</w:t>
      </w:r>
    </w:p>
    <w:p w14:paraId="214C09B5">
      <w:pPr>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leftChars="0" w:right="0" w:rightChars="0" w:firstLine="840" w:firstLineChars="40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中标人</w:t>
      </w:r>
      <w:r>
        <w:rPr>
          <w:rFonts w:hint="eastAsia" w:ascii="仿宋" w:hAnsi="仿宋" w:eastAsia="仿宋" w:cs="仿宋"/>
          <w:color w:val="000000"/>
          <w:sz w:val="21"/>
          <w:szCs w:val="21"/>
          <w:highlight w:val="none"/>
        </w:rPr>
        <w:t>账户名称：</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none"/>
          <w:lang w:eastAsia="zh-CN"/>
        </w:rPr>
        <w:t>；</w:t>
      </w:r>
    </w:p>
    <w:p w14:paraId="07B5FA02">
      <w:pPr>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left="0" w:leftChars="0" w:right="0" w:rightChars="0" w:firstLine="840" w:firstLineChars="40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中标人</w:t>
      </w:r>
      <w:r>
        <w:rPr>
          <w:rFonts w:hint="eastAsia" w:ascii="仿宋" w:hAnsi="仿宋" w:eastAsia="仿宋" w:cs="仿宋"/>
          <w:color w:val="000000"/>
          <w:sz w:val="21"/>
          <w:szCs w:val="21"/>
          <w:highlight w:val="none"/>
        </w:rPr>
        <w:t>开户行（具体到支行）：</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none"/>
          <w:lang w:eastAsia="zh-CN"/>
        </w:rPr>
        <w:t>；</w:t>
      </w:r>
    </w:p>
    <w:p w14:paraId="6F196096">
      <w:pPr>
        <w:keepNext w:val="0"/>
        <w:keepLines w:val="0"/>
        <w:pageBreakBefore w:val="0"/>
        <w:widowControl w:val="0"/>
        <w:kinsoku/>
        <w:wordWrap w:val="0"/>
        <w:overflowPunct/>
        <w:topLinePunct/>
        <w:autoSpaceDE/>
        <w:autoSpaceDN/>
        <w:bidi w:val="0"/>
        <w:adjustRightInd/>
        <w:snapToGrid/>
        <w:spacing w:line="360" w:lineRule="auto"/>
        <w:ind w:firstLine="840" w:firstLineChars="400"/>
        <w:jc w:val="left"/>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lang w:eastAsia="zh-CN"/>
        </w:rPr>
        <w:t>中标人</w:t>
      </w:r>
      <w:r>
        <w:rPr>
          <w:rFonts w:hint="eastAsia" w:ascii="仿宋" w:hAnsi="仿宋" w:eastAsia="仿宋" w:cs="仿宋"/>
          <w:color w:val="000000"/>
          <w:sz w:val="21"/>
          <w:szCs w:val="21"/>
          <w:highlight w:val="none"/>
        </w:rPr>
        <w:t>账号</w:t>
      </w:r>
      <w:r>
        <w:rPr>
          <w:rFonts w:hint="eastAsia" w:ascii="仿宋" w:hAnsi="仿宋" w:eastAsia="仿宋" w:cs="仿宋"/>
          <w:sz w:val="21"/>
          <w:szCs w:val="21"/>
          <w:highlight w:val="none"/>
        </w:rPr>
        <w:t>：</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none"/>
          <w:lang w:eastAsia="zh-CN"/>
        </w:rPr>
        <w:t>；</w:t>
      </w:r>
    </w:p>
    <w:p w14:paraId="0DE10897">
      <w:pPr>
        <w:pStyle w:val="6"/>
        <w:keepNext w:val="0"/>
        <w:keepLines w:val="0"/>
        <w:pageBreakBefore w:val="0"/>
        <w:widowControl w:val="0"/>
        <w:kinsoku/>
        <w:wordWrap w:val="0"/>
        <w:overflowPunct/>
        <w:topLinePunct/>
        <w:autoSpaceDE/>
        <w:autoSpaceDN/>
        <w:bidi w:val="0"/>
        <w:adjustRightInd/>
        <w:snapToGrid/>
        <w:spacing w:line="360" w:lineRule="auto"/>
        <w:ind w:left="0" w:leftChars="0"/>
        <w:textAlignment w:val="auto"/>
        <w:outlineLvl w:val="2"/>
        <w:rPr>
          <w:rFonts w:hint="eastAsia" w:ascii="仿宋" w:hAnsi="仿宋" w:eastAsia="仿宋" w:cs="仿宋"/>
          <w:color w:val="auto"/>
          <w:sz w:val="21"/>
          <w:szCs w:val="21"/>
          <w:highlight w:val="none"/>
        </w:rPr>
      </w:pPr>
      <w:bookmarkStart w:id="1338" w:name="_Toc6893"/>
      <w:bookmarkStart w:id="1339" w:name="_Toc24244"/>
      <w:r>
        <w:rPr>
          <w:rFonts w:hint="eastAsia" w:ascii="仿宋" w:hAnsi="仿宋" w:eastAsia="仿宋" w:cs="仿宋"/>
          <w:color w:val="auto"/>
          <w:sz w:val="21"/>
          <w:szCs w:val="21"/>
          <w:highlight w:val="none"/>
        </w:rPr>
        <w:t>3.合同履行</w:t>
      </w:r>
      <w:bookmarkEnd w:id="1338"/>
      <w:bookmarkEnd w:id="1339"/>
    </w:p>
    <w:p w14:paraId="7204BF42">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（1）起始日期：</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日，完成日期：</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日。</w:t>
      </w:r>
    </w:p>
    <w:p w14:paraId="0AD2B2E7">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（2）履约地点：                             </w:t>
      </w:r>
    </w:p>
    <w:p w14:paraId="1BCD2F54">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（3）履约担保：是否收取履约保证金：</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是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否</w:t>
      </w:r>
    </w:p>
    <w:p w14:paraId="05682F30">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    收取履约保证金形式：</w:t>
      </w:r>
      <w:r>
        <w:rPr>
          <w:rFonts w:hint="eastAsia" w:ascii="仿宋" w:hAnsi="仿宋" w:eastAsia="仿宋" w:cs="仿宋"/>
          <w:color w:val="auto"/>
          <w:sz w:val="21"/>
          <w:szCs w:val="21"/>
          <w:highlight w:val="none"/>
          <w:u w:val="single"/>
        </w:rPr>
        <w:t xml:space="preserve">                                         </w:t>
      </w:r>
    </w:p>
    <w:p w14:paraId="320471E9">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收取履约保证金金额：</w:t>
      </w:r>
      <w:r>
        <w:rPr>
          <w:rFonts w:hint="eastAsia" w:ascii="仿宋" w:hAnsi="仿宋" w:eastAsia="仿宋" w:cs="仿宋"/>
          <w:color w:val="auto"/>
          <w:sz w:val="21"/>
          <w:szCs w:val="21"/>
          <w:highlight w:val="none"/>
          <w:u w:val="single"/>
        </w:rPr>
        <w:t xml:space="preserve">                                         </w:t>
      </w:r>
    </w:p>
    <w:p w14:paraId="35BF43E2">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履约担保期限：</w:t>
      </w:r>
      <w:r>
        <w:rPr>
          <w:rFonts w:hint="eastAsia" w:ascii="仿宋" w:hAnsi="仿宋" w:eastAsia="仿宋" w:cs="仿宋"/>
          <w:color w:val="auto"/>
          <w:sz w:val="21"/>
          <w:szCs w:val="21"/>
          <w:highlight w:val="none"/>
          <w:u w:val="single"/>
        </w:rPr>
        <w:t xml:space="preserve">                                               </w:t>
      </w:r>
    </w:p>
    <w:p w14:paraId="5933A7D2">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（4）分期履行要求：</w:t>
      </w:r>
      <w:r>
        <w:rPr>
          <w:rFonts w:hint="eastAsia" w:ascii="仿宋" w:hAnsi="仿宋" w:eastAsia="仿宋" w:cs="仿宋"/>
          <w:color w:val="auto"/>
          <w:sz w:val="21"/>
          <w:szCs w:val="21"/>
          <w:highlight w:val="none"/>
          <w:u w:val="single"/>
        </w:rPr>
        <w:t xml:space="preserve">                                               </w:t>
      </w:r>
    </w:p>
    <w:p w14:paraId="444A6578">
      <w:pPr>
        <w:shd w:val="clear" w:color="auto" w:fill="FFFFFF"/>
        <w:wordWrap w:val="0"/>
        <w:topLinePunct/>
        <w:spacing w:line="360" w:lineRule="auto"/>
        <w:ind w:firstLine="420" w:firstLineChars="200"/>
        <w:jc w:val="left"/>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（5）风险处置措施和替代方案：</w:t>
      </w:r>
      <w:r>
        <w:rPr>
          <w:rFonts w:hint="eastAsia" w:ascii="仿宋" w:hAnsi="仿宋" w:eastAsia="仿宋" w:cs="仿宋"/>
          <w:color w:val="auto"/>
          <w:sz w:val="21"/>
          <w:szCs w:val="21"/>
          <w:highlight w:val="none"/>
          <w:u w:val="single"/>
        </w:rPr>
        <w:t xml:space="preserve">                                       </w:t>
      </w:r>
    </w:p>
    <w:p w14:paraId="01B90223">
      <w:pPr>
        <w:shd w:val="clear" w:color="auto" w:fill="FFFFFF"/>
        <w:wordWrap w:val="0"/>
        <w:topLinePunct/>
        <w:spacing w:line="360" w:lineRule="auto"/>
        <w:ind w:firstLine="420" w:firstLineChars="200"/>
        <w:jc w:val="left"/>
        <w:rPr>
          <w:rFonts w:hint="eastAsia" w:ascii="仿宋" w:hAnsi="仿宋" w:eastAsia="仿宋" w:cs="仿宋"/>
          <w:color w:val="000000"/>
          <w:sz w:val="21"/>
          <w:szCs w:val="21"/>
          <w:highlight w:val="none"/>
        </w:rPr>
      </w:pPr>
      <w:r>
        <w:rPr>
          <w:rFonts w:hint="eastAsia" w:ascii="仿宋" w:hAnsi="仿宋" w:eastAsia="仿宋" w:cs="仿宋"/>
          <w:color w:val="auto"/>
          <w:sz w:val="21"/>
          <w:szCs w:val="21"/>
          <w:highlight w:val="none"/>
          <w:u w:val="none"/>
          <w:lang w:eastAsia="zh-CN"/>
        </w:rPr>
        <w:t>（</w:t>
      </w:r>
      <w:r>
        <w:rPr>
          <w:rFonts w:hint="eastAsia" w:ascii="仿宋" w:hAnsi="仿宋" w:eastAsia="仿宋" w:cs="仿宋"/>
          <w:color w:val="auto"/>
          <w:sz w:val="21"/>
          <w:szCs w:val="21"/>
          <w:highlight w:val="none"/>
          <w:u w:val="none"/>
          <w:lang w:val="en-US" w:eastAsia="zh-CN"/>
        </w:rPr>
        <w:t>6</w:t>
      </w:r>
      <w:r>
        <w:rPr>
          <w:rFonts w:hint="eastAsia" w:ascii="仿宋" w:hAnsi="仿宋" w:eastAsia="仿宋" w:cs="仿宋"/>
          <w:color w:val="auto"/>
          <w:sz w:val="21"/>
          <w:szCs w:val="21"/>
          <w:highlight w:val="none"/>
          <w:u w:val="none"/>
          <w:lang w:eastAsia="zh-CN"/>
        </w:rPr>
        <w:t>）</w:t>
      </w:r>
      <w:r>
        <w:rPr>
          <w:rFonts w:hint="eastAsia" w:ascii="仿宋" w:hAnsi="仿宋" w:eastAsia="仿宋" w:cs="仿宋"/>
          <w:b/>
          <w:bCs/>
          <w:color w:val="000000"/>
          <w:sz w:val="21"/>
          <w:szCs w:val="21"/>
          <w:highlight w:val="none"/>
        </w:rPr>
        <w:t>通知与送达方式  </w:t>
      </w:r>
    </w:p>
    <w:p w14:paraId="56F05569">
      <w:pPr>
        <w:shd w:val="clear" w:color="auto" w:fill="FFFFFF"/>
        <w:wordWrap w:val="0"/>
        <w:topLinePunct/>
        <w:spacing w:line="360" w:lineRule="auto"/>
        <w:ind w:firstLine="420" w:firstLineChars="20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w:t>
      </w: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rPr>
        <w:t>根据本合同需要一方向另一方发出的订单、全部通知以及双方的文件往来及与本合同有关的通知和要求等，用邮件、传真或书面等方式送达。</w:t>
      </w:r>
    </w:p>
    <w:p w14:paraId="6D318379">
      <w:pPr>
        <w:shd w:val="clear" w:color="auto" w:fill="FFFFFF"/>
        <w:wordWrap w:val="0"/>
        <w:topLinePunct/>
        <w:spacing w:line="360" w:lineRule="auto"/>
        <w:ind w:firstLine="420" w:firstLineChars="200"/>
        <w:jc w:val="left"/>
        <w:outlineLvl w:val="2"/>
        <w:rPr>
          <w:rFonts w:hint="eastAsia" w:ascii="仿宋" w:hAnsi="仿宋" w:eastAsia="仿宋" w:cs="仿宋"/>
          <w:color w:val="000000"/>
          <w:sz w:val="21"/>
          <w:szCs w:val="21"/>
          <w:highlight w:val="none"/>
        </w:rPr>
      </w:pPr>
      <w:bookmarkStart w:id="1340" w:name="_Toc30303"/>
      <w:r>
        <w:rPr>
          <w:rFonts w:hint="eastAsia" w:ascii="仿宋" w:hAnsi="仿宋" w:eastAsia="仿宋" w:cs="仿宋"/>
          <w:color w:val="000000"/>
          <w:sz w:val="21"/>
          <w:szCs w:val="21"/>
          <w:highlight w:val="none"/>
        </w:rPr>
        <w:t>2</w:t>
      </w: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rPr>
        <w:t>甲方送达地址如下：</w:t>
      </w:r>
      <w:bookmarkEnd w:id="1340"/>
    </w:p>
    <w:p w14:paraId="6AC1FC57">
      <w:pPr>
        <w:shd w:val="clear" w:color="auto" w:fill="FFFFFF"/>
        <w:wordWrap w:val="0"/>
        <w:topLinePunct/>
        <w:spacing w:line="360" w:lineRule="auto"/>
        <w:ind w:firstLine="420" w:firstLineChars="20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地址：</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38C7DE73">
      <w:pPr>
        <w:shd w:val="clear" w:color="auto" w:fill="FFFFFF"/>
        <w:wordWrap w:val="0"/>
        <w:topLinePunct/>
        <w:spacing w:line="360" w:lineRule="auto"/>
        <w:ind w:firstLine="420" w:firstLineChars="20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邮编：</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02563B69">
      <w:pPr>
        <w:shd w:val="clear" w:color="auto" w:fill="FFFFFF"/>
        <w:wordWrap w:val="0"/>
        <w:topLinePunct/>
        <w:spacing w:line="360" w:lineRule="auto"/>
        <w:ind w:firstLine="420" w:firstLineChars="20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联系部门：</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4EDD01B8">
      <w:pPr>
        <w:shd w:val="clear" w:color="auto" w:fill="FFFFFF"/>
        <w:wordWrap w:val="0"/>
        <w:topLinePunct/>
        <w:spacing w:line="360" w:lineRule="auto"/>
        <w:ind w:firstLine="420" w:firstLineChars="20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甲方联系人：</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6023B1AC">
      <w:pPr>
        <w:shd w:val="clear" w:color="auto" w:fill="FFFFFF"/>
        <w:wordWrap w:val="0"/>
        <w:topLinePunct/>
        <w:spacing w:line="360" w:lineRule="auto"/>
        <w:ind w:firstLine="420" w:firstLineChars="20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联系电话：</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2258EAFD">
      <w:pPr>
        <w:shd w:val="clear" w:color="auto" w:fill="FFFFFF"/>
        <w:wordWrap w:val="0"/>
        <w:topLinePunct/>
        <w:spacing w:line="360" w:lineRule="auto"/>
        <w:ind w:firstLine="420" w:firstLineChars="20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传真：</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231F144F">
      <w:pPr>
        <w:shd w:val="clear" w:color="auto" w:fill="FFFFFF"/>
        <w:wordWrap w:val="0"/>
        <w:topLinePunct/>
        <w:spacing w:line="360" w:lineRule="auto"/>
        <w:ind w:firstLine="420" w:firstLineChars="200"/>
        <w:jc w:val="left"/>
        <w:rPr>
          <w:rFonts w:hint="eastAsia" w:ascii="仿宋" w:hAnsi="仿宋" w:eastAsia="仿宋" w:cs="仿宋"/>
          <w:color w:val="000000"/>
          <w:sz w:val="21"/>
          <w:szCs w:val="21"/>
          <w:highlight w:val="none"/>
        </w:rPr>
      </w:pPr>
    </w:p>
    <w:p w14:paraId="0EEDE5E4">
      <w:pPr>
        <w:shd w:val="clear" w:color="auto" w:fill="FFFFFF"/>
        <w:wordWrap w:val="0"/>
        <w:topLinePunct/>
        <w:spacing w:line="360" w:lineRule="auto"/>
        <w:ind w:firstLine="420" w:firstLineChars="20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乙方送达地址如下：</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20659486">
      <w:pPr>
        <w:shd w:val="clear" w:color="auto" w:fill="FFFFFF"/>
        <w:wordWrap w:val="0"/>
        <w:topLinePunct/>
        <w:spacing w:line="360" w:lineRule="auto"/>
        <w:ind w:firstLine="420" w:firstLineChars="20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乙方联系人：</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654D9E5C">
      <w:pPr>
        <w:shd w:val="clear" w:color="auto" w:fill="FFFFFF"/>
        <w:wordWrap w:val="0"/>
        <w:topLinePunct/>
        <w:spacing w:line="360" w:lineRule="auto"/>
        <w:ind w:firstLine="420" w:firstLineChars="20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联系电话：</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3097799C">
      <w:pPr>
        <w:shd w:val="clear" w:color="auto" w:fill="FFFFFF"/>
        <w:wordWrap w:val="0"/>
        <w:topLinePunct/>
        <w:spacing w:line="360" w:lineRule="auto"/>
        <w:ind w:firstLine="420" w:firstLineChars="200"/>
        <w:jc w:val="left"/>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邮箱：</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w:t>
      </w:r>
    </w:p>
    <w:p w14:paraId="47B56F91">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u w:val="single"/>
        </w:rPr>
      </w:pPr>
      <w:r>
        <w:rPr>
          <w:rFonts w:hint="eastAsia" w:ascii="仿宋" w:hAnsi="仿宋" w:eastAsia="仿宋" w:cs="仿宋"/>
          <w:color w:val="000000"/>
          <w:sz w:val="21"/>
          <w:szCs w:val="21"/>
          <w:highlight w:val="none"/>
        </w:rPr>
        <w:t>3</w:t>
      </w: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rPr>
        <w:t>一方变更通知或通讯地址，应自变更之日起七个工作日内，以书面形式通知对方，否则由未通知方承担由此而引起的相关责任。</w:t>
      </w:r>
    </w:p>
    <w:p w14:paraId="75B54EC5">
      <w:pPr>
        <w:pStyle w:val="6"/>
        <w:keepNext w:val="0"/>
        <w:keepLines w:val="0"/>
        <w:pageBreakBefore w:val="0"/>
        <w:widowControl w:val="0"/>
        <w:kinsoku/>
        <w:wordWrap w:val="0"/>
        <w:overflowPunct/>
        <w:topLinePunct/>
        <w:autoSpaceDE/>
        <w:autoSpaceDN/>
        <w:bidi w:val="0"/>
        <w:adjustRightInd/>
        <w:snapToGrid/>
        <w:spacing w:line="360" w:lineRule="auto"/>
        <w:ind w:left="0" w:leftChars="0"/>
        <w:textAlignment w:val="auto"/>
        <w:outlineLvl w:val="2"/>
        <w:rPr>
          <w:rFonts w:hint="eastAsia" w:ascii="仿宋" w:hAnsi="仿宋" w:eastAsia="仿宋" w:cs="仿宋"/>
          <w:color w:val="auto"/>
          <w:sz w:val="21"/>
          <w:szCs w:val="21"/>
          <w:highlight w:val="none"/>
        </w:rPr>
      </w:pPr>
      <w:bookmarkStart w:id="1341" w:name="_Toc4506"/>
      <w:bookmarkStart w:id="1342" w:name="_Toc27004"/>
      <w:r>
        <w:rPr>
          <w:rFonts w:hint="eastAsia" w:ascii="仿宋" w:hAnsi="仿宋" w:eastAsia="仿宋" w:cs="仿宋"/>
          <w:color w:val="auto"/>
          <w:sz w:val="21"/>
          <w:szCs w:val="21"/>
          <w:highlight w:val="none"/>
        </w:rPr>
        <w:t>4.合同验收</w:t>
      </w:r>
      <w:bookmarkEnd w:id="1341"/>
      <w:bookmarkEnd w:id="1342"/>
    </w:p>
    <w:p w14:paraId="094DBF09">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验收组织方式：</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自行组织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委托第三方组织</w:t>
      </w:r>
    </w:p>
    <w:p w14:paraId="1FA1F114">
      <w:pPr>
        <w:keepNext w:val="0"/>
        <w:keepLines w:val="0"/>
        <w:pageBreakBefore w:val="0"/>
        <w:widowControl w:val="0"/>
        <w:kinsoku/>
        <w:wordWrap w:val="0"/>
        <w:overflowPunct/>
        <w:topLinePunct/>
        <w:autoSpaceDE/>
        <w:autoSpaceDN/>
        <w:bidi w:val="0"/>
        <w:adjustRightInd/>
        <w:snapToGrid/>
        <w:spacing w:line="360" w:lineRule="auto"/>
        <w:ind w:left="0" w:leftChars="0" w:firstLine="840" w:firstLineChars="4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验收主体：</w:t>
      </w:r>
      <w:r>
        <w:rPr>
          <w:rFonts w:hint="eastAsia" w:ascii="仿宋" w:hAnsi="仿宋" w:eastAsia="仿宋" w:cs="仿宋"/>
          <w:color w:val="auto"/>
          <w:sz w:val="21"/>
          <w:szCs w:val="21"/>
          <w:highlight w:val="none"/>
          <w:u w:val="single"/>
          <w:lang w:val="en-US" w:eastAsia="zh-CN"/>
        </w:rPr>
        <w:t>楚雄彝族自治州人民医院</w:t>
      </w:r>
    </w:p>
    <w:p w14:paraId="5428615B">
      <w:pPr>
        <w:keepNext w:val="0"/>
        <w:keepLines w:val="0"/>
        <w:pageBreakBefore w:val="0"/>
        <w:widowControl w:val="0"/>
        <w:kinsoku/>
        <w:wordWrap w:val="0"/>
        <w:overflowPunct/>
        <w:topLinePunct/>
        <w:autoSpaceDE/>
        <w:autoSpaceDN/>
        <w:bidi w:val="0"/>
        <w:adjustRightInd/>
        <w:snapToGrid/>
        <w:spacing w:line="360" w:lineRule="auto"/>
        <w:ind w:left="0" w:leftChars="0" w:firstLine="840" w:firstLineChars="4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是否邀请本项目的其他</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参加验收：</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是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否</w:t>
      </w:r>
    </w:p>
    <w:p w14:paraId="718DC82E">
      <w:pPr>
        <w:keepNext w:val="0"/>
        <w:keepLines w:val="0"/>
        <w:pageBreakBefore w:val="0"/>
        <w:widowControl w:val="0"/>
        <w:kinsoku/>
        <w:wordWrap w:val="0"/>
        <w:overflowPunct/>
        <w:topLinePunct/>
        <w:autoSpaceDE/>
        <w:autoSpaceDN/>
        <w:bidi w:val="0"/>
        <w:adjustRightInd/>
        <w:snapToGrid/>
        <w:spacing w:line="360" w:lineRule="auto"/>
        <w:ind w:left="0" w:leftChars="0" w:firstLine="840" w:firstLineChars="4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是否邀请专家参加验收：</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是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否</w:t>
      </w:r>
    </w:p>
    <w:p w14:paraId="28FCC42F">
      <w:pPr>
        <w:keepNext w:val="0"/>
        <w:keepLines w:val="0"/>
        <w:pageBreakBefore w:val="0"/>
        <w:widowControl w:val="0"/>
        <w:kinsoku/>
        <w:wordWrap w:val="0"/>
        <w:overflowPunct/>
        <w:topLinePunct/>
        <w:autoSpaceDE/>
        <w:autoSpaceDN/>
        <w:bidi w:val="0"/>
        <w:adjustRightInd/>
        <w:snapToGrid/>
        <w:spacing w:line="360" w:lineRule="auto"/>
        <w:ind w:left="0" w:leftChars="0" w:firstLine="840" w:firstLineChars="4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是否邀请服务对象参加验收：</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是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否</w:t>
      </w:r>
    </w:p>
    <w:p w14:paraId="15EA21F7">
      <w:pPr>
        <w:keepNext w:val="0"/>
        <w:keepLines w:val="0"/>
        <w:pageBreakBefore w:val="0"/>
        <w:widowControl w:val="0"/>
        <w:kinsoku/>
        <w:wordWrap w:val="0"/>
        <w:overflowPunct/>
        <w:topLinePunct/>
        <w:autoSpaceDE/>
        <w:autoSpaceDN/>
        <w:bidi w:val="0"/>
        <w:adjustRightInd/>
        <w:snapToGrid/>
        <w:spacing w:line="360" w:lineRule="auto"/>
        <w:ind w:left="0" w:leftChars="0" w:firstLine="840" w:firstLineChars="4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是否邀请第三方检测机构参加验收：</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是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否</w:t>
      </w:r>
    </w:p>
    <w:p w14:paraId="1A94A4B8">
      <w:pPr>
        <w:keepNext w:val="0"/>
        <w:keepLines w:val="0"/>
        <w:pageBreakBefore w:val="0"/>
        <w:widowControl w:val="0"/>
        <w:kinsoku/>
        <w:wordWrap w:val="0"/>
        <w:overflowPunct/>
        <w:topLinePunct/>
        <w:autoSpaceDE/>
        <w:autoSpaceDN/>
        <w:bidi w:val="0"/>
        <w:adjustRightInd/>
        <w:snapToGrid/>
        <w:spacing w:line="360" w:lineRule="auto"/>
        <w:ind w:left="0" w:leftChars="0" w:firstLine="840" w:firstLineChars="4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是否进行抽查检测：</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是，抽查比例：</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否</w:t>
      </w:r>
    </w:p>
    <w:p w14:paraId="6165BEA2">
      <w:pPr>
        <w:keepNext w:val="0"/>
        <w:keepLines w:val="0"/>
        <w:pageBreakBefore w:val="0"/>
        <w:widowControl w:val="0"/>
        <w:kinsoku/>
        <w:wordWrap w:val="0"/>
        <w:overflowPunct/>
        <w:topLinePunct/>
        <w:autoSpaceDE/>
        <w:autoSpaceDN/>
        <w:bidi w:val="0"/>
        <w:adjustRightInd/>
        <w:snapToGrid/>
        <w:spacing w:line="360" w:lineRule="auto"/>
        <w:ind w:left="0" w:leftChars="0" w:firstLine="840" w:firstLineChars="4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是否存在破坏性检测：</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是，（应明确对被破坏的检测产品的处理方式）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否</w:t>
      </w:r>
    </w:p>
    <w:p w14:paraId="02CD33BC">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验收组织的其他事项：</w:t>
      </w:r>
      <w:r>
        <w:rPr>
          <w:rFonts w:hint="eastAsia" w:ascii="仿宋" w:hAnsi="仿宋" w:eastAsia="仿宋" w:cs="仿宋"/>
          <w:color w:val="auto"/>
          <w:sz w:val="21"/>
          <w:szCs w:val="21"/>
          <w:highlight w:val="none"/>
          <w:u w:val="single"/>
        </w:rPr>
        <w:t xml:space="preserve">                                               </w:t>
      </w:r>
    </w:p>
    <w:p w14:paraId="7FE293A6">
      <w:pPr>
        <w:keepNext w:val="0"/>
        <w:keepLines w:val="0"/>
        <w:pageBreakBefore w:val="0"/>
        <w:widowControl w:val="0"/>
        <w:kinsoku/>
        <w:wordWrap w:val="0"/>
        <w:overflowPunct/>
        <w:topLinePunct/>
        <w:autoSpaceDE/>
        <w:autoSpaceDN/>
        <w:bidi w:val="0"/>
        <w:adjustRightInd/>
        <w:snapToGrid/>
        <w:spacing w:line="360" w:lineRule="auto"/>
        <w:ind w:left="480" w:leftChars="218" w:firstLine="0" w:firstLineChars="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（2）履约验收时间：（计划于何时验收/</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提出验收申请之日起</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日内组织验收）（3）履约验收方式：</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一次性验收         </w:t>
      </w:r>
    </w:p>
    <w:p w14:paraId="529989B5">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分期/分项验收：</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（应明确分期</w:t>
      </w:r>
      <w:r>
        <w:rPr>
          <w:rFonts w:hint="eastAsia" w:ascii="仿宋" w:hAnsi="仿宋" w:eastAsia="仿宋" w:cs="仿宋"/>
          <w:color w:val="auto"/>
          <w:sz w:val="21"/>
          <w:szCs w:val="21"/>
          <w:highlight w:val="none"/>
          <w:lang w:val="en"/>
        </w:rPr>
        <w:t>/分项验收的工作安排</w:t>
      </w:r>
      <w:r>
        <w:rPr>
          <w:rFonts w:hint="eastAsia" w:ascii="仿宋" w:hAnsi="仿宋" w:eastAsia="仿宋" w:cs="仿宋"/>
          <w:color w:val="auto"/>
          <w:sz w:val="21"/>
          <w:szCs w:val="21"/>
          <w:highlight w:val="none"/>
        </w:rPr>
        <w:t>）</w:t>
      </w:r>
    </w:p>
    <w:p w14:paraId="589FA1C3">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（4）履约验收程序：</w:t>
      </w:r>
      <w:r>
        <w:rPr>
          <w:rFonts w:hint="eastAsia" w:ascii="仿宋" w:hAnsi="仿宋" w:eastAsia="仿宋" w:cs="仿宋"/>
          <w:color w:val="auto"/>
          <w:sz w:val="21"/>
          <w:szCs w:val="21"/>
          <w:highlight w:val="none"/>
          <w:u w:val="single"/>
        </w:rPr>
        <w:t xml:space="preserve">                                                 </w:t>
      </w:r>
    </w:p>
    <w:p w14:paraId="1F589705">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（5）履约验收的内容：</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（应当包括每一项技术和商务要求的履约情况，特别是落实政府采购扶持中小企业，支持绿色发展和乡村振兴等政策情况）</w:t>
      </w:r>
    </w:p>
    <w:p w14:paraId="6877E2DB">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（6）履约验收标准：                                         </w:t>
      </w:r>
    </w:p>
    <w:p w14:paraId="72DC4240">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（7）是否以采购活动中</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提供的样品作为参考：</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 xml:space="preserve">是  </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否</w:t>
      </w:r>
    </w:p>
    <w:p w14:paraId="1618ACBB">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（8）履约验收其他事项：</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（产权过户登记等）          </w:t>
      </w:r>
    </w:p>
    <w:p w14:paraId="663A2D25">
      <w:pPr>
        <w:pStyle w:val="6"/>
        <w:keepNext w:val="0"/>
        <w:keepLines w:val="0"/>
        <w:pageBreakBefore w:val="0"/>
        <w:widowControl w:val="0"/>
        <w:kinsoku/>
        <w:wordWrap w:val="0"/>
        <w:overflowPunct/>
        <w:topLinePunct/>
        <w:autoSpaceDE/>
        <w:autoSpaceDN/>
        <w:bidi w:val="0"/>
        <w:adjustRightInd/>
        <w:snapToGrid/>
        <w:spacing w:line="360" w:lineRule="auto"/>
        <w:ind w:left="0" w:leftChars="0"/>
        <w:textAlignment w:val="auto"/>
        <w:outlineLvl w:val="2"/>
        <w:rPr>
          <w:rFonts w:hint="eastAsia" w:ascii="仿宋" w:hAnsi="仿宋" w:eastAsia="仿宋" w:cs="仿宋"/>
          <w:color w:val="auto"/>
          <w:sz w:val="21"/>
          <w:szCs w:val="21"/>
          <w:highlight w:val="none"/>
        </w:rPr>
      </w:pPr>
      <w:bookmarkStart w:id="1343" w:name="_Toc14325"/>
      <w:bookmarkStart w:id="1344" w:name="_Toc8421"/>
      <w:r>
        <w:rPr>
          <w:rFonts w:hint="eastAsia" w:ascii="仿宋" w:hAnsi="仿宋" w:eastAsia="仿宋" w:cs="仿宋"/>
          <w:color w:val="auto"/>
          <w:sz w:val="21"/>
          <w:szCs w:val="21"/>
          <w:highlight w:val="none"/>
        </w:rPr>
        <w:t>5.组成合同的文件</w:t>
      </w:r>
      <w:bookmarkEnd w:id="1343"/>
      <w:bookmarkEnd w:id="1344"/>
    </w:p>
    <w:p w14:paraId="19B6CFA1">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本协议书与下列文件一起构成合同文件，如下述文件之间有任何抵触、矛盾或歧义，应按以下顺序解释：</w:t>
      </w:r>
    </w:p>
    <w:p w14:paraId="2D1AA902">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（1）政府采购合同协议书及其变更、补充协议</w:t>
      </w:r>
    </w:p>
    <w:p w14:paraId="1A45B2B5">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（2）政府采购合同专用条款</w:t>
      </w:r>
    </w:p>
    <w:p w14:paraId="3070AF8E">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（3）政府采购合同通用条款</w:t>
      </w:r>
    </w:p>
    <w:p w14:paraId="5D5456EE">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（4）中标（成交）通知书</w:t>
      </w:r>
    </w:p>
    <w:p w14:paraId="4E002A93">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（5）投标（响应）文件</w:t>
      </w:r>
    </w:p>
    <w:p w14:paraId="238B864D">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（6）采购文件</w:t>
      </w:r>
    </w:p>
    <w:p w14:paraId="0B493E23">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（7）有关技术文件，图纸</w:t>
      </w:r>
    </w:p>
    <w:p w14:paraId="05610FA5">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（8）国家法律、行政法规和规章制度规定或合同约定的作为合同组成部分的其他文件</w:t>
      </w:r>
    </w:p>
    <w:p w14:paraId="015DA07D">
      <w:pPr>
        <w:pStyle w:val="6"/>
        <w:keepNext w:val="0"/>
        <w:keepLines w:val="0"/>
        <w:pageBreakBefore w:val="0"/>
        <w:widowControl w:val="0"/>
        <w:kinsoku/>
        <w:wordWrap w:val="0"/>
        <w:overflowPunct/>
        <w:topLinePunct/>
        <w:autoSpaceDE/>
        <w:autoSpaceDN/>
        <w:bidi w:val="0"/>
        <w:adjustRightInd/>
        <w:snapToGrid/>
        <w:spacing w:line="360" w:lineRule="auto"/>
        <w:ind w:left="0" w:leftChars="0"/>
        <w:textAlignment w:val="auto"/>
        <w:outlineLvl w:val="2"/>
        <w:rPr>
          <w:rFonts w:hint="eastAsia" w:ascii="仿宋" w:hAnsi="仿宋" w:eastAsia="仿宋" w:cs="仿宋"/>
          <w:color w:val="auto"/>
          <w:sz w:val="21"/>
          <w:szCs w:val="21"/>
          <w:highlight w:val="none"/>
        </w:rPr>
      </w:pPr>
      <w:bookmarkStart w:id="1345" w:name="_Toc14470"/>
      <w:bookmarkStart w:id="1346" w:name="_Toc19459"/>
      <w:r>
        <w:rPr>
          <w:rFonts w:hint="eastAsia" w:ascii="仿宋" w:hAnsi="仿宋" w:eastAsia="仿宋" w:cs="仿宋"/>
          <w:color w:val="auto"/>
          <w:sz w:val="21"/>
          <w:szCs w:val="21"/>
          <w:highlight w:val="none"/>
        </w:rPr>
        <w:t>6.合同生效</w:t>
      </w:r>
      <w:bookmarkEnd w:id="1345"/>
      <w:bookmarkEnd w:id="1346"/>
    </w:p>
    <w:p w14:paraId="133653C1">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本合同自</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生效。</w:t>
      </w:r>
    </w:p>
    <w:p w14:paraId="26598BE1">
      <w:pPr>
        <w:pStyle w:val="6"/>
        <w:keepNext w:val="0"/>
        <w:keepLines w:val="0"/>
        <w:pageBreakBefore w:val="0"/>
        <w:widowControl w:val="0"/>
        <w:kinsoku/>
        <w:wordWrap w:val="0"/>
        <w:overflowPunct/>
        <w:topLinePunct/>
        <w:autoSpaceDE/>
        <w:autoSpaceDN/>
        <w:bidi w:val="0"/>
        <w:adjustRightInd/>
        <w:snapToGrid/>
        <w:spacing w:line="360" w:lineRule="auto"/>
        <w:ind w:left="0" w:leftChars="0"/>
        <w:textAlignment w:val="auto"/>
        <w:outlineLvl w:val="2"/>
        <w:rPr>
          <w:rFonts w:hint="eastAsia" w:ascii="仿宋" w:hAnsi="仿宋" w:eastAsia="仿宋" w:cs="仿宋"/>
          <w:color w:val="auto"/>
          <w:sz w:val="21"/>
          <w:szCs w:val="21"/>
          <w:highlight w:val="none"/>
        </w:rPr>
      </w:pPr>
      <w:bookmarkStart w:id="1347" w:name="_Toc26328"/>
      <w:bookmarkStart w:id="1348" w:name="_Toc20060"/>
      <w:r>
        <w:rPr>
          <w:rFonts w:hint="eastAsia" w:ascii="仿宋" w:hAnsi="仿宋" w:eastAsia="仿宋" w:cs="仿宋"/>
          <w:color w:val="auto"/>
          <w:sz w:val="21"/>
          <w:szCs w:val="21"/>
          <w:highlight w:val="none"/>
        </w:rPr>
        <w:t>7.合同份数</w:t>
      </w:r>
      <w:bookmarkEnd w:id="1347"/>
      <w:bookmarkEnd w:id="1348"/>
    </w:p>
    <w:p w14:paraId="2B600A86">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本合同一式</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份，甲方执</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份，乙方执</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份，均具有同等法律效力。</w:t>
      </w:r>
    </w:p>
    <w:p w14:paraId="77FCC637">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合同订立时间：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日</w:t>
      </w:r>
    </w:p>
    <w:p w14:paraId="041A6A49">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jc w:val="left"/>
        <w:textAlignment w:val="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合同订立地点：</w:t>
      </w:r>
      <w:r>
        <w:rPr>
          <w:rFonts w:hint="eastAsia" w:ascii="仿宋" w:hAnsi="仿宋" w:eastAsia="仿宋" w:cs="仿宋"/>
          <w:color w:val="auto"/>
          <w:sz w:val="21"/>
          <w:szCs w:val="21"/>
          <w:highlight w:val="none"/>
          <w:u w:val="single"/>
        </w:rPr>
        <w:t xml:space="preserve">                                                    </w:t>
      </w:r>
    </w:p>
    <w:p w14:paraId="792F3D07">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color w:val="auto"/>
          <w:sz w:val="21"/>
          <w:szCs w:val="21"/>
          <w:highlight w:val="none"/>
        </w:rPr>
        <w:t>附件：具体标的及其技术要求和商务要求、联合协议、分包意向协议等</w:t>
      </w:r>
      <w:r>
        <w:rPr>
          <w:rFonts w:hint="eastAsia" w:ascii="仿宋" w:hAnsi="仿宋" w:eastAsia="仿宋" w:cs="仿宋"/>
          <w:bCs/>
          <w:color w:val="auto"/>
          <w:sz w:val="21"/>
          <w:szCs w:val="21"/>
          <w:highlight w:val="none"/>
        </w:rPr>
        <w:t>。</w:t>
      </w:r>
    </w:p>
    <w:p w14:paraId="17223FCE">
      <w:pPr>
        <w:keepNext w:val="0"/>
        <w:keepLines w:val="0"/>
        <w:pageBreakBefore w:val="0"/>
        <w:widowControl w:val="0"/>
        <w:kinsoku/>
        <w:wordWrap w:val="0"/>
        <w:overflowPunct/>
        <w:topLinePunct/>
        <w:autoSpaceDE/>
        <w:autoSpaceDN/>
        <w:bidi w:val="0"/>
        <w:adjustRightInd/>
        <w:snapToGrid/>
        <w:spacing w:line="360" w:lineRule="auto"/>
        <w:ind w:left="0" w:leftChars="0" w:firstLine="42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1"/>
          <w:szCs w:val="21"/>
          <w:highlight w:val="none"/>
        </w:rPr>
        <w:t>【以下无正文，为签署页】</w:t>
      </w:r>
    </w:p>
    <w:p w14:paraId="440ACCCF">
      <w:pPr>
        <w:wordWrap w:val="0"/>
        <w:topLinePunct/>
        <w:spacing w:line="360" w:lineRule="auto"/>
        <w:ind w:firstLine="480" w:firstLineChars="200"/>
        <w:rPr>
          <w:rFonts w:hint="eastAsia" w:ascii="仿宋" w:hAnsi="仿宋" w:eastAsia="仿宋" w:cs="仿宋"/>
          <w:color w:val="auto"/>
          <w:sz w:val="24"/>
          <w:szCs w:val="24"/>
          <w:highlight w:val="none"/>
        </w:rPr>
        <w:sectPr>
          <w:pgSz w:w="11906" w:h="16838"/>
          <w:pgMar w:top="1134" w:right="1134" w:bottom="1134" w:left="1134" w:header="567" w:footer="907" w:gutter="0"/>
          <w:pgBorders>
            <w:top w:val="none" w:sz="0" w:space="0"/>
            <w:left w:val="none" w:sz="0" w:space="0"/>
            <w:bottom w:val="none" w:sz="0" w:space="0"/>
            <w:right w:val="none" w:sz="0" w:space="0"/>
          </w:pgBorders>
          <w:pgNumType w:fmt="decimal"/>
          <w:cols w:space="720" w:num="1"/>
          <w:titlePg/>
          <w:docGrid w:linePitch="299" w:charSpace="0"/>
        </w:sectPr>
      </w:pPr>
    </w:p>
    <w:p w14:paraId="24995ED0">
      <w:pPr>
        <w:wordWrap w:val="0"/>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甲方（采购人单位章）名称：楚雄彝族自治州人民医院 </w:t>
      </w:r>
    </w:p>
    <w:p w14:paraId="7FA41C7E">
      <w:pPr>
        <w:wordWrap w:val="0"/>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址：云南省楚雄市鹿城南路31</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号</w:t>
      </w:r>
    </w:p>
    <w:p w14:paraId="6D82F46F">
      <w:pPr>
        <w:wordWrap w:val="0"/>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    编：675000</w:t>
      </w:r>
    </w:p>
    <w:p w14:paraId="4533D232">
      <w:pPr>
        <w:wordWrap w:val="0"/>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w:t>
      </w:r>
    </w:p>
    <w:p w14:paraId="627FB0DE">
      <w:pPr>
        <w:wordWrap w:val="0"/>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项目（技术）负责人：</w:t>
      </w:r>
    </w:p>
    <w:p w14:paraId="5EEDB377">
      <w:pPr>
        <w:wordWrap w:val="0"/>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p>
    <w:p w14:paraId="37FF286C">
      <w:pPr>
        <w:wordWrap w:val="0"/>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 订 日 期：</w:t>
      </w:r>
    </w:p>
    <w:p w14:paraId="292D79EB">
      <w:pPr>
        <w:wordWrap w:val="0"/>
        <w:topLinePunct/>
        <w:spacing w:line="360" w:lineRule="auto"/>
        <w:ind w:firstLine="480" w:firstLineChars="200"/>
        <w:rPr>
          <w:rFonts w:hint="eastAsia" w:ascii="仿宋" w:hAnsi="仿宋" w:eastAsia="仿宋" w:cs="仿宋"/>
          <w:color w:val="auto"/>
          <w:sz w:val="24"/>
          <w:szCs w:val="24"/>
          <w:highlight w:val="none"/>
        </w:rPr>
      </w:pPr>
    </w:p>
    <w:p w14:paraId="01103206">
      <w:pPr>
        <w:wordWrap w:val="0"/>
        <w:topLinePunct/>
        <w:spacing w:line="360" w:lineRule="auto"/>
        <w:ind w:firstLine="480" w:firstLineChars="200"/>
        <w:rPr>
          <w:rFonts w:hint="eastAsia" w:ascii="仿宋" w:hAnsi="仿宋" w:eastAsia="仿宋" w:cs="仿宋"/>
          <w:color w:val="auto"/>
          <w:sz w:val="24"/>
          <w:szCs w:val="24"/>
          <w:highlight w:val="none"/>
        </w:rPr>
      </w:pPr>
    </w:p>
    <w:p w14:paraId="3A96E4F4">
      <w:pPr>
        <w:wordWrap w:val="0"/>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单位章）名称：</w:t>
      </w:r>
    </w:p>
    <w:p w14:paraId="17BEA341">
      <w:pPr>
        <w:wordWrap w:val="0"/>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p>
    <w:p w14:paraId="52D9CC78">
      <w:pPr>
        <w:wordWrap w:val="0"/>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    编：</w:t>
      </w:r>
    </w:p>
    <w:p w14:paraId="57B6BFA4">
      <w:pPr>
        <w:wordWrap w:val="0"/>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    </w:t>
      </w:r>
    </w:p>
    <w:p w14:paraId="2E053D38">
      <w:pPr>
        <w:wordWrap w:val="0"/>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经   办   人：</w:t>
      </w:r>
    </w:p>
    <w:p w14:paraId="623AD528">
      <w:pPr>
        <w:wordWrap w:val="0"/>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p>
    <w:p w14:paraId="169D954B">
      <w:pPr>
        <w:wordWrap w:val="0"/>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 订 日 期 ：</w:t>
      </w:r>
    </w:p>
    <w:p w14:paraId="60689436">
      <w:pPr>
        <w:wordWrap w:val="0"/>
        <w:topLinePunct/>
        <w:spacing w:line="360" w:lineRule="auto"/>
        <w:ind w:firstLine="480" w:firstLineChars="200"/>
        <w:rPr>
          <w:rFonts w:hint="eastAsia" w:ascii="仿宋" w:hAnsi="仿宋" w:eastAsia="仿宋" w:cs="仿宋"/>
          <w:color w:val="auto"/>
          <w:sz w:val="24"/>
          <w:szCs w:val="24"/>
          <w:highlight w:val="none"/>
        </w:rPr>
      </w:pPr>
    </w:p>
    <w:p w14:paraId="3C185214">
      <w:pPr>
        <w:wordWrap w:val="0"/>
        <w:topLinePunct/>
        <w:spacing w:line="360" w:lineRule="auto"/>
        <w:ind w:firstLine="480" w:firstLineChars="200"/>
        <w:rPr>
          <w:rFonts w:hint="eastAsia" w:ascii="仿宋" w:hAnsi="仿宋" w:eastAsia="仿宋" w:cs="仿宋"/>
          <w:color w:val="auto"/>
          <w:sz w:val="24"/>
          <w:szCs w:val="24"/>
          <w:highlight w:val="none"/>
        </w:rPr>
      </w:pPr>
    </w:p>
    <w:p w14:paraId="4C065E75">
      <w:pPr>
        <w:wordWrap w:val="0"/>
        <w:topLinePunct/>
        <w:spacing w:line="360" w:lineRule="auto"/>
        <w:ind w:firstLine="480" w:firstLineChars="200"/>
        <w:rPr>
          <w:rFonts w:hint="eastAsia" w:ascii="仿宋" w:hAnsi="仿宋" w:eastAsia="仿宋" w:cs="仿宋"/>
          <w:vanish/>
          <w:color w:val="auto"/>
          <w:sz w:val="24"/>
          <w:szCs w:val="24"/>
          <w:highlight w:val="none"/>
        </w:rPr>
      </w:pPr>
    </w:p>
    <w:p w14:paraId="7EC0CDCC">
      <w:pPr>
        <w:wordWrap w:val="0"/>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丙方（鉴证方单位章）名称： 云南咏名工程管理咨询有限公司</w:t>
      </w:r>
    </w:p>
    <w:p w14:paraId="773368D9">
      <w:pPr>
        <w:wordWrap w:val="0"/>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址：楚雄市鹿城镇新安路水泥厂小区40号三楼</w:t>
      </w:r>
    </w:p>
    <w:p w14:paraId="347E42D8">
      <w:pPr>
        <w:wordWrap w:val="0"/>
        <w:topLinePunct/>
        <w:spacing w:line="360" w:lineRule="auto"/>
        <w:ind w:firstLine="480" w:firstLineChars="20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邮    编：</w:t>
      </w:r>
      <w:r>
        <w:rPr>
          <w:rFonts w:hint="eastAsia" w:ascii="仿宋" w:hAnsi="仿宋" w:eastAsia="仿宋" w:cs="仿宋"/>
          <w:color w:val="auto"/>
          <w:sz w:val="24"/>
          <w:szCs w:val="24"/>
          <w:highlight w:val="none"/>
          <w:lang w:val="en-US" w:eastAsia="zh-CN"/>
        </w:rPr>
        <w:t>675000</w:t>
      </w:r>
    </w:p>
    <w:p w14:paraId="05BFD89E">
      <w:pPr>
        <w:wordWrap w:val="0"/>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w:t>
      </w:r>
    </w:p>
    <w:p w14:paraId="44F6C234">
      <w:pPr>
        <w:wordWrap w:val="0"/>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经　办　人：</w:t>
      </w:r>
    </w:p>
    <w:p w14:paraId="0CC809DD">
      <w:pPr>
        <w:wordWrap w:val="0"/>
        <w:topLinePunct/>
        <w:spacing w:line="360" w:lineRule="auto"/>
        <w:ind w:firstLine="480" w:firstLineChars="200"/>
        <w:rPr>
          <w:rFonts w:hint="eastAsia" w:ascii="仿宋" w:hAnsi="仿宋" w:eastAsia="仿宋" w:cs="仿宋"/>
          <w:color w:val="auto"/>
          <w:sz w:val="24"/>
          <w:szCs w:val="24"/>
          <w:highlight w:val="none"/>
        </w:rPr>
        <w:sectPr>
          <w:pgSz w:w="11906" w:h="16838"/>
          <w:pgMar w:top="1134" w:right="1134" w:bottom="1134" w:left="1134" w:header="340" w:footer="907" w:gutter="0"/>
          <w:pgBorders>
            <w:top w:val="none" w:sz="0" w:space="0"/>
            <w:left w:val="none" w:sz="0" w:space="0"/>
            <w:bottom w:val="none" w:sz="0" w:space="0"/>
            <w:right w:val="none" w:sz="0" w:space="0"/>
          </w:pgBorders>
          <w:pgNumType w:fmt="decimal"/>
          <w:cols w:space="720" w:num="1"/>
          <w:titlePg/>
          <w:docGrid w:linePitch="299" w:charSpace="0"/>
        </w:sectPr>
      </w:pPr>
      <w:r>
        <w:rPr>
          <w:rFonts w:hint="eastAsia" w:ascii="仿宋" w:hAnsi="仿宋" w:eastAsia="仿宋" w:cs="仿宋"/>
          <w:color w:val="auto"/>
          <w:sz w:val="24"/>
          <w:szCs w:val="24"/>
          <w:highlight w:val="none"/>
        </w:rPr>
        <w:t>电   话：</w:t>
      </w:r>
    </w:p>
    <w:p w14:paraId="3FFBF9F8">
      <w:pPr>
        <w:pStyle w:val="5"/>
        <w:spacing w:line="443" w:lineRule="exact"/>
        <w:jc w:val="center"/>
        <w:outlineLvl w:val="1"/>
        <w:rPr>
          <w:rFonts w:hint="eastAsia" w:ascii="仿宋" w:hAnsi="仿宋" w:eastAsia="仿宋" w:cs="仿宋"/>
          <w:b/>
          <w:bCs/>
          <w:color w:val="auto"/>
          <w:sz w:val="30"/>
          <w:szCs w:val="32"/>
          <w:highlight w:val="none"/>
        </w:rPr>
      </w:pPr>
      <w:bookmarkStart w:id="1349" w:name="_Toc3129"/>
      <w:bookmarkStart w:id="1350" w:name="_Toc15002"/>
      <w:bookmarkStart w:id="1351" w:name="_Toc27624"/>
      <w:r>
        <w:rPr>
          <w:rFonts w:hint="eastAsia" w:ascii="仿宋" w:hAnsi="仿宋" w:eastAsia="仿宋" w:cs="仿宋"/>
          <w:b/>
          <w:bCs/>
          <w:color w:val="auto"/>
          <w:sz w:val="30"/>
          <w:szCs w:val="32"/>
          <w:highlight w:val="none"/>
        </w:rPr>
        <w:t>第二</w:t>
      </w:r>
      <w:r>
        <w:rPr>
          <w:rFonts w:hint="eastAsia" w:ascii="仿宋" w:hAnsi="仿宋" w:eastAsia="仿宋" w:cs="仿宋"/>
          <w:b/>
          <w:bCs/>
          <w:color w:val="auto"/>
          <w:sz w:val="30"/>
          <w:highlight w:val="none"/>
        </w:rPr>
        <w:t>部分</w:t>
      </w:r>
      <w:r>
        <w:rPr>
          <w:rFonts w:hint="eastAsia" w:ascii="仿宋" w:hAnsi="仿宋" w:eastAsia="仿宋" w:cs="仿宋"/>
          <w:b/>
          <w:bCs/>
          <w:color w:val="auto"/>
          <w:sz w:val="30"/>
          <w:szCs w:val="32"/>
          <w:highlight w:val="none"/>
        </w:rPr>
        <w:t xml:space="preserve"> 政府采购合同通用条款</w:t>
      </w:r>
      <w:bookmarkEnd w:id="1349"/>
      <w:bookmarkEnd w:id="1350"/>
      <w:bookmarkEnd w:id="1351"/>
    </w:p>
    <w:p w14:paraId="0C89F6D7">
      <w:pPr>
        <w:pStyle w:val="6"/>
        <w:outlineLvl w:val="2"/>
        <w:rPr>
          <w:rFonts w:hint="eastAsia" w:ascii="仿宋" w:hAnsi="仿宋" w:eastAsia="仿宋" w:cs="仿宋"/>
          <w:color w:val="auto"/>
          <w:sz w:val="21"/>
          <w:szCs w:val="21"/>
          <w:highlight w:val="none"/>
        </w:rPr>
      </w:pPr>
      <w:bookmarkStart w:id="1352" w:name="_Toc22569"/>
      <w:bookmarkStart w:id="1353" w:name="_Toc23820"/>
      <w:bookmarkStart w:id="1354" w:name="_Toc6950"/>
      <w:r>
        <w:rPr>
          <w:rFonts w:hint="eastAsia" w:ascii="仿宋" w:hAnsi="仿宋" w:eastAsia="仿宋" w:cs="仿宋"/>
          <w:color w:val="auto"/>
          <w:sz w:val="21"/>
          <w:szCs w:val="21"/>
          <w:highlight w:val="none"/>
        </w:rPr>
        <w:t>1.定义</w:t>
      </w:r>
      <w:bookmarkEnd w:id="1352"/>
      <w:bookmarkEnd w:id="1353"/>
      <w:bookmarkEnd w:id="1354"/>
    </w:p>
    <w:p w14:paraId="211620A4">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1.1合同当事人</w:t>
      </w:r>
    </w:p>
    <w:p w14:paraId="2864CCBD">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（1）采购人（以下称甲方）是指使用财政性资金，通过政府采购方式向</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购买货物及其相关服务的国家机关、事业单位、团体组织。</w:t>
      </w:r>
    </w:p>
    <w:p w14:paraId="03A3BE8D">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（以下称乙方）是指参加政府采购活动并且中标（成交），向采购人提供合同约定的货物及其相关服务的法人、非法人组织或者自然人。</w:t>
      </w:r>
    </w:p>
    <w:p w14:paraId="135A42E9">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（3）其他合同主体是指除采购人和</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以外，</w:t>
      </w:r>
      <w:r>
        <w:rPr>
          <w:rFonts w:hint="eastAsia" w:ascii="仿宋" w:hAnsi="仿宋" w:eastAsia="仿宋" w:cs="仿宋"/>
          <w:bCs/>
          <w:color w:val="auto"/>
          <w:sz w:val="21"/>
          <w:szCs w:val="21"/>
          <w:highlight w:val="none"/>
        </w:rPr>
        <w:t>依法参与合同缔结或履行，享有权利、承担义务的合同当事人</w:t>
      </w:r>
      <w:r>
        <w:rPr>
          <w:rFonts w:hint="eastAsia" w:ascii="仿宋" w:hAnsi="仿宋" w:eastAsia="仿宋" w:cs="仿宋"/>
          <w:color w:val="auto"/>
          <w:sz w:val="21"/>
          <w:szCs w:val="21"/>
          <w:highlight w:val="none"/>
        </w:rPr>
        <w:t>。</w:t>
      </w:r>
    </w:p>
    <w:p w14:paraId="08F336C5">
      <w:pPr>
        <w:tabs>
          <w:tab w:val="left" w:pos="570"/>
          <w:tab w:val="left" w:pos="9240"/>
          <w:tab w:val="left" w:pos="9555"/>
        </w:tabs>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1.2本合同下列术语应解释为：</w:t>
      </w:r>
    </w:p>
    <w:p w14:paraId="6798DF7B">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（1）“合同”系指</w:t>
      </w:r>
      <w:r>
        <w:rPr>
          <w:rFonts w:hint="eastAsia" w:ascii="仿宋" w:hAnsi="仿宋" w:eastAsia="仿宋" w:cs="仿宋"/>
          <w:bCs/>
          <w:color w:val="auto"/>
          <w:sz w:val="21"/>
          <w:szCs w:val="21"/>
          <w:highlight w:val="none"/>
        </w:rPr>
        <w:t>合同当事人意思表示达成一致的任何协议，包括签署的</w:t>
      </w:r>
      <w:r>
        <w:rPr>
          <w:rFonts w:hint="eastAsia" w:ascii="仿宋" w:hAnsi="仿宋" w:eastAsia="仿宋" w:cs="仿宋"/>
          <w:color w:val="auto"/>
          <w:sz w:val="21"/>
          <w:szCs w:val="21"/>
          <w:highlight w:val="none"/>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5CBA6421">
      <w:pPr>
        <w:tabs>
          <w:tab w:val="left" w:pos="570"/>
          <w:tab w:val="left" w:pos="9240"/>
          <w:tab w:val="left" w:pos="9555"/>
        </w:tabs>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（2）“合同价款”系指根据本合同规定乙方在全面履行合同义务后甲方应支付给乙方的价款。</w:t>
      </w:r>
    </w:p>
    <w:p w14:paraId="74A900B5">
      <w:pPr>
        <w:tabs>
          <w:tab w:val="left" w:pos="570"/>
          <w:tab w:val="left" w:pos="9240"/>
          <w:tab w:val="left" w:pos="9555"/>
        </w:tabs>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（3）“货物”系指乙方根据本合同规定须向甲方提供的各种形态和种类的物品，包括原材料、设备、产品（包括软件）及相关的其备品备件、工具、手册及</w:t>
      </w:r>
      <w:r>
        <w:rPr>
          <w:rFonts w:hint="eastAsia" w:ascii="仿宋" w:hAnsi="仿宋" w:eastAsia="仿宋" w:cs="仿宋"/>
          <w:color w:val="auto"/>
          <w:sz w:val="21"/>
          <w:szCs w:val="21"/>
          <w:highlight w:val="none"/>
          <w:lang w:val="en"/>
        </w:rPr>
        <w:t>其他</w:t>
      </w:r>
      <w:r>
        <w:rPr>
          <w:rFonts w:hint="eastAsia" w:ascii="仿宋" w:hAnsi="仿宋" w:eastAsia="仿宋" w:cs="仿宋"/>
          <w:color w:val="auto"/>
          <w:sz w:val="21"/>
          <w:szCs w:val="21"/>
          <w:highlight w:val="none"/>
        </w:rPr>
        <w:t>技术资料和材料等。</w:t>
      </w:r>
    </w:p>
    <w:p w14:paraId="5D321C4C">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（4）“相关服务”系指根据合同规定，乙方应提供的与货物有关的技术、管理和</w:t>
      </w:r>
      <w:r>
        <w:rPr>
          <w:rFonts w:hint="eastAsia" w:ascii="仿宋" w:hAnsi="仿宋" w:eastAsia="仿宋" w:cs="仿宋"/>
          <w:color w:val="auto"/>
          <w:sz w:val="21"/>
          <w:szCs w:val="21"/>
          <w:highlight w:val="none"/>
          <w:lang w:val="en"/>
        </w:rPr>
        <w:t>其他</w:t>
      </w:r>
      <w:r>
        <w:rPr>
          <w:rFonts w:hint="eastAsia" w:ascii="仿宋" w:hAnsi="仿宋" w:eastAsia="仿宋" w:cs="仿宋"/>
          <w:color w:val="auto"/>
          <w:sz w:val="21"/>
          <w:szCs w:val="21"/>
          <w:highlight w:val="none"/>
        </w:rPr>
        <w:t>服务，包括但不限于：管理和质量保证、运输、保险、检验、现场准备、安装、集成、调试、培训、维修、废弃处置、技术支持等以及合同中规定乙方应承担的</w:t>
      </w:r>
      <w:r>
        <w:rPr>
          <w:rFonts w:hint="eastAsia" w:ascii="仿宋" w:hAnsi="仿宋" w:eastAsia="仿宋" w:cs="仿宋"/>
          <w:color w:val="auto"/>
          <w:sz w:val="21"/>
          <w:szCs w:val="21"/>
          <w:highlight w:val="none"/>
          <w:lang w:val="en"/>
        </w:rPr>
        <w:t>其他</w:t>
      </w:r>
      <w:r>
        <w:rPr>
          <w:rFonts w:hint="eastAsia" w:ascii="仿宋" w:hAnsi="仿宋" w:eastAsia="仿宋" w:cs="仿宋"/>
          <w:color w:val="auto"/>
          <w:sz w:val="21"/>
          <w:szCs w:val="21"/>
          <w:highlight w:val="none"/>
        </w:rPr>
        <w:t>义务。</w:t>
      </w:r>
    </w:p>
    <w:p w14:paraId="2B852C69">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（5）“分包”系指中标（成交）</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按采购文件、投标（响应）文件的规定，根据分包意向协议，将中标（成交）项目中的部分履约内容，分给具有相应资质条件的</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履行合同的行为。</w:t>
      </w:r>
    </w:p>
    <w:p w14:paraId="2A2837F7">
      <w:pPr>
        <w:tabs>
          <w:tab w:val="left" w:pos="570"/>
          <w:tab w:val="left" w:pos="9240"/>
          <w:tab w:val="left" w:pos="9555"/>
        </w:tabs>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（6）“联合体”系指由两个以上的自然人、法人或者非法人组织组成，以一个</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仿宋"/>
          <w:b/>
          <w:bCs/>
          <w:color w:val="auto"/>
          <w:sz w:val="21"/>
          <w:szCs w:val="21"/>
          <w:highlight w:val="none"/>
        </w:rPr>
        <w:t>政府采购合同专用条款</w:t>
      </w:r>
      <w:r>
        <w:rPr>
          <w:rFonts w:hint="eastAsia" w:ascii="仿宋" w:hAnsi="仿宋" w:eastAsia="仿宋" w:cs="仿宋"/>
          <w:color w:val="auto"/>
          <w:sz w:val="21"/>
          <w:szCs w:val="21"/>
          <w:highlight w:val="none"/>
        </w:rPr>
        <w:t>】。</w:t>
      </w:r>
    </w:p>
    <w:p w14:paraId="27CF7945">
      <w:pPr>
        <w:tabs>
          <w:tab w:val="left" w:pos="570"/>
          <w:tab w:val="left" w:pos="9240"/>
          <w:tab w:val="left" w:pos="9555"/>
        </w:tabs>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（7）其他术语解释，见【</w:t>
      </w:r>
      <w:r>
        <w:rPr>
          <w:rFonts w:hint="eastAsia" w:ascii="仿宋" w:hAnsi="仿宋" w:eastAsia="仿宋" w:cs="仿宋"/>
          <w:b/>
          <w:bCs/>
          <w:color w:val="auto"/>
          <w:sz w:val="21"/>
          <w:szCs w:val="21"/>
          <w:highlight w:val="none"/>
        </w:rPr>
        <w:t>政府采购合同专用条款</w:t>
      </w:r>
      <w:r>
        <w:rPr>
          <w:rFonts w:hint="eastAsia" w:ascii="仿宋" w:hAnsi="仿宋" w:eastAsia="仿宋" w:cs="仿宋"/>
          <w:color w:val="auto"/>
          <w:sz w:val="21"/>
          <w:szCs w:val="21"/>
          <w:highlight w:val="none"/>
        </w:rPr>
        <w:t>】。</w:t>
      </w:r>
    </w:p>
    <w:p w14:paraId="07692356">
      <w:pPr>
        <w:pStyle w:val="6"/>
        <w:outlineLvl w:val="2"/>
        <w:rPr>
          <w:rFonts w:hint="eastAsia" w:ascii="仿宋" w:hAnsi="仿宋" w:eastAsia="仿宋" w:cs="仿宋"/>
          <w:color w:val="auto"/>
          <w:sz w:val="21"/>
          <w:szCs w:val="21"/>
          <w:highlight w:val="none"/>
        </w:rPr>
      </w:pPr>
      <w:bookmarkStart w:id="1355" w:name="_Toc12611"/>
      <w:bookmarkStart w:id="1356" w:name="_Toc12003"/>
      <w:bookmarkStart w:id="1357" w:name="_Toc3875"/>
      <w:r>
        <w:rPr>
          <w:rFonts w:hint="eastAsia" w:ascii="仿宋" w:hAnsi="仿宋" w:eastAsia="仿宋" w:cs="仿宋"/>
          <w:color w:val="auto"/>
          <w:sz w:val="21"/>
          <w:szCs w:val="21"/>
          <w:highlight w:val="none"/>
        </w:rPr>
        <w:t>2.合同标的及金额</w:t>
      </w:r>
      <w:bookmarkEnd w:id="1355"/>
      <w:bookmarkEnd w:id="1356"/>
      <w:bookmarkEnd w:id="1357"/>
    </w:p>
    <w:p w14:paraId="44A50C3A">
      <w:pPr>
        <w:wordWrap w:val="0"/>
        <w:topLinePunct/>
        <w:spacing w:line="360" w:lineRule="auto"/>
        <w:ind w:firstLine="420" w:firstLineChars="200"/>
        <w:jc w:val="left"/>
        <w:rPr>
          <w:rFonts w:hint="eastAsia" w:ascii="仿宋" w:hAnsi="仿宋" w:eastAsia="仿宋" w:cs="仿宋"/>
          <w:b/>
          <w:bCs/>
          <w:i/>
          <w:iCs/>
          <w:color w:val="auto"/>
          <w:sz w:val="21"/>
          <w:szCs w:val="21"/>
          <w:highlight w:val="none"/>
        </w:rPr>
      </w:pPr>
      <w:r>
        <w:rPr>
          <w:rFonts w:hint="eastAsia" w:ascii="仿宋" w:hAnsi="仿宋" w:eastAsia="仿宋" w:cs="仿宋"/>
          <w:color w:val="auto"/>
          <w:sz w:val="21"/>
          <w:szCs w:val="21"/>
          <w:highlight w:val="none"/>
        </w:rPr>
        <w:t>2.1 合同标的及金额应与中标（成交）结果一致。乙方为履行本合同而发生的所有费用均应包含在合同价款中，甲方不再另行支付</w:t>
      </w:r>
      <w:r>
        <w:rPr>
          <w:rFonts w:hint="eastAsia" w:ascii="仿宋" w:hAnsi="仿宋" w:eastAsia="仿宋" w:cs="仿宋"/>
          <w:color w:val="auto"/>
          <w:sz w:val="21"/>
          <w:szCs w:val="21"/>
          <w:highlight w:val="none"/>
          <w:lang w:val="en"/>
        </w:rPr>
        <w:t>其他</w:t>
      </w:r>
      <w:r>
        <w:rPr>
          <w:rFonts w:hint="eastAsia" w:ascii="仿宋" w:hAnsi="仿宋" w:eastAsia="仿宋" w:cs="仿宋"/>
          <w:color w:val="auto"/>
          <w:sz w:val="21"/>
          <w:szCs w:val="21"/>
          <w:highlight w:val="none"/>
        </w:rPr>
        <w:t>任何费用。</w:t>
      </w:r>
    </w:p>
    <w:p w14:paraId="4A989CBC">
      <w:pPr>
        <w:pStyle w:val="6"/>
        <w:outlineLvl w:val="2"/>
        <w:rPr>
          <w:rFonts w:hint="eastAsia" w:ascii="仿宋" w:hAnsi="仿宋" w:eastAsia="仿宋" w:cs="仿宋"/>
          <w:color w:val="auto"/>
          <w:sz w:val="21"/>
          <w:szCs w:val="21"/>
          <w:highlight w:val="none"/>
        </w:rPr>
      </w:pPr>
      <w:bookmarkStart w:id="1358" w:name="_Toc16651"/>
      <w:bookmarkStart w:id="1359" w:name="_Toc456"/>
      <w:bookmarkStart w:id="1360" w:name="_Toc6512"/>
      <w:r>
        <w:rPr>
          <w:rFonts w:hint="eastAsia" w:ascii="仿宋" w:hAnsi="仿宋" w:eastAsia="仿宋" w:cs="仿宋"/>
          <w:color w:val="auto"/>
          <w:sz w:val="21"/>
          <w:szCs w:val="21"/>
          <w:highlight w:val="none"/>
        </w:rPr>
        <w:t>3.履行合同的时间、地点和方式</w:t>
      </w:r>
      <w:bookmarkEnd w:id="1358"/>
      <w:bookmarkEnd w:id="1359"/>
      <w:bookmarkEnd w:id="1360"/>
    </w:p>
    <w:p w14:paraId="2226951C">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3.1 乙方应当在约定的时间、地点，按照约定方式履行合同。</w:t>
      </w:r>
    </w:p>
    <w:p w14:paraId="6AB22972">
      <w:pPr>
        <w:pStyle w:val="6"/>
        <w:outlineLvl w:val="2"/>
        <w:rPr>
          <w:rFonts w:hint="eastAsia" w:ascii="仿宋" w:hAnsi="仿宋" w:eastAsia="仿宋" w:cs="仿宋"/>
          <w:color w:val="auto"/>
          <w:sz w:val="21"/>
          <w:szCs w:val="21"/>
          <w:highlight w:val="none"/>
        </w:rPr>
      </w:pPr>
      <w:bookmarkStart w:id="1361" w:name="_Toc18972"/>
      <w:bookmarkStart w:id="1362" w:name="_Toc13701"/>
      <w:bookmarkStart w:id="1363" w:name="_Toc5129"/>
      <w:r>
        <w:rPr>
          <w:rFonts w:hint="eastAsia" w:ascii="仿宋" w:hAnsi="仿宋" w:eastAsia="仿宋" w:cs="仿宋"/>
          <w:color w:val="auto"/>
          <w:sz w:val="21"/>
          <w:szCs w:val="21"/>
          <w:highlight w:val="none"/>
        </w:rPr>
        <w:t>4.甲方的权利和义务</w:t>
      </w:r>
      <w:bookmarkEnd w:id="1361"/>
      <w:bookmarkEnd w:id="1362"/>
      <w:bookmarkEnd w:id="1363"/>
    </w:p>
    <w:p w14:paraId="586A7D38">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50846E35">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4.2 甲方有权要求乙方按时提交各阶段有关安排计划，并有权定期核对乙方提供货物数量、规格、质量等内容。甲方有权督促乙方工作并要求乙方更换不符合要求的货物。</w:t>
      </w:r>
    </w:p>
    <w:p w14:paraId="406587B0">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4.3 甲方有权要求乙方对缺陷部分予以修复，并按合同约定享有货物保修及其他合同约定的权利。</w:t>
      </w:r>
    </w:p>
    <w:p w14:paraId="2BD9837E">
      <w:pPr>
        <w:wordWrap w:val="0"/>
        <w:topLinePunct/>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4.4 甲方应当按照合同约定及时对交付的货物进行验收，未在</w:t>
      </w:r>
      <w:r>
        <w:rPr>
          <w:rFonts w:hint="eastAsia" w:ascii="仿宋" w:hAnsi="仿宋" w:eastAsia="仿宋" w:cs="仿宋"/>
          <w:b/>
          <w:bCs/>
          <w:color w:val="auto"/>
          <w:sz w:val="21"/>
          <w:szCs w:val="21"/>
          <w:highlight w:val="none"/>
        </w:rPr>
        <w:t>【政府采购合同专用条款】</w:t>
      </w:r>
      <w:r>
        <w:rPr>
          <w:rFonts w:hint="eastAsia" w:ascii="仿宋" w:hAnsi="仿宋" w:eastAsia="仿宋" w:cs="仿宋"/>
          <w:color w:val="auto"/>
          <w:sz w:val="21"/>
          <w:szCs w:val="21"/>
          <w:highlight w:val="none"/>
        </w:rPr>
        <w:t>约定的期限内对乙方履约提出任何异议或者向乙方作出任何说明的，视为验收通过。</w:t>
      </w:r>
    </w:p>
    <w:p w14:paraId="1AFF284E">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4.5 甲方应当根据合同约定及时向乙方支付合同价款，不得以内部人员变更、履行内部付款流程等为由，拒绝或迟延支付。</w:t>
      </w:r>
    </w:p>
    <w:p w14:paraId="6E2F49CC">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4.6 国家法律法规规定及</w:t>
      </w:r>
      <w:r>
        <w:rPr>
          <w:rFonts w:hint="eastAsia" w:ascii="仿宋" w:hAnsi="仿宋" w:eastAsia="仿宋" w:cs="仿宋"/>
          <w:b/>
          <w:bCs/>
          <w:color w:val="auto"/>
          <w:sz w:val="21"/>
          <w:szCs w:val="21"/>
          <w:highlight w:val="none"/>
        </w:rPr>
        <w:t>【政府采购合同专用条款】</w:t>
      </w:r>
      <w:r>
        <w:rPr>
          <w:rFonts w:hint="eastAsia" w:ascii="仿宋" w:hAnsi="仿宋" w:eastAsia="仿宋" w:cs="仿宋"/>
          <w:color w:val="auto"/>
          <w:sz w:val="21"/>
          <w:szCs w:val="21"/>
          <w:highlight w:val="none"/>
        </w:rPr>
        <w:t>约定应由甲方承担的其他义务和责任。</w:t>
      </w:r>
    </w:p>
    <w:p w14:paraId="3B5280BA">
      <w:pPr>
        <w:pStyle w:val="6"/>
        <w:outlineLvl w:val="2"/>
        <w:rPr>
          <w:rFonts w:hint="eastAsia" w:ascii="仿宋" w:hAnsi="仿宋" w:eastAsia="仿宋" w:cs="仿宋"/>
          <w:color w:val="auto"/>
          <w:sz w:val="21"/>
          <w:szCs w:val="21"/>
          <w:highlight w:val="none"/>
        </w:rPr>
      </w:pPr>
      <w:bookmarkStart w:id="1364" w:name="_Toc6600"/>
      <w:bookmarkStart w:id="1365" w:name="_Toc20459"/>
      <w:bookmarkStart w:id="1366" w:name="_Toc10863"/>
      <w:r>
        <w:rPr>
          <w:rFonts w:hint="eastAsia" w:ascii="仿宋" w:hAnsi="仿宋" w:eastAsia="仿宋" w:cs="仿宋"/>
          <w:color w:val="auto"/>
          <w:sz w:val="21"/>
          <w:szCs w:val="21"/>
          <w:highlight w:val="none"/>
        </w:rPr>
        <w:t>5.乙方的权利和义务</w:t>
      </w:r>
      <w:bookmarkEnd w:id="1364"/>
      <w:bookmarkEnd w:id="1365"/>
      <w:bookmarkEnd w:id="1366"/>
    </w:p>
    <w:p w14:paraId="39328D66">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5.1 签署合同后，乙方应确定项目负责人（或项目联系人），负责与本合同有关的事务。</w:t>
      </w:r>
    </w:p>
    <w:p w14:paraId="73FAB3ED">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515E3F92">
      <w:pPr>
        <w:pStyle w:val="28"/>
        <w:wordWrap w:val="0"/>
        <w:topLinePunct/>
        <w:spacing w:line="360" w:lineRule="auto"/>
        <w:ind w:firstLine="369" w:firstLineChars="176"/>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5.3乙方有权根据合同约定向甲方收取合同价款。</w:t>
      </w:r>
    </w:p>
    <w:p w14:paraId="2A516A3B">
      <w:pPr>
        <w:pStyle w:val="28"/>
        <w:wordWrap w:val="0"/>
        <w:topLinePunct/>
        <w:spacing w:line="360" w:lineRule="auto"/>
        <w:ind w:firstLine="369" w:firstLineChars="176"/>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5.4国家法律法规规定及</w:t>
      </w:r>
      <w:r>
        <w:rPr>
          <w:rFonts w:hint="eastAsia" w:ascii="仿宋" w:hAnsi="仿宋" w:eastAsia="仿宋" w:cs="仿宋"/>
          <w:b/>
          <w:bCs/>
          <w:color w:val="auto"/>
          <w:sz w:val="21"/>
          <w:szCs w:val="21"/>
          <w:highlight w:val="none"/>
        </w:rPr>
        <w:t>【政府采购合同专用条款】</w:t>
      </w:r>
      <w:r>
        <w:rPr>
          <w:rFonts w:hint="eastAsia" w:ascii="仿宋" w:hAnsi="仿宋" w:eastAsia="仿宋" w:cs="仿宋"/>
          <w:color w:val="auto"/>
          <w:sz w:val="21"/>
          <w:szCs w:val="21"/>
          <w:highlight w:val="none"/>
        </w:rPr>
        <w:t>约定应由乙方承担的其他义务和责任。</w:t>
      </w:r>
    </w:p>
    <w:p w14:paraId="18543CDC">
      <w:pPr>
        <w:pStyle w:val="6"/>
        <w:outlineLvl w:val="2"/>
        <w:rPr>
          <w:rFonts w:hint="eastAsia" w:ascii="仿宋" w:hAnsi="仿宋" w:eastAsia="仿宋" w:cs="仿宋"/>
          <w:color w:val="auto"/>
          <w:sz w:val="21"/>
          <w:szCs w:val="21"/>
          <w:highlight w:val="none"/>
        </w:rPr>
      </w:pPr>
      <w:bookmarkStart w:id="1367" w:name="_Toc26783"/>
      <w:bookmarkStart w:id="1368" w:name="_Toc364"/>
      <w:bookmarkStart w:id="1369" w:name="_Toc32021"/>
      <w:r>
        <w:rPr>
          <w:rFonts w:hint="eastAsia" w:ascii="仿宋" w:hAnsi="仿宋" w:eastAsia="仿宋" w:cs="仿宋"/>
          <w:color w:val="auto"/>
          <w:sz w:val="21"/>
          <w:szCs w:val="21"/>
          <w:highlight w:val="none"/>
        </w:rPr>
        <w:t>6.合同履行</w:t>
      </w:r>
      <w:bookmarkEnd w:id="1367"/>
      <w:bookmarkEnd w:id="1368"/>
      <w:bookmarkEnd w:id="1369"/>
    </w:p>
    <w:p w14:paraId="385F2CC2">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6.1 甲乙双方应当按照</w:t>
      </w:r>
      <w:r>
        <w:rPr>
          <w:rFonts w:hint="eastAsia" w:ascii="仿宋" w:hAnsi="仿宋" w:eastAsia="仿宋" w:cs="仿宋"/>
          <w:b/>
          <w:bCs/>
          <w:color w:val="auto"/>
          <w:sz w:val="21"/>
          <w:szCs w:val="21"/>
          <w:highlight w:val="none"/>
        </w:rPr>
        <w:t>【政府采购合同专用条款】</w:t>
      </w:r>
      <w:r>
        <w:rPr>
          <w:rFonts w:hint="eastAsia" w:ascii="仿宋" w:hAnsi="仿宋" w:eastAsia="仿宋" w:cs="仿宋"/>
          <w:color w:val="auto"/>
          <w:sz w:val="21"/>
          <w:szCs w:val="21"/>
          <w:highlight w:val="none"/>
        </w:rPr>
        <w:t>约定顺序履行合同义务；如果没有先后顺序的，应当同时履行。</w:t>
      </w:r>
    </w:p>
    <w:p w14:paraId="031317D7">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475E9873">
      <w:pPr>
        <w:pStyle w:val="6"/>
        <w:outlineLvl w:val="2"/>
        <w:rPr>
          <w:rFonts w:hint="eastAsia" w:ascii="仿宋" w:hAnsi="仿宋" w:eastAsia="仿宋" w:cs="仿宋"/>
          <w:color w:val="auto"/>
          <w:sz w:val="21"/>
          <w:szCs w:val="21"/>
          <w:highlight w:val="none"/>
        </w:rPr>
      </w:pPr>
      <w:bookmarkStart w:id="1370" w:name="_Toc11783"/>
      <w:bookmarkStart w:id="1371" w:name="_Toc7498"/>
      <w:bookmarkStart w:id="1372" w:name="_Toc32417"/>
      <w:r>
        <w:rPr>
          <w:rFonts w:hint="eastAsia" w:ascii="仿宋" w:hAnsi="仿宋" w:eastAsia="仿宋" w:cs="仿宋"/>
          <w:color w:val="auto"/>
          <w:sz w:val="21"/>
          <w:szCs w:val="21"/>
          <w:highlight w:val="none"/>
        </w:rPr>
        <w:t>7.货物包装、运输、保险和交付要求</w:t>
      </w:r>
      <w:bookmarkEnd w:id="1370"/>
      <w:bookmarkEnd w:id="1371"/>
      <w:bookmarkEnd w:id="1372"/>
    </w:p>
    <w:p w14:paraId="1F9B5777">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7.1 本合同</w:t>
      </w:r>
      <w:r>
        <w:rPr>
          <w:rFonts w:hint="eastAsia" w:ascii="仿宋" w:hAnsi="仿宋" w:eastAsia="仿宋" w:cs="仿宋"/>
          <w:bCs/>
          <w:color w:val="auto"/>
          <w:sz w:val="21"/>
          <w:szCs w:val="21"/>
          <w:highlight w:val="none"/>
        </w:rPr>
        <w:t>涉及商品包装、快递包装的，</w:t>
      </w:r>
      <w:r>
        <w:rPr>
          <w:rFonts w:hint="eastAsia" w:ascii="仿宋" w:hAnsi="仿宋" w:eastAsia="仿宋" w:cs="仿宋"/>
          <w:color w:val="auto"/>
          <w:sz w:val="21"/>
          <w:szCs w:val="21"/>
          <w:highlight w:val="none"/>
        </w:rPr>
        <w:t>除</w:t>
      </w:r>
      <w:r>
        <w:rPr>
          <w:rFonts w:hint="eastAsia" w:ascii="仿宋" w:hAnsi="仿宋" w:eastAsia="仿宋" w:cs="仿宋"/>
          <w:b/>
          <w:color w:val="auto"/>
          <w:sz w:val="21"/>
          <w:szCs w:val="21"/>
          <w:highlight w:val="none"/>
        </w:rPr>
        <w:t>【政府采购合同专用条款】</w:t>
      </w:r>
      <w:r>
        <w:rPr>
          <w:rFonts w:hint="eastAsia" w:ascii="仿宋" w:hAnsi="仿宋" w:eastAsia="仿宋" w:cs="仿宋"/>
          <w:bCs/>
          <w:color w:val="auto"/>
          <w:sz w:val="21"/>
          <w:szCs w:val="21"/>
          <w:highlight w:val="none"/>
        </w:rPr>
        <w:t>另有约定外，</w:t>
      </w:r>
      <w:r>
        <w:rPr>
          <w:rFonts w:hint="eastAsia" w:ascii="仿宋" w:hAnsi="仿宋" w:eastAsia="仿宋" w:cs="仿宋"/>
          <w:color w:val="auto"/>
          <w:sz w:val="21"/>
          <w:szCs w:val="21"/>
          <w:highlight w:val="none"/>
        </w:rPr>
        <w:t>包装应适应远距离运输、防潮、防震、防锈和防野蛮装卸等要求，确保货物安全无损地运抵</w:t>
      </w:r>
      <w:r>
        <w:rPr>
          <w:rFonts w:hint="eastAsia" w:ascii="仿宋" w:hAnsi="仿宋" w:eastAsia="仿宋" w:cs="仿宋"/>
          <w:b/>
          <w:color w:val="auto"/>
          <w:sz w:val="21"/>
          <w:szCs w:val="21"/>
          <w:highlight w:val="none"/>
        </w:rPr>
        <w:t>【政府采购合同专用条款】</w:t>
      </w:r>
      <w:r>
        <w:rPr>
          <w:rFonts w:hint="eastAsia" w:ascii="仿宋" w:hAnsi="仿宋" w:eastAsia="仿宋" w:cs="仿宋"/>
          <w:bCs/>
          <w:color w:val="auto"/>
          <w:sz w:val="21"/>
          <w:szCs w:val="21"/>
          <w:highlight w:val="none"/>
        </w:rPr>
        <w:t>约定的</w:t>
      </w:r>
      <w:r>
        <w:rPr>
          <w:rFonts w:hint="eastAsia" w:ascii="仿宋" w:hAnsi="仿宋" w:eastAsia="仿宋" w:cs="仿宋"/>
          <w:color w:val="auto"/>
          <w:sz w:val="21"/>
          <w:szCs w:val="21"/>
          <w:highlight w:val="none"/>
        </w:rPr>
        <w:t>指定现场。</w:t>
      </w:r>
    </w:p>
    <w:p w14:paraId="2C745F79">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7.2 除</w:t>
      </w:r>
      <w:r>
        <w:rPr>
          <w:rFonts w:hint="eastAsia" w:ascii="仿宋" w:hAnsi="仿宋" w:eastAsia="仿宋" w:cs="仿宋"/>
          <w:b/>
          <w:color w:val="auto"/>
          <w:sz w:val="21"/>
          <w:szCs w:val="21"/>
          <w:highlight w:val="none"/>
        </w:rPr>
        <w:t>【政府采购合同专用条款】</w:t>
      </w:r>
      <w:r>
        <w:rPr>
          <w:rFonts w:hint="eastAsia" w:ascii="仿宋" w:hAnsi="仿宋" w:eastAsia="仿宋" w:cs="仿宋"/>
          <w:bCs/>
          <w:color w:val="auto"/>
          <w:sz w:val="21"/>
          <w:szCs w:val="21"/>
          <w:highlight w:val="none"/>
        </w:rPr>
        <w:t>另有约定外，</w:t>
      </w:r>
      <w:r>
        <w:rPr>
          <w:rFonts w:hint="eastAsia" w:ascii="仿宋" w:hAnsi="仿宋" w:eastAsia="仿宋" w:cs="仿宋"/>
          <w:color w:val="auto"/>
          <w:sz w:val="21"/>
          <w:szCs w:val="21"/>
          <w:highlight w:val="none"/>
        </w:rPr>
        <w:t>乙方负责办理将货物运抵本合同规定的交货地点，并装卸、交付至甲方的一切运输事项，相关费用应包含在合同价款中。</w:t>
      </w:r>
    </w:p>
    <w:p w14:paraId="123A7F4E">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7.3 货物保险要求按</w:t>
      </w:r>
      <w:r>
        <w:rPr>
          <w:rFonts w:hint="eastAsia" w:ascii="仿宋" w:hAnsi="仿宋" w:eastAsia="仿宋" w:cs="仿宋"/>
          <w:b/>
          <w:color w:val="auto"/>
          <w:sz w:val="21"/>
          <w:szCs w:val="21"/>
          <w:highlight w:val="none"/>
        </w:rPr>
        <w:t>【政府采购合同专用条款】</w:t>
      </w:r>
      <w:r>
        <w:rPr>
          <w:rFonts w:hint="eastAsia" w:ascii="仿宋" w:hAnsi="仿宋" w:eastAsia="仿宋" w:cs="仿宋"/>
          <w:bCs/>
          <w:color w:val="auto"/>
          <w:sz w:val="21"/>
          <w:szCs w:val="21"/>
          <w:highlight w:val="none"/>
        </w:rPr>
        <w:t>规定执行</w:t>
      </w:r>
      <w:r>
        <w:rPr>
          <w:rFonts w:hint="eastAsia" w:ascii="仿宋" w:hAnsi="仿宋" w:eastAsia="仿宋" w:cs="仿宋"/>
          <w:color w:val="auto"/>
          <w:sz w:val="21"/>
          <w:szCs w:val="21"/>
          <w:highlight w:val="none"/>
        </w:rPr>
        <w:t>。</w:t>
      </w:r>
    </w:p>
    <w:p w14:paraId="37C55B7B">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7.4 除采购活动对商品包装、快递包装达成具体约定外，乙方提供产品及相关快递服务涉及具体包装要求的，应不低于《商品包装政府采购需求标准（试行）》《快递包装政府采购需求标准（试行）</w:t>
      </w:r>
      <w:r>
        <w:rPr>
          <w:rFonts w:hint="eastAsia" w:ascii="仿宋" w:hAnsi="仿宋" w:eastAsia="仿宋" w:cs="仿宋"/>
          <w:color w:val="auto"/>
          <w:sz w:val="21"/>
          <w:szCs w:val="21"/>
          <w:highlight w:val="none"/>
          <w:lang w:eastAsia="zh-CN"/>
        </w:rPr>
        <w:t>》等</w:t>
      </w:r>
      <w:r>
        <w:rPr>
          <w:rFonts w:hint="eastAsia" w:ascii="仿宋" w:hAnsi="仿宋" w:eastAsia="仿宋" w:cs="仿宋"/>
          <w:color w:val="auto"/>
          <w:sz w:val="21"/>
          <w:szCs w:val="21"/>
          <w:highlight w:val="none"/>
        </w:rPr>
        <w:t>标准，并作为履约验收的内容，必要时甲方可以要求乙方在履约验收环节出具检测报告。</w:t>
      </w:r>
    </w:p>
    <w:p w14:paraId="245D9FCE">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7.5 乙方在运输到达之前应提前通知甲方，并提示货物运输装卸的注意事项，甲方配合乙方做好货物的接收工作。</w:t>
      </w:r>
    </w:p>
    <w:p w14:paraId="774F17EF">
      <w:pPr>
        <w:pStyle w:val="86"/>
        <w:widowControl w:val="0"/>
        <w:wordWrap w:val="0"/>
        <w:topLinePunct/>
        <w:autoSpaceDE/>
        <w:autoSpaceDN/>
        <w:adjustRightInd/>
        <w:spacing w:line="360" w:lineRule="auto"/>
        <w:ind w:firstLine="480"/>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rPr>
        <w:t>7.6 如因包装、运输问题导致货物损毁、丢失或者品质下降，甲方有权要求降价、换货、拒收部分或整批货物，由此产生的费用和损失，均由乙方承担。</w:t>
      </w:r>
    </w:p>
    <w:p w14:paraId="2E5A895B">
      <w:pPr>
        <w:pStyle w:val="6"/>
        <w:outlineLvl w:val="2"/>
        <w:rPr>
          <w:rFonts w:hint="eastAsia" w:ascii="仿宋" w:hAnsi="仿宋" w:eastAsia="仿宋" w:cs="仿宋"/>
          <w:color w:val="auto"/>
          <w:sz w:val="21"/>
          <w:szCs w:val="21"/>
          <w:highlight w:val="none"/>
        </w:rPr>
      </w:pPr>
      <w:bookmarkStart w:id="1373" w:name="_Toc17820"/>
      <w:bookmarkStart w:id="1374" w:name="_Toc10717"/>
      <w:bookmarkStart w:id="1375" w:name="_Toc1643"/>
      <w:r>
        <w:rPr>
          <w:rFonts w:hint="eastAsia" w:ascii="仿宋" w:hAnsi="仿宋" w:eastAsia="仿宋" w:cs="仿宋"/>
          <w:color w:val="auto"/>
          <w:sz w:val="21"/>
          <w:szCs w:val="21"/>
          <w:highlight w:val="none"/>
        </w:rPr>
        <w:t>8.质量标准和保证</w:t>
      </w:r>
      <w:bookmarkEnd w:id="1373"/>
      <w:bookmarkEnd w:id="1374"/>
      <w:bookmarkEnd w:id="1375"/>
    </w:p>
    <w:p w14:paraId="28AE9739">
      <w:pPr>
        <w:pStyle w:val="35"/>
        <w:wordWrap w:val="0"/>
        <w:topLinePunct/>
        <w:spacing w:line="360" w:lineRule="auto"/>
        <w:ind w:firstLine="420" w:firstLineChars="200"/>
        <w:jc w:val="left"/>
        <w:rPr>
          <w:rFonts w:hint="eastAsia" w:ascii="仿宋" w:hAnsi="仿宋" w:eastAsia="仿宋" w:cs="仿宋"/>
          <w:b/>
          <w:color w:val="auto"/>
          <w:sz w:val="21"/>
          <w:szCs w:val="21"/>
          <w:highlight w:val="none"/>
        </w:rPr>
      </w:pPr>
      <w:r>
        <w:rPr>
          <w:rFonts w:hint="eastAsia" w:ascii="仿宋" w:hAnsi="仿宋" w:eastAsia="仿宋" w:cs="仿宋"/>
          <w:color w:val="auto"/>
          <w:sz w:val="21"/>
          <w:szCs w:val="21"/>
          <w:highlight w:val="none"/>
        </w:rPr>
        <w:t>8.1 质量标准</w:t>
      </w:r>
    </w:p>
    <w:p w14:paraId="6E602AA6">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39BAFEE5">
      <w:pPr>
        <w:pStyle w:val="35"/>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（2）采用中华人民共和国法定计量单位。</w:t>
      </w:r>
    </w:p>
    <w:p w14:paraId="278877AA">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（3）乙方所提供的货物应符合国家有关安全、环保、卫生的规定。</w:t>
      </w:r>
    </w:p>
    <w:p w14:paraId="0C070864">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（4）乙方应向甲方提交所提供货物的技术文件，包括相应的中文技术文件，如：产品目录、图纸、操作手册、使用说明、维护手册或服务指南等。上述文件应包装好随货物一同发运。</w:t>
      </w:r>
    </w:p>
    <w:p w14:paraId="7E0135F3">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8.2 保证</w:t>
      </w:r>
    </w:p>
    <w:p w14:paraId="15B6CE6E">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 w:hAnsi="仿宋" w:eastAsia="仿宋" w:cs="仿宋"/>
          <w:b/>
          <w:color w:val="auto"/>
          <w:sz w:val="21"/>
          <w:szCs w:val="21"/>
          <w:highlight w:val="none"/>
        </w:rPr>
        <w:t>【政府采购合同专用条款】</w:t>
      </w:r>
      <w:r>
        <w:rPr>
          <w:rFonts w:hint="eastAsia" w:ascii="仿宋" w:hAnsi="仿宋" w:eastAsia="仿宋" w:cs="仿宋"/>
          <w:color w:val="auto"/>
          <w:sz w:val="21"/>
          <w:szCs w:val="21"/>
          <w:highlight w:val="none"/>
        </w:rPr>
        <w:t>规定或乙方书面承诺（两者以较长的为准）的质量保证期内，本保证保持有效。</w:t>
      </w:r>
    </w:p>
    <w:p w14:paraId="7D50FE7F">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（2）在质量保证期内所发现的缺陷，甲方应尽快以书面形式通知乙方。</w:t>
      </w:r>
    </w:p>
    <w:p w14:paraId="3E325EBD">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（3）乙方收到通知后，应在</w:t>
      </w:r>
      <w:r>
        <w:rPr>
          <w:rFonts w:hint="eastAsia" w:ascii="仿宋" w:hAnsi="仿宋" w:eastAsia="仿宋" w:cs="仿宋"/>
          <w:b/>
          <w:color w:val="auto"/>
          <w:sz w:val="21"/>
          <w:szCs w:val="21"/>
          <w:highlight w:val="none"/>
        </w:rPr>
        <w:t>【政府采购合同专用条款】</w:t>
      </w:r>
      <w:r>
        <w:rPr>
          <w:rFonts w:hint="eastAsia" w:ascii="仿宋" w:hAnsi="仿宋" w:eastAsia="仿宋" w:cs="仿宋"/>
          <w:color w:val="auto"/>
          <w:sz w:val="21"/>
          <w:szCs w:val="21"/>
          <w:highlight w:val="none"/>
        </w:rPr>
        <w:t>规定的响应时间内以合理的速度免费维修或更换有缺陷的货物或部件。</w:t>
      </w:r>
    </w:p>
    <w:p w14:paraId="07A69FDA">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18284246">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（5）乙方在约定的时间内未能弥补缺陷，甲方可采取必要的补救措施，但其风险和费用将由乙方承担，甲方根据合同约定对乙方行使的其他权利不受影响。</w:t>
      </w:r>
    </w:p>
    <w:p w14:paraId="452F2BA5">
      <w:pPr>
        <w:pStyle w:val="6"/>
        <w:outlineLvl w:val="2"/>
        <w:rPr>
          <w:rFonts w:hint="eastAsia" w:ascii="仿宋" w:hAnsi="仿宋" w:eastAsia="仿宋" w:cs="仿宋"/>
          <w:color w:val="auto"/>
          <w:sz w:val="21"/>
          <w:szCs w:val="21"/>
          <w:highlight w:val="none"/>
        </w:rPr>
      </w:pPr>
      <w:bookmarkStart w:id="1376" w:name="_Toc12369"/>
      <w:bookmarkStart w:id="1377" w:name="_Toc20581"/>
      <w:bookmarkStart w:id="1378" w:name="_Toc22158"/>
      <w:r>
        <w:rPr>
          <w:rFonts w:hint="eastAsia" w:ascii="仿宋" w:hAnsi="仿宋" w:eastAsia="仿宋" w:cs="仿宋"/>
          <w:color w:val="auto"/>
          <w:sz w:val="21"/>
          <w:szCs w:val="21"/>
          <w:highlight w:val="none"/>
        </w:rPr>
        <w:t>9.权利瑕疵担保</w:t>
      </w:r>
      <w:bookmarkEnd w:id="1376"/>
      <w:bookmarkEnd w:id="1377"/>
      <w:bookmarkEnd w:id="1378"/>
    </w:p>
    <w:p w14:paraId="642FC9C7">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9.1 乙方保证对其出售的货物享有合法的权利。</w:t>
      </w:r>
    </w:p>
    <w:p w14:paraId="0F93D695">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9.2 乙方保证在交付的货物上不存在抵押权等担保物权。</w:t>
      </w:r>
    </w:p>
    <w:p w14:paraId="5423001D">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9.3 如甲方使用上述货物构成对第三人侵权的，则由乙方承担全部责任。</w:t>
      </w:r>
    </w:p>
    <w:p w14:paraId="0FE5CF95">
      <w:pPr>
        <w:pStyle w:val="6"/>
        <w:outlineLvl w:val="2"/>
        <w:rPr>
          <w:rFonts w:hint="eastAsia" w:ascii="仿宋" w:hAnsi="仿宋" w:eastAsia="仿宋" w:cs="仿宋"/>
          <w:color w:val="auto"/>
          <w:sz w:val="21"/>
          <w:szCs w:val="21"/>
          <w:highlight w:val="none"/>
        </w:rPr>
      </w:pPr>
      <w:bookmarkStart w:id="1379" w:name="_Toc24738"/>
      <w:bookmarkStart w:id="1380" w:name="_Toc29277"/>
      <w:r>
        <w:rPr>
          <w:rFonts w:hint="eastAsia" w:ascii="仿宋" w:hAnsi="仿宋" w:eastAsia="仿宋" w:cs="仿宋"/>
          <w:color w:val="auto"/>
          <w:sz w:val="21"/>
          <w:szCs w:val="21"/>
          <w:highlight w:val="none"/>
        </w:rPr>
        <w:t>10.知识产权保护</w:t>
      </w:r>
      <w:bookmarkEnd w:id="1379"/>
      <w:bookmarkEnd w:id="1380"/>
    </w:p>
    <w:p w14:paraId="4519AC6E">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10.1 乙方对其所销售的货物应当享有知识产权或经权利人合法授权，保证没有侵犯任何第三人的知识产权等权利。</w:t>
      </w:r>
      <w:bookmarkStart w:id="1381" w:name="_Hlk163047038"/>
      <w:r>
        <w:rPr>
          <w:rFonts w:hint="eastAsia" w:ascii="仿宋" w:hAnsi="仿宋" w:eastAsia="仿宋" w:cs="仿宋"/>
          <w:color w:val="auto"/>
          <w:sz w:val="21"/>
          <w:szCs w:val="21"/>
          <w:highlight w:val="none"/>
        </w:rPr>
        <w:t>因违反前述约定对第三人构成侵权的，应当由乙方向第三人承担法律责任；甲方依法向第三人赔偿后，有权向乙方追偿。甲方有其他损失的，乙方应当赔偿</w:t>
      </w:r>
      <w:bookmarkEnd w:id="1381"/>
      <w:r>
        <w:rPr>
          <w:rFonts w:hint="eastAsia" w:ascii="仿宋" w:hAnsi="仿宋" w:eastAsia="仿宋" w:cs="仿宋"/>
          <w:color w:val="auto"/>
          <w:sz w:val="21"/>
          <w:szCs w:val="21"/>
          <w:highlight w:val="none"/>
        </w:rPr>
        <w:t>。</w:t>
      </w:r>
    </w:p>
    <w:p w14:paraId="70FB2D4E">
      <w:pPr>
        <w:pStyle w:val="6"/>
        <w:outlineLvl w:val="2"/>
        <w:rPr>
          <w:rFonts w:hint="eastAsia" w:ascii="仿宋" w:hAnsi="仿宋" w:eastAsia="仿宋" w:cs="仿宋"/>
          <w:color w:val="auto"/>
          <w:sz w:val="21"/>
          <w:szCs w:val="21"/>
          <w:highlight w:val="none"/>
        </w:rPr>
      </w:pPr>
      <w:bookmarkStart w:id="1382" w:name="_Toc28301"/>
      <w:bookmarkStart w:id="1383" w:name="_Toc24117"/>
      <w:bookmarkStart w:id="1384" w:name="_Toc27775"/>
      <w:r>
        <w:rPr>
          <w:rFonts w:hint="eastAsia" w:ascii="仿宋" w:hAnsi="仿宋" w:eastAsia="仿宋" w:cs="仿宋"/>
          <w:color w:val="auto"/>
          <w:sz w:val="21"/>
          <w:szCs w:val="21"/>
          <w:highlight w:val="none"/>
        </w:rPr>
        <w:t>11.保密义务</w:t>
      </w:r>
      <w:bookmarkEnd w:id="1382"/>
      <w:bookmarkEnd w:id="1383"/>
      <w:bookmarkEnd w:id="1384"/>
    </w:p>
    <w:p w14:paraId="2DC6F17B">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仿宋"/>
          <w:b/>
          <w:bCs/>
          <w:color w:val="auto"/>
          <w:sz w:val="21"/>
          <w:szCs w:val="21"/>
          <w:highlight w:val="none"/>
        </w:rPr>
        <w:t>【政府采购合同专用条款】</w:t>
      </w:r>
      <w:r>
        <w:rPr>
          <w:rFonts w:hint="eastAsia" w:ascii="仿宋" w:hAnsi="仿宋" w:eastAsia="仿宋" w:cs="仿宋"/>
          <w:color w:val="auto"/>
          <w:sz w:val="21"/>
          <w:szCs w:val="21"/>
          <w:highlight w:val="none"/>
        </w:rPr>
        <w:t>中约定。</w:t>
      </w:r>
    </w:p>
    <w:p w14:paraId="5A8EE7CC">
      <w:pPr>
        <w:pStyle w:val="6"/>
        <w:outlineLvl w:val="2"/>
        <w:rPr>
          <w:rFonts w:hint="eastAsia" w:ascii="仿宋" w:hAnsi="仿宋" w:eastAsia="仿宋" w:cs="仿宋"/>
          <w:color w:val="auto"/>
          <w:sz w:val="21"/>
          <w:szCs w:val="21"/>
          <w:highlight w:val="none"/>
        </w:rPr>
      </w:pPr>
      <w:bookmarkStart w:id="1385" w:name="_Toc11817"/>
      <w:bookmarkStart w:id="1386" w:name="_Toc12869"/>
      <w:bookmarkStart w:id="1387" w:name="_Toc22417"/>
      <w:r>
        <w:rPr>
          <w:rFonts w:hint="eastAsia" w:ascii="仿宋" w:hAnsi="仿宋" w:eastAsia="仿宋" w:cs="仿宋"/>
          <w:color w:val="auto"/>
          <w:sz w:val="21"/>
          <w:szCs w:val="21"/>
          <w:highlight w:val="none"/>
        </w:rPr>
        <w:t>12.合同价款支付</w:t>
      </w:r>
      <w:bookmarkEnd w:id="1385"/>
      <w:bookmarkEnd w:id="1386"/>
      <w:bookmarkEnd w:id="1387"/>
    </w:p>
    <w:p w14:paraId="73DC1AD8">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12.1 合同价款支付按照国库集中支付制度及财政管理相关规定执行。</w:t>
      </w:r>
    </w:p>
    <w:p w14:paraId="7034936C">
      <w:pPr>
        <w:wordWrap w:val="0"/>
        <w:topLinePunct/>
        <w:spacing w:line="360" w:lineRule="auto"/>
        <w:ind w:firstLine="420" w:firstLineChars="200"/>
        <w:jc w:val="left"/>
        <w:rPr>
          <w:rFonts w:hint="eastAsia" w:ascii="仿宋" w:hAnsi="仿宋" w:eastAsia="仿宋" w:cs="仿宋"/>
          <w:color w:val="auto"/>
          <w:sz w:val="21"/>
          <w:szCs w:val="21"/>
          <w:highlight w:val="none"/>
        </w:rPr>
      </w:pPr>
      <w:bookmarkStart w:id="1388" w:name="_Toc20583"/>
      <w:bookmarkStart w:id="1389" w:name="_Toc16240"/>
      <w:bookmarkStart w:id="1390" w:name="_Toc11744"/>
      <w:r>
        <w:rPr>
          <w:rFonts w:hint="eastAsia" w:ascii="仿宋" w:hAnsi="仿宋" w:eastAsia="仿宋" w:cs="仿宋"/>
          <w:color w:val="auto"/>
          <w:sz w:val="21"/>
          <w:szCs w:val="21"/>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cs="仿宋"/>
          <w:b/>
          <w:bCs/>
          <w:color w:val="auto"/>
          <w:sz w:val="21"/>
          <w:szCs w:val="21"/>
          <w:highlight w:val="none"/>
        </w:rPr>
        <w:t>【政府采购合同专用条款】</w:t>
      </w:r>
      <w:r>
        <w:rPr>
          <w:rFonts w:hint="eastAsia" w:ascii="仿宋" w:hAnsi="仿宋" w:eastAsia="仿宋" w:cs="仿宋"/>
          <w:color w:val="auto"/>
          <w:sz w:val="21"/>
          <w:szCs w:val="21"/>
          <w:highlight w:val="none"/>
        </w:rPr>
        <w:t>中约定。</w:t>
      </w:r>
      <w:bookmarkEnd w:id="1388"/>
      <w:bookmarkEnd w:id="1389"/>
      <w:bookmarkEnd w:id="1390"/>
    </w:p>
    <w:p w14:paraId="7D031A04">
      <w:pPr>
        <w:pStyle w:val="6"/>
        <w:outlineLvl w:val="2"/>
        <w:rPr>
          <w:rFonts w:hint="eastAsia" w:ascii="仿宋" w:hAnsi="仿宋" w:eastAsia="仿宋" w:cs="仿宋"/>
          <w:color w:val="auto"/>
          <w:sz w:val="21"/>
          <w:szCs w:val="21"/>
          <w:highlight w:val="none"/>
        </w:rPr>
      </w:pPr>
      <w:bookmarkStart w:id="1391" w:name="_Toc14379"/>
      <w:bookmarkStart w:id="1392" w:name="_Toc19133"/>
      <w:bookmarkStart w:id="1393" w:name="_Toc21684"/>
      <w:r>
        <w:rPr>
          <w:rFonts w:hint="eastAsia" w:ascii="仿宋" w:hAnsi="仿宋" w:eastAsia="仿宋" w:cs="仿宋"/>
          <w:color w:val="auto"/>
          <w:sz w:val="21"/>
          <w:szCs w:val="21"/>
          <w:highlight w:val="none"/>
        </w:rPr>
        <w:t>13.履约保证金</w:t>
      </w:r>
      <w:bookmarkEnd w:id="1391"/>
      <w:bookmarkEnd w:id="1392"/>
      <w:bookmarkEnd w:id="1393"/>
    </w:p>
    <w:p w14:paraId="7B92CCB9">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13.1 乙方应当以支票、汇票、本票或者金融机构、担保机构出具的保函等非现金形式提交。</w:t>
      </w:r>
    </w:p>
    <w:p w14:paraId="7AF8FB94">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13.2 如果乙方出现</w:t>
      </w:r>
      <w:r>
        <w:rPr>
          <w:rFonts w:hint="eastAsia" w:ascii="仿宋" w:hAnsi="仿宋" w:eastAsia="仿宋" w:cs="仿宋"/>
          <w:b/>
          <w:bCs/>
          <w:color w:val="auto"/>
          <w:sz w:val="21"/>
          <w:szCs w:val="21"/>
          <w:highlight w:val="none"/>
        </w:rPr>
        <w:t>【政府采购合同专用条款】</w:t>
      </w:r>
      <w:r>
        <w:rPr>
          <w:rFonts w:hint="eastAsia" w:ascii="仿宋" w:hAnsi="仿宋" w:eastAsia="仿宋" w:cs="仿宋"/>
          <w:color w:val="auto"/>
          <w:sz w:val="21"/>
          <w:szCs w:val="21"/>
          <w:highlight w:val="none"/>
        </w:rPr>
        <w:t>约定情形的，履约保证金不予退还；如果乙方未能按合同约定全面履行义务，甲方有权从履约保证金中取得补偿或赔偿，且不影响甲方要求乙方承担合同约定的超过履约保证金的违约责任的权利。</w:t>
      </w:r>
    </w:p>
    <w:p w14:paraId="58956C38">
      <w:pPr>
        <w:wordWrap w:val="0"/>
        <w:topLinePunct/>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13.3 甲方在项目通过验收后按照</w:t>
      </w:r>
      <w:r>
        <w:rPr>
          <w:rFonts w:hint="eastAsia" w:ascii="仿宋" w:hAnsi="仿宋" w:eastAsia="仿宋" w:cs="仿宋"/>
          <w:b/>
          <w:color w:val="auto"/>
          <w:sz w:val="21"/>
          <w:szCs w:val="21"/>
          <w:highlight w:val="none"/>
        </w:rPr>
        <w:t>【政府采购合同专用条款】</w:t>
      </w:r>
      <w:r>
        <w:rPr>
          <w:rFonts w:hint="eastAsia" w:ascii="仿宋" w:hAnsi="仿宋" w:eastAsia="仿宋" w:cs="仿宋"/>
          <w:color w:val="auto"/>
          <w:sz w:val="21"/>
          <w:szCs w:val="21"/>
          <w:highlight w:val="none"/>
        </w:rPr>
        <w:t>规定的时间内将履约保证金退还乙方；逾期退还的，乙方可要求甲方支付违约金，违约金按照</w:t>
      </w:r>
      <w:r>
        <w:rPr>
          <w:rFonts w:hint="eastAsia" w:ascii="仿宋" w:hAnsi="仿宋" w:eastAsia="仿宋" w:cs="仿宋"/>
          <w:b/>
          <w:color w:val="auto"/>
          <w:sz w:val="21"/>
          <w:szCs w:val="21"/>
          <w:highlight w:val="none"/>
        </w:rPr>
        <w:t>【政府采购合同专用条款】</w:t>
      </w:r>
      <w:r>
        <w:rPr>
          <w:rFonts w:hint="eastAsia" w:ascii="仿宋" w:hAnsi="仿宋" w:eastAsia="仿宋" w:cs="仿宋"/>
          <w:color w:val="auto"/>
          <w:sz w:val="21"/>
          <w:szCs w:val="21"/>
          <w:highlight w:val="none"/>
        </w:rPr>
        <w:t>规定支付。</w:t>
      </w:r>
    </w:p>
    <w:p w14:paraId="0EAAC30C">
      <w:pPr>
        <w:pStyle w:val="6"/>
        <w:outlineLvl w:val="2"/>
        <w:rPr>
          <w:rFonts w:hint="eastAsia" w:ascii="仿宋" w:hAnsi="仿宋" w:eastAsia="仿宋" w:cs="仿宋"/>
          <w:color w:val="auto"/>
          <w:sz w:val="21"/>
          <w:szCs w:val="21"/>
          <w:highlight w:val="none"/>
        </w:rPr>
      </w:pPr>
      <w:bookmarkStart w:id="1394" w:name="_Toc8648"/>
      <w:bookmarkStart w:id="1395" w:name="_Toc647"/>
      <w:bookmarkStart w:id="1396" w:name="_Toc1955"/>
      <w:r>
        <w:rPr>
          <w:rFonts w:hint="eastAsia" w:ascii="仿宋" w:hAnsi="仿宋" w:eastAsia="仿宋" w:cs="仿宋"/>
          <w:color w:val="auto"/>
          <w:sz w:val="21"/>
          <w:szCs w:val="21"/>
          <w:highlight w:val="none"/>
        </w:rPr>
        <w:t>14.售后服务</w:t>
      </w:r>
      <w:bookmarkEnd w:id="1394"/>
      <w:bookmarkEnd w:id="1395"/>
      <w:bookmarkEnd w:id="1396"/>
    </w:p>
    <w:p w14:paraId="058B811C">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14.1 除项目不涉及或采购活动中明确约定无须承担外，乙方还应提供下列服务：</w:t>
      </w:r>
    </w:p>
    <w:p w14:paraId="1B7E1031">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（1）货物的现场移动、安装、调试、启动监督及技术支持；</w:t>
      </w:r>
    </w:p>
    <w:p w14:paraId="5913C657">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（2）提供货物组装和维修所需的专用工具和辅助材料；</w:t>
      </w:r>
    </w:p>
    <w:p w14:paraId="3E29CFE4">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（3）在</w:t>
      </w:r>
      <w:r>
        <w:rPr>
          <w:rFonts w:hint="eastAsia" w:ascii="仿宋" w:hAnsi="仿宋" w:eastAsia="仿宋" w:cs="仿宋"/>
          <w:b/>
          <w:bCs/>
          <w:color w:val="auto"/>
          <w:sz w:val="21"/>
          <w:szCs w:val="21"/>
          <w:highlight w:val="none"/>
        </w:rPr>
        <w:t>【政府采购合同专用条款】</w:t>
      </w:r>
      <w:r>
        <w:rPr>
          <w:rFonts w:hint="eastAsia" w:ascii="仿宋" w:hAnsi="仿宋" w:eastAsia="仿宋" w:cs="仿宋"/>
          <w:color w:val="auto"/>
          <w:sz w:val="21"/>
          <w:szCs w:val="21"/>
          <w:highlight w:val="none"/>
        </w:rPr>
        <w:t>约定的期限内对所有的货物实施运行监督、维修，但前提条件是该服务并不能免除乙方在质量保证期内所承担的义务；</w:t>
      </w:r>
    </w:p>
    <w:p w14:paraId="40E2DB14">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（4）在制造商所在地或指定现场就货物的安装、启动、运营、维护、废弃处置等对甲方操作人员进行培训；</w:t>
      </w:r>
    </w:p>
    <w:p w14:paraId="33A53AFD">
      <w:pPr>
        <w:pStyle w:val="86"/>
        <w:widowControl w:val="0"/>
        <w:wordWrap w:val="0"/>
        <w:topLinePunct/>
        <w:autoSpaceDE/>
        <w:autoSpaceDN/>
        <w:adjustRightInd/>
        <w:spacing w:line="360" w:lineRule="auto"/>
        <w:ind w:firstLine="48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（5）依照法律、行政法规的规定或者按照</w:t>
      </w:r>
      <w:r>
        <w:rPr>
          <w:rFonts w:hint="eastAsia" w:ascii="仿宋" w:hAnsi="仿宋" w:eastAsia="仿宋" w:cs="仿宋"/>
          <w:b/>
          <w:bCs/>
          <w:color w:val="auto"/>
          <w:sz w:val="21"/>
          <w:szCs w:val="21"/>
          <w:highlight w:val="none"/>
        </w:rPr>
        <w:t>【政府采购合同专用条款】</w:t>
      </w:r>
      <w:r>
        <w:rPr>
          <w:rFonts w:hint="eastAsia" w:ascii="仿宋" w:hAnsi="仿宋" w:eastAsia="仿宋" w:cs="仿宋"/>
          <w:color w:val="auto"/>
          <w:sz w:val="21"/>
          <w:szCs w:val="21"/>
          <w:highlight w:val="none"/>
        </w:rPr>
        <w:t>约定，货物在有效使用年限届满后应予回收的，乙方负有自行或者委托第三人对货物予以回收的义务；</w:t>
      </w:r>
    </w:p>
    <w:p w14:paraId="26BEFB18">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w:t>
      </w:r>
      <w:r>
        <w:rPr>
          <w:rFonts w:hint="eastAsia" w:ascii="仿宋" w:hAnsi="仿宋" w:eastAsia="仿宋" w:cs="仿宋"/>
          <w:b/>
          <w:color w:val="auto"/>
          <w:sz w:val="21"/>
          <w:szCs w:val="21"/>
          <w:highlight w:val="none"/>
        </w:rPr>
        <w:t>【政府采购合同专用条款】</w:t>
      </w:r>
      <w:r>
        <w:rPr>
          <w:rFonts w:hint="eastAsia" w:ascii="仿宋" w:hAnsi="仿宋" w:eastAsia="仿宋" w:cs="仿宋"/>
          <w:color w:val="auto"/>
          <w:sz w:val="21"/>
          <w:szCs w:val="21"/>
          <w:highlight w:val="none"/>
        </w:rPr>
        <w:t>规定由乙方提供的其他服务。</w:t>
      </w:r>
    </w:p>
    <w:p w14:paraId="1F61F92A">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14.2 乙方提供的售后服务的费用已包含在合同价款中，甲方不再另行支付。</w:t>
      </w:r>
    </w:p>
    <w:p w14:paraId="1F8FF006">
      <w:pPr>
        <w:pStyle w:val="6"/>
        <w:outlineLvl w:val="2"/>
        <w:rPr>
          <w:rFonts w:hint="eastAsia" w:ascii="仿宋" w:hAnsi="仿宋" w:eastAsia="仿宋" w:cs="仿宋"/>
          <w:color w:val="auto"/>
          <w:sz w:val="21"/>
          <w:szCs w:val="21"/>
          <w:highlight w:val="none"/>
        </w:rPr>
      </w:pPr>
      <w:bookmarkStart w:id="1397" w:name="_Toc5480"/>
      <w:bookmarkStart w:id="1398" w:name="_Toc15795"/>
      <w:bookmarkStart w:id="1399" w:name="_Toc14552"/>
      <w:r>
        <w:rPr>
          <w:rFonts w:hint="eastAsia" w:ascii="仿宋" w:hAnsi="仿宋" w:eastAsia="仿宋" w:cs="仿宋"/>
          <w:color w:val="auto"/>
          <w:sz w:val="21"/>
          <w:szCs w:val="21"/>
          <w:highlight w:val="none"/>
        </w:rPr>
        <w:t>15.违约责任</w:t>
      </w:r>
      <w:bookmarkEnd w:id="1397"/>
      <w:bookmarkEnd w:id="1398"/>
      <w:bookmarkEnd w:id="1399"/>
    </w:p>
    <w:p w14:paraId="74263483">
      <w:pPr>
        <w:wordWrap w:val="0"/>
        <w:topLinePunct/>
        <w:spacing w:line="360" w:lineRule="auto"/>
        <w:ind w:firstLine="420" w:firstLineChars="20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15.1质量瑕疵的违约责任</w:t>
      </w:r>
    </w:p>
    <w:p w14:paraId="777FBF90">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乙方提供的产品不符合合同约定的质量标准或存在产品质量缺陷，甲方有权要求乙方根据</w:t>
      </w:r>
      <w:r>
        <w:rPr>
          <w:rFonts w:hint="eastAsia" w:ascii="仿宋" w:hAnsi="仿宋" w:eastAsia="仿宋" w:cs="仿宋"/>
          <w:b/>
          <w:color w:val="auto"/>
          <w:sz w:val="21"/>
          <w:szCs w:val="21"/>
          <w:highlight w:val="none"/>
        </w:rPr>
        <w:t>【政府采购合同专用条款】</w:t>
      </w:r>
      <w:r>
        <w:rPr>
          <w:rFonts w:hint="eastAsia" w:ascii="仿宋" w:hAnsi="仿宋" w:eastAsia="仿宋" w:cs="仿宋"/>
          <w:bCs/>
          <w:color w:val="auto"/>
          <w:sz w:val="21"/>
          <w:szCs w:val="21"/>
          <w:highlight w:val="none"/>
        </w:rPr>
        <w:t>要求</w:t>
      </w:r>
      <w:r>
        <w:rPr>
          <w:rFonts w:hint="eastAsia" w:ascii="仿宋" w:hAnsi="仿宋" w:eastAsia="仿宋" w:cs="仿宋"/>
          <w:color w:val="auto"/>
          <w:sz w:val="21"/>
          <w:szCs w:val="21"/>
          <w:highlight w:val="none"/>
        </w:rPr>
        <w:t>及时修理、重作、更换，并承担由此给甲方造成的损失。</w:t>
      </w:r>
    </w:p>
    <w:p w14:paraId="68886B88">
      <w:pPr>
        <w:wordWrap w:val="0"/>
        <w:topLinePunct/>
        <w:spacing w:line="360" w:lineRule="auto"/>
        <w:ind w:firstLine="420" w:firstLineChars="20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15.2 迟延交货的违约责任</w:t>
      </w:r>
    </w:p>
    <w:p w14:paraId="7E2EA7D4">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757AC225">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（2）如果乙方没有按照合同规定的时间交货和提供相关服务，甲方有权从货款中扣除误期赔偿费而不影响合同项下的其他补救方法，赔偿费按</w:t>
      </w:r>
      <w:r>
        <w:rPr>
          <w:rFonts w:hint="eastAsia" w:ascii="仿宋" w:hAnsi="仿宋" w:eastAsia="仿宋" w:cs="仿宋"/>
          <w:b/>
          <w:color w:val="auto"/>
          <w:sz w:val="21"/>
          <w:szCs w:val="21"/>
          <w:highlight w:val="none"/>
        </w:rPr>
        <w:t>【政府采购合同专用条款】</w:t>
      </w:r>
      <w:r>
        <w:rPr>
          <w:rFonts w:hint="eastAsia" w:ascii="仿宋" w:hAnsi="仿宋" w:eastAsia="仿宋" w:cs="仿宋"/>
          <w:color w:val="auto"/>
          <w:sz w:val="21"/>
          <w:szCs w:val="21"/>
          <w:highlight w:val="none"/>
        </w:rPr>
        <w:t>规定执行。如果涉及公共利益，且赔偿金额无法弥补公共利益损失，甲方可要求继续履行或者采取其他补救措施。</w:t>
      </w:r>
    </w:p>
    <w:p w14:paraId="5E46AE1D">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15.3 迟延支付的违约责任</w:t>
      </w:r>
    </w:p>
    <w:p w14:paraId="67BDB2F0">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甲方存在迟延支付乙方合同款项的，应当承担</w:t>
      </w:r>
      <w:r>
        <w:rPr>
          <w:rFonts w:hint="eastAsia" w:ascii="仿宋" w:hAnsi="仿宋" w:eastAsia="仿宋" w:cs="仿宋"/>
          <w:b/>
          <w:bCs/>
          <w:color w:val="auto"/>
          <w:sz w:val="21"/>
          <w:szCs w:val="21"/>
          <w:highlight w:val="none"/>
        </w:rPr>
        <w:t>【政府采购合同专用条款】</w:t>
      </w:r>
      <w:r>
        <w:rPr>
          <w:rFonts w:hint="eastAsia" w:ascii="仿宋" w:hAnsi="仿宋" w:eastAsia="仿宋" w:cs="仿宋"/>
          <w:color w:val="auto"/>
          <w:sz w:val="21"/>
          <w:szCs w:val="21"/>
          <w:highlight w:val="none"/>
        </w:rPr>
        <w:t>规定的逾期付款利息。</w:t>
      </w:r>
    </w:p>
    <w:p w14:paraId="78F47920">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15.4其他违约责任根据项目实际需要按</w:t>
      </w:r>
      <w:r>
        <w:rPr>
          <w:rFonts w:hint="eastAsia" w:ascii="仿宋" w:hAnsi="仿宋" w:eastAsia="仿宋" w:cs="仿宋"/>
          <w:b/>
          <w:bCs/>
          <w:color w:val="auto"/>
          <w:sz w:val="21"/>
          <w:szCs w:val="21"/>
          <w:highlight w:val="none"/>
        </w:rPr>
        <w:t>【政府采购合同专用条款】</w:t>
      </w:r>
      <w:r>
        <w:rPr>
          <w:rFonts w:hint="eastAsia" w:ascii="仿宋" w:hAnsi="仿宋" w:eastAsia="仿宋" w:cs="仿宋"/>
          <w:color w:val="auto"/>
          <w:sz w:val="21"/>
          <w:szCs w:val="21"/>
          <w:highlight w:val="none"/>
        </w:rPr>
        <w:t>规定执行。</w:t>
      </w:r>
    </w:p>
    <w:p w14:paraId="19F02A77">
      <w:pPr>
        <w:pStyle w:val="6"/>
        <w:outlineLvl w:val="2"/>
        <w:rPr>
          <w:rFonts w:hint="eastAsia" w:ascii="仿宋" w:hAnsi="仿宋" w:eastAsia="仿宋" w:cs="仿宋"/>
          <w:color w:val="auto"/>
          <w:sz w:val="21"/>
          <w:szCs w:val="21"/>
          <w:highlight w:val="none"/>
        </w:rPr>
      </w:pPr>
      <w:bookmarkStart w:id="1400" w:name="_Toc18687"/>
      <w:bookmarkStart w:id="1401" w:name="_Toc11279"/>
      <w:bookmarkStart w:id="1402" w:name="_Toc29287"/>
      <w:r>
        <w:rPr>
          <w:rFonts w:hint="eastAsia" w:ascii="仿宋" w:hAnsi="仿宋" w:eastAsia="仿宋" w:cs="仿宋"/>
          <w:color w:val="auto"/>
          <w:sz w:val="21"/>
          <w:szCs w:val="21"/>
          <w:highlight w:val="none"/>
        </w:rPr>
        <w:t>16.合同变更、中止与终止</w:t>
      </w:r>
      <w:bookmarkEnd w:id="1400"/>
      <w:bookmarkEnd w:id="1401"/>
      <w:bookmarkEnd w:id="1402"/>
    </w:p>
    <w:p w14:paraId="6E0062D0">
      <w:pPr>
        <w:wordWrap w:val="0"/>
        <w:topLinePunct/>
        <w:spacing w:line="360" w:lineRule="auto"/>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16.1合同的变更</w:t>
      </w:r>
    </w:p>
    <w:p w14:paraId="2EAD8AED">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政府采购合同履行中，在不改变合同其他条款的前提下，甲方可以在合同价款10%的范围内追加与合同标的相同的货物，并就此与乙方协商一致后签订补充协议。</w:t>
      </w:r>
    </w:p>
    <w:p w14:paraId="4FF64553">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16.2合同的终止</w:t>
      </w:r>
    </w:p>
    <w:p w14:paraId="7A27583E">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（1）合同履行过程中因</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就采购文件、采购过程或结果提起投诉的，甲方认为有必要的，可以中止合同的履行。</w:t>
      </w:r>
    </w:p>
    <w:p w14:paraId="3F43DCB0">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07742943">
      <w:pPr>
        <w:pStyle w:val="86"/>
        <w:widowControl w:val="0"/>
        <w:wordWrap w:val="0"/>
        <w:topLinePunct/>
        <w:autoSpaceDE/>
        <w:autoSpaceDN/>
        <w:adjustRightInd/>
        <w:spacing w:line="360" w:lineRule="auto"/>
        <w:ind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（3）乙方分立、合并或者变更住所的，应当及时以书面形式告知甲方。乙方没有及时告知甲方，致使合同履行发生困难的，甲方可以中止合同履行并要求乙方承担由此给甲方造成的损失。</w:t>
      </w:r>
    </w:p>
    <w:p w14:paraId="5C81F416">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（4）甲方不得以行政区划调整、政府换届、机构或者职能调整以及相关责任人更替为由终止合同。</w:t>
      </w:r>
    </w:p>
    <w:p w14:paraId="31407BFB">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16.3合同的终止</w:t>
      </w:r>
    </w:p>
    <w:p w14:paraId="74F62083">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（1）合同因有效期限届满而终止；</w:t>
      </w:r>
    </w:p>
    <w:p w14:paraId="4A424A4E">
      <w:pPr>
        <w:wordWrap w:val="0"/>
        <w:topLinePunct/>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（2）乙方未按合同约定履行，构成根本性违约的，甲方有权终止合同，并追究乙方的违约责任。</w:t>
      </w:r>
    </w:p>
    <w:p w14:paraId="631BC133">
      <w:pPr>
        <w:pStyle w:val="86"/>
        <w:widowControl w:val="0"/>
        <w:wordWrap w:val="0"/>
        <w:topLinePunct/>
        <w:autoSpaceDE/>
        <w:autoSpaceDN/>
        <w:adjustRightInd/>
        <w:spacing w:line="360" w:lineRule="auto"/>
        <w:ind w:firstLine="48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16.4 </w:t>
      </w:r>
      <w:r>
        <w:rPr>
          <w:rFonts w:hint="eastAsia" w:ascii="仿宋" w:hAnsi="仿宋" w:eastAsia="仿宋" w:cs="仿宋"/>
          <w:color w:val="auto"/>
          <w:kern w:val="2"/>
          <w:sz w:val="21"/>
          <w:szCs w:val="21"/>
          <w:highlight w:val="none"/>
        </w:rPr>
        <w:t>涉及国家利益、社会公共利益的情形</w:t>
      </w:r>
    </w:p>
    <w:p w14:paraId="04440DBB">
      <w:pPr>
        <w:pStyle w:val="86"/>
        <w:widowControl w:val="0"/>
        <w:wordWrap w:val="0"/>
        <w:topLinePunct/>
        <w:autoSpaceDE/>
        <w:autoSpaceDN/>
        <w:adjustRightInd/>
        <w:spacing w:line="360" w:lineRule="auto"/>
        <w:ind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政府采购合同继续履行将损害国家利益和社会公共利益的，双方当事人应当变更、中止或者终止合同。有过错的一方应当承担赔偿责任，双方都有过错的，各自承担相应的责任。</w:t>
      </w:r>
    </w:p>
    <w:p w14:paraId="53B7DD72">
      <w:pPr>
        <w:pStyle w:val="6"/>
        <w:outlineLvl w:val="2"/>
        <w:rPr>
          <w:rFonts w:hint="eastAsia" w:ascii="仿宋" w:hAnsi="仿宋" w:eastAsia="仿宋" w:cs="仿宋"/>
          <w:color w:val="auto"/>
          <w:sz w:val="21"/>
          <w:szCs w:val="21"/>
          <w:highlight w:val="none"/>
        </w:rPr>
      </w:pPr>
      <w:bookmarkStart w:id="1403" w:name="_Toc6780"/>
      <w:bookmarkStart w:id="1404" w:name="_Toc861"/>
      <w:bookmarkStart w:id="1405" w:name="_Toc19670"/>
      <w:r>
        <w:rPr>
          <w:rFonts w:hint="eastAsia" w:ascii="仿宋" w:hAnsi="仿宋" w:eastAsia="仿宋" w:cs="仿宋"/>
          <w:color w:val="auto"/>
          <w:sz w:val="21"/>
          <w:szCs w:val="21"/>
          <w:highlight w:val="none"/>
        </w:rPr>
        <w:t>17.合同分包</w:t>
      </w:r>
      <w:bookmarkEnd w:id="1403"/>
      <w:bookmarkEnd w:id="1404"/>
      <w:bookmarkEnd w:id="1405"/>
    </w:p>
    <w:p w14:paraId="198BCB96">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17.1 乙方不得将合同转包给其他</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。涉及合同分包的，乙方应根据采购文件和投标（响应）文件规定进行合同分包。</w:t>
      </w:r>
    </w:p>
    <w:p w14:paraId="5F7F8247">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17.2 乙方执行政府采购政策向中小企业依法分包的，乙方应当按采购文件和投标（响应）文件签订分包意向协议，分包意向协议属于本合同组成部分。</w:t>
      </w:r>
    </w:p>
    <w:p w14:paraId="46339742">
      <w:pPr>
        <w:pStyle w:val="6"/>
        <w:outlineLvl w:val="2"/>
        <w:rPr>
          <w:rFonts w:hint="eastAsia" w:ascii="仿宋" w:hAnsi="仿宋" w:eastAsia="仿宋" w:cs="仿宋"/>
          <w:color w:val="auto"/>
          <w:sz w:val="21"/>
          <w:szCs w:val="21"/>
          <w:highlight w:val="none"/>
        </w:rPr>
      </w:pPr>
      <w:bookmarkStart w:id="1406" w:name="_Toc9526"/>
      <w:bookmarkStart w:id="1407" w:name="_Toc4913"/>
      <w:bookmarkStart w:id="1408" w:name="_Toc3695"/>
      <w:r>
        <w:rPr>
          <w:rFonts w:hint="eastAsia" w:ascii="仿宋" w:hAnsi="仿宋" w:eastAsia="仿宋" w:cs="仿宋"/>
          <w:color w:val="auto"/>
          <w:sz w:val="21"/>
          <w:szCs w:val="21"/>
          <w:highlight w:val="none"/>
        </w:rPr>
        <w:t>18.不可抗力</w:t>
      </w:r>
      <w:bookmarkEnd w:id="1406"/>
      <w:bookmarkEnd w:id="1407"/>
      <w:bookmarkEnd w:id="1408"/>
    </w:p>
    <w:p w14:paraId="1E656577">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18.1 不可抗力是指合同双方不能预见、不能避免且不能克服的客观情况。</w:t>
      </w:r>
    </w:p>
    <w:p w14:paraId="407E2BA6">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18.2 任何一方对由于不可抗力造成的部分或全部不能履行合同不承担违约责任。但迟延履行后发生不可抗力的，不能免除责任。</w:t>
      </w:r>
    </w:p>
    <w:p w14:paraId="4CBEC80B">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589234B2">
      <w:pPr>
        <w:pStyle w:val="6"/>
        <w:outlineLvl w:val="2"/>
        <w:rPr>
          <w:rFonts w:hint="eastAsia" w:ascii="仿宋" w:hAnsi="仿宋" w:eastAsia="仿宋" w:cs="仿宋"/>
          <w:color w:val="auto"/>
          <w:sz w:val="21"/>
          <w:szCs w:val="21"/>
          <w:highlight w:val="none"/>
        </w:rPr>
      </w:pPr>
      <w:bookmarkStart w:id="1409" w:name="_Toc31627"/>
      <w:bookmarkStart w:id="1410" w:name="_Toc25670"/>
      <w:bookmarkStart w:id="1411" w:name="_Toc27615"/>
      <w:r>
        <w:rPr>
          <w:rFonts w:hint="eastAsia" w:ascii="仿宋" w:hAnsi="仿宋" w:eastAsia="仿宋" w:cs="仿宋"/>
          <w:color w:val="auto"/>
          <w:sz w:val="21"/>
          <w:szCs w:val="21"/>
          <w:highlight w:val="none"/>
        </w:rPr>
        <w:t>19.解决争议的方法</w:t>
      </w:r>
      <w:bookmarkEnd w:id="1409"/>
      <w:bookmarkEnd w:id="1410"/>
      <w:bookmarkEnd w:id="1411"/>
    </w:p>
    <w:p w14:paraId="395A46B4">
      <w:pPr>
        <w:pStyle w:val="86"/>
        <w:widowControl w:val="0"/>
        <w:wordWrap w:val="0"/>
        <w:topLinePunct/>
        <w:autoSpaceDE/>
        <w:autoSpaceDN/>
        <w:adjustRightInd/>
        <w:spacing w:line="360" w:lineRule="auto"/>
        <w:ind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3BD19556">
      <w:pPr>
        <w:pStyle w:val="86"/>
        <w:widowControl w:val="0"/>
        <w:wordWrap w:val="0"/>
        <w:topLinePunct/>
        <w:autoSpaceDE/>
        <w:autoSpaceDN/>
        <w:adjustRightInd/>
        <w:spacing w:line="360" w:lineRule="auto"/>
        <w:ind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19.2 选择仲裁的，应在</w:t>
      </w:r>
      <w:r>
        <w:rPr>
          <w:rFonts w:hint="eastAsia" w:ascii="仿宋" w:hAnsi="仿宋" w:eastAsia="仿宋" w:cs="仿宋"/>
          <w:b/>
          <w:bCs/>
          <w:color w:val="auto"/>
          <w:sz w:val="21"/>
          <w:szCs w:val="21"/>
          <w:highlight w:val="none"/>
        </w:rPr>
        <w:t>【政府采购合同专用条款】</w:t>
      </w:r>
      <w:r>
        <w:rPr>
          <w:rFonts w:hint="eastAsia" w:ascii="仿宋" w:hAnsi="仿宋" w:eastAsia="仿宋" w:cs="仿宋"/>
          <w:color w:val="auto"/>
          <w:sz w:val="21"/>
          <w:szCs w:val="21"/>
          <w:highlight w:val="none"/>
        </w:rPr>
        <w:t>中明确仲裁机构及仲裁地；通过诉讼方式解决的，可以在</w:t>
      </w:r>
      <w:r>
        <w:rPr>
          <w:rFonts w:hint="eastAsia" w:ascii="仿宋" w:hAnsi="仿宋" w:eastAsia="仿宋" w:cs="仿宋"/>
          <w:b/>
          <w:bCs/>
          <w:color w:val="auto"/>
          <w:sz w:val="21"/>
          <w:szCs w:val="21"/>
          <w:highlight w:val="none"/>
        </w:rPr>
        <w:t>【政府采购合同专用条款】</w:t>
      </w:r>
      <w:r>
        <w:rPr>
          <w:rFonts w:hint="eastAsia" w:ascii="仿宋" w:hAnsi="仿宋" w:eastAsia="仿宋" w:cs="仿宋"/>
          <w:color w:val="auto"/>
          <w:sz w:val="21"/>
          <w:szCs w:val="21"/>
          <w:highlight w:val="none"/>
        </w:rPr>
        <w:t>中进一步约定选择与争议有实际联系的地点的人民法院管辖，但管辖法院的约定不得违反级别管辖和专属管辖的规定。</w:t>
      </w:r>
    </w:p>
    <w:p w14:paraId="4EB089D0">
      <w:pPr>
        <w:pStyle w:val="86"/>
        <w:widowControl w:val="0"/>
        <w:wordWrap w:val="0"/>
        <w:topLinePunct/>
        <w:autoSpaceDE/>
        <w:autoSpaceDN/>
        <w:adjustRightInd/>
        <w:spacing w:line="360" w:lineRule="auto"/>
        <w:ind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19.3 如甲乙双方有争议的事项不影响合同其他部分的履行，在争议解决期间，合同其他部分应当继续履行。</w:t>
      </w:r>
    </w:p>
    <w:p w14:paraId="12C726E1">
      <w:pPr>
        <w:pStyle w:val="6"/>
        <w:outlineLvl w:val="2"/>
        <w:rPr>
          <w:rFonts w:hint="eastAsia" w:ascii="仿宋" w:hAnsi="仿宋" w:eastAsia="仿宋" w:cs="仿宋"/>
          <w:color w:val="auto"/>
          <w:sz w:val="21"/>
          <w:szCs w:val="21"/>
          <w:highlight w:val="none"/>
        </w:rPr>
      </w:pPr>
      <w:bookmarkStart w:id="1412" w:name="_Toc9678"/>
      <w:bookmarkStart w:id="1413" w:name="_Toc16264"/>
      <w:bookmarkStart w:id="1414" w:name="_Toc14981"/>
      <w:r>
        <w:rPr>
          <w:rFonts w:hint="eastAsia" w:ascii="仿宋" w:hAnsi="仿宋" w:eastAsia="仿宋" w:cs="仿宋"/>
          <w:color w:val="auto"/>
          <w:sz w:val="21"/>
          <w:szCs w:val="21"/>
          <w:highlight w:val="none"/>
        </w:rPr>
        <w:t>20.政府采购政策</w:t>
      </w:r>
      <w:bookmarkEnd w:id="1412"/>
      <w:bookmarkEnd w:id="1413"/>
      <w:bookmarkEnd w:id="1414"/>
    </w:p>
    <w:p w14:paraId="44C459D5">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20.1 </w:t>
      </w:r>
      <w:r>
        <w:rPr>
          <w:rFonts w:hint="eastAsia" w:ascii="仿宋" w:hAnsi="仿宋" w:eastAsia="仿宋" w:cs="仿宋"/>
          <w:color w:val="auto"/>
          <w:sz w:val="21"/>
          <w:szCs w:val="21"/>
          <w:highlight w:val="none"/>
          <w:lang w:val="en-GB"/>
        </w:rPr>
        <w:t>本合同应当按照规定执行政府采购政策。</w:t>
      </w:r>
    </w:p>
    <w:p w14:paraId="518C5A12">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20.2 本合同依法执行政府采购政策的方式和内容，属于合同履约验收的范围。甲乙双方</w:t>
      </w:r>
      <w:r>
        <w:rPr>
          <w:rFonts w:hint="eastAsia" w:ascii="仿宋" w:hAnsi="仿宋" w:eastAsia="仿宋" w:cs="仿宋"/>
          <w:color w:val="auto"/>
          <w:sz w:val="21"/>
          <w:szCs w:val="21"/>
          <w:highlight w:val="none"/>
          <w:lang w:val="en-GB"/>
        </w:rPr>
        <w:t>未按规定要求执行政府采购政策造成损失的</w:t>
      </w:r>
      <w:r>
        <w:rPr>
          <w:rFonts w:hint="eastAsia" w:ascii="仿宋" w:hAnsi="仿宋" w:eastAsia="仿宋" w:cs="仿宋"/>
          <w:color w:val="auto"/>
          <w:sz w:val="21"/>
          <w:szCs w:val="21"/>
          <w:highlight w:val="none"/>
        </w:rPr>
        <w:t>，有过错的一方应当承担赔偿责任，双方都有过错的，各自承担相应的责任。</w:t>
      </w:r>
    </w:p>
    <w:p w14:paraId="4D2446C1">
      <w:pPr>
        <w:pStyle w:val="28"/>
        <w:wordWrap w:val="0"/>
        <w:topLinePunct/>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r>
        <w:rPr>
          <w:rFonts w:hint="eastAsia" w:ascii="仿宋" w:hAnsi="仿宋" w:eastAsia="仿宋" w:cs="仿宋"/>
          <w:color w:val="auto"/>
          <w:sz w:val="21"/>
          <w:szCs w:val="21"/>
          <w:highlight w:val="none"/>
          <w:lang w:val="en-US"/>
        </w:rPr>
        <w:t>0</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rPr>
        <w:t>3</w:t>
      </w:r>
      <w:r>
        <w:rPr>
          <w:rFonts w:hint="eastAsia" w:ascii="仿宋" w:hAnsi="仿宋" w:eastAsia="仿宋" w:cs="仿宋"/>
          <w:color w:val="auto"/>
          <w:sz w:val="21"/>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364FFAE2">
      <w:pPr>
        <w:pStyle w:val="6"/>
        <w:outlineLvl w:val="2"/>
        <w:rPr>
          <w:rFonts w:hint="eastAsia" w:ascii="仿宋" w:hAnsi="仿宋" w:eastAsia="仿宋" w:cs="仿宋"/>
          <w:color w:val="auto"/>
          <w:sz w:val="21"/>
          <w:szCs w:val="21"/>
          <w:highlight w:val="none"/>
        </w:rPr>
      </w:pPr>
      <w:bookmarkStart w:id="1415" w:name="_Toc12531"/>
      <w:bookmarkStart w:id="1416" w:name="_Toc20833"/>
      <w:bookmarkStart w:id="1417" w:name="_Toc26114"/>
      <w:r>
        <w:rPr>
          <w:rFonts w:hint="eastAsia" w:ascii="仿宋" w:hAnsi="仿宋" w:eastAsia="仿宋" w:cs="仿宋"/>
          <w:color w:val="auto"/>
          <w:sz w:val="21"/>
          <w:szCs w:val="21"/>
          <w:highlight w:val="none"/>
        </w:rPr>
        <w:t>21.法律适用</w:t>
      </w:r>
      <w:bookmarkEnd w:id="1415"/>
      <w:bookmarkEnd w:id="1416"/>
      <w:bookmarkEnd w:id="1417"/>
    </w:p>
    <w:p w14:paraId="1775728F">
      <w:pPr>
        <w:pStyle w:val="86"/>
        <w:widowControl w:val="0"/>
        <w:wordWrap w:val="0"/>
        <w:topLinePunct/>
        <w:autoSpaceDE/>
        <w:autoSpaceDN/>
        <w:adjustRightInd/>
        <w:spacing w:line="360" w:lineRule="auto"/>
        <w:ind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21.1 本合同的订立、生效、解释、履行及与本合同有关的争议解决，均适用法律、行政法规。</w:t>
      </w:r>
    </w:p>
    <w:p w14:paraId="11B5C54A">
      <w:pPr>
        <w:pStyle w:val="86"/>
        <w:widowControl w:val="0"/>
        <w:wordWrap w:val="0"/>
        <w:topLinePunct/>
        <w:autoSpaceDE/>
        <w:autoSpaceDN/>
        <w:adjustRightInd/>
        <w:spacing w:line="360" w:lineRule="auto"/>
        <w:ind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21.2 本合同条款与法律、行政法规的强制性规定不一致的，双方当事人应按照法律、行政法规的强制性规定修改本合同的相关条款。</w:t>
      </w:r>
    </w:p>
    <w:p w14:paraId="533D6369">
      <w:pPr>
        <w:pStyle w:val="6"/>
        <w:outlineLvl w:val="2"/>
        <w:rPr>
          <w:rFonts w:hint="eastAsia" w:ascii="仿宋" w:hAnsi="仿宋" w:eastAsia="仿宋" w:cs="仿宋"/>
          <w:color w:val="auto"/>
          <w:sz w:val="21"/>
          <w:szCs w:val="21"/>
          <w:highlight w:val="none"/>
        </w:rPr>
      </w:pPr>
      <w:bookmarkStart w:id="1418" w:name="_Toc28447"/>
      <w:bookmarkStart w:id="1419" w:name="_Toc8506"/>
      <w:bookmarkStart w:id="1420" w:name="_Toc17193"/>
      <w:r>
        <w:rPr>
          <w:rFonts w:hint="eastAsia" w:ascii="仿宋" w:hAnsi="仿宋" w:eastAsia="仿宋" w:cs="仿宋"/>
          <w:color w:val="auto"/>
          <w:sz w:val="21"/>
          <w:szCs w:val="21"/>
          <w:highlight w:val="none"/>
        </w:rPr>
        <w:t>22.通知</w:t>
      </w:r>
      <w:bookmarkEnd w:id="1418"/>
      <w:bookmarkEnd w:id="1419"/>
      <w:bookmarkEnd w:id="1420"/>
    </w:p>
    <w:p w14:paraId="3ED44AF0">
      <w:pPr>
        <w:pStyle w:val="86"/>
        <w:widowControl w:val="0"/>
        <w:wordWrap w:val="0"/>
        <w:topLinePunct/>
        <w:autoSpaceDE/>
        <w:autoSpaceDN/>
        <w:adjustRightInd/>
        <w:spacing w:line="360" w:lineRule="auto"/>
        <w:ind w:firstLine="48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22.1 本合同任何一方向对方发出的通知、信件、数据电文等，应当发送至本合同第一部分《政府采购合同协议书》所约定的通讯地址、联系人、联系电话或电子邮箱。</w:t>
      </w:r>
    </w:p>
    <w:p w14:paraId="268030C4">
      <w:pPr>
        <w:pStyle w:val="86"/>
        <w:widowControl w:val="0"/>
        <w:wordWrap w:val="0"/>
        <w:topLinePunct/>
        <w:autoSpaceDE/>
        <w:autoSpaceDN/>
        <w:adjustRightInd/>
        <w:spacing w:line="360" w:lineRule="auto"/>
        <w:ind w:firstLine="0" w:firstLineChars="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22.2 一方当事人变更名称、住所、联系人、联系电话或电子邮箱等信息的，应当在变更后3日内及时书面通知对方，对方实际收到变更通知前的送达仍为有效送达。</w:t>
      </w:r>
    </w:p>
    <w:p w14:paraId="5D2D9C7F">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22.3本合同一方给另一方的通知均应采用书面形式，传真或快递送到本合同中规定的对方的地址和办理签收手续。</w:t>
      </w:r>
    </w:p>
    <w:p w14:paraId="33A0BA6A">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22.4通知以送达之日或通知书中规定的生效之日起生效，两者中以较迟之日为准。</w:t>
      </w:r>
    </w:p>
    <w:p w14:paraId="56F1C164">
      <w:pPr>
        <w:pStyle w:val="6"/>
        <w:outlineLvl w:val="2"/>
        <w:rPr>
          <w:rFonts w:hint="eastAsia" w:ascii="仿宋" w:hAnsi="仿宋" w:eastAsia="仿宋" w:cs="仿宋"/>
          <w:color w:val="auto"/>
          <w:sz w:val="21"/>
          <w:szCs w:val="21"/>
          <w:highlight w:val="none"/>
        </w:rPr>
      </w:pPr>
      <w:bookmarkStart w:id="1421" w:name="_Toc326"/>
      <w:bookmarkStart w:id="1422" w:name="_Toc16201"/>
      <w:bookmarkStart w:id="1423" w:name="_Toc9629"/>
      <w:r>
        <w:rPr>
          <w:rFonts w:hint="eastAsia" w:ascii="仿宋" w:hAnsi="仿宋" w:eastAsia="仿宋" w:cs="仿宋"/>
          <w:color w:val="auto"/>
          <w:sz w:val="21"/>
          <w:szCs w:val="21"/>
          <w:highlight w:val="none"/>
        </w:rPr>
        <w:t>23.合同未尽事项</w:t>
      </w:r>
      <w:bookmarkEnd w:id="1421"/>
      <w:bookmarkEnd w:id="1422"/>
      <w:bookmarkEnd w:id="1423"/>
    </w:p>
    <w:p w14:paraId="64DD8E72">
      <w:pPr>
        <w:wordWrap w:val="0"/>
        <w:topLinePunct/>
        <w:spacing w:line="360" w:lineRule="auto"/>
        <w:ind w:firstLine="420" w:firstLineChars="20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23.1合同未尽事项见</w:t>
      </w:r>
      <w:r>
        <w:rPr>
          <w:rFonts w:hint="eastAsia" w:ascii="仿宋" w:hAnsi="仿宋" w:eastAsia="仿宋" w:cs="仿宋"/>
          <w:b/>
          <w:color w:val="auto"/>
          <w:sz w:val="21"/>
          <w:szCs w:val="21"/>
          <w:highlight w:val="none"/>
        </w:rPr>
        <w:t>【政府采购合同专用条款】</w:t>
      </w:r>
      <w:r>
        <w:rPr>
          <w:rFonts w:hint="eastAsia" w:ascii="仿宋" w:hAnsi="仿宋" w:eastAsia="仿宋" w:cs="仿宋"/>
          <w:bCs/>
          <w:color w:val="auto"/>
          <w:sz w:val="21"/>
          <w:szCs w:val="21"/>
          <w:highlight w:val="none"/>
        </w:rPr>
        <w:t>。</w:t>
      </w:r>
    </w:p>
    <w:p w14:paraId="7668FF97">
      <w:pPr>
        <w:wordWrap w:val="0"/>
        <w:topLinePunct/>
        <w:spacing w:line="360" w:lineRule="auto"/>
        <w:jc w:val="left"/>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 xml:space="preserve">    23.2 合同附件与合同正文具有同等的法律效力。</w:t>
      </w:r>
    </w:p>
    <w:p w14:paraId="2E3EF8E8">
      <w:pPr>
        <w:wordWrap w:val="0"/>
        <w:topLinePunct/>
        <w:spacing w:line="360" w:lineRule="auto"/>
        <w:rPr>
          <w:rFonts w:hint="eastAsia" w:ascii="仿宋" w:hAnsi="仿宋" w:eastAsia="仿宋" w:cs="仿宋"/>
          <w:color w:val="auto"/>
          <w:sz w:val="24"/>
          <w:szCs w:val="24"/>
          <w:highlight w:val="none"/>
        </w:rPr>
      </w:pPr>
    </w:p>
    <w:p w14:paraId="5D60AB19">
      <w:pPr>
        <w:adjustRightInd w:val="0"/>
        <w:snapToGrid w:val="0"/>
        <w:spacing w:line="360" w:lineRule="auto"/>
        <w:rPr>
          <w:rFonts w:hint="eastAsia" w:ascii="仿宋" w:hAnsi="仿宋" w:eastAsia="仿宋" w:cs="仿宋"/>
          <w:b/>
          <w:bCs/>
          <w:color w:val="auto"/>
          <w:sz w:val="24"/>
          <w:szCs w:val="24"/>
          <w:highlight w:val="none"/>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720" w:num="1"/>
          <w:docGrid w:type="lines" w:linePitch="312" w:charSpace="0"/>
        </w:sectPr>
      </w:pPr>
    </w:p>
    <w:p w14:paraId="6EA036F1">
      <w:pPr>
        <w:pStyle w:val="5"/>
        <w:spacing w:line="443" w:lineRule="exact"/>
        <w:jc w:val="center"/>
        <w:outlineLvl w:val="1"/>
        <w:rPr>
          <w:rFonts w:hint="eastAsia" w:ascii="仿宋" w:hAnsi="仿宋" w:eastAsia="仿宋" w:cs="仿宋"/>
          <w:b/>
          <w:bCs/>
          <w:color w:val="auto"/>
          <w:sz w:val="30"/>
          <w:szCs w:val="32"/>
          <w:highlight w:val="none"/>
        </w:rPr>
      </w:pPr>
      <w:bookmarkStart w:id="1424" w:name="_Toc29242"/>
      <w:bookmarkStart w:id="1425" w:name="_Toc31902"/>
      <w:r>
        <w:rPr>
          <w:rFonts w:hint="eastAsia" w:ascii="仿宋" w:hAnsi="仿宋" w:eastAsia="仿宋" w:cs="仿宋"/>
          <w:b/>
          <w:bCs/>
          <w:color w:val="auto"/>
          <w:sz w:val="30"/>
          <w:szCs w:val="32"/>
          <w:highlight w:val="none"/>
        </w:rPr>
        <w:t>第三部分 政府采购合同专用条款</w:t>
      </w:r>
      <w:bookmarkEnd w:id="1424"/>
      <w:bookmarkEnd w:id="1425"/>
    </w:p>
    <w:tbl>
      <w:tblPr>
        <w:tblStyle w:val="67"/>
        <w:tblW w:w="10318"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0" w:type="dxa"/>
          <w:bottom w:w="0" w:type="dxa"/>
          <w:right w:w="0" w:type="dxa"/>
        </w:tblCellMar>
      </w:tblPr>
      <w:tblGrid>
        <w:gridCol w:w="1156"/>
        <w:gridCol w:w="1416"/>
        <w:gridCol w:w="7746"/>
      </w:tblGrid>
      <w:tr w14:paraId="22757E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0" w:type="dxa"/>
            <w:bottom w:w="0" w:type="dxa"/>
            <w:right w:w="0" w:type="dxa"/>
          </w:tblCellMar>
        </w:tblPrEx>
        <w:trPr>
          <w:trHeight w:val="736" w:hRule="atLeast"/>
          <w:jc w:val="center"/>
        </w:trPr>
        <w:tc>
          <w:tcPr>
            <w:tcW w:w="1156" w:type="dxa"/>
            <w:vAlign w:val="center"/>
          </w:tcPr>
          <w:p w14:paraId="77C3EAFE">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14:paraId="12E880CA">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第1.2（6）项</w:t>
            </w:r>
          </w:p>
        </w:tc>
        <w:tc>
          <w:tcPr>
            <w:tcW w:w="1416" w:type="dxa"/>
            <w:vAlign w:val="center"/>
          </w:tcPr>
          <w:p w14:paraId="45DD8549">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联合体具体要求</w:t>
            </w:r>
          </w:p>
        </w:tc>
        <w:tc>
          <w:tcPr>
            <w:tcW w:w="7746" w:type="dxa"/>
            <w:vAlign w:val="center"/>
          </w:tcPr>
          <w:p w14:paraId="418648AA">
            <w:pPr>
              <w:keepNext w:val="0"/>
              <w:keepLines w:val="0"/>
              <w:pageBreakBefore w:val="0"/>
              <w:widowControl w:val="0"/>
              <w:kinsoku/>
              <w:wordWrap w:val="0"/>
              <w:overflowPunct/>
              <w:topLinePunct/>
              <w:autoSpaceDE/>
              <w:autoSpaceDN/>
              <w:bidi w:val="0"/>
              <w:adjustRightInd/>
              <w:snapToGrid/>
              <w:spacing w:line="460" w:lineRule="exact"/>
              <w:ind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无（本项目不接受联合体投标）</w:t>
            </w:r>
          </w:p>
        </w:tc>
      </w:tr>
      <w:tr w14:paraId="3F1F96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0" w:type="dxa"/>
            <w:bottom w:w="0" w:type="dxa"/>
            <w:right w:w="0" w:type="dxa"/>
          </w:tblCellMar>
        </w:tblPrEx>
        <w:trPr>
          <w:trHeight w:val="90" w:hRule="atLeast"/>
          <w:jc w:val="center"/>
        </w:trPr>
        <w:tc>
          <w:tcPr>
            <w:tcW w:w="1156" w:type="dxa"/>
            <w:vAlign w:val="center"/>
          </w:tcPr>
          <w:p w14:paraId="7D98088F">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14:paraId="1CD4B78B">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第1.2（7）项</w:t>
            </w:r>
          </w:p>
        </w:tc>
        <w:tc>
          <w:tcPr>
            <w:tcW w:w="1416" w:type="dxa"/>
            <w:vAlign w:val="center"/>
          </w:tcPr>
          <w:p w14:paraId="64F88E7D">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其他术语解释</w:t>
            </w:r>
          </w:p>
        </w:tc>
        <w:tc>
          <w:tcPr>
            <w:tcW w:w="7746" w:type="dxa"/>
            <w:vAlign w:val="center"/>
          </w:tcPr>
          <w:p w14:paraId="168D31CD">
            <w:pPr>
              <w:keepNext w:val="0"/>
              <w:keepLines w:val="0"/>
              <w:pageBreakBefore w:val="0"/>
              <w:widowControl w:val="0"/>
              <w:kinsoku/>
              <w:wordWrap w:val="0"/>
              <w:overflowPunct/>
              <w:topLinePunct/>
              <w:autoSpaceDE/>
              <w:autoSpaceDN/>
              <w:bidi w:val="0"/>
              <w:adjustRightInd/>
              <w:snapToGrid/>
              <w:spacing w:line="460" w:lineRule="exact"/>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p>
        </w:tc>
      </w:tr>
      <w:tr w14:paraId="778D28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0" w:type="dxa"/>
            <w:bottom w:w="0" w:type="dxa"/>
            <w:right w:w="0" w:type="dxa"/>
          </w:tblCellMar>
        </w:tblPrEx>
        <w:trPr>
          <w:trHeight w:val="736" w:hRule="atLeast"/>
          <w:jc w:val="center"/>
        </w:trPr>
        <w:tc>
          <w:tcPr>
            <w:tcW w:w="1156" w:type="dxa"/>
            <w:vAlign w:val="center"/>
          </w:tcPr>
          <w:p w14:paraId="21346C6F">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14:paraId="40980001">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第4.4款</w:t>
            </w:r>
          </w:p>
        </w:tc>
        <w:tc>
          <w:tcPr>
            <w:tcW w:w="1416" w:type="dxa"/>
            <w:vAlign w:val="center"/>
          </w:tcPr>
          <w:p w14:paraId="206646BD">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履约验收中甲方提出异议或作出说明的期限</w:t>
            </w:r>
          </w:p>
        </w:tc>
        <w:tc>
          <w:tcPr>
            <w:tcW w:w="7746" w:type="dxa"/>
            <w:vAlign w:val="center"/>
          </w:tcPr>
          <w:p w14:paraId="74B1F8BE">
            <w:pPr>
              <w:keepNext w:val="0"/>
              <w:keepLines w:val="0"/>
              <w:pageBreakBefore w:val="0"/>
              <w:widowControl w:val="0"/>
              <w:kinsoku/>
              <w:wordWrap w:val="0"/>
              <w:overflowPunct/>
              <w:topLinePunct/>
              <w:autoSpaceDE/>
              <w:autoSpaceDN/>
              <w:bidi w:val="0"/>
              <w:adjustRightInd/>
              <w:snapToGrid/>
              <w:spacing w:line="460" w:lineRule="exact"/>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如有质量异议，甲方在货到一个月内向乙方提出，乙方应在接到甲方异议的7天内做出书面答复，逾期则视为乙方同意甲方提出的异议和处理意见。</w:t>
            </w:r>
          </w:p>
        </w:tc>
      </w:tr>
      <w:tr w14:paraId="172802A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0" w:type="dxa"/>
            <w:bottom w:w="0" w:type="dxa"/>
            <w:right w:w="0" w:type="dxa"/>
          </w:tblCellMar>
        </w:tblPrEx>
        <w:trPr>
          <w:trHeight w:val="736" w:hRule="atLeast"/>
          <w:jc w:val="center"/>
        </w:trPr>
        <w:tc>
          <w:tcPr>
            <w:tcW w:w="1156" w:type="dxa"/>
            <w:vAlign w:val="center"/>
          </w:tcPr>
          <w:p w14:paraId="2289094F">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14:paraId="4C36E2AB">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第4.6款</w:t>
            </w:r>
          </w:p>
        </w:tc>
        <w:tc>
          <w:tcPr>
            <w:tcW w:w="1416" w:type="dxa"/>
            <w:vAlign w:val="center"/>
          </w:tcPr>
          <w:p w14:paraId="416CA444">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约定甲方承担的其他义务和责任</w:t>
            </w:r>
          </w:p>
        </w:tc>
        <w:tc>
          <w:tcPr>
            <w:tcW w:w="7746" w:type="dxa"/>
            <w:vAlign w:val="center"/>
          </w:tcPr>
          <w:p w14:paraId="48D2E483">
            <w:pPr>
              <w:keepNext w:val="0"/>
              <w:keepLines w:val="0"/>
              <w:pageBreakBefore w:val="0"/>
              <w:widowControl w:val="0"/>
              <w:kinsoku/>
              <w:wordWrap w:val="0"/>
              <w:overflowPunct/>
              <w:topLinePunct/>
              <w:autoSpaceDE/>
              <w:autoSpaceDN/>
              <w:bidi w:val="0"/>
              <w:adjustRightInd/>
              <w:snapToGrid/>
              <w:spacing w:line="460" w:lineRule="exact"/>
              <w:ind w:firstLine="420" w:firstLineChars="200"/>
              <w:jc w:val="left"/>
              <w:textAlignment w:val="auto"/>
              <w:rPr>
                <w:rFonts w:hint="eastAsia" w:ascii="仿宋" w:hAnsi="仿宋" w:eastAsia="仿宋" w:cs="仿宋"/>
                <w:i w:val="0"/>
                <w:iCs w:val="0"/>
                <w:color w:val="auto"/>
                <w:sz w:val="21"/>
                <w:szCs w:val="21"/>
                <w:highlight w:val="none"/>
              </w:rPr>
            </w:pPr>
            <w:r>
              <w:rPr>
                <w:rFonts w:hint="eastAsia" w:ascii="仿宋" w:hAnsi="仿宋" w:eastAsia="仿宋" w:cs="仿宋"/>
                <w:color w:val="auto"/>
                <w:sz w:val="21"/>
                <w:szCs w:val="21"/>
                <w:highlight w:val="none"/>
              </w:rPr>
              <w:t>甲方无正当理由拒绝接货的，</w:t>
            </w:r>
            <w:r>
              <w:rPr>
                <w:rFonts w:hint="eastAsia" w:ascii="仿宋" w:hAnsi="仿宋" w:eastAsia="仿宋" w:cs="仿宋"/>
                <w:color w:val="auto"/>
                <w:sz w:val="21"/>
                <w:szCs w:val="21"/>
                <w:highlight w:val="none"/>
                <w:lang w:eastAsia="zh-CN"/>
              </w:rPr>
              <w:t>经乙方书面催告后</w:t>
            </w:r>
            <w:r>
              <w:rPr>
                <w:rFonts w:hint="eastAsia" w:ascii="仿宋" w:hAnsi="仿宋" w:eastAsia="仿宋" w:cs="仿宋"/>
                <w:color w:val="auto"/>
                <w:sz w:val="21"/>
                <w:szCs w:val="21"/>
                <w:highlight w:val="none"/>
                <w:u w:val="single"/>
                <w:lang w:val="en-US" w:eastAsia="zh-CN"/>
              </w:rPr>
              <w:t xml:space="preserve"> 30 </w:t>
            </w:r>
            <w:r>
              <w:rPr>
                <w:rFonts w:hint="eastAsia" w:ascii="仿宋" w:hAnsi="仿宋" w:eastAsia="仿宋" w:cs="仿宋"/>
                <w:color w:val="auto"/>
                <w:sz w:val="21"/>
                <w:szCs w:val="21"/>
                <w:highlight w:val="none"/>
                <w:lang w:val="en-US" w:eastAsia="zh-CN"/>
              </w:rPr>
              <w:t>日，</w:t>
            </w:r>
            <w:r>
              <w:rPr>
                <w:rFonts w:hint="eastAsia" w:ascii="仿宋" w:hAnsi="仿宋" w:eastAsia="仿宋" w:cs="仿宋"/>
                <w:color w:val="auto"/>
                <w:sz w:val="21"/>
                <w:szCs w:val="21"/>
                <w:highlight w:val="none"/>
              </w:rPr>
              <w:t>应当承担由此对乙方造成的损失，并向乙方偿付拒绝接收部分货款的</w:t>
            </w:r>
            <w:r>
              <w:rPr>
                <w:rFonts w:hint="eastAsia" w:ascii="仿宋" w:hAnsi="仿宋" w:eastAsia="仿宋" w:cs="仿宋"/>
                <w:i w:val="0"/>
                <w:iCs w:val="0"/>
                <w:color w:val="auto"/>
                <w:sz w:val="21"/>
                <w:szCs w:val="21"/>
                <w:highlight w:val="none"/>
                <w:u w:val="single"/>
              </w:rPr>
              <w:t xml:space="preserve"> 20</w:t>
            </w:r>
            <w:r>
              <w:rPr>
                <w:rFonts w:hint="eastAsia" w:ascii="仿宋" w:hAnsi="仿宋" w:eastAsia="仿宋" w:cs="仿宋"/>
                <w:i w:val="0"/>
                <w:iCs w:val="0"/>
                <w:color w:val="auto"/>
                <w:sz w:val="21"/>
                <w:szCs w:val="21"/>
                <w:highlight w:val="none"/>
                <w:u w:val="single"/>
                <w:lang w:val="en-US" w:eastAsia="zh-CN"/>
              </w:rPr>
              <w:t>‰</w:t>
            </w:r>
            <w:r>
              <w:rPr>
                <w:rFonts w:hint="eastAsia" w:ascii="仿宋" w:hAnsi="仿宋" w:eastAsia="仿宋" w:cs="仿宋"/>
                <w:i w:val="0"/>
                <w:iCs w:val="0"/>
                <w:color w:val="auto"/>
                <w:sz w:val="21"/>
                <w:szCs w:val="21"/>
                <w:highlight w:val="none"/>
              </w:rPr>
              <w:t>的违约金。</w:t>
            </w:r>
          </w:p>
          <w:p w14:paraId="0C4ED497">
            <w:pPr>
              <w:keepNext w:val="0"/>
              <w:keepLines w:val="0"/>
              <w:pageBreakBefore w:val="0"/>
              <w:widowControl w:val="0"/>
              <w:kinsoku/>
              <w:wordWrap w:val="0"/>
              <w:overflowPunct/>
              <w:topLinePunct/>
              <w:autoSpaceDE/>
              <w:autoSpaceDN/>
              <w:bidi w:val="0"/>
              <w:adjustRightInd/>
              <w:snapToGrid/>
              <w:spacing w:line="460" w:lineRule="exact"/>
              <w:ind w:firstLine="420" w:firstLineChars="200"/>
              <w:jc w:val="left"/>
              <w:textAlignment w:val="auto"/>
              <w:outlineLvl w:val="2"/>
              <w:rPr>
                <w:rFonts w:hint="eastAsia" w:ascii="仿宋" w:hAnsi="仿宋" w:eastAsia="仿宋" w:cs="仿宋"/>
                <w:i w:val="0"/>
                <w:iCs w:val="0"/>
                <w:color w:val="auto"/>
                <w:sz w:val="21"/>
                <w:szCs w:val="21"/>
                <w:highlight w:val="none"/>
              </w:rPr>
            </w:pPr>
            <w:bookmarkStart w:id="1426" w:name="_Toc28084"/>
            <w:bookmarkStart w:id="1427" w:name="_Toc13053"/>
            <w:bookmarkStart w:id="1428" w:name="_Toc31259"/>
            <w:bookmarkStart w:id="1429" w:name="_Toc18015"/>
            <w:bookmarkStart w:id="1430" w:name="_Toc32077"/>
            <w:bookmarkStart w:id="1431" w:name="_Toc15440"/>
            <w:bookmarkStart w:id="1432" w:name="_Toc873"/>
            <w:bookmarkStart w:id="1433" w:name="_Toc26881"/>
            <w:bookmarkStart w:id="1434" w:name="_Toc6073"/>
            <w:bookmarkStart w:id="1435" w:name="_Toc2741"/>
            <w:r>
              <w:rPr>
                <w:rFonts w:hint="eastAsia" w:ascii="仿宋" w:hAnsi="仿宋" w:eastAsia="仿宋" w:cs="仿宋"/>
                <w:i w:val="0"/>
                <w:iCs w:val="0"/>
                <w:color w:val="auto"/>
                <w:sz w:val="21"/>
                <w:szCs w:val="21"/>
                <w:highlight w:val="none"/>
              </w:rPr>
              <w:t>（三）双方的违约责任：</w:t>
            </w:r>
            <w:bookmarkEnd w:id="1426"/>
            <w:bookmarkEnd w:id="1427"/>
            <w:bookmarkEnd w:id="1428"/>
            <w:bookmarkEnd w:id="1429"/>
            <w:bookmarkEnd w:id="1430"/>
            <w:bookmarkEnd w:id="1431"/>
            <w:bookmarkEnd w:id="1432"/>
            <w:bookmarkEnd w:id="1433"/>
            <w:bookmarkEnd w:id="1434"/>
            <w:bookmarkEnd w:id="1435"/>
          </w:p>
          <w:p w14:paraId="7D4395CE">
            <w:pPr>
              <w:keepNext w:val="0"/>
              <w:keepLines w:val="0"/>
              <w:pageBreakBefore w:val="0"/>
              <w:widowControl w:val="0"/>
              <w:kinsoku/>
              <w:wordWrap w:val="0"/>
              <w:overflowPunct/>
              <w:topLinePunct/>
              <w:autoSpaceDE/>
              <w:autoSpaceDN/>
              <w:bidi w:val="0"/>
              <w:adjustRightInd/>
              <w:snapToGrid/>
              <w:spacing w:line="460" w:lineRule="exact"/>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i w:val="0"/>
                <w:iCs w:val="0"/>
                <w:color w:val="auto"/>
                <w:sz w:val="21"/>
                <w:szCs w:val="21"/>
                <w:highlight w:val="none"/>
              </w:rPr>
              <w:t>除明确约定的违约情形和违约责任外，任何一方违反本合同约定内容的，守约方可视情况追究违约责任，根据违反约定的程度确定违约方偿付相当于货款</w:t>
            </w:r>
            <w:r>
              <w:rPr>
                <w:rFonts w:hint="eastAsia" w:ascii="仿宋" w:hAnsi="仿宋" w:eastAsia="仿宋" w:cs="仿宋"/>
                <w:i w:val="0"/>
                <w:iCs w:val="0"/>
                <w:color w:val="auto"/>
                <w:sz w:val="21"/>
                <w:szCs w:val="21"/>
                <w:highlight w:val="none"/>
                <w:u w:val="single"/>
              </w:rPr>
              <w:t>3</w:t>
            </w:r>
            <w:r>
              <w:rPr>
                <w:rFonts w:hint="eastAsia" w:ascii="仿宋" w:hAnsi="仿宋" w:eastAsia="仿宋" w:cs="仿宋"/>
                <w:i w:val="0"/>
                <w:iCs w:val="0"/>
                <w:color w:val="auto"/>
                <w:sz w:val="21"/>
                <w:szCs w:val="21"/>
                <w:highlight w:val="none"/>
                <w:u w:val="single"/>
                <w:lang w:val="en-US" w:eastAsia="zh-CN"/>
              </w:rPr>
              <w:t>‰</w:t>
            </w:r>
            <w:r>
              <w:rPr>
                <w:rFonts w:hint="eastAsia" w:ascii="仿宋" w:hAnsi="仿宋" w:eastAsia="仿宋" w:cs="仿宋"/>
                <w:i w:val="0"/>
                <w:iCs w:val="0"/>
                <w:color w:val="auto"/>
                <w:sz w:val="21"/>
                <w:szCs w:val="21"/>
                <w:highlight w:val="none"/>
                <w:u w:val="single"/>
              </w:rPr>
              <w:t>至20</w:t>
            </w:r>
            <w:r>
              <w:rPr>
                <w:rFonts w:hint="eastAsia" w:ascii="仿宋" w:hAnsi="仿宋" w:eastAsia="仿宋" w:cs="仿宋"/>
                <w:i w:val="0"/>
                <w:iCs w:val="0"/>
                <w:color w:val="auto"/>
                <w:sz w:val="21"/>
                <w:szCs w:val="21"/>
                <w:highlight w:val="none"/>
                <w:u w:val="single"/>
                <w:lang w:val="en-US" w:eastAsia="zh-CN"/>
              </w:rPr>
              <w:t>‰</w:t>
            </w:r>
            <w:r>
              <w:rPr>
                <w:rFonts w:hint="eastAsia" w:ascii="仿宋" w:hAnsi="仿宋" w:eastAsia="仿宋" w:cs="仿宋"/>
                <w:i w:val="0"/>
                <w:iCs w:val="0"/>
                <w:color w:val="auto"/>
                <w:sz w:val="21"/>
                <w:szCs w:val="21"/>
                <w:highlight w:val="none"/>
              </w:rPr>
              <w:t>的违约金。</w:t>
            </w:r>
          </w:p>
        </w:tc>
      </w:tr>
      <w:tr w14:paraId="54E8F2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0" w:type="dxa"/>
            <w:bottom w:w="0" w:type="dxa"/>
            <w:right w:w="0" w:type="dxa"/>
          </w:tblCellMar>
        </w:tblPrEx>
        <w:trPr>
          <w:trHeight w:val="736" w:hRule="atLeast"/>
          <w:jc w:val="center"/>
        </w:trPr>
        <w:tc>
          <w:tcPr>
            <w:tcW w:w="1156" w:type="dxa"/>
            <w:vAlign w:val="center"/>
          </w:tcPr>
          <w:p w14:paraId="060502E1">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14:paraId="3DB4564F">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第5.4款</w:t>
            </w:r>
          </w:p>
        </w:tc>
        <w:tc>
          <w:tcPr>
            <w:tcW w:w="1416" w:type="dxa"/>
            <w:vAlign w:val="center"/>
          </w:tcPr>
          <w:p w14:paraId="65084A82">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约定乙方承担的其他义务和责任</w:t>
            </w:r>
          </w:p>
        </w:tc>
        <w:tc>
          <w:tcPr>
            <w:tcW w:w="7746" w:type="dxa"/>
            <w:vAlign w:val="center"/>
          </w:tcPr>
          <w:p w14:paraId="7CDB0373">
            <w:pPr>
              <w:keepNext w:val="0"/>
              <w:keepLines w:val="0"/>
              <w:pageBreakBefore w:val="0"/>
              <w:widowControl w:val="0"/>
              <w:kinsoku/>
              <w:wordWrap w:val="0"/>
              <w:overflowPunct/>
              <w:topLinePunct/>
              <w:autoSpaceDE/>
              <w:autoSpaceDN/>
              <w:bidi w:val="0"/>
              <w:adjustRightInd/>
              <w:snapToGrid/>
              <w:spacing w:line="460" w:lineRule="exact"/>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1.乙方逾期交货（包括零部件）的，按总货款计算，向甲方偿付每日千分之五的违约金，并承担甲方因此所受的损失费用；乙方逾期交货超过</w:t>
            </w:r>
            <w:r>
              <w:rPr>
                <w:rFonts w:hint="eastAsia" w:ascii="仿宋" w:hAnsi="仿宋" w:eastAsia="仿宋" w:cs="仿宋"/>
                <w:color w:val="auto"/>
                <w:sz w:val="21"/>
                <w:szCs w:val="21"/>
                <w:highlight w:val="none"/>
                <w:u w:val="single"/>
              </w:rPr>
              <w:t>20</w:t>
            </w:r>
            <w:r>
              <w:rPr>
                <w:rFonts w:hint="eastAsia" w:ascii="仿宋" w:hAnsi="仿宋" w:eastAsia="仿宋" w:cs="仿宋"/>
                <w:color w:val="auto"/>
                <w:sz w:val="21"/>
                <w:szCs w:val="21"/>
                <w:highlight w:val="none"/>
              </w:rPr>
              <w:t>天，乙方经甲方书面通知后仍未交货，视为乙方不能交货；乙方不能交货的，甲方有权拒付乙方剩余货款，乙方应向甲方偿付相当于货款的</w:t>
            </w:r>
            <w:r>
              <w:rPr>
                <w:rFonts w:hint="eastAsia" w:ascii="仿宋" w:hAnsi="仿宋" w:eastAsia="仿宋" w:cs="仿宋"/>
                <w:i w:val="0"/>
                <w:iCs w:val="0"/>
                <w:color w:val="auto"/>
                <w:sz w:val="21"/>
                <w:szCs w:val="21"/>
                <w:highlight w:val="none"/>
                <w:u w:val="single"/>
              </w:rPr>
              <w:t xml:space="preserve"> 20%</w:t>
            </w:r>
            <w:r>
              <w:rPr>
                <w:rFonts w:hint="eastAsia" w:ascii="仿宋" w:hAnsi="仿宋" w:eastAsia="仿宋" w:cs="仿宋"/>
                <w:i w:val="0"/>
                <w:iCs w:val="0"/>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的违约金，且甲方有权解除合同，乙方还应当退回甲方已经支付的所有款项</w:t>
            </w:r>
            <w:r>
              <w:rPr>
                <w:rFonts w:hint="eastAsia" w:ascii="仿宋" w:hAnsi="仿宋" w:eastAsia="仿宋" w:cs="仿宋"/>
                <w:color w:val="auto"/>
                <w:sz w:val="21"/>
                <w:szCs w:val="21"/>
                <w:highlight w:val="none"/>
                <w:lang w:eastAsia="zh-CN"/>
              </w:rPr>
              <w:t>，并由乙方赔偿甲方受到的损失。</w:t>
            </w:r>
            <w:r>
              <w:rPr>
                <w:rFonts w:hint="eastAsia" w:ascii="仿宋" w:hAnsi="仿宋" w:eastAsia="仿宋" w:cs="仿宋"/>
                <w:color w:val="auto"/>
                <w:sz w:val="21"/>
                <w:szCs w:val="21"/>
                <w:highlight w:val="none"/>
              </w:rPr>
              <w:t>乙方因特殊原因无法按时交货的，经甲方同意后方可延迟送货，并与甲方确定新的交货期，</w:t>
            </w:r>
            <w:r>
              <w:rPr>
                <w:rFonts w:hint="eastAsia" w:ascii="仿宋" w:hAnsi="仿宋" w:eastAsia="仿宋" w:cs="仿宋"/>
                <w:color w:val="auto"/>
                <w:sz w:val="21"/>
                <w:szCs w:val="21"/>
                <w:highlight w:val="none"/>
                <w:lang w:eastAsia="zh-CN"/>
              </w:rPr>
              <w:t>并不</w:t>
            </w:r>
            <w:r>
              <w:rPr>
                <w:rFonts w:hint="eastAsia" w:ascii="仿宋" w:hAnsi="仿宋" w:eastAsia="仿宋" w:cs="仿宋"/>
                <w:color w:val="auto"/>
                <w:sz w:val="21"/>
                <w:szCs w:val="21"/>
                <w:highlight w:val="none"/>
              </w:rPr>
              <w:t>免除此条违约责任。</w:t>
            </w:r>
          </w:p>
          <w:p w14:paraId="5957BBC9">
            <w:pPr>
              <w:keepNext w:val="0"/>
              <w:keepLines w:val="0"/>
              <w:pageBreakBefore w:val="0"/>
              <w:widowControl w:val="0"/>
              <w:kinsoku/>
              <w:wordWrap w:val="0"/>
              <w:overflowPunct/>
              <w:topLinePunct/>
              <w:autoSpaceDE/>
              <w:autoSpaceDN/>
              <w:bidi w:val="0"/>
              <w:adjustRightInd/>
              <w:snapToGrid/>
              <w:spacing w:line="460" w:lineRule="exact"/>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乙方所交产品（包括零部件）品种、数量、规格、型号、质量、技术参数及配置不符合国家法律法规和合同规定的，甲方有权拒绝收货，由乙方负责包换或退货，并承担由此而支付的实际费用。换货的交货期超过合同履约期的视为逾期交货，退货的视为不能交货，并承担逾期交货、不能交货的违约责任。</w:t>
            </w:r>
          </w:p>
          <w:p w14:paraId="63DBE502">
            <w:pPr>
              <w:keepNext w:val="0"/>
              <w:keepLines w:val="0"/>
              <w:pageBreakBefore w:val="0"/>
              <w:widowControl w:val="0"/>
              <w:kinsoku/>
              <w:wordWrap w:val="0"/>
              <w:overflowPunct/>
              <w:topLinePunct/>
              <w:autoSpaceDE/>
              <w:autoSpaceDN/>
              <w:bidi w:val="0"/>
              <w:adjustRightInd/>
              <w:snapToGrid/>
              <w:spacing w:line="460" w:lineRule="exact"/>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3.产品验收不合格导致逾期交货（包括零部件）的，乙方应承担逾期交货的违约责任；验收不合格的次数达到</w:t>
            </w:r>
            <w:r>
              <w:rPr>
                <w:rFonts w:hint="eastAsia" w:ascii="仿宋" w:hAnsi="仿宋" w:eastAsia="仿宋" w:cs="仿宋"/>
                <w:color w:val="auto"/>
                <w:sz w:val="21"/>
                <w:szCs w:val="21"/>
                <w:highlight w:val="none"/>
                <w:u w:val="single"/>
              </w:rPr>
              <w:t xml:space="preserve"> 3 </w:t>
            </w:r>
            <w:r>
              <w:rPr>
                <w:rFonts w:hint="eastAsia" w:ascii="仿宋" w:hAnsi="仿宋" w:eastAsia="仿宋" w:cs="仿宋"/>
                <w:color w:val="auto"/>
                <w:sz w:val="21"/>
                <w:szCs w:val="21"/>
                <w:highlight w:val="none"/>
              </w:rPr>
              <w:t>次以上的，乙方应承担不能交货的违约责任，向甲方偿付相当于货款</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i w:val="0"/>
                <w:iCs w:val="0"/>
                <w:color w:val="auto"/>
                <w:sz w:val="21"/>
                <w:szCs w:val="21"/>
                <w:highlight w:val="none"/>
                <w:u w:val="single"/>
              </w:rPr>
              <w:t>20%</w:t>
            </w:r>
            <w:r>
              <w:rPr>
                <w:rFonts w:hint="eastAsia" w:ascii="仿宋" w:hAnsi="仿宋" w:eastAsia="仿宋" w:cs="仿宋"/>
                <w:i w:val="0"/>
                <w:iCs w:val="0"/>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的违约金及退回甲方已经支付的所有款项，</w:t>
            </w:r>
            <w:r>
              <w:rPr>
                <w:rFonts w:hint="eastAsia" w:ascii="仿宋" w:hAnsi="仿宋" w:eastAsia="仿宋" w:cs="仿宋"/>
                <w:color w:val="auto"/>
                <w:sz w:val="21"/>
                <w:szCs w:val="21"/>
                <w:highlight w:val="none"/>
                <w:lang w:eastAsia="zh-CN"/>
              </w:rPr>
              <w:t>并由乙方赔偿甲方受到的损失，</w:t>
            </w:r>
            <w:r>
              <w:rPr>
                <w:rFonts w:hint="eastAsia" w:ascii="仿宋" w:hAnsi="仿宋" w:eastAsia="仿宋" w:cs="仿宋"/>
                <w:color w:val="auto"/>
                <w:sz w:val="21"/>
                <w:szCs w:val="21"/>
                <w:highlight w:val="none"/>
              </w:rPr>
              <w:t>且甲方有权解除合同。</w:t>
            </w:r>
          </w:p>
          <w:p w14:paraId="3F764925">
            <w:pPr>
              <w:keepNext w:val="0"/>
              <w:keepLines w:val="0"/>
              <w:pageBreakBefore w:val="0"/>
              <w:widowControl w:val="0"/>
              <w:kinsoku/>
              <w:wordWrap w:val="0"/>
              <w:overflowPunct/>
              <w:topLinePunct/>
              <w:autoSpaceDE/>
              <w:autoSpaceDN/>
              <w:bidi w:val="0"/>
              <w:adjustRightInd/>
              <w:snapToGrid/>
              <w:spacing w:line="460" w:lineRule="exact"/>
              <w:ind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4.损失指直接损失和间接损失，包括但不限于：违约金、诉讼费、保全费、律师费、保函费、鉴定费、公告费。</w:t>
            </w:r>
          </w:p>
        </w:tc>
      </w:tr>
      <w:tr w14:paraId="1D826E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0" w:type="dxa"/>
            <w:bottom w:w="0" w:type="dxa"/>
            <w:right w:w="0" w:type="dxa"/>
          </w:tblCellMar>
        </w:tblPrEx>
        <w:trPr>
          <w:trHeight w:val="736" w:hRule="atLeast"/>
          <w:jc w:val="center"/>
        </w:trPr>
        <w:tc>
          <w:tcPr>
            <w:tcW w:w="1156" w:type="dxa"/>
            <w:vAlign w:val="center"/>
          </w:tcPr>
          <w:p w14:paraId="3B5F3E59">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14:paraId="59FA8A1C">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第6.1款</w:t>
            </w:r>
          </w:p>
        </w:tc>
        <w:tc>
          <w:tcPr>
            <w:tcW w:w="1416" w:type="dxa"/>
            <w:vAlign w:val="center"/>
          </w:tcPr>
          <w:p w14:paraId="3C908B2E">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履行合同义务的顺序</w:t>
            </w:r>
          </w:p>
        </w:tc>
        <w:tc>
          <w:tcPr>
            <w:tcW w:w="7746" w:type="dxa"/>
            <w:vAlign w:val="center"/>
          </w:tcPr>
          <w:p w14:paraId="6B24733B">
            <w:pPr>
              <w:keepNext w:val="0"/>
              <w:keepLines w:val="0"/>
              <w:pageBreakBefore w:val="0"/>
              <w:widowControl w:val="0"/>
              <w:kinsoku/>
              <w:wordWrap w:val="0"/>
              <w:overflowPunct/>
              <w:topLinePunct/>
              <w:autoSpaceDE/>
              <w:autoSpaceDN/>
              <w:bidi w:val="0"/>
              <w:adjustRightInd/>
              <w:snapToGrid/>
              <w:spacing w:line="460" w:lineRule="exact"/>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sym w:font="Wingdings" w:char="00FE"/>
            </w:r>
            <w:r>
              <w:rPr>
                <w:rFonts w:hint="eastAsia" w:ascii="仿宋" w:hAnsi="仿宋" w:eastAsia="仿宋" w:cs="仿宋"/>
                <w:color w:val="auto"/>
                <w:sz w:val="21"/>
                <w:szCs w:val="21"/>
                <w:highlight w:val="none"/>
              </w:rPr>
              <w:t>同时履行。当事人双方在合同中没有约定履行顺序的，应当同时履行。一方在对方履行之前有权拒绝其履行请求，一方在对方履行债务不符合约定时，有权拒绝其相应的履行请求</w:t>
            </w:r>
          </w:p>
          <w:p w14:paraId="7D6A2829">
            <w:pPr>
              <w:keepNext w:val="0"/>
              <w:keepLines w:val="0"/>
              <w:pageBreakBefore w:val="0"/>
              <w:widowControl w:val="0"/>
              <w:kinsoku/>
              <w:wordWrap w:val="0"/>
              <w:overflowPunct/>
              <w:topLinePunct/>
              <w:autoSpaceDE/>
              <w:autoSpaceDN/>
              <w:bidi w:val="0"/>
              <w:adjustRightInd/>
              <w:snapToGrid/>
              <w:spacing w:line="460" w:lineRule="exact"/>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先履行。当事人互负债务，有先后履行顺序，应当先履行债务一方未履行的，后履行一方有权拒绝其履行请求。先履行一方履行债务不符合约定的，后履行一方有权</w:t>
            </w: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拒绝其相应的履行请求。</w:t>
            </w:r>
          </w:p>
          <w:p w14:paraId="4FD784E8">
            <w:pPr>
              <w:keepNext w:val="0"/>
              <w:keepLines w:val="0"/>
              <w:pageBreakBefore w:val="0"/>
              <w:widowControl w:val="0"/>
              <w:kinsoku/>
              <w:wordWrap w:val="0"/>
              <w:overflowPunct/>
              <w:topLinePunct/>
              <w:autoSpaceDE/>
              <w:autoSpaceDN/>
              <w:bidi w:val="0"/>
              <w:adjustRightInd/>
              <w:snapToGrid/>
              <w:spacing w:line="460" w:lineRule="exact"/>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sym w:font="Wingdings" w:char="00A8"/>
            </w:r>
            <w:r>
              <w:rPr>
                <w:rFonts w:hint="eastAsia" w:ascii="仿宋" w:hAnsi="仿宋" w:eastAsia="仿宋" w:cs="仿宋"/>
                <w:color w:val="auto"/>
                <w:sz w:val="21"/>
                <w:szCs w:val="21"/>
                <w:highlight w:val="none"/>
              </w:rPr>
              <w:t>后履行。当事人互负债务，有先后履行顺序，应当先履行债务一方未履行的，后履行一方有权留置其财物以担保其债权的实现。</w:t>
            </w:r>
          </w:p>
        </w:tc>
      </w:tr>
      <w:tr w14:paraId="49A723D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0" w:type="dxa"/>
            <w:bottom w:w="0" w:type="dxa"/>
            <w:right w:w="0" w:type="dxa"/>
          </w:tblCellMar>
        </w:tblPrEx>
        <w:trPr>
          <w:trHeight w:val="667" w:hRule="atLeast"/>
          <w:jc w:val="center"/>
        </w:trPr>
        <w:tc>
          <w:tcPr>
            <w:tcW w:w="1156" w:type="dxa"/>
            <w:vMerge w:val="restart"/>
            <w:vAlign w:val="center"/>
          </w:tcPr>
          <w:p w14:paraId="39CC1D5E">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14:paraId="493D76E2">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第7.1款</w:t>
            </w:r>
          </w:p>
        </w:tc>
        <w:tc>
          <w:tcPr>
            <w:tcW w:w="1416" w:type="dxa"/>
            <w:vAlign w:val="center"/>
          </w:tcPr>
          <w:p w14:paraId="754FBDBC">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包装特殊要求</w:t>
            </w:r>
          </w:p>
        </w:tc>
        <w:tc>
          <w:tcPr>
            <w:tcW w:w="7746" w:type="dxa"/>
            <w:vAlign w:val="center"/>
          </w:tcPr>
          <w:p w14:paraId="313282F4">
            <w:pPr>
              <w:keepNext w:val="0"/>
              <w:keepLines w:val="0"/>
              <w:pageBreakBefore w:val="0"/>
              <w:widowControl w:val="0"/>
              <w:kinsoku/>
              <w:wordWrap w:val="0"/>
              <w:overflowPunct/>
              <w:topLinePunct/>
              <w:autoSpaceDE/>
              <w:autoSpaceDN/>
              <w:bidi w:val="0"/>
              <w:adjustRightInd/>
              <w:snapToGrid/>
              <w:spacing w:line="460" w:lineRule="exact"/>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p>
        </w:tc>
      </w:tr>
      <w:tr w14:paraId="5AAD5F5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0" w:type="dxa"/>
            <w:bottom w:w="0" w:type="dxa"/>
            <w:right w:w="0" w:type="dxa"/>
          </w:tblCellMar>
        </w:tblPrEx>
        <w:trPr>
          <w:trHeight w:val="667" w:hRule="atLeast"/>
          <w:jc w:val="center"/>
        </w:trPr>
        <w:tc>
          <w:tcPr>
            <w:tcW w:w="1156" w:type="dxa"/>
            <w:vMerge w:val="continue"/>
            <w:vAlign w:val="center"/>
          </w:tcPr>
          <w:p w14:paraId="040DDE5B">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p>
        </w:tc>
        <w:tc>
          <w:tcPr>
            <w:tcW w:w="1416" w:type="dxa"/>
            <w:vAlign w:val="center"/>
          </w:tcPr>
          <w:p w14:paraId="7689E0F2">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指定现场</w:t>
            </w:r>
          </w:p>
        </w:tc>
        <w:tc>
          <w:tcPr>
            <w:tcW w:w="7746" w:type="dxa"/>
            <w:vAlign w:val="center"/>
          </w:tcPr>
          <w:p w14:paraId="6115B5C8">
            <w:pPr>
              <w:keepNext w:val="0"/>
              <w:keepLines w:val="0"/>
              <w:pageBreakBefore w:val="0"/>
              <w:widowControl w:val="0"/>
              <w:kinsoku/>
              <w:wordWrap w:val="0"/>
              <w:overflowPunct/>
              <w:topLinePunct/>
              <w:autoSpaceDE/>
              <w:autoSpaceDN/>
              <w:bidi w:val="0"/>
              <w:adjustRightInd/>
              <w:snapToGrid/>
              <w:spacing w:line="460" w:lineRule="exact"/>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楚雄彝族自治州人民医院</w:t>
            </w:r>
          </w:p>
        </w:tc>
      </w:tr>
      <w:tr w14:paraId="518AA1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0" w:type="dxa"/>
            <w:bottom w:w="0" w:type="dxa"/>
            <w:right w:w="0" w:type="dxa"/>
          </w:tblCellMar>
        </w:tblPrEx>
        <w:trPr>
          <w:trHeight w:val="772" w:hRule="atLeast"/>
          <w:jc w:val="center"/>
        </w:trPr>
        <w:tc>
          <w:tcPr>
            <w:tcW w:w="1156" w:type="dxa"/>
            <w:vAlign w:val="center"/>
          </w:tcPr>
          <w:p w14:paraId="3348FA4F">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14:paraId="3593B42B">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第7.2款</w:t>
            </w:r>
          </w:p>
        </w:tc>
        <w:tc>
          <w:tcPr>
            <w:tcW w:w="1416" w:type="dxa"/>
            <w:vAlign w:val="center"/>
          </w:tcPr>
          <w:p w14:paraId="781CC76F">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运输特殊要求</w:t>
            </w:r>
          </w:p>
        </w:tc>
        <w:tc>
          <w:tcPr>
            <w:tcW w:w="7746" w:type="dxa"/>
            <w:vAlign w:val="center"/>
          </w:tcPr>
          <w:p w14:paraId="2A00C6D1">
            <w:pPr>
              <w:keepNext w:val="0"/>
              <w:keepLines w:val="0"/>
              <w:pageBreakBefore w:val="0"/>
              <w:widowControl w:val="0"/>
              <w:kinsoku/>
              <w:wordWrap w:val="0"/>
              <w:overflowPunct/>
              <w:topLinePunct/>
              <w:autoSpaceDE/>
              <w:autoSpaceDN/>
              <w:bidi w:val="0"/>
              <w:adjustRightInd/>
              <w:snapToGrid/>
              <w:spacing w:line="460" w:lineRule="exact"/>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p>
        </w:tc>
      </w:tr>
      <w:tr w14:paraId="6BB9767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0" w:type="dxa"/>
            <w:bottom w:w="0" w:type="dxa"/>
            <w:right w:w="0" w:type="dxa"/>
          </w:tblCellMar>
        </w:tblPrEx>
        <w:trPr>
          <w:trHeight w:val="667" w:hRule="atLeast"/>
          <w:jc w:val="center"/>
        </w:trPr>
        <w:tc>
          <w:tcPr>
            <w:tcW w:w="1156" w:type="dxa"/>
            <w:vAlign w:val="center"/>
          </w:tcPr>
          <w:p w14:paraId="231E691D">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14:paraId="78962C45">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第7.3款</w:t>
            </w:r>
          </w:p>
        </w:tc>
        <w:tc>
          <w:tcPr>
            <w:tcW w:w="1416" w:type="dxa"/>
            <w:vAlign w:val="center"/>
          </w:tcPr>
          <w:p w14:paraId="7BDB8546">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保险要求</w:t>
            </w:r>
          </w:p>
        </w:tc>
        <w:tc>
          <w:tcPr>
            <w:tcW w:w="7746" w:type="dxa"/>
            <w:vAlign w:val="center"/>
          </w:tcPr>
          <w:p w14:paraId="1652C41E">
            <w:pPr>
              <w:keepNext w:val="0"/>
              <w:keepLines w:val="0"/>
              <w:pageBreakBefore w:val="0"/>
              <w:widowControl w:val="0"/>
              <w:kinsoku/>
              <w:wordWrap w:val="0"/>
              <w:overflowPunct/>
              <w:topLinePunct/>
              <w:autoSpaceDE/>
              <w:autoSpaceDN/>
              <w:bidi w:val="0"/>
              <w:adjustRightInd/>
              <w:snapToGrid/>
              <w:spacing w:line="460" w:lineRule="exact"/>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p>
        </w:tc>
      </w:tr>
      <w:tr w14:paraId="08A7B4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0" w:type="dxa"/>
            <w:bottom w:w="0" w:type="dxa"/>
            <w:right w:w="0" w:type="dxa"/>
          </w:tblCellMar>
        </w:tblPrEx>
        <w:trPr>
          <w:trHeight w:val="736" w:hRule="atLeast"/>
          <w:jc w:val="center"/>
        </w:trPr>
        <w:tc>
          <w:tcPr>
            <w:tcW w:w="1156" w:type="dxa"/>
            <w:vAlign w:val="center"/>
          </w:tcPr>
          <w:p w14:paraId="2C0B4E81">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14:paraId="3787B0B4">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第8.2（1）项</w:t>
            </w:r>
          </w:p>
        </w:tc>
        <w:tc>
          <w:tcPr>
            <w:tcW w:w="1416" w:type="dxa"/>
            <w:vAlign w:val="center"/>
          </w:tcPr>
          <w:p w14:paraId="5B63255A">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质量保证期</w:t>
            </w:r>
          </w:p>
        </w:tc>
        <w:tc>
          <w:tcPr>
            <w:tcW w:w="7746" w:type="dxa"/>
            <w:vAlign w:val="center"/>
          </w:tcPr>
          <w:p w14:paraId="1689D444">
            <w:pPr>
              <w:keepNext w:val="0"/>
              <w:keepLines w:val="0"/>
              <w:pageBreakBefore w:val="0"/>
              <w:widowControl w:val="0"/>
              <w:kinsoku/>
              <w:wordWrap w:val="0"/>
              <w:overflowPunct/>
              <w:topLinePunct/>
              <w:autoSpaceDE/>
              <w:autoSpaceDN/>
              <w:bidi w:val="0"/>
              <w:adjustRightInd/>
              <w:snapToGrid/>
              <w:spacing w:line="460" w:lineRule="exact"/>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详见  </w:t>
            </w:r>
            <w:r>
              <w:rPr>
                <w:rFonts w:hint="eastAsia" w:ascii="仿宋" w:hAnsi="仿宋" w:eastAsia="仿宋" w:cs="仿宋"/>
                <w:color w:val="auto"/>
                <w:sz w:val="21"/>
                <w:szCs w:val="21"/>
                <w:highlight w:val="none"/>
                <w:lang w:val="en-US" w:eastAsia="zh-CN"/>
              </w:rPr>
              <w:t>采购需求及要求</w:t>
            </w:r>
            <w:r>
              <w:rPr>
                <w:rFonts w:hint="eastAsia" w:ascii="仿宋" w:hAnsi="仿宋" w:eastAsia="仿宋" w:cs="仿宋"/>
                <w:color w:val="auto"/>
                <w:sz w:val="21"/>
                <w:szCs w:val="21"/>
                <w:highlight w:val="none"/>
              </w:rPr>
              <w:t>。</w:t>
            </w:r>
          </w:p>
        </w:tc>
      </w:tr>
      <w:tr w14:paraId="3498846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0" w:type="dxa"/>
            <w:bottom w:w="0" w:type="dxa"/>
            <w:right w:w="0" w:type="dxa"/>
          </w:tblCellMar>
        </w:tblPrEx>
        <w:trPr>
          <w:trHeight w:val="736" w:hRule="atLeast"/>
          <w:jc w:val="center"/>
        </w:trPr>
        <w:tc>
          <w:tcPr>
            <w:tcW w:w="1156" w:type="dxa"/>
            <w:vAlign w:val="center"/>
          </w:tcPr>
          <w:p w14:paraId="3EF2DC3C">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14:paraId="037EBA01">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第8.2（3）项</w:t>
            </w:r>
          </w:p>
        </w:tc>
        <w:tc>
          <w:tcPr>
            <w:tcW w:w="1416" w:type="dxa"/>
            <w:vAlign w:val="center"/>
          </w:tcPr>
          <w:p w14:paraId="5B372672">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货物质量缺陷</w:t>
            </w:r>
          </w:p>
          <w:p w14:paraId="53060B51">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响应时间</w:t>
            </w:r>
          </w:p>
        </w:tc>
        <w:tc>
          <w:tcPr>
            <w:tcW w:w="7746" w:type="dxa"/>
            <w:vAlign w:val="center"/>
          </w:tcPr>
          <w:p w14:paraId="55974056">
            <w:pPr>
              <w:keepNext w:val="0"/>
              <w:keepLines w:val="0"/>
              <w:pageBreakBefore w:val="0"/>
              <w:widowControl w:val="0"/>
              <w:kinsoku/>
              <w:wordWrap w:val="0"/>
              <w:overflowPunct/>
              <w:topLinePunct/>
              <w:autoSpaceDE/>
              <w:autoSpaceDN/>
              <w:bidi w:val="0"/>
              <w:adjustRightInd/>
              <w:snapToGrid/>
              <w:spacing w:line="460" w:lineRule="exact"/>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1、质保期内的维修维护服务</w:t>
            </w:r>
          </w:p>
          <w:p w14:paraId="6769837F">
            <w:pPr>
              <w:keepNext w:val="0"/>
              <w:keepLines w:val="0"/>
              <w:pageBreakBefore w:val="0"/>
              <w:widowControl w:val="0"/>
              <w:kinsoku/>
              <w:wordWrap w:val="0"/>
              <w:overflowPunct/>
              <w:topLinePunct/>
              <w:autoSpaceDE/>
              <w:autoSpaceDN/>
              <w:bidi w:val="0"/>
              <w:adjustRightInd/>
              <w:snapToGrid/>
              <w:spacing w:line="460" w:lineRule="exact"/>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1.1质保期内设备运行发生故障或出现质量问题，</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接到采购人故障通知后，响应时间≤2小时；若电话指导无法排除故障，</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技术员应在24小时内到场进行检查、维修、排除故障并出具维修维护报告，若机件损坏，</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应免费更换损坏的零部件，修理费用由</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负责，其差旅费用（包含住宿、交通、生活补助等）由</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承担。保修期内因故障停机，按停机时间双倍顺延保修期。</w:t>
            </w:r>
          </w:p>
          <w:p w14:paraId="274EBC39">
            <w:pPr>
              <w:keepNext w:val="0"/>
              <w:keepLines w:val="0"/>
              <w:pageBreakBefore w:val="0"/>
              <w:widowControl w:val="0"/>
              <w:kinsoku/>
              <w:wordWrap w:val="0"/>
              <w:overflowPunct/>
              <w:topLinePunct/>
              <w:autoSpaceDE/>
              <w:autoSpaceDN/>
              <w:bidi w:val="0"/>
              <w:adjustRightInd/>
              <w:snapToGrid/>
              <w:spacing w:line="460" w:lineRule="exact"/>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1.2 质保期内出现质量问题：指设备无法正常运行，或同一类故障累计发生3次，或设备故障在15日内无法修复等情况，</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应立即无条件更换相同品牌规格型号的新机，其质保期顺延。维修超过72小时，提供备用机。</w:t>
            </w:r>
          </w:p>
          <w:p w14:paraId="36A6BFEE">
            <w:pPr>
              <w:keepNext w:val="0"/>
              <w:keepLines w:val="0"/>
              <w:pageBreakBefore w:val="0"/>
              <w:widowControl w:val="0"/>
              <w:kinsoku/>
              <w:wordWrap w:val="0"/>
              <w:overflowPunct/>
              <w:topLinePunct/>
              <w:autoSpaceDE/>
              <w:autoSpaceDN/>
              <w:bidi w:val="0"/>
              <w:adjustRightInd/>
              <w:snapToGrid/>
              <w:spacing w:line="460" w:lineRule="exact"/>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2、保修期满后的维修维护服务：</w:t>
            </w:r>
          </w:p>
          <w:p w14:paraId="3BB5AC1A">
            <w:pPr>
              <w:keepNext w:val="0"/>
              <w:keepLines w:val="0"/>
              <w:pageBreakBefore w:val="0"/>
              <w:widowControl w:val="0"/>
              <w:kinsoku/>
              <w:wordWrap w:val="0"/>
              <w:overflowPunct/>
              <w:topLinePunct/>
              <w:autoSpaceDE/>
              <w:autoSpaceDN/>
              <w:bidi w:val="0"/>
              <w:adjustRightInd/>
              <w:snapToGrid/>
              <w:spacing w:line="460" w:lineRule="exact"/>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2.1保修期满后，提供终身维修、维护服务。</w:t>
            </w:r>
          </w:p>
          <w:p w14:paraId="3059CD18">
            <w:pPr>
              <w:keepNext w:val="0"/>
              <w:keepLines w:val="0"/>
              <w:pageBreakBefore w:val="0"/>
              <w:widowControl w:val="0"/>
              <w:kinsoku/>
              <w:wordWrap w:val="0"/>
              <w:overflowPunct/>
              <w:topLinePunct/>
              <w:autoSpaceDE/>
              <w:autoSpaceDN/>
              <w:bidi w:val="0"/>
              <w:adjustRightInd/>
              <w:snapToGrid/>
              <w:spacing w:line="460" w:lineRule="exact"/>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2.2保修期满后，如遇设备故障，</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应及时处理设备故障等质量问题，接到采购人故障通知，响应时间≤2小时；若电话指导无法排除故障，</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技术员应在48小时内到场进行检查、维修并排除故障，仅收取零配件费用，免收修理费及差旅费等费用。</w:t>
            </w:r>
          </w:p>
        </w:tc>
      </w:tr>
      <w:tr w14:paraId="6709EB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0" w:type="dxa"/>
            <w:bottom w:w="0" w:type="dxa"/>
            <w:right w:w="0" w:type="dxa"/>
          </w:tblCellMar>
        </w:tblPrEx>
        <w:trPr>
          <w:trHeight w:val="736" w:hRule="atLeast"/>
          <w:jc w:val="center"/>
        </w:trPr>
        <w:tc>
          <w:tcPr>
            <w:tcW w:w="1156" w:type="dxa"/>
            <w:vAlign w:val="center"/>
          </w:tcPr>
          <w:p w14:paraId="16E8DD5B">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14:paraId="39A88F14">
            <w:pPr>
              <w:pStyle w:val="86"/>
              <w:keepNext w:val="0"/>
              <w:keepLines w:val="0"/>
              <w:pageBreakBefore w:val="0"/>
              <w:widowControl w:val="0"/>
              <w:kinsoku/>
              <w:wordWrap w:val="0"/>
              <w:overflowPunct/>
              <w:topLinePunct/>
              <w:autoSpaceDE/>
              <w:autoSpaceDN/>
              <w:bidi w:val="0"/>
              <w:adjustRightInd/>
              <w:snapToGrid/>
              <w:spacing w:line="460" w:lineRule="exact"/>
              <w:ind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第11.1款</w:t>
            </w:r>
          </w:p>
        </w:tc>
        <w:tc>
          <w:tcPr>
            <w:tcW w:w="1416" w:type="dxa"/>
            <w:vAlign w:val="center"/>
          </w:tcPr>
          <w:p w14:paraId="4517EBB6">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其他应当保密的信息</w:t>
            </w:r>
          </w:p>
        </w:tc>
        <w:tc>
          <w:tcPr>
            <w:tcW w:w="7746" w:type="dxa"/>
            <w:vAlign w:val="center"/>
          </w:tcPr>
          <w:p w14:paraId="6ACF4D6E">
            <w:pPr>
              <w:keepNext w:val="0"/>
              <w:keepLines w:val="0"/>
              <w:pageBreakBefore w:val="0"/>
              <w:widowControl w:val="0"/>
              <w:kinsoku/>
              <w:wordWrap w:val="0"/>
              <w:overflowPunct/>
              <w:topLinePunct/>
              <w:autoSpaceDE/>
              <w:autoSpaceDN/>
              <w:bidi w:val="0"/>
              <w:adjustRightInd/>
              <w:snapToGrid/>
              <w:spacing w:line="460" w:lineRule="exact"/>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根据《</w:t>
            </w:r>
            <w:r>
              <w:rPr>
                <w:rFonts w:hint="eastAsia" w:ascii="仿宋" w:hAnsi="仿宋" w:eastAsia="仿宋" w:cs="仿宋"/>
                <w:color w:val="auto"/>
                <w:sz w:val="21"/>
                <w:szCs w:val="21"/>
                <w:highlight w:val="none"/>
                <w:lang w:eastAsia="zh-CN"/>
              </w:rPr>
              <w:t>中华人民共和国反不正当竞争法</w:t>
            </w:r>
            <w:r>
              <w:rPr>
                <w:rFonts w:hint="eastAsia" w:ascii="仿宋" w:hAnsi="仿宋" w:eastAsia="仿宋" w:cs="仿宋"/>
                <w:color w:val="auto"/>
                <w:sz w:val="21"/>
                <w:szCs w:val="21"/>
                <w:highlight w:val="none"/>
              </w:rPr>
              <w:t>》，商业秘密，是指不为公众所知悉、能为权利人带来经济利益、具有实用性并经权利人采取保密措施的技术信息和经营信息。</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的投标文件和响应性文件可能会涉及商业秘密，采购人、采购代理机构、评审专家在政府采购活动中知悉的</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的商业秘密应当予以保密。泄露商业秘密将依法承担法律责任。</w:t>
            </w:r>
          </w:p>
        </w:tc>
      </w:tr>
      <w:tr w14:paraId="34911D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0" w:type="dxa"/>
            <w:bottom w:w="0" w:type="dxa"/>
            <w:right w:w="0" w:type="dxa"/>
          </w:tblCellMar>
        </w:tblPrEx>
        <w:trPr>
          <w:trHeight w:val="697" w:hRule="atLeast"/>
          <w:jc w:val="center"/>
        </w:trPr>
        <w:tc>
          <w:tcPr>
            <w:tcW w:w="1156" w:type="dxa"/>
            <w:vAlign w:val="center"/>
          </w:tcPr>
          <w:p w14:paraId="1D88F725">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14:paraId="4C68B37A">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第12.2款</w:t>
            </w:r>
          </w:p>
        </w:tc>
        <w:tc>
          <w:tcPr>
            <w:tcW w:w="1416" w:type="dxa"/>
            <w:vAlign w:val="center"/>
          </w:tcPr>
          <w:p w14:paraId="54812F9C">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合同价款支付时间</w:t>
            </w:r>
          </w:p>
        </w:tc>
        <w:tc>
          <w:tcPr>
            <w:tcW w:w="7746" w:type="dxa"/>
            <w:vAlign w:val="center"/>
          </w:tcPr>
          <w:p w14:paraId="5071C62A">
            <w:pPr>
              <w:keepNext w:val="0"/>
              <w:keepLines w:val="0"/>
              <w:pageBreakBefore w:val="0"/>
              <w:widowControl w:val="0"/>
              <w:kinsoku/>
              <w:wordWrap w:val="0"/>
              <w:overflowPunct/>
              <w:topLinePunct/>
              <w:autoSpaceDE/>
              <w:autoSpaceDN/>
              <w:bidi w:val="0"/>
              <w:adjustRightInd/>
              <w:snapToGrid/>
              <w:spacing w:line="460" w:lineRule="exact"/>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按先票后款原则，自货物交付验收合格之后收到符合甲方要求的发票60日内支付响应款项。</w:t>
            </w:r>
          </w:p>
        </w:tc>
      </w:tr>
      <w:tr w14:paraId="6611B8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0" w:type="dxa"/>
            <w:bottom w:w="0" w:type="dxa"/>
            <w:right w:w="0" w:type="dxa"/>
          </w:tblCellMar>
        </w:tblPrEx>
        <w:trPr>
          <w:trHeight w:val="697" w:hRule="atLeast"/>
          <w:jc w:val="center"/>
        </w:trPr>
        <w:tc>
          <w:tcPr>
            <w:tcW w:w="1156" w:type="dxa"/>
            <w:vAlign w:val="center"/>
          </w:tcPr>
          <w:p w14:paraId="2FC6B7D0">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14:paraId="663CD4F9">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第13.2款</w:t>
            </w:r>
          </w:p>
        </w:tc>
        <w:tc>
          <w:tcPr>
            <w:tcW w:w="1416" w:type="dxa"/>
            <w:vAlign w:val="center"/>
          </w:tcPr>
          <w:p w14:paraId="7855DE44">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履约保证金不予退还的情形</w:t>
            </w:r>
          </w:p>
        </w:tc>
        <w:tc>
          <w:tcPr>
            <w:tcW w:w="7746" w:type="dxa"/>
            <w:vAlign w:val="center"/>
          </w:tcPr>
          <w:p w14:paraId="539E8EB2">
            <w:pPr>
              <w:keepNext w:val="0"/>
              <w:keepLines w:val="0"/>
              <w:pageBreakBefore w:val="0"/>
              <w:widowControl w:val="0"/>
              <w:kinsoku/>
              <w:wordWrap w:val="0"/>
              <w:overflowPunct/>
              <w:topLinePunct/>
              <w:autoSpaceDE/>
              <w:autoSpaceDN/>
              <w:bidi w:val="0"/>
              <w:adjustRightInd/>
              <w:snapToGrid/>
              <w:spacing w:line="460" w:lineRule="exact"/>
              <w:ind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一、采用招标采购方式不予退还保证金的情形1.</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在提交投标文件截止时间之后撤销投标文件的；2.中标人无正当理由不与采购人订立合同，在签订合同时向采购人提出附加条件，或者不按照招标文件要求提交履约保证金的</w:t>
            </w:r>
            <w:r>
              <w:rPr>
                <w:rFonts w:hint="eastAsia" w:ascii="仿宋" w:hAnsi="仿宋" w:eastAsia="仿宋" w:cs="仿宋"/>
                <w:color w:val="auto"/>
                <w:sz w:val="21"/>
                <w:szCs w:val="21"/>
                <w:highlight w:val="none"/>
                <w:lang w:eastAsia="zh-CN"/>
              </w:rPr>
              <w:t>或者其他导致采购无法进行的。</w:t>
            </w:r>
          </w:p>
          <w:p w14:paraId="28EB948D">
            <w:pPr>
              <w:keepNext w:val="0"/>
              <w:keepLines w:val="0"/>
              <w:pageBreakBefore w:val="0"/>
              <w:widowControl w:val="0"/>
              <w:kinsoku/>
              <w:wordWrap w:val="0"/>
              <w:overflowPunct/>
              <w:topLinePunct/>
              <w:autoSpaceDE/>
              <w:autoSpaceDN/>
              <w:bidi w:val="0"/>
              <w:adjustRightInd/>
              <w:snapToGrid/>
              <w:spacing w:line="460" w:lineRule="exact"/>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二、非招标采购方式中不予退还保证金的情形1.</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在提交响应文件截止时间后撤回响应文件的；2.</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在响应文件中提供虚假材料的；3.除因不可抗力或谈判文件、询价通知书认可的情形以外，成交</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不与采购人签订合同的；4.</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与采购人、其他</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或者采购代理机构恶意串通的；5.采购文件规定的其他情形。</w:t>
            </w:r>
          </w:p>
        </w:tc>
      </w:tr>
      <w:tr w14:paraId="1773F6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0" w:type="dxa"/>
            <w:bottom w:w="0" w:type="dxa"/>
            <w:right w:w="0" w:type="dxa"/>
          </w:tblCellMar>
        </w:tblPrEx>
        <w:trPr>
          <w:trHeight w:val="736" w:hRule="atLeast"/>
          <w:jc w:val="center"/>
        </w:trPr>
        <w:tc>
          <w:tcPr>
            <w:tcW w:w="1156" w:type="dxa"/>
            <w:vAlign w:val="center"/>
          </w:tcPr>
          <w:p w14:paraId="3B43EBD3">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14:paraId="7E33BB9D">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第13.3款</w:t>
            </w:r>
          </w:p>
        </w:tc>
        <w:tc>
          <w:tcPr>
            <w:tcW w:w="1416" w:type="dxa"/>
            <w:vAlign w:val="center"/>
          </w:tcPr>
          <w:p w14:paraId="3F38C510">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履约保证金退还时间及逾期退还的违约金</w:t>
            </w:r>
          </w:p>
        </w:tc>
        <w:tc>
          <w:tcPr>
            <w:tcW w:w="7746" w:type="dxa"/>
            <w:vAlign w:val="center"/>
          </w:tcPr>
          <w:p w14:paraId="37DB27F4">
            <w:pPr>
              <w:keepNext w:val="0"/>
              <w:keepLines w:val="0"/>
              <w:pageBreakBefore w:val="0"/>
              <w:widowControl w:val="0"/>
              <w:kinsoku/>
              <w:wordWrap w:val="0"/>
              <w:overflowPunct/>
              <w:topLinePunct/>
              <w:autoSpaceDE/>
              <w:autoSpaceDN/>
              <w:bidi w:val="0"/>
              <w:adjustRightInd/>
              <w:snapToGrid/>
              <w:spacing w:line="460" w:lineRule="exact"/>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货物交付验收合格之后收到乙方退还履约保证金的申请之日起60日内退还履约保证金</w:t>
            </w:r>
            <w:r>
              <w:rPr>
                <w:rFonts w:hint="eastAsia" w:ascii="仿宋" w:hAnsi="仿宋" w:eastAsia="仿宋" w:cs="仿宋"/>
                <w:color w:val="auto"/>
                <w:sz w:val="21"/>
                <w:szCs w:val="21"/>
                <w:highlight w:val="none"/>
              </w:rPr>
              <w:t>。</w:t>
            </w:r>
          </w:p>
        </w:tc>
      </w:tr>
      <w:tr w14:paraId="4C792A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0" w:type="dxa"/>
            <w:bottom w:w="0" w:type="dxa"/>
            <w:right w:w="0" w:type="dxa"/>
          </w:tblCellMar>
        </w:tblPrEx>
        <w:trPr>
          <w:trHeight w:val="784" w:hRule="atLeast"/>
          <w:jc w:val="center"/>
        </w:trPr>
        <w:tc>
          <w:tcPr>
            <w:tcW w:w="1156" w:type="dxa"/>
            <w:vAlign w:val="center"/>
          </w:tcPr>
          <w:p w14:paraId="7E0E4DBE">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14:paraId="17C095FD">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第14.1（3）项</w:t>
            </w:r>
          </w:p>
        </w:tc>
        <w:tc>
          <w:tcPr>
            <w:tcW w:w="1416" w:type="dxa"/>
            <w:vAlign w:val="center"/>
          </w:tcPr>
          <w:p w14:paraId="152B7CE6">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运行监督、维修期限</w:t>
            </w:r>
          </w:p>
        </w:tc>
        <w:tc>
          <w:tcPr>
            <w:tcW w:w="7746" w:type="dxa"/>
            <w:vAlign w:val="center"/>
          </w:tcPr>
          <w:p w14:paraId="505E7B87">
            <w:pPr>
              <w:keepNext w:val="0"/>
              <w:keepLines w:val="0"/>
              <w:pageBreakBefore w:val="0"/>
              <w:widowControl w:val="0"/>
              <w:kinsoku/>
              <w:wordWrap w:val="0"/>
              <w:overflowPunct/>
              <w:topLinePunct/>
              <w:autoSpaceDE/>
              <w:autoSpaceDN/>
              <w:bidi w:val="0"/>
              <w:adjustRightInd/>
              <w:snapToGrid/>
              <w:spacing w:line="460" w:lineRule="exact"/>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详见 </w:t>
            </w:r>
            <w:r>
              <w:rPr>
                <w:rFonts w:hint="eastAsia" w:ascii="仿宋" w:hAnsi="仿宋" w:eastAsia="仿宋" w:cs="仿宋"/>
                <w:color w:val="auto"/>
                <w:sz w:val="21"/>
                <w:szCs w:val="21"/>
                <w:highlight w:val="none"/>
                <w:lang w:val="en-US" w:eastAsia="zh-CN"/>
              </w:rPr>
              <w:t>采购需求及要求</w:t>
            </w:r>
            <w:r>
              <w:rPr>
                <w:rFonts w:hint="eastAsia" w:ascii="仿宋" w:hAnsi="仿宋" w:eastAsia="仿宋" w:cs="仿宋"/>
                <w:color w:val="auto"/>
                <w:sz w:val="21"/>
                <w:szCs w:val="21"/>
                <w:highlight w:val="none"/>
              </w:rPr>
              <w:t>。</w:t>
            </w:r>
          </w:p>
        </w:tc>
      </w:tr>
      <w:tr w14:paraId="41F2CA3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0" w:type="dxa"/>
            <w:bottom w:w="0" w:type="dxa"/>
            <w:right w:w="0" w:type="dxa"/>
          </w:tblCellMar>
        </w:tblPrEx>
        <w:trPr>
          <w:trHeight w:val="784" w:hRule="atLeast"/>
          <w:jc w:val="center"/>
        </w:trPr>
        <w:tc>
          <w:tcPr>
            <w:tcW w:w="1156" w:type="dxa"/>
            <w:vAlign w:val="center"/>
          </w:tcPr>
          <w:p w14:paraId="0E16482F">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14:paraId="0D9534E0">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第14.1（5）项</w:t>
            </w:r>
          </w:p>
        </w:tc>
        <w:tc>
          <w:tcPr>
            <w:tcW w:w="1416" w:type="dxa"/>
            <w:vAlign w:val="center"/>
          </w:tcPr>
          <w:p w14:paraId="5BBD8BB2">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货物回收的约定</w:t>
            </w:r>
          </w:p>
        </w:tc>
        <w:tc>
          <w:tcPr>
            <w:tcW w:w="7746" w:type="dxa"/>
            <w:vAlign w:val="center"/>
          </w:tcPr>
          <w:p w14:paraId="6978EA6B">
            <w:pPr>
              <w:keepNext w:val="0"/>
              <w:keepLines w:val="0"/>
              <w:pageBreakBefore w:val="0"/>
              <w:widowControl w:val="0"/>
              <w:kinsoku/>
              <w:wordWrap w:val="0"/>
              <w:overflowPunct/>
              <w:topLinePunct/>
              <w:autoSpaceDE/>
              <w:autoSpaceDN/>
              <w:bidi w:val="0"/>
              <w:adjustRightInd/>
              <w:snapToGrid/>
              <w:spacing w:line="460" w:lineRule="exact"/>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p>
        </w:tc>
      </w:tr>
      <w:tr w14:paraId="5EF964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0" w:type="dxa"/>
            <w:bottom w:w="0" w:type="dxa"/>
            <w:right w:w="0" w:type="dxa"/>
          </w:tblCellMar>
        </w:tblPrEx>
        <w:trPr>
          <w:trHeight w:val="736" w:hRule="atLeast"/>
          <w:jc w:val="center"/>
        </w:trPr>
        <w:tc>
          <w:tcPr>
            <w:tcW w:w="1156" w:type="dxa"/>
            <w:vAlign w:val="center"/>
          </w:tcPr>
          <w:p w14:paraId="5F53BCBA">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14:paraId="22A9C1E7">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第14.1（6）项</w:t>
            </w:r>
          </w:p>
        </w:tc>
        <w:tc>
          <w:tcPr>
            <w:tcW w:w="1416" w:type="dxa"/>
            <w:vAlign w:val="center"/>
          </w:tcPr>
          <w:p w14:paraId="42AD3B09">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乙方提供的其他服务</w:t>
            </w:r>
          </w:p>
        </w:tc>
        <w:tc>
          <w:tcPr>
            <w:tcW w:w="7746" w:type="dxa"/>
            <w:vAlign w:val="center"/>
          </w:tcPr>
          <w:p w14:paraId="11A6507E">
            <w:pPr>
              <w:keepNext w:val="0"/>
              <w:keepLines w:val="0"/>
              <w:pageBreakBefore w:val="0"/>
              <w:widowControl w:val="0"/>
              <w:kinsoku/>
              <w:wordWrap w:val="0"/>
              <w:overflowPunct/>
              <w:topLinePunct/>
              <w:autoSpaceDE/>
              <w:autoSpaceDN/>
              <w:bidi w:val="0"/>
              <w:adjustRightInd/>
              <w:snapToGrid/>
              <w:spacing w:line="460" w:lineRule="exact"/>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详见 </w:t>
            </w:r>
            <w:r>
              <w:rPr>
                <w:rFonts w:hint="eastAsia" w:ascii="仿宋" w:hAnsi="仿宋" w:eastAsia="仿宋" w:cs="仿宋"/>
                <w:color w:val="auto"/>
                <w:sz w:val="21"/>
                <w:szCs w:val="21"/>
                <w:highlight w:val="none"/>
                <w:lang w:val="en-US" w:eastAsia="zh-CN"/>
              </w:rPr>
              <w:t>采购需求及要求</w:t>
            </w:r>
            <w:r>
              <w:rPr>
                <w:rFonts w:hint="eastAsia" w:ascii="仿宋" w:hAnsi="仿宋" w:eastAsia="仿宋" w:cs="仿宋"/>
                <w:color w:val="auto"/>
                <w:sz w:val="21"/>
                <w:szCs w:val="21"/>
                <w:highlight w:val="none"/>
              </w:rPr>
              <w:t>。</w:t>
            </w:r>
          </w:p>
        </w:tc>
      </w:tr>
      <w:tr w14:paraId="4ED409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0" w:type="dxa"/>
            <w:bottom w:w="0" w:type="dxa"/>
            <w:right w:w="0" w:type="dxa"/>
          </w:tblCellMar>
        </w:tblPrEx>
        <w:trPr>
          <w:trHeight w:val="736" w:hRule="atLeast"/>
          <w:jc w:val="center"/>
        </w:trPr>
        <w:tc>
          <w:tcPr>
            <w:tcW w:w="1156" w:type="dxa"/>
            <w:vAlign w:val="center"/>
          </w:tcPr>
          <w:p w14:paraId="3324F775">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14:paraId="3DCABD98">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第15.1款</w:t>
            </w:r>
          </w:p>
        </w:tc>
        <w:tc>
          <w:tcPr>
            <w:tcW w:w="1416" w:type="dxa"/>
            <w:vAlign w:val="center"/>
          </w:tcPr>
          <w:p w14:paraId="4A4F623D">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修理、重</w:t>
            </w:r>
            <w:r>
              <w:rPr>
                <w:rFonts w:hint="eastAsia" w:ascii="仿宋" w:hAnsi="仿宋" w:eastAsia="仿宋" w:cs="仿宋"/>
                <w:color w:val="auto"/>
                <w:sz w:val="21"/>
                <w:szCs w:val="21"/>
                <w:highlight w:val="none"/>
                <w:lang w:eastAsia="zh-CN"/>
              </w:rPr>
              <w:t>做</w:t>
            </w:r>
            <w:r>
              <w:rPr>
                <w:rFonts w:hint="eastAsia" w:ascii="仿宋" w:hAnsi="仿宋" w:eastAsia="仿宋" w:cs="仿宋"/>
                <w:color w:val="auto"/>
                <w:sz w:val="21"/>
                <w:szCs w:val="21"/>
                <w:highlight w:val="none"/>
              </w:rPr>
              <w:t>、更换相关具体规定</w:t>
            </w:r>
          </w:p>
        </w:tc>
        <w:tc>
          <w:tcPr>
            <w:tcW w:w="7746" w:type="dxa"/>
            <w:vAlign w:val="center"/>
          </w:tcPr>
          <w:p w14:paraId="62825436">
            <w:pPr>
              <w:keepNext w:val="0"/>
              <w:keepLines w:val="0"/>
              <w:pageBreakBefore w:val="0"/>
              <w:widowControl w:val="0"/>
              <w:kinsoku/>
              <w:wordWrap w:val="0"/>
              <w:overflowPunct/>
              <w:topLinePunct/>
              <w:autoSpaceDE/>
              <w:autoSpaceDN/>
              <w:bidi w:val="0"/>
              <w:adjustRightInd/>
              <w:snapToGrid/>
              <w:spacing w:line="460" w:lineRule="exact"/>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根据《中华人民共和国产品质量法》《中华人民共和国消费者权益保护法》及有关规定执行。</w:t>
            </w:r>
          </w:p>
        </w:tc>
      </w:tr>
      <w:tr w14:paraId="6C2EA24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0" w:type="dxa"/>
            <w:bottom w:w="0" w:type="dxa"/>
            <w:right w:w="0" w:type="dxa"/>
          </w:tblCellMar>
        </w:tblPrEx>
        <w:trPr>
          <w:trHeight w:val="90" w:hRule="atLeast"/>
          <w:jc w:val="center"/>
        </w:trPr>
        <w:tc>
          <w:tcPr>
            <w:tcW w:w="1156" w:type="dxa"/>
            <w:vAlign w:val="center"/>
          </w:tcPr>
          <w:p w14:paraId="63266033">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14:paraId="72D6B5FD">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第15.2（2）项</w:t>
            </w:r>
          </w:p>
        </w:tc>
        <w:tc>
          <w:tcPr>
            <w:tcW w:w="1416" w:type="dxa"/>
            <w:vAlign w:val="center"/>
          </w:tcPr>
          <w:p w14:paraId="3A2AA402">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迟延交货赔偿费</w:t>
            </w:r>
          </w:p>
        </w:tc>
        <w:tc>
          <w:tcPr>
            <w:tcW w:w="7746" w:type="dxa"/>
            <w:vAlign w:val="center"/>
          </w:tcPr>
          <w:p w14:paraId="0AD76385">
            <w:pPr>
              <w:keepNext w:val="0"/>
              <w:keepLines w:val="0"/>
              <w:pageBreakBefore w:val="0"/>
              <w:widowControl w:val="0"/>
              <w:kinsoku/>
              <w:wordWrap w:val="0"/>
              <w:overflowPunct/>
              <w:topLinePunct/>
              <w:autoSpaceDE/>
              <w:autoSpaceDN/>
              <w:bidi w:val="0"/>
              <w:adjustRightInd/>
              <w:snapToGrid/>
              <w:spacing w:line="460" w:lineRule="exact"/>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（一）每延误一周</w:t>
            </w:r>
            <w:r>
              <w:rPr>
                <w:rFonts w:hint="eastAsia" w:ascii="仿宋" w:hAnsi="仿宋" w:eastAsia="仿宋" w:cs="仿宋"/>
                <w:color w:val="auto"/>
                <w:sz w:val="21"/>
                <w:szCs w:val="21"/>
                <w:highlight w:val="none"/>
                <w:lang w:eastAsia="zh-CN"/>
              </w:rPr>
              <w:t>的、每周</w:t>
            </w:r>
            <w:r>
              <w:rPr>
                <w:rFonts w:hint="eastAsia" w:ascii="仿宋" w:hAnsi="仿宋" w:eastAsia="仿宋" w:cs="仿宋"/>
                <w:color w:val="auto"/>
                <w:sz w:val="21"/>
                <w:szCs w:val="21"/>
                <w:highlight w:val="none"/>
              </w:rPr>
              <w:t>的赔偿费按迟交货物交货价或未提供服务的服务费用的</w:t>
            </w:r>
            <w:r>
              <w:rPr>
                <w:rFonts w:hint="eastAsia" w:ascii="仿宋" w:hAnsi="仿宋" w:eastAsia="仿宋" w:cs="仿宋"/>
                <w:i/>
                <w:iCs/>
                <w:color w:val="auto"/>
                <w:sz w:val="21"/>
                <w:szCs w:val="21"/>
                <w:highlight w:val="none"/>
              </w:rPr>
              <w:t>0.5%</w:t>
            </w:r>
            <w:r>
              <w:rPr>
                <w:rFonts w:hint="eastAsia" w:ascii="仿宋" w:hAnsi="仿宋" w:eastAsia="仿宋" w:cs="仿宋"/>
                <w:color w:val="auto"/>
                <w:sz w:val="21"/>
                <w:szCs w:val="21"/>
                <w:highlight w:val="none"/>
              </w:rPr>
              <w:t>计收，直至交货或提供服务为止。如果因供货方原因导致不能全部或部分交货，应依照合同约定的违约金比例乘以不能交货的部分货款计算违约金。若违约金不足以偿付采购方所受到的实际损失，可以修改违约金，使实际受到的损失得到合理的补偿。</w:t>
            </w:r>
          </w:p>
          <w:p w14:paraId="64590104">
            <w:pPr>
              <w:keepNext w:val="0"/>
              <w:keepLines w:val="0"/>
              <w:pageBreakBefore w:val="0"/>
              <w:widowControl w:val="0"/>
              <w:kinsoku/>
              <w:wordWrap w:val="0"/>
              <w:overflowPunct/>
              <w:topLinePunct/>
              <w:autoSpaceDE/>
              <w:autoSpaceDN/>
              <w:bidi w:val="0"/>
              <w:adjustRightInd/>
              <w:snapToGrid/>
              <w:spacing w:line="460" w:lineRule="exact"/>
              <w:ind w:firstLine="420" w:firstLineChars="200"/>
              <w:jc w:val="left"/>
              <w:textAlignment w:val="auto"/>
              <w:rPr>
                <w:rFonts w:hint="eastAsia" w:ascii="仿宋" w:hAnsi="仿宋" w:eastAsia="仿宋" w:cs="仿宋"/>
                <w:color w:val="auto"/>
                <w:sz w:val="21"/>
                <w:szCs w:val="21"/>
                <w:highlight w:val="none"/>
                <w:u w:val="single"/>
                <w:lang w:eastAsia="zh-CN"/>
              </w:rPr>
            </w:pPr>
            <w:r>
              <w:rPr>
                <w:rFonts w:hint="eastAsia" w:ascii="仿宋" w:hAnsi="仿宋" w:eastAsia="仿宋" w:cs="仿宋"/>
                <w:color w:val="auto"/>
                <w:sz w:val="21"/>
                <w:szCs w:val="21"/>
                <w:highlight w:val="none"/>
              </w:rPr>
              <w:t>（二）供货方不能如期交货的行为又可以进一步区分为逾期交货和提前交货两种情况。只要发生供货方逾期交货的情况，即不论合同内规定由它将设备送到指定地点交接，还是采购方去自提，均要按照合同约定依据逾期交货部分货款总价计算违约金。发生逾期交货事件后，供货方还应在发货前与采购方就发货的有关事宜进行协商。采购方仍需要时，可继续发货照数补齐，并承担逾期付货责任；如果采购方认为已经不再需要，有权在接到发货商通知后的15天内，通知供货方办理解除合同手续。</w:t>
            </w:r>
            <w:r>
              <w:rPr>
                <w:rFonts w:hint="eastAsia" w:ascii="仿宋" w:hAnsi="仿宋" w:eastAsia="仿宋" w:cs="仿宋"/>
                <w:b w:val="0"/>
                <w:bCs w:val="0"/>
                <w:color w:val="auto"/>
                <w:sz w:val="21"/>
                <w:szCs w:val="21"/>
                <w:highlight w:val="none"/>
                <w:lang w:eastAsia="zh-CN"/>
              </w:rPr>
              <w:t>甲方可书面通知乙方解除合同，甲方不支付乙方剩余款项，乙方</w:t>
            </w:r>
            <w:r>
              <w:rPr>
                <w:rFonts w:hint="eastAsia" w:ascii="仿宋" w:hAnsi="仿宋" w:eastAsia="仿宋" w:cs="仿宋"/>
                <w:b w:val="0"/>
                <w:bCs w:val="0"/>
                <w:color w:val="auto"/>
                <w:sz w:val="21"/>
                <w:szCs w:val="21"/>
                <w:highlight w:val="none"/>
              </w:rPr>
              <w:t>向甲方偿付相当于货款</w:t>
            </w:r>
            <w:r>
              <w:rPr>
                <w:rFonts w:hint="eastAsia" w:ascii="仿宋" w:hAnsi="仿宋" w:eastAsia="仿宋" w:cs="仿宋"/>
                <w:b w:val="0"/>
                <w:bCs w:val="0"/>
                <w:i w:val="0"/>
                <w:iCs w:val="0"/>
                <w:color w:val="auto"/>
                <w:sz w:val="21"/>
                <w:szCs w:val="21"/>
                <w:highlight w:val="none"/>
                <w:u w:val="single"/>
                <w:lang w:val="en-US" w:eastAsia="zh-CN"/>
              </w:rPr>
              <w:t xml:space="preserve"> </w:t>
            </w:r>
            <w:r>
              <w:rPr>
                <w:rFonts w:hint="eastAsia" w:ascii="仿宋" w:hAnsi="仿宋" w:eastAsia="仿宋" w:cs="仿宋"/>
                <w:b w:val="0"/>
                <w:bCs w:val="0"/>
                <w:i w:val="0"/>
                <w:iCs w:val="0"/>
                <w:color w:val="auto"/>
                <w:sz w:val="21"/>
                <w:szCs w:val="21"/>
                <w:highlight w:val="none"/>
                <w:u w:val="single"/>
              </w:rPr>
              <w:t>20%</w:t>
            </w:r>
            <w:r>
              <w:rPr>
                <w:rFonts w:hint="eastAsia" w:ascii="仿宋" w:hAnsi="仿宋" w:eastAsia="仿宋" w:cs="仿宋"/>
                <w:b w:val="0"/>
                <w:bCs w:val="0"/>
                <w:i w:val="0"/>
                <w:i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的违约金及退回甲方已经支付的所有款项，</w:t>
            </w:r>
            <w:r>
              <w:rPr>
                <w:rFonts w:hint="eastAsia" w:ascii="仿宋" w:hAnsi="仿宋" w:eastAsia="仿宋" w:cs="仿宋"/>
                <w:b w:val="0"/>
                <w:bCs w:val="0"/>
                <w:color w:val="auto"/>
                <w:sz w:val="21"/>
                <w:szCs w:val="21"/>
                <w:highlight w:val="none"/>
                <w:lang w:eastAsia="zh-CN"/>
              </w:rPr>
              <w:t>并由乙方赔偿甲方受到的损失</w:t>
            </w:r>
            <w:r>
              <w:rPr>
                <w:rFonts w:hint="eastAsia" w:ascii="仿宋" w:hAnsi="仿宋" w:eastAsia="仿宋" w:cs="仿宋"/>
                <w:b w:val="0"/>
                <w:bCs w:val="0"/>
                <w:color w:val="auto"/>
                <w:sz w:val="21"/>
                <w:szCs w:val="21"/>
                <w:highlight w:val="none"/>
              </w:rPr>
              <w:t>。</w:t>
            </w:r>
          </w:p>
        </w:tc>
      </w:tr>
      <w:tr w14:paraId="4E021A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0" w:type="dxa"/>
            <w:bottom w:w="0" w:type="dxa"/>
            <w:right w:w="0" w:type="dxa"/>
          </w:tblCellMar>
        </w:tblPrEx>
        <w:trPr>
          <w:trHeight w:val="603" w:hRule="atLeast"/>
          <w:jc w:val="center"/>
        </w:trPr>
        <w:tc>
          <w:tcPr>
            <w:tcW w:w="1156" w:type="dxa"/>
            <w:vAlign w:val="center"/>
          </w:tcPr>
          <w:p w14:paraId="2FEFE3CB">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14:paraId="4831E1E3">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第15.3款</w:t>
            </w:r>
          </w:p>
        </w:tc>
        <w:tc>
          <w:tcPr>
            <w:tcW w:w="1416" w:type="dxa"/>
            <w:vAlign w:val="center"/>
          </w:tcPr>
          <w:p w14:paraId="29A0F76C">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逾期付款利息</w:t>
            </w:r>
          </w:p>
        </w:tc>
        <w:tc>
          <w:tcPr>
            <w:tcW w:w="7746" w:type="dxa"/>
            <w:vAlign w:val="center"/>
          </w:tcPr>
          <w:p w14:paraId="0F650CED">
            <w:pPr>
              <w:keepNext w:val="0"/>
              <w:keepLines w:val="0"/>
              <w:pageBreakBefore w:val="0"/>
              <w:widowControl w:val="0"/>
              <w:kinsoku/>
              <w:wordWrap w:val="0"/>
              <w:overflowPunct/>
              <w:topLinePunct/>
              <w:autoSpaceDE/>
              <w:autoSpaceDN/>
              <w:bidi w:val="0"/>
              <w:adjustRightInd/>
              <w:snapToGrid/>
              <w:spacing w:line="460" w:lineRule="exact"/>
              <w:ind w:firstLine="420" w:firstLineChars="200"/>
              <w:jc w:val="left"/>
              <w:textAlignment w:val="auto"/>
              <w:rPr>
                <w:rFonts w:hint="eastAsia" w:ascii="仿宋" w:hAnsi="仿宋" w:eastAsia="仿宋" w:cs="仿宋"/>
                <w:color w:val="auto"/>
                <w:sz w:val="21"/>
                <w:szCs w:val="21"/>
                <w:highlight w:val="none"/>
                <w:u w:val="single"/>
                <w:lang w:eastAsia="zh-CN"/>
              </w:rPr>
            </w:pPr>
            <w:r>
              <w:rPr>
                <w:rFonts w:hint="eastAsia" w:ascii="仿宋" w:hAnsi="仿宋" w:eastAsia="仿宋" w:cs="仿宋"/>
                <w:color w:val="auto"/>
                <w:sz w:val="21"/>
                <w:szCs w:val="21"/>
                <w:highlight w:val="none"/>
                <w:lang w:val="en-US" w:eastAsia="zh-CN"/>
              </w:rPr>
              <w:t>按照合同订立时1年期贷款市场支付逾期付款履约金。</w:t>
            </w:r>
          </w:p>
        </w:tc>
      </w:tr>
      <w:tr w14:paraId="1D939F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0" w:type="dxa"/>
            <w:bottom w:w="0" w:type="dxa"/>
            <w:right w:w="0" w:type="dxa"/>
          </w:tblCellMar>
        </w:tblPrEx>
        <w:trPr>
          <w:trHeight w:val="876" w:hRule="atLeast"/>
          <w:jc w:val="center"/>
        </w:trPr>
        <w:tc>
          <w:tcPr>
            <w:tcW w:w="1156" w:type="dxa"/>
            <w:tcBorders>
              <w:bottom w:val="single" w:color="auto" w:sz="2" w:space="0"/>
              <w:right w:val="single" w:color="auto" w:sz="2" w:space="0"/>
            </w:tcBorders>
            <w:vAlign w:val="center"/>
          </w:tcPr>
          <w:p w14:paraId="71132D54">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14:paraId="502360C6">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第15.4款</w:t>
            </w:r>
          </w:p>
        </w:tc>
        <w:tc>
          <w:tcPr>
            <w:tcW w:w="1416" w:type="dxa"/>
            <w:tcBorders>
              <w:left w:val="single" w:color="auto" w:sz="2" w:space="0"/>
              <w:bottom w:val="single" w:color="auto" w:sz="2" w:space="0"/>
              <w:right w:val="single" w:color="auto" w:sz="2" w:space="0"/>
            </w:tcBorders>
            <w:vAlign w:val="center"/>
          </w:tcPr>
          <w:p w14:paraId="4FB54EDE">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其他违约责任</w:t>
            </w:r>
          </w:p>
        </w:tc>
        <w:tc>
          <w:tcPr>
            <w:tcW w:w="7746" w:type="dxa"/>
            <w:tcBorders>
              <w:left w:val="single" w:color="auto" w:sz="2" w:space="0"/>
              <w:bottom w:val="single" w:color="auto" w:sz="2" w:space="0"/>
            </w:tcBorders>
            <w:vAlign w:val="center"/>
          </w:tcPr>
          <w:p w14:paraId="2B668625">
            <w:pPr>
              <w:keepNext w:val="0"/>
              <w:keepLines w:val="0"/>
              <w:pageBreakBefore w:val="0"/>
              <w:widowControl w:val="0"/>
              <w:kinsoku/>
              <w:wordWrap w:val="0"/>
              <w:overflowPunct/>
              <w:topLinePunct/>
              <w:autoSpaceDE/>
              <w:autoSpaceDN/>
              <w:bidi w:val="0"/>
              <w:adjustRightInd/>
              <w:snapToGrid/>
              <w:spacing w:line="460" w:lineRule="exact"/>
              <w:ind w:firstLine="420" w:firstLineChars="200"/>
              <w:jc w:val="left"/>
              <w:textAlignment w:val="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由于乙方产品自身的质量问题，造成甲方的损失，如患者、陪护人员及其他人员的人身或财产损害的，由乙方承担赔偿责任。若甲方因此承担了责任的，有权向乙方追偿。同时，乙方还应当赔偿甲方受到的损失以及维护自身权益而产生的支出（如：</w:t>
            </w:r>
            <w:r>
              <w:rPr>
                <w:rFonts w:hint="eastAsia" w:ascii="仿宋" w:hAnsi="仿宋" w:eastAsia="仿宋" w:cs="仿宋"/>
                <w:color w:val="auto"/>
                <w:sz w:val="21"/>
                <w:szCs w:val="21"/>
                <w:highlight w:val="none"/>
                <w:lang w:val="en-US" w:eastAsia="zh-CN"/>
              </w:rPr>
              <w:t>违约金、诉讼费、保全费、律师费、保函费、鉴定费、公告费</w:t>
            </w:r>
            <w:r>
              <w:rPr>
                <w:rFonts w:hint="eastAsia" w:ascii="仿宋" w:hAnsi="仿宋" w:eastAsia="仿宋" w:cs="仿宋"/>
                <w:color w:val="auto"/>
                <w:sz w:val="21"/>
                <w:szCs w:val="21"/>
                <w:highlight w:val="none"/>
              </w:rPr>
              <w:t>等）。</w:t>
            </w:r>
          </w:p>
        </w:tc>
      </w:tr>
      <w:tr w14:paraId="47B470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0" w:type="dxa"/>
            <w:bottom w:w="0" w:type="dxa"/>
            <w:right w:w="0" w:type="dxa"/>
          </w:tblCellMar>
        </w:tblPrEx>
        <w:trPr>
          <w:trHeight w:val="757" w:hRule="atLeast"/>
          <w:jc w:val="center"/>
        </w:trPr>
        <w:tc>
          <w:tcPr>
            <w:tcW w:w="1156" w:type="dxa"/>
            <w:tcBorders>
              <w:top w:val="single" w:color="auto" w:sz="2" w:space="0"/>
              <w:right w:val="single" w:color="auto" w:sz="2" w:space="0"/>
            </w:tcBorders>
            <w:vAlign w:val="center"/>
          </w:tcPr>
          <w:p w14:paraId="12828262">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14:paraId="28DA6018">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第19.2款</w:t>
            </w:r>
          </w:p>
        </w:tc>
        <w:tc>
          <w:tcPr>
            <w:tcW w:w="1416" w:type="dxa"/>
            <w:tcBorders>
              <w:top w:val="single" w:color="auto" w:sz="2" w:space="0"/>
              <w:left w:val="single" w:color="auto" w:sz="2" w:space="0"/>
              <w:right w:val="single" w:color="auto" w:sz="2" w:space="0"/>
            </w:tcBorders>
            <w:vAlign w:val="center"/>
          </w:tcPr>
          <w:p w14:paraId="6BC8FC21">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解决争议的方法</w:t>
            </w:r>
          </w:p>
        </w:tc>
        <w:tc>
          <w:tcPr>
            <w:tcW w:w="7746" w:type="dxa"/>
            <w:tcBorders>
              <w:top w:val="single" w:color="auto" w:sz="2" w:space="0"/>
              <w:left w:val="single" w:color="auto" w:sz="2" w:space="0"/>
            </w:tcBorders>
            <w:vAlign w:val="center"/>
          </w:tcPr>
          <w:p w14:paraId="6A33C373">
            <w:pPr>
              <w:keepNext w:val="0"/>
              <w:keepLines w:val="0"/>
              <w:pageBreakBefore w:val="0"/>
              <w:widowControl w:val="0"/>
              <w:kinsoku/>
              <w:wordWrap w:val="0"/>
              <w:overflowPunct/>
              <w:topLinePunct/>
              <w:autoSpaceDE/>
              <w:autoSpaceDN/>
              <w:bidi w:val="0"/>
              <w:adjustRightInd/>
              <w:snapToGrid/>
              <w:spacing w:line="460" w:lineRule="exact"/>
              <w:ind w:firstLine="420" w:firstLineChars="200"/>
              <w:jc w:val="left"/>
              <w:textAlignment w:val="auto"/>
              <w:rPr>
                <w:rFonts w:hint="eastAsia" w:ascii="仿宋" w:hAnsi="仿宋" w:eastAsia="仿宋" w:cs="仿宋"/>
                <w:iCs/>
                <w:color w:val="auto"/>
                <w:sz w:val="21"/>
                <w:szCs w:val="21"/>
                <w:highlight w:val="none"/>
              </w:rPr>
            </w:pPr>
            <w:r>
              <w:rPr>
                <w:rFonts w:hint="eastAsia" w:ascii="仿宋" w:hAnsi="仿宋" w:eastAsia="仿宋" w:cs="仿宋"/>
                <w:iCs/>
                <w:color w:val="auto"/>
                <w:sz w:val="21"/>
                <w:szCs w:val="21"/>
                <w:highlight w:val="none"/>
              </w:rPr>
              <w:t>因本合同及合同有关事项发生的争议，按下列第</w:t>
            </w:r>
            <w:r>
              <w:rPr>
                <w:rFonts w:hint="eastAsia" w:ascii="仿宋" w:hAnsi="仿宋" w:eastAsia="仿宋" w:cs="仿宋"/>
                <w:iCs/>
                <w:color w:val="auto"/>
                <w:sz w:val="21"/>
                <w:szCs w:val="21"/>
                <w:highlight w:val="none"/>
                <w:u w:val="single"/>
              </w:rPr>
              <w:t xml:space="preserve"> </w:t>
            </w:r>
            <w:r>
              <w:rPr>
                <w:rFonts w:hint="eastAsia" w:ascii="仿宋" w:hAnsi="仿宋" w:eastAsia="仿宋" w:cs="仿宋"/>
                <w:iCs/>
                <w:color w:val="auto"/>
                <w:sz w:val="21"/>
                <w:szCs w:val="21"/>
                <w:highlight w:val="none"/>
                <w:u w:val="single"/>
                <w:lang w:val="en-US" w:eastAsia="zh-CN"/>
              </w:rPr>
              <w:t>2</w:t>
            </w:r>
            <w:r>
              <w:rPr>
                <w:rFonts w:hint="eastAsia" w:ascii="仿宋" w:hAnsi="仿宋" w:eastAsia="仿宋" w:cs="仿宋"/>
                <w:iCs/>
                <w:color w:val="auto"/>
                <w:sz w:val="21"/>
                <w:szCs w:val="21"/>
                <w:highlight w:val="none"/>
                <w:u w:val="single"/>
              </w:rPr>
              <w:t xml:space="preserve"> </w:t>
            </w:r>
            <w:r>
              <w:rPr>
                <w:rFonts w:hint="eastAsia" w:ascii="仿宋" w:hAnsi="仿宋" w:eastAsia="仿宋" w:cs="仿宋"/>
                <w:iCs/>
                <w:color w:val="auto"/>
                <w:sz w:val="21"/>
                <w:szCs w:val="21"/>
                <w:highlight w:val="none"/>
              </w:rPr>
              <w:t>种方式解决：</w:t>
            </w:r>
          </w:p>
          <w:p w14:paraId="24515862">
            <w:pPr>
              <w:keepNext w:val="0"/>
              <w:keepLines w:val="0"/>
              <w:pageBreakBefore w:val="0"/>
              <w:widowControl w:val="0"/>
              <w:kinsoku/>
              <w:wordWrap w:val="0"/>
              <w:overflowPunct/>
              <w:topLinePunct/>
              <w:autoSpaceDE/>
              <w:autoSpaceDN/>
              <w:bidi w:val="0"/>
              <w:adjustRightInd/>
              <w:snapToGrid/>
              <w:spacing w:line="460" w:lineRule="exact"/>
              <w:ind w:firstLine="420" w:firstLineChars="200"/>
              <w:jc w:val="left"/>
              <w:textAlignment w:val="auto"/>
              <w:rPr>
                <w:rFonts w:hint="eastAsia" w:ascii="仿宋" w:hAnsi="仿宋" w:eastAsia="仿宋" w:cs="仿宋"/>
                <w:iCs/>
                <w:color w:val="auto"/>
                <w:sz w:val="21"/>
                <w:szCs w:val="21"/>
                <w:highlight w:val="none"/>
              </w:rPr>
            </w:pPr>
            <w:r>
              <w:rPr>
                <w:rFonts w:hint="eastAsia" w:ascii="仿宋" w:hAnsi="仿宋" w:eastAsia="仿宋" w:cs="仿宋"/>
                <w:iCs/>
                <w:color w:val="auto"/>
                <w:sz w:val="21"/>
                <w:szCs w:val="21"/>
                <w:highlight w:val="none"/>
              </w:rPr>
              <w:t>（1）向</w:t>
            </w:r>
            <w:r>
              <w:rPr>
                <w:rFonts w:hint="eastAsia" w:ascii="仿宋" w:hAnsi="仿宋" w:eastAsia="仿宋" w:cs="仿宋"/>
                <w:iCs/>
                <w:color w:val="auto"/>
                <w:sz w:val="21"/>
                <w:szCs w:val="21"/>
                <w:highlight w:val="none"/>
                <w:u w:val="single"/>
              </w:rPr>
              <w:t xml:space="preserve"> 甲方所在地 </w:t>
            </w:r>
            <w:r>
              <w:rPr>
                <w:rFonts w:hint="eastAsia" w:ascii="仿宋" w:hAnsi="仿宋" w:eastAsia="仿宋" w:cs="仿宋"/>
                <w:iCs/>
                <w:color w:val="auto"/>
                <w:sz w:val="21"/>
                <w:szCs w:val="21"/>
                <w:highlight w:val="none"/>
              </w:rPr>
              <w:t>仲裁委员会申请仲裁，仲裁地点为</w:t>
            </w:r>
            <w:r>
              <w:rPr>
                <w:rFonts w:hint="eastAsia" w:ascii="仿宋" w:hAnsi="仿宋" w:eastAsia="仿宋" w:cs="仿宋"/>
                <w:iCs/>
                <w:color w:val="auto"/>
                <w:sz w:val="21"/>
                <w:szCs w:val="21"/>
                <w:highlight w:val="none"/>
                <w:u w:val="single"/>
              </w:rPr>
              <w:t xml:space="preserve"> 云南省楚雄市 </w:t>
            </w:r>
            <w:r>
              <w:rPr>
                <w:rFonts w:hint="eastAsia" w:ascii="仿宋" w:hAnsi="仿宋" w:eastAsia="仿宋" w:cs="仿宋"/>
                <w:iCs/>
                <w:color w:val="auto"/>
                <w:sz w:val="21"/>
                <w:szCs w:val="21"/>
                <w:highlight w:val="none"/>
              </w:rPr>
              <w:t>；</w:t>
            </w:r>
          </w:p>
          <w:p w14:paraId="14515925">
            <w:pPr>
              <w:keepNext w:val="0"/>
              <w:keepLines w:val="0"/>
              <w:pageBreakBefore w:val="0"/>
              <w:widowControl w:val="0"/>
              <w:kinsoku/>
              <w:wordWrap w:val="0"/>
              <w:overflowPunct/>
              <w:topLinePunct/>
              <w:autoSpaceDE/>
              <w:autoSpaceDN/>
              <w:bidi w:val="0"/>
              <w:adjustRightInd/>
              <w:snapToGrid/>
              <w:spacing w:line="460" w:lineRule="exact"/>
              <w:ind w:firstLine="420" w:firstLineChars="200"/>
              <w:jc w:val="left"/>
              <w:textAlignment w:val="auto"/>
              <w:rPr>
                <w:rFonts w:hint="eastAsia" w:ascii="仿宋" w:hAnsi="仿宋" w:eastAsia="仿宋" w:cs="仿宋"/>
                <w:color w:val="auto"/>
                <w:sz w:val="21"/>
                <w:szCs w:val="21"/>
                <w:highlight w:val="none"/>
                <w:u w:val="single"/>
              </w:rPr>
            </w:pPr>
            <w:r>
              <w:rPr>
                <w:rFonts w:hint="eastAsia" w:ascii="仿宋" w:hAnsi="仿宋" w:eastAsia="仿宋" w:cs="仿宋"/>
                <w:iCs/>
                <w:color w:val="auto"/>
                <w:sz w:val="21"/>
                <w:szCs w:val="21"/>
                <w:highlight w:val="none"/>
              </w:rPr>
              <w:t>（2）向</w:t>
            </w:r>
            <w:r>
              <w:rPr>
                <w:rFonts w:hint="eastAsia" w:ascii="仿宋" w:hAnsi="仿宋" w:eastAsia="仿宋" w:cs="仿宋"/>
                <w:iCs/>
                <w:color w:val="auto"/>
                <w:sz w:val="21"/>
                <w:szCs w:val="21"/>
                <w:highlight w:val="none"/>
                <w:u w:val="single"/>
              </w:rPr>
              <w:t xml:space="preserve"> 甲方所在地 </w:t>
            </w:r>
            <w:r>
              <w:rPr>
                <w:rFonts w:hint="eastAsia" w:ascii="仿宋" w:hAnsi="仿宋" w:eastAsia="仿宋" w:cs="仿宋"/>
                <w:iCs/>
                <w:color w:val="auto"/>
                <w:sz w:val="21"/>
                <w:szCs w:val="21"/>
                <w:highlight w:val="none"/>
                <w:u w:val="none"/>
                <w:lang w:eastAsia="zh-CN"/>
              </w:rPr>
              <w:t>有管辖权的</w:t>
            </w:r>
            <w:r>
              <w:rPr>
                <w:rFonts w:hint="eastAsia" w:ascii="仿宋" w:hAnsi="仿宋" w:eastAsia="仿宋" w:cs="仿宋"/>
                <w:iCs/>
                <w:color w:val="auto"/>
                <w:sz w:val="21"/>
                <w:szCs w:val="21"/>
                <w:highlight w:val="none"/>
              </w:rPr>
              <w:t>人民法院起诉。</w:t>
            </w:r>
          </w:p>
        </w:tc>
      </w:tr>
      <w:tr w14:paraId="1AF237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0" w:type="dxa"/>
            <w:bottom w:w="0" w:type="dxa"/>
            <w:right w:w="0" w:type="dxa"/>
          </w:tblCellMar>
        </w:tblPrEx>
        <w:trPr>
          <w:trHeight w:val="533" w:hRule="atLeast"/>
          <w:jc w:val="center"/>
        </w:trPr>
        <w:tc>
          <w:tcPr>
            <w:tcW w:w="1156" w:type="dxa"/>
            <w:vAlign w:val="center"/>
          </w:tcPr>
          <w:p w14:paraId="78BE1FCC">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第二节</w:t>
            </w:r>
          </w:p>
          <w:p w14:paraId="54F098E3">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第23.1款</w:t>
            </w:r>
          </w:p>
        </w:tc>
        <w:tc>
          <w:tcPr>
            <w:tcW w:w="1416" w:type="dxa"/>
            <w:vAlign w:val="center"/>
          </w:tcPr>
          <w:p w14:paraId="7709AED6">
            <w:pPr>
              <w:keepNext w:val="0"/>
              <w:keepLines w:val="0"/>
              <w:pageBreakBefore w:val="0"/>
              <w:widowControl w:val="0"/>
              <w:kinsoku/>
              <w:wordWrap w:val="0"/>
              <w:overflowPunct/>
              <w:topLinePunct/>
              <w:autoSpaceDE/>
              <w:autoSpaceDN/>
              <w:bidi w:val="0"/>
              <w:adjustRightInd/>
              <w:snapToGrid/>
              <w:spacing w:line="46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其他专用条款</w:t>
            </w:r>
          </w:p>
        </w:tc>
        <w:tc>
          <w:tcPr>
            <w:tcW w:w="7746" w:type="dxa"/>
            <w:vAlign w:val="center"/>
          </w:tcPr>
          <w:p w14:paraId="2FA43846">
            <w:pPr>
              <w:keepNext w:val="0"/>
              <w:keepLines w:val="0"/>
              <w:pageBreakBefore w:val="0"/>
              <w:widowControl w:val="0"/>
              <w:kinsoku/>
              <w:wordWrap w:val="0"/>
              <w:overflowPunct/>
              <w:topLinePunct/>
              <w:autoSpaceDE/>
              <w:autoSpaceDN/>
              <w:bidi w:val="0"/>
              <w:adjustRightInd/>
              <w:snapToGrid/>
              <w:spacing w:line="460" w:lineRule="exact"/>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p>
        </w:tc>
      </w:tr>
    </w:tbl>
    <w:p w14:paraId="52FFC77C">
      <w:pPr>
        <w:adjustRightInd w:val="0"/>
        <w:snapToGrid w:val="0"/>
        <w:spacing w:line="360" w:lineRule="auto"/>
        <w:rPr>
          <w:rFonts w:hint="eastAsia" w:ascii="仿宋" w:hAnsi="仿宋" w:eastAsia="仿宋" w:cs="仿宋"/>
          <w:b/>
          <w:bCs/>
          <w:color w:val="auto"/>
          <w:sz w:val="24"/>
          <w:szCs w:val="24"/>
          <w:highlight w:val="none"/>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720" w:num="1"/>
          <w:rtlGutter w:val="0"/>
          <w:docGrid w:type="lines" w:linePitch="312" w:charSpace="0"/>
        </w:sectPr>
      </w:pPr>
    </w:p>
    <w:p w14:paraId="21040B25">
      <w:pPr>
        <w:adjustRightInd w:val="0"/>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附件一：</w:t>
      </w:r>
    </w:p>
    <w:p w14:paraId="34ABECB4">
      <w:pPr>
        <w:adjustRightInd w:val="0"/>
        <w:snapToGrid w:val="0"/>
        <w:spacing w:line="360" w:lineRule="auto"/>
        <w:jc w:val="center"/>
        <w:outlineLvl w:val="2"/>
        <w:rPr>
          <w:rFonts w:hint="eastAsia" w:ascii="仿宋" w:hAnsi="仿宋" w:eastAsia="仿宋" w:cs="仿宋"/>
          <w:b/>
          <w:color w:val="auto"/>
          <w:sz w:val="28"/>
          <w:szCs w:val="28"/>
          <w:highlight w:val="none"/>
        </w:rPr>
      </w:pPr>
      <w:bookmarkStart w:id="1436" w:name="_Toc12826"/>
      <w:bookmarkStart w:id="1437" w:name="_Toc1488"/>
      <w:r>
        <w:rPr>
          <w:rFonts w:hint="eastAsia" w:ascii="仿宋" w:hAnsi="仿宋" w:eastAsia="仿宋" w:cs="仿宋"/>
          <w:b/>
          <w:color w:val="auto"/>
          <w:sz w:val="28"/>
          <w:szCs w:val="28"/>
          <w:highlight w:val="none"/>
        </w:rPr>
        <w:t>技术支持及售后服务条款</w:t>
      </w:r>
      <w:bookmarkEnd w:id="1436"/>
      <w:bookmarkEnd w:id="1437"/>
    </w:p>
    <w:p w14:paraId="534213FD">
      <w:pPr>
        <w:pStyle w:val="28"/>
        <w:spacing w:line="360" w:lineRule="auto"/>
        <w:outlineLvl w:val="2"/>
        <w:rPr>
          <w:rFonts w:hint="eastAsia" w:ascii="仿宋" w:hAnsi="仿宋" w:eastAsia="仿宋" w:cs="仿宋"/>
          <w:b/>
          <w:color w:val="auto"/>
          <w:sz w:val="21"/>
          <w:szCs w:val="21"/>
          <w:highlight w:val="none"/>
        </w:rPr>
      </w:pPr>
      <w:bookmarkStart w:id="1438" w:name="_Toc28354"/>
      <w:bookmarkStart w:id="1439" w:name="_Toc17410"/>
      <w:r>
        <w:rPr>
          <w:rFonts w:hint="eastAsia" w:ascii="仿宋" w:hAnsi="仿宋" w:eastAsia="仿宋" w:cs="仿宋"/>
          <w:b/>
          <w:color w:val="auto"/>
          <w:sz w:val="21"/>
          <w:szCs w:val="21"/>
          <w:highlight w:val="none"/>
        </w:rPr>
        <w:t>一、概况</w:t>
      </w:r>
      <w:bookmarkEnd w:id="1438"/>
      <w:bookmarkEnd w:id="1439"/>
    </w:p>
    <w:p w14:paraId="669B0409">
      <w:pPr>
        <w:pStyle w:val="28"/>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1、仪器名称：</w:t>
      </w:r>
      <w:r>
        <w:rPr>
          <w:rFonts w:hint="eastAsia" w:ascii="仿宋" w:hAnsi="仿宋" w:eastAsia="仿宋" w:cs="仿宋"/>
          <w:color w:val="auto"/>
          <w:sz w:val="21"/>
          <w:szCs w:val="21"/>
          <w:highlight w:val="none"/>
          <w:u w:val="single"/>
          <w:lang w:val="en-US"/>
        </w:rPr>
        <w:t xml:space="preserve">                    </w:t>
      </w:r>
    </w:p>
    <w:p w14:paraId="5C5CDDD3">
      <w:pPr>
        <w:pStyle w:val="28"/>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2、数量：</w:t>
      </w:r>
      <w:r>
        <w:rPr>
          <w:rFonts w:hint="eastAsia" w:ascii="仿宋" w:hAnsi="仿宋" w:eastAsia="仿宋" w:cs="仿宋"/>
          <w:color w:val="auto"/>
          <w:sz w:val="21"/>
          <w:szCs w:val="21"/>
          <w:highlight w:val="none"/>
          <w:u w:val="single"/>
          <w:lang w:val="en-US"/>
        </w:rPr>
        <w:t xml:space="preserve">                       </w:t>
      </w:r>
      <w:r>
        <w:rPr>
          <w:rFonts w:hint="eastAsia" w:ascii="仿宋" w:hAnsi="仿宋" w:eastAsia="仿宋" w:cs="仿宋"/>
          <w:color w:val="auto"/>
          <w:sz w:val="21"/>
          <w:szCs w:val="21"/>
          <w:highlight w:val="none"/>
        </w:rPr>
        <w:t xml:space="preserve">   型号：</w:t>
      </w:r>
      <w:r>
        <w:rPr>
          <w:rFonts w:hint="eastAsia" w:ascii="仿宋" w:hAnsi="仿宋" w:eastAsia="仿宋" w:cs="仿宋"/>
          <w:color w:val="auto"/>
          <w:sz w:val="21"/>
          <w:szCs w:val="21"/>
          <w:highlight w:val="none"/>
          <w:u w:val="single"/>
          <w:lang w:val="en-US"/>
        </w:rPr>
        <w:t xml:space="preserve">                      </w:t>
      </w:r>
    </w:p>
    <w:p w14:paraId="5311A05F">
      <w:pPr>
        <w:pStyle w:val="28"/>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3、使用科室：</w:t>
      </w:r>
      <w:r>
        <w:rPr>
          <w:rFonts w:hint="eastAsia" w:ascii="仿宋" w:hAnsi="仿宋" w:eastAsia="仿宋" w:cs="仿宋"/>
          <w:color w:val="auto"/>
          <w:sz w:val="21"/>
          <w:szCs w:val="21"/>
          <w:highlight w:val="none"/>
          <w:u w:val="single"/>
          <w:lang w:val="en-US"/>
        </w:rPr>
        <w:t xml:space="preserve">                    </w:t>
      </w:r>
      <w:r>
        <w:rPr>
          <w:rFonts w:hint="eastAsia" w:ascii="仿宋" w:hAnsi="仿宋" w:eastAsia="仿宋" w:cs="仿宋"/>
          <w:color w:val="auto"/>
          <w:sz w:val="21"/>
          <w:szCs w:val="21"/>
          <w:highlight w:val="none"/>
        </w:rPr>
        <w:t xml:space="preserve">  负责人：</w:t>
      </w:r>
      <w:r>
        <w:rPr>
          <w:rFonts w:hint="eastAsia" w:ascii="仿宋" w:hAnsi="仿宋" w:eastAsia="仿宋" w:cs="仿宋"/>
          <w:color w:val="auto"/>
          <w:sz w:val="21"/>
          <w:szCs w:val="21"/>
          <w:highlight w:val="none"/>
          <w:u w:val="single"/>
          <w:lang w:val="en-US"/>
        </w:rPr>
        <w:t xml:space="preserve">                    </w:t>
      </w:r>
    </w:p>
    <w:p w14:paraId="33643429">
      <w:pPr>
        <w:pStyle w:val="28"/>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4、产地：</w:t>
      </w:r>
      <w:r>
        <w:rPr>
          <w:rFonts w:hint="eastAsia" w:ascii="仿宋" w:hAnsi="仿宋" w:eastAsia="仿宋" w:cs="仿宋"/>
          <w:color w:val="auto"/>
          <w:sz w:val="21"/>
          <w:szCs w:val="21"/>
          <w:highlight w:val="none"/>
          <w:u w:val="single"/>
          <w:lang w:val="en-US"/>
        </w:rPr>
        <w:t xml:space="preserve">                                                      </w:t>
      </w:r>
    </w:p>
    <w:p w14:paraId="1DB1BC15">
      <w:pPr>
        <w:pStyle w:val="28"/>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u w:val="none"/>
          <w:lang w:val="en-US"/>
        </w:rPr>
        <w:t xml:space="preserve">                                                    </w:t>
      </w:r>
    </w:p>
    <w:p w14:paraId="758D8488">
      <w:pPr>
        <w:pStyle w:val="28"/>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en-US"/>
        </w:rPr>
        <w:t xml:space="preserve">  </w:t>
      </w:r>
      <w:r>
        <w:rPr>
          <w:rFonts w:hint="eastAsia" w:ascii="仿宋" w:hAnsi="仿宋" w:eastAsia="仿宋" w:cs="仿宋"/>
          <w:color w:val="auto"/>
          <w:sz w:val="21"/>
          <w:szCs w:val="21"/>
          <w:highlight w:val="none"/>
        </w:rPr>
        <w:t xml:space="preserve">  地址：</w:t>
      </w:r>
      <w:r>
        <w:rPr>
          <w:rFonts w:hint="eastAsia" w:ascii="仿宋" w:hAnsi="仿宋" w:eastAsia="仿宋" w:cs="仿宋"/>
          <w:color w:val="auto"/>
          <w:sz w:val="21"/>
          <w:szCs w:val="21"/>
          <w:highlight w:val="none"/>
          <w:u w:val="single"/>
          <w:lang w:val="en-US"/>
        </w:rPr>
        <w:t xml:space="preserve">                                                    </w:t>
      </w:r>
      <w:r>
        <w:rPr>
          <w:rFonts w:hint="eastAsia" w:ascii="仿宋" w:hAnsi="仿宋" w:eastAsia="仿宋" w:cs="仿宋"/>
          <w:color w:val="auto"/>
          <w:sz w:val="21"/>
          <w:szCs w:val="21"/>
          <w:highlight w:val="none"/>
        </w:rPr>
        <w:t xml:space="preserve"> </w:t>
      </w:r>
    </w:p>
    <w:p w14:paraId="6D92D76E">
      <w:pPr>
        <w:pStyle w:val="28"/>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en-US"/>
        </w:rPr>
        <w:t xml:space="preserve">  </w:t>
      </w:r>
      <w:r>
        <w:rPr>
          <w:rFonts w:hint="eastAsia" w:ascii="仿宋" w:hAnsi="仿宋" w:eastAsia="仿宋" w:cs="仿宋"/>
          <w:color w:val="auto"/>
          <w:sz w:val="21"/>
          <w:szCs w:val="21"/>
          <w:highlight w:val="none"/>
        </w:rPr>
        <w:t>电话：</w:t>
      </w:r>
      <w:r>
        <w:rPr>
          <w:rFonts w:hint="eastAsia" w:ascii="仿宋" w:hAnsi="仿宋" w:eastAsia="仿宋" w:cs="仿宋"/>
          <w:color w:val="auto"/>
          <w:sz w:val="21"/>
          <w:szCs w:val="21"/>
          <w:highlight w:val="none"/>
          <w:u w:val="single"/>
          <w:lang w:val="en-US"/>
        </w:rPr>
        <w:t xml:space="preserve">                                                    </w:t>
      </w:r>
    </w:p>
    <w:p w14:paraId="4C0039FC">
      <w:pPr>
        <w:pStyle w:val="28"/>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6、生产商：</w:t>
      </w:r>
      <w:r>
        <w:rPr>
          <w:rFonts w:hint="eastAsia" w:ascii="仿宋" w:hAnsi="仿宋" w:eastAsia="仿宋" w:cs="仿宋"/>
          <w:color w:val="auto"/>
          <w:sz w:val="21"/>
          <w:szCs w:val="21"/>
          <w:highlight w:val="none"/>
          <w:u w:val="single"/>
          <w:lang w:val="en-US"/>
        </w:rPr>
        <w:t xml:space="preserve">                                                    </w:t>
      </w:r>
    </w:p>
    <w:p w14:paraId="06E9AE90">
      <w:pPr>
        <w:pStyle w:val="28"/>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en-US"/>
        </w:rPr>
        <w:t xml:space="preserve">  </w:t>
      </w:r>
      <w:r>
        <w:rPr>
          <w:rFonts w:hint="eastAsia" w:ascii="仿宋" w:hAnsi="仿宋" w:eastAsia="仿宋" w:cs="仿宋"/>
          <w:color w:val="auto"/>
          <w:sz w:val="21"/>
          <w:szCs w:val="21"/>
          <w:highlight w:val="none"/>
        </w:rPr>
        <w:t xml:space="preserve">  地址：</w:t>
      </w:r>
      <w:r>
        <w:rPr>
          <w:rFonts w:hint="eastAsia" w:ascii="仿宋" w:hAnsi="仿宋" w:eastAsia="仿宋" w:cs="仿宋"/>
          <w:color w:val="auto"/>
          <w:sz w:val="21"/>
          <w:szCs w:val="21"/>
          <w:highlight w:val="none"/>
          <w:u w:val="single"/>
          <w:lang w:val="en-US"/>
        </w:rPr>
        <w:t xml:space="preserve">                                                    </w:t>
      </w:r>
    </w:p>
    <w:p w14:paraId="6E3F7606">
      <w:pPr>
        <w:pStyle w:val="28"/>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en-US"/>
        </w:rPr>
        <w:t xml:space="preserve">  </w:t>
      </w:r>
      <w:r>
        <w:rPr>
          <w:rFonts w:hint="eastAsia" w:ascii="仿宋" w:hAnsi="仿宋" w:eastAsia="仿宋" w:cs="仿宋"/>
          <w:color w:val="auto"/>
          <w:sz w:val="21"/>
          <w:szCs w:val="21"/>
          <w:highlight w:val="none"/>
        </w:rPr>
        <w:t>电话：</w:t>
      </w:r>
      <w:r>
        <w:rPr>
          <w:rFonts w:hint="eastAsia" w:ascii="仿宋" w:hAnsi="仿宋" w:eastAsia="仿宋" w:cs="仿宋"/>
          <w:color w:val="auto"/>
          <w:sz w:val="21"/>
          <w:szCs w:val="21"/>
          <w:highlight w:val="none"/>
          <w:u w:val="single"/>
          <w:lang w:val="en-US"/>
        </w:rPr>
        <w:t xml:space="preserve">                                                    </w:t>
      </w:r>
    </w:p>
    <w:p w14:paraId="489367DF">
      <w:pPr>
        <w:pStyle w:val="28"/>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7、维修商：</w:t>
      </w:r>
      <w:r>
        <w:rPr>
          <w:rFonts w:hint="eastAsia" w:ascii="仿宋" w:hAnsi="仿宋" w:eastAsia="仿宋" w:cs="仿宋"/>
          <w:color w:val="auto"/>
          <w:sz w:val="21"/>
          <w:szCs w:val="21"/>
          <w:highlight w:val="none"/>
          <w:u w:val="single"/>
          <w:lang w:val="en-US"/>
        </w:rPr>
        <w:t xml:space="preserve">                                                    </w:t>
      </w:r>
    </w:p>
    <w:p w14:paraId="05EFC4AB">
      <w:pPr>
        <w:pStyle w:val="28"/>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en-US"/>
        </w:rPr>
        <w:t xml:space="preserve">  </w:t>
      </w:r>
      <w:r>
        <w:rPr>
          <w:rFonts w:hint="eastAsia" w:ascii="仿宋" w:hAnsi="仿宋" w:eastAsia="仿宋" w:cs="仿宋"/>
          <w:color w:val="auto"/>
          <w:sz w:val="21"/>
          <w:szCs w:val="21"/>
          <w:highlight w:val="none"/>
        </w:rPr>
        <w:t>地址：</w:t>
      </w:r>
      <w:r>
        <w:rPr>
          <w:rFonts w:hint="eastAsia" w:ascii="仿宋" w:hAnsi="仿宋" w:eastAsia="仿宋" w:cs="仿宋"/>
          <w:color w:val="auto"/>
          <w:sz w:val="21"/>
          <w:szCs w:val="21"/>
          <w:highlight w:val="none"/>
          <w:u w:val="single"/>
          <w:lang w:val="en-US"/>
        </w:rPr>
        <w:t xml:space="preserve">                                                    </w:t>
      </w:r>
    </w:p>
    <w:p w14:paraId="679A1736">
      <w:pPr>
        <w:pStyle w:val="28"/>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en-US"/>
        </w:rPr>
        <w:t xml:space="preserve">  </w:t>
      </w:r>
      <w:r>
        <w:rPr>
          <w:rFonts w:hint="eastAsia" w:ascii="仿宋" w:hAnsi="仿宋" w:eastAsia="仿宋" w:cs="仿宋"/>
          <w:color w:val="auto"/>
          <w:sz w:val="21"/>
          <w:szCs w:val="21"/>
          <w:highlight w:val="none"/>
        </w:rPr>
        <w:t>电话：</w:t>
      </w:r>
      <w:r>
        <w:rPr>
          <w:rFonts w:hint="eastAsia" w:ascii="仿宋" w:hAnsi="仿宋" w:eastAsia="仿宋" w:cs="仿宋"/>
          <w:color w:val="auto"/>
          <w:sz w:val="21"/>
          <w:szCs w:val="21"/>
          <w:highlight w:val="none"/>
          <w:u w:val="single"/>
          <w:lang w:val="en-US"/>
        </w:rPr>
        <w:t xml:space="preserve">                                                    </w:t>
      </w:r>
      <w:r>
        <w:rPr>
          <w:rFonts w:hint="eastAsia" w:ascii="仿宋" w:hAnsi="仿宋" w:eastAsia="仿宋" w:cs="仿宋"/>
          <w:color w:val="auto"/>
          <w:sz w:val="21"/>
          <w:szCs w:val="21"/>
          <w:highlight w:val="none"/>
        </w:rPr>
        <w:t xml:space="preserve">   </w:t>
      </w:r>
    </w:p>
    <w:p w14:paraId="3B2F1334">
      <w:pPr>
        <w:pStyle w:val="28"/>
        <w:spacing w:line="360" w:lineRule="auto"/>
        <w:outlineLvl w:val="2"/>
        <w:rPr>
          <w:rFonts w:hint="eastAsia" w:ascii="仿宋" w:hAnsi="仿宋" w:eastAsia="仿宋" w:cs="仿宋"/>
          <w:b/>
          <w:color w:val="auto"/>
          <w:sz w:val="21"/>
          <w:szCs w:val="21"/>
          <w:highlight w:val="none"/>
        </w:rPr>
      </w:pPr>
      <w:bookmarkStart w:id="1440" w:name="_Toc28009"/>
      <w:bookmarkStart w:id="1441" w:name="_Toc30356"/>
      <w:r>
        <w:rPr>
          <w:rFonts w:hint="eastAsia" w:ascii="仿宋" w:hAnsi="仿宋" w:eastAsia="仿宋" w:cs="仿宋"/>
          <w:b/>
          <w:color w:val="auto"/>
          <w:sz w:val="21"/>
          <w:szCs w:val="21"/>
          <w:highlight w:val="none"/>
        </w:rPr>
        <w:t>二、技术资料</w:t>
      </w:r>
      <w:bookmarkEnd w:id="1440"/>
      <w:bookmarkEnd w:id="1441"/>
    </w:p>
    <w:p w14:paraId="34B905BB">
      <w:pPr>
        <w:pStyle w:val="28"/>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1、该仪器使用说明书留存使用科室：中文1套、英文1套（</w:t>
      </w:r>
      <w:r>
        <w:rPr>
          <w:rFonts w:hint="eastAsia" w:ascii="仿宋" w:hAnsi="仿宋" w:eastAsia="仿宋" w:cs="仿宋"/>
          <w:color w:val="auto"/>
          <w:sz w:val="21"/>
          <w:szCs w:val="21"/>
          <w:highlight w:val="none"/>
          <w:lang w:val="en-US"/>
        </w:rPr>
        <w:t>若有</w:t>
      </w:r>
      <w:r>
        <w:rPr>
          <w:rFonts w:hint="eastAsia" w:ascii="仿宋" w:hAnsi="仿宋" w:eastAsia="仿宋" w:cs="仿宋"/>
          <w:color w:val="auto"/>
          <w:sz w:val="21"/>
          <w:szCs w:val="21"/>
          <w:highlight w:val="none"/>
        </w:rPr>
        <w:t>）、光盘1张。</w:t>
      </w:r>
    </w:p>
    <w:p w14:paraId="4DEFA866">
      <w:pPr>
        <w:pStyle w:val="28"/>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2、出厂报告及出厂合格证书，随设备的配套工具及清单目录留存使用科室。</w:t>
      </w:r>
    </w:p>
    <w:p w14:paraId="00B98E6C">
      <w:pPr>
        <w:pStyle w:val="28"/>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3、设备配置清单应与投标文件及招标现场约定的配置清单一致并加至附件二，若不一致造成的所有损失均由乙方承担。</w:t>
      </w:r>
    </w:p>
    <w:p w14:paraId="458D565B">
      <w:pPr>
        <w:pStyle w:val="28"/>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4、提供原厂质保函原件加至合同附件三，若不提供则视为设备验收未通过，因此造成的所有损失均由乙方承担。</w:t>
      </w:r>
    </w:p>
    <w:p w14:paraId="3D95AACA">
      <w:pPr>
        <w:pStyle w:val="28"/>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5、设备整体彩页或实物照片加至附件四。</w:t>
      </w:r>
    </w:p>
    <w:p w14:paraId="0DD29E60">
      <w:pPr>
        <w:pStyle w:val="28"/>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6、需计量的仪器应提供的计量检测证书留存使用科室。</w:t>
      </w:r>
    </w:p>
    <w:p w14:paraId="792C1413">
      <w:pPr>
        <w:pStyle w:val="28"/>
        <w:spacing w:line="360" w:lineRule="auto"/>
        <w:outlineLvl w:val="2"/>
        <w:rPr>
          <w:rFonts w:hint="eastAsia" w:ascii="仿宋" w:hAnsi="仿宋" w:eastAsia="仿宋" w:cs="仿宋"/>
          <w:b/>
          <w:color w:val="auto"/>
          <w:sz w:val="21"/>
          <w:szCs w:val="21"/>
          <w:highlight w:val="none"/>
        </w:rPr>
      </w:pPr>
      <w:bookmarkStart w:id="1442" w:name="_Toc219"/>
      <w:bookmarkStart w:id="1443" w:name="_Toc16940"/>
      <w:r>
        <w:rPr>
          <w:rFonts w:hint="eastAsia" w:ascii="仿宋" w:hAnsi="仿宋" w:eastAsia="仿宋" w:cs="仿宋"/>
          <w:b/>
          <w:color w:val="auto"/>
          <w:sz w:val="21"/>
          <w:szCs w:val="21"/>
          <w:highlight w:val="none"/>
        </w:rPr>
        <w:t>三、质量保证承诺</w:t>
      </w:r>
      <w:bookmarkEnd w:id="1442"/>
      <w:bookmarkEnd w:id="1443"/>
    </w:p>
    <w:p w14:paraId="1E7AC946">
      <w:pPr>
        <w:pStyle w:val="28"/>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1、质量保证期：本合同经双方签字盖章后生效，生效后自该仪器安装调试验收合格，并经甲方确认签字后</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个月为质量保证期限。在此期间保证免费维修。</w:t>
      </w:r>
    </w:p>
    <w:p w14:paraId="64B96668">
      <w:pPr>
        <w:pStyle w:val="28"/>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2、在保修期内，如出现故障无法修复的，则无条件退货，一切费用由乙方承担。</w:t>
      </w:r>
    </w:p>
    <w:p w14:paraId="269F0CAB">
      <w:pPr>
        <w:pStyle w:val="28"/>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3、保修期满后的维修承诺，只收取配件费，不收取人工服务费。</w:t>
      </w:r>
    </w:p>
    <w:p w14:paraId="36963BCC">
      <w:pPr>
        <w:pStyle w:val="28"/>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4、仪器预留升级空间，及时免费提供升级的配置资料。</w:t>
      </w:r>
    </w:p>
    <w:p w14:paraId="0B0FE6A5">
      <w:pPr>
        <w:pStyle w:val="28"/>
        <w:spacing w:line="360" w:lineRule="auto"/>
        <w:outlineLvl w:val="2"/>
        <w:rPr>
          <w:rFonts w:hint="eastAsia" w:ascii="仿宋" w:hAnsi="仿宋" w:eastAsia="仿宋" w:cs="仿宋"/>
          <w:b/>
          <w:color w:val="auto"/>
          <w:sz w:val="21"/>
          <w:szCs w:val="21"/>
          <w:highlight w:val="none"/>
        </w:rPr>
      </w:pPr>
      <w:bookmarkStart w:id="1444" w:name="_Toc6700"/>
      <w:bookmarkStart w:id="1445" w:name="_Toc30226"/>
      <w:r>
        <w:rPr>
          <w:rFonts w:hint="eastAsia" w:ascii="仿宋" w:hAnsi="仿宋" w:eastAsia="仿宋" w:cs="仿宋"/>
          <w:b/>
          <w:color w:val="auto"/>
          <w:sz w:val="21"/>
          <w:szCs w:val="21"/>
          <w:highlight w:val="none"/>
        </w:rPr>
        <w:t>四、技术服务</w:t>
      </w:r>
      <w:bookmarkEnd w:id="1444"/>
      <w:bookmarkEnd w:id="1445"/>
    </w:p>
    <w:p w14:paraId="3428E116">
      <w:pPr>
        <w:pStyle w:val="28"/>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维护、巡检时间，按招标约定执行，并将由甲方科室负责人签字并加盖乙方公司公章的维护、巡检报告送至甲方供应处医学工程科。</w:t>
      </w:r>
    </w:p>
    <w:p w14:paraId="4DC9639A">
      <w:pPr>
        <w:pStyle w:val="28"/>
        <w:spacing w:line="360" w:lineRule="auto"/>
        <w:outlineLvl w:val="2"/>
        <w:rPr>
          <w:rFonts w:hint="eastAsia" w:ascii="仿宋" w:hAnsi="仿宋" w:eastAsia="仿宋" w:cs="仿宋"/>
          <w:b/>
          <w:color w:val="auto"/>
          <w:sz w:val="21"/>
          <w:szCs w:val="21"/>
          <w:highlight w:val="none"/>
        </w:rPr>
      </w:pPr>
      <w:bookmarkStart w:id="1446" w:name="_Toc431"/>
      <w:bookmarkStart w:id="1447" w:name="_Toc30207"/>
      <w:r>
        <w:rPr>
          <w:rFonts w:hint="eastAsia" w:ascii="仿宋" w:hAnsi="仿宋" w:eastAsia="仿宋" w:cs="仿宋"/>
          <w:b/>
          <w:color w:val="auto"/>
          <w:sz w:val="21"/>
          <w:szCs w:val="21"/>
          <w:highlight w:val="none"/>
        </w:rPr>
        <w:t>五、技术培训要求</w:t>
      </w:r>
      <w:bookmarkEnd w:id="1446"/>
      <w:bookmarkEnd w:id="1447"/>
    </w:p>
    <w:p w14:paraId="372E3ECD">
      <w:pPr>
        <w:pStyle w:val="28"/>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1、免费培训使用人员，培训地点：</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时间：合同生效安装验收合格后</w:t>
      </w:r>
      <w:r>
        <w:rPr>
          <w:rFonts w:hint="eastAsia" w:ascii="仿宋" w:hAnsi="仿宋" w:eastAsia="仿宋" w:cs="仿宋"/>
          <w:color w:val="auto"/>
          <w:sz w:val="21"/>
          <w:szCs w:val="21"/>
          <w:highlight w:val="none"/>
          <w:u w:val="single"/>
          <w:lang w:val="en-US"/>
        </w:rPr>
        <w:t xml:space="preserve">     </w:t>
      </w:r>
      <w:r>
        <w:rPr>
          <w:rFonts w:hint="eastAsia" w:ascii="仿宋" w:hAnsi="仿宋" w:eastAsia="仿宋" w:cs="仿宋"/>
          <w:color w:val="auto"/>
          <w:sz w:val="21"/>
          <w:szCs w:val="21"/>
          <w:highlight w:val="none"/>
          <w:lang w:val="en-US"/>
        </w:rPr>
        <w:t>日</w:t>
      </w:r>
      <w:r>
        <w:rPr>
          <w:rFonts w:hint="eastAsia" w:ascii="仿宋" w:hAnsi="仿宋" w:eastAsia="仿宋" w:cs="仿宋"/>
          <w:color w:val="auto"/>
          <w:sz w:val="21"/>
          <w:szCs w:val="21"/>
          <w:highlight w:val="none"/>
        </w:rPr>
        <w:t>内。</w:t>
      </w:r>
    </w:p>
    <w:p w14:paraId="6F2EEB2C">
      <w:pPr>
        <w:pStyle w:val="28"/>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2、免费培训维修人员，培训地点：</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时间：合同生效安装验收合格后</w:t>
      </w:r>
      <w:r>
        <w:rPr>
          <w:rFonts w:hint="eastAsia" w:ascii="仿宋" w:hAnsi="仿宋" w:eastAsia="仿宋" w:cs="仿宋"/>
          <w:color w:val="auto"/>
          <w:sz w:val="21"/>
          <w:szCs w:val="21"/>
          <w:highlight w:val="none"/>
          <w:u w:val="single"/>
          <w:lang w:val="en-US"/>
        </w:rPr>
        <w:t xml:space="preserve">     </w:t>
      </w:r>
      <w:r>
        <w:rPr>
          <w:rFonts w:hint="eastAsia" w:ascii="仿宋" w:hAnsi="仿宋" w:eastAsia="仿宋" w:cs="仿宋"/>
          <w:color w:val="auto"/>
          <w:sz w:val="21"/>
          <w:szCs w:val="21"/>
          <w:highlight w:val="none"/>
          <w:lang w:val="en-US"/>
        </w:rPr>
        <w:t>日</w:t>
      </w:r>
      <w:r>
        <w:rPr>
          <w:rFonts w:hint="eastAsia" w:ascii="仿宋" w:hAnsi="仿宋" w:eastAsia="仿宋" w:cs="仿宋"/>
          <w:color w:val="auto"/>
          <w:sz w:val="21"/>
          <w:szCs w:val="21"/>
          <w:highlight w:val="none"/>
        </w:rPr>
        <w:t>内。</w:t>
      </w:r>
    </w:p>
    <w:p w14:paraId="7F3ABACD">
      <w:pPr>
        <w:pStyle w:val="28"/>
        <w:spacing w:line="360" w:lineRule="auto"/>
        <w:rPr>
          <w:rFonts w:hint="eastAsia" w:ascii="仿宋" w:hAnsi="仿宋" w:eastAsia="仿宋" w:cs="仿宋"/>
          <w:color w:val="auto"/>
          <w:sz w:val="21"/>
          <w:szCs w:val="21"/>
          <w:highlight w:val="none"/>
        </w:rPr>
      </w:pPr>
    </w:p>
    <w:p w14:paraId="75ECF364">
      <w:pPr>
        <w:pStyle w:val="28"/>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p>
    <w:p w14:paraId="15156D48">
      <w:pPr>
        <w:pStyle w:val="28"/>
        <w:spacing w:line="360" w:lineRule="auto"/>
        <w:rPr>
          <w:rFonts w:hint="eastAsia" w:ascii="仿宋" w:hAnsi="仿宋" w:eastAsia="仿宋" w:cs="仿宋"/>
          <w:color w:val="auto"/>
          <w:sz w:val="21"/>
          <w:szCs w:val="21"/>
          <w:highlight w:val="none"/>
        </w:rPr>
      </w:pPr>
    </w:p>
    <w:p w14:paraId="44014DE6">
      <w:pPr>
        <w:pStyle w:val="28"/>
        <w:spacing w:line="360" w:lineRule="auto"/>
        <w:rPr>
          <w:rFonts w:hint="eastAsia" w:ascii="仿宋" w:hAnsi="仿宋" w:eastAsia="仿宋" w:cs="仿宋"/>
          <w:color w:val="auto"/>
          <w:sz w:val="21"/>
          <w:szCs w:val="21"/>
          <w:highlight w:val="none"/>
        </w:rPr>
      </w:pPr>
    </w:p>
    <w:p w14:paraId="587AAA11">
      <w:pPr>
        <w:pStyle w:val="28"/>
        <w:spacing w:line="360" w:lineRule="auto"/>
        <w:rPr>
          <w:rFonts w:hint="eastAsia" w:ascii="仿宋" w:hAnsi="仿宋" w:eastAsia="仿宋" w:cs="仿宋"/>
          <w:color w:val="auto"/>
          <w:sz w:val="21"/>
          <w:szCs w:val="21"/>
          <w:highlight w:val="none"/>
        </w:rPr>
      </w:pPr>
    </w:p>
    <w:p w14:paraId="5A57CA31">
      <w:pPr>
        <w:pStyle w:val="28"/>
        <w:spacing w:line="360" w:lineRule="auto"/>
        <w:rPr>
          <w:rFonts w:hint="eastAsia" w:ascii="仿宋" w:hAnsi="仿宋" w:eastAsia="仿宋" w:cs="仿宋"/>
          <w:color w:val="auto"/>
          <w:sz w:val="21"/>
          <w:szCs w:val="21"/>
          <w:highlight w:val="none"/>
        </w:rPr>
      </w:pPr>
    </w:p>
    <w:p w14:paraId="4E3F8C8F">
      <w:pPr>
        <w:pStyle w:val="28"/>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乙方签字盖章</w:t>
      </w:r>
    </w:p>
    <w:p w14:paraId="5B36BEAE">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color w:val="auto"/>
          <w:sz w:val="24"/>
          <w:szCs w:val="24"/>
          <w:highlight w:val="none"/>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720" w:num="1"/>
          <w:rtlGutter w:val="0"/>
          <w:docGrid w:type="lines" w:linePitch="312" w:charSpace="0"/>
        </w:sectPr>
      </w:pPr>
      <w:r>
        <w:rPr>
          <w:rFonts w:hint="eastAsia" w:ascii="仿宋" w:hAnsi="仿宋" w:eastAsia="仿宋" w:cs="仿宋"/>
          <w:color w:val="auto"/>
          <w:sz w:val="21"/>
          <w:szCs w:val="21"/>
          <w:highlight w:val="none"/>
        </w:rPr>
        <w:t>202</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年   月   日</w:t>
      </w:r>
    </w:p>
    <w:p w14:paraId="2801BB42">
      <w:pPr>
        <w:keepNext w:val="0"/>
        <w:keepLines w:val="0"/>
        <w:pageBreakBefore w:val="0"/>
        <w:widowControl w:val="0"/>
        <w:kinsoku/>
        <w:wordWrap w:val="0"/>
        <w:overflowPunct/>
        <w:topLinePunct/>
        <w:autoSpaceDE/>
        <w:autoSpaceDN/>
        <w:bidi w:val="0"/>
        <w:adjustRightInd/>
        <w:snapToGrid/>
        <w:spacing w:line="360" w:lineRule="auto"/>
        <w:ind w:left="0" w:leftChars="0" w:right="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附件二：</w:t>
      </w:r>
    </w:p>
    <w:p w14:paraId="0456108D">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配置清单</w:t>
      </w:r>
    </w:p>
    <w:p w14:paraId="31E46087">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48498642">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1499B2B4">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0C49BF51">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481036E8">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5F150A70">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54F6A8A5">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0D884B04">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1AC24D99">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0648C9F1">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63BA47B4">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350CDA99">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6A2EB353">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41E52E19">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13196DE9">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5D4AF01A">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6A950F66">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48F28809">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71692655">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2949DC15">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497CAFB3">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76287980">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27E80F74">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19EDA4E4">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47C10E0F">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3BE1192E">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28E3E020">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133FDE0C">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7DA5F7EE">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4306F90A">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55C5D65D">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7FE11A81">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08A3E1F0">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783665E3">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6E8ECB57">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084D9252">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6FB2CCF6">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2E2F016A">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07E49547">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51BF5EA3">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62D2C748">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5E59D088">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6CD572D6">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558CC9E7">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pPr>
    </w:p>
    <w:p w14:paraId="79AB88C9">
      <w:pPr>
        <w:keepNext w:val="0"/>
        <w:keepLines w:val="0"/>
        <w:pageBreakBefore w:val="0"/>
        <w:widowControl w:val="0"/>
        <w:kinsoku/>
        <w:wordWrap w:val="0"/>
        <w:overflowPunct/>
        <w:topLinePunct/>
        <w:autoSpaceDE/>
        <w:autoSpaceDN/>
        <w:bidi w:val="0"/>
        <w:adjustRightInd/>
        <w:snapToGrid/>
        <w:spacing w:line="360" w:lineRule="auto"/>
        <w:jc w:val="both"/>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附件</w:t>
      </w:r>
      <w:r>
        <w:rPr>
          <w:rFonts w:hint="eastAsia" w:ascii="仿宋" w:hAnsi="仿宋" w:eastAsia="仿宋" w:cs="仿宋"/>
          <w:b/>
          <w:bCs/>
          <w:color w:val="auto"/>
          <w:sz w:val="24"/>
          <w:szCs w:val="24"/>
          <w:highlight w:val="none"/>
          <w:lang w:val="en-US" w:eastAsia="zh-CN"/>
        </w:rPr>
        <w:t>三</w:t>
      </w:r>
      <w:r>
        <w:rPr>
          <w:rFonts w:hint="eastAsia" w:ascii="仿宋" w:hAnsi="仿宋" w:eastAsia="仿宋" w:cs="仿宋"/>
          <w:b/>
          <w:bCs/>
          <w:color w:val="auto"/>
          <w:sz w:val="24"/>
          <w:szCs w:val="24"/>
          <w:highlight w:val="none"/>
        </w:rPr>
        <w:t>：</w:t>
      </w:r>
    </w:p>
    <w:p w14:paraId="63F1E5F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保密协议</w:t>
      </w:r>
    </w:p>
    <w:p w14:paraId="5EBCA9EB">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甲方</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u w:val="single"/>
          <w:lang w:val="en-US" w:eastAsia="zh-CN"/>
        </w:rPr>
        <w:t>楚雄彝族自治州人民医院</w:t>
      </w:r>
    </w:p>
    <w:p w14:paraId="459F3FE2">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乙方</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u w:val="single"/>
          <w:lang w:val="en-US" w:eastAsia="zh-CN"/>
        </w:rPr>
        <w:t xml:space="preserve">                        </w:t>
      </w:r>
    </w:p>
    <w:p w14:paraId="0891F39B">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因乙方为甲方提供服务和履行职务，已经</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或将要</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知悉甲方的工作秘密。为了明确乙方的保密义务，有效保护甲方的工作秘密，防止该工作秘密被公开披露或以任何形式泄漏，根据《中华人民共和国民法典</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中华人民共和国国家安全法</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中华人民共和国知识产权法</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中华人民共和国保守国家秘密法</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中华人民共和国反不正当竞争法</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中华人民共和国劳动合同法》及国务院有关部委和云南省的相关规定，甲乙双方本着平等、自愿、公平和诚实信用的原则签订本保密协议。</w:t>
      </w:r>
    </w:p>
    <w:p w14:paraId="1319B11D">
      <w:pPr>
        <w:keepNext w:val="0"/>
        <w:keepLines w:val="0"/>
        <w:pageBreakBefore w:val="0"/>
        <w:widowControl w:val="0"/>
        <w:kinsoku/>
        <w:wordWrap w:val="0"/>
        <w:overflowPunct/>
        <w:topLinePunct/>
        <w:autoSpaceDE/>
        <w:autoSpaceDN/>
        <w:bidi w:val="0"/>
        <w:adjustRightInd/>
        <w:snapToGrid/>
        <w:spacing w:line="360" w:lineRule="auto"/>
        <w:ind w:firstLine="422" w:firstLineChars="200"/>
        <w:textAlignment w:val="auto"/>
        <w:outlineLvl w:val="2"/>
        <w:rPr>
          <w:rFonts w:hint="eastAsia" w:ascii="仿宋" w:hAnsi="仿宋" w:eastAsia="仿宋" w:cs="仿宋"/>
          <w:b/>
          <w:bCs/>
          <w:color w:val="auto"/>
          <w:sz w:val="21"/>
          <w:szCs w:val="21"/>
          <w:highlight w:val="none"/>
        </w:rPr>
      </w:pPr>
      <w:bookmarkStart w:id="1448" w:name="_Toc19521"/>
      <w:bookmarkStart w:id="1449" w:name="_Toc17153"/>
      <w:r>
        <w:rPr>
          <w:rFonts w:hint="eastAsia" w:ascii="仿宋" w:hAnsi="仿宋" w:eastAsia="仿宋" w:cs="仿宋"/>
          <w:b/>
          <w:bCs/>
          <w:color w:val="auto"/>
          <w:sz w:val="21"/>
          <w:szCs w:val="21"/>
          <w:highlight w:val="none"/>
        </w:rPr>
        <w:t>一、工作秘密</w:t>
      </w:r>
      <w:bookmarkEnd w:id="1448"/>
      <w:bookmarkEnd w:id="1449"/>
    </w:p>
    <w:p w14:paraId="7D6CD91B">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1.本协议所称工作秘密包括但不限于</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甲方信息系统中的用户数据、业务数据、网络拓扑、设备配置、信息化项目、人力资源及其他技术信息的各类文档。乙方对此工作秘密承担保密义务；未经甲方同意不得对外转让或泄漏任何内容。双方确认，甲方已对上述工作秘密采取了合理的保密措施。乙方有责任对本协议的内容进行保密。</w:t>
      </w:r>
    </w:p>
    <w:p w14:paraId="273E6979">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2.甲方依照法律规定</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如在缔约过程中知悉其他相对人的工作秘密</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和在有关协议的约定（如技术合同）中对外承担保密义务的事项，也属本保密协议所称的工作秘密。</w:t>
      </w:r>
    </w:p>
    <w:p w14:paraId="0B0D5828">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甲方为完成项目提供的任何其他信息资料并且在提供时未说明是公开信息；乙方应当视为保密的口头和书面信息，而不论该等信息是否被指定为保密的：未经甲方书面许可乙方无权单方面对第三方公开的信息均属本保密协议所称的工作秘密。</w:t>
      </w:r>
    </w:p>
    <w:p w14:paraId="719C4597">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4.在乙方履行项目过程中，某一信息的泄露会造成下列后果之一的，也属于甲方秘密</w:t>
      </w:r>
      <w:r>
        <w:rPr>
          <w:rFonts w:hint="eastAsia" w:ascii="仿宋" w:hAnsi="仿宋" w:eastAsia="仿宋" w:cs="仿宋"/>
          <w:color w:val="auto"/>
          <w:sz w:val="21"/>
          <w:szCs w:val="21"/>
          <w:highlight w:val="none"/>
          <w:lang w:eastAsia="zh-CN"/>
        </w:rPr>
        <w:t>：</w:t>
      </w:r>
    </w:p>
    <w:p w14:paraId="6285A1B7">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4.1使甲方利益受到损害的事项；</w:t>
      </w:r>
    </w:p>
    <w:p w14:paraId="40020D54">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4.2影响甲方对外交流顺利进行的事项；</w:t>
      </w:r>
    </w:p>
    <w:p w14:paraId="1EA08A23">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4.3影响甲方对外承担保密义务的事项。</w:t>
      </w:r>
    </w:p>
    <w:p w14:paraId="1DE936F9">
      <w:pPr>
        <w:keepNext w:val="0"/>
        <w:keepLines w:val="0"/>
        <w:pageBreakBefore w:val="0"/>
        <w:widowControl w:val="0"/>
        <w:kinsoku/>
        <w:wordWrap w:val="0"/>
        <w:overflowPunct/>
        <w:topLinePunct/>
        <w:autoSpaceDE/>
        <w:autoSpaceDN/>
        <w:bidi w:val="0"/>
        <w:adjustRightInd/>
        <w:snapToGrid/>
        <w:spacing w:line="360" w:lineRule="auto"/>
        <w:ind w:firstLine="422" w:firstLineChars="200"/>
        <w:textAlignment w:val="auto"/>
        <w:outlineLvl w:val="2"/>
        <w:rPr>
          <w:rFonts w:hint="eastAsia" w:ascii="仿宋" w:hAnsi="仿宋" w:eastAsia="仿宋" w:cs="仿宋"/>
          <w:b/>
          <w:bCs/>
          <w:color w:val="auto"/>
          <w:sz w:val="21"/>
          <w:szCs w:val="21"/>
          <w:highlight w:val="none"/>
        </w:rPr>
      </w:pPr>
      <w:bookmarkStart w:id="1450" w:name="_Toc22205"/>
      <w:bookmarkStart w:id="1451" w:name="_Toc22206"/>
      <w:r>
        <w:rPr>
          <w:rFonts w:hint="eastAsia" w:ascii="仿宋" w:hAnsi="仿宋" w:eastAsia="仿宋" w:cs="仿宋"/>
          <w:b/>
          <w:bCs/>
          <w:color w:val="auto"/>
          <w:sz w:val="21"/>
          <w:szCs w:val="21"/>
          <w:highlight w:val="none"/>
        </w:rPr>
        <w:t>二、保密义务人</w:t>
      </w:r>
      <w:bookmarkEnd w:id="1450"/>
      <w:bookmarkEnd w:id="1451"/>
    </w:p>
    <w:p w14:paraId="0AD2DFA1">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乙方为本协议所称的保密义务人，包括但不限于乙方雇员、代理人、顾问等。</w:t>
      </w:r>
    </w:p>
    <w:p w14:paraId="3EE49356">
      <w:pPr>
        <w:keepNext w:val="0"/>
        <w:keepLines w:val="0"/>
        <w:pageBreakBefore w:val="0"/>
        <w:widowControl w:val="0"/>
        <w:kinsoku/>
        <w:wordWrap w:val="0"/>
        <w:overflowPunct/>
        <w:topLinePunct/>
        <w:autoSpaceDE/>
        <w:autoSpaceDN/>
        <w:bidi w:val="0"/>
        <w:adjustRightInd/>
        <w:snapToGrid/>
        <w:spacing w:line="360" w:lineRule="auto"/>
        <w:ind w:firstLine="422" w:firstLineChars="200"/>
        <w:textAlignment w:val="auto"/>
        <w:outlineLvl w:val="2"/>
        <w:rPr>
          <w:rFonts w:hint="eastAsia" w:ascii="仿宋" w:hAnsi="仿宋" w:eastAsia="仿宋" w:cs="仿宋"/>
          <w:b/>
          <w:bCs/>
          <w:color w:val="auto"/>
          <w:sz w:val="21"/>
          <w:szCs w:val="21"/>
          <w:highlight w:val="none"/>
        </w:rPr>
      </w:pPr>
      <w:bookmarkStart w:id="1452" w:name="_Toc8546"/>
      <w:bookmarkStart w:id="1453" w:name="_Toc5802"/>
      <w:r>
        <w:rPr>
          <w:rFonts w:hint="eastAsia" w:ascii="仿宋" w:hAnsi="仿宋" w:eastAsia="仿宋" w:cs="仿宋"/>
          <w:b/>
          <w:bCs/>
          <w:color w:val="auto"/>
          <w:sz w:val="21"/>
          <w:szCs w:val="21"/>
          <w:highlight w:val="none"/>
        </w:rPr>
        <w:t>三、保密义务人的保密义务</w:t>
      </w:r>
      <w:bookmarkEnd w:id="1452"/>
      <w:bookmarkEnd w:id="1453"/>
    </w:p>
    <w:p w14:paraId="309BAE22">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1.乙方应保证保密义务人对甲方工作秘密严格保守</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保证甲方工作秘密不被披露或使用，无论保密义务人有无过错，无论意外或过失。即使这些信息甚至可能是全部地由保密义务人本人因工作而构思或取得的。</w:t>
      </w:r>
    </w:p>
    <w:p w14:paraId="2B390949">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2.在服务关系存续期间，乙方保证保密义务人未经授权，不得以竞争为目的</w:t>
      </w:r>
      <w:r>
        <w:rPr>
          <w:rFonts w:hint="eastAsia" w:ascii="仿宋" w:hAnsi="仿宋" w:eastAsia="仿宋" w:cs="仿宋"/>
          <w:color w:val="auto"/>
          <w:sz w:val="21"/>
          <w:szCs w:val="21"/>
          <w:highlight w:val="none"/>
          <w:lang w:eastAsia="zh-CN"/>
        </w:rPr>
        <w:t>或</w:t>
      </w:r>
      <w:r>
        <w:rPr>
          <w:rFonts w:hint="eastAsia" w:ascii="仿宋" w:hAnsi="仿宋" w:eastAsia="仿宋" w:cs="仿宋"/>
          <w:color w:val="auto"/>
          <w:sz w:val="21"/>
          <w:szCs w:val="21"/>
          <w:highlight w:val="none"/>
        </w:rPr>
        <w:t>出于私利</w:t>
      </w:r>
      <w:r>
        <w:rPr>
          <w:rFonts w:hint="eastAsia" w:ascii="仿宋" w:hAnsi="仿宋" w:eastAsia="仿宋" w:cs="仿宋"/>
          <w:color w:val="auto"/>
          <w:sz w:val="21"/>
          <w:szCs w:val="21"/>
          <w:highlight w:val="none"/>
          <w:lang w:eastAsia="zh-CN"/>
        </w:rPr>
        <w:t>或</w:t>
      </w:r>
      <w:r>
        <w:rPr>
          <w:rFonts w:hint="eastAsia" w:ascii="仿宋" w:hAnsi="仿宋" w:eastAsia="仿宋" w:cs="仿宋"/>
          <w:color w:val="auto"/>
          <w:sz w:val="21"/>
          <w:szCs w:val="21"/>
          <w:highlight w:val="none"/>
        </w:rPr>
        <w:t>为第三人谋利</w:t>
      </w:r>
      <w:r>
        <w:rPr>
          <w:rFonts w:hint="eastAsia" w:ascii="仿宋" w:hAnsi="仿宋" w:eastAsia="仿宋" w:cs="仿宋"/>
          <w:color w:val="auto"/>
          <w:sz w:val="21"/>
          <w:szCs w:val="21"/>
          <w:highlight w:val="none"/>
          <w:lang w:eastAsia="zh-CN"/>
        </w:rPr>
        <w:t>或</w:t>
      </w:r>
      <w:r>
        <w:rPr>
          <w:rFonts w:hint="eastAsia" w:ascii="仿宋" w:hAnsi="仿宋" w:eastAsia="仿宋" w:cs="仿宋"/>
          <w:color w:val="auto"/>
          <w:sz w:val="21"/>
          <w:szCs w:val="21"/>
          <w:highlight w:val="none"/>
        </w:rPr>
        <w:t>为故意加害于甲方，擅自披露、使用工作秘密、制造再现工作秘密的器材、取走与工作秘密有关的物件；不得刺探与本职工作或本身业务无关的工作秘密；不得直接或间接地向乙方内部、外部的无关人员泄露；不得向不承担保密义务的任何第三人披露甲方的工作秘密；不得允许（出借、</w:t>
      </w:r>
      <w:r>
        <w:rPr>
          <w:rFonts w:hint="eastAsia" w:ascii="仿宋" w:hAnsi="仿宋" w:eastAsia="仿宋" w:cs="仿宋"/>
          <w:color w:val="auto"/>
          <w:sz w:val="21"/>
          <w:szCs w:val="21"/>
          <w:highlight w:val="none"/>
          <w:lang w:eastAsia="zh-CN"/>
        </w:rPr>
        <w:t>赠予</w:t>
      </w:r>
      <w:r>
        <w:rPr>
          <w:rFonts w:hint="eastAsia" w:ascii="仿宋" w:hAnsi="仿宋" w:eastAsia="仿宋" w:cs="仿宋"/>
          <w:color w:val="auto"/>
          <w:sz w:val="21"/>
          <w:szCs w:val="21"/>
          <w:highlight w:val="none"/>
        </w:rPr>
        <w:t>、出租、转让等处分甲方工作秘密的行为皆属于“允许”）或协助不承担保密义务的任何第三人使用甲方的工作秘密；不得复制或公开包含甲方工作秘密的文件或文件副本；对因工作所保管、接触的有关甲方的文件应妥善对待，未经许可不得超出工作范围使用。</w:t>
      </w:r>
    </w:p>
    <w:p w14:paraId="39C733FF">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3.如果发现工作秘密被泄露或者自己过失泄露工作秘密，乙方应当采取有效措施防止泄密进一步扩大，并及时向甲方报告。</w:t>
      </w:r>
    </w:p>
    <w:p w14:paraId="6F0E2985">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4.服务关系结束后，乙方应将与工作有关的技术资料、程序源代码等交还甲方。未经甲方书面授权，乙方永久不得擅自披露甲方的工作秘密。</w:t>
      </w:r>
    </w:p>
    <w:p w14:paraId="08C539B0">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5.乙方保证所有有机会接触到甲方保密信息的参与成员，受不低于本合同要求的保密协议要求，且协议的保密期限为长期，除非甲方书面明确信息为可公开的信息外。</w:t>
      </w:r>
    </w:p>
    <w:p w14:paraId="047B1608">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6.乙方人员是否在职、劳动合同是否履行完毕，均不影响其保密义务的承担。</w:t>
      </w:r>
    </w:p>
    <w:p w14:paraId="0ACFD8AE">
      <w:pPr>
        <w:keepNext w:val="0"/>
        <w:keepLines w:val="0"/>
        <w:pageBreakBefore w:val="0"/>
        <w:widowControl w:val="0"/>
        <w:kinsoku/>
        <w:wordWrap w:val="0"/>
        <w:overflowPunct/>
        <w:topLinePunct/>
        <w:autoSpaceDE/>
        <w:autoSpaceDN/>
        <w:bidi w:val="0"/>
        <w:adjustRightInd/>
        <w:snapToGrid/>
        <w:spacing w:line="360" w:lineRule="auto"/>
        <w:ind w:firstLine="422" w:firstLineChars="200"/>
        <w:textAlignment w:val="auto"/>
        <w:outlineLvl w:val="2"/>
        <w:rPr>
          <w:rFonts w:hint="eastAsia" w:ascii="仿宋" w:hAnsi="仿宋" w:eastAsia="仿宋" w:cs="仿宋"/>
          <w:b/>
          <w:bCs/>
          <w:color w:val="auto"/>
          <w:sz w:val="21"/>
          <w:szCs w:val="21"/>
          <w:highlight w:val="none"/>
        </w:rPr>
      </w:pPr>
      <w:bookmarkStart w:id="1454" w:name="_Toc18712"/>
      <w:bookmarkStart w:id="1455" w:name="_Toc25387"/>
      <w:r>
        <w:rPr>
          <w:rFonts w:hint="eastAsia" w:ascii="仿宋" w:hAnsi="仿宋" w:eastAsia="仿宋" w:cs="仿宋"/>
          <w:b/>
          <w:bCs/>
          <w:color w:val="auto"/>
          <w:sz w:val="21"/>
          <w:szCs w:val="21"/>
          <w:highlight w:val="none"/>
        </w:rPr>
        <w:t>四、保密义务的终止</w:t>
      </w:r>
      <w:bookmarkEnd w:id="1454"/>
      <w:bookmarkEnd w:id="1455"/>
    </w:p>
    <w:p w14:paraId="1714D605">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1.甲方授权同意披露或使用工作秘密。</w:t>
      </w:r>
    </w:p>
    <w:p w14:paraId="34F6E032">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2.有关的信息、技术等已进入公共领域。</w:t>
      </w:r>
    </w:p>
    <w:p w14:paraId="7E0322B4">
      <w:pPr>
        <w:keepNext w:val="0"/>
        <w:keepLines w:val="0"/>
        <w:pageBreakBefore w:val="0"/>
        <w:widowControl w:val="0"/>
        <w:kinsoku/>
        <w:wordWrap w:val="0"/>
        <w:overflowPunct/>
        <w:topLinePunct/>
        <w:autoSpaceDE/>
        <w:autoSpaceDN/>
        <w:bidi w:val="0"/>
        <w:adjustRightInd/>
        <w:snapToGrid/>
        <w:spacing w:line="360" w:lineRule="auto"/>
        <w:ind w:firstLine="422" w:firstLineChars="200"/>
        <w:textAlignment w:val="auto"/>
        <w:outlineLvl w:val="2"/>
        <w:rPr>
          <w:rFonts w:hint="eastAsia" w:ascii="仿宋" w:hAnsi="仿宋" w:eastAsia="仿宋" w:cs="仿宋"/>
          <w:b/>
          <w:bCs/>
          <w:color w:val="auto"/>
          <w:sz w:val="21"/>
          <w:szCs w:val="21"/>
          <w:highlight w:val="none"/>
        </w:rPr>
      </w:pPr>
      <w:bookmarkStart w:id="1456" w:name="_Toc10548"/>
      <w:bookmarkStart w:id="1457" w:name="_Toc8137"/>
      <w:r>
        <w:rPr>
          <w:rFonts w:hint="eastAsia" w:ascii="仿宋" w:hAnsi="仿宋" w:eastAsia="仿宋" w:cs="仿宋"/>
          <w:b/>
          <w:bCs/>
          <w:color w:val="auto"/>
          <w:sz w:val="21"/>
          <w:szCs w:val="21"/>
          <w:highlight w:val="none"/>
        </w:rPr>
        <w:t>五、违约责任</w:t>
      </w:r>
      <w:bookmarkEnd w:id="1456"/>
      <w:bookmarkEnd w:id="1457"/>
    </w:p>
    <w:p w14:paraId="38D05021">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乙方违反本协议，应按主合同金额的20%向甲方支付违约金：违约金不足以弥补甲方损失的，由乙方另行进行赔偿，甲方损失范围包括但不限于：甲方实际经济损失、律师费、调查费、采取补</w:t>
      </w:r>
      <w:r>
        <w:rPr>
          <w:rFonts w:hint="eastAsia" w:ascii="仿宋" w:hAnsi="仿宋" w:eastAsia="仿宋" w:cs="仿宋"/>
          <w:color w:val="auto"/>
          <w:sz w:val="21"/>
          <w:szCs w:val="21"/>
          <w:highlight w:val="none"/>
          <w:lang w:eastAsia="zh-CN"/>
        </w:rPr>
        <w:t>救</w:t>
      </w:r>
      <w:r>
        <w:rPr>
          <w:rFonts w:hint="eastAsia" w:ascii="仿宋" w:hAnsi="仿宋" w:eastAsia="仿宋" w:cs="仿宋"/>
          <w:color w:val="auto"/>
          <w:sz w:val="21"/>
          <w:szCs w:val="21"/>
          <w:highlight w:val="none"/>
        </w:rPr>
        <w:t>措施所引起的所有费用和损失、乙方及其泄密对象因违约行为的获益等。</w:t>
      </w:r>
    </w:p>
    <w:p w14:paraId="493EA73F">
      <w:pPr>
        <w:keepNext w:val="0"/>
        <w:keepLines w:val="0"/>
        <w:pageBreakBefore w:val="0"/>
        <w:widowControl w:val="0"/>
        <w:kinsoku/>
        <w:wordWrap w:val="0"/>
        <w:overflowPunct/>
        <w:topLinePunct/>
        <w:autoSpaceDE/>
        <w:autoSpaceDN/>
        <w:bidi w:val="0"/>
        <w:adjustRightInd/>
        <w:snapToGrid/>
        <w:spacing w:line="360" w:lineRule="auto"/>
        <w:ind w:firstLine="422" w:firstLineChars="200"/>
        <w:textAlignment w:val="auto"/>
        <w:outlineLvl w:val="2"/>
        <w:rPr>
          <w:rFonts w:hint="eastAsia" w:ascii="仿宋" w:hAnsi="仿宋" w:eastAsia="仿宋" w:cs="仿宋"/>
          <w:b/>
          <w:bCs/>
          <w:color w:val="auto"/>
          <w:sz w:val="21"/>
          <w:szCs w:val="21"/>
          <w:highlight w:val="none"/>
        </w:rPr>
      </w:pPr>
      <w:bookmarkStart w:id="1458" w:name="_Toc28349"/>
      <w:bookmarkStart w:id="1459" w:name="_Toc6920"/>
      <w:r>
        <w:rPr>
          <w:rFonts w:hint="eastAsia" w:ascii="仿宋" w:hAnsi="仿宋" w:eastAsia="仿宋" w:cs="仿宋"/>
          <w:b/>
          <w:bCs/>
          <w:color w:val="auto"/>
          <w:sz w:val="21"/>
          <w:szCs w:val="21"/>
          <w:highlight w:val="none"/>
        </w:rPr>
        <w:t>六、争议的解决方法</w:t>
      </w:r>
      <w:bookmarkEnd w:id="1458"/>
      <w:bookmarkEnd w:id="1459"/>
    </w:p>
    <w:p w14:paraId="3790278F">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因执行本协议而发生纠纷的，可以由双方协商解决或共同委托双方信任的第三方调解。协商、调解不成，或者一方不愿意协商、调解的，按照主合同约定的争议处理方式处理。</w:t>
      </w:r>
    </w:p>
    <w:p w14:paraId="23C2C86D">
      <w:pPr>
        <w:keepNext w:val="0"/>
        <w:keepLines w:val="0"/>
        <w:pageBreakBefore w:val="0"/>
        <w:widowControl w:val="0"/>
        <w:kinsoku/>
        <w:wordWrap w:val="0"/>
        <w:overflowPunct/>
        <w:topLinePunct/>
        <w:autoSpaceDE/>
        <w:autoSpaceDN/>
        <w:bidi w:val="0"/>
        <w:adjustRightInd/>
        <w:snapToGrid/>
        <w:spacing w:line="360" w:lineRule="auto"/>
        <w:ind w:firstLine="422" w:firstLineChars="200"/>
        <w:textAlignment w:val="auto"/>
        <w:outlineLvl w:val="2"/>
        <w:rPr>
          <w:rFonts w:hint="eastAsia" w:ascii="仿宋" w:hAnsi="仿宋" w:eastAsia="仿宋" w:cs="仿宋"/>
          <w:b/>
          <w:bCs/>
          <w:color w:val="auto"/>
          <w:sz w:val="21"/>
          <w:szCs w:val="21"/>
          <w:highlight w:val="none"/>
        </w:rPr>
      </w:pPr>
      <w:bookmarkStart w:id="1460" w:name="_Toc8929"/>
      <w:bookmarkStart w:id="1461" w:name="_Toc29163"/>
      <w:r>
        <w:rPr>
          <w:rFonts w:hint="eastAsia" w:ascii="仿宋" w:hAnsi="仿宋" w:eastAsia="仿宋" w:cs="仿宋"/>
          <w:b/>
          <w:bCs/>
          <w:color w:val="auto"/>
          <w:sz w:val="21"/>
          <w:szCs w:val="21"/>
          <w:highlight w:val="none"/>
        </w:rPr>
        <w:t>七、双方确认</w:t>
      </w:r>
      <w:bookmarkEnd w:id="1460"/>
      <w:bookmarkEnd w:id="1461"/>
    </w:p>
    <w:p w14:paraId="51768C14">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1.在签署本协议前，双方已经详细审阅了协议的内容，并完全了解协议各条款的法律含义。</w:t>
      </w:r>
    </w:p>
    <w:p w14:paraId="0DA45948">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2.双方在本协议履行过程中相互发出或者提供的所有通知、文件、文书、资料等，均以本协议所列明的地址送达。一方如果迁址或者变更电话，应当及时通知对方，否则自行承担相应后果。</w:t>
      </w:r>
    </w:p>
    <w:p w14:paraId="055F6ACF">
      <w:pPr>
        <w:keepNext w:val="0"/>
        <w:keepLines w:val="0"/>
        <w:pageBreakBefore w:val="0"/>
        <w:widowControl w:val="0"/>
        <w:kinsoku/>
        <w:wordWrap w:val="0"/>
        <w:overflowPunct/>
        <w:topLinePunct/>
        <w:autoSpaceDE/>
        <w:autoSpaceDN/>
        <w:bidi w:val="0"/>
        <w:adjustRightInd/>
        <w:snapToGrid/>
        <w:spacing w:line="360" w:lineRule="auto"/>
        <w:ind w:firstLine="422" w:firstLineChars="200"/>
        <w:textAlignment w:val="auto"/>
        <w:outlineLvl w:val="2"/>
        <w:rPr>
          <w:rFonts w:hint="eastAsia" w:ascii="仿宋" w:hAnsi="仿宋" w:eastAsia="仿宋" w:cs="仿宋"/>
          <w:b/>
          <w:bCs/>
          <w:color w:val="auto"/>
          <w:sz w:val="21"/>
          <w:szCs w:val="21"/>
          <w:highlight w:val="none"/>
        </w:rPr>
      </w:pPr>
      <w:bookmarkStart w:id="1462" w:name="_Toc23796"/>
      <w:bookmarkStart w:id="1463" w:name="_Toc6887"/>
      <w:r>
        <w:rPr>
          <w:rFonts w:hint="eastAsia" w:ascii="仿宋" w:hAnsi="仿宋" w:eastAsia="仿宋" w:cs="仿宋"/>
          <w:b/>
          <w:bCs/>
          <w:color w:val="auto"/>
          <w:sz w:val="21"/>
          <w:szCs w:val="21"/>
          <w:highlight w:val="none"/>
        </w:rPr>
        <w:t>八、协议的效力和变更</w:t>
      </w:r>
      <w:bookmarkEnd w:id="1462"/>
      <w:bookmarkEnd w:id="1463"/>
    </w:p>
    <w:p w14:paraId="73FF905C">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1.本协议自双方签字并加盖公章后生效</w:t>
      </w:r>
    </w:p>
    <w:p w14:paraId="4D9EA74F">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2.本协议的任何修改必须经过双方的书面同意。</w:t>
      </w:r>
    </w:p>
    <w:p w14:paraId="7049F679">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3.本协议为主合同不可缺少之部分，与主合同具有同等法律效力。</w:t>
      </w:r>
    </w:p>
    <w:p w14:paraId="05F9A5FC">
      <w:pPr>
        <w:keepNext w:val="0"/>
        <w:keepLines w:val="0"/>
        <w:pageBreakBefore w:val="0"/>
        <w:widowControl w:val="0"/>
        <w:kinsoku/>
        <w:wordWrap w:val="0"/>
        <w:overflowPunct/>
        <w:topLinePunct/>
        <w:autoSpaceDE/>
        <w:autoSpaceDN/>
        <w:bidi w:val="0"/>
        <w:adjustRightInd/>
        <w:snapToGrid/>
        <w:spacing w:line="360" w:lineRule="auto"/>
        <w:ind w:firstLine="422" w:firstLineChars="200"/>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九、本协议一式叁份，其中甲方执贰份，乙方执壹份，具有同等法律效力。</w:t>
      </w:r>
    </w:p>
    <w:p w14:paraId="7C179DCA">
      <w:pPr>
        <w:pStyle w:val="3"/>
        <w:outlineLvl w:val="9"/>
        <w:rPr>
          <w:rFonts w:hint="eastAsia" w:ascii="仿宋" w:hAnsi="仿宋" w:eastAsia="仿宋" w:cs="仿宋"/>
          <w:color w:val="auto"/>
          <w:sz w:val="21"/>
          <w:szCs w:val="21"/>
          <w:highlight w:val="none"/>
        </w:rPr>
      </w:pPr>
    </w:p>
    <w:p w14:paraId="3AA8D441">
      <w:pPr>
        <w:rPr>
          <w:rFonts w:hint="eastAsia" w:ascii="仿宋" w:hAnsi="仿宋" w:eastAsia="仿宋" w:cs="仿宋"/>
          <w:color w:val="auto"/>
          <w:sz w:val="21"/>
          <w:szCs w:val="21"/>
          <w:highlight w:val="none"/>
        </w:rPr>
      </w:pPr>
    </w:p>
    <w:p w14:paraId="35F9CEB5">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甲方：</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（公章）</w:t>
      </w:r>
    </w:p>
    <w:p w14:paraId="1400FECE">
      <w:pPr>
        <w:wordWrap w:val="0"/>
        <w:topLinePunct/>
        <w:spacing w:line="360" w:lineRule="auto"/>
        <w:ind w:firstLine="420" w:firstLineChars="200"/>
        <w:jc w:val="left"/>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法定代表人或委托代理人（签字）：</w:t>
      </w:r>
      <w:r>
        <w:rPr>
          <w:rFonts w:hint="eastAsia" w:ascii="仿宋" w:hAnsi="仿宋" w:eastAsia="仿宋" w:cs="仿宋"/>
          <w:color w:val="auto"/>
          <w:sz w:val="21"/>
          <w:szCs w:val="21"/>
          <w:highlight w:val="none"/>
          <w:u w:val="single"/>
          <w:lang w:val="en-US" w:eastAsia="zh-CN"/>
        </w:rPr>
        <w:t xml:space="preserve">           </w:t>
      </w:r>
    </w:p>
    <w:p w14:paraId="70C39A25">
      <w:pPr>
        <w:wordWrap w:val="0"/>
        <w:topLinePunct/>
        <w:spacing w:line="360" w:lineRule="auto"/>
        <w:ind w:firstLine="420" w:firstLineChars="200"/>
        <w:jc w:val="left"/>
        <w:rPr>
          <w:rFonts w:hint="eastAsia" w:ascii="仿宋" w:hAnsi="仿宋" w:eastAsia="仿宋" w:cs="仿宋"/>
          <w:color w:val="auto"/>
          <w:sz w:val="21"/>
          <w:szCs w:val="21"/>
          <w:highlight w:val="none"/>
        </w:rPr>
      </w:pPr>
    </w:p>
    <w:p w14:paraId="6DE6AE3B">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乙方：</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（公章）</w:t>
      </w:r>
    </w:p>
    <w:p w14:paraId="1D10C7E1">
      <w:pPr>
        <w:wordWrap w:val="0"/>
        <w:topLinePunct/>
        <w:spacing w:line="360" w:lineRule="auto"/>
        <w:ind w:firstLine="420" w:firstLineChars="200"/>
        <w:jc w:val="left"/>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法定代表人或委托代理人（签字）：</w:t>
      </w:r>
      <w:r>
        <w:rPr>
          <w:rFonts w:hint="eastAsia" w:ascii="仿宋" w:hAnsi="仿宋" w:eastAsia="仿宋" w:cs="仿宋"/>
          <w:color w:val="auto"/>
          <w:sz w:val="21"/>
          <w:szCs w:val="21"/>
          <w:highlight w:val="none"/>
          <w:u w:val="single"/>
          <w:lang w:val="en-US" w:eastAsia="zh-CN"/>
        </w:rPr>
        <w:t xml:space="preserve">           </w:t>
      </w:r>
    </w:p>
    <w:p w14:paraId="549EA444">
      <w:pPr>
        <w:wordWrap w:val="0"/>
        <w:topLinePunct/>
        <w:spacing w:line="360" w:lineRule="auto"/>
        <w:ind w:firstLine="420" w:firstLineChars="200"/>
        <w:jc w:val="left"/>
        <w:rPr>
          <w:rFonts w:hint="eastAsia" w:ascii="仿宋" w:hAnsi="仿宋" w:eastAsia="仿宋" w:cs="仿宋"/>
          <w:color w:val="auto"/>
          <w:sz w:val="21"/>
          <w:szCs w:val="21"/>
          <w:highlight w:val="none"/>
        </w:rPr>
        <w:sectPr>
          <w:pgSz w:w="11906" w:h="16838"/>
          <w:pgMar w:top="1134" w:right="1134" w:bottom="1134" w:left="1134" w:header="340" w:footer="907" w:gutter="0"/>
          <w:pgBorders>
            <w:top w:val="none" w:sz="0" w:space="0"/>
            <w:left w:val="none" w:sz="0" w:space="0"/>
            <w:bottom w:val="none" w:sz="0" w:space="0"/>
            <w:right w:val="none" w:sz="0" w:space="0"/>
          </w:pgBorders>
          <w:pgNumType w:fmt="decimal"/>
          <w:cols w:space="720" w:num="1"/>
          <w:titlePg/>
          <w:rtlGutter w:val="0"/>
          <w:docGrid w:linePitch="299" w:charSpace="0"/>
        </w:sectPr>
      </w:pPr>
      <w:r>
        <w:rPr>
          <w:rFonts w:hint="eastAsia" w:ascii="仿宋" w:hAnsi="仿宋" w:eastAsia="仿宋" w:cs="仿宋"/>
          <w:color w:val="auto"/>
          <w:sz w:val="21"/>
          <w:szCs w:val="21"/>
          <w:highlight w:val="none"/>
        </w:rPr>
        <w:t>日期：202</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年  月   日</w:t>
      </w:r>
    </w:p>
    <w:p w14:paraId="6E499A16">
      <w:pPr>
        <w:wordWrap w:val="0"/>
        <w:topLinePunct/>
        <w:spacing w:line="0" w:lineRule="atLeast"/>
        <w:jc w:val="both"/>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附件</w:t>
      </w: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rPr>
        <w:t>：</w:t>
      </w:r>
    </w:p>
    <w:p w14:paraId="252FFF23">
      <w:pPr>
        <w:jc w:val="center"/>
        <w:outlineLvl w:val="0"/>
        <w:rPr>
          <w:rFonts w:hint="eastAsia" w:ascii="仿宋" w:hAnsi="仿宋" w:eastAsia="仿宋" w:cs="仿宋"/>
          <w:b/>
          <w:color w:val="auto"/>
          <w:sz w:val="32"/>
          <w:szCs w:val="32"/>
          <w:highlight w:val="none"/>
        </w:rPr>
      </w:pPr>
      <w:bookmarkStart w:id="1464" w:name="_Toc12302"/>
      <w:r>
        <w:rPr>
          <w:rFonts w:hint="eastAsia" w:ascii="仿宋" w:hAnsi="仿宋" w:eastAsia="仿宋" w:cs="仿宋"/>
          <w:b/>
          <w:color w:val="auto"/>
          <w:sz w:val="32"/>
          <w:szCs w:val="32"/>
          <w:highlight w:val="none"/>
        </w:rPr>
        <w:t>医疗卫生机构医药产品廉洁购销合同</w:t>
      </w:r>
      <w:bookmarkEnd w:id="1464"/>
    </w:p>
    <w:p w14:paraId="41A08D08">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项目名称：</w:t>
      </w:r>
      <w:r>
        <w:rPr>
          <w:rFonts w:hint="eastAsia" w:ascii="仿宋" w:hAnsi="仿宋" w:eastAsia="仿宋" w:cs="仿宋"/>
          <w:b/>
          <w:color w:val="auto"/>
          <w:sz w:val="21"/>
          <w:szCs w:val="21"/>
          <w:highlight w:val="none"/>
          <w:u w:val="single"/>
        </w:rPr>
        <w:t xml:space="preserve">                                    </w:t>
      </w:r>
    </w:p>
    <w:p w14:paraId="374461DD">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仿宋" w:hAnsi="仿宋" w:eastAsia="仿宋" w:cs="仿宋"/>
          <w:color w:val="auto"/>
          <w:sz w:val="21"/>
          <w:szCs w:val="21"/>
          <w:highlight w:val="none"/>
        </w:rPr>
      </w:pPr>
    </w:p>
    <w:p w14:paraId="02E7CBE4">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甲方：</w:t>
      </w:r>
      <w:r>
        <w:rPr>
          <w:rFonts w:hint="eastAsia" w:ascii="仿宋" w:hAnsi="仿宋" w:eastAsia="仿宋" w:cs="仿宋"/>
          <w:color w:val="auto"/>
          <w:sz w:val="21"/>
          <w:szCs w:val="21"/>
          <w:highlight w:val="none"/>
          <w:u w:val="single"/>
          <w:lang w:val="en-US" w:eastAsia="zh-CN"/>
        </w:rPr>
        <w:t>楚雄彝族自治州人民医院</w:t>
      </w:r>
    </w:p>
    <w:p w14:paraId="5995BB73">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乙方：</w:t>
      </w:r>
      <w:r>
        <w:rPr>
          <w:rFonts w:hint="eastAsia" w:ascii="仿宋" w:hAnsi="仿宋" w:eastAsia="仿宋" w:cs="仿宋"/>
          <w:b/>
          <w:color w:val="auto"/>
          <w:sz w:val="21"/>
          <w:szCs w:val="21"/>
          <w:highlight w:val="none"/>
          <w:u w:val="single"/>
        </w:rPr>
        <w:t xml:space="preserve">                        </w:t>
      </w:r>
    </w:p>
    <w:p w14:paraId="77F2173B">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为进一步加强医疗卫生行风建设，规范医疗卫生机构医药购销行为，有效防范商业贿赂行为，营造公平交易、诚实守信的购销环境，经甲、乙双方协商，同意签订本合同，并共同遵守：</w:t>
      </w:r>
    </w:p>
    <w:p w14:paraId="554EA7FD">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一、甲乙双方按照《</w:t>
      </w:r>
      <w:r>
        <w:rPr>
          <w:rFonts w:hint="eastAsia" w:ascii="仿宋" w:hAnsi="仿宋" w:eastAsia="仿宋" w:cs="仿宋"/>
          <w:color w:val="auto"/>
          <w:sz w:val="21"/>
          <w:szCs w:val="21"/>
          <w:highlight w:val="none"/>
          <w:lang w:eastAsia="zh-CN"/>
        </w:rPr>
        <w:t>中华人民共和国民法典</w:t>
      </w:r>
      <w:r>
        <w:rPr>
          <w:rFonts w:hint="eastAsia" w:ascii="仿宋" w:hAnsi="仿宋" w:eastAsia="仿宋" w:cs="仿宋"/>
          <w:color w:val="auto"/>
          <w:sz w:val="21"/>
          <w:szCs w:val="21"/>
          <w:highlight w:val="none"/>
        </w:rPr>
        <w:t>》及医药产品购销合同约定购销药品、医用设备、医用耗材等医药产品。</w:t>
      </w:r>
    </w:p>
    <w:p w14:paraId="150E30E3">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二、甲方应当严格执行医药产品购销合同验收、入库制度，对采购医药产品及发票进行查验，不得违反有关规定合同外采购、违价采购或从非规定渠道采购。</w:t>
      </w:r>
    </w:p>
    <w:p w14:paraId="1144EF4E">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p>
    <w:p w14:paraId="60DF105D">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四、严禁甲方工作人员利用任何途径和方式，为乙方统计医师个人及临床科室有关医药产品用量信息，或为乙方统计提供便利。</w:t>
      </w:r>
    </w:p>
    <w:p w14:paraId="17C4756E">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五、乙方不得以回扣、宴请等方式影响甲方工作人员采购或使用医药产品的选择权，不得在学术活动中提供旅游、超标准支付食宿费用。</w:t>
      </w:r>
    </w:p>
    <w:p w14:paraId="43061D8C">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六、乙方指定</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身份证号码（</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作为销售代表洽谈业务。销售代表必须在工作时间到甲方指定地点联系商谈，不得到住院部、门诊部、医技科室等推销医药产品，不得借故到甲方相关领导、部门负责人及相关工作人员家中访谈并提供任何好处费。</w:t>
      </w:r>
    </w:p>
    <w:p w14:paraId="3402FD91">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p>
    <w:p w14:paraId="7A5FF25E">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八、本合同作为医药产品购销合同的重要组成部分，与购销合同一并执行，具有同等的法律效力。</w:t>
      </w:r>
    </w:p>
    <w:p w14:paraId="746FC132">
      <w:pPr>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九、本合同一式三份，甲、乙双方各执一份，甲方纪检监察部门执一份，并从签订之日起生效。</w:t>
      </w:r>
    </w:p>
    <w:p w14:paraId="45F7DE61">
      <w:pPr>
        <w:wordWrap w:val="0"/>
        <w:topLinePunct/>
        <w:spacing w:line="360" w:lineRule="auto"/>
        <w:jc w:val="left"/>
        <w:rPr>
          <w:rFonts w:hint="eastAsia" w:ascii="仿宋" w:hAnsi="仿宋" w:eastAsia="仿宋" w:cs="仿宋"/>
          <w:color w:val="auto"/>
          <w:sz w:val="21"/>
          <w:szCs w:val="21"/>
          <w:highlight w:val="none"/>
        </w:rPr>
      </w:pPr>
    </w:p>
    <w:p w14:paraId="169B0EE8">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甲方：</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（公章）</w:t>
      </w:r>
    </w:p>
    <w:p w14:paraId="35B3CA8F">
      <w:pPr>
        <w:wordWrap w:val="0"/>
        <w:topLinePunct/>
        <w:spacing w:line="360" w:lineRule="auto"/>
        <w:ind w:firstLine="420" w:firstLineChars="200"/>
        <w:jc w:val="left"/>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法定代表人或委托代理人（签字）：</w:t>
      </w:r>
      <w:r>
        <w:rPr>
          <w:rFonts w:hint="eastAsia" w:ascii="仿宋" w:hAnsi="仿宋" w:eastAsia="仿宋" w:cs="仿宋"/>
          <w:color w:val="auto"/>
          <w:sz w:val="21"/>
          <w:szCs w:val="21"/>
          <w:highlight w:val="none"/>
          <w:u w:val="single"/>
          <w:lang w:val="en-US" w:eastAsia="zh-CN"/>
        </w:rPr>
        <w:t xml:space="preserve">           </w:t>
      </w:r>
    </w:p>
    <w:p w14:paraId="0C717281">
      <w:pPr>
        <w:wordWrap w:val="0"/>
        <w:topLinePunct/>
        <w:spacing w:line="360" w:lineRule="auto"/>
        <w:ind w:firstLine="420" w:firstLineChars="200"/>
        <w:jc w:val="left"/>
        <w:rPr>
          <w:rFonts w:hint="eastAsia" w:ascii="仿宋" w:hAnsi="仿宋" w:eastAsia="仿宋" w:cs="仿宋"/>
          <w:color w:val="auto"/>
          <w:sz w:val="21"/>
          <w:szCs w:val="21"/>
          <w:highlight w:val="none"/>
        </w:rPr>
      </w:pPr>
    </w:p>
    <w:p w14:paraId="312E948B">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乙方：</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（公章）</w:t>
      </w:r>
    </w:p>
    <w:p w14:paraId="61F02C0E">
      <w:pPr>
        <w:wordWrap w:val="0"/>
        <w:topLinePunct/>
        <w:spacing w:line="360" w:lineRule="auto"/>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法定代表人或委托代理人（签字）：</w:t>
      </w:r>
      <w:r>
        <w:rPr>
          <w:rFonts w:hint="eastAsia" w:ascii="仿宋" w:hAnsi="仿宋" w:eastAsia="仿宋" w:cs="仿宋"/>
          <w:color w:val="auto"/>
          <w:sz w:val="21"/>
          <w:szCs w:val="21"/>
          <w:highlight w:val="none"/>
          <w:u w:val="single"/>
          <w:lang w:val="en-US" w:eastAsia="zh-CN"/>
        </w:rPr>
        <w:t xml:space="preserve">           </w:t>
      </w:r>
    </w:p>
    <w:p w14:paraId="1ACE0011">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24"/>
          <w:szCs w:val="24"/>
          <w:highlight w:val="none"/>
        </w:rPr>
        <w:sectPr>
          <w:pgSz w:w="11906" w:h="16838"/>
          <w:pgMar w:top="1134" w:right="1134" w:bottom="1134" w:left="1134" w:header="340" w:footer="907" w:gutter="0"/>
          <w:pgBorders>
            <w:top w:val="none" w:sz="0" w:space="0"/>
            <w:left w:val="none" w:sz="0" w:space="0"/>
            <w:bottom w:val="none" w:sz="0" w:space="0"/>
            <w:right w:val="none" w:sz="0" w:space="0"/>
          </w:pgBorders>
          <w:pgNumType w:fmt="decimal"/>
          <w:cols w:space="720" w:num="1"/>
          <w:titlePg/>
          <w:rtlGutter w:val="0"/>
          <w:docGrid w:linePitch="299" w:charSpace="0"/>
        </w:sectPr>
      </w:pPr>
      <w:r>
        <w:rPr>
          <w:rFonts w:hint="eastAsia" w:ascii="仿宋" w:hAnsi="仿宋" w:eastAsia="仿宋" w:cs="仿宋"/>
          <w:color w:val="auto"/>
          <w:sz w:val="21"/>
          <w:szCs w:val="21"/>
          <w:highlight w:val="none"/>
        </w:rPr>
        <w:t>日期：202</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年  月   日</w:t>
      </w:r>
    </w:p>
    <w:p w14:paraId="2B6827C7">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b w:val="0"/>
          <w:bCs/>
          <w:color w:val="auto"/>
          <w:highlight w:val="none"/>
        </w:rPr>
      </w:pPr>
      <w:r>
        <w:rPr>
          <w:rFonts w:hint="eastAsia" w:ascii="仿宋" w:hAnsi="仿宋" w:eastAsia="仿宋" w:cs="仿宋"/>
          <w:b w:val="0"/>
          <w:bCs/>
          <w:color w:val="auto"/>
          <w:highlight w:val="none"/>
        </w:rPr>
        <w:t>附件：</w:t>
      </w:r>
    </w:p>
    <w:tbl>
      <w:tblPr>
        <w:tblStyle w:val="67"/>
        <w:tblW w:w="14080" w:type="dxa"/>
        <w:jc w:val="center"/>
        <w:tblLayout w:type="fixed"/>
        <w:tblCellMar>
          <w:top w:w="0" w:type="dxa"/>
          <w:left w:w="0" w:type="dxa"/>
          <w:bottom w:w="0" w:type="dxa"/>
          <w:right w:w="0" w:type="dxa"/>
        </w:tblCellMar>
      </w:tblPr>
      <w:tblGrid>
        <w:gridCol w:w="4620"/>
        <w:gridCol w:w="4840"/>
        <w:gridCol w:w="1280"/>
        <w:gridCol w:w="1600"/>
        <w:gridCol w:w="1740"/>
      </w:tblGrid>
      <w:tr w14:paraId="03E5E598">
        <w:tblPrEx>
          <w:tblCellMar>
            <w:top w:w="0" w:type="dxa"/>
            <w:left w:w="0" w:type="dxa"/>
            <w:bottom w:w="0" w:type="dxa"/>
            <w:right w:w="0" w:type="dxa"/>
          </w:tblCellMar>
        </w:tblPrEx>
        <w:trPr>
          <w:trHeight w:val="495" w:hRule="atLeast"/>
          <w:jc w:val="center"/>
        </w:trPr>
        <w:tc>
          <w:tcPr>
            <w:tcW w:w="14080" w:type="dxa"/>
            <w:gridSpan w:val="5"/>
            <w:tcBorders>
              <w:top w:val="nil"/>
              <w:left w:val="nil"/>
              <w:bottom w:val="nil"/>
              <w:right w:val="nil"/>
            </w:tcBorders>
            <w:vAlign w:val="center"/>
          </w:tcPr>
          <w:p w14:paraId="2DA753F0">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bCs w:val="0"/>
                <w:color w:val="auto"/>
                <w:kern w:val="0"/>
                <w:sz w:val="48"/>
                <w:szCs w:val="48"/>
                <w:highlight w:val="none"/>
              </w:rPr>
            </w:pPr>
            <w:r>
              <w:rPr>
                <w:rFonts w:hint="eastAsia" w:ascii="仿宋" w:hAnsi="仿宋" w:eastAsia="仿宋" w:cs="仿宋"/>
                <w:b/>
                <w:bCs w:val="0"/>
                <w:color w:val="auto"/>
                <w:kern w:val="0"/>
                <w:sz w:val="48"/>
                <w:szCs w:val="48"/>
                <w:highlight w:val="none"/>
              </w:rPr>
              <w:t>政 府 采 购 项 目 验 收 单</w:t>
            </w:r>
          </w:p>
        </w:tc>
      </w:tr>
      <w:tr w14:paraId="6D315DDC">
        <w:tblPrEx>
          <w:tblCellMar>
            <w:top w:w="0" w:type="dxa"/>
            <w:left w:w="0" w:type="dxa"/>
            <w:bottom w:w="0" w:type="dxa"/>
            <w:right w:w="0" w:type="dxa"/>
          </w:tblCellMar>
        </w:tblPrEx>
        <w:trPr>
          <w:trHeight w:val="570" w:hRule="atLeast"/>
          <w:jc w:val="center"/>
        </w:trPr>
        <w:tc>
          <w:tcPr>
            <w:tcW w:w="14080" w:type="dxa"/>
            <w:gridSpan w:val="5"/>
            <w:tcBorders>
              <w:top w:val="nil"/>
              <w:left w:val="nil"/>
              <w:bottom w:val="nil"/>
              <w:right w:val="nil"/>
            </w:tcBorders>
            <w:vAlign w:val="center"/>
          </w:tcPr>
          <w:p w14:paraId="7B7FF9A4">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仿宋" w:hAnsi="仿宋" w:eastAsia="仿宋" w:cs="仿宋"/>
                <w:b w:val="0"/>
                <w:bCs/>
                <w:color w:val="auto"/>
                <w:kern w:val="0"/>
                <w:sz w:val="24"/>
                <w:highlight w:val="none"/>
              </w:rPr>
            </w:pPr>
            <w:r>
              <w:rPr>
                <w:rFonts w:hint="eastAsia" w:ascii="仿宋" w:hAnsi="仿宋" w:eastAsia="仿宋" w:cs="仿宋"/>
                <w:b w:val="0"/>
                <w:bCs/>
                <w:color w:val="auto"/>
                <w:kern w:val="0"/>
                <w:sz w:val="24"/>
                <w:highlight w:val="none"/>
              </w:rPr>
              <w:t>项目名称：</w:t>
            </w:r>
            <w:r>
              <w:rPr>
                <w:rFonts w:hint="eastAsia" w:ascii="仿宋" w:hAnsi="仿宋" w:eastAsia="仿宋" w:cs="仿宋"/>
                <w:b w:val="0"/>
                <w:bCs/>
                <w:color w:val="auto"/>
                <w:kern w:val="0"/>
                <w:sz w:val="24"/>
                <w:highlight w:val="none"/>
                <w:u w:val="single"/>
              </w:rPr>
              <w:t xml:space="preserve">                          </w:t>
            </w:r>
            <w:r>
              <w:rPr>
                <w:rFonts w:hint="eastAsia" w:ascii="仿宋" w:hAnsi="仿宋" w:eastAsia="仿宋" w:cs="仿宋"/>
                <w:b w:val="0"/>
                <w:bCs/>
                <w:color w:val="auto"/>
                <w:kern w:val="0"/>
                <w:sz w:val="24"/>
                <w:highlight w:val="none"/>
              </w:rPr>
              <w:t xml:space="preserve">        </w:t>
            </w:r>
            <w:r>
              <w:rPr>
                <w:rFonts w:hint="eastAsia" w:ascii="仿宋" w:hAnsi="仿宋" w:eastAsia="仿宋" w:cs="仿宋"/>
                <w:b w:val="0"/>
                <w:bCs/>
                <w:color w:val="auto"/>
                <w:kern w:val="0"/>
                <w:sz w:val="24"/>
                <w:highlight w:val="none"/>
                <w:lang w:eastAsia="zh-CN"/>
              </w:rPr>
              <w:t>项目编号</w:t>
            </w:r>
            <w:r>
              <w:rPr>
                <w:rFonts w:hint="eastAsia" w:ascii="仿宋" w:hAnsi="仿宋" w:eastAsia="仿宋" w:cs="仿宋"/>
                <w:b w:val="0"/>
                <w:bCs/>
                <w:color w:val="auto"/>
                <w:kern w:val="0"/>
                <w:sz w:val="24"/>
                <w:highlight w:val="none"/>
              </w:rPr>
              <w:t>：</w:t>
            </w:r>
            <w:r>
              <w:rPr>
                <w:rFonts w:hint="eastAsia" w:ascii="仿宋" w:hAnsi="仿宋" w:eastAsia="仿宋" w:cs="仿宋"/>
                <w:b w:val="0"/>
                <w:bCs/>
                <w:color w:val="auto"/>
                <w:kern w:val="0"/>
                <w:sz w:val="24"/>
                <w:highlight w:val="none"/>
                <w:u w:val="single"/>
              </w:rPr>
              <w:t xml:space="preserve">             </w:t>
            </w:r>
            <w:r>
              <w:rPr>
                <w:rFonts w:hint="eastAsia" w:ascii="仿宋" w:hAnsi="仿宋" w:eastAsia="仿宋" w:cs="仿宋"/>
                <w:b w:val="0"/>
                <w:bCs/>
                <w:color w:val="auto"/>
                <w:kern w:val="0"/>
                <w:sz w:val="24"/>
                <w:highlight w:val="none"/>
              </w:rPr>
              <w:t xml:space="preserve">     合同编号：</w:t>
            </w:r>
            <w:r>
              <w:rPr>
                <w:rFonts w:hint="eastAsia" w:ascii="仿宋" w:hAnsi="仿宋" w:eastAsia="仿宋" w:cs="仿宋"/>
                <w:b w:val="0"/>
                <w:bCs/>
                <w:color w:val="auto"/>
                <w:kern w:val="0"/>
                <w:sz w:val="24"/>
                <w:highlight w:val="none"/>
                <w:u w:val="single"/>
              </w:rPr>
              <w:t xml:space="preserve">                    </w:t>
            </w:r>
            <w:r>
              <w:rPr>
                <w:rFonts w:hint="eastAsia" w:ascii="仿宋" w:hAnsi="仿宋" w:eastAsia="仿宋" w:cs="仿宋"/>
                <w:b w:val="0"/>
                <w:bCs/>
                <w:color w:val="auto"/>
                <w:kern w:val="0"/>
                <w:sz w:val="24"/>
                <w:highlight w:val="none"/>
              </w:rPr>
              <w:t xml:space="preserve"> </w:t>
            </w:r>
          </w:p>
        </w:tc>
      </w:tr>
      <w:tr w14:paraId="36F8B6C0">
        <w:tblPrEx>
          <w:tblCellMar>
            <w:top w:w="0" w:type="dxa"/>
            <w:left w:w="0" w:type="dxa"/>
            <w:bottom w:w="0" w:type="dxa"/>
            <w:right w:w="0" w:type="dxa"/>
          </w:tblCellMar>
        </w:tblPrEx>
        <w:trPr>
          <w:trHeight w:val="297" w:hRule="atLeast"/>
          <w:jc w:val="center"/>
        </w:trPr>
        <w:tc>
          <w:tcPr>
            <w:tcW w:w="14080" w:type="dxa"/>
            <w:gridSpan w:val="5"/>
            <w:tcBorders>
              <w:top w:val="nil"/>
              <w:left w:val="nil"/>
              <w:bottom w:val="nil"/>
              <w:right w:val="nil"/>
            </w:tcBorders>
            <w:vAlign w:val="center"/>
          </w:tcPr>
          <w:p w14:paraId="380B2593">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仿宋" w:hAnsi="仿宋" w:eastAsia="仿宋" w:cs="仿宋"/>
                <w:b w:val="0"/>
                <w:bCs/>
                <w:color w:val="auto"/>
                <w:kern w:val="0"/>
                <w:sz w:val="24"/>
                <w:highlight w:val="none"/>
              </w:rPr>
            </w:pPr>
            <w:r>
              <w:rPr>
                <w:rFonts w:hint="eastAsia" w:ascii="仿宋" w:hAnsi="仿宋" w:eastAsia="仿宋" w:cs="仿宋"/>
                <w:b w:val="0"/>
                <w:bCs/>
                <w:color w:val="auto"/>
                <w:kern w:val="0"/>
                <w:sz w:val="24"/>
                <w:highlight w:val="none"/>
              </w:rPr>
              <w:t>以下项目已采购到位并验收合格，项目验收时提供。</w:t>
            </w:r>
          </w:p>
        </w:tc>
      </w:tr>
      <w:tr w14:paraId="2438472A">
        <w:tblPrEx>
          <w:tblCellMar>
            <w:top w:w="0" w:type="dxa"/>
            <w:left w:w="0" w:type="dxa"/>
            <w:bottom w:w="0" w:type="dxa"/>
            <w:right w:w="0" w:type="dxa"/>
          </w:tblCellMar>
        </w:tblPrEx>
        <w:trPr>
          <w:trHeight w:val="90" w:hRule="atLeast"/>
          <w:jc w:val="center"/>
        </w:trPr>
        <w:tc>
          <w:tcPr>
            <w:tcW w:w="4620" w:type="dxa"/>
            <w:tcBorders>
              <w:top w:val="single" w:color="auto" w:sz="4" w:space="0"/>
              <w:left w:val="single" w:color="auto" w:sz="4" w:space="0"/>
              <w:bottom w:val="nil"/>
              <w:right w:val="single" w:color="auto" w:sz="4" w:space="0"/>
            </w:tcBorders>
            <w:vAlign w:val="center"/>
          </w:tcPr>
          <w:p w14:paraId="3F752F6B">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r>
              <w:rPr>
                <w:rFonts w:hint="eastAsia" w:ascii="仿宋" w:hAnsi="仿宋" w:eastAsia="仿宋" w:cs="仿宋"/>
                <w:b w:val="0"/>
                <w:bCs/>
                <w:color w:val="auto"/>
                <w:kern w:val="0"/>
                <w:sz w:val="24"/>
                <w:highlight w:val="none"/>
              </w:rPr>
              <w:t>采购货物名称</w:t>
            </w:r>
          </w:p>
        </w:tc>
        <w:tc>
          <w:tcPr>
            <w:tcW w:w="4840" w:type="dxa"/>
            <w:tcBorders>
              <w:top w:val="single" w:color="auto" w:sz="4" w:space="0"/>
              <w:left w:val="nil"/>
              <w:bottom w:val="nil"/>
              <w:right w:val="single" w:color="auto" w:sz="4" w:space="0"/>
            </w:tcBorders>
            <w:vAlign w:val="center"/>
          </w:tcPr>
          <w:p w14:paraId="644D0C1A">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r>
              <w:rPr>
                <w:rFonts w:hint="eastAsia" w:ascii="仿宋" w:hAnsi="仿宋" w:eastAsia="仿宋" w:cs="仿宋"/>
                <w:b w:val="0"/>
                <w:bCs/>
                <w:color w:val="auto"/>
                <w:kern w:val="0"/>
                <w:sz w:val="24"/>
                <w:highlight w:val="none"/>
              </w:rPr>
              <w:t>规格、型号</w:t>
            </w:r>
          </w:p>
        </w:tc>
        <w:tc>
          <w:tcPr>
            <w:tcW w:w="1280" w:type="dxa"/>
            <w:tcBorders>
              <w:top w:val="single" w:color="auto" w:sz="4" w:space="0"/>
              <w:left w:val="nil"/>
              <w:bottom w:val="nil"/>
              <w:right w:val="single" w:color="auto" w:sz="4" w:space="0"/>
            </w:tcBorders>
            <w:vAlign w:val="center"/>
          </w:tcPr>
          <w:p w14:paraId="48658532">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r>
              <w:rPr>
                <w:rFonts w:hint="eastAsia" w:ascii="仿宋" w:hAnsi="仿宋" w:eastAsia="仿宋" w:cs="仿宋"/>
                <w:b w:val="0"/>
                <w:bCs/>
                <w:color w:val="auto"/>
                <w:kern w:val="0"/>
                <w:sz w:val="24"/>
                <w:highlight w:val="none"/>
              </w:rPr>
              <w:t>数量</w:t>
            </w:r>
          </w:p>
        </w:tc>
        <w:tc>
          <w:tcPr>
            <w:tcW w:w="1600" w:type="dxa"/>
            <w:tcBorders>
              <w:top w:val="single" w:color="auto" w:sz="4" w:space="0"/>
              <w:left w:val="nil"/>
              <w:bottom w:val="nil"/>
              <w:right w:val="single" w:color="auto" w:sz="4" w:space="0"/>
            </w:tcBorders>
            <w:vAlign w:val="center"/>
          </w:tcPr>
          <w:p w14:paraId="7979E4A7">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r>
              <w:rPr>
                <w:rFonts w:hint="eastAsia" w:ascii="仿宋" w:hAnsi="仿宋" w:eastAsia="仿宋" w:cs="仿宋"/>
                <w:b w:val="0"/>
                <w:bCs/>
                <w:color w:val="auto"/>
                <w:kern w:val="0"/>
                <w:sz w:val="24"/>
                <w:highlight w:val="none"/>
              </w:rPr>
              <w:t>核定总价</w:t>
            </w:r>
          </w:p>
        </w:tc>
        <w:tc>
          <w:tcPr>
            <w:tcW w:w="1740" w:type="dxa"/>
            <w:tcBorders>
              <w:top w:val="single" w:color="auto" w:sz="4" w:space="0"/>
              <w:left w:val="nil"/>
              <w:bottom w:val="single" w:color="auto" w:sz="4" w:space="0"/>
              <w:right w:val="single" w:color="auto" w:sz="4" w:space="0"/>
            </w:tcBorders>
            <w:vAlign w:val="center"/>
          </w:tcPr>
          <w:p w14:paraId="2F476ECC">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lang w:eastAsia="zh-CN"/>
              </w:rPr>
            </w:pPr>
            <w:r>
              <w:rPr>
                <w:rFonts w:hint="eastAsia" w:ascii="仿宋" w:hAnsi="仿宋" w:eastAsia="仿宋" w:cs="仿宋"/>
                <w:b w:val="0"/>
                <w:bCs/>
                <w:color w:val="auto"/>
                <w:kern w:val="0"/>
                <w:sz w:val="24"/>
                <w:highlight w:val="none"/>
                <w:lang w:eastAsia="zh-CN"/>
              </w:rPr>
              <w:t>采购人</w:t>
            </w:r>
          </w:p>
          <w:p w14:paraId="5C90167D">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r>
              <w:rPr>
                <w:rFonts w:hint="eastAsia" w:ascii="仿宋" w:hAnsi="仿宋" w:eastAsia="仿宋" w:cs="仿宋"/>
                <w:b w:val="0"/>
                <w:bCs/>
                <w:color w:val="auto"/>
                <w:kern w:val="0"/>
                <w:sz w:val="24"/>
                <w:highlight w:val="none"/>
              </w:rPr>
              <w:t>验收意见</w:t>
            </w:r>
          </w:p>
        </w:tc>
      </w:tr>
      <w:tr w14:paraId="6284C831">
        <w:tblPrEx>
          <w:tblCellMar>
            <w:top w:w="0" w:type="dxa"/>
            <w:left w:w="0" w:type="dxa"/>
            <w:bottom w:w="0" w:type="dxa"/>
            <w:right w:w="0" w:type="dxa"/>
          </w:tblCellMar>
        </w:tblPrEx>
        <w:trPr>
          <w:trHeight w:val="90" w:hRule="atLeast"/>
          <w:jc w:val="center"/>
        </w:trPr>
        <w:tc>
          <w:tcPr>
            <w:tcW w:w="4620" w:type="dxa"/>
            <w:tcBorders>
              <w:top w:val="single" w:color="auto" w:sz="4" w:space="0"/>
              <w:left w:val="single" w:color="auto" w:sz="4" w:space="0"/>
              <w:bottom w:val="single" w:color="auto" w:sz="4" w:space="0"/>
              <w:right w:val="single" w:color="auto" w:sz="4" w:space="0"/>
            </w:tcBorders>
            <w:vAlign w:val="center"/>
          </w:tcPr>
          <w:p w14:paraId="578CD60E">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r>
              <w:rPr>
                <w:rFonts w:hint="eastAsia" w:ascii="仿宋" w:hAnsi="仿宋" w:eastAsia="仿宋" w:cs="仿宋"/>
                <w:b w:val="0"/>
                <w:bCs/>
                <w:color w:val="auto"/>
                <w:kern w:val="0"/>
                <w:sz w:val="24"/>
                <w:highlight w:val="none"/>
              </w:rPr>
              <w:t>　</w:t>
            </w:r>
          </w:p>
        </w:tc>
        <w:tc>
          <w:tcPr>
            <w:tcW w:w="4840" w:type="dxa"/>
            <w:tcBorders>
              <w:top w:val="single" w:color="auto" w:sz="4" w:space="0"/>
              <w:left w:val="nil"/>
              <w:bottom w:val="single" w:color="auto" w:sz="4" w:space="0"/>
              <w:right w:val="single" w:color="auto" w:sz="4" w:space="0"/>
            </w:tcBorders>
            <w:vAlign w:val="center"/>
          </w:tcPr>
          <w:p w14:paraId="301E0231">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r>
              <w:rPr>
                <w:rFonts w:hint="eastAsia" w:ascii="仿宋" w:hAnsi="仿宋" w:eastAsia="仿宋" w:cs="仿宋"/>
                <w:b w:val="0"/>
                <w:bCs/>
                <w:color w:val="auto"/>
                <w:kern w:val="0"/>
                <w:sz w:val="24"/>
                <w:highlight w:val="none"/>
              </w:rPr>
              <w:t>　</w:t>
            </w:r>
          </w:p>
        </w:tc>
        <w:tc>
          <w:tcPr>
            <w:tcW w:w="1280" w:type="dxa"/>
            <w:tcBorders>
              <w:top w:val="single" w:color="auto" w:sz="4" w:space="0"/>
              <w:left w:val="nil"/>
              <w:bottom w:val="single" w:color="auto" w:sz="4" w:space="0"/>
              <w:right w:val="single" w:color="auto" w:sz="4" w:space="0"/>
            </w:tcBorders>
            <w:vAlign w:val="center"/>
          </w:tcPr>
          <w:p w14:paraId="3131C969">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r>
              <w:rPr>
                <w:rFonts w:hint="eastAsia" w:ascii="仿宋" w:hAnsi="仿宋" w:eastAsia="仿宋" w:cs="仿宋"/>
                <w:b w:val="0"/>
                <w:bCs/>
                <w:color w:val="auto"/>
                <w:kern w:val="0"/>
                <w:sz w:val="24"/>
                <w:highlight w:val="none"/>
              </w:rPr>
              <w:t>　</w:t>
            </w:r>
          </w:p>
        </w:tc>
        <w:tc>
          <w:tcPr>
            <w:tcW w:w="1600" w:type="dxa"/>
            <w:tcBorders>
              <w:top w:val="single" w:color="auto" w:sz="4" w:space="0"/>
              <w:left w:val="nil"/>
              <w:bottom w:val="single" w:color="auto" w:sz="4" w:space="0"/>
              <w:right w:val="single" w:color="auto" w:sz="4" w:space="0"/>
            </w:tcBorders>
            <w:vAlign w:val="center"/>
          </w:tcPr>
          <w:p w14:paraId="19668321">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r>
              <w:rPr>
                <w:rFonts w:hint="eastAsia" w:ascii="仿宋" w:hAnsi="仿宋" w:eastAsia="仿宋" w:cs="仿宋"/>
                <w:b w:val="0"/>
                <w:bCs/>
                <w:color w:val="auto"/>
                <w:kern w:val="0"/>
                <w:sz w:val="24"/>
                <w:highlight w:val="none"/>
              </w:rPr>
              <w:t>　</w:t>
            </w:r>
          </w:p>
        </w:tc>
        <w:tc>
          <w:tcPr>
            <w:tcW w:w="1740" w:type="dxa"/>
            <w:tcBorders>
              <w:top w:val="nil"/>
              <w:left w:val="nil"/>
              <w:bottom w:val="single" w:color="auto" w:sz="4" w:space="0"/>
              <w:right w:val="single" w:color="auto" w:sz="4" w:space="0"/>
            </w:tcBorders>
            <w:vAlign w:val="bottom"/>
          </w:tcPr>
          <w:p w14:paraId="2ACDA40E">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仿宋" w:hAnsi="仿宋" w:eastAsia="仿宋" w:cs="仿宋"/>
                <w:b w:val="0"/>
                <w:bCs/>
                <w:color w:val="auto"/>
                <w:kern w:val="0"/>
                <w:sz w:val="24"/>
                <w:highlight w:val="none"/>
              </w:rPr>
            </w:pPr>
            <w:r>
              <w:rPr>
                <w:rFonts w:hint="eastAsia" w:ascii="仿宋" w:hAnsi="仿宋" w:eastAsia="仿宋" w:cs="仿宋"/>
                <w:b w:val="0"/>
                <w:bCs/>
                <w:color w:val="auto"/>
                <w:kern w:val="0"/>
                <w:sz w:val="24"/>
                <w:highlight w:val="none"/>
              </w:rPr>
              <w:t>　</w:t>
            </w:r>
          </w:p>
        </w:tc>
      </w:tr>
      <w:tr w14:paraId="1C47094A">
        <w:tblPrEx>
          <w:tblCellMar>
            <w:top w:w="0" w:type="dxa"/>
            <w:left w:w="0" w:type="dxa"/>
            <w:bottom w:w="0" w:type="dxa"/>
            <w:right w:w="0" w:type="dxa"/>
          </w:tblCellMar>
        </w:tblPrEx>
        <w:trPr>
          <w:trHeight w:val="228" w:hRule="atLeast"/>
          <w:jc w:val="center"/>
        </w:trPr>
        <w:tc>
          <w:tcPr>
            <w:tcW w:w="4620" w:type="dxa"/>
            <w:tcBorders>
              <w:top w:val="single" w:color="auto" w:sz="4" w:space="0"/>
              <w:left w:val="single" w:color="auto" w:sz="4" w:space="0"/>
              <w:bottom w:val="single" w:color="auto" w:sz="4" w:space="0"/>
              <w:right w:val="single" w:color="auto" w:sz="4" w:space="0"/>
            </w:tcBorders>
            <w:vAlign w:val="center"/>
          </w:tcPr>
          <w:p w14:paraId="28C33B25">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p>
        </w:tc>
        <w:tc>
          <w:tcPr>
            <w:tcW w:w="4840" w:type="dxa"/>
            <w:tcBorders>
              <w:top w:val="single" w:color="auto" w:sz="4" w:space="0"/>
              <w:left w:val="nil"/>
              <w:bottom w:val="single" w:color="auto" w:sz="4" w:space="0"/>
              <w:right w:val="single" w:color="auto" w:sz="4" w:space="0"/>
            </w:tcBorders>
            <w:vAlign w:val="center"/>
          </w:tcPr>
          <w:p w14:paraId="69466FF3">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p>
        </w:tc>
        <w:tc>
          <w:tcPr>
            <w:tcW w:w="1280" w:type="dxa"/>
            <w:tcBorders>
              <w:top w:val="single" w:color="auto" w:sz="4" w:space="0"/>
              <w:left w:val="nil"/>
              <w:bottom w:val="single" w:color="auto" w:sz="4" w:space="0"/>
              <w:right w:val="single" w:color="auto" w:sz="4" w:space="0"/>
            </w:tcBorders>
            <w:vAlign w:val="center"/>
          </w:tcPr>
          <w:p w14:paraId="02F9186E">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p>
        </w:tc>
        <w:tc>
          <w:tcPr>
            <w:tcW w:w="1600" w:type="dxa"/>
            <w:tcBorders>
              <w:top w:val="single" w:color="auto" w:sz="4" w:space="0"/>
              <w:left w:val="nil"/>
              <w:bottom w:val="single" w:color="auto" w:sz="4" w:space="0"/>
              <w:right w:val="single" w:color="auto" w:sz="4" w:space="0"/>
            </w:tcBorders>
            <w:vAlign w:val="center"/>
          </w:tcPr>
          <w:p w14:paraId="7243E323">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p>
        </w:tc>
        <w:tc>
          <w:tcPr>
            <w:tcW w:w="1740" w:type="dxa"/>
            <w:tcBorders>
              <w:top w:val="nil"/>
              <w:left w:val="nil"/>
              <w:bottom w:val="single" w:color="auto" w:sz="4" w:space="0"/>
              <w:right w:val="single" w:color="auto" w:sz="4" w:space="0"/>
            </w:tcBorders>
            <w:vAlign w:val="bottom"/>
          </w:tcPr>
          <w:p w14:paraId="775775FC">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仿宋" w:hAnsi="仿宋" w:eastAsia="仿宋" w:cs="仿宋"/>
                <w:b w:val="0"/>
                <w:bCs/>
                <w:color w:val="auto"/>
                <w:kern w:val="0"/>
                <w:sz w:val="24"/>
                <w:highlight w:val="none"/>
              </w:rPr>
            </w:pPr>
          </w:p>
        </w:tc>
      </w:tr>
      <w:tr w14:paraId="52CC0161">
        <w:tblPrEx>
          <w:tblCellMar>
            <w:top w:w="0" w:type="dxa"/>
            <w:left w:w="0" w:type="dxa"/>
            <w:bottom w:w="0" w:type="dxa"/>
            <w:right w:w="0" w:type="dxa"/>
          </w:tblCellMar>
        </w:tblPrEx>
        <w:trPr>
          <w:trHeight w:val="91" w:hRule="atLeast"/>
          <w:jc w:val="center"/>
        </w:trPr>
        <w:tc>
          <w:tcPr>
            <w:tcW w:w="4620" w:type="dxa"/>
            <w:tcBorders>
              <w:top w:val="single" w:color="auto" w:sz="4" w:space="0"/>
              <w:left w:val="single" w:color="auto" w:sz="4" w:space="0"/>
              <w:bottom w:val="single" w:color="auto" w:sz="4" w:space="0"/>
              <w:right w:val="single" w:color="auto" w:sz="4" w:space="0"/>
            </w:tcBorders>
            <w:vAlign w:val="center"/>
          </w:tcPr>
          <w:p w14:paraId="2382E7D6">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p>
        </w:tc>
        <w:tc>
          <w:tcPr>
            <w:tcW w:w="4840" w:type="dxa"/>
            <w:tcBorders>
              <w:top w:val="single" w:color="auto" w:sz="4" w:space="0"/>
              <w:left w:val="nil"/>
              <w:bottom w:val="single" w:color="auto" w:sz="4" w:space="0"/>
              <w:right w:val="single" w:color="auto" w:sz="4" w:space="0"/>
            </w:tcBorders>
            <w:vAlign w:val="center"/>
          </w:tcPr>
          <w:p w14:paraId="2AC26F71">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p>
        </w:tc>
        <w:tc>
          <w:tcPr>
            <w:tcW w:w="1280" w:type="dxa"/>
            <w:tcBorders>
              <w:top w:val="single" w:color="auto" w:sz="4" w:space="0"/>
              <w:left w:val="nil"/>
              <w:bottom w:val="single" w:color="auto" w:sz="4" w:space="0"/>
              <w:right w:val="single" w:color="auto" w:sz="4" w:space="0"/>
            </w:tcBorders>
            <w:vAlign w:val="center"/>
          </w:tcPr>
          <w:p w14:paraId="269D2DB8">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p>
        </w:tc>
        <w:tc>
          <w:tcPr>
            <w:tcW w:w="1600" w:type="dxa"/>
            <w:tcBorders>
              <w:top w:val="single" w:color="auto" w:sz="4" w:space="0"/>
              <w:left w:val="nil"/>
              <w:bottom w:val="single" w:color="auto" w:sz="4" w:space="0"/>
              <w:right w:val="single" w:color="auto" w:sz="4" w:space="0"/>
            </w:tcBorders>
            <w:vAlign w:val="center"/>
          </w:tcPr>
          <w:p w14:paraId="0105C7FC">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p>
        </w:tc>
        <w:tc>
          <w:tcPr>
            <w:tcW w:w="1740" w:type="dxa"/>
            <w:tcBorders>
              <w:top w:val="nil"/>
              <w:left w:val="nil"/>
              <w:bottom w:val="single" w:color="auto" w:sz="4" w:space="0"/>
              <w:right w:val="single" w:color="auto" w:sz="4" w:space="0"/>
            </w:tcBorders>
            <w:vAlign w:val="bottom"/>
          </w:tcPr>
          <w:p w14:paraId="2E5087DF">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仿宋" w:hAnsi="仿宋" w:eastAsia="仿宋" w:cs="仿宋"/>
                <w:b w:val="0"/>
                <w:bCs/>
                <w:color w:val="auto"/>
                <w:kern w:val="0"/>
                <w:sz w:val="24"/>
                <w:highlight w:val="none"/>
              </w:rPr>
            </w:pPr>
          </w:p>
        </w:tc>
      </w:tr>
      <w:tr w14:paraId="20083BF2">
        <w:tblPrEx>
          <w:tblCellMar>
            <w:top w:w="0" w:type="dxa"/>
            <w:left w:w="0" w:type="dxa"/>
            <w:bottom w:w="0" w:type="dxa"/>
            <w:right w:w="0" w:type="dxa"/>
          </w:tblCellMar>
        </w:tblPrEx>
        <w:trPr>
          <w:trHeight w:val="91" w:hRule="atLeast"/>
          <w:jc w:val="center"/>
        </w:trPr>
        <w:tc>
          <w:tcPr>
            <w:tcW w:w="4620" w:type="dxa"/>
            <w:tcBorders>
              <w:top w:val="single" w:color="auto" w:sz="4" w:space="0"/>
              <w:left w:val="single" w:color="auto" w:sz="4" w:space="0"/>
              <w:bottom w:val="single" w:color="auto" w:sz="4" w:space="0"/>
              <w:right w:val="single" w:color="auto" w:sz="4" w:space="0"/>
            </w:tcBorders>
            <w:vAlign w:val="center"/>
          </w:tcPr>
          <w:p w14:paraId="18E4FAB3">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p>
        </w:tc>
        <w:tc>
          <w:tcPr>
            <w:tcW w:w="4840" w:type="dxa"/>
            <w:tcBorders>
              <w:top w:val="single" w:color="auto" w:sz="4" w:space="0"/>
              <w:left w:val="nil"/>
              <w:bottom w:val="single" w:color="auto" w:sz="4" w:space="0"/>
              <w:right w:val="single" w:color="auto" w:sz="4" w:space="0"/>
            </w:tcBorders>
            <w:vAlign w:val="center"/>
          </w:tcPr>
          <w:p w14:paraId="3DB344C6">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p>
        </w:tc>
        <w:tc>
          <w:tcPr>
            <w:tcW w:w="1280" w:type="dxa"/>
            <w:tcBorders>
              <w:top w:val="single" w:color="auto" w:sz="4" w:space="0"/>
              <w:left w:val="nil"/>
              <w:bottom w:val="single" w:color="auto" w:sz="4" w:space="0"/>
              <w:right w:val="single" w:color="auto" w:sz="4" w:space="0"/>
            </w:tcBorders>
            <w:vAlign w:val="center"/>
          </w:tcPr>
          <w:p w14:paraId="46C12F17">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p>
        </w:tc>
        <w:tc>
          <w:tcPr>
            <w:tcW w:w="1600" w:type="dxa"/>
            <w:tcBorders>
              <w:top w:val="single" w:color="auto" w:sz="4" w:space="0"/>
              <w:left w:val="nil"/>
              <w:bottom w:val="single" w:color="auto" w:sz="4" w:space="0"/>
              <w:right w:val="single" w:color="auto" w:sz="4" w:space="0"/>
            </w:tcBorders>
            <w:vAlign w:val="center"/>
          </w:tcPr>
          <w:p w14:paraId="20FFB646">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p>
        </w:tc>
        <w:tc>
          <w:tcPr>
            <w:tcW w:w="1740" w:type="dxa"/>
            <w:tcBorders>
              <w:top w:val="nil"/>
              <w:left w:val="nil"/>
              <w:bottom w:val="single" w:color="auto" w:sz="4" w:space="0"/>
              <w:right w:val="single" w:color="auto" w:sz="4" w:space="0"/>
            </w:tcBorders>
            <w:vAlign w:val="bottom"/>
          </w:tcPr>
          <w:p w14:paraId="57B43974">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仿宋" w:hAnsi="仿宋" w:eastAsia="仿宋" w:cs="仿宋"/>
                <w:b w:val="0"/>
                <w:bCs/>
                <w:color w:val="auto"/>
                <w:kern w:val="0"/>
                <w:sz w:val="24"/>
                <w:highlight w:val="none"/>
              </w:rPr>
            </w:pPr>
          </w:p>
        </w:tc>
      </w:tr>
      <w:tr w14:paraId="54249CB8">
        <w:tblPrEx>
          <w:tblCellMar>
            <w:top w:w="0" w:type="dxa"/>
            <w:left w:w="0" w:type="dxa"/>
            <w:bottom w:w="0" w:type="dxa"/>
            <w:right w:w="0" w:type="dxa"/>
          </w:tblCellMar>
        </w:tblPrEx>
        <w:trPr>
          <w:trHeight w:val="91" w:hRule="atLeast"/>
          <w:jc w:val="center"/>
        </w:trPr>
        <w:tc>
          <w:tcPr>
            <w:tcW w:w="4620" w:type="dxa"/>
            <w:tcBorders>
              <w:top w:val="single" w:color="auto" w:sz="4" w:space="0"/>
              <w:left w:val="single" w:color="auto" w:sz="4" w:space="0"/>
              <w:bottom w:val="single" w:color="auto" w:sz="4" w:space="0"/>
              <w:right w:val="single" w:color="auto" w:sz="4" w:space="0"/>
            </w:tcBorders>
            <w:vAlign w:val="center"/>
          </w:tcPr>
          <w:p w14:paraId="2CA15810">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p>
        </w:tc>
        <w:tc>
          <w:tcPr>
            <w:tcW w:w="4840" w:type="dxa"/>
            <w:tcBorders>
              <w:top w:val="single" w:color="auto" w:sz="4" w:space="0"/>
              <w:left w:val="nil"/>
              <w:bottom w:val="single" w:color="auto" w:sz="4" w:space="0"/>
              <w:right w:val="single" w:color="auto" w:sz="4" w:space="0"/>
            </w:tcBorders>
            <w:vAlign w:val="center"/>
          </w:tcPr>
          <w:p w14:paraId="7CB98962">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p>
        </w:tc>
        <w:tc>
          <w:tcPr>
            <w:tcW w:w="1280" w:type="dxa"/>
            <w:tcBorders>
              <w:top w:val="single" w:color="auto" w:sz="4" w:space="0"/>
              <w:left w:val="nil"/>
              <w:bottom w:val="single" w:color="auto" w:sz="4" w:space="0"/>
              <w:right w:val="single" w:color="auto" w:sz="4" w:space="0"/>
            </w:tcBorders>
            <w:vAlign w:val="center"/>
          </w:tcPr>
          <w:p w14:paraId="195F3F5A">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p>
        </w:tc>
        <w:tc>
          <w:tcPr>
            <w:tcW w:w="1600" w:type="dxa"/>
            <w:tcBorders>
              <w:top w:val="single" w:color="auto" w:sz="4" w:space="0"/>
              <w:left w:val="nil"/>
              <w:bottom w:val="single" w:color="auto" w:sz="4" w:space="0"/>
              <w:right w:val="single" w:color="auto" w:sz="4" w:space="0"/>
            </w:tcBorders>
            <w:vAlign w:val="center"/>
          </w:tcPr>
          <w:p w14:paraId="2A4C53D8">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p>
        </w:tc>
        <w:tc>
          <w:tcPr>
            <w:tcW w:w="1740" w:type="dxa"/>
            <w:tcBorders>
              <w:top w:val="nil"/>
              <w:left w:val="nil"/>
              <w:bottom w:val="single" w:color="auto" w:sz="4" w:space="0"/>
              <w:right w:val="single" w:color="auto" w:sz="4" w:space="0"/>
            </w:tcBorders>
            <w:vAlign w:val="bottom"/>
          </w:tcPr>
          <w:p w14:paraId="38578CC9">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仿宋" w:hAnsi="仿宋" w:eastAsia="仿宋" w:cs="仿宋"/>
                <w:b w:val="0"/>
                <w:bCs/>
                <w:color w:val="auto"/>
                <w:kern w:val="0"/>
                <w:sz w:val="24"/>
                <w:highlight w:val="none"/>
              </w:rPr>
            </w:pPr>
          </w:p>
        </w:tc>
      </w:tr>
      <w:tr w14:paraId="1A0CD984">
        <w:tblPrEx>
          <w:tblCellMar>
            <w:top w:w="0" w:type="dxa"/>
            <w:left w:w="0" w:type="dxa"/>
            <w:bottom w:w="0" w:type="dxa"/>
            <w:right w:w="0" w:type="dxa"/>
          </w:tblCellMar>
        </w:tblPrEx>
        <w:trPr>
          <w:trHeight w:val="91" w:hRule="atLeast"/>
          <w:jc w:val="center"/>
        </w:trPr>
        <w:tc>
          <w:tcPr>
            <w:tcW w:w="4620" w:type="dxa"/>
            <w:tcBorders>
              <w:top w:val="single" w:color="auto" w:sz="4" w:space="0"/>
              <w:left w:val="single" w:color="auto" w:sz="4" w:space="0"/>
              <w:bottom w:val="single" w:color="auto" w:sz="4" w:space="0"/>
              <w:right w:val="single" w:color="auto" w:sz="4" w:space="0"/>
            </w:tcBorders>
            <w:vAlign w:val="center"/>
          </w:tcPr>
          <w:p w14:paraId="5A61287E">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p>
        </w:tc>
        <w:tc>
          <w:tcPr>
            <w:tcW w:w="4840" w:type="dxa"/>
            <w:tcBorders>
              <w:top w:val="single" w:color="auto" w:sz="4" w:space="0"/>
              <w:left w:val="nil"/>
              <w:bottom w:val="single" w:color="auto" w:sz="4" w:space="0"/>
              <w:right w:val="single" w:color="auto" w:sz="4" w:space="0"/>
            </w:tcBorders>
            <w:vAlign w:val="center"/>
          </w:tcPr>
          <w:p w14:paraId="21E81168">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p>
        </w:tc>
        <w:tc>
          <w:tcPr>
            <w:tcW w:w="1280" w:type="dxa"/>
            <w:tcBorders>
              <w:top w:val="single" w:color="auto" w:sz="4" w:space="0"/>
              <w:left w:val="nil"/>
              <w:bottom w:val="single" w:color="auto" w:sz="4" w:space="0"/>
              <w:right w:val="single" w:color="auto" w:sz="4" w:space="0"/>
            </w:tcBorders>
            <w:vAlign w:val="center"/>
          </w:tcPr>
          <w:p w14:paraId="3C3EA491">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p>
        </w:tc>
        <w:tc>
          <w:tcPr>
            <w:tcW w:w="1600" w:type="dxa"/>
            <w:tcBorders>
              <w:top w:val="single" w:color="auto" w:sz="4" w:space="0"/>
              <w:left w:val="nil"/>
              <w:bottom w:val="single" w:color="auto" w:sz="4" w:space="0"/>
              <w:right w:val="single" w:color="auto" w:sz="4" w:space="0"/>
            </w:tcBorders>
            <w:vAlign w:val="center"/>
          </w:tcPr>
          <w:p w14:paraId="4584DAF1">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p>
        </w:tc>
        <w:tc>
          <w:tcPr>
            <w:tcW w:w="1740" w:type="dxa"/>
            <w:tcBorders>
              <w:top w:val="nil"/>
              <w:left w:val="nil"/>
              <w:bottom w:val="single" w:color="auto" w:sz="4" w:space="0"/>
              <w:right w:val="single" w:color="auto" w:sz="4" w:space="0"/>
            </w:tcBorders>
            <w:vAlign w:val="bottom"/>
          </w:tcPr>
          <w:p w14:paraId="63D4DFE2">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仿宋" w:hAnsi="仿宋" w:eastAsia="仿宋" w:cs="仿宋"/>
                <w:b w:val="0"/>
                <w:bCs/>
                <w:color w:val="auto"/>
                <w:kern w:val="0"/>
                <w:sz w:val="24"/>
                <w:highlight w:val="none"/>
              </w:rPr>
            </w:pPr>
          </w:p>
        </w:tc>
      </w:tr>
      <w:tr w14:paraId="13404AE9">
        <w:tblPrEx>
          <w:tblCellMar>
            <w:top w:w="0" w:type="dxa"/>
            <w:left w:w="0" w:type="dxa"/>
            <w:bottom w:w="0" w:type="dxa"/>
            <w:right w:w="0" w:type="dxa"/>
          </w:tblCellMar>
        </w:tblPrEx>
        <w:trPr>
          <w:trHeight w:val="91" w:hRule="atLeast"/>
          <w:jc w:val="center"/>
        </w:trPr>
        <w:tc>
          <w:tcPr>
            <w:tcW w:w="4620" w:type="dxa"/>
            <w:tcBorders>
              <w:top w:val="single" w:color="auto" w:sz="4" w:space="0"/>
              <w:left w:val="single" w:color="auto" w:sz="4" w:space="0"/>
              <w:bottom w:val="single" w:color="auto" w:sz="4" w:space="0"/>
              <w:right w:val="single" w:color="auto" w:sz="4" w:space="0"/>
            </w:tcBorders>
            <w:vAlign w:val="center"/>
          </w:tcPr>
          <w:p w14:paraId="135A97AA">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p>
        </w:tc>
        <w:tc>
          <w:tcPr>
            <w:tcW w:w="4840" w:type="dxa"/>
            <w:tcBorders>
              <w:top w:val="single" w:color="auto" w:sz="4" w:space="0"/>
              <w:left w:val="nil"/>
              <w:bottom w:val="single" w:color="auto" w:sz="4" w:space="0"/>
              <w:right w:val="single" w:color="auto" w:sz="4" w:space="0"/>
            </w:tcBorders>
            <w:vAlign w:val="center"/>
          </w:tcPr>
          <w:p w14:paraId="722D3979">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p>
        </w:tc>
        <w:tc>
          <w:tcPr>
            <w:tcW w:w="1280" w:type="dxa"/>
            <w:tcBorders>
              <w:top w:val="single" w:color="auto" w:sz="4" w:space="0"/>
              <w:left w:val="nil"/>
              <w:bottom w:val="single" w:color="auto" w:sz="4" w:space="0"/>
              <w:right w:val="single" w:color="auto" w:sz="4" w:space="0"/>
            </w:tcBorders>
            <w:vAlign w:val="center"/>
          </w:tcPr>
          <w:p w14:paraId="2E4EEEFB">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p>
        </w:tc>
        <w:tc>
          <w:tcPr>
            <w:tcW w:w="1600" w:type="dxa"/>
            <w:tcBorders>
              <w:top w:val="single" w:color="auto" w:sz="4" w:space="0"/>
              <w:left w:val="nil"/>
              <w:bottom w:val="single" w:color="auto" w:sz="4" w:space="0"/>
              <w:right w:val="single" w:color="auto" w:sz="4" w:space="0"/>
            </w:tcBorders>
            <w:vAlign w:val="center"/>
          </w:tcPr>
          <w:p w14:paraId="4AFB549E">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p>
        </w:tc>
        <w:tc>
          <w:tcPr>
            <w:tcW w:w="1740" w:type="dxa"/>
            <w:tcBorders>
              <w:top w:val="nil"/>
              <w:left w:val="nil"/>
              <w:bottom w:val="single" w:color="auto" w:sz="4" w:space="0"/>
              <w:right w:val="single" w:color="auto" w:sz="4" w:space="0"/>
            </w:tcBorders>
            <w:vAlign w:val="bottom"/>
          </w:tcPr>
          <w:p w14:paraId="17504B7C">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仿宋" w:hAnsi="仿宋" w:eastAsia="仿宋" w:cs="仿宋"/>
                <w:b w:val="0"/>
                <w:bCs/>
                <w:color w:val="auto"/>
                <w:kern w:val="0"/>
                <w:sz w:val="24"/>
                <w:highlight w:val="none"/>
              </w:rPr>
            </w:pPr>
          </w:p>
        </w:tc>
      </w:tr>
      <w:tr w14:paraId="21F9EE9C">
        <w:tblPrEx>
          <w:tblCellMar>
            <w:top w:w="0" w:type="dxa"/>
            <w:left w:w="0" w:type="dxa"/>
            <w:bottom w:w="0" w:type="dxa"/>
            <w:right w:w="0" w:type="dxa"/>
          </w:tblCellMar>
        </w:tblPrEx>
        <w:trPr>
          <w:trHeight w:val="91" w:hRule="atLeast"/>
          <w:jc w:val="center"/>
        </w:trPr>
        <w:tc>
          <w:tcPr>
            <w:tcW w:w="4620" w:type="dxa"/>
            <w:tcBorders>
              <w:top w:val="single" w:color="auto" w:sz="4" w:space="0"/>
              <w:left w:val="single" w:color="auto" w:sz="4" w:space="0"/>
              <w:bottom w:val="single" w:color="auto" w:sz="4" w:space="0"/>
              <w:right w:val="single" w:color="auto" w:sz="4" w:space="0"/>
            </w:tcBorders>
            <w:vAlign w:val="center"/>
          </w:tcPr>
          <w:p w14:paraId="4696FB78">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p>
        </w:tc>
        <w:tc>
          <w:tcPr>
            <w:tcW w:w="4840" w:type="dxa"/>
            <w:tcBorders>
              <w:top w:val="single" w:color="auto" w:sz="4" w:space="0"/>
              <w:left w:val="nil"/>
              <w:bottom w:val="single" w:color="auto" w:sz="4" w:space="0"/>
              <w:right w:val="single" w:color="auto" w:sz="4" w:space="0"/>
            </w:tcBorders>
            <w:vAlign w:val="center"/>
          </w:tcPr>
          <w:p w14:paraId="617A191C">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p>
        </w:tc>
        <w:tc>
          <w:tcPr>
            <w:tcW w:w="1280" w:type="dxa"/>
            <w:tcBorders>
              <w:top w:val="single" w:color="auto" w:sz="4" w:space="0"/>
              <w:left w:val="nil"/>
              <w:bottom w:val="single" w:color="auto" w:sz="4" w:space="0"/>
              <w:right w:val="single" w:color="auto" w:sz="4" w:space="0"/>
            </w:tcBorders>
            <w:vAlign w:val="center"/>
          </w:tcPr>
          <w:p w14:paraId="572649B8">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p>
        </w:tc>
        <w:tc>
          <w:tcPr>
            <w:tcW w:w="1600" w:type="dxa"/>
            <w:tcBorders>
              <w:top w:val="single" w:color="auto" w:sz="4" w:space="0"/>
              <w:left w:val="nil"/>
              <w:bottom w:val="single" w:color="auto" w:sz="4" w:space="0"/>
              <w:right w:val="single" w:color="auto" w:sz="4" w:space="0"/>
            </w:tcBorders>
            <w:vAlign w:val="center"/>
          </w:tcPr>
          <w:p w14:paraId="3E3BF426">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p>
        </w:tc>
        <w:tc>
          <w:tcPr>
            <w:tcW w:w="1740" w:type="dxa"/>
            <w:tcBorders>
              <w:top w:val="nil"/>
              <w:left w:val="nil"/>
              <w:bottom w:val="single" w:color="auto" w:sz="4" w:space="0"/>
              <w:right w:val="single" w:color="auto" w:sz="4" w:space="0"/>
            </w:tcBorders>
            <w:vAlign w:val="bottom"/>
          </w:tcPr>
          <w:p w14:paraId="1E520B7A">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仿宋" w:hAnsi="仿宋" w:eastAsia="仿宋" w:cs="仿宋"/>
                <w:b w:val="0"/>
                <w:bCs/>
                <w:color w:val="auto"/>
                <w:kern w:val="0"/>
                <w:sz w:val="24"/>
                <w:highlight w:val="none"/>
              </w:rPr>
            </w:pPr>
          </w:p>
        </w:tc>
      </w:tr>
      <w:tr w14:paraId="73D8C2DE">
        <w:tblPrEx>
          <w:tblCellMar>
            <w:top w:w="0" w:type="dxa"/>
            <w:left w:w="0" w:type="dxa"/>
            <w:bottom w:w="0" w:type="dxa"/>
            <w:right w:w="0" w:type="dxa"/>
          </w:tblCellMar>
        </w:tblPrEx>
        <w:trPr>
          <w:trHeight w:val="201" w:hRule="atLeast"/>
          <w:jc w:val="center"/>
        </w:trPr>
        <w:tc>
          <w:tcPr>
            <w:tcW w:w="4620" w:type="dxa"/>
            <w:tcBorders>
              <w:top w:val="single" w:color="auto" w:sz="4" w:space="0"/>
              <w:left w:val="single" w:color="auto" w:sz="4" w:space="0"/>
              <w:bottom w:val="single" w:color="auto" w:sz="4" w:space="0"/>
              <w:right w:val="single" w:color="auto" w:sz="4" w:space="0"/>
            </w:tcBorders>
            <w:vAlign w:val="center"/>
          </w:tcPr>
          <w:p w14:paraId="2333B94E">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p>
        </w:tc>
        <w:tc>
          <w:tcPr>
            <w:tcW w:w="4840" w:type="dxa"/>
            <w:tcBorders>
              <w:top w:val="single" w:color="auto" w:sz="4" w:space="0"/>
              <w:left w:val="nil"/>
              <w:bottom w:val="single" w:color="auto" w:sz="4" w:space="0"/>
              <w:right w:val="single" w:color="auto" w:sz="4" w:space="0"/>
            </w:tcBorders>
            <w:vAlign w:val="center"/>
          </w:tcPr>
          <w:p w14:paraId="0A159238">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p>
        </w:tc>
        <w:tc>
          <w:tcPr>
            <w:tcW w:w="1280" w:type="dxa"/>
            <w:tcBorders>
              <w:top w:val="single" w:color="auto" w:sz="4" w:space="0"/>
              <w:left w:val="nil"/>
              <w:bottom w:val="single" w:color="auto" w:sz="4" w:space="0"/>
              <w:right w:val="single" w:color="auto" w:sz="4" w:space="0"/>
            </w:tcBorders>
            <w:vAlign w:val="center"/>
          </w:tcPr>
          <w:p w14:paraId="2440EDE7">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p>
        </w:tc>
        <w:tc>
          <w:tcPr>
            <w:tcW w:w="1600" w:type="dxa"/>
            <w:tcBorders>
              <w:top w:val="single" w:color="auto" w:sz="4" w:space="0"/>
              <w:left w:val="nil"/>
              <w:bottom w:val="single" w:color="auto" w:sz="4" w:space="0"/>
              <w:right w:val="single" w:color="auto" w:sz="4" w:space="0"/>
            </w:tcBorders>
            <w:vAlign w:val="center"/>
          </w:tcPr>
          <w:p w14:paraId="4960926D">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p>
        </w:tc>
        <w:tc>
          <w:tcPr>
            <w:tcW w:w="1740" w:type="dxa"/>
            <w:tcBorders>
              <w:top w:val="nil"/>
              <w:left w:val="nil"/>
              <w:bottom w:val="single" w:color="auto" w:sz="4" w:space="0"/>
              <w:right w:val="single" w:color="auto" w:sz="4" w:space="0"/>
            </w:tcBorders>
            <w:vAlign w:val="bottom"/>
          </w:tcPr>
          <w:p w14:paraId="3F3F9A2D">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仿宋" w:hAnsi="仿宋" w:eastAsia="仿宋" w:cs="仿宋"/>
                <w:b w:val="0"/>
                <w:bCs/>
                <w:color w:val="auto"/>
                <w:kern w:val="0"/>
                <w:sz w:val="24"/>
                <w:highlight w:val="none"/>
              </w:rPr>
            </w:pPr>
          </w:p>
        </w:tc>
      </w:tr>
      <w:tr w14:paraId="0F8DA611">
        <w:tblPrEx>
          <w:tblCellMar>
            <w:top w:w="0" w:type="dxa"/>
            <w:left w:w="0" w:type="dxa"/>
            <w:bottom w:w="0" w:type="dxa"/>
            <w:right w:w="0" w:type="dxa"/>
          </w:tblCellMar>
        </w:tblPrEx>
        <w:trPr>
          <w:trHeight w:val="420" w:hRule="atLeast"/>
          <w:jc w:val="center"/>
        </w:trPr>
        <w:tc>
          <w:tcPr>
            <w:tcW w:w="4620" w:type="dxa"/>
            <w:tcBorders>
              <w:top w:val="nil"/>
              <w:left w:val="single" w:color="auto" w:sz="4" w:space="0"/>
              <w:bottom w:val="single" w:color="auto" w:sz="4" w:space="0"/>
              <w:right w:val="single" w:color="auto" w:sz="4" w:space="0"/>
            </w:tcBorders>
            <w:vAlign w:val="center"/>
          </w:tcPr>
          <w:p w14:paraId="7D0F0EB7">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r>
              <w:rPr>
                <w:rFonts w:hint="eastAsia" w:ascii="仿宋" w:hAnsi="仿宋" w:eastAsia="仿宋" w:cs="仿宋"/>
                <w:b w:val="0"/>
                <w:bCs/>
                <w:color w:val="auto"/>
                <w:kern w:val="0"/>
                <w:sz w:val="24"/>
                <w:highlight w:val="none"/>
              </w:rPr>
              <w:t>合计总价款（人民币）</w:t>
            </w:r>
          </w:p>
        </w:tc>
        <w:tc>
          <w:tcPr>
            <w:tcW w:w="9460" w:type="dxa"/>
            <w:gridSpan w:val="4"/>
            <w:tcBorders>
              <w:top w:val="nil"/>
              <w:left w:val="nil"/>
              <w:bottom w:val="single" w:color="auto" w:sz="4" w:space="0"/>
              <w:right w:val="single" w:color="000000" w:sz="4" w:space="0"/>
            </w:tcBorders>
            <w:vAlign w:val="center"/>
          </w:tcPr>
          <w:p w14:paraId="089BF85F">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仿宋" w:hAnsi="仿宋" w:eastAsia="仿宋" w:cs="仿宋"/>
                <w:b w:val="0"/>
                <w:bCs/>
                <w:color w:val="auto"/>
                <w:kern w:val="0"/>
                <w:sz w:val="24"/>
                <w:highlight w:val="none"/>
              </w:rPr>
            </w:pPr>
            <w:r>
              <w:rPr>
                <w:rFonts w:hint="eastAsia" w:ascii="仿宋" w:hAnsi="仿宋" w:eastAsia="仿宋" w:cs="仿宋"/>
                <w:b w:val="0"/>
                <w:bCs/>
                <w:color w:val="auto"/>
                <w:kern w:val="0"/>
                <w:sz w:val="24"/>
                <w:highlight w:val="none"/>
              </w:rPr>
              <w:t>人民币</w:t>
            </w:r>
            <w:r>
              <w:rPr>
                <w:rFonts w:hint="eastAsia" w:ascii="仿宋" w:hAnsi="仿宋" w:eastAsia="仿宋" w:cs="仿宋"/>
                <w:b w:val="0"/>
                <w:bCs/>
                <w:color w:val="auto"/>
                <w:kern w:val="0"/>
                <w:sz w:val="24"/>
                <w:highlight w:val="none"/>
                <w:u w:val="single"/>
              </w:rPr>
              <w:t xml:space="preserve">                 </w:t>
            </w:r>
            <w:r>
              <w:rPr>
                <w:rFonts w:hint="eastAsia" w:ascii="仿宋" w:hAnsi="仿宋" w:eastAsia="仿宋" w:cs="仿宋"/>
                <w:b w:val="0"/>
                <w:bCs/>
                <w:color w:val="auto"/>
                <w:kern w:val="0"/>
                <w:sz w:val="24"/>
                <w:highlight w:val="none"/>
              </w:rPr>
              <w:t xml:space="preserve">元整。       ￥: </w:t>
            </w:r>
            <w:r>
              <w:rPr>
                <w:rFonts w:hint="eastAsia" w:ascii="仿宋" w:hAnsi="仿宋" w:eastAsia="仿宋" w:cs="仿宋"/>
                <w:b w:val="0"/>
                <w:bCs/>
                <w:color w:val="auto"/>
                <w:kern w:val="0"/>
                <w:sz w:val="24"/>
                <w:highlight w:val="none"/>
                <w:u w:val="single"/>
              </w:rPr>
              <w:t xml:space="preserve">             </w:t>
            </w:r>
          </w:p>
        </w:tc>
      </w:tr>
      <w:tr w14:paraId="320C5157">
        <w:tblPrEx>
          <w:tblCellMar>
            <w:top w:w="0" w:type="dxa"/>
            <w:left w:w="0" w:type="dxa"/>
            <w:bottom w:w="0" w:type="dxa"/>
            <w:right w:w="0" w:type="dxa"/>
          </w:tblCellMar>
        </w:tblPrEx>
        <w:trPr>
          <w:trHeight w:val="690" w:hRule="atLeast"/>
          <w:jc w:val="center"/>
        </w:trPr>
        <w:tc>
          <w:tcPr>
            <w:tcW w:w="4620" w:type="dxa"/>
            <w:tcBorders>
              <w:top w:val="nil"/>
              <w:left w:val="single" w:color="auto" w:sz="4" w:space="0"/>
              <w:bottom w:val="nil"/>
              <w:right w:val="nil"/>
            </w:tcBorders>
            <w:vAlign w:val="bottom"/>
          </w:tcPr>
          <w:p w14:paraId="2896E44F">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仿宋" w:hAnsi="仿宋" w:eastAsia="仿宋" w:cs="仿宋"/>
                <w:b w:val="0"/>
                <w:bCs/>
                <w:color w:val="auto"/>
                <w:kern w:val="0"/>
                <w:sz w:val="24"/>
                <w:highlight w:val="none"/>
              </w:rPr>
            </w:pPr>
            <w:r>
              <w:rPr>
                <w:rFonts w:hint="eastAsia" w:ascii="仿宋" w:hAnsi="仿宋" w:eastAsia="仿宋" w:cs="仿宋"/>
                <w:b w:val="0"/>
                <w:bCs/>
                <w:color w:val="auto"/>
                <w:kern w:val="0"/>
                <w:sz w:val="24"/>
                <w:highlight w:val="none"/>
              </w:rPr>
              <w:t xml:space="preserve">供货单位（盖章）：                     </w:t>
            </w:r>
          </w:p>
        </w:tc>
        <w:tc>
          <w:tcPr>
            <w:tcW w:w="4840" w:type="dxa"/>
            <w:tcBorders>
              <w:top w:val="nil"/>
              <w:left w:val="nil"/>
              <w:bottom w:val="nil"/>
              <w:right w:val="nil"/>
            </w:tcBorders>
            <w:vAlign w:val="center"/>
          </w:tcPr>
          <w:p w14:paraId="4BD1F78C">
            <w:pPr>
              <w:keepNext w:val="0"/>
              <w:keepLines w:val="0"/>
              <w:pageBreakBefore w:val="0"/>
              <w:widowControl w:val="0"/>
              <w:kinsoku/>
              <w:wordWrap w:val="0"/>
              <w:overflowPunct/>
              <w:topLinePunct/>
              <w:autoSpaceDE/>
              <w:autoSpaceDN/>
              <w:bidi w:val="0"/>
              <w:adjustRightInd/>
              <w:snapToGrid/>
              <w:ind w:left="0" w:leftChars="0" w:right="0"/>
              <w:jc w:val="right"/>
              <w:rPr>
                <w:rFonts w:hint="eastAsia" w:ascii="仿宋" w:hAnsi="仿宋" w:eastAsia="仿宋" w:cs="仿宋"/>
                <w:b w:val="0"/>
                <w:bCs/>
                <w:color w:val="auto"/>
                <w:kern w:val="0"/>
                <w:sz w:val="24"/>
                <w:highlight w:val="none"/>
              </w:rPr>
            </w:pPr>
            <w:r>
              <w:rPr>
                <w:rFonts w:hint="eastAsia" w:ascii="仿宋" w:hAnsi="仿宋" w:eastAsia="仿宋" w:cs="仿宋"/>
                <w:b w:val="0"/>
                <w:bCs/>
                <w:color w:val="auto"/>
                <w:kern w:val="0"/>
                <w:sz w:val="24"/>
                <w:highlight w:val="none"/>
                <w:lang w:eastAsia="zh-CN"/>
              </w:rPr>
              <w:t>采购人</w:t>
            </w:r>
            <w:r>
              <w:rPr>
                <w:rFonts w:hint="eastAsia" w:ascii="仿宋" w:hAnsi="仿宋" w:eastAsia="仿宋" w:cs="仿宋"/>
                <w:b w:val="0"/>
                <w:bCs/>
                <w:color w:val="auto"/>
                <w:kern w:val="0"/>
                <w:sz w:val="24"/>
                <w:highlight w:val="none"/>
              </w:rPr>
              <w:t>（盖章）</w:t>
            </w:r>
            <w:r>
              <w:rPr>
                <w:rFonts w:hint="eastAsia" w:ascii="仿宋" w:hAnsi="仿宋" w:eastAsia="仿宋" w:cs="仿宋"/>
                <w:b w:val="0"/>
                <w:bCs/>
                <w:color w:val="auto"/>
                <w:kern w:val="0"/>
                <w:sz w:val="24"/>
                <w:highlight w:val="none"/>
                <w:lang w:eastAsia="zh-CN"/>
              </w:rPr>
              <w:t>：</w:t>
            </w:r>
          </w:p>
        </w:tc>
        <w:tc>
          <w:tcPr>
            <w:tcW w:w="4620" w:type="dxa"/>
            <w:gridSpan w:val="3"/>
            <w:tcBorders>
              <w:top w:val="nil"/>
              <w:left w:val="nil"/>
              <w:bottom w:val="nil"/>
              <w:right w:val="single" w:color="auto" w:sz="4" w:space="0"/>
            </w:tcBorders>
            <w:vAlign w:val="bottom"/>
          </w:tcPr>
          <w:p w14:paraId="2359580F">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仿宋" w:hAnsi="仿宋" w:eastAsia="仿宋" w:cs="仿宋"/>
                <w:b w:val="0"/>
                <w:bCs/>
                <w:color w:val="auto"/>
                <w:kern w:val="0"/>
                <w:sz w:val="24"/>
                <w:highlight w:val="none"/>
              </w:rPr>
            </w:pPr>
            <w:r>
              <w:rPr>
                <w:rFonts w:hint="eastAsia" w:ascii="仿宋" w:hAnsi="仿宋" w:eastAsia="仿宋" w:cs="仿宋"/>
                <w:b w:val="0"/>
                <w:bCs/>
                <w:color w:val="auto"/>
                <w:kern w:val="0"/>
                <w:sz w:val="24"/>
                <w:highlight w:val="none"/>
              </w:rPr>
              <w:t>　</w:t>
            </w:r>
          </w:p>
        </w:tc>
      </w:tr>
      <w:tr w14:paraId="2BB7E31A">
        <w:tblPrEx>
          <w:tblCellMar>
            <w:top w:w="0" w:type="dxa"/>
            <w:left w:w="0" w:type="dxa"/>
            <w:bottom w:w="0" w:type="dxa"/>
            <w:right w:w="0" w:type="dxa"/>
          </w:tblCellMar>
        </w:tblPrEx>
        <w:trPr>
          <w:trHeight w:val="525" w:hRule="atLeast"/>
          <w:jc w:val="center"/>
        </w:trPr>
        <w:tc>
          <w:tcPr>
            <w:tcW w:w="4620" w:type="dxa"/>
            <w:tcBorders>
              <w:top w:val="nil"/>
              <w:left w:val="single" w:color="auto" w:sz="4" w:space="0"/>
              <w:bottom w:val="nil"/>
              <w:right w:val="nil"/>
            </w:tcBorders>
            <w:vAlign w:val="bottom"/>
          </w:tcPr>
          <w:p w14:paraId="575C4030">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仿宋" w:hAnsi="仿宋" w:eastAsia="仿宋" w:cs="仿宋"/>
                <w:b w:val="0"/>
                <w:bCs/>
                <w:color w:val="auto"/>
                <w:kern w:val="0"/>
                <w:sz w:val="24"/>
                <w:highlight w:val="none"/>
              </w:rPr>
            </w:pPr>
            <w:r>
              <w:rPr>
                <w:rFonts w:hint="eastAsia" w:ascii="仿宋" w:hAnsi="仿宋" w:eastAsia="仿宋" w:cs="仿宋"/>
                <w:b w:val="0"/>
                <w:bCs/>
                <w:color w:val="auto"/>
                <w:kern w:val="0"/>
                <w:sz w:val="24"/>
                <w:highlight w:val="none"/>
              </w:rPr>
              <w:t>经办项目负责人：</w:t>
            </w:r>
          </w:p>
        </w:tc>
        <w:tc>
          <w:tcPr>
            <w:tcW w:w="4840" w:type="dxa"/>
            <w:tcBorders>
              <w:top w:val="nil"/>
              <w:left w:val="nil"/>
              <w:bottom w:val="nil"/>
              <w:right w:val="nil"/>
            </w:tcBorders>
            <w:vAlign w:val="center"/>
          </w:tcPr>
          <w:p w14:paraId="7AB4A33B">
            <w:pPr>
              <w:keepNext w:val="0"/>
              <w:keepLines w:val="0"/>
              <w:pageBreakBefore w:val="0"/>
              <w:widowControl w:val="0"/>
              <w:kinsoku/>
              <w:wordWrap w:val="0"/>
              <w:overflowPunct/>
              <w:topLinePunct/>
              <w:autoSpaceDE/>
              <w:autoSpaceDN/>
              <w:bidi w:val="0"/>
              <w:adjustRightInd/>
              <w:snapToGrid/>
              <w:ind w:left="0" w:leftChars="0" w:right="0"/>
              <w:jc w:val="right"/>
              <w:rPr>
                <w:rFonts w:hint="eastAsia" w:ascii="仿宋" w:hAnsi="仿宋" w:eastAsia="仿宋" w:cs="仿宋"/>
                <w:b w:val="0"/>
                <w:bCs/>
                <w:color w:val="auto"/>
                <w:kern w:val="0"/>
                <w:sz w:val="24"/>
                <w:highlight w:val="none"/>
              </w:rPr>
            </w:pPr>
            <w:r>
              <w:rPr>
                <w:rFonts w:hint="eastAsia" w:ascii="仿宋" w:hAnsi="仿宋" w:eastAsia="仿宋" w:cs="仿宋"/>
                <w:b w:val="0"/>
                <w:bCs/>
                <w:color w:val="auto"/>
                <w:kern w:val="0"/>
                <w:sz w:val="24"/>
                <w:highlight w:val="none"/>
              </w:rPr>
              <w:t>项目验收组主任：</w:t>
            </w:r>
          </w:p>
        </w:tc>
        <w:tc>
          <w:tcPr>
            <w:tcW w:w="4620" w:type="dxa"/>
            <w:gridSpan w:val="3"/>
            <w:tcBorders>
              <w:top w:val="nil"/>
              <w:left w:val="nil"/>
              <w:bottom w:val="nil"/>
              <w:right w:val="single" w:color="auto" w:sz="4" w:space="0"/>
            </w:tcBorders>
            <w:vAlign w:val="bottom"/>
          </w:tcPr>
          <w:p w14:paraId="5BC88ADC">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仿宋" w:hAnsi="仿宋" w:eastAsia="仿宋" w:cs="仿宋"/>
                <w:b w:val="0"/>
                <w:bCs/>
                <w:color w:val="auto"/>
                <w:kern w:val="0"/>
                <w:sz w:val="24"/>
                <w:highlight w:val="none"/>
              </w:rPr>
            </w:pPr>
            <w:r>
              <w:rPr>
                <w:rFonts w:hint="eastAsia" w:ascii="仿宋" w:hAnsi="仿宋" w:eastAsia="仿宋" w:cs="仿宋"/>
                <w:b w:val="0"/>
                <w:bCs/>
                <w:color w:val="auto"/>
                <w:kern w:val="0"/>
                <w:sz w:val="24"/>
                <w:highlight w:val="none"/>
              </w:rPr>
              <w:t>　</w:t>
            </w:r>
          </w:p>
        </w:tc>
      </w:tr>
      <w:tr w14:paraId="7F48333F">
        <w:tblPrEx>
          <w:tblCellMar>
            <w:top w:w="0" w:type="dxa"/>
            <w:left w:w="0" w:type="dxa"/>
            <w:bottom w:w="0" w:type="dxa"/>
            <w:right w:w="0" w:type="dxa"/>
          </w:tblCellMar>
        </w:tblPrEx>
        <w:trPr>
          <w:trHeight w:val="525" w:hRule="atLeast"/>
          <w:jc w:val="center"/>
        </w:trPr>
        <w:tc>
          <w:tcPr>
            <w:tcW w:w="4620" w:type="dxa"/>
            <w:tcBorders>
              <w:top w:val="nil"/>
              <w:left w:val="single" w:color="auto" w:sz="4" w:space="0"/>
              <w:bottom w:val="nil"/>
              <w:right w:val="nil"/>
            </w:tcBorders>
            <w:vAlign w:val="bottom"/>
          </w:tcPr>
          <w:p w14:paraId="50DBA31B">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仿宋" w:hAnsi="仿宋" w:eastAsia="仿宋" w:cs="仿宋"/>
                <w:b w:val="0"/>
                <w:bCs/>
                <w:color w:val="auto"/>
                <w:kern w:val="0"/>
                <w:sz w:val="24"/>
                <w:highlight w:val="none"/>
              </w:rPr>
            </w:pPr>
            <w:r>
              <w:rPr>
                <w:rFonts w:hint="eastAsia" w:ascii="仿宋" w:hAnsi="仿宋" w:eastAsia="仿宋" w:cs="仿宋"/>
                <w:b w:val="0"/>
                <w:bCs/>
                <w:color w:val="auto"/>
                <w:kern w:val="0"/>
                <w:sz w:val="24"/>
                <w:highlight w:val="none"/>
              </w:rPr>
              <w:t>联系电话：</w:t>
            </w:r>
          </w:p>
        </w:tc>
        <w:tc>
          <w:tcPr>
            <w:tcW w:w="4840" w:type="dxa"/>
            <w:tcBorders>
              <w:top w:val="nil"/>
              <w:left w:val="nil"/>
              <w:bottom w:val="nil"/>
              <w:right w:val="nil"/>
            </w:tcBorders>
            <w:vAlign w:val="center"/>
          </w:tcPr>
          <w:p w14:paraId="195913F0">
            <w:pPr>
              <w:keepNext w:val="0"/>
              <w:keepLines w:val="0"/>
              <w:pageBreakBefore w:val="0"/>
              <w:widowControl w:val="0"/>
              <w:kinsoku/>
              <w:wordWrap w:val="0"/>
              <w:overflowPunct/>
              <w:topLinePunct/>
              <w:autoSpaceDE/>
              <w:autoSpaceDN/>
              <w:bidi w:val="0"/>
              <w:adjustRightInd/>
              <w:snapToGrid/>
              <w:ind w:left="0" w:leftChars="0" w:right="0"/>
              <w:jc w:val="right"/>
              <w:rPr>
                <w:rFonts w:hint="eastAsia" w:ascii="仿宋" w:hAnsi="仿宋" w:eastAsia="仿宋" w:cs="仿宋"/>
                <w:b w:val="0"/>
                <w:bCs/>
                <w:color w:val="auto"/>
                <w:kern w:val="0"/>
                <w:sz w:val="24"/>
                <w:highlight w:val="none"/>
              </w:rPr>
            </w:pPr>
            <w:r>
              <w:rPr>
                <w:rFonts w:hint="eastAsia" w:ascii="仿宋" w:hAnsi="仿宋" w:eastAsia="仿宋" w:cs="仿宋"/>
                <w:b w:val="0"/>
                <w:bCs/>
                <w:color w:val="auto"/>
                <w:kern w:val="0"/>
                <w:sz w:val="24"/>
                <w:highlight w:val="none"/>
              </w:rPr>
              <w:t>联系电话：</w:t>
            </w:r>
          </w:p>
        </w:tc>
        <w:tc>
          <w:tcPr>
            <w:tcW w:w="4620" w:type="dxa"/>
            <w:gridSpan w:val="3"/>
            <w:tcBorders>
              <w:top w:val="nil"/>
              <w:left w:val="nil"/>
              <w:bottom w:val="nil"/>
              <w:right w:val="single" w:color="auto" w:sz="4" w:space="0"/>
            </w:tcBorders>
            <w:vAlign w:val="bottom"/>
          </w:tcPr>
          <w:p w14:paraId="6B949335">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仿宋" w:hAnsi="仿宋" w:eastAsia="仿宋" w:cs="仿宋"/>
                <w:b w:val="0"/>
                <w:bCs/>
                <w:color w:val="auto"/>
                <w:kern w:val="0"/>
                <w:sz w:val="24"/>
                <w:highlight w:val="none"/>
              </w:rPr>
            </w:pPr>
            <w:r>
              <w:rPr>
                <w:rFonts w:hint="eastAsia" w:ascii="仿宋" w:hAnsi="仿宋" w:eastAsia="仿宋" w:cs="仿宋"/>
                <w:b w:val="0"/>
                <w:bCs/>
                <w:color w:val="auto"/>
                <w:kern w:val="0"/>
                <w:sz w:val="24"/>
                <w:highlight w:val="none"/>
              </w:rPr>
              <w:t>　</w:t>
            </w:r>
          </w:p>
        </w:tc>
      </w:tr>
      <w:tr w14:paraId="393C1E96">
        <w:tblPrEx>
          <w:tblCellMar>
            <w:top w:w="0" w:type="dxa"/>
            <w:left w:w="0" w:type="dxa"/>
            <w:bottom w:w="0" w:type="dxa"/>
            <w:right w:w="0" w:type="dxa"/>
          </w:tblCellMar>
        </w:tblPrEx>
        <w:trPr>
          <w:trHeight w:val="540" w:hRule="atLeast"/>
          <w:jc w:val="center"/>
        </w:trPr>
        <w:tc>
          <w:tcPr>
            <w:tcW w:w="4620" w:type="dxa"/>
            <w:tcBorders>
              <w:top w:val="nil"/>
              <w:left w:val="single" w:color="auto" w:sz="4" w:space="0"/>
              <w:bottom w:val="nil"/>
              <w:right w:val="nil"/>
            </w:tcBorders>
            <w:vAlign w:val="bottom"/>
          </w:tcPr>
          <w:p w14:paraId="62B1C156">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仿宋" w:hAnsi="仿宋" w:eastAsia="仿宋" w:cs="仿宋"/>
                <w:b w:val="0"/>
                <w:bCs/>
                <w:color w:val="auto"/>
                <w:kern w:val="0"/>
                <w:sz w:val="24"/>
                <w:highlight w:val="none"/>
              </w:rPr>
            </w:pPr>
            <w:r>
              <w:rPr>
                <w:rFonts w:hint="eastAsia" w:ascii="仿宋" w:hAnsi="仿宋" w:eastAsia="仿宋" w:cs="仿宋"/>
                <w:b w:val="0"/>
                <w:bCs/>
                <w:color w:val="auto"/>
                <w:kern w:val="0"/>
                <w:sz w:val="24"/>
                <w:highlight w:val="none"/>
              </w:rPr>
              <w:t>开户银行：</w:t>
            </w:r>
          </w:p>
        </w:tc>
        <w:tc>
          <w:tcPr>
            <w:tcW w:w="4840" w:type="dxa"/>
            <w:tcBorders>
              <w:top w:val="nil"/>
              <w:left w:val="nil"/>
              <w:bottom w:val="nil"/>
              <w:right w:val="nil"/>
            </w:tcBorders>
            <w:vAlign w:val="center"/>
          </w:tcPr>
          <w:p w14:paraId="017F45F9">
            <w:pPr>
              <w:keepNext w:val="0"/>
              <w:keepLines w:val="0"/>
              <w:pageBreakBefore w:val="0"/>
              <w:widowControl w:val="0"/>
              <w:kinsoku/>
              <w:wordWrap w:val="0"/>
              <w:overflowPunct/>
              <w:topLinePunct/>
              <w:autoSpaceDE/>
              <w:autoSpaceDN/>
              <w:bidi w:val="0"/>
              <w:adjustRightInd/>
              <w:snapToGrid/>
              <w:ind w:left="0" w:leftChars="0" w:right="0"/>
              <w:jc w:val="right"/>
              <w:rPr>
                <w:rFonts w:hint="eastAsia" w:ascii="仿宋" w:hAnsi="仿宋" w:eastAsia="仿宋" w:cs="仿宋"/>
                <w:b w:val="0"/>
                <w:bCs/>
                <w:color w:val="auto"/>
                <w:kern w:val="0"/>
                <w:sz w:val="24"/>
                <w:highlight w:val="none"/>
              </w:rPr>
            </w:pPr>
            <w:r>
              <w:rPr>
                <w:rFonts w:hint="eastAsia" w:ascii="仿宋" w:hAnsi="仿宋" w:eastAsia="仿宋" w:cs="仿宋"/>
                <w:b w:val="0"/>
                <w:bCs/>
                <w:color w:val="auto"/>
                <w:kern w:val="0"/>
                <w:sz w:val="24"/>
                <w:highlight w:val="none"/>
              </w:rPr>
              <w:t>项目验收组成员（签名）：</w:t>
            </w:r>
          </w:p>
        </w:tc>
        <w:tc>
          <w:tcPr>
            <w:tcW w:w="4620" w:type="dxa"/>
            <w:gridSpan w:val="3"/>
            <w:tcBorders>
              <w:top w:val="nil"/>
              <w:left w:val="nil"/>
              <w:bottom w:val="nil"/>
              <w:right w:val="single" w:color="auto" w:sz="4" w:space="0"/>
            </w:tcBorders>
            <w:vAlign w:val="bottom"/>
          </w:tcPr>
          <w:p w14:paraId="65E85EFE">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仿宋" w:hAnsi="仿宋" w:eastAsia="仿宋" w:cs="仿宋"/>
                <w:b w:val="0"/>
                <w:bCs/>
                <w:color w:val="auto"/>
                <w:kern w:val="0"/>
                <w:sz w:val="24"/>
                <w:highlight w:val="none"/>
              </w:rPr>
            </w:pPr>
            <w:r>
              <w:rPr>
                <w:rFonts w:hint="eastAsia" w:ascii="仿宋" w:hAnsi="仿宋" w:eastAsia="仿宋" w:cs="仿宋"/>
                <w:b w:val="0"/>
                <w:bCs/>
                <w:color w:val="auto"/>
                <w:kern w:val="0"/>
                <w:sz w:val="24"/>
                <w:highlight w:val="none"/>
              </w:rPr>
              <w:t>　</w:t>
            </w:r>
          </w:p>
        </w:tc>
      </w:tr>
      <w:tr w14:paraId="2573A226">
        <w:tblPrEx>
          <w:tblCellMar>
            <w:top w:w="0" w:type="dxa"/>
            <w:left w:w="0" w:type="dxa"/>
            <w:bottom w:w="0" w:type="dxa"/>
            <w:right w:w="0" w:type="dxa"/>
          </w:tblCellMar>
        </w:tblPrEx>
        <w:trPr>
          <w:trHeight w:val="519" w:hRule="atLeast"/>
          <w:jc w:val="center"/>
        </w:trPr>
        <w:tc>
          <w:tcPr>
            <w:tcW w:w="4620" w:type="dxa"/>
            <w:tcBorders>
              <w:top w:val="nil"/>
              <w:left w:val="single" w:color="auto" w:sz="4" w:space="0"/>
              <w:bottom w:val="single" w:color="auto" w:sz="4" w:space="0"/>
              <w:right w:val="nil"/>
            </w:tcBorders>
            <w:vAlign w:val="center"/>
          </w:tcPr>
          <w:p w14:paraId="5576E728">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b w:val="0"/>
                <w:bCs/>
                <w:color w:val="auto"/>
                <w:kern w:val="0"/>
                <w:sz w:val="24"/>
                <w:highlight w:val="none"/>
              </w:rPr>
            </w:pPr>
            <w:r>
              <w:rPr>
                <w:rFonts w:hint="eastAsia" w:ascii="仿宋" w:hAnsi="仿宋" w:eastAsia="仿宋" w:cs="仿宋"/>
                <w:b w:val="0"/>
                <w:bCs/>
                <w:color w:val="auto"/>
                <w:kern w:val="0"/>
                <w:sz w:val="24"/>
                <w:highlight w:val="none"/>
                <w:lang w:eastAsia="zh-CN"/>
              </w:rPr>
              <w:t>银行账号</w:t>
            </w:r>
            <w:r>
              <w:rPr>
                <w:rFonts w:hint="eastAsia" w:ascii="仿宋" w:hAnsi="仿宋" w:eastAsia="仿宋" w:cs="仿宋"/>
                <w:b w:val="0"/>
                <w:bCs/>
                <w:color w:val="auto"/>
                <w:kern w:val="0"/>
                <w:sz w:val="24"/>
                <w:highlight w:val="none"/>
              </w:rPr>
              <w:t>：</w:t>
            </w:r>
          </w:p>
        </w:tc>
        <w:tc>
          <w:tcPr>
            <w:tcW w:w="4840" w:type="dxa"/>
            <w:tcBorders>
              <w:top w:val="nil"/>
              <w:left w:val="nil"/>
              <w:bottom w:val="single" w:color="auto" w:sz="4" w:space="0"/>
              <w:right w:val="nil"/>
            </w:tcBorders>
            <w:vAlign w:val="bottom"/>
          </w:tcPr>
          <w:p w14:paraId="3E3559B5">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仿宋" w:hAnsi="仿宋" w:eastAsia="仿宋" w:cs="仿宋"/>
                <w:b w:val="0"/>
                <w:bCs/>
                <w:color w:val="auto"/>
                <w:kern w:val="0"/>
                <w:sz w:val="24"/>
                <w:highlight w:val="none"/>
              </w:rPr>
            </w:pPr>
            <w:r>
              <w:rPr>
                <w:rFonts w:hint="eastAsia" w:ascii="仿宋" w:hAnsi="仿宋" w:eastAsia="仿宋" w:cs="仿宋"/>
                <w:b w:val="0"/>
                <w:bCs/>
                <w:color w:val="auto"/>
                <w:kern w:val="0"/>
                <w:sz w:val="24"/>
                <w:highlight w:val="none"/>
              </w:rPr>
              <w:t>　</w:t>
            </w:r>
          </w:p>
        </w:tc>
        <w:tc>
          <w:tcPr>
            <w:tcW w:w="4620" w:type="dxa"/>
            <w:gridSpan w:val="3"/>
            <w:tcBorders>
              <w:top w:val="nil"/>
              <w:left w:val="nil"/>
              <w:bottom w:val="single" w:color="auto" w:sz="4" w:space="0"/>
              <w:right w:val="single" w:color="000000" w:sz="4" w:space="0"/>
            </w:tcBorders>
            <w:vAlign w:val="center"/>
          </w:tcPr>
          <w:p w14:paraId="468A0FE8">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b w:val="0"/>
                <w:bCs/>
                <w:color w:val="auto"/>
                <w:kern w:val="0"/>
                <w:sz w:val="24"/>
                <w:highlight w:val="none"/>
              </w:rPr>
            </w:pPr>
            <w:r>
              <w:rPr>
                <w:rFonts w:hint="eastAsia" w:ascii="仿宋" w:hAnsi="仿宋" w:eastAsia="仿宋" w:cs="仿宋"/>
                <w:b w:val="0"/>
                <w:bCs/>
                <w:color w:val="auto"/>
                <w:kern w:val="0"/>
                <w:sz w:val="24"/>
                <w:highlight w:val="none"/>
              </w:rPr>
              <w:t>验收时间：       年     月     日</w:t>
            </w:r>
          </w:p>
        </w:tc>
      </w:tr>
      <w:tr w14:paraId="7F954B36">
        <w:tblPrEx>
          <w:tblCellMar>
            <w:top w:w="0" w:type="dxa"/>
            <w:left w:w="0" w:type="dxa"/>
            <w:bottom w:w="0" w:type="dxa"/>
            <w:right w:w="0" w:type="dxa"/>
          </w:tblCellMar>
        </w:tblPrEx>
        <w:trPr>
          <w:trHeight w:val="345" w:hRule="atLeast"/>
          <w:jc w:val="center"/>
        </w:trPr>
        <w:tc>
          <w:tcPr>
            <w:tcW w:w="14080" w:type="dxa"/>
            <w:gridSpan w:val="5"/>
            <w:tcBorders>
              <w:top w:val="single" w:color="auto" w:sz="4" w:space="0"/>
              <w:left w:val="nil"/>
              <w:bottom w:val="nil"/>
              <w:right w:val="nil"/>
            </w:tcBorders>
            <w:vAlign w:val="center"/>
          </w:tcPr>
          <w:p w14:paraId="0DE4F497">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val="0"/>
                <w:bCs/>
                <w:color w:val="auto"/>
                <w:kern w:val="0"/>
                <w:sz w:val="24"/>
                <w:highlight w:val="none"/>
              </w:rPr>
            </w:pPr>
            <w:r>
              <w:rPr>
                <w:rFonts w:hint="eastAsia" w:ascii="仿宋" w:hAnsi="仿宋" w:eastAsia="仿宋" w:cs="仿宋"/>
                <w:b w:val="0"/>
                <w:bCs/>
                <w:color w:val="auto"/>
                <w:kern w:val="0"/>
                <w:sz w:val="24"/>
                <w:highlight w:val="none"/>
              </w:rPr>
              <w:t>本单一式四联：第一联</w:t>
            </w:r>
            <w:r>
              <w:rPr>
                <w:rFonts w:hint="eastAsia" w:ascii="仿宋" w:hAnsi="仿宋" w:eastAsia="仿宋" w:cs="仿宋"/>
                <w:b w:val="0"/>
                <w:bCs/>
                <w:color w:val="auto"/>
                <w:kern w:val="0"/>
                <w:sz w:val="24"/>
                <w:highlight w:val="none"/>
                <w:lang w:eastAsia="zh-CN"/>
              </w:rPr>
              <w:t>采购人</w:t>
            </w:r>
            <w:r>
              <w:rPr>
                <w:rFonts w:hint="eastAsia" w:ascii="仿宋" w:hAnsi="仿宋" w:eastAsia="仿宋" w:cs="仿宋"/>
                <w:b w:val="0"/>
                <w:bCs/>
                <w:color w:val="auto"/>
                <w:kern w:val="0"/>
                <w:sz w:val="24"/>
                <w:highlight w:val="none"/>
              </w:rPr>
              <w:t>留存，第二联作为财政支付凭证，第三联供货单位留存，第四联采购办存档备案。</w:t>
            </w:r>
          </w:p>
        </w:tc>
      </w:tr>
    </w:tbl>
    <w:p w14:paraId="1027D1A8">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rPr>
          <w:rFonts w:hint="eastAsia" w:ascii="仿宋" w:hAnsi="仿宋" w:eastAsia="仿宋" w:cs="仿宋"/>
          <w:color w:val="auto"/>
          <w:highlight w:val="none"/>
          <w:lang w:eastAsia="zh-CN"/>
        </w:rPr>
        <w:sectPr>
          <w:pgSz w:w="16838" w:h="11906" w:orient="landscape"/>
          <w:pgMar w:top="1134" w:right="1134" w:bottom="1134" w:left="1134" w:header="340" w:footer="850" w:gutter="0"/>
          <w:pgBorders>
            <w:top w:val="none" w:sz="0" w:space="0"/>
            <w:left w:val="none" w:sz="0" w:space="0"/>
            <w:bottom w:val="none" w:sz="0" w:space="0"/>
            <w:right w:val="none" w:sz="0" w:space="0"/>
          </w:pgBorders>
          <w:pgNumType w:fmt="decimal"/>
          <w:cols w:space="720" w:num="1"/>
          <w:titlePg/>
          <w:rtlGutter w:val="0"/>
          <w:docGrid w:linePitch="299" w:charSpace="0"/>
        </w:sectPr>
      </w:pPr>
    </w:p>
    <w:p w14:paraId="6329D7BF">
      <w:pPr>
        <w:pStyle w:val="28"/>
        <w:keepNext w:val="0"/>
        <w:keepLines w:val="0"/>
        <w:pageBreakBefore w:val="0"/>
        <w:widowControl w:val="0"/>
        <w:kinsoku/>
        <w:wordWrap w:val="0"/>
        <w:overflowPunct/>
        <w:topLinePunct/>
        <w:autoSpaceDE/>
        <w:autoSpaceDN/>
        <w:bidi w:val="0"/>
        <w:adjustRightInd/>
        <w:snapToGrid/>
        <w:ind w:left="0" w:leftChars="0" w:right="0"/>
        <w:jc w:val="center"/>
        <w:outlineLvl w:val="0"/>
        <w:rPr>
          <w:rStyle w:val="89"/>
          <w:rFonts w:hint="eastAsia" w:ascii="仿宋" w:hAnsi="仿宋" w:eastAsia="仿宋" w:cs="仿宋"/>
          <w:color w:val="auto"/>
          <w:highlight w:val="none"/>
          <w:lang w:eastAsia="zh-CN"/>
        </w:rPr>
      </w:pPr>
      <w:bookmarkStart w:id="1465" w:name="_Toc25682"/>
      <w:bookmarkStart w:id="1466" w:name="_Toc10006"/>
      <w:r>
        <w:rPr>
          <w:rStyle w:val="89"/>
          <w:rFonts w:hint="eastAsia" w:ascii="仿宋" w:hAnsi="仿宋" w:eastAsia="仿宋" w:cs="仿宋"/>
          <w:color w:val="auto"/>
          <w:highlight w:val="none"/>
          <w:lang w:eastAsia="zh-CN"/>
        </w:rPr>
        <w:t>第六章</w:t>
      </w:r>
      <w:r>
        <w:rPr>
          <w:rStyle w:val="89"/>
          <w:rFonts w:hint="eastAsia" w:ascii="仿宋" w:hAnsi="仿宋" w:eastAsia="仿宋" w:cs="仿宋"/>
          <w:color w:val="auto"/>
          <w:highlight w:val="none"/>
          <w:lang w:val="en-US" w:eastAsia="zh-CN"/>
        </w:rPr>
        <w:t xml:space="preserve"> </w:t>
      </w:r>
      <w:r>
        <w:rPr>
          <w:rStyle w:val="89"/>
          <w:rFonts w:hint="eastAsia" w:ascii="仿宋" w:hAnsi="仿宋" w:eastAsia="仿宋" w:cs="仿宋"/>
          <w:color w:val="auto"/>
          <w:highlight w:val="none"/>
          <w:lang w:eastAsia="zh-CN"/>
        </w:rPr>
        <w:t>投标文件格式</w:t>
      </w:r>
      <w:bookmarkEnd w:id="1292"/>
      <w:bookmarkEnd w:id="1465"/>
    </w:p>
    <w:bookmarkEnd w:id="1466"/>
    <w:p w14:paraId="4C638C6F">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b/>
          <w:color w:val="auto"/>
          <w:sz w:val="36"/>
          <w:szCs w:val="40"/>
          <w:highlight w:val="none"/>
          <w:lang w:eastAsia="zh-CN"/>
        </w:rPr>
      </w:pPr>
    </w:p>
    <w:p w14:paraId="20D6298F">
      <w:pPr>
        <w:pStyle w:val="35"/>
        <w:keepNext w:val="0"/>
        <w:keepLines w:val="0"/>
        <w:pageBreakBefore w:val="0"/>
        <w:widowControl w:val="0"/>
        <w:kinsoku/>
        <w:wordWrap w:val="0"/>
        <w:overflowPunct/>
        <w:topLinePunct/>
        <w:autoSpaceDE/>
        <w:autoSpaceDN/>
        <w:bidi w:val="0"/>
        <w:adjustRightInd/>
        <w:snapToGrid/>
        <w:spacing w:line="480" w:lineRule="auto"/>
        <w:jc w:val="left"/>
        <w:textAlignment w:val="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t xml:space="preserve">投标人编制文件须知 </w:t>
      </w:r>
    </w:p>
    <w:p w14:paraId="18A94A59">
      <w:pPr>
        <w:pStyle w:val="35"/>
        <w:keepNext w:val="0"/>
        <w:keepLines w:val="0"/>
        <w:pageBreakBefore w:val="0"/>
        <w:widowControl w:val="0"/>
        <w:kinsoku/>
        <w:wordWrap w:val="0"/>
        <w:overflowPunct/>
        <w:topLinePunct/>
        <w:autoSpaceDE/>
        <w:autoSpaceDN/>
        <w:bidi w:val="0"/>
        <w:adjustRightInd/>
        <w:snapToGrid/>
        <w:spacing w:line="480" w:lineRule="auto"/>
        <w:ind w:firstLine="480" w:firstLineChars="200"/>
        <w:jc w:val="left"/>
        <w:textAlignment w:val="auto"/>
        <w:rPr>
          <w:rFonts w:hint="eastAsia" w:ascii="仿宋" w:hAnsi="仿宋" w:eastAsia="仿宋" w:cs="仿宋"/>
          <w:b/>
          <w:bCs w:val="0"/>
          <w:color w:val="auto"/>
          <w:sz w:val="24"/>
          <w:szCs w:val="24"/>
          <w:highlight w:val="none"/>
          <w:u w:val="none"/>
        </w:rPr>
      </w:pPr>
      <w:r>
        <w:rPr>
          <w:rFonts w:hint="eastAsia" w:ascii="仿宋" w:hAnsi="仿宋" w:eastAsia="仿宋" w:cs="仿宋"/>
          <w:bCs/>
          <w:color w:val="auto"/>
          <w:sz w:val="24"/>
          <w:szCs w:val="24"/>
          <w:highlight w:val="none"/>
          <w:lang w:val="en-US" w:eastAsia="zh-CN"/>
        </w:rPr>
        <w:t>1.投标人按照本部分的顺序编制投标文件，编制中涉及格式资料的，应按照本部分提供的内容和格式（所有表格的格式可扩展）填写提交。</w:t>
      </w:r>
      <w:r>
        <w:rPr>
          <w:rFonts w:hint="eastAsia" w:ascii="仿宋" w:hAnsi="仿宋" w:eastAsia="仿宋" w:cs="仿宋"/>
          <w:b/>
          <w:bCs w:val="0"/>
          <w:color w:val="auto"/>
          <w:sz w:val="24"/>
          <w:szCs w:val="24"/>
          <w:highlight w:val="none"/>
          <w:u w:val="none"/>
          <w:lang w:val="en-US" w:eastAsia="zh-CN"/>
        </w:rPr>
        <w:t xml:space="preserve"> </w:t>
      </w:r>
    </w:p>
    <w:p w14:paraId="57FB391F">
      <w:pPr>
        <w:pStyle w:val="35"/>
        <w:keepNext w:val="0"/>
        <w:keepLines w:val="0"/>
        <w:pageBreakBefore w:val="0"/>
        <w:widowControl w:val="0"/>
        <w:kinsoku/>
        <w:wordWrap w:val="0"/>
        <w:overflowPunct/>
        <w:topLinePunct/>
        <w:autoSpaceDE/>
        <w:autoSpaceDN/>
        <w:bidi w:val="0"/>
        <w:adjustRightInd/>
        <w:snapToGrid/>
        <w:spacing w:line="480" w:lineRule="auto"/>
        <w:ind w:firstLine="480" w:firstLineChars="200"/>
        <w:jc w:val="left"/>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仿宋" w:hAnsi="仿宋" w:eastAsia="仿宋" w:cs="仿宋"/>
          <w:b/>
          <w:bCs w:val="0"/>
          <w:color w:val="auto"/>
          <w:sz w:val="24"/>
          <w:szCs w:val="24"/>
          <w:highlight w:val="none"/>
          <w:lang w:val="en-US" w:eastAsia="zh-CN"/>
        </w:rPr>
        <w:t>响应无效</w:t>
      </w:r>
      <w:r>
        <w:rPr>
          <w:rFonts w:hint="eastAsia" w:ascii="仿宋" w:hAnsi="仿宋" w:eastAsia="仿宋" w:cs="仿宋"/>
          <w:bCs/>
          <w:color w:val="auto"/>
          <w:sz w:val="24"/>
          <w:szCs w:val="24"/>
          <w:highlight w:val="none"/>
          <w:lang w:val="en-US" w:eastAsia="zh-CN"/>
        </w:rPr>
        <w:t xml:space="preserve">。未标记“实质性格式”的文件和招标文件未提供格式的内容，可由投标人自行编写。 </w:t>
      </w:r>
    </w:p>
    <w:p w14:paraId="372658A0">
      <w:pPr>
        <w:pStyle w:val="35"/>
        <w:keepNext w:val="0"/>
        <w:keepLines w:val="0"/>
        <w:pageBreakBefore w:val="0"/>
        <w:widowControl w:val="0"/>
        <w:kinsoku/>
        <w:wordWrap w:val="0"/>
        <w:overflowPunct/>
        <w:topLinePunct/>
        <w:autoSpaceDE/>
        <w:autoSpaceDN/>
        <w:bidi w:val="0"/>
        <w:adjustRightInd/>
        <w:snapToGrid/>
        <w:spacing w:line="480" w:lineRule="auto"/>
        <w:ind w:firstLine="480" w:firstLineChars="200"/>
        <w:jc w:val="left"/>
        <w:textAlignment w:val="auto"/>
        <w:rPr>
          <w:rFonts w:hint="eastAsia" w:ascii="仿宋" w:hAnsi="仿宋" w:eastAsia="仿宋" w:cs="仿宋"/>
          <w:b/>
          <w:color w:val="auto"/>
          <w:sz w:val="40"/>
          <w:szCs w:val="40"/>
          <w:highlight w:val="none"/>
          <w:lang w:eastAsia="zh-CN"/>
        </w:rPr>
        <w:sectPr>
          <w:pgSz w:w="11906" w:h="16838"/>
          <w:pgMar w:top="1134" w:right="1134" w:bottom="1134" w:left="1134" w:header="340" w:footer="907" w:gutter="0"/>
          <w:pgBorders>
            <w:top w:val="none" w:sz="0" w:space="0"/>
            <w:left w:val="none" w:sz="0" w:space="0"/>
            <w:bottom w:val="none" w:sz="0" w:space="0"/>
            <w:right w:val="none" w:sz="0" w:space="0"/>
          </w:pgBorders>
          <w:pgNumType w:fmt="decimal"/>
          <w:cols w:space="720" w:num="1"/>
          <w:titlePg/>
          <w:rtlGutter w:val="0"/>
          <w:docGrid w:linePitch="299" w:charSpace="0"/>
        </w:sectPr>
      </w:pPr>
      <w:r>
        <w:rPr>
          <w:rFonts w:hint="eastAsia" w:ascii="仿宋" w:hAnsi="仿宋" w:eastAsia="仿宋" w:cs="仿宋"/>
          <w:bCs/>
          <w:color w:val="auto"/>
          <w:sz w:val="24"/>
          <w:szCs w:val="24"/>
          <w:highlight w:val="none"/>
          <w:lang w:val="en-US" w:eastAsia="zh-CN"/>
        </w:rPr>
        <w:t>3.全部声明和问题的回答及所附材料必须是真实的、准确的和完整的。</w:t>
      </w:r>
    </w:p>
    <w:p w14:paraId="6B002D08">
      <w:pPr>
        <w:pStyle w:val="35"/>
        <w:wordWrap w:val="0"/>
        <w:spacing w:line="360" w:lineRule="auto"/>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封面格式：</w:t>
      </w:r>
    </w:p>
    <w:p w14:paraId="433B0150">
      <w:pPr>
        <w:pStyle w:val="35"/>
        <w:wordWrap w:val="0"/>
        <w:spacing w:line="360" w:lineRule="auto"/>
        <w:jc w:val="center"/>
        <w:outlineLvl w:val="1"/>
        <w:rPr>
          <w:rFonts w:hint="eastAsia" w:ascii="仿宋" w:hAnsi="仿宋" w:eastAsia="仿宋" w:cs="仿宋"/>
          <w:b/>
          <w:color w:val="auto"/>
          <w:sz w:val="40"/>
          <w:szCs w:val="44"/>
          <w:highlight w:val="none"/>
          <w:lang w:eastAsia="zh-CN"/>
        </w:rPr>
      </w:pPr>
      <w:r>
        <w:rPr>
          <w:rFonts w:hint="eastAsia" w:ascii="仿宋" w:hAnsi="仿宋" w:eastAsia="仿宋" w:cs="仿宋"/>
          <w:b/>
          <w:color w:val="auto"/>
          <w:sz w:val="64"/>
          <w:szCs w:val="64"/>
          <w:highlight w:val="none"/>
          <w:lang w:val="en-US" w:eastAsia="zh-CN"/>
        </w:rPr>
        <w:t>楚雄彝族自治州人民医院2026年行政后勤物资采购项目</w:t>
      </w:r>
    </w:p>
    <w:p w14:paraId="4C1B520A">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color w:val="auto"/>
          <w:sz w:val="36"/>
          <w:szCs w:val="40"/>
          <w:highlight w:val="none"/>
          <w:lang w:eastAsia="zh-CN"/>
        </w:rPr>
      </w:pPr>
    </w:p>
    <w:p w14:paraId="5F1AC2E6">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color w:val="auto"/>
          <w:sz w:val="36"/>
          <w:szCs w:val="40"/>
          <w:highlight w:val="none"/>
          <w:lang w:eastAsia="zh-CN"/>
        </w:rPr>
      </w:pPr>
    </w:p>
    <w:p w14:paraId="0C37A061">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color w:val="auto"/>
          <w:sz w:val="40"/>
          <w:szCs w:val="44"/>
          <w:highlight w:val="none"/>
          <w:lang w:eastAsia="zh-CN"/>
        </w:rPr>
      </w:pPr>
    </w:p>
    <w:p w14:paraId="70BC559F">
      <w:pPr>
        <w:keepNext w:val="0"/>
        <w:keepLines w:val="0"/>
        <w:pageBreakBefore w:val="0"/>
        <w:widowControl w:val="0"/>
        <w:kinsoku/>
        <w:wordWrap w:val="0"/>
        <w:overflowPunct/>
        <w:topLinePunct/>
        <w:autoSpaceDE/>
        <w:autoSpaceDN/>
        <w:bidi w:val="0"/>
        <w:adjustRightInd/>
        <w:snapToGrid/>
        <w:ind w:left="0" w:leftChars="0" w:right="0"/>
        <w:jc w:val="both"/>
        <w:rPr>
          <w:rFonts w:hint="eastAsia" w:ascii="仿宋" w:hAnsi="仿宋" w:eastAsia="仿宋" w:cs="仿宋"/>
          <w:b/>
          <w:color w:val="auto"/>
          <w:sz w:val="40"/>
          <w:szCs w:val="44"/>
          <w:highlight w:val="none"/>
          <w:lang w:eastAsia="zh-CN"/>
        </w:rPr>
      </w:pPr>
    </w:p>
    <w:p w14:paraId="3DD383D5">
      <w:pPr>
        <w:keepNext w:val="0"/>
        <w:keepLines w:val="0"/>
        <w:pageBreakBefore w:val="0"/>
        <w:widowControl w:val="0"/>
        <w:tabs>
          <w:tab w:val="left" w:pos="5834"/>
        </w:tabs>
        <w:kinsoku/>
        <w:wordWrap w:val="0"/>
        <w:overflowPunct/>
        <w:topLinePunct/>
        <w:autoSpaceDE/>
        <w:autoSpaceDN/>
        <w:bidi w:val="0"/>
        <w:adjustRightInd/>
        <w:snapToGrid/>
        <w:spacing w:line="480" w:lineRule="auto"/>
        <w:ind w:right="0" w:firstLine="2875" w:firstLineChars="800"/>
        <w:jc w:val="both"/>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pacing w:val="-1"/>
          <w:sz w:val="36"/>
          <w:szCs w:val="36"/>
          <w:highlight w:val="none"/>
          <w:lang w:val="zh-CN" w:eastAsia="zh-CN"/>
        </w:rPr>
        <w:t>项目编号</w:t>
      </w:r>
      <w:r>
        <w:rPr>
          <w:rFonts w:hint="eastAsia" w:ascii="仿宋" w:hAnsi="仿宋" w:eastAsia="仿宋" w:cs="仿宋"/>
          <w:b/>
          <w:color w:val="auto"/>
          <w:spacing w:val="-1"/>
          <w:sz w:val="36"/>
          <w:szCs w:val="36"/>
          <w:highlight w:val="none"/>
          <w:lang w:eastAsia="zh-CN"/>
        </w:rPr>
        <w:t>：</w:t>
      </w:r>
      <w:r>
        <w:rPr>
          <w:rFonts w:hint="eastAsia" w:ascii="仿宋" w:hAnsi="仿宋" w:eastAsia="仿宋" w:cs="仿宋"/>
          <w:b/>
          <w:color w:val="auto"/>
          <w:spacing w:val="-1"/>
          <w:sz w:val="36"/>
          <w:szCs w:val="36"/>
          <w:highlight w:val="none"/>
          <w:u w:val="single"/>
          <w:lang w:val="en-US" w:eastAsia="zh-CN"/>
        </w:rPr>
        <w:t xml:space="preserve">              </w:t>
      </w:r>
    </w:p>
    <w:p w14:paraId="5C36C8DD">
      <w:pPr>
        <w:keepNext w:val="0"/>
        <w:keepLines w:val="0"/>
        <w:pageBreakBefore w:val="0"/>
        <w:widowControl w:val="0"/>
        <w:kinsoku/>
        <w:wordWrap w:val="0"/>
        <w:overflowPunct/>
        <w:topLinePunct/>
        <w:autoSpaceDE/>
        <w:autoSpaceDN/>
        <w:bidi w:val="0"/>
        <w:adjustRightInd/>
        <w:snapToGrid/>
        <w:spacing w:line="480" w:lineRule="auto"/>
        <w:ind w:left="0" w:leftChars="0" w:right="0"/>
        <w:jc w:val="center"/>
        <w:rPr>
          <w:rFonts w:hint="eastAsia" w:ascii="仿宋" w:hAnsi="仿宋" w:eastAsia="仿宋" w:cs="仿宋"/>
          <w:b/>
          <w:color w:val="auto"/>
          <w:sz w:val="40"/>
          <w:szCs w:val="44"/>
          <w:highlight w:val="none"/>
          <w:lang w:eastAsia="zh-CN"/>
        </w:rPr>
      </w:pPr>
      <w:r>
        <w:rPr>
          <w:rFonts w:hint="eastAsia" w:ascii="仿宋" w:hAnsi="仿宋" w:eastAsia="仿宋" w:cs="仿宋"/>
          <w:b/>
          <w:color w:val="auto"/>
          <w:spacing w:val="-1"/>
          <w:sz w:val="36"/>
          <w:szCs w:val="36"/>
          <w:highlight w:val="none"/>
          <w:lang w:val="en-US" w:eastAsia="zh-CN"/>
        </w:rPr>
        <w:t xml:space="preserve">   </w:t>
      </w:r>
      <w:r>
        <w:rPr>
          <w:rFonts w:hint="eastAsia" w:ascii="仿宋" w:hAnsi="仿宋" w:eastAsia="仿宋" w:cs="仿宋"/>
          <w:b/>
          <w:color w:val="auto"/>
          <w:sz w:val="40"/>
          <w:szCs w:val="44"/>
          <w:highlight w:val="none"/>
          <w:lang w:val="en-US" w:eastAsia="zh-CN"/>
        </w:rPr>
        <w:t xml:space="preserve"> </w:t>
      </w:r>
    </w:p>
    <w:p w14:paraId="3EE4F4D5">
      <w:pPr>
        <w:keepNext w:val="0"/>
        <w:keepLines w:val="0"/>
        <w:pageBreakBefore w:val="0"/>
        <w:widowControl w:val="0"/>
        <w:kinsoku/>
        <w:wordWrap w:val="0"/>
        <w:overflowPunct/>
        <w:topLinePunct/>
        <w:autoSpaceDE/>
        <w:autoSpaceDN/>
        <w:bidi w:val="0"/>
        <w:adjustRightInd/>
        <w:snapToGrid/>
        <w:ind w:left="0" w:leftChars="0" w:right="0"/>
        <w:jc w:val="both"/>
        <w:rPr>
          <w:rFonts w:hint="eastAsia" w:ascii="仿宋" w:hAnsi="仿宋" w:eastAsia="仿宋" w:cs="仿宋"/>
          <w:b/>
          <w:color w:val="auto"/>
          <w:sz w:val="40"/>
          <w:szCs w:val="44"/>
          <w:highlight w:val="none"/>
          <w:lang w:eastAsia="zh-CN"/>
        </w:rPr>
      </w:pPr>
    </w:p>
    <w:p w14:paraId="4C47A7E7">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color w:val="auto"/>
          <w:sz w:val="72"/>
          <w:szCs w:val="28"/>
          <w:highlight w:val="none"/>
          <w:lang w:eastAsia="zh-CN"/>
        </w:rPr>
      </w:pPr>
      <w:r>
        <w:rPr>
          <w:rFonts w:hint="eastAsia" w:ascii="仿宋" w:hAnsi="仿宋" w:eastAsia="仿宋" w:cs="仿宋"/>
          <w:b/>
          <w:bCs/>
          <w:color w:val="auto"/>
          <w:sz w:val="72"/>
          <w:szCs w:val="28"/>
          <w:highlight w:val="none"/>
          <w:lang w:eastAsia="zh-CN"/>
        </w:rPr>
        <w:t>投 标 文 件</w:t>
      </w:r>
    </w:p>
    <w:p w14:paraId="25AC22DE">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40"/>
          <w:szCs w:val="44"/>
          <w:highlight w:val="none"/>
          <w:lang w:eastAsia="zh-CN"/>
        </w:rPr>
      </w:pPr>
    </w:p>
    <w:p w14:paraId="77E0FBBB">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40"/>
          <w:szCs w:val="44"/>
          <w:highlight w:val="none"/>
          <w:lang w:eastAsia="zh-CN"/>
        </w:rPr>
      </w:pPr>
    </w:p>
    <w:p w14:paraId="3D8D6485">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highlight w:val="none"/>
          <w:lang w:eastAsia="zh-CN"/>
        </w:rPr>
      </w:pPr>
    </w:p>
    <w:p w14:paraId="336CA569">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highlight w:val="none"/>
          <w:lang w:eastAsia="zh-CN"/>
        </w:rPr>
      </w:pPr>
    </w:p>
    <w:p w14:paraId="1A273818">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rPr>
          <w:rFonts w:hint="eastAsia" w:ascii="仿宋" w:hAnsi="仿宋" w:eastAsia="仿宋" w:cs="仿宋"/>
          <w:b/>
          <w:color w:val="auto"/>
          <w:sz w:val="24"/>
          <w:szCs w:val="28"/>
          <w:highlight w:val="none"/>
          <w:lang w:eastAsia="zh-CN"/>
        </w:rPr>
      </w:pPr>
    </w:p>
    <w:p w14:paraId="392D20E1">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rPr>
          <w:rFonts w:hint="eastAsia" w:ascii="仿宋" w:hAnsi="仿宋" w:eastAsia="仿宋" w:cs="仿宋"/>
          <w:b/>
          <w:color w:val="auto"/>
          <w:sz w:val="24"/>
          <w:szCs w:val="28"/>
          <w:highlight w:val="none"/>
          <w:lang w:eastAsia="zh-CN"/>
        </w:rPr>
      </w:pPr>
    </w:p>
    <w:p w14:paraId="738ADFD4">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b/>
          <w:color w:val="auto"/>
          <w:sz w:val="24"/>
          <w:szCs w:val="28"/>
          <w:highlight w:val="none"/>
          <w:lang w:eastAsia="zh-CN"/>
        </w:rPr>
      </w:pPr>
      <w:r>
        <w:rPr>
          <w:rFonts w:hint="eastAsia" w:ascii="仿宋" w:hAnsi="仿宋" w:eastAsia="仿宋" w:cs="仿宋"/>
          <w:b/>
          <w:color w:val="auto"/>
          <w:sz w:val="24"/>
          <w:szCs w:val="28"/>
          <w:highlight w:val="none"/>
          <w:lang w:eastAsia="zh-CN"/>
        </w:rPr>
        <w:t>投标人：</w:t>
      </w:r>
      <w:r>
        <w:rPr>
          <w:rFonts w:hint="eastAsia" w:ascii="仿宋" w:hAnsi="仿宋" w:eastAsia="仿宋" w:cs="仿宋"/>
          <w:b/>
          <w:color w:val="auto"/>
          <w:sz w:val="24"/>
          <w:szCs w:val="28"/>
          <w:highlight w:val="none"/>
          <w:u w:val="single"/>
          <w:lang w:val="en-US" w:eastAsia="zh-CN"/>
        </w:rPr>
        <w:t xml:space="preserve">                                </w:t>
      </w:r>
      <w:r>
        <w:rPr>
          <w:rFonts w:hint="eastAsia" w:ascii="仿宋" w:hAnsi="仿宋" w:eastAsia="仿宋" w:cs="仿宋"/>
          <w:b/>
          <w:color w:val="auto"/>
          <w:sz w:val="24"/>
          <w:szCs w:val="28"/>
          <w:highlight w:val="none"/>
          <w:lang w:eastAsia="zh-CN"/>
        </w:rPr>
        <w:t>（电子公章）</w:t>
      </w:r>
    </w:p>
    <w:p w14:paraId="3C4E5CC1">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jc w:val="both"/>
        <w:rPr>
          <w:rFonts w:hint="eastAsia" w:ascii="仿宋" w:hAnsi="仿宋" w:eastAsia="仿宋" w:cs="仿宋"/>
          <w:b/>
          <w:color w:val="auto"/>
          <w:spacing w:val="-1"/>
          <w:sz w:val="24"/>
          <w:szCs w:val="28"/>
          <w:highlight w:val="none"/>
          <w:lang w:eastAsia="zh-CN"/>
        </w:rPr>
      </w:pPr>
    </w:p>
    <w:p w14:paraId="6F9BAF3D">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b/>
          <w:color w:val="auto"/>
          <w:spacing w:val="-1"/>
          <w:sz w:val="24"/>
          <w:szCs w:val="28"/>
          <w:highlight w:val="none"/>
          <w:lang w:eastAsia="zh-CN"/>
        </w:rPr>
      </w:pPr>
      <w:r>
        <w:rPr>
          <w:rFonts w:hint="eastAsia" w:ascii="仿宋" w:hAnsi="仿宋" w:eastAsia="仿宋" w:cs="仿宋"/>
          <w:b/>
          <w:color w:val="auto"/>
          <w:spacing w:val="-1"/>
          <w:sz w:val="24"/>
          <w:szCs w:val="28"/>
          <w:highlight w:val="none"/>
          <w:lang w:eastAsia="zh-CN"/>
        </w:rPr>
        <w:t>法定代表人或其委托代理人：</w:t>
      </w:r>
      <w:r>
        <w:rPr>
          <w:rFonts w:hint="eastAsia" w:ascii="仿宋" w:hAnsi="仿宋" w:eastAsia="仿宋" w:cs="仿宋"/>
          <w:b/>
          <w:color w:val="auto"/>
          <w:spacing w:val="-1"/>
          <w:sz w:val="24"/>
          <w:szCs w:val="28"/>
          <w:highlight w:val="none"/>
          <w:u w:val="single"/>
          <w:lang w:val="en-US" w:eastAsia="zh-CN"/>
        </w:rPr>
        <w:t xml:space="preserve">              </w:t>
      </w:r>
      <w:r>
        <w:rPr>
          <w:rFonts w:hint="eastAsia" w:ascii="仿宋" w:hAnsi="仿宋" w:eastAsia="仿宋" w:cs="仿宋"/>
          <w:b/>
          <w:color w:val="auto"/>
          <w:spacing w:val="-1"/>
          <w:sz w:val="24"/>
          <w:szCs w:val="28"/>
          <w:highlight w:val="none"/>
          <w:lang w:eastAsia="zh-CN"/>
        </w:rPr>
        <w:t>（电子签名）</w:t>
      </w:r>
    </w:p>
    <w:p w14:paraId="7C58D363">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b/>
          <w:color w:val="auto"/>
          <w:sz w:val="24"/>
          <w:szCs w:val="28"/>
          <w:highlight w:val="none"/>
          <w:u w:val="none" w:color="auto"/>
          <w:lang w:val="en-US" w:eastAsia="zh-CN"/>
        </w:rPr>
      </w:pPr>
    </w:p>
    <w:p w14:paraId="2F46108C">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color w:val="auto"/>
          <w:sz w:val="21"/>
          <w:highlight w:val="none"/>
          <w:lang w:eastAsia="zh-CN"/>
        </w:rPr>
        <w:sectPr>
          <w:pgSz w:w="11906" w:h="16838"/>
          <w:pgMar w:top="1134" w:right="1134" w:bottom="1134" w:left="1134" w:header="340" w:footer="907" w:gutter="0"/>
          <w:pgBorders>
            <w:top w:val="none" w:sz="0" w:space="0"/>
            <w:left w:val="none" w:sz="0" w:space="0"/>
            <w:bottom w:val="none" w:sz="0" w:space="0"/>
            <w:right w:val="none" w:sz="0" w:space="0"/>
          </w:pgBorders>
          <w:pgNumType w:fmt="decimal"/>
          <w:cols w:space="720" w:num="1"/>
          <w:titlePg/>
          <w:rtlGutter w:val="0"/>
          <w:docGrid w:linePitch="299" w:charSpace="0"/>
        </w:sectPr>
      </w:pPr>
      <w:r>
        <w:rPr>
          <w:rFonts w:hint="eastAsia" w:ascii="仿宋" w:hAnsi="仿宋" w:eastAsia="仿宋" w:cs="仿宋"/>
          <w:b/>
          <w:color w:val="auto"/>
          <w:sz w:val="24"/>
          <w:szCs w:val="28"/>
          <w:highlight w:val="none"/>
          <w:u w:val="none" w:color="auto"/>
          <w:lang w:val="en-US" w:eastAsia="zh-CN"/>
        </w:rPr>
        <w:t>日期：</w:t>
      </w:r>
      <w:r>
        <w:rPr>
          <w:rFonts w:hint="eastAsia" w:ascii="仿宋" w:hAnsi="仿宋" w:eastAsia="仿宋" w:cs="仿宋"/>
          <w:b/>
          <w:color w:val="auto"/>
          <w:sz w:val="24"/>
          <w:szCs w:val="28"/>
          <w:highlight w:val="none"/>
          <w:u w:val="single" w:color="auto"/>
          <w:lang w:val="en-US" w:eastAsia="zh-CN"/>
        </w:rPr>
        <w:t xml:space="preserve">     </w:t>
      </w:r>
      <w:r>
        <w:rPr>
          <w:rFonts w:hint="eastAsia" w:ascii="仿宋" w:hAnsi="仿宋" w:eastAsia="仿宋" w:cs="仿宋"/>
          <w:b/>
          <w:color w:val="auto"/>
          <w:sz w:val="24"/>
          <w:szCs w:val="28"/>
          <w:highlight w:val="none"/>
          <w:lang w:eastAsia="zh-CN"/>
        </w:rPr>
        <w:t>年</w:t>
      </w:r>
      <w:r>
        <w:rPr>
          <w:rFonts w:hint="eastAsia" w:ascii="仿宋" w:hAnsi="仿宋" w:eastAsia="仿宋" w:cs="仿宋"/>
          <w:b/>
          <w:color w:val="auto"/>
          <w:sz w:val="24"/>
          <w:szCs w:val="28"/>
          <w:highlight w:val="none"/>
          <w:u w:val="single" w:color="auto"/>
          <w:lang w:val="en-US" w:eastAsia="zh-CN"/>
        </w:rPr>
        <w:t xml:space="preserve">     </w:t>
      </w:r>
      <w:r>
        <w:rPr>
          <w:rFonts w:hint="eastAsia" w:ascii="仿宋" w:hAnsi="仿宋" w:eastAsia="仿宋" w:cs="仿宋"/>
          <w:b/>
          <w:color w:val="auto"/>
          <w:sz w:val="24"/>
          <w:szCs w:val="28"/>
          <w:highlight w:val="none"/>
          <w:lang w:eastAsia="zh-CN"/>
        </w:rPr>
        <w:t>月</w:t>
      </w:r>
      <w:r>
        <w:rPr>
          <w:rFonts w:hint="eastAsia" w:ascii="仿宋" w:hAnsi="仿宋" w:eastAsia="仿宋" w:cs="仿宋"/>
          <w:b/>
          <w:color w:val="auto"/>
          <w:sz w:val="24"/>
          <w:szCs w:val="28"/>
          <w:highlight w:val="none"/>
          <w:u w:val="single" w:color="auto"/>
          <w:lang w:val="en-US" w:eastAsia="zh-CN"/>
        </w:rPr>
        <w:t xml:space="preserve">     </w:t>
      </w:r>
      <w:r>
        <w:rPr>
          <w:rFonts w:hint="eastAsia" w:ascii="仿宋" w:hAnsi="仿宋" w:eastAsia="仿宋" w:cs="仿宋"/>
          <w:b/>
          <w:color w:val="auto"/>
          <w:sz w:val="24"/>
          <w:szCs w:val="28"/>
          <w:highlight w:val="none"/>
          <w:lang w:eastAsia="zh-CN"/>
        </w:rPr>
        <w:t>日</w:t>
      </w:r>
      <w:bookmarkStart w:id="1467" w:name="_Toc486584248"/>
      <w:bookmarkStart w:id="1468" w:name="_Toc450064600"/>
      <w:bookmarkStart w:id="1469" w:name="_Toc451856213"/>
      <w:bookmarkStart w:id="1470" w:name="_Toc520749005"/>
      <w:bookmarkStart w:id="1471" w:name="_Toc145164057"/>
      <w:bookmarkStart w:id="1472" w:name="_Toc529957200"/>
      <w:bookmarkStart w:id="1473" w:name="_Toc10117026"/>
      <w:bookmarkStart w:id="1474" w:name="_Toc389644551"/>
    </w:p>
    <w:bookmarkEnd w:id="1467"/>
    <w:bookmarkEnd w:id="1468"/>
    <w:bookmarkEnd w:id="1469"/>
    <w:bookmarkEnd w:id="1470"/>
    <w:bookmarkEnd w:id="1471"/>
    <w:bookmarkEnd w:id="1472"/>
    <w:bookmarkEnd w:id="1473"/>
    <w:bookmarkEnd w:id="1474"/>
    <w:p w14:paraId="08D97270">
      <w:pPr>
        <w:pStyle w:val="3"/>
        <w:keepNext w:val="0"/>
        <w:keepLines w:val="0"/>
        <w:pageBreakBefore w:val="0"/>
        <w:widowControl w:val="0"/>
        <w:kinsoku/>
        <w:wordWrap w:val="0"/>
        <w:overflowPunct/>
        <w:topLinePunct/>
        <w:autoSpaceDE/>
        <w:autoSpaceDN/>
        <w:bidi w:val="0"/>
        <w:adjustRightInd/>
        <w:snapToGrid/>
        <w:spacing w:before="0" w:after="0"/>
        <w:ind w:left="0" w:leftChars="0" w:right="0"/>
        <w:rPr>
          <w:rFonts w:hint="eastAsia" w:ascii="仿宋" w:hAnsi="仿宋" w:eastAsia="仿宋" w:cs="仿宋"/>
          <w:color w:val="auto"/>
          <w:sz w:val="32"/>
          <w:szCs w:val="32"/>
          <w:highlight w:val="none"/>
          <w:lang w:val="en-US" w:eastAsia="zh-CN"/>
        </w:rPr>
      </w:pPr>
      <w:bookmarkStart w:id="1475" w:name="_Toc11975"/>
      <w:bookmarkStart w:id="1476" w:name="_Toc30478"/>
      <w:bookmarkStart w:id="1477" w:name="_Toc14819"/>
      <w:bookmarkStart w:id="1478" w:name="_Toc16060"/>
      <w:bookmarkStart w:id="1479" w:name="_Toc12446"/>
      <w:bookmarkStart w:id="1480" w:name="_Toc4306"/>
      <w:bookmarkStart w:id="1481" w:name="_Toc30229"/>
      <w:bookmarkStart w:id="1482" w:name="_Toc21991"/>
      <w:bookmarkStart w:id="1483" w:name="_Toc20556"/>
      <w:bookmarkStart w:id="1484" w:name="_Toc17869"/>
      <w:bookmarkStart w:id="1485" w:name="_Toc12779"/>
      <w:bookmarkStart w:id="1486" w:name="_Toc145164058"/>
      <w:bookmarkStart w:id="1487" w:name="_Toc10812"/>
      <w:r>
        <w:rPr>
          <w:rFonts w:hint="eastAsia" w:ascii="仿宋" w:hAnsi="仿宋" w:eastAsia="仿宋" w:cs="仿宋"/>
          <w:color w:val="auto"/>
          <w:highlight w:val="none"/>
          <w:lang w:eastAsia="zh-CN"/>
        </w:rPr>
        <w:t>资格文件</w:t>
      </w:r>
    </w:p>
    <w:bookmarkEnd w:id="1475"/>
    <w:bookmarkEnd w:id="1476"/>
    <w:bookmarkEnd w:id="1477"/>
    <w:bookmarkEnd w:id="1478"/>
    <w:bookmarkEnd w:id="1479"/>
    <w:bookmarkEnd w:id="1480"/>
    <w:bookmarkEnd w:id="1481"/>
    <w:bookmarkEnd w:id="1482"/>
    <w:bookmarkEnd w:id="1483"/>
    <w:bookmarkEnd w:id="1484"/>
    <w:bookmarkEnd w:id="1485"/>
    <w:bookmarkEnd w:id="1486"/>
    <w:bookmarkEnd w:id="1487"/>
    <w:p w14:paraId="4DD773AC">
      <w:pPr>
        <w:pStyle w:val="4"/>
        <w:numPr>
          <w:ilvl w:val="0"/>
          <w:numId w:val="0"/>
        </w:numPr>
        <w:tabs>
          <w:tab w:val="left" w:pos="900"/>
          <w:tab w:val="left" w:pos="1588"/>
        </w:tabs>
        <w:wordWrap w:val="0"/>
        <w:overflowPunct w:val="0"/>
        <w:topLinePunct/>
        <w:adjustRightInd/>
        <w:ind w:left="0" w:leftChars="0" w:firstLine="0" w:firstLineChars="0"/>
        <w:jc w:val="center"/>
        <w:outlineLvl w:val="1"/>
        <w:rPr>
          <w:rFonts w:hint="eastAsia" w:ascii="仿宋" w:hAnsi="仿宋" w:eastAsia="仿宋" w:cs="仿宋"/>
          <w:b/>
          <w:bCs/>
          <w:color w:val="auto"/>
          <w:sz w:val="28"/>
          <w:szCs w:val="28"/>
          <w:highlight w:val="none"/>
        </w:rPr>
      </w:pPr>
      <w:bookmarkStart w:id="1488" w:name="_Toc9399"/>
      <w:bookmarkStart w:id="1489" w:name="_Toc25187"/>
      <w:bookmarkStart w:id="1490" w:name="_Toc8669"/>
      <w:bookmarkStart w:id="1491" w:name="_Toc12367"/>
      <w:bookmarkStart w:id="1492" w:name="_Toc9112"/>
      <w:bookmarkStart w:id="1493" w:name="_Toc23877"/>
      <w:bookmarkStart w:id="1494" w:name="_Toc15311"/>
      <w:bookmarkStart w:id="1495" w:name="_Toc14542"/>
      <w:bookmarkStart w:id="1496" w:name="_Toc20443"/>
      <w:bookmarkStart w:id="1497" w:name="_Toc485"/>
      <w:bookmarkStart w:id="1498" w:name="_Toc17112"/>
      <w:bookmarkStart w:id="1499" w:name="_Toc28205"/>
      <w:bookmarkStart w:id="1500" w:name="_Toc29724"/>
      <w:bookmarkStart w:id="1501" w:name="_Toc11495"/>
      <w:bookmarkStart w:id="1502" w:name="_Toc7165"/>
      <w:bookmarkStart w:id="1503" w:name="_Toc28803"/>
      <w:bookmarkStart w:id="1504" w:name="_Toc24304"/>
      <w:bookmarkStart w:id="1505" w:name="_Toc17095"/>
      <w:bookmarkStart w:id="1506" w:name="_Toc10117028"/>
      <w:bookmarkStart w:id="1507" w:name="_Toc8362"/>
      <w:bookmarkStart w:id="1508" w:name="_Toc27820"/>
      <w:bookmarkStart w:id="1509" w:name="_Toc520749007"/>
      <w:bookmarkStart w:id="1510" w:name="_Toc32506"/>
      <w:bookmarkStart w:id="1511" w:name="_Toc16314"/>
      <w:bookmarkStart w:id="1512" w:name="_Toc8243"/>
      <w:bookmarkStart w:id="1513" w:name="_Toc6430"/>
      <w:bookmarkStart w:id="1514" w:name="_Toc14046"/>
      <w:bookmarkStart w:id="1515" w:name="_Toc89951837"/>
      <w:bookmarkStart w:id="1516" w:name="_Toc13388"/>
      <w:bookmarkStart w:id="1517" w:name="_Toc25201"/>
      <w:bookmarkStart w:id="1518" w:name="_Toc29111"/>
      <w:bookmarkStart w:id="1519" w:name="_Toc25485"/>
      <w:bookmarkStart w:id="1520" w:name="_Toc2489"/>
      <w:r>
        <w:rPr>
          <w:rFonts w:hint="eastAsia" w:ascii="仿宋" w:hAnsi="仿宋" w:eastAsia="仿宋" w:cs="仿宋"/>
          <w:b/>
          <w:bCs/>
          <w:color w:val="auto"/>
          <w:kern w:val="0"/>
          <w:sz w:val="28"/>
          <w:szCs w:val="28"/>
          <w:highlight w:val="none"/>
          <w:lang w:val="en-US" w:eastAsia="zh-CN" w:bidi="ar-SA"/>
        </w:rPr>
        <w:t>一、</w:t>
      </w:r>
      <w:r>
        <w:rPr>
          <w:rFonts w:hint="eastAsia" w:ascii="仿宋" w:hAnsi="仿宋" w:eastAsia="仿宋" w:cs="仿宋"/>
          <w:b/>
          <w:bCs/>
          <w:color w:val="auto"/>
          <w:sz w:val="28"/>
          <w:szCs w:val="28"/>
          <w:highlight w:val="none"/>
        </w:rPr>
        <w:t>具有独立承担民事责任的能力</w:t>
      </w:r>
      <w:bookmarkEnd w:id="1488"/>
      <w:bookmarkEnd w:id="1489"/>
      <w:bookmarkEnd w:id="1490"/>
      <w:bookmarkEnd w:id="1491"/>
      <w:bookmarkEnd w:id="1492"/>
      <w:r>
        <w:rPr>
          <w:rFonts w:hint="eastAsia" w:ascii="仿宋" w:hAnsi="仿宋" w:eastAsia="仿宋" w:cs="仿宋"/>
          <w:b/>
          <w:bCs/>
          <w:color w:val="auto"/>
          <w:sz w:val="28"/>
          <w:szCs w:val="28"/>
          <w:highlight w:val="none"/>
          <w:lang w:val="en-US" w:eastAsia="zh-CN"/>
        </w:rPr>
        <w:t>（实质性格式）</w:t>
      </w:r>
      <w:bookmarkEnd w:id="1493"/>
      <w:bookmarkEnd w:id="1494"/>
      <w:bookmarkEnd w:id="1495"/>
      <w:bookmarkEnd w:id="1496"/>
      <w:r>
        <w:rPr>
          <w:rFonts w:hint="eastAsia" w:ascii="仿宋" w:hAnsi="仿宋" w:eastAsia="仿宋" w:cs="仿宋"/>
          <w:b/>
          <w:bCs/>
          <w:color w:val="auto"/>
          <w:sz w:val="28"/>
          <w:szCs w:val="28"/>
          <w:highlight w:val="none"/>
          <w:lang w:val="en-US" w:eastAsia="zh-CN"/>
        </w:rPr>
        <w:t xml:space="preserve"> </w:t>
      </w:r>
    </w:p>
    <w:p w14:paraId="57A4A1DE">
      <w:pPr>
        <w:pStyle w:val="4"/>
        <w:numPr>
          <w:ilvl w:val="0"/>
          <w:numId w:val="0"/>
        </w:numPr>
        <w:tabs>
          <w:tab w:val="left" w:pos="900"/>
          <w:tab w:val="left" w:pos="1588"/>
        </w:tabs>
        <w:wordWrap w:val="0"/>
        <w:overflowPunct w:val="0"/>
        <w:topLinePunct/>
        <w:adjustRightInd/>
        <w:ind w:leftChars="0"/>
        <w:jc w:val="center"/>
        <w:rPr>
          <w:rFonts w:hint="eastAsia" w:ascii="仿宋" w:hAnsi="仿宋" w:eastAsia="仿宋" w:cs="仿宋"/>
          <w:color w:val="auto"/>
          <w:highlight w:val="none"/>
        </w:rPr>
      </w:pPr>
      <w:bookmarkStart w:id="1521" w:name="_Toc331"/>
      <w:bookmarkStart w:id="1522" w:name="_Toc3886"/>
      <w:bookmarkStart w:id="1523" w:name="_Toc29767"/>
      <w:bookmarkStart w:id="1524" w:name="_Toc19573"/>
      <w:bookmarkStart w:id="1525" w:name="_Toc2516"/>
      <w:bookmarkStart w:id="1526" w:name="_Toc18023"/>
      <w:bookmarkStart w:id="1527" w:name="_Toc16770"/>
      <w:bookmarkStart w:id="1528" w:name="_Toc11894"/>
      <w:bookmarkStart w:id="1529" w:name="_Toc825"/>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1</w:t>
      </w:r>
      <w:r>
        <w:rPr>
          <w:rFonts w:hint="eastAsia" w:ascii="仿宋" w:hAnsi="仿宋" w:eastAsia="仿宋" w:cs="仿宋"/>
          <w:b/>
          <w:bCs/>
          <w:color w:val="auto"/>
          <w:sz w:val="28"/>
          <w:szCs w:val="28"/>
          <w:highlight w:val="none"/>
          <w:lang w:eastAsia="zh-CN"/>
        </w:rPr>
        <w:t>）投标人</w:t>
      </w:r>
      <w:r>
        <w:rPr>
          <w:rFonts w:hint="eastAsia" w:ascii="仿宋" w:hAnsi="仿宋" w:eastAsia="仿宋" w:cs="仿宋"/>
          <w:b/>
          <w:bCs/>
          <w:color w:val="auto"/>
          <w:sz w:val="28"/>
          <w:szCs w:val="28"/>
          <w:highlight w:val="none"/>
        </w:rPr>
        <w:t>基本情况表</w:t>
      </w:r>
      <w:bookmarkEnd w:id="1497"/>
      <w:bookmarkEnd w:id="1498"/>
      <w:bookmarkEnd w:id="1499"/>
      <w:bookmarkEnd w:id="1500"/>
      <w:bookmarkEnd w:id="1501"/>
      <w:bookmarkEnd w:id="1502"/>
      <w:bookmarkEnd w:id="1503"/>
      <w:bookmarkEnd w:id="1504"/>
      <w:bookmarkEnd w:id="1505"/>
      <w:bookmarkEnd w:id="1521"/>
      <w:bookmarkEnd w:id="1522"/>
      <w:bookmarkEnd w:id="1523"/>
      <w:bookmarkEnd w:id="1524"/>
      <w:bookmarkEnd w:id="1525"/>
      <w:bookmarkEnd w:id="1526"/>
      <w:bookmarkEnd w:id="1527"/>
      <w:bookmarkEnd w:id="1528"/>
      <w:bookmarkEnd w:id="1529"/>
    </w:p>
    <w:tbl>
      <w:tblPr>
        <w:tblStyle w:val="67"/>
        <w:tblW w:w="917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79"/>
        <w:gridCol w:w="3859"/>
        <w:gridCol w:w="4738"/>
      </w:tblGrid>
      <w:tr w14:paraId="1EFC15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2471756D">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0C9DCB96">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企业名称：</w:t>
            </w:r>
          </w:p>
        </w:tc>
      </w:tr>
      <w:tr w14:paraId="37F008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6EE85120">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7FF02EFD">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总部地址：</w:t>
            </w:r>
          </w:p>
        </w:tc>
      </w:tr>
      <w:tr w14:paraId="196B9B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2AB916EA">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1C4D7249">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当地代表处地址：</w:t>
            </w:r>
          </w:p>
        </w:tc>
      </w:tr>
      <w:tr w14:paraId="29B440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68B02C3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p>
        </w:tc>
        <w:tc>
          <w:tcPr>
            <w:tcW w:w="3859" w:type="dxa"/>
            <w:tcBorders>
              <w:top w:val="single" w:color="auto" w:sz="6" w:space="0"/>
              <w:left w:val="single" w:color="auto" w:sz="6" w:space="0"/>
              <w:bottom w:val="single" w:color="auto" w:sz="6" w:space="0"/>
              <w:right w:val="single" w:color="auto" w:sz="6" w:space="0"/>
            </w:tcBorders>
            <w:vAlign w:val="center"/>
          </w:tcPr>
          <w:p w14:paraId="3C1C98CA">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电话：</w:t>
            </w:r>
          </w:p>
        </w:tc>
        <w:tc>
          <w:tcPr>
            <w:tcW w:w="4738" w:type="dxa"/>
            <w:tcBorders>
              <w:top w:val="single" w:color="auto" w:sz="6" w:space="0"/>
              <w:left w:val="single" w:color="auto" w:sz="6" w:space="0"/>
              <w:bottom w:val="single" w:color="auto" w:sz="6" w:space="0"/>
              <w:right w:val="single" w:color="auto" w:sz="6" w:space="0"/>
            </w:tcBorders>
            <w:vAlign w:val="center"/>
          </w:tcPr>
          <w:p w14:paraId="0A3E7BB2">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联系人：</w:t>
            </w:r>
          </w:p>
        </w:tc>
      </w:tr>
      <w:tr w14:paraId="7E3B9E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3C59743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5</w:t>
            </w:r>
          </w:p>
        </w:tc>
        <w:tc>
          <w:tcPr>
            <w:tcW w:w="3859" w:type="dxa"/>
            <w:tcBorders>
              <w:top w:val="single" w:color="auto" w:sz="6" w:space="0"/>
              <w:left w:val="single" w:color="auto" w:sz="6" w:space="0"/>
              <w:bottom w:val="single" w:color="auto" w:sz="6" w:space="0"/>
              <w:right w:val="single" w:color="auto" w:sz="6" w:space="0"/>
            </w:tcBorders>
            <w:vAlign w:val="center"/>
          </w:tcPr>
          <w:p w14:paraId="2FF51990">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传真：</w:t>
            </w:r>
          </w:p>
        </w:tc>
        <w:tc>
          <w:tcPr>
            <w:tcW w:w="4738" w:type="dxa"/>
            <w:tcBorders>
              <w:top w:val="single" w:color="auto" w:sz="6" w:space="0"/>
              <w:left w:val="single" w:color="auto" w:sz="6" w:space="0"/>
              <w:bottom w:val="single" w:color="auto" w:sz="6" w:space="0"/>
              <w:right w:val="single" w:color="auto" w:sz="6" w:space="0"/>
            </w:tcBorders>
            <w:vAlign w:val="center"/>
          </w:tcPr>
          <w:p w14:paraId="55A43BFE">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电子邮箱：</w:t>
            </w:r>
          </w:p>
        </w:tc>
      </w:tr>
      <w:tr w14:paraId="5E247B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5E33498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6</w:t>
            </w:r>
          </w:p>
        </w:tc>
        <w:tc>
          <w:tcPr>
            <w:tcW w:w="3859" w:type="dxa"/>
            <w:tcBorders>
              <w:top w:val="single" w:color="auto" w:sz="6" w:space="0"/>
              <w:left w:val="single" w:color="auto" w:sz="6" w:space="0"/>
              <w:bottom w:val="single" w:color="auto" w:sz="6" w:space="0"/>
              <w:right w:val="single" w:color="auto" w:sz="6" w:space="0"/>
            </w:tcBorders>
            <w:vAlign w:val="center"/>
          </w:tcPr>
          <w:p w14:paraId="1CC31EA0">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注册地：</w:t>
            </w:r>
          </w:p>
        </w:tc>
        <w:tc>
          <w:tcPr>
            <w:tcW w:w="4738" w:type="dxa"/>
            <w:tcBorders>
              <w:top w:val="single" w:color="auto" w:sz="6" w:space="0"/>
              <w:left w:val="single" w:color="auto" w:sz="6" w:space="0"/>
              <w:bottom w:val="single" w:color="auto" w:sz="6" w:space="0"/>
              <w:right w:val="single" w:color="auto" w:sz="6" w:space="0"/>
            </w:tcBorders>
            <w:vAlign w:val="center"/>
          </w:tcPr>
          <w:p w14:paraId="7FB1231F">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注册年份：  </w:t>
            </w:r>
          </w:p>
        </w:tc>
      </w:tr>
      <w:tr w14:paraId="41AD00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7FF3A873">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65A3BD51">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行政主管部门颁发的</w:t>
            </w:r>
            <w:r>
              <w:rPr>
                <w:rFonts w:hint="eastAsia" w:ascii="仿宋" w:hAnsi="仿宋" w:eastAsia="仿宋" w:cs="仿宋"/>
                <w:color w:val="auto"/>
                <w:sz w:val="24"/>
                <w:highlight w:val="none"/>
              </w:rPr>
              <w:t>资质证书：</w:t>
            </w:r>
          </w:p>
          <w:p w14:paraId="1F6FFF0D">
            <w:pPr>
              <w:ind w:firstLine="100"/>
              <w:rPr>
                <w:rFonts w:hint="eastAsia"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lang w:val="en-US" w:eastAsia="zh-CN"/>
              </w:rPr>
              <w:t>证书名称：</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lang w:val="en-US" w:eastAsia="zh-CN"/>
              </w:rPr>
              <w:t xml:space="preserve">      资质等级：</w:t>
            </w:r>
            <w:r>
              <w:rPr>
                <w:rFonts w:hint="eastAsia" w:ascii="仿宋" w:hAnsi="仿宋" w:eastAsia="仿宋" w:cs="仿宋"/>
                <w:color w:val="auto"/>
                <w:sz w:val="24"/>
                <w:highlight w:val="none"/>
                <w:u w:val="single"/>
                <w:lang w:val="en-US" w:eastAsia="zh-CN"/>
              </w:rPr>
              <w:t xml:space="preserve">                     </w:t>
            </w:r>
          </w:p>
          <w:p w14:paraId="762A4B28">
            <w:pPr>
              <w:ind w:firstLine="100"/>
              <w:rPr>
                <w:rFonts w:hint="eastAsia"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u w:val="none"/>
                <w:lang w:val="en-US" w:eastAsia="zh-CN"/>
              </w:rPr>
              <w:t>证书编号：</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lang w:val="en-US" w:eastAsia="zh-CN"/>
              </w:rPr>
              <w:t xml:space="preserve">      证书有效期：</w:t>
            </w:r>
            <w:r>
              <w:rPr>
                <w:rFonts w:hint="eastAsia" w:ascii="仿宋" w:hAnsi="仿宋" w:eastAsia="仿宋" w:cs="仿宋"/>
                <w:color w:val="auto"/>
                <w:sz w:val="24"/>
                <w:highlight w:val="none"/>
                <w:u w:val="single"/>
                <w:lang w:val="en-US" w:eastAsia="zh-CN"/>
              </w:rPr>
              <w:t xml:space="preserve">                   </w:t>
            </w:r>
          </w:p>
          <w:p w14:paraId="5DD575E3">
            <w:pPr>
              <w:ind w:firstLine="100"/>
              <w:rPr>
                <w:rFonts w:hint="eastAsia"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u w:val="none"/>
                <w:lang w:val="en-US" w:eastAsia="zh-CN"/>
              </w:rPr>
              <w:t>……</w:t>
            </w:r>
          </w:p>
        </w:tc>
      </w:tr>
      <w:tr w14:paraId="1A6B9A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215274DF">
            <w:pPr>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8</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0A6EEAC3">
            <w:pPr>
              <w:ind w:firstLine="100"/>
              <w:rPr>
                <w:rFonts w:hint="eastAsia" w:ascii="仿宋" w:hAnsi="仿宋" w:eastAsia="仿宋" w:cs="仿宋"/>
                <w:color w:val="auto"/>
                <w:sz w:val="24"/>
                <w:highlight w:val="none"/>
                <w:u w:val="none"/>
                <w:lang w:val="en-US" w:eastAsia="zh-CN"/>
              </w:rPr>
            </w:pPr>
            <w:r>
              <w:rPr>
                <w:rFonts w:hint="eastAsia" w:ascii="仿宋" w:hAnsi="仿宋" w:eastAsia="仿宋" w:cs="仿宋"/>
                <w:color w:val="auto"/>
                <w:sz w:val="24"/>
                <w:highlight w:val="none"/>
              </w:rPr>
              <w:t>质量管理体系证书：</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lang w:val="en-US" w:eastAsia="zh-CN"/>
              </w:rPr>
              <w:t>（证书名称）</w:t>
            </w:r>
          </w:p>
          <w:p w14:paraId="386079ED">
            <w:pPr>
              <w:ind w:firstLine="100"/>
              <w:rPr>
                <w:rFonts w:hint="eastAsia" w:ascii="仿宋" w:hAnsi="仿宋" w:eastAsia="仿宋" w:cs="仿宋"/>
                <w:color w:val="auto"/>
                <w:sz w:val="24"/>
                <w:highlight w:val="none"/>
              </w:rPr>
            </w:pPr>
          </w:p>
          <w:p w14:paraId="62E6EDE2">
            <w:pPr>
              <w:ind w:firstLine="100"/>
              <w:rPr>
                <w:rFonts w:hint="eastAsia" w:ascii="仿宋" w:hAnsi="仿宋" w:eastAsia="仿宋" w:cs="仿宋"/>
                <w:color w:val="auto"/>
                <w:sz w:val="24"/>
                <w:highlight w:val="none"/>
                <w:u w:val="none"/>
                <w:lang w:val="en-US" w:eastAsia="zh-CN"/>
              </w:rPr>
            </w:pPr>
            <w:r>
              <w:rPr>
                <w:rFonts w:hint="eastAsia" w:ascii="仿宋" w:hAnsi="仿宋" w:eastAsia="仿宋" w:cs="仿宋"/>
                <w:color w:val="auto"/>
                <w:sz w:val="24"/>
                <w:highlight w:val="none"/>
              </w:rPr>
              <w:t xml:space="preserve">其他：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lang w:val="en-US" w:eastAsia="zh-CN"/>
              </w:rPr>
              <w:t>（证书名称）</w:t>
            </w:r>
          </w:p>
          <w:p w14:paraId="5B65252C">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u w:val="none"/>
                <w:lang w:val="en-US" w:eastAsia="zh-CN"/>
              </w:rPr>
              <w:t>……</w:t>
            </w:r>
            <w:r>
              <w:rPr>
                <w:rFonts w:hint="eastAsia" w:ascii="仿宋" w:hAnsi="仿宋" w:eastAsia="仿宋" w:cs="仿宋"/>
                <w:color w:val="auto"/>
                <w:sz w:val="24"/>
                <w:highlight w:val="none"/>
              </w:rPr>
              <w:t xml:space="preserve">             </w:t>
            </w:r>
          </w:p>
        </w:tc>
      </w:tr>
      <w:tr w14:paraId="57705D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15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432717DD">
            <w:pPr>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9</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536C06C8">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经营范围</w:t>
            </w:r>
            <w:r>
              <w:rPr>
                <w:rFonts w:hint="eastAsia" w:ascii="仿宋" w:hAnsi="仿宋" w:eastAsia="仿宋" w:cs="仿宋"/>
                <w:color w:val="auto"/>
                <w:sz w:val="24"/>
                <w:highlight w:val="none"/>
              </w:rPr>
              <w:t>：</w:t>
            </w:r>
          </w:p>
          <w:p w14:paraId="2AF8D5D6">
            <w:pPr>
              <w:ind w:firstLine="1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rPr>
              <w:t xml:space="preserve"> </w:t>
            </w:r>
          </w:p>
          <w:p w14:paraId="076501FE">
            <w:pPr>
              <w:ind w:firstLine="1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p>
          <w:p w14:paraId="54BD7AAC">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p>
          <w:p w14:paraId="2232FE52">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p>
          <w:p w14:paraId="6EF5DA15">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u w:val="none"/>
                <w:lang w:val="en-US" w:eastAsia="zh-CN"/>
              </w:rPr>
              <w:t>……</w:t>
            </w:r>
          </w:p>
        </w:tc>
      </w:tr>
      <w:tr w14:paraId="03E054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92"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49D42794">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10</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4105C8F4">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其他需要说明的情况</w:t>
            </w:r>
          </w:p>
        </w:tc>
      </w:tr>
    </w:tbl>
    <w:p w14:paraId="4345F443">
      <w:pPr>
        <w:pStyle w:val="684"/>
        <w:wordWrap w:val="0"/>
        <w:overflowPunct w:val="0"/>
        <w:topLinePunct/>
        <w:ind w:firstLine="480"/>
        <w:rPr>
          <w:rFonts w:hint="eastAsia" w:ascii="仿宋" w:hAnsi="仿宋" w:eastAsia="仿宋" w:cs="仿宋"/>
          <w:color w:val="auto"/>
          <w:szCs w:val="21"/>
          <w:highlight w:val="none"/>
        </w:rPr>
      </w:pPr>
    </w:p>
    <w:p w14:paraId="76EADBB4">
      <w:pPr>
        <w:wordWrap w:val="0"/>
        <w:overflowPunct w:val="0"/>
        <w:topLinePunct/>
        <w:spacing w:line="360" w:lineRule="auto"/>
        <w:jc w:val="left"/>
        <w:rPr>
          <w:rFonts w:hint="eastAsia" w:ascii="仿宋" w:hAnsi="仿宋" w:eastAsia="仿宋" w:cs="仿宋"/>
          <w:color w:val="auto"/>
          <w:sz w:val="24"/>
          <w:highlight w:val="none"/>
          <w:lang w:eastAsia="zh-CN"/>
        </w:rPr>
      </w:pPr>
    </w:p>
    <w:p w14:paraId="1D9BD4E7">
      <w:pPr>
        <w:wordWrap w:val="0"/>
        <w:overflowPunct w:val="0"/>
        <w:topLinePunct/>
        <w:spacing w:line="360" w:lineRule="auto"/>
        <w:jc w:val="left"/>
        <w:rPr>
          <w:rFonts w:hint="eastAsia" w:ascii="仿宋" w:hAnsi="仿宋" w:eastAsia="仿宋" w:cs="仿宋"/>
          <w:color w:val="auto"/>
          <w:sz w:val="24"/>
          <w:highlight w:val="none"/>
          <w:lang w:eastAsia="zh-CN"/>
        </w:rPr>
      </w:pPr>
    </w:p>
    <w:p w14:paraId="626F717E">
      <w:pPr>
        <w:wordWrap w:val="0"/>
        <w:overflowPunct w:val="0"/>
        <w:topLinePunct/>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rPr>
        <w:t>（</w:t>
      </w:r>
      <w:r>
        <w:rPr>
          <w:rFonts w:hint="eastAsia" w:ascii="仿宋" w:hAnsi="仿宋" w:eastAsia="仿宋" w:cs="仿宋"/>
          <w:color w:val="auto"/>
          <w:sz w:val="24"/>
          <w:highlight w:val="none"/>
          <w:u w:val="none"/>
          <w:lang w:val="en-US" w:eastAsia="zh-CN"/>
        </w:rPr>
        <w:t>加盖电子</w:t>
      </w:r>
      <w:r>
        <w:rPr>
          <w:rFonts w:hint="eastAsia" w:ascii="仿宋" w:hAnsi="仿宋" w:eastAsia="仿宋" w:cs="仿宋"/>
          <w:color w:val="auto"/>
          <w:sz w:val="24"/>
          <w:highlight w:val="none"/>
        </w:rPr>
        <w:t>公章）</w:t>
      </w:r>
    </w:p>
    <w:p w14:paraId="31C7AFF7">
      <w:pPr>
        <w:wordWrap w:val="0"/>
        <w:overflowPunct w:val="0"/>
        <w:topLinePunct/>
        <w:spacing w:line="360" w:lineRule="auto"/>
        <w:jc w:val="lef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5B8984FA">
      <w:pPr>
        <w:pStyle w:val="569"/>
        <w:autoSpaceDE w:val="0"/>
        <w:autoSpaceDN w:val="0"/>
        <w:spacing w:line="360" w:lineRule="auto"/>
        <w:ind w:firstLine="0" w:firstLineChars="0"/>
        <w:jc w:val="left"/>
        <w:textAlignment w:val="baseline"/>
        <w:rPr>
          <w:rFonts w:hint="eastAsia" w:ascii="仿宋" w:hAnsi="仿宋" w:eastAsia="仿宋" w:cs="仿宋"/>
          <w:color w:val="auto"/>
          <w:sz w:val="24"/>
          <w:highlight w:val="none"/>
        </w:rPr>
        <w:sectPr>
          <w:pgSz w:w="11906" w:h="16838"/>
          <w:pgMar w:top="1134" w:right="1134" w:bottom="1134" w:left="1134" w:header="851" w:footer="992"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Start w:id="1530" w:name="_Toc1847"/>
      <w:bookmarkStart w:id="1531" w:name="_Toc16622"/>
      <w:bookmarkStart w:id="1532" w:name="_Toc17892"/>
      <w:bookmarkStart w:id="1533" w:name="_Toc9627"/>
      <w:bookmarkStart w:id="1534" w:name="_Toc24615"/>
      <w:bookmarkStart w:id="1535" w:name="_Toc8357"/>
      <w:bookmarkStart w:id="1536" w:name="_Toc2887"/>
      <w:bookmarkStart w:id="1537" w:name="_Toc12102"/>
      <w:bookmarkStart w:id="1538" w:name="_Toc19280"/>
      <w:bookmarkStart w:id="1539" w:name="_Toc32253"/>
      <w:bookmarkStart w:id="1540" w:name="_Toc10601"/>
    </w:p>
    <w:p w14:paraId="0DC95F7D">
      <w:pPr>
        <w:pStyle w:val="569"/>
        <w:autoSpaceDE w:val="0"/>
        <w:autoSpaceDN w:val="0"/>
        <w:spacing w:line="360" w:lineRule="auto"/>
        <w:ind w:firstLine="0" w:firstLineChars="0"/>
        <w:jc w:val="center"/>
        <w:textAlignment w:val="baseline"/>
        <w:outlineLvl w:val="2"/>
        <w:rPr>
          <w:rFonts w:hint="eastAsia" w:ascii="仿宋" w:hAnsi="仿宋" w:eastAsia="仿宋" w:cs="仿宋"/>
          <w:color w:val="auto"/>
          <w:highlight w:val="none"/>
        </w:rPr>
      </w:pPr>
      <w:bookmarkStart w:id="1541" w:name="_Toc32363"/>
      <w:r>
        <w:rPr>
          <w:rFonts w:hint="eastAsia" w:ascii="仿宋" w:hAnsi="仿宋" w:eastAsia="仿宋" w:cs="仿宋"/>
          <w:b/>
          <w:bCs/>
          <w:color w:val="auto"/>
          <w:sz w:val="28"/>
          <w:szCs w:val="28"/>
          <w:highlight w:val="none"/>
          <w:lang w:val="en-US" w:eastAsia="zh-CN"/>
        </w:rPr>
        <w:t>（2）</w:t>
      </w:r>
      <w:r>
        <w:rPr>
          <w:rFonts w:hint="eastAsia" w:ascii="仿宋" w:hAnsi="仿宋" w:eastAsia="仿宋" w:cs="仿宋"/>
          <w:b/>
          <w:bCs/>
          <w:color w:val="auto"/>
          <w:sz w:val="28"/>
          <w:szCs w:val="28"/>
          <w:highlight w:val="none"/>
        </w:rPr>
        <w:t>提供具有独立承担民事责任的能力的证明材料</w:t>
      </w:r>
      <w:bookmarkEnd w:id="1519"/>
      <w:bookmarkEnd w:id="1520"/>
      <w:bookmarkEnd w:id="1530"/>
      <w:bookmarkEnd w:id="1531"/>
      <w:bookmarkEnd w:id="1532"/>
      <w:bookmarkEnd w:id="1533"/>
      <w:bookmarkEnd w:id="1534"/>
      <w:bookmarkEnd w:id="1535"/>
      <w:bookmarkEnd w:id="1536"/>
      <w:bookmarkEnd w:id="1537"/>
      <w:bookmarkEnd w:id="1538"/>
      <w:bookmarkEnd w:id="1539"/>
      <w:bookmarkEnd w:id="1540"/>
      <w:bookmarkEnd w:id="1541"/>
    </w:p>
    <w:p w14:paraId="163D4385">
      <w:pPr>
        <w:pStyle w:val="4"/>
        <w:tabs>
          <w:tab w:val="left" w:pos="900"/>
          <w:tab w:val="left" w:pos="1588"/>
        </w:tabs>
        <w:wordWrap w:val="0"/>
        <w:overflowPunct w:val="0"/>
        <w:topLinePunct/>
        <w:adjustRightInd/>
        <w:ind w:left="0" w:firstLine="0"/>
        <w:jc w:val="center"/>
        <w:textAlignment w:val="auto"/>
        <w:rPr>
          <w:rFonts w:hint="eastAsia" w:ascii="仿宋" w:hAnsi="仿宋" w:eastAsia="仿宋" w:cs="仿宋"/>
          <w:color w:val="auto"/>
          <w:highlight w:val="none"/>
        </w:rPr>
      </w:pPr>
      <w:bookmarkStart w:id="1542" w:name="_Toc14091"/>
      <w:bookmarkStart w:id="1543" w:name="_Toc20568"/>
      <w:bookmarkStart w:id="1544" w:name="_Toc1054"/>
      <w:bookmarkStart w:id="1545" w:name="_Toc28525"/>
      <w:bookmarkStart w:id="1546" w:name="_Toc31389"/>
      <w:bookmarkStart w:id="1547" w:name="_Toc21998"/>
      <w:bookmarkStart w:id="1548" w:name="_Toc22651"/>
      <w:bookmarkStart w:id="1549" w:name="_Toc5280"/>
      <w:bookmarkStart w:id="1550" w:name="_Toc1262"/>
      <w:bookmarkStart w:id="1551" w:name="_Toc15414"/>
      <w:bookmarkStart w:id="1552" w:name="_Toc1144"/>
      <w:bookmarkStart w:id="1553" w:name="_Toc27526"/>
      <w:bookmarkStart w:id="1554" w:name="_Toc30146"/>
      <w:bookmarkStart w:id="1555" w:name="_Toc21345"/>
      <w:bookmarkStart w:id="1556" w:name="_Toc22989"/>
      <w:bookmarkStart w:id="1557" w:name="_Toc13192"/>
      <w:bookmarkStart w:id="1558" w:name="_Toc8937"/>
      <w:bookmarkStart w:id="1559" w:name="_Toc4872"/>
      <w:bookmarkStart w:id="1560" w:name="_Toc1949"/>
      <w:bookmarkStart w:id="1561" w:name="_Toc20037"/>
      <w:bookmarkStart w:id="1562" w:name="_Toc32342"/>
      <w:bookmarkStart w:id="1563" w:name="_Toc11620"/>
      <w:bookmarkStart w:id="1564" w:name="_Toc5232"/>
      <w:bookmarkStart w:id="1565" w:name="_Toc19236"/>
      <w:bookmarkStart w:id="1566" w:name="_Toc13025"/>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扫描件电子公章</w:t>
      </w:r>
      <w:r>
        <w:rPr>
          <w:rFonts w:hint="eastAsia" w:ascii="仿宋" w:hAnsi="仿宋" w:eastAsia="仿宋" w:cs="仿宋"/>
          <w:color w:val="auto"/>
          <w:sz w:val="24"/>
          <w:szCs w:val="24"/>
          <w:highlight w:val="none"/>
        </w:rPr>
        <w:t>）</w:t>
      </w:r>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p>
    <w:p w14:paraId="4AB63060">
      <w:pPr>
        <w:jc w:val="center"/>
        <w:rPr>
          <w:rFonts w:hint="eastAsia" w:ascii="仿宋" w:hAnsi="仿宋" w:eastAsia="仿宋" w:cs="仿宋"/>
          <w:color w:val="auto"/>
          <w:sz w:val="24"/>
          <w:highlight w:val="none"/>
        </w:rPr>
      </w:pPr>
      <w:bookmarkStart w:id="1567" w:name="_Toc20522"/>
      <w:bookmarkStart w:id="1568" w:name="_Toc1417"/>
      <w:bookmarkStart w:id="1569" w:name="_Toc13488"/>
      <w:bookmarkStart w:id="1570" w:name="_Toc14718"/>
      <w:bookmarkStart w:id="1571" w:name="_Toc18700"/>
      <w:bookmarkStart w:id="1572" w:name="_Toc25932"/>
      <w:bookmarkStart w:id="1573" w:name="_Toc30029"/>
      <w:bookmarkStart w:id="1574" w:name="_Toc21719"/>
      <w:bookmarkStart w:id="1575" w:name="_Toc7508"/>
      <w:r>
        <w:rPr>
          <w:rFonts w:hint="eastAsia" w:ascii="仿宋" w:hAnsi="仿宋" w:eastAsia="仿宋" w:cs="仿宋"/>
          <w:color w:val="auto"/>
          <w:sz w:val="24"/>
          <w:highlight w:val="none"/>
        </w:rPr>
        <w:t>具体要求详见招标文件“第一章 招标公告”及“第三章 评审办法”资格审查标准</w:t>
      </w:r>
    </w:p>
    <w:p w14:paraId="22624B11">
      <w:pPr>
        <w:jc w:val="center"/>
        <w:rPr>
          <w:rFonts w:hint="eastAsia" w:ascii="仿宋" w:hAnsi="仿宋" w:eastAsia="仿宋" w:cs="仿宋"/>
          <w:color w:val="auto"/>
          <w:sz w:val="24"/>
          <w:highlight w:val="none"/>
        </w:rPr>
        <w:sectPr>
          <w:pgSz w:w="11906" w:h="16838"/>
          <w:pgMar w:top="1134" w:right="1134" w:bottom="1134" w:left="1134" w:header="851" w:footer="992"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color w:val="auto"/>
          <w:sz w:val="24"/>
          <w:highlight w:val="none"/>
        </w:rPr>
        <w:t>相关要求。</w:t>
      </w:r>
    </w:p>
    <w:p w14:paraId="0DD864EB">
      <w:pPr>
        <w:jc w:val="center"/>
        <w:outlineLvl w:val="2"/>
        <w:rPr>
          <w:rFonts w:hint="eastAsia" w:ascii="仿宋" w:hAnsi="仿宋" w:eastAsia="仿宋" w:cs="仿宋"/>
          <w:color w:val="auto"/>
          <w:sz w:val="22"/>
          <w:szCs w:val="22"/>
          <w:highlight w:val="none"/>
        </w:rPr>
      </w:pPr>
      <w:bookmarkStart w:id="1576" w:name="_Toc3825"/>
      <w:r>
        <w:rPr>
          <w:rFonts w:hint="eastAsia" w:ascii="仿宋" w:hAnsi="仿宋" w:eastAsia="仿宋" w:cs="仿宋"/>
          <w:b/>
          <w:bCs/>
          <w:color w:val="auto"/>
          <w:sz w:val="28"/>
          <w:szCs w:val="28"/>
          <w:highlight w:val="none"/>
          <w:lang w:val="en-US" w:eastAsia="zh-CN"/>
        </w:rPr>
        <w:t>（3）</w:t>
      </w:r>
      <w:r>
        <w:rPr>
          <w:rFonts w:hint="eastAsia" w:ascii="仿宋" w:hAnsi="仿宋" w:eastAsia="仿宋" w:cs="仿宋"/>
          <w:b/>
          <w:bCs/>
          <w:color w:val="auto"/>
          <w:sz w:val="28"/>
          <w:szCs w:val="28"/>
          <w:highlight w:val="none"/>
        </w:rPr>
        <w:t>法定代表人（负责人）身份证明书</w:t>
      </w:r>
      <w:bookmarkEnd w:id="1567"/>
      <w:bookmarkEnd w:id="1568"/>
      <w:bookmarkEnd w:id="1569"/>
      <w:bookmarkEnd w:id="1570"/>
      <w:bookmarkEnd w:id="1571"/>
      <w:bookmarkEnd w:id="1572"/>
      <w:bookmarkEnd w:id="1573"/>
      <w:bookmarkEnd w:id="1574"/>
      <w:bookmarkEnd w:id="1575"/>
      <w:bookmarkEnd w:id="1576"/>
    </w:p>
    <w:p w14:paraId="50784CF9">
      <w:pPr>
        <w:wordWrap w:val="0"/>
        <w:overflowPunct w:val="0"/>
        <w:topLinePunct/>
        <w:spacing w:line="360" w:lineRule="auto"/>
        <w:rPr>
          <w:rFonts w:hint="eastAsia" w:ascii="仿宋" w:hAnsi="仿宋" w:eastAsia="仿宋" w:cs="仿宋"/>
          <w:color w:val="auto"/>
          <w:szCs w:val="21"/>
          <w:highlight w:val="none"/>
        </w:rPr>
      </w:pPr>
    </w:p>
    <w:p w14:paraId="597FDFA2">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投 标 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p>
    <w:p w14:paraId="582EC77B">
      <w:pPr>
        <w:wordWrap w:val="0"/>
        <w:overflowPunct w:val="0"/>
        <w:topLinePunct/>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单位性质：</w:t>
      </w:r>
      <w:r>
        <w:rPr>
          <w:rFonts w:hint="eastAsia" w:ascii="仿宋" w:hAnsi="仿宋" w:eastAsia="仿宋" w:cs="仿宋"/>
          <w:color w:val="auto"/>
          <w:sz w:val="24"/>
          <w:highlight w:val="none"/>
          <w:u w:val="single"/>
        </w:rPr>
        <w:t xml:space="preserve">                                                       </w:t>
      </w:r>
    </w:p>
    <w:p w14:paraId="77466568">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地    址：</w:t>
      </w:r>
      <w:r>
        <w:rPr>
          <w:rFonts w:hint="eastAsia" w:ascii="仿宋" w:hAnsi="仿宋" w:eastAsia="仿宋" w:cs="仿宋"/>
          <w:color w:val="auto"/>
          <w:sz w:val="24"/>
          <w:highlight w:val="none"/>
          <w:u w:val="single"/>
        </w:rPr>
        <w:t xml:space="preserve">                                                       </w:t>
      </w:r>
    </w:p>
    <w:p w14:paraId="1372BB1B">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成立时间：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08B03C1F">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经营期限：</w:t>
      </w:r>
      <w:r>
        <w:rPr>
          <w:rFonts w:hint="eastAsia" w:ascii="仿宋" w:hAnsi="仿宋" w:eastAsia="仿宋" w:cs="仿宋"/>
          <w:color w:val="auto"/>
          <w:sz w:val="24"/>
          <w:highlight w:val="none"/>
          <w:u w:val="single"/>
        </w:rPr>
        <w:t xml:space="preserve">                                                       </w:t>
      </w:r>
    </w:p>
    <w:p w14:paraId="7E3EB81B">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姓    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性    别：</w:t>
      </w:r>
      <w:r>
        <w:rPr>
          <w:rFonts w:hint="eastAsia" w:ascii="仿宋" w:hAnsi="仿宋" w:eastAsia="仿宋" w:cs="仿宋"/>
          <w:color w:val="auto"/>
          <w:sz w:val="24"/>
          <w:highlight w:val="none"/>
          <w:u w:val="single"/>
        </w:rPr>
        <w:t xml:space="preserve">               </w:t>
      </w:r>
    </w:p>
    <w:p w14:paraId="083094AE">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年    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职    务：</w:t>
      </w:r>
      <w:r>
        <w:rPr>
          <w:rFonts w:hint="eastAsia" w:ascii="仿宋" w:hAnsi="仿宋" w:eastAsia="仿宋" w:cs="仿宋"/>
          <w:color w:val="auto"/>
          <w:sz w:val="24"/>
          <w:highlight w:val="none"/>
          <w:u w:val="single"/>
        </w:rPr>
        <w:t xml:space="preserve">               </w:t>
      </w:r>
    </w:p>
    <w:p w14:paraId="3ABE6CF8">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名称）的法定代表人（负责人）。</w:t>
      </w:r>
    </w:p>
    <w:p w14:paraId="1C1C809A">
      <w:pPr>
        <w:wordWrap w:val="0"/>
        <w:overflowPunct w:val="0"/>
        <w:topLinePunct/>
        <w:spacing w:line="360" w:lineRule="auto"/>
        <w:rPr>
          <w:rFonts w:hint="eastAsia" w:ascii="仿宋" w:hAnsi="仿宋" w:eastAsia="仿宋" w:cs="仿宋"/>
          <w:b/>
          <w:color w:val="auto"/>
          <w:szCs w:val="21"/>
          <w:highlight w:val="none"/>
        </w:rPr>
      </w:pPr>
      <w:r>
        <w:rPr>
          <w:rFonts w:hint="eastAsia" w:ascii="仿宋" w:hAnsi="仿宋" w:eastAsia="仿宋" w:cs="仿宋"/>
          <w:color w:val="auto"/>
          <w:sz w:val="24"/>
          <w:highlight w:val="none"/>
        </w:rPr>
        <w:t>特此证明。</w:t>
      </w:r>
    </w:p>
    <w:p w14:paraId="76622639">
      <w:pPr>
        <w:wordWrap w:val="0"/>
        <w:overflowPunct w:val="0"/>
        <w:topLinePunct/>
        <w:spacing w:line="360" w:lineRule="auto"/>
        <w:rPr>
          <w:rFonts w:hint="eastAsia" w:ascii="仿宋" w:hAnsi="仿宋" w:eastAsia="仿宋" w:cs="仿宋"/>
          <w:b/>
          <w:color w:val="auto"/>
          <w:szCs w:val="21"/>
          <w:highlight w:val="none"/>
        </w:rPr>
      </w:pPr>
    </w:p>
    <w:p w14:paraId="37A56AEC">
      <w:pPr>
        <w:wordWrap w:val="0"/>
        <w:overflowPunct w:val="0"/>
        <w:topLinePunct/>
        <w:spacing w:line="360" w:lineRule="auto"/>
        <w:rPr>
          <w:rFonts w:hint="eastAsia" w:ascii="仿宋" w:hAnsi="仿宋" w:eastAsia="仿宋" w:cs="仿宋"/>
          <w:b/>
          <w:color w:val="auto"/>
          <w:szCs w:val="21"/>
          <w:highlight w:val="none"/>
        </w:rPr>
      </w:pPr>
    </w:p>
    <w:p w14:paraId="4AF3FEE6">
      <w:pPr>
        <w:wordWrap w:val="0"/>
        <w:overflowPunct w:val="0"/>
        <w:topLinePunct/>
        <w:spacing w:line="360" w:lineRule="auto"/>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注：附法定代表人（负责人）身份证原件</w:t>
      </w:r>
      <w:r>
        <w:rPr>
          <w:rFonts w:hint="eastAsia" w:ascii="仿宋" w:hAnsi="仿宋" w:eastAsia="仿宋" w:cs="仿宋"/>
          <w:b/>
          <w:color w:val="auto"/>
          <w:szCs w:val="21"/>
          <w:highlight w:val="none"/>
          <w:lang w:eastAsia="zh-CN"/>
        </w:rPr>
        <w:t>扫描件</w:t>
      </w:r>
      <w:r>
        <w:rPr>
          <w:rFonts w:hint="eastAsia" w:ascii="仿宋" w:hAnsi="仿宋" w:eastAsia="仿宋" w:cs="仿宋"/>
          <w:b/>
          <w:color w:val="auto"/>
          <w:szCs w:val="21"/>
          <w:highlight w:val="none"/>
        </w:rPr>
        <w:t>。</w:t>
      </w:r>
    </w:p>
    <w:tbl>
      <w:tblPr>
        <w:tblStyle w:val="67"/>
        <w:tblW w:w="9896"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4846"/>
        <w:gridCol w:w="257"/>
        <w:gridCol w:w="4793"/>
      </w:tblGrid>
      <w:tr w14:paraId="677A1AB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010" w:hRule="atLeast"/>
          <w:jc w:val="center"/>
        </w:trPr>
        <w:tc>
          <w:tcPr>
            <w:tcW w:w="4846" w:type="dxa"/>
            <w:vAlign w:val="center"/>
          </w:tcPr>
          <w:p w14:paraId="365EC104">
            <w:pPr>
              <w:wordWrap w:val="0"/>
              <w:overflowPunct w:val="0"/>
              <w:topLinePunct/>
              <w:spacing w:line="46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法定代表人（负责人）身份证原件</w:t>
            </w:r>
            <w:r>
              <w:rPr>
                <w:rFonts w:hint="eastAsia" w:ascii="仿宋" w:hAnsi="仿宋" w:eastAsia="仿宋" w:cs="仿宋"/>
                <w:color w:val="auto"/>
                <w:szCs w:val="21"/>
                <w:highlight w:val="none"/>
                <w:lang w:eastAsia="zh-CN"/>
              </w:rPr>
              <w:t>扫描件</w:t>
            </w:r>
            <w:r>
              <w:rPr>
                <w:rFonts w:hint="eastAsia" w:ascii="仿宋" w:hAnsi="仿宋" w:eastAsia="仿宋" w:cs="仿宋"/>
                <w:color w:val="auto"/>
                <w:szCs w:val="21"/>
                <w:highlight w:val="none"/>
              </w:rPr>
              <w:t>正面</w:t>
            </w:r>
          </w:p>
        </w:tc>
        <w:tc>
          <w:tcPr>
            <w:tcW w:w="257" w:type="dxa"/>
            <w:tcBorders>
              <w:top w:val="nil"/>
              <w:bottom w:val="nil"/>
            </w:tcBorders>
            <w:vAlign w:val="center"/>
          </w:tcPr>
          <w:p w14:paraId="389CE533">
            <w:pPr>
              <w:wordWrap w:val="0"/>
              <w:overflowPunct w:val="0"/>
              <w:topLinePunct/>
              <w:spacing w:line="460" w:lineRule="exact"/>
              <w:jc w:val="center"/>
              <w:rPr>
                <w:rFonts w:hint="eastAsia" w:ascii="仿宋" w:hAnsi="仿宋" w:eastAsia="仿宋" w:cs="仿宋"/>
                <w:color w:val="auto"/>
                <w:szCs w:val="21"/>
                <w:highlight w:val="none"/>
              </w:rPr>
            </w:pPr>
          </w:p>
          <w:p w14:paraId="7E812E4A">
            <w:pPr>
              <w:wordWrap w:val="0"/>
              <w:overflowPunct w:val="0"/>
              <w:topLinePunct/>
              <w:spacing w:line="460" w:lineRule="exact"/>
              <w:jc w:val="center"/>
              <w:rPr>
                <w:rFonts w:hint="eastAsia" w:ascii="仿宋" w:hAnsi="仿宋" w:eastAsia="仿宋" w:cs="仿宋"/>
                <w:color w:val="auto"/>
                <w:szCs w:val="21"/>
                <w:highlight w:val="none"/>
              </w:rPr>
            </w:pPr>
          </w:p>
        </w:tc>
        <w:tc>
          <w:tcPr>
            <w:tcW w:w="4793" w:type="dxa"/>
            <w:vAlign w:val="center"/>
          </w:tcPr>
          <w:p w14:paraId="5A6AE7BF">
            <w:pPr>
              <w:wordWrap w:val="0"/>
              <w:overflowPunct w:val="0"/>
              <w:topLinePunct/>
              <w:spacing w:line="46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法定代表人（负责人）身份证原件</w:t>
            </w:r>
            <w:r>
              <w:rPr>
                <w:rFonts w:hint="eastAsia" w:ascii="仿宋" w:hAnsi="仿宋" w:eastAsia="仿宋" w:cs="仿宋"/>
                <w:color w:val="auto"/>
                <w:szCs w:val="21"/>
                <w:highlight w:val="none"/>
                <w:lang w:eastAsia="zh-CN"/>
              </w:rPr>
              <w:t>扫描件</w:t>
            </w:r>
            <w:r>
              <w:rPr>
                <w:rFonts w:hint="eastAsia" w:ascii="仿宋" w:hAnsi="仿宋" w:eastAsia="仿宋" w:cs="仿宋"/>
                <w:color w:val="auto"/>
                <w:szCs w:val="21"/>
                <w:highlight w:val="none"/>
              </w:rPr>
              <w:t>背面</w:t>
            </w:r>
          </w:p>
        </w:tc>
      </w:tr>
    </w:tbl>
    <w:p w14:paraId="406190B7">
      <w:pPr>
        <w:wordWrap w:val="0"/>
        <w:overflowPunct w:val="0"/>
        <w:topLinePunct/>
        <w:spacing w:line="360" w:lineRule="auto"/>
        <w:jc w:val="center"/>
        <w:rPr>
          <w:rFonts w:hint="eastAsia" w:ascii="仿宋" w:hAnsi="仿宋" w:eastAsia="仿宋" w:cs="仿宋"/>
          <w:color w:val="auto"/>
          <w:szCs w:val="21"/>
          <w:highlight w:val="none"/>
        </w:rPr>
      </w:pPr>
    </w:p>
    <w:p w14:paraId="7F8C1D9C">
      <w:pPr>
        <w:wordWrap w:val="0"/>
        <w:overflowPunct w:val="0"/>
        <w:topLinePunct/>
        <w:spacing w:line="360" w:lineRule="auto"/>
        <w:jc w:val="center"/>
        <w:outlineLvl w:val="9"/>
        <w:rPr>
          <w:rFonts w:hint="eastAsia" w:ascii="仿宋" w:hAnsi="仿宋" w:eastAsia="仿宋" w:cs="仿宋"/>
          <w:color w:val="auto"/>
          <w:sz w:val="24"/>
          <w:highlight w:val="none"/>
        </w:rPr>
      </w:pPr>
      <w:bookmarkStart w:id="1577" w:name="_Toc14214"/>
      <w:bookmarkStart w:id="1578" w:name="_Toc15523"/>
      <w:bookmarkStart w:id="1579" w:name="_Toc24067"/>
      <w:bookmarkStart w:id="1580" w:name="_Toc22256"/>
      <w:bookmarkStart w:id="1581" w:name="_Toc29157"/>
      <w:bookmarkStart w:id="1582" w:name="_Toc29456"/>
      <w:bookmarkStart w:id="1583" w:name="_Toc1220"/>
      <w:bookmarkStart w:id="1584" w:name="_Toc10268"/>
      <w:bookmarkStart w:id="1585" w:name="_Toc16464"/>
      <w:bookmarkStart w:id="1586" w:name="_Toc29647"/>
      <w:bookmarkStart w:id="1587" w:name="_Toc30689"/>
      <w:bookmarkStart w:id="1588" w:name="_Toc27032"/>
      <w:bookmarkStart w:id="1589" w:name="_Toc22906"/>
      <w:bookmarkStart w:id="1590" w:name="_Toc18649"/>
    </w:p>
    <w:p w14:paraId="762A660C">
      <w:pPr>
        <w:wordWrap w:val="0"/>
        <w:overflowPunct w:val="0"/>
        <w:topLinePunct/>
        <w:spacing w:line="360" w:lineRule="auto"/>
        <w:jc w:val="center"/>
        <w:outlineLvl w:val="1"/>
        <w:rPr>
          <w:rFonts w:hint="eastAsia" w:ascii="仿宋" w:hAnsi="仿宋" w:eastAsia="仿宋" w:cs="仿宋"/>
          <w:color w:val="auto"/>
          <w:sz w:val="24"/>
          <w:highlight w:val="none"/>
        </w:rPr>
      </w:pPr>
      <w:bookmarkStart w:id="1591" w:name="_Toc15985"/>
      <w:bookmarkStart w:id="1592" w:name="_Toc22991"/>
      <w:bookmarkStart w:id="1593" w:name="_Toc15051"/>
      <w:bookmarkStart w:id="1594" w:name="_Toc30450"/>
      <w:bookmarkStart w:id="1595" w:name="_Toc21889"/>
      <w:bookmarkStart w:id="1596" w:name="_Toc28300"/>
      <w:bookmarkStart w:id="1597" w:name="_Toc24102"/>
      <w:bookmarkStart w:id="1598" w:name="_Toc28749"/>
      <w:bookmarkStart w:id="1599" w:name="_Toc17037"/>
      <w:bookmarkStart w:id="1600" w:name="_Toc27946"/>
      <w:bookmarkStart w:id="1601" w:name="_Toc31415"/>
      <w:bookmarkStart w:id="1602" w:name="_Toc12304"/>
      <w:bookmarkStart w:id="1603" w:name="_Toc3578"/>
      <w:bookmarkStart w:id="1604" w:name="_Toc4566"/>
      <w:bookmarkStart w:id="1605" w:name="_Toc14843"/>
      <w:bookmarkStart w:id="1606" w:name="_Toc10294"/>
      <w:bookmarkStart w:id="1607" w:name="_Toc32741"/>
      <w:bookmarkStart w:id="1608" w:name="_Toc27445"/>
      <w:bookmarkStart w:id="1609" w:name="_Toc29348"/>
      <w:bookmarkStart w:id="1610" w:name="_Toc55"/>
      <w:bookmarkStart w:id="1611" w:name="_Toc31219"/>
      <w:bookmarkStart w:id="1612" w:name="_Toc418"/>
      <w:bookmarkStart w:id="1613" w:name="_Toc25270"/>
      <w:bookmarkStart w:id="1614" w:name="_Toc9484"/>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（加盖电子公章）</w:t>
      </w:r>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p>
    <w:p w14:paraId="5E8123A7">
      <w:pPr>
        <w:wordWrap w:val="0"/>
        <w:overflowPunct w:val="0"/>
        <w:topLinePunct/>
        <w:spacing w:line="360" w:lineRule="auto"/>
        <w:jc w:val="center"/>
        <w:outlineLvl w:val="1"/>
        <w:rPr>
          <w:rFonts w:hint="eastAsia" w:ascii="仿宋" w:hAnsi="仿宋" w:eastAsia="仿宋" w:cs="仿宋"/>
          <w:color w:val="auto"/>
          <w:sz w:val="24"/>
          <w:highlight w:val="none"/>
        </w:rPr>
        <w:sectPr>
          <w:pgSz w:w="11906" w:h="16838"/>
          <w:pgMar w:top="1134" w:right="1134" w:bottom="1134" w:left="1134" w:header="851" w:footer="992" w:gutter="0"/>
          <w:pgBorders>
            <w:top w:val="none" w:sz="0" w:space="0"/>
            <w:left w:val="none" w:sz="0" w:space="0"/>
            <w:bottom w:val="none" w:sz="0" w:space="0"/>
            <w:right w:val="none" w:sz="0" w:space="0"/>
          </w:pgBorders>
          <w:pgNumType w:fmt="decimal"/>
          <w:cols w:space="425" w:num="1"/>
          <w:rtlGutter w:val="0"/>
          <w:docGrid w:type="lines" w:linePitch="312" w:charSpace="0"/>
        </w:sectPr>
      </w:pPr>
      <w:bookmarkStart w:id="1615" w:name="_Toc27858"/>
      <w:bookmarkStart w:id="1616" w:name="_Toc6487"/>
      <w:bookmarkStart w:id="1617" w:name="_Toc8856"/>
      <w:bookmarkStart w:id="1618" w:name="_Toc23041"/>
      <w:bookmarkStart w:id="1619" w:name="_Toc31303"/>
      <w:bookmarkStart w:id="1620" w:name="_Toc6752"/>
      <w:bookmarkStart w:id="1621" w:name="_Toc22087"/>
      <w:bookmarkStart w:id="1622" w:name="_Toc10705"/>
      <w:bookmarkStart w:id="1623" w:name="_Toc15294"/>
      <w:bookmarkStart w:id="1624" w:name="_Toc31942"/>
      <w:bookmarkStart w:id="1625" w:name="_Toc14874"/>
      <w:bookmarkStart w:id="1626" w:name="_Toc28857"/>
      <w:bookmarkStart w:id="1627" w:name="_Toc32288"/>
      <w:bookmarkStart w:id="1628" w:name="_Toc11794"/>
      <w:bookmarkStart w:id="1629" w:name="_Toc2136"/>
      <w:bookmarkStart w:id="1630" w:name="_Toc2876"/>
      <w:bookmarkStart w:id="1631" w:name="_Toc23274"/>
      <w:bookmarkStart w:id="1632" w:name="_Toc28135"/>
      <w:bookmarkStart w:id="1633" w:name="_Toc12133"/>
      <w:bookmarkStart w:id="1634" w:name="_Toc20508"/>
      <w:bookmarkStart w:id="1635" w:name="_Toc12658"/>
      <w:bookmarkStart w:id="1636" w:name="_Toc22685"/>
      <w:bookmarkStart w:id="1637" w:name="_Toc20023"/>
      <w:bookmarkStart w:id="1638" w:name="_Toc11384"/>
      <w:bookmarkStart w:id="1639" w:name="_Toc23556"/>
      <w:bookmarkStart w:id="1640" w:name="_Toc19695"/>
      <w:bookmarkStart w:id="1641" w:name="_Toc11221"/>
      <w:bookmarkStart w:id="1642" w:name="_Toc11921"/>
      <w:bookmarkStart w:id="1643" w:name="_Toc17725"/>
      <w:bookmarkStart w:id="1644" w:name="_Toc23117"/>
      <w:bookmarkStart w:id="1645" w:name="_Toc4487"/>
      <w:bookmarkStart w:id="1646" w:name="_Toc31146"/>
      <w:bookmarkStart w:id="1647" w:name="_Toc26113"/>
      <w:bookmarkStart w:id="1648" w:name="_Toc23390"/>
      <w:bookmarkStart w:id="1649" w:name="_Toc18846"/>
      <w:bookmarkStart w:id="1650" w:name="_Toc18576"/>
      <w:bookmarkStart w:id="1651" w:name="_Toc9847"/>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bookmarkStart w:id="1652" w:name="_Toc1763"/>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Start w:id="1653" w:name="_Toc10117038"/>
      <w:bookmarkStart w:id="1654" w:name="_Toc30636"/>
      <w:bookmarkStart w:id="1655" w:name="_Toc22693"/>
      <w:bookmarkStart w:id="1656" w:name="_Toc89951846"/>
      <w:bookmarkStart w:id="1657" w:name="_Toc16717"/>
      <w:bookmarkStart w:id="1658" w:name="_Toc14073"/>
      <w:bookmarkStart w:id="1659" w:name="_Toc5101"/>
      <w:bookmarkStart w:id="1660" w:name="_Toc30066"/>
      <w:bookmarkStart w:id="1661" w:name="_Toc17855"/>
      <w:bookmarkStart w:id="1662" w:name="_Toc8164"/>
      <w:bookmarkStart w:id="1663" w:name="_Toc5043"/>
      <w:bookmarkStart w:id="1664" w:name="_Toc4950"/>
      <w:bookmarkStart w:id="1665" w:name="_Toc13689"/>
      <w:bookmarkStart w:id="1666" w:name="_Toc27274"/>
      <w:bookmarkStart w:id="1667" w:name="_Toc16490"/>
      <w:bookmarkStart w:id="1668" w:name="_Toc23322"/>
      <w:bookmarkStart w:id="1669" w:name="_Toc18494"/>
      <w:bookmarkStart w:id="1670" w:name="_Toc6637"/>
      <w:bookmarkStart w:id="1671" w:name="_Toc5395"/>
      <w:bookmarkStart w:id="1672" w:name="_Toc18667"/>
      <w:bookmarkStart w:id="1673" w:name="_Toc17641"/>
      <w:bookmarkStart w:id="1674" w:name="_Toc2962"/>
      <w:bookmarkStart w:id="1675" w:name="_Toc21113"/>
      <w:bookmarkStart w:id="1676" w:name="_Toc18991"/>
      <w:bookmarkStart w:id="1677" w:name="_Toc22953"/>
      <w:bookmarkStart w:id="1678" w:name="_Toc20029"/>
      <w:bookmarkStart w:id="1679" w:name="_Toc20369"/>
      <w:bookmarkStart w:id="1680" w:name="_Toc19112"/>
    </w:p>
    <w:p w14:paraId="081F226E">
      <w:pPr>
        <w:wordWrap w:val="0"/>
        <w:overflowPunct w:val="0"/>
        <w:topLinePunct/>
        <w:spacing w:line="360" w:lineRule="auto"/>
        <w:jc w:val="center"/>
        <w:outlineLvl w:val="1"/>
        <w:rPr>
          <w:rFonts w:hint="eastAsia" w:ascii="仿宋" w:hAnsi="仿宋" w:eastAsia="仿宋" w:cs="仿宋"/>
          <w:b/>
          <w:bCs/>
          <w:color w:val="auto"/>
          <w:sz w:val="21"/>
          <w:szCs w:val="21"/>
          <w:highlight w:val="none"/>
        </w:rPr>
      </w:pPr>
      <w:bookmarkStart w:id="1681" w:name="_Toc2201"/>
      <w:bookmarkStart w:id="1682" w:name="_Toc10839"/>
      <w:bookmarkStart w:id="1683" w:name="_Toc17381"/>
      <w:bookmarkStart w:id="1684" w:name="_Toc10643"/>
      <w:bookmarkStart w:id="1685" w:name="_Toc20637"/>
      <w:bookmarkStart w:id="1686" w:name="_Toc26278"/>
      <w:bookmarkStart w:id="1687" w:name="_Toc4526"/>
      <w:r>
        <w:rPr>
          <w:rFonts w:hint="eastAsia" w:ascii="仿宋" w:hAnsi="仿宋" w:eastAsia="仿宋" w:cs="仿宋"/>
          <w:b/>
          <w:bCs/>
          <w:color w:val="auto"/>
          <w:sz w:val="28"/>
          <w:szCs w:val="28"/>
          <w:highlight w:val="none"/>
        </w:rPr>
        <w:t>法定代表人（负责人）授权委托书</w:t>
      </w:r>
      <w:bookmarkEnd w:id="1653"/>
      <w:bookmarkEnd w:id="1654"/>
      <w:bookmarkEnd w:id="1655"/>
      <w:bookmarkEnd w:id="1656"/>
      <w:r>
        <w:rPr>
          <w:rFonts w:hint="eastAsia" w:ascii="仿宋" w:hAnsi="仿宋" w:eastAsia="仿宋" w:cs="仿宋"/>
          <w:b/>
          <w:bCs/>
          <w:color w:val="auto"/>
          <w:sz w:val="28"/>
          <w:szCs w:val="28"/>
          <w:highlight w:val="none"/>
        </w:rPr>
        <w:t>（若有）</w:t>
      </w:r>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p>
    <w:p w14:paraId="0C377D58">
      <w:pPr>
        <w:wordWrap w:val="0"/>
        <w:overflowPunct w:val="0"/>
        <w:topLinePunct/>
        <w:spacing w:line="360" w:lineRule="auto"/>
        <w:jc w:val="center"/>
        <w:rPr>
          <w:rFonts w:hint="eastAsia" w:ascii="仿宋" w:hAnsi="仿宋" w:eastAsia="仿宋" w:cs="仿宋"/>
          <w:color w:val="auto"/>
          <w:szCs w:val="21"/>
          <w:highlight w:val="none"/>
        </w:rPr>
      </w:pPr>
    </w:p>
    <w:p w14:paraId="187B8DC3">
      <w:pPr>
        <w:wordWrap w:val="0"/>
        <w:overflowPunct w:val="0"/>
        <w:topLinePunct/>
        <w:spacing w:line="360" w:lineRule="auto"/>
        <w:ind w:firstLine="540" w:firstLineChars="225"/>
        <w:rPr>
          <w:rFonts w:hint="eastAsia" w:ascii="仿宋" w:hAnsi="仿宋" w:eastAsia="仿宋" w:cs="仿宋"/>
          <w:color w:val="auto"/>
          <w:sz w:val="24"/>
          <w:highlight w:val="none"/>
        </w:rPr>
      </w:pPr>
      <w:r>
        <w:rPr>
          <w:rFonts w:hint="eastAsia" w:ascii="仿宋" w:hAnsi="仿宋" w:eastAsia="仿宋" w:cs="仿宋"/>
          <w:color w:val="auto"/>
          <w:sz w:val="24"/>
          <w:highlight w:val="none"/>
        </w:rPr>
        <w:t>本授权委托书声明：我</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（姓名）系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投标人</w:t>
      </w:r>
      <w:r>
        <w:rPr>
          <w:rFonts w:hint="eastAsia" w:ascii="仿宋" w:hAnsi="仿宋" w:eastAsia="仿宋" w:cs="仿宋"/>
          <w:color w:val="auto"/>
          <w:sz w:val="24"/>
          <w:highlight w:val="none"/>
          <w:u w:val="single"/>
        </w:rPr>
        <w:t>名称）</w:t>
      </w:r>
      <w:r>
        <w:rPr>
          <w:rFonts w:hint="eastAsia" w:ascii="仿宋" w:hAnsi="仿宋" w:eastAsia="仿宋" w:cs="仿宋"/>
          <w:color w:val="auto"/>
          <w:sz w:val="24"/>
          <w:highlight w:val="none"/>
        </w:rPr>
        <w:t>的法定代表人（负责人），现授权委托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投标人</w:t>
      </w:r>
      <w:r>
        <w:rPr>
          <w:rFonts w:hint="eastAsia" w:ascii="仿宋" w:hAnsi="仿宋" w:eastAsia="仿宋" w:cs="仿宋"/>
          <w:color w:val="auto"/>
          <w:sz w:val="24"/>
          <w:highlight w:val="none"/>
          <w:u w:val="single"/>
        </w:rPr>
        <w:t xml:space="preserve">名称）     </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u w:val="single"/>
        </w:rPr>
        <w:t xml:space="preserve">    （姓名）    </w:t>
      </w:r>
      <w:r>
        <w:rPr>
          <w:rFonts w:hint="eastAsia" w:ascii="仿宋" w:hAnsi="仿宋" w:eastAsia="仿宋" w:cs="仿宋"/>
          <w:color w:val="auto"/>
          <w:sz w:val="24"/>
          <w:highlight w:val="none"/>
        </w:rPr>
        <w:t>为我方代理人，以我方名义签署、澄清、说明、补正、递交、撤回、修改（</w:t>
      </w:r>
      <w:r>
        <w:rPr>
          <w:rFonts w:hint="eastAsia" w:ascii="仿宋" w:hAnsi="仿宋" w:eastAsia="仿宋" w:cs="仿宋"/>
          <w:color w:val="auto"/>
          <w:sz w:val="24"/>
          <w:highlight w:val="none"/>
          <w:lang w:eastAsia="zh-CN"/>
        </w:rPr>
        <w:t>项目名称：</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、项目编号：</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投标文件</w:t>
      </w:r>
      <w:r>
        <w:rPr>
          <w:rFonts w:hint="eastAsia" w:ascii="仿宋" w:hAnsi="仿宋" w:eastAsia="仿宋" w:cs="仿宋"/>
          <w:color w:val="auto"/>
          <w:sz w:val="24"/>
          <w:highlight w:val="none"/>
        </w:rPr>
        <w:t>、签订合同和处理有关事宜，其法律后果由我方承担。</w:t>
      </w:r>
    </w:p>
    <w:p w14:paraId="74777AD6">
      <w:pPr>
        <w:wordWrap w:val="0"/>
        <w:overflowPunct w:val="0"/>
        <w:topLinePunct/>
        <w:spacing w:line="360" w:lineRule="auto"/>
        <w:ind w:firstLine="540" w:firstLineChars="225"/>
        <w:rPr>
          <w:rFonts w:hint="eastAsia" w:ascii="仿宋" w:hAnsi="仿宋" w:eastAsia="仿宋" w:cs="仿宋"/>
          <w:color w:val="auto"/>
          <w:sz w:val="24"/>
          <w:highlight w:val="none"/>
        </w:rPr>
      </w:pPr>
      <w:r>
        <w:rPr>
          <w:rFonts w:hint="eastAsia" w:ascii="仿宋" w:hAnsi="仿宋" w:eastAsia="仿宋" w:cs="仿宋"/>
          <w:color w:val="auto"/>
          <w:sz w:val="24"/>
          <w:highlight w:val="none"/>
        </w:rPr>
        <w:t>代理人无转委托权，特此委托。</w:t>
      </w:r>
    </w:p>
    <w:p w14:paraId="61AE3CE3">
      <w:pPr>
        <w:wordWrap w:val="0"/>
        <w:overflowPunct w:val="0"/>
        <w:topLinePunct/>
        <w:spacing w:line="360" w:lineRule="auto"/>
        <w:rPr>
          <w:rFonts w:hint="eastAsia" w:ascii="仿宋" w:hAnsi="仿宋" w:eastAsia="仿宋" w:cs="仿宋"/>
          <w:color w:val="auto"/>
          <w:sz w:val="24"/>
          <w:highlight w:val="none"/>
        </w:rPr>
      </w:pPr>
    </w:p>
    <w:p w14:paraId="0FCA41C8">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供 应 商</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（加盖电子公章）</w:t>
      </w:r>
    </w:p>
    <w:p w14:paraId="65B58CB2">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法定代表人（负责人）：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电子签章</w:t>
      </w:r>
      <w:r>
        <w:rPr>
          <w:rFonts w:hint="eastAsia" w:ascii="仿宋" w:hAnsi="仿宋" w:eastAsia="仿宋" w:cs="仿宋"/>
          <w:color w:val="auto"/>
          <w:sz w:val="24"/>
          <w:highlight w:val="none"/>
        </w:rPr>
        <w:t>）</w:t>
      </w:r>
    </w:p>
    <w:p w14:paraId="0DCF2C3F">
      <w:pPr>
        <w:wordWrap w:val="0"/>
        <w:overflowPunct w:val="0"/>
        <w:topLinePunct/>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身份证号码：</w:t>
      </w:r>
      <w:r>
        <w:rPr>
          <w:rFonts w:hint="eastAsia" w:ascii="仿宋" w:hAnsi="仿宋" w:eastAsia="仿宋" w:cs="仿宋"/>
          <w:color w:val="auto"/>
          <w:sz w:val="24"/>
          <w:highlight w:val="none"/>
          <w:u w:val="single"/>
        </w:rPr>
        <w:t xml:space="preserve">                         </w:t>
      </w:r>
    </w:p>
    <w:p w14:paraId="414F7930">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签字或</w:t>
      </w:r>
      <w:r>
        <w:rPr>
          <w:rFonts w:hint="eastAsia" w:ascii="仿宋" w:hAnsi="仿宋" w:eastAsia="仿宋" w:cs="仿宋"/>
          <w:color w:val="auto"/>
          <w:sz w:val="24"/>
          <w:highlight w:val="none"/>
          <w:lang w:eastAsia="zh-CN"/>
        </w:rPr>
        <w:t>电子签章</w:t>
      </w:r>
      <w:r>
        <w:rPr>
          <w:rFonts w:hint="eastAsia" w:ascii="仿宋" w:hAnsi="仿宋" w:eastAsia="仿宋" w:cs="仿宋"/>
          <w:color w:val="auto"/>
          <w:sz w:val="24"/>
          <w:highlight w:val="none"/>
        </w:rPr>
        <w:t>）</w:t>
      </w:r>
    </w:p>
    <w:p w14:paraId="3A01B6C5">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身份证号码：</w:t>
      </w:r>
      <w:r>
        <w:rPr>
          <w:rFonts w:hint="eastAsia" w:ascii="仿宋" w:hAnsi="仿宋" w:eastAsia="仿宋" w:cs="仿宋"/>
          <w:color w:val="auto"/>
          <w:sz w:val="24"/>
          <w:highlight w:val="none"/>
          <w:u w:val="single"/>
        </w:rPr>
        <w:t xml:space="preserve">                         </w:t>
      </w:r>
    </w:p>
    <w:p w14:paraId="74EED4E3">
      <w:pPr>
        <w:wordWrap w:val="0"/>
        <w:overflowPunct w:val="0"/>
        <w:topLinePunct/>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 w:val="24"/>
          <w:highlight w:val="none"/>
        </w:rPr>
        <w:t>授权委托日期：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3B8963DF">
      <w:pPr>
        <w:wordWrap w:val="0"/>
        <w:overflowPunct w:val="0"/>
        <w:topLinePunct/>
        <w:spacing w:line="360" w:lineRule="auto"/>
        <w:rPr>
          <w:rFonts w:hint="eastAsia" w:ascii="仿宋" w:hAnsi="仿宋" w:eastAsia="仿宋" w:cs="仿宋"/>
          <w:color w:val="auto"/>
          <w:szCs w:val="21"/>
          <w:highlight w:val="none"/>
        </w:rPr>
      </w:pPr>
    </w:p>
    <w:tbl>
      <w:tblPr>
        <w:tblStyle w:val="67"/>
        <w:tblW w:w="9777"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4846"/>
        <w:gridCol w:w="257"/>
        <w:gridCol w:w="4674"/>
      </w:tblGrid>
      <w:tr w14:paraId="06982F4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010" w:hRule="atLeast"/>
          <w:jc w:val="center"/>
        </w:trPr>
        <w:tc>
          <w:tcPr>
            <w:tcW w:w="4846" w:type="dxa"/>
            <w:vAlign w:val="center"/>
          </w:tcPr>
          <w:p w14:paraId="7087921A">
            <w:pPr>
              <w:wordWrap w:val="0"/>
              <w:overflowPunct w:val="0"/>
              <w:topLinePunct/>
              <w:spacing w:line="46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代理人身份证原件</w:t>
            </w:r>
            <w:r>
              <w:rPr>
                <w:rFonts w:hint="eastAsia" w:ascii="仿宋" w:hAnsi="仿宋" w:eastAsia="仿宋" w:cs="仿宋"/>
                <w:color w:val="auto"/>
                <w:szCs w:val="21"/>
                <w:highlight w:val="none"/>
                <w:lang w:eastAsia="zh-CN"/>
              </w:rPr>
              <w:t>扫描件</w:t>
            </w:r>
            <w:r>
              <w:rPr>
                <w:rFonts w:hint="eastAsia" w:ascii="仿宋" w:hAnsi="仿宋" w:eastAsia="仿宋" w:cs="仿宋"/>
                <w:color w:val="auto"/>
                <w:szCs w:val="21"/>
                <w:highlight w:val="none"/>
              </w:rPr>
              <w:t>正面</w:t>
            </w:r>
          </w:p>
        </w:tc>
        <w:tc>
          <w:tcPr>
            <w:tcW w:w="257" w:type="dxa"/>
            <w:tcBorders>
              <w:top w:val="nil"/>
              <w:bottom w:val="nil"/>
            </w:tcBorders>
            <w:vAlign w:val="center"/>
          </w:tcPr>
          <w:p w14:paraId="19CDF4E7">
            <w:pPr>
              <w:wordWrap w:val="0"/>
              <w:overflowPunct w:val="0"/>
              <w:topLinePunct/>
              <w:spacing w:line="460" w:lineRule="exact"/>
              <w:jc w:val="center"/>
              <w:rPr>
                <w:rFonts w:hint="eastAsia" w:ascii="仿宋" w:hAnsi="仿宋" w:eastAsia="仿宋" w:cs="仿宋"/>
                <w:color w:val="auto"/>
                <w:szCs w:val="21"/>
                <w:highlight w:val="none"/>
              </w:rPr>
            </w:pPr>
          </w:p>
          <w:p w14:paraId="50FCFDDB">
            <w:pPr>
              <w:wordWrap w:val="0"/>
              <w:overflowPunct w:val="0"/>
              <w:topLinePunct/>
              <w:spacing w:line="460" w:lineRule="exact"/>
              <w:jc w:val="center"/>
              <w:rPr>
                <w:rFonts w:hint="eastAsia" w:ascii="仿宋" w:hAnsi="仿宋" w:eastAsia="仿宋" w:cs="仿宋"/>
                <w:color w:val="auto"/>
                <w:szCs w:val="21"/>
                <w:highlight w:val="none"/>
              </w:rPr>
            </w:pPr>
          </w:p>
        </w:tc>
        <w:tc>
          <w:tcPr>
            <w:tcW w:w="4674" w:type="dxa"/>
            <w:vAlign w:val="center"/>
          </w:tcPr>
          <w:p w14:paraId="123D3641">
            <w:pPr>
              <w:wordWrap w:val="0"/>
              <w:overflowPunct w:val="0"/>
              <w:topLinePunct/>
              <w:spacing w:line="46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代理人身份证原件</w:t>
            </w:r>
            <w:r>
              <w:rPr>
                <w:rFonts w:hint="eastAsia" w:ascii="仿宋" w:hAnsi="仿宋" w:eastAsia="仿宋" w:cs="仿宋"/>
                <w:color w:val="auto"/>
                <w:szCs w:val="21"/>
                <w:highlight w:val="none"/>
                <w:lang w:eastAsia="zh-CN"/>
              </w:rPr>
              <w:t>扫描件</w:t>
            </w:r>
            <w:r>
              <w:rPr>
                <w:rFonts w:hint="eastAsia" w:ascii="仿宋" w:hAnsi="仿宋" w:eastAsia="仿宋" w:cs="仿宋"/>
                <w:color w:val="auto"/>
                <w:szCs w:val="21"/>
                <w:highlight w:val="none"/>
              </w:rPr>
              <w:t>背面</w:t>
            </w:r>
          </w:p>
        </w:tc>
      </w:tr>
    </w:tbl>
    <w:p w14:paraId="313B7C5A">
      <w:pPr>
        <w:wordWrap w:val="0"/>
        <w:overflowPunct w:val="0"/>
        <w:topLinePunct/>
        <w:spacing w:line="360" w:lineRule="auto"/>
        <w:rPr>
          <w:rFonts w:hint="eastAsia" w:ascii="仿宋" w:hAnsi="仿宋" w:eastAsia="仿宋" w:cs="仿宋"/>
          <w:color w:val="auto"/>
          <w:szCs w:val="21"/>
          <w:highlight w:val="none"/>
        </w:rPr>
      </w:pPr>
    </w:p>
    <w:p w14:paraId="27BAE574">
      <w:pPr>
        <w:pStyle w:val="65"/>
        <w:wordWrap w:val="0"/>
        <w:overflowPunct w:val="0"/>
        <w:topLinePunct/>
        <w:spacing w:after="0"/>
        <w:ind w:firstLine="422" w:firstLineChars="200"/>
        <w:jc w:val="left"/>
        <w:rPr>
          <w:rFonts w:hint="eastAsia" w:ascii="仿宋" w:hAnsi="仿宋" w:eastAsia="仿宋" w:cs="仿宋"/>
          <w:b/>
          <w:color w:val="auto"/>
          <w:sz w:val="21"/>
          <w:szCs w:val="21"/>
          <w:highlight w:val="none"/>
        </w:rPr>
      </w:pPr>
    </w:p>
    <w:p w14:paraId="0E28AF1B">
      <w:pPr>
        <w:pStyle w:val="66"/>
        <w:rPr>
          <w:rFonts w:hint="eastAsia" w:ascii="仿宋" w:hAnsi="仿宋" w:eastAsia="仿宋" w:cs="仿宋"/>
          <w:b/>
          <w:color w:val="auto"/>
          <w:sz w:val="21"/>
          <w:szCs w:val="21"/>
          <w:highlight w:val="none"/>
        </w:rPr>
        <w:sectPr>
          <w:pgSz w:w="11906" w:h="16838"/>
          <w:pgMar w:top="1134" w:right="1134" w:bottom="1134" w:left="1134" w:header="851" w:footer="992"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b/>
          <w:color w:val="auto"/>
          <w:sz w:val="21"/>
          <w:szCs w:val="21"/>
          <w:highlight w:val="none"/>
        </w:rPr>
        <w:t>注：附授权委托人身份证原件</w:t>
      </w:r>
      <w:r>
        <w:rPr>
          <w:rFonts w:hint="eastAsia" w:ascii="仿宋" w:hAnsi="仿宋" w:eastAsia="仿宋" w:cs="仿宋"/>
          <w:b/>
          <w:color w:val="auto"/>
          <w:sz w:val="21"/>
          <w:szCs w:val="21"/>
          <w:highlight w:val="none"/>
          <w:lang w:eastAsia="zh-CN"/>
        </w:rPr>
        <w:t>扫描件</w:t>
      </w:r>
      <w:r>
        <w:rPr>
          <w:rFonts w:hint="eastAsia" w:ascii="仿宋" w:hAnsi="仿宋" w:eastAsia="仿宋" w:cs="仿宋"/>
          <w:b/>
          <w:color w:val="auto"/>
          <w:sz w:val="21"/>
          <w:szCs w:val="21"/>
          <w:highlight w:val="none"/>
        </w:rPr>
        <w:t>，如</w:t>
      </w:r>
      <w:r>
        <w:rPr>
          <w:rFonts w:hint="eastAsia" w:ascii="仿宋" w:hAnsi="仿宋" w:eastAsia="仿宋" w:cs="仿宋"/>
          <w:b/>
          <w:color w:val="auto"/>
          <w:sz w:val="21"/>
          <w:szCs w:val="21"/>
          <w:highlight w:val="none"/>
          <w:lang w:eastAsia="zh-CN"/>
        </w:rPr>
        <w:t>投标人</w:t>
      </w:r>
      <w:r>
        <w:rPr>
          <w:rFonts w:hint="eastAsia" w:ascii="仿宋" w:hAnsi="仿宋" w:eastAsia="仿宋" w:cs="仿宋"/>
          <w:b/>
          <w:color w:val="auto"/>
          <w:sz w:val="21"/>
          <w:szCs w:val="21"/>
          <w:highlight w:val="none"/>
        </w:rPr>
        <w:t>由法定代表人（负责人）亲自签署响应文件并参与相关活动，则不需要办理授权。如有被授权的代理人签署上述文件，则必须按本格式规定填报并提交授权书，否则被授权的代理人将不被认可。</w:t>
      </w:r>
      <w:bookmarkStart w:id="1688" w:name="_Toc2811"/>
      <w:bookmarkStart w:id="1689" w:name="_Toc5671"/>
      <w:bookmarkStart w:id="1690" w:name="_Toc19503"/>
      <w:bookmarkStart w:id="1691" w:name="_Toc23833"/>
      <w:bookmarkStart w:id="1692" w:name="_Toc25082"/>
      <w:bookmarkStart w:id="1693" w:name="_Toc8211"/>
      <w:bookmarkStart w:id="1694" w:name="_Toc7472"/>
      <w:bookmarkStart w:id="1695" w:name="_Toc21664"/>
      <w:bookmarkStart w:id="1696" w:name="_Toc4894"/>
      <w:bookmarkStart w:id="1697" w:name="_Toc3751"/>
      <w:bookmarkStart w:id="1698" w:name="_Toc18692"/>
      <w:bookmarkStart w:id="1699" w:name="_Toc4795"/>
      <w:bookmarkStart w:id="1700" w:name="_Toc30079"/>
      <w:bookmarkStart w:id="1701" w:name="_Toc3893"/>
      <w:bookmarkStart w:id="1702" w:name="_Toc12747"/>
      <w:bookmarkStart w:id="1703" w:name="_Toc28918"/>
      <w:bookmarkStart w:id="1704" w:name="_Toc11687"/>
      <w:bookmarkStart w:id="1705" w:name="_Toc20304"/>
      <w:bookmarkStart w:id="1706" w:name="_Toc14030"/>
      <w:bookmarkStart w:id="1707" w:name="_Toc24423"/>
      <w:bookmarkStart w:id="1708" w:name="_Toc25299"/>
      <w:bookmarkStart w:id="1709" w:name="_Toc4341"/>
    </w:p>
    <w:p w14:paraId="5041E476">
      <w:pPr>
        <w:pStyle w:val="66"/>
        <w:ind w:left="0" w:leftChars="0" w:firstLine="0" w:firstLineChars="0"/>
        <w:jc w:val="center"/>
        <w:outlineLvl w:val="1"/>
        <w:rPr>
          <w:rFonts w:hint="eastAsia" w:ascii="仿宋" w:hAnsi="仿宋" w:eastAsia="仿宋" w:cs="仿宋"/>
          <w:b/>
          <w:bCs/>
          <w:color w:val="auto"/>
          <w:sz w:val="32"/>
          <w:szCs w:val="32"/>
          <w:highlight w:val="none"/>
        </w:rPr>
      </w:pPr>
      <w:bookmarkStart w:id="1710" w:name="_Toc4414"/>
      <w:r>
        <w:rPr>
          <w:rFonts w:hint="eastAsia" w:ascii="仿宋" w:hAnsi="仿宋" w:eastAsia="仿宋" w:cs="仿宋"/>
          <w:b/>
          <w:bCs/>
          <w:color w:val="auto"/>
          <w:sz w:val="28"/>
          <w:szCs w:val="28"/>
          <w:highlight w:val="none"/>
          <w:lang w:val="en-US" w:eastAsia="zh-CN"/>
        </w:rPr>
        <w:t>二</w:t>
      </w:r>
      <w:r>
        <w:rPr>
          <w:rFonts w:hint="eastAsia" w:ascii="仿宋" w:hAnsi="仿宋" w:eastAsia="仿宋" w:cs="仿宋"/>
          <w:b/>
          <w:bCs/>
          <w:color w:val="auto"/>
          <w:sz w:val="28"/>
          <w:szCs w:val="28"/>
          <w:highlight w:val="none"/>
        </w:rPr>
        <w:t>、具有良好的商业信誉和健全的财务会计制度</w:t>
      </w:r>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r>
        <w:rPr>
          <w:rFonts w:hint="eastAsia" w:ascii="仿宋" w:hAnsi="仿宋" w:eastAsia="仿宋" w:cs="仿宋"/>
          <w:b/>
          <w:bCs/>
          <w:color w:val="auto"/>
          <w:sz w:val="28"/>
          <w:szCs w:val="28"/>
          <w:highlight w:val="none"/>
          <w:lang w:val="en-US" w:eastAsia="zh-CN"/>
        </w:rPr>
        <w:t>（实质性格式）</w:t>
      </w:r>
      <w:bookmarkEnd w:id="1710"/>
      <w:r>
        <w:rPr>
          <w:rFonts w:hint="eastAsia" w:ascii="仿宋" w:hAnsi="仿宋" w:eastAsia="仿宋" w:cs="仿宋"/>
          <w:b/>
          <w:bCs/>
          <w:color w:val="auto"/>
          <w:sz w:val="32"/>
          <w:szCs w:val="32"/>
          <w:highlight w:val="none"/>
          <w:lang w:val="en-US" w:eastAsia="zh-CN"/>
        </w:rPr>
        <w:t xml:space="preserve"> </w:t>
      </w:r>
      <w:bookmarkStart w:id="1711" w:name="_Toc28956"/>
      <w:bookmarkStart w:id="1712" w:name="_Toc27974"/>
      <w:bookmarkStart w:id="1713" w:name="_Toc32074"/>
      <w:bookmarkStart w:id="1714" w:name="_Toc31866"/>
      <w:bookmarkStart w:id="1715" w:name="_Toc13341"/>
      <w:bookmarkStart w:id="1716" w:name="_Toc11588"/>
      <w:bookmarkStart w:id="1717" w:name="_Toc13801"/>
      <w:bookmarkStart w:id="1718" w:name="_Toc18630"/>
      <w:bookmarkStart w:id="1719" w:name="_Toc23018"/>
      <w:bookmarkStart w:id="1720" w:name="_Toc7774"/>
      <w:bookmarkStart w:id="1721" w:name="_Toc21457"/>
      <w:bookmarkStart w:id="1722" w:name="_Toc4499"/>
      <w:bookmarkStart w:id="1723" w:name="_Toc955"/>
    </w:p>
    <w:bookmarkEnd w:id="1711"/>
    <w:bookmarkEnd w:id="1712"/>
    <w:bookmarkEnd w:id="1713"/>
    <w:bookmarkEnd w:id="1714"/>
    <w:bookmarkEnd w:id="1715"/>
    <w:bookmarkEnd w:id="1716"/>
    <w:bookmarkEnd w:id="1717"/>
    <w:bookmarkEnd w:id="1718"/>
    <w:bookmarkEnd w:id="1719"/>
    <w:bookmarkEnd w:id="1720"/>
    <w:bookmarkEnd w:id="1721"/>
    <w:bookmarkEnd w:id="1722"/>
    <w:bookmarkEnd w:id="1723"/>
    <w:p w14:paraId="15279128">
      <w:pPr>
        <w:pStyle w:val="66"/>
        <w:ind w:left="0" w:leftChars="0" w:firstLine="420" w:firstLineChars="200"/>
        <w:jc w:val="left"/>
        <w:rPr>
          <w:rFonts w:hint="eastAsia" w:ascii="仿宋" w:hAnsi="仿宋" w:eastAsia="仿宋" w:cs="仿宋"/>
          <w:color w:val="auto"/>
          <w:sz w:val="24"/>
          <w:szCs w:val="24"/>
          <w:highlight w:val="none"/>
        </w:rPr>
        <w:sectPr>
          <w:pgSz w:w="11906" w:h="16838"/>
          <w:pgMar w:top="1134" w:right="1134" w:bottom="1134" w:left="1134" w:header="851" w:footer="992" w:gutter="0"/>
          <w:pgBorders>
            <w:top w:val="none" w:sz="0" w:space="0"/>
            <w:left w:val="none" w:sz="0" w:space="0"/>
            <w:bottom w:val="none" w:sz="0" w:space="0"/>
            <w:right w:val="none" w:sz="0" w:space="0"/>
          </w:pgBorders>
          <w:pgNumType w:fmt="decimal"/>
          <w:cols w:space="425" w:num="1"/>
          <w:rtlGutter w:val="0"/>
          <w:docGrid w:type="lines" w:linePitch="312" w:charSpace="0"/>
        </w:sectPr>
      </w:pPr>
      <w:bookmarkStart w:id="1724" w:name="_Toc9048"/>
      <w:bookmarkStart w:id="1725" w:name="_Toc16253"/>
      <w:bookmarkStart w:id="1726" w:name="_Toc9776"/>
      <w:bookmarkStart w:id="1727" w:name="_Toc16897"/>
      <w:bookmarkStart w:id="1728" w:name="_Toc18160"/>
      <w:bookmarkStart w:id="1729" w:name="_Toc24217"/>
      <w:bookmarkStart w:id="1730" w:name="_Toc6785"/>
      <w:bookmarkStart w:id="1731" w:name="_Toc32727"/>
      <w:bookmarkStart w:id="1732" w:name="_Toc25957"/>
      <w:bookmarkStart w:id="1733" w:name="_Toc11047"/>
      <w:bookmarkStart w:id="1734" w:name="_Toc11937"/>
      <w:bookmarkStart w:id="1735" w:name="_Toc29390"/>
      <w:bookmarkStart w:id="1736" w:name="_Toc21554"/>
      <w:bookmarkStart w:id="1737" w:name="_Toc32071"/>
      <w:bookmarkStart w:id="1738" w:name="_Toc32653"/>
      <w:bookmarkStart w:id="1739" w:name="_Toc3873"/>
      <w:bookmarkStart w:id="1740" w:name="_Toc29987"/>
      <w:r>
        <w:rPr>
          <w:rFonts w:hint="eastAsia" w:ascii="仿宋" w:hAnsi="仿宋" w:eastAsia="仿宋" w:cs="仿宋"/>
          <w:b w:val="0"/>
          <w:bCs/>
          <w:color w:val="auto"/>
          <w:sz w:val="21"/>
          <w:szCs w:val="21"/>
          <w:highlight w:val="none"/>
          <w:lang w:eastAsia="zh-CN"/>
        </w:rPr>
        <w:t>具备健全的财务会计制度的证明材料｛注（任选其一）：①可提供投标文件递交截止日前三年内至少1年经会计师事务所或审计机构出具的财务审计报告（至少包含资产负债表、利润表、现金流量表、所有者权益变动表及财务报表附注）或投标人内部的财务报表（至少包含资产负债表、利润表、现金流量表）（任选其一）；②也可提供财政部门认可的政府采购专业担保机构出具的投标担保函；③也可提供截至投标文件递交截止日前六个月内银行出具的资信证明（复印件）；④投标人注册时间截至投标文件递交截止日不足一年的，也可提供在工商备案主管部门备案的公司章程复印件。｝</w:t>
      </w:r>
    </w:p>
    <w:p w14:paraId="603FFCA0">
      <w:pPr>
        <w:pStyle w:val="66"/>
        <w:ind w:left="0" w:leftChars="0" w:firstLine="0" w:firstLineChars="0"/>
        <w:jc w:val="center"/>
        <w:outlineLvl w:val="1"/>
        <w:rPr>
          <w:rFonts w:hint="eastAsia" w:ascii="仿宋" w:hAnsi="仿宋" w:eastAsia="仿宋" w:cs="仿宋"/>
          <w:b/>
          <w:bCs/>
          <w:color w:val="auto"/>
          <w:kern w:val="0"/>
          <w:sz w:val="28"/>
          <w:szCs w:val="28"/>
          <w:highlight w:val="none"/>
          <w:lang w:bidi="ar"/>
        </w:rPr>
      </w:pPr>
      <w:bookmarkStart w:id="1741" w:name="_Toc2714"/>
      <w:r>
        <w:rPr>
          <w:rFonts w:hint="eastAsia" w:ascii="仿宋" w:hAnsi="仿宋" w:eastAsia="仿宋" w:cs="仿宋"/>
          <w:b/>
          <w:bCs/>
          <w:color w:val="auto"/>
          <w:sz w:val="28"/>
          <w:szCs w:val="28"/>
          <w:highlight w:val="none"/>
          <w:lang w:val="en-US" w:eastAsia="zh-CN"/>
        </w:rPr>
        <w:t>三</w:t>
      </w:r>
      <w:r>
        <w:rPr>
          <w:rFonts w:hint="eastAsia" w:ascii="仿宋" w:hAnsi="仿宋" w:eastAsia="仿宋" w:cs="仿宋"/>
          <w:b/>
          <w:bCs/>
          <w:color w:val="auto"/>
          <w:sz w:val="28"/>
          <w:szCs w:val="28"/>
          <w:highlight w:val="none"/>
        </w:rPr>
        <w:t>、</w:t>
      </w:r>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r>
        <w:rPr>
          <w:rFonts w:hint="eastAsia" w:ascii="仿宋" w:hAnsi="仿宋" w:eastAsia="仿宋" w:cs="仿宋"/>
          <w:b/>
          <w:bCs/>
          <w:color w:val="auto"/>
          <w:kern w:val="0"/>
          <w:sz w:val="28"/>
          <w:szCs w:val="28"/>
          <w:highlight w:val="none"/>
          <w:lang w:bidi="ar"/>
        </w:rPr>
        <w:t>具有履行合同所必需的设备和专业技术能力的承诺函</w:t>
      </w:r>
      <w:r>
        <w:rPr>
          <w:rFonts w:hint="eastAsia" w:ascii="仿宋" w:hAnsi="仿宋" w:eastAsia="仿宋" w:cs="仿宋"/>
          <w:b/>
          <w:bCs/>
          <w:color w:val="auto"/>
          <w:kern w:val="0"/>
          <w:sz w:val="28"/>
          <w:szCs w:val="28"/>
          <w:highlight w:val="none"/>
          <w:lang w:val="en-US" w:eastAsia="zh-CN" w:bidi="ar"/>
        </w:rPr>
        <w:t>（实质性格式）</w:t>
      </w:r>
      <w:bookmarkEnd w:id="1741"/>
    </w:p>
    <w:p w14:paraId="4ABC1683">
      <w:pPr>
        <w:wordWrap w:val="0"/>
        <w:overflowPunct w:val="0"/>
        <w:topLinePunct/>
        <w:spacing w:line="360" w:lineRule="auto"/>
        <w:ind w:firstLine="480" w:firstLineChars="200"/>
        <w:jc w:val="left"/>
        <w:rPr>
          <w:rFonts w:hint="eastAsia" w:ascii="仿宋" w:hAnsi="仿宋" w:eastAsia="仿宋" w:cs="仿宋"/>
          <w:color w:val="auto"/>
          <w:kern w:val="0"/>
          <w:sz w:val="24"/>
          <w:highlight w:val="none"/>
          <w:lang w:bidi="ar"/>
        </w:rPr>
      </w:pPr>
    </w:p>
    <w:p w14:paraId="219DA5D0">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本承诺书声明：本公司参与贵方组织</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项目名称：</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、项目编号：</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lang w:eastAsia="zh-CN"/>
        </w:rPr>
        <w:t>公开招标</w:t>
      </w:r>
      <w:r>
        <w:rPr>
          <w:rFonts w:hint="eastAsia" w:ascii="仿宋" w:hAnsi="仿宋" w:eastAsia="仿宋" w:cs="仿宋"/>
          <w:color w:val="auto"/>
          <w:sz w:val="24"/>
          <w:highlight w:val="none"/>
        </w:rPr>
        <w:t>采购活动</w:t>
      </w:r>
      <w:r>
        <w:rPr>
          <w:rFonts w:hint="eastAsia" w:ascii="仿宋" w:hAnsi="仿宋" w:eastAsia="仿宋" w:cs="仿宋"/>
          <w:color w:val="auto"/>
          <w:kern w:val="0"/>
          <w:sz w:val="24"/>
          <w:highlight w:val="none"/>
          <w:lang w:bidi="ar"/>
        </w:rPr>
        <w:t xml:space="preserve">做出如下承诺： </w:t>
      </w:r>
    </w:p>
    <w:p w14:paraId="6C2A59DF">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本公司完全具备履行本项目合同所必需的供货、安装、专业售后团队、培训相关人员能力，随时接受</w:t>
      </w:r>
      <w:r>
        <w:rPr>
          <w:rFonts w:hint="eastAsia" w:ascii="仿宋" w:hAnsi="仿宋" w:eastAsia="仿宋" w:cs="仿宋"/>
          <w:color w:val="auto"/>
          <w:kern w:val="0"/>
          <w:sz w:val="24"/>
          <w:highlight w:val="none"/>
          <w:lang w:eastAsia="zh-CN" w:bidi="ar"/>
        </w:rPr>
        <w:t>采购人</w:t>
      </w:r>
      <w:r>
        <w:rPr>
          <w:rFonts w:hint="eastAsia" w:ascii="仿宋" w:hAnsi="仿宋" w:eastAsia="仿宋" w:cs="仿宋"/>
          <w:color w:val="auto"/>
          <w:kern w:val="0"/>
          <w:sz w:val="24"/>
          <w:highlight w:val="none"/>
          <w:lang w:bidi="ar"/>
        </w:rPr>
        <w:t xml:space="preserve">的检查验证。如违反上述承诺，本公司将按照政府采购法有关规定接受处罚，并通过相关政府采购媒体予以公布。 </w:t>
      </w:r>
    </w:p>
    <w:p w14:paraId="1F04B3CC">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 xml:space="preserve">其他需要说明的事项（如无可不填报）： </w:t>
      </w:r>
    </w:p>
    <w:p w14:paraId="791D228F">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u w:val="single"/>
          <w:lang w:bidi="ar"/>
        </w:rPr>
        <w:t xml:space="preserve">                                                               </w:t>
      </w:r>
      <w:r>
        <w:rPr>
          <w:rFonts w:hint="eastAsia" w:ascii="仿宋" w:hAnsi="仿宋" w:eastAsia="仿宋" w:cs="仿宋"/>
          <w:color w:val="auto"/>
          <w:kern w:val="0"/>
          <w:sz w:val="24"/>
          <w:highlight w:val="none"/>
          <w:lang w:bidi="ar"/>
        </w:rPr>
        <w:t xml:space="preserve">。 </w:t>
      </w:r>
    </w:p>
    <w:p w14:paraId="5828F5E7">
      <w:pPr>
        <w:wordWrap w:val="0"/>
        <w:overflowPunct w:val="0"/>
        <w:topLinePunct/>
        <w:spacing w:line="360" w:lineRule="auto"/>
        <w:ind w:firstLine="480" w:firstLineChars="200"/>
        <w:jc w:val="left"/>
        <w:rPr>
          <w:rFonts w:hint="eastAsia" w:ascii="仿宋" w:hAnsi="仿宋" w:eastAsia="仿宋" w:cs="仿宋"/>
          <w:color w:val="auto"/>
          <w:highlight w:val="none"/>
        </w:rPr>
      </w:pPr>
      <w:r>
        <w:rPr>
          <w:rFonts w:hint="eastAsia" w:ascii="仿宋" w:hAnsi="仿宋" w:eastAsia="仿宋" w:cs="仿宋"/>
          <w:color w:val="auto"/>
          <w:kern w:val="0"/>
          <w:sz w:val="24"/>
          <w:highlight w:val="none"/>
          <w:lang w:bidi="ar"/>
        </w:rPr>
        <w:t>特此承诺。</w:t>
      </w:r>
    </w:p>
    <w:p w14:paraId="5E4C04B1">
      <w:pPr>
        <w:wordWrap w:val="0"/>
        <w:overflowPunct w:val="0"/>
        <w:topLinePunct/>
        <w:spacing w:line="360" w:lineRule="auto"/>
        <w:jc w:val="center"/>
        <w:rPr>
          <w:rFonts w:hint="eastAsia" w:ascii="仿宋" w:hAnsi="仿宋" w:eastAsia="仿宋" w:cs="仿宋"/>
          <w:color w:val="auto"/>
          <w:sz w:val="24"/>
          <w:highlight w:val="none"/>
        </w:rPr>
      </w:pPr>
    </w:p>
    <w:p w14:paraId="04C45E11">
      <w:pPr>
        <w:wordWrap w:val="0"/>
        <w:overflowPunct w:val="0"/>
        <w:topLinePunct/>
        <w:spacing w:line="360" w:lineRule="auto"/>
        <w:jc w:val="center"/>
        <w:rPr>
          <w:rFonts w:hint="eastAsia" w:ascii="仿宋" w:hAnsi="仿宋" w:eastAsia="仿宋" w:cs="仿宋"/>
          <w:color w:val="auto"/>
          <w:sz w:val="24"/>
          <w:highlight w:val="none"/>
        </w:rPr>
      </w:pPr>
    </w:p>
    <w:p w14:paraId="6672FDC6">
      <w:pPr>
        <w:wordWrap w:val="0"/>
        <w:overflowPunct w:val="0"/>
        <w:topLinePunct/>
        <w:spacing w:line="360" w:lineRule="auto"/>
        <w:jc w:val="center"/>
        <w:rPr>
          <w:rFonts w:hint="eastAsia" w:ascii="仿宋" w:hAnsi="仿宋" w:eastAsia="仿宋" w:cs="仿宋"/>
          <w:color w:val="auto"/>
          <w:sz w:val="24"/>
          <w:highlight w:val="none"/>
        </w:rPr>
      </w:pPr>
    </w:p>
    <w:p w14:paraId="64A17931">
      <w:pPr>
        <w:wordWrap w:val="0"/>
        <w:overflowPunct w:val="0"/>
        <w:topLinePunct/>
        <w:spacing w:line="360" w:lineRule="auto"/>
        <w:jc w:val="both"/>
        <w:rPr>
          <w:rFonts w:hint="eastAsia" w:ascii="仿宋" w:hAnsi="仿宋" w:eastAsia="仿宋" w:cs="仿宋"/>
          <w:color w:val="auto"/>
          <w:sz w:val="24"/>
          <w:highlight w:val="none"/>
        </w:rPr>
      </w:pPr>
    </w:p>
    <w:p w14:paraId="52F9BD8E">
      <w:pPr>
        <w:wordWrap w:val="0"/>
        <w:overflowPunct w:val="0"/>
        <w:topLinePunct/>
        <w:spacing w:line="360" w:lineRule="auto"/>
        <w:jc w:val="center"/>
        <w:rPr>
          <w:rFonts w:hint="eastAsia" w:ascii="仿宋" w:hAnsi="仿宋" w:eastAsia="仿宋" w:cs="仿宋"/>
          <w:color w:val="auto"/>
          <w:sz w:val="24"/>
          <w:highlight w:val="none"/>
        </w:rPr>
      </w:pPr>
    </w:p>
    <w:p w14:paraId="2DC0ADFB">
      <w:pPr>
        <w:wordWrap w:val="0"/>
        <w:overflowPunct w:val="0"/>
        <w:topLinePunct/>
        <w:spacing w:line="360" w:lineRule="auto"/>
        <w:jc w:val="center"/>
        <w:rPr>
          <w:rFonts w:hint="eastAsia" w:ascii="仿宋" w:hAnsi="仿宋" w:eastAsia="仿宋" w:cs="仿宋"/>
          <w:color w:val="auto"/>
          <w:sz w:val="24"/>
          <w:highlight w:val="none"/>
        </w:rPr>
      </w:pPr>
    </w:p>
    <w:p w14:paraId="25D9533B">
      <w:pPr>
        <w:wordWrap w:val="0"/>
        <w:overflowPunct w:val="0"/>
        <w:topLinePunct/>
        <w:spacing w:line="360" w:lineRule="auto"/>
        <w:jc w:val="center"/>
        <w:rPr>
          <w:rFonts w:hint="eastAsia" w:ascii="仿宋" w:hAnsi="仿宋" w:eastAsia="仿宋" w:cs="仿宋"/>
          <w:color w:val="auto"/>
          <w:sz w:val="24"/>
          <w:highlight w:val="none"/>
        </w:rPr>
      </w:pPr>
    </w:p>
    <w:p w14:paraId="4D926B5E">
      <w:pPr>
        <w:wordWrap w:val="0"/>
        <w:overflowPunct w:val="0"/>
        <w:topLinePunct/>
        <w:spacing w:line="360" w:lineRule="auto"/>
        <w:rPr>
          <w:rFonts w:hint="eastAsia" w:ascii="仿宋" w:hAnsi="仿宋" w:eastAsia="仿宋" w:cs="仿宋"/>
          <w:color w:val="auto"/>
          <w:sz w:val="24"/>
          <w:highlight w:val="none"/>
        </w:rPr>
      </w:pPr>
    </w:p>
    <w:p w14:paraId="3F53DA8B">
      <w:pPr>
        <w:wordWrap w:val="0"/>
        <w:overflowPunct w:val="0"/>
        <w:topLinePunct/>
        <w:spacing w:line="360" w:lineRule="auto"/>
        <w:jc w:val="center"/>
        <w:rPr>
          <w:rFonts w:hint="eastAsia" w:ascii="仿宋" w:hAnsi="仿宋" w:eastAsia="仿宋" w:cs="仿宋"/>
          <w:color w:val="auto"/>
          <w:sz w:val="24"/>
          <w:highlight w:val="none"/>
        </w:rPr>
      </w:pPr>
    </w:p>
    <w:p w14:paraId="507A1F1E">
      <w:pPr>
        <w:wordWrap w:val="0"/>
        <w:overflowPunct w:val="0"/>
        <w:topLinePunct/>
        <w:spacing w:line="360" w:lineRule="auto"/>
        <w:jc w:val="left"/>
        <w:rPr>
          <w:rFonts w:hint="eastAsia" w:ascii="仿宋" w:hAnsi="仿宋" w:eastAsia="仿宋" w:cs="仿宋"/>
          <w:color w:val="auto"/>
          <w:sz w:val="24"/>
          <w:highlight w:val="none"/>
          <w:lang w:eastAsia="zh-CN"/>
        </w:rPr>
      </w:pPr>
    </w:p>
    <w:p w14:paraId="64FF56BB">
      <w:pPr>
        <w:wordWrap w:val="0"/>
        <w:overflowPunct w:val="0"/>
        <w:topLinePunct/>
        <w:spacing w:line="360" w:lineRule="auto"/>
        <w:jc w:val="left"/>
        <w:rPr>
          <w:rFonts w:hint="eastAsia" w:ascii="仿宋" w:hAnsi="仿宋" w:eastAsia="仿宋" w:cs="仿宋"/>
          <w:color w:val="auto"/>
          <w:sz w:val="24"/>
          <w:highlight w:val="none"/>
          <w:lang w:eastAsia="zh-CN"/>
        </w:rPr>
      </w:pPr>
    </w:p>
    <w:p w14:paraId="13E5B327">
      <w:pPr>
        <w:wordWrap w:val="0"/>
        <w:overflowPunct w:val="0"/>
        <w:topLinePunct/>
        <w:spacing w:line="360" w:lineRule="auto"/>
        <w:jc w:val="left"/>
        <w:rPr>
          <w:rFonts w:hint="eastAsia" w:ascii="仿宋" w:hAnsi="仿宋" w:eastAsia="仿宋" w:cs="仿宋"/>
          <w:color w:val="auto"/>
          <w:sz w:val="24"/>
          <w:highlight w:val="none"/>
          <w:lang w:eastAsia="zh-CN"/>
        </w:rPr>
      </w:pPr>
    </w:p>
    <w:p w14:paraId="46960D57">
      <w:pPr>
        <w:wordWrap w:val="0"/>
        <w:overflowPunct w:val="0"/>
        <w:topLinePunct/>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加盖电子公章）</w:t>
      </w:r>
    </w:p>
    <w:p w14:paraId="124DD373">
      <w:pPr>
        <w:wordWrap w:val="0"/>
        <w:overflowPunct w:val="0"/>
        <w:topLinePunct/>
        <w:spacing w:line="360" w:lineRule="auto"/>
        <w:jc w:val="left"/>
        <w:outlineLvl w:val="2"/>
        <w:rPr>
          <w:rFonts w:hint="eastAsia" w:ascii="仿宋" w:hAnsi="仿宋" w:eastAsia="仿宋" w:cs="仿宋"/>
          <w:color w:val="auto"/>
          <w:sz w:val="24"/>
          <w:highlight w:val="none"/>
          <w:u w:val="single"/>
        </w:rPr>
      </w:pPr>
      <w:bookmarkStart w:id="1742" w:name="_Toc2935"/>
      <w:bookmarkStart w:id="1743" w:name="_Toc22818"/>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bookmarkEnd w:id="1742"/>
      <w:bookmarkEnd w:id="1743"/>
    </w:p>
    <w:p w14:paraId="5471F3A0">
      <w:pPr>
        <w:pStyle w:val="65"/>
        <w:ind w:left="0" w:leftChars="0" w:firstLine="0" w:firstLineChars="0"/>
        <w:jc w:val="left"/>
        <w:rPr>
          <w:rFonts w:hint="eastAsia" w:ascii="仿宋" w:hAnsi="仿宋" w:eastAsia="仿宋" w:cs="仿宋"/>
          <w:color w:val="auto"/>
          <w:sz w:val="24"/>
          <w:highlight w:val="none"/>
        </w:rPr>
        <w:sectPr>
          <w:pgSz w:w="11906" w:h="16838"/>
          <w:pgMar w:top="1134" w:right="1134" w:bottom="1134" w:left="1134" w:header="851" w:footer="992"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bookmarkStart w:id="1744" w:name="_Toc12656"/>
      <w:bookmarkStart w:id="1745" w:name="_Toc14942"/>
      <w:bookmarkStart w:id="1746" w:name="_Toc28472"/>
      <w:bookmarkStart w:id="1747" w:name="_Toc15385"/>
      <w:bookmarkStart w:id="1748" w:name="_Toc19171"/>
      <w:bookmarkStart w:id="1749" w:name="_Toc26614"/>
    </w:p>
    <w:p w14:paraId="094D9C6C">
      <w:pPr>
        <w:pStyle w:val="65"/>
        <w:ind w:left="0" w:leftChars="0" w:firstLine="0" w:firstLineChars="0"/>
        <w:jc w:val="center"/>
        <w:outlineLvl w:val="1"/>
        <w:rPr>
          <w:rFonts w:hint="eastAsia" w:ascii="仿宋" w:hAnsi="仿宋" w:eastAsia="仿宋" w:cs="仿宋"/>
          <w:b/>
          <w:bCs/>
          <w:color w:val="auto"/>
          <w:sz w:val="32"/>
          <w:szCs w:val="32"/>
          <w:highlight w:val="none"/>
        </w:rPr>
      </w:pPr>
      <w:bookmarkStart w:id="1750" w:name="_Toc12065"/>
      <w:r>
        <w:rPr>
          <w:rFonts w:hint="eastAsia" w:ascii="仿宋" w:hAnsi="仿宋" w:eastAsia="仿宋" w:cs="仿宋"/>
          <w:b/>
          <w:bCs/>
          <w:color w:val="auto"/>
          <w:sz w:val="28"/>
          <w:szCs w:val="28"/>
          <w:highlight w:val="none"/>
          <w:lang w:val="en-US" w:eastAsia="zh-CN"/>
        </w:rPr>
        <w:t>四</w:t>
      </w:r>
      <w:r>
        <w:rPr>
          <w:rFonts w:hint="eastAsia" w:ascii="仿宋" w:hAnsi="仿宋" w:eastAsia="仿宋" w:cs="仿宋"/>
          <w:b/>
          <w:bCs/>
          <w:color w:val="auto"/>
          <w:sz w:val="28"/>
          <w:szCs w:val="28"/>
          <w:highlight w:val="none"/>
        </w:rPr>
        <w:t>、依法缴纳税收和社会保障资金承诺书</w:t>
      </w:r>
      <w:bookmarkEnd w:id="1744"/>
      <w:bookmarkEnd w:id="1745"/>
      <w:bookmarkEnd w:id="1746"/>
      <w:bookmarkEnd w:id="1747"/>
      <w:bookmarkEnd w:id="1748"/>
      <w:bookmarkEnd w:id="1749"/>
      <w:r>
        <w:rPr>
          <w:rFonts w:hint="eastAsia" w:ascii="仿宋" w:hAnsi="仿宋" w:eastAsia="仿宋" w:cs="仿宋"/>
          <w:b/>
          <w:bCs/>
          <w:color w:val="auto"/>
          <w:sz w:val="28"/>
          <w:szCs w:val="28"/>
          <w:highlight w:val="none"/>
          <w:lang w:val="en-US" w:eastAsia="zh-CN"/>
        </w:rPr>
        <w:t>（实质性格式）</w:t>
      </w:r>
      <w:bookmarkEnd w:id="1750"/>
      <w:r>
        <w:rPr>
          <w:rFonts w:hint="eastAsia" w:ascii="仿宋" w:hAnsi="仿宋" w:eastAsia="仿宋" w:cs="仿宋"/>
          <w:b/>
          <w:bCs/>
          <w:color w:val="auto"/>
          <w:sz w:val="32"/>
          <w:szCs w:val="32"/>
          <w:highlight w:val="none"/>
          <w:lang w:val="en-US" w:eastAsia="zh-CN"/>
        </w:rPr>
        <w:t xml:space="preserve"> </w:t>
      </w:r>
    </w:p>
    <w:p w14:paraId="26B34166">
      <w:pPr>
        <w:wordWrap w:val="0"/>
        <w:topLinePunct/>
        <w:spacing w:line="360" w:lineRule="auto"/>
        <w:ind w:firstLine="480" w:firstLineChars="200"/>
        <w:jc w:val="left"/>
        <w:rPr>
          <w:rFonts w:hint="eastAsia" w:ascii="仿宋" w:hAnsi="仿宋" w:eastAsia="仿宋" w:cs="仿宋"/>
          <w:color w:val="auto"/>
          <w:kern w:val="0"/>
          <w:sz w:val="24"/>
          <w:highlight w:val="none"/>
          <w:lang w:bidi="ar"/>
        </w:rPr>
      </w:pPr>
    </w:p>
    <w:p w14:paraId="4E0E882F">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right="0" w:rightChars="0" w:firstLine="422" w:firstLineChars="200"/>
        <w:jc w:val="left"/>
        <w:textAlignment w:val="auto"/>
        <w:rPr>
          <w:rFonts w:hint="eastAsia" w:ascii="仿宋" w:hAnsi="仿宋" w:eastAsia="仿宋" w:cs="仿宋"/>
          <w:b w:val="0"/>
          <w:bCs/>
          <w:color w:val="auto"/>
          <w:sz w:val="21"/>
          <w:szCs w:val="21"/>
          <w:highlight w:val="none"/>
          <w:lang w:eastAsia="zh-CN"/>
        </w:rPr>
      </w:pPr>
      <w:bookmarkStart w:id="1751" w:name="_Toc27660"/>
      <w:bookmarkStart w:id="1752" w:name="_Toc20354"/>
      <w:bookmarkStart w:id="1753" w:name="_Toc29572"/>
      <w:bookmarkStart w:id="1754" w:name="_Toc18486"/>
      <w:bookmarkStart w:id="1755" w:name="_Toc12192"/>
      <w:bookmarkStart w:id="1756" w:name="_Toc15699"/>
      <w:bookmarkStart w:id="1757" w:name="_Toc16508"/>
      <w:bookmarkStart w:id="1758" w:name="_Toc13148"/>
      <w:bookmarkStart w:id="1759" w:name="_Toc2606"/>
      <w:bookmarkStart w:id="1760" w:name="_Toc29999"/>
      <w:bookmarkStart w:id="1761" w:name="_Toc5784"/>
      <w:bookmarkStart w:id="1762" w:name="_Toc4512"/>
      <w:bookmarkStart w:id="1763" w:name="_Toc26515"/>
      <w:bookmarkStart w:id="1764" w:name="_Toc9115"/>
      <w:bookmarkStart w:id="1765" w:name="_Toc27342"/>
      <w:bookmarkStart w:id="1766" w:name="_Toc18483"/>
      <w:bookmarkStart w:id="1767" w:name="_Toc1258"/>
      <w:bookmarkStart w:id="1768" w:name="_Toc16541"/>
      <w:bookmarkStart w:id="1769" w:name="_Toc24121"/>
      <w:bookmarkStart w:id="1770" w:name="_Toc31843"/>
      <w:bookmarkStart w:id="1771" w:name="_Toc17246"/>
      <w:bookmarkStart w:id="1772" w:name="_Toc23251"/>
      <w:bookmarkStart w:id="1773" w:name="_Toc24824"/>
      <w:r>
        <w:rPr>
          <w:rFonts w:hint="eastAsia" w:ascii="仿宋" w:hAnsi="仿宋" w:eastAsia="仿宋" w:cs="仿宋"/>
          <w:b/>
          <w:bCs w:val="0"/>
          <w:color w:val="auto"/>
          <w:sz w:val="21"/>
          <w:szCs w:val="21"/>
          <w:highlight w:val="none"/>
          <w:lang w:val="en-US" w:eastAsia="zh-CN"/>
        </w:rPr>
        <w:t>①</w:t>
      </w:r>
      <w:r>
        <w:rPr>
          <w:rFonts w:hint="eastAsia" w:ascii="仿宋" w:hAnsi="仿宋" w:eastAsia="仿宋" w:cs="仿宋"/>
          <w:b/>
          <w:bCs w:val="0"/>
          <w:color w:val="auto"/>
          <w:sz w:val="21"/>
          <w:szCs w:val="21"/>
          <w:highlight w:val="none"/>
          <w:lang w:eastAsia="zh-CN"/>
        </w:rPr>
        <w:t>税收缴纳证明：</w:t>
      </w:r>
      <w:r>
        <w:rPr>
          <w:rFonts w:hint="eastAsia" w:ascii="仿宋" w:hAnsi="仿宋" w:eastAsia="仿宋" w:cs="仿宋"/>
          <w:b w:val="0"/>
          <w:bCs/>
          <w:color w:val="auto"/>
          <w:sz w:val="21"/>
          <w:szCs w:val="21"/>
          <w:highlight w:val="none"/>
          <w:lang w:eastAsia="zh-CN"/>
        </w:rPr>
        <w:t>提供截至投标文件递交截止日前六个月内已缴纳至少1个月的纳税证明或完税证明（成立未满3个月的，提供成立以来的纳税证明或完税证明凭证或相关情况说明）；依法免税的投标人应提供相关文件证明；（注：依法免税或零申报的投标人应提供相关文件证明）</w:t>
      </w:r>
    </w:p>
    <w:p w14:paraId="70D3AABD">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right="0" w:rightChars="0" w:firstLine="420" w:firstLineChars="200"/>
        <w:jc w:val="left"/>
        <w:textAlignment w:val="auto"/>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lang w:eastAsia="zh-CN"/>
        </w:rPr>
        <w:t>（复印件加盖投标人公章或提供网上可查询的网址信息）</w:t>
      </w:r>
    </w:p>
    <w:p w14:paraId="6202A437">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right="0" w:rightChars="0" w:firstLine="422" w:firstLineChars="200"/>
        <w:jc w:val="left"/>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bCs w:val="0"/>
          <w:color w:val="auto"/>
          <w:sz w:val="21"/>
          <w:szCs w:val="21"/>
          <w:highlight w:val="none"/>
          <w:lang w:val="en-US" w:eastAsia="zh-CN"/>
        </w:rPr>
        <w:t>②</w:t>
      </w:r>
      <w:r>
        <w:rPr>
          <w:rFonts w:hint="eastAsia" w:ascii="仿宋" w:hAnsi="仿宋" w:eastAsia="仿宋" w:cs="仿宋"/>
          <w:b/>
          <w:bCs w:val="0"/>
          <w:color w:val="auto"/>
          <w:sz w:val="21"/>
          <w:szCs w:val="21"/>
          <w:highlight w:val="none"/>
          <w:lang w:eastAsia="zh-CN"/>
        </w:rPr>
        <w:t>社会保障资金缴纳证明：</w:t>
      </w:r>
      <w:r>
        <w:rPr>
          <w:rFonts w:hint="eastAsia" w:ascii="仿宋" w:hAnsi="仿宋" w:eastAsia="仿宋" w:cs="仿宋"/>
          <w:b w:val="0"/>
          <w:bCs/>
          <w:color w:val="auto"/>
          <w:sz w:val="21"/>
          <w:szCs w:val="21"/>
          <w:highlight w:val="none"/>
          <w:lang w:eastAsia="zh-CN"/>
        </w:rPr>
        <w:t>提供截至投标文件递交截止日前六个月内已缴纳至少1个月的社会保障资金缴存单据或社保机构开具的社会保险参保缴费情况证明（成立未满3个月的，提供成立以来的社会保障资金缴纳凭证或相关情况说明）。依法不需要缴纳社会保障资金的投标人应提供相关文件证明；</w:t>
      </w:r>
    </w:p>
    <w:p w14:paraId="0F04E6CF">
      <w:pPr>
        <w:jc w:val="left"/>
        <w:rPr>
          <w:rFonts w:hint="eastAsia" w:ascii="仿宋" w:hAnsi="仿宋" w:eastAsia="仿宋" w:cs="仿宋"/>
          <w:color w:val="auto"/>
          <w:sz w:val="24"/>
          <w:szCs w:val="24"/>
          <w:highlight w:val="none"/>
        </w:rPr>
        <w:sectPr>
          <w:pgSz w:w="11906" w:h="16838"/>
          <w:pgMar w:top="1134" w:right="1134" w:bottom="1134" w:left="1134" w:header="851" w:footer="992"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b w:val="0"/>
          <w:bCs/>
          <w:color w:val="auto"/>
          <w:sz w:val="21"/>
          <w:szCs w:val="21"/>
          <w:highlight w:val="none"/>
          <w:lang w:eastAsia="zh-CN"/>
        </w:rPr>
        <w:t>（复印件加盖投标人公章或提供网上可查询的网址信息）</w:t>
      </w:r>
    </w:p>
    <w:p w14:paraId="7F1440D9">
      <w:pPr>
        <w:numPr>
          <w:ilvl w:val="0"/>
          <w:numId w:val="18"/>
        </w:numPr>
        <w:jc w:val="center"/>
        <w:outlineLvl w:val="1"/>
        <w:rPr>
          <w:rFonts w:hint="eastAsia" w:ascii="仿宋" w:hAnsi="仿宋" w:eastAsia="仿宋" w:cs="仿宋"/>
          <w:b/>
          <w:bCs/>
          <w:color w:val="auto"/>
          <w:sz w:val="28"/>
          <w:szCs w:val="28"/>
          <w:highlight w:val="none"/>
        </w:rPr>
      </w:pPr>
      <w:bookmarkStart w:id="1774" w:name="_Toc15217"/>
      <w:r>
        <w:rPr>
          <w:rFonts w:hint="eastAsia" w:ascii="仿宋" w:hAnsi="仿宋" w:eastAsia="仿宋" w:cs="仿宋"/>
          <w:b/>
          <w:bCs/>
          <w:color w:val="auto"/>
          <w:sz w:val="28"/>
          <w:szCs w:val="28"/>
          <w:highlight w:val="none"/>
        </w:rPr>
        <w:t>参加采购活动前三年内在经营活动中没有重大违法记录书面声明</w:t>
      </w:r>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p>
    <w:p w14:paraId="6C5C2470">
      <w:pPr>
        <w:numPr>
          <w:ilvl w:val="0"/>
          <w:numId w:val="0"/>
        </w:numPr>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（实质性格式）</w:t>
      </w:r>
    </w:p>
    <w:p w14:paraId="596C77F9">
      <w:pPr>
        <w:pStyle w:val="28"/>
        <w:wordWrap w:val="0"/>
        <w:overflowPunct w:val="0"/>
        <w:topLinePunct/>
        <w:rPr>
          <w:rFonts w:hint="eastAsia" w:ascii="仿宋" w:hAnsi="仿宋" w:eastAsia="仿宋" w:cs="仿宋"/>
          <w:color w:val="auto"/>
          <w:highlight w:val="none"/>
        </w:rPr>
      </w:pPr>
    </w:p>
    <w:p w14:paraId="4097BED8">
      <w:pPr>
        <w:wordWrap w:val="0"/>
        <w:overflowPunct w:val="0"/>
        <w:topLinePunct/>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致：</w:t>
      </w:r>
      <w:r>
        <w:rPr>
          <w:rFonts w:hint="eastAsia" w:ascii="仿宋" w:hAnsi="仿宋" w:eastAsia="仿宋" w:cs="仿宋"/>
          <w:color w:val="auto"/>
          <w:sz w:val="24"/>
          <w:szCs w:val="24"/>
          <w:highlight w:val="none"/>
          <w:u w:val="single"/>
          <w:lang w:val="en-US" w:eastAsia="zh-CN"/>
        </w:rPr>
        <w:t>楚雄彝族自治州人民医院</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lang w:val="en-US" w:eastAsia="zh-CN"/>
        </w:rPr>
        <w:t>云南咏名工程管理咨询有限公司</w:t>
      </w:r>
    </w:p>
    <w:p w14:paraId="156336C6">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我方在此声明，我方在参加本次政府采购活动前三年内，在经营活动中没有以下重大违法记录：</w:t>
      </w:r>
    </w:p>
    <w:p w14:paraId="07385621">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1.我方因违法经营被追究过刑事责任；</w:t>
      </w:r>
    </w:p>
    <w:p w14:paraId="12215D54">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2.我方因违法经营被责令停产停业、吊销许可证或者执照；</w:t>
      </w:r>
    </w:p>
    <w:p w14:paraId="5A83590E">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3.我方因违法经营被处以较大数额罚款等行政处罚。</w:t>
      </w:r>
    </w:p>
    <w:p w14:paraId="7536475E">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我方在近三年承接的项目中，无违法、违规的不良记录，未因违规或违约介入诉讼或仲裁，不存在拖欠工资情况及重大质量问题、重大安全事故，未因违规或违约解除合同。我方在投标期间没有处于被责令停业或财产被接管或冻结或被暂停参加投标活动的处罚阶段。</w:t>
      </w:r>
    </w:p>
    <w:p w14:paraId="7F1BE07E">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5.我方保证上述信息的完整、客观、真实、准确，若在本项目的招标投标的全过程中，被查实我方提供的资料及上述承诺不属实，或提供的相关资料不属实或不满足</w:t>
      </w:r>
      <w:r>
        <w:rPr>
          <w:rFonts w:hint="eastAsia" w:ascii="仿宋" w:hAnsi="仿宋" w:eastAsia="仿宋" w:cs="仿宋"/>
          <w:color w:val="auto"/>
          <w:sz w:val="24"/>
          <w:highlight w:val="none"/>
          <w:lang w:eastAsia="zh-CN"/>
        </w:rPr>
        <w:t>投标文件</w:t>
      </w:r>
      <w:r>
        <w:rPr>
          <w:rFonts w:hint="eastAsia" w:ascii="仿宋" w:hAnsi="仿宋" w:eastAsia="仿宋" w:cs="仿宋"/>
          <w:color w:val="auto"/>
          <w:sz w:val="24"/>
          <w:highlight w:val="none"/>
        </w:rPr>
        <w:t>的要求，则</w:t>
      </w:r>
      <w:r>
        <w:rPr>
          <w:rFonts w:hint="eastAsia" w:ascii="仿宋" w:hAnsi="仿宋" w:eastAsia="仿宋" w:cs="仿宋"/>
          <w:color w:val="auto"/>
          <w:sz w:val="24"/>
          <w:highlight w:val="none"/>
          <w:lang w:eastAsia="zh-CN"/>
        </w:rPr>
        <w:t>采购人</w:t>
      </w:r>
      <w:r>
        <w:rPr>
          <w:rFonts w:hint="eastAsia" w:ascii="仿宋" w:hAnsi="仿宋" w:eastAsia="仿宋" w:cs="仿宋"/>
          <w:color w:val="auto"/>
          <w:sz w:val="24"/>
          <w:highlight w:val="none"/>
        </w:rPr>
        <w:t>有权取消我方的投标及中标资格，且我方将无条件并愿意承担我方因提供虚假材料谋骗取中标、成交所引起的一切法律后果（包括经济损失）。</w:t>
      </w:r>
    </w:p>
    <w:p w14:paraId="428492F5">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特此声明！</w:t>
      </w:r>
    </w:p>
    <w:p w14:paraId="6A906293">
      <w:pPr>
        <w:pStyle w:val="28"/>
        <w:wordWrap w:val="0"/>
        <w:overflowPunct w:val="0"/>
        <w:topLinePunct/>
        <w:ind w:left="0" w:leftChars="0" w:firstLine="0" w:firstLineChars="0"/>
        <w:rPr>
          <w:rFonts w:hint="eastAsia" w:ascii="仿宋" w:hAnsi="仿宋" w:eastAsia="仿宋" w:cs="仿宋"/>
          <w:color w:val="auto"/>
          <w:highlight w:val="none"/>
        </w:rPr>
      </w:pPr>
    </w:p>
    <w:p w14:paraId="0D2C1F46">
      <w:pPr>
        <w:wordWrap w:val="0"/>
        <w:overflowPunct w:val="0"/>
        <w:topLinePunct/>
        <w:spacing w:line="360" w:lineRule="auto"/>
        <w:jc w:val="left"/>
        <w:rPr>
          <w:rFonts w:hint="eastAsia" w:ascii="仿宋" w:hAnsi="仿宋" w:eastAsia="仿宋" w:cs="仿宋"/>
          <w:color w:val="auto"/>
          <w:sz w:val="24"/>
          <w:highlight w:val="none"/>
          <w:lang w:eastAsia="zh-CN"/>
        </w:rPr>
      </w:pPr>
    </w:p>
    <w:p w14:paraId="13CCA15C">
      <w:pPr>
        <w:wordWrap w:val="0"/>
        <w:overflowPunct w:val="0"/>
        <w:topLinePunct/>
        <w:spacing w:line="360" w:lineRule="auto"/>
        <w:jc w:val="left"/>
        <w:rPr>
          <w:rFonts w:hint="eastAsia" w:ascii="仿宋" w:hAnsi="仿宋" w:eastAsia="仿宋" w:cs="仿宋"/>
          <w:color w:val="auto"/>
          <w:sz w:val="24"/>
          <w:highlight w:val="none"/>
          <w:lang w:eastAsia="zh-CN"/>
        </w:rPr>
      </w:pPr>
    </w:p>
    <w:p w14:paraId="09F6DC10">
      <w:pPr>
        <w:wordWrap w:val="0"/>
        <w:overflowPunct w:val="0"/>
        <w:topLinePunct/>
        <w:spacing w:line="360" w:lineRule="auto"/>
        <w:jc w:val="left"/>
        <w:rPr>
          <w:rFonts w:hint="eastAsia" w:ascii="仿宋" w:hAnsi="仿宋" w:eastAsia="仿宋" w:cs="仿宋"/>
          <w:color w:val="auto"/>
          <w:sz w:val="24"/>
          <w:highlight w:val="none"/>
          <w:lang w:eastAsia="zh-CN"/>
        </w:rPr>
      </w:pPr>
    </w:p>
    <w:p w14:paraId="42FC056A">
      <w:pPr>
        <w:wordWrap w:val="0"/>
        <w:overflowPunct w:val="0"/>
        <w:topLinePunct/>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加盖电子公章）</w:t>
      </w:r>
    </w:p>
    <w:p w14:paraId="56AE647D">
      <w:pPr>
        <w:wordWrap w:val="0"/>
        <w:overflowPunct w:val="0"/>
        <w:topLinePunct/>
        <w:spacing w:line="360" w:lineRule="auto"/>
        <w:jc w:val="left"/>
        <w:outlineLvl w:val="2"/>
        <w:rPr>
          <w:rFonts w:hint="eastAsia" w:ascii="仿宋" w:hAnsi="仿宋" w:eastAsia="仿宋" w:cs="仿宋"/>
          <w:color w:val="auto"/>
          <w:sz w:val="24"/>
          <w:highlight w:val="none"/>
          <w:u w:val="single"/>
        </w:rPr>
      </w:pPr>
      <w:bookmarkStart w:id="1775" w:name="_Toc20309"/>
      <w:bookmarkStart w:id="1776" w:name="_Toc8309"/>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bookmarkEnd w:id="1775"/>
      <w:bookmarkEnd w:id="1776"/>
    </w:p>
    <w:p w14:paraId="7A982D4D">
      <w:pPr>
        <w:wordWrap w:val="0"/>
        <w:overflowPunct w:val="0"/>
        <w:topLinePunct/>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74C99AA9">
      <w:pPr>
        <w:wordWrap w:val="0"/>
        <w:overflowPunct w:val="0"/>
        <w:topLinePunct/>
        <w:rPr>
          <w:rFonts w:hint="eastAsia" w:ascii="仿宋" w:hAnsi="仿宋" w:eastAsia="仿宋" w:cs="仿宋"/>
          <w:color w:val="auto"/>
          <w:szCs w:val="21"/>
          <w:highlight w:val="none"/>
        </w:rPr>
      </w:pPr>
    </w:p>
    <w:p w14:paraId="50D1E769">
      <w:pPr>
        <w:wordWrap w:val="0"/>
        <w:overflowPunct w:val="0"/>
        <w:topLinePunct/>
        <w:spacing w:line="0" w:lineRule="atLeast"/>
        <w:ind w:firstLine="442" w:firstLineChars="200"/>
        <w:jc w:val="left"/>
        <w:rPr>
          <w:rFonts w:hint="eastAsia" w:ascii="仿宋" w:hAnsi="仿宋" w:eastAsia="仿宋" w:cs="仿宋"/>
          <w:b/>
          <w:bCs/>
          <w:color w:val="auto"/>
          <w:szCs w:val="21"/>
          <w:highlight w:val="none"/>
        </w:rPr>
      </w:pPr>
    </w:p>
    <w:p w14:paraId="76178584">
      <w:pPr>
        <w:pStyle w:val="66"/>
        <w:ind w:left="0" w:leftChars="0" w:firstLine="422" w:firstLineChars="200"/>
        <w:rPr>
          <w:rFonts w:hint="eastAsia" w:ascii="仿宋" w:hAnsi="仿宋" w:eastAsia="仿宋" w:cs="仿宋"/>
          <w:b/>
          <w:bCs/>
          <w:color w:val="auto"/>
          <w:szCs w:val="21"/>
          <w:highlight w:val="none"/>
        </w:rPr>
      </w:pPr>
    </w:p>
    <w:p w14:paraId="6457B27C">
      <w:pPr>
        <w:pStyle w:val="66"/>
        <w:ind w:left="0" w:leftChars="0" w:firstLine="422" w:firstLineChars="200"/>
        <w:rPr>
          <w:rFonts w:hint="eastAsia" w:ascii="仿宋" w:hAnsi="仿宋" w:eastAsia="仿宋" w:cs="仿宋"/>
          <w:b/>
          <w:bCs/>
          <w:color w:val="auto"/>
          <w:szCs w:val="21"/>
          <w:highlight w:val="none"/>
        </w:rPr>
      </w:pPr>
    </w:p>
    <w:p w14:paraId="4B90B7D3">
      <w:pPr>
        <w:pStyle w:val="66"/>
        <w:ind w:left="0" w:leftChars="0" w:firstLine="422" w:firstLineChars="200"/>
        <w:rPr>
          <w:rFonts w:hint="eastAsia" w:ascii="仿宋" w:hAnsi="仿宋" w:eastAsia="仿宋" w:cs="仿宋"/>
          <w:b/>
          <w:bCs/>
          <w:color w:val="auto"/>
          <w:szCs w:val="21"/>
          <w:highlight w:val="none"/>
        </w:rPr>
        <w:sectPr>
          <w:pgSz w:w="11906" w:h="16838"/>
          <w:pgMar w:top="1134" w:right="1134" w:bottom="1134" w:left="1134" w:header="851" w:footer="992"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b/>
          <w:bCs/>
          <w:color w:val="auto"/>
          <w:szCs w:val="21"/>
          <w:highlight w:val="none"/>
        </w:rPr>
        <w:t>解释：参加采购活动前</w:t>
      </w:r>
      <w:r>
        <w:rPr>
          <w:rFonts w:hint="eastAsia" w:ascii="仿宋" w:hAnsi="仿宋" w:eastAsia="仿宋" w:cs="仿宋"/>
          <w:b/>
          <w:bCs/>
          <w:color w:val="auto"/>
          <w:szCs w:val="21"/>
          <w:highlight w:val="none"/>
          <w:lang w:val="en-US" w:eastAsia="zh-CN"/>
        </w:rPr>
        <w:t>3</w:t>
      </w:r>
      <w:r>
        <w:rPr>
          <w:rFonts w:hint="eastAsia" w:ascii="仿宋" w:hAnsi="仿宋" w:eastAsia="仿宋" w:cs="仿宋"/>
          <w:b/>
          <w:bCs/>
          <w:color w:val="auto"/>
          <w:szCs w:val="21"/>
          <w:highlight w:val="none"/>
        </w:rPr>
        <w:t>年内，在经营活动中没有重大违法记录：参照投标函相关承诺格式内容。重大违法记录，是指</w:t>
      </w:r>
      <w:r>
        <w:rPr>
          <w:rFonts w:hint="eastAsia" w:ascii="仿宋" w:hAnsi="仿宋" w:eastAsia="仿宋" w:cs="仿宋"/>
          <w:b/>
          <w:bCs/>
          <w:color w:val="auto"/>
          <w:szCs w:val="21"/>
          <w:highlight w:val="none"/>
          <w:lang w:eastAsia="zh-CN"/>
        </w:rPr>
        <w:t>投标人</w:t>
      </w:r>
      <w:r>
        <w:rPr>
          <w:rFonts w:hint="eastAsia" w:ascii="仿宋" w:hAnsi="仿宋" w:eastAsia="仿宋" w:cs="仿宋"/>
          <w:b/>
          <w:bCs/>
          <w:color w:val="auto"/>
          <w:szCs w:val="21"/>
          <w:highlight w:val="none"/>
        </w:rPr>
        <w:t>因违法经营受到刑事处罚或者责令停产停业、吊销许可证或者执照、较大数额罚款（</w:t>
      </w:r>
      <w:r>
        <w:rPr>
          <w:rFonts w:hint="eastAsia" w:ascii="仿宋" w:hAnsi="仿宋" w:eastAsia="仿宋" w:cs="仿宋"/>
          <w:b/>
          <w:bCs/>
          <w:color w:val="auto"/>
          <w:szCs w:val="21"/>
          <w:highlight w:val="none"/>
          <w:lang w:eastAsia="zh-CN"/>
        </w:rPr>
        <w:t>较大数额罚款是指200万元以上罚款</w:t>
      </w:r>
      <w:r>
        <w:rPr>
          <w:rFonts w:hint="eastAsia" w:ascii="仿宋" w:hAnsi="仿宋" w:eastAsia="仿宋" w:cs="仿宋"/>
          <w:b/>
          <w:bCs/>
          <w:color w:val="auto"/>
          <w:szCs w:val="21"/>
          <w:highlight w:val="none"/>
        </w:rPr>
        <w:t>）等行政处罚。</w:t>
      </w:r>
      <w:r>
        <w:rPr>
          <w:rFonts w:hint="eastAsia" w:ascii="仿宋" w:hAnsi="仿宋" w:eastAsia="仿宋" w:cs="仿宋"/>
          <w:b/>
          <w:bCs/>
          <w:color w:val="auto"/>
          <w:szCs w:val="21"/>
          <w:highlight w:val="none"/>
          <w:lang w:eastAsia="zh-CN"/>
        </w:rPr>
        <w:t>投标人</w:t>
      </w:r>
      <w:r>
        <w:rPr>
          <w:rFonts w:hint="eastAsia" w:ascii="仿宋" w:hAnsi="仿宋" w:eastAsia="仿宋" w:cs="仿宋"/>
          <w:b/>
          <w:bCs/>
          <w:color w:val="auto"/>
          <w:szCs w:val="21"/>
          <w:highlight w:val="none"/>
        </w:rPr>
        <w:t>在参加政府采购活动前</w:t>
      </w:r>
      <w:r>
        <w:rPr>
          <w:rFonts w:hint="eastAsia" w:ascii="仿宋" w:hAnsi="仿宋" w:eastAsia="仿宋" w:cs="仿宋"/>
          <w:b/>
          <w:bCs/>
          <w:color w:val="auto"/>
          <w:szCs w:val="21"/>
          <w:highlight w:val="none"/>
          <w:lang w:val="en-US" w:eastAsia="zh-CN"/>
        </w:rPr>
        <w:t>3</w:t>
      </w:r>
      <w:r>
        <w:rPr>
          <w:rFonts w:hint="eastAsia" w:ascii="仿宋" w:hAnsi="仿宋" w:eastAsia="仿宋" w:cs="仿宋"/>
          <w:b/>
          <w:bCs/>
          <w:color w:val="auto"/>
          <w:szCs w:val="21"/>
          <w:highlight w:val="none"/>
        </w:rPr>
        <w:t>年内因违法经营被禁止在一定期限内参加政府采购活动，期限届满的，可以参加政府采购活动。</w:t>
      </w:r>
      <w:bookmarkStart w:id="1777" w:name="_Toc31196"/>
      <w:bookmarkStart w:id="1778" w:name="_Toc28798"/>
      <w:bookmarkStart w:id="1779" w:name="_Toc26414"/>
      <w:bookmarkStart w:id="1780" w:name="_Toc16458"/>
      <w:bookmarkStart w:id="1781" w:name="_Toc27915"/>
      <w:bookmarkStart w:id="1782" w:name="_Toc423"/>
      <w:bookmarkStart w:id="1783" w:name="_Toc11659"/>
      <w:bookmarkStart w:id="1784" w:name="_Toc3236"/>
      <w:bookmarkStart w:id="1785" w:name="_Toc18125"/>
      <w:bookmarkStart w:id="1786" w:name="_Toc9639"/>
      <w:bookmarkStart w:id="1787" w:name="_Toc15161"/>
      <w:bookmarkStart w:id="1788" w:name="_Toc32760"/>
      <w:bookmarkStart w:id="1789" w:name="_Toc13406"/>
      <w:bookmarkStart w:id="1790" w:name="_Toc27336"/>
      <w:bookmarkStart w:id="1791" w:name="_Toc22564"/>
      <w:bookmarkStart w:id="1792" w:name="_Toc6906"/>
      <w:bookmarkStart w:id="1793" w:name="_Toc10094"/>
      <w:bookmarkStart w:id="1794" w:name="_Toc11016"/>
      <w:bookmarkStart w:id="1795" w:name="_Toc29298"/>
      <w:bookmarkStart w:id="1796" w:name="_Toc21278"/>
      <w:bookmarkStart w:id="1797" w:name="_Toc29489"/>
      <w:bookmarkStart w:id="1798" w:name="_Toc21558"/>
      <w:bookmarkStart w:id="1799" w:name="_Toc9599"/>
      <w:bookmarkStart w:id="1800" w:name="_Toc25115"/>
      <w:bookmarkStart w:id="1801" w:name="_Toc13604"/>
    </w:p>
    <w:p w14:paraId="3FC654D8">
      <w:pPr>
        <w:pStyle w:val="66"/>
        <w:ind w:left="0" w:leftChars="0" w:firstLine="0" w:firstLineChars="0"/>
        <w:jc w:val="center"/>
        <w:outlineLvl w:val="1"/>
        <w:rPr>
          <w:rFonts w:hint="eastAsia" w:ascii="仿宋" w:hAnsi="仿宋" w:eastAsia="仿宋" w:cs="仿宋"/>
          <w:b/>
          <w:bCs/>
          <w:color w:val="auto"/>
          <w:sz w:val="28"/>
          <w:szCs w:val="28"/>
          <w:highlight w:val="none"/>
        </w:rPr>
      </w:pPr>
      <w:bookmarkStart w:id="1802" w:name="_Toc1761"/>
      <w:r>
        <w:rPr>
          <w:rFonts w:hint="eastAsia" w:ascii="仿宋" w:hAnsi="仿宋" w:eastAsia="仿宋" w:cs="仿宋"/>
          <w:b/>
          <w:bCs/>
          <w:color w:val="auto"/>
          <w:sz w:val="28"/>
          <w:szCs w:val="28"/>
          <w:highlight w:val="none"/>
          <w:lang w:val="en-US" w:eastAsia="zh-CN"/>
        </w:rPr>
        <w:t>六</w:t>
      </w:r>
      <w:r>
        <w:rPr>
          <w:rFonts w:hint="eastAsia" w:ascii="仿宋" w:hAnsi="仿宋" w:eastAsia="仿宋" w:cs="仿宋"/>
          <w:b/>
          <w:bCs/>
          <w:color w:val="auto"/>
          <w:sz w:val="28"/>
          <w:szCs w:val="28"/>
          <w:highlight w:val="none"/>
        </w:rPr>
        <w:t>、</w:t>
      </w:r>
      <w:bookmarkEnd w:id="1777"/>
      <w:bookmarkEnd w:id="1778"/>
      <w:bookmarkEnd w:id="1779"/>
      <w:bookmarkEnd w:id="1780"/>
      <w:bookmarkEnd w:id="1781"/>
      <w:bookmarkEnd w:id="1782"/>
      <w:bookmarkEnd w:id="1783"/>
      <w:bookmarkEnd w:id="1784"/>
      <w:bookmarkEnd w:id="1785"/>
      <w:r>
        <w:rPr>
          <w:rFonts w:hint="eastAsia" w:ascii="仿宋" w:hAnsi="仿宋" w:eastAsia="仿宋" w:cs="仿宋"/>
          <w:b/>
          <w:bCs/>
          <w:color w:val="auto"/>
          <w:sz w:val="28"/>
          <w:szCs w:val="28"/>
          <w:highlight w:val="none"/>
        </w:rPr>
        <w:t>法律、行政法规规定的其他条件</w:t>
      </w:r>
      <w:bookmarkEnd w:id="1786"/>
      <w:bookmarkEnd w:id="1787"/>
      <w:r>
        <w:rPr>
          <w:rFonts w:hint="eastAsia" w:ascii="仿宋" w:hAnsi="仿宋" w:eastAsia="仿宋" w:cs="仿宋"/>
          <w:b/>
          <w:bCs/>
          <w:color w:val="auto"/>
          <w:sz w:val="28"/>
          <w:szCs w:val="28"/>
          <w:highlight w:val="none"/>
          <w:lang w:val="en-US" w:eastAsia="zh-CN"/>
        </w:rPr>
        <w:t>（实质性格式）</w:t>
      </w:r>
      <w:bookmarkEnd w:id="1802"/>
      <w:r>
        <w:rPr>
          <w:rFonts w:hint="eastAsia" w:ascii="仿宋" w:hAnsi="仿宋" w:eastAsia="仿宋" w:cs="仿宋"/>
          <w:b/>
          <w:bCs/>
          <w:color w:val="auto"/>
          <w:sz w:val="28"/>
          <w:szCs w:val="28"/>
          <w:highlight w:val="none"/>
          <w:lang w:val="en-US" w:eastAsia="zh-CN"/>
        </w:rPr>
        <w:t xml:space="preserve"> </w:t>
      </w:r>
    </w:p>
    <w:p w14:paraId="51461310">
      <w:pPr>
        <w:pStyle w:val="4"/>
        <w:tabs>
          <w:tab w:val="left" w:pos="900"/>
          <w:tab w:val="left" w:pos="1588"/>
        </w:tabs>
        <w:wordWrap w:val="0"/>
        <w:overflowPunct w:val="0"/>
        <w:topLinePunct/>
        <w:adjustRightInd/>
        <w:ind w:left="0" w:firstLine="0"/>
        <w:jc w:val="center"/>
        <w:textAlignment w:val="auto"/>
        <w:rPr>
          <w:rFonts w:hint="eastAsia" w:ascii="仿宋" w:hAnsi="仿宋" w:eastAsia="仿宋" w:cs="仿宋"/>
          <w:color w:val="auto"/>
          <w:sz w:val="24"/>
          <w:szCs w:val="24"/>
          <w:highlight w:val="none"/>
          <w:lang w:bidi="ar"/>
        </w:rPr>
      </w:pPr>
      <w:bookmarkStart w:id="1803" w:name="_Toc7558"/>
      <w:bookmarkStart w:id="1804" w:name="_Toc4613"/>
      <w:bookmarkStart w:id="1805" w:name="_Toc14117"/>
      <w:bookmarkStart w:id="1806" w:name="_Toc22023"/>
      <w:bookmarkStart w:id="1807" w:name="_Toc20069"/>
      <w:bookmarkStart w:id="1808" w:name="_Toc9764"/>
      <w:bookmarkStart w:id="1809" w:name="_Toc23157"/>
      <w:bookmarkStart w:id="1810" w:name="_Toc24546"/>
      <w:bookmarkStart w:id="1811" w:name="_Toc1120"/>
      <w:bookmarkStart w:id="1812" w:name="_Toc3079"/>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1</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未被列入失信被执行人、重大税收违法案件当事人、政府采购严重违法失信行为名单的承诺函</w:t>
      </w:r>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3"/>
      <w:bookmarkEnd w:id="1804"/>
      <w:bookmarkEnd w:id="1805"/>
      <w:bookmarkEnd w:id="1806"/>
      <w:bookmarkEnd w:id="1807"/>
      <w:bookmarkEnd w:id="1808"/>
      <w:bookmarkEnd w:id="1809"/>
      <w:bookmarkEnd w:id="1810"/>
      <w:bookmarkEnd w:id="1811"/>
      <w:bookmarkEnd w:id="1812"/>
    </w:p>
    <w:p w14:paraId="64A030AD">
      <w:pPr>
        <w:pStyle w:val="684"/>
        <w:wordWrap w:val="0"/>
        <w:overflowPunct w:val="0"/>
        <w:topLinePunct/>
        <w:spacing w:before="0"/>
        <w:ind w:firstLine="0" w:firstLineChars="0"/>
        <w:jc w:val="left"/>
        <w:rPr>
          <w:rFonts w:hint="eastAsia" w:ascii="仿宋" w:hAnsi="仿宋" w:eastAsia="仿宋" w:cs="仿宋"/>
          <w:color w:val="auto"/>
          <w:highlight w:val="none"/>
        </w:rPr>
      </w:pPr>
    </w:p>
    <w:p w14:paraId="071A0172">
      <w:pPr>
        <w:pStyle w:val="684"/>
        <w:wordWrap w:val="0"/>
        <w:overflowPunct w:val="0"/>
        <w:topLinePunct/>
        <w:spacing w:before="0"/>
        <w:ind w:firstLine="0" w:firstLineChars="0"/>
        <w:jc w:val="left"/>
        <w:outlineLvl w:val="2"/>
        <w:rPr>
          <w:rFonts w:hint="eastAsia" w:ascii="仿宋" w:hAnsi="仿宋" w:eastAsia="仿宋" w:cs="仿宋"/>
          <w:color w:val="auto"/>
          <w:kern w:val="0"/>
          <w:highlight w:val="none"/>
          <w:lang w:bidi="ar"/>
        </w:rPr>
      </w:pPr>
      <w:bookmarkStart w:id="1813" w:name="_Toc23969"/>
      <w:bookmarkStart w:id="1814" w:name="_Toc20467"/>
      <w:r>
        <w:rPr>
          <w:rFonts w:hint="eastAsia" w:ascii="仿宋" w:hAnsi="仿宋" w:eastAsia="仿宋" w:cs="仿宋"/>
          <w:color w:val="auto"/>
          <w:sz w:val="24"/>
          <w:highlight w:val="none"/>
        </w:rPr>
        <w:t>致：</w:t>
      </w:r>
      <w:r>
        <w:rPr>
          <w:rFonts w:hint="eastAsia" w:ascii="仿宋" w:hAnsi="仿宋" w:eastAsia="仿宋" w:cs="仿宋"/>
          <w:color w:val="auto"/>
          <w:sz w:val="24"/>
          <w:szCs w:val="24"/>
          <w:highlight w:val="none"/>
          <w:u w:val="single"/>
          <w:lang w:val="en-US" w:eastAsia="zh-CN"/>
        </w:rPr>
        <w:t>楚雄彝族自治州人民医院</w:t>
      </w:r>
      <w:r>
        <w:rPr>
          <w:rFonts w:hint="eastAsia" w:ascii="仿宋" w:hAnsi="仿宋" w:eastAsia="仿宋" w:cs="仿宋"/>
          <w:color w:val="auto"/>
          <w:sz w:val="24"/>
          <w:szCs w:val="24"/>
          <w:highlight w:val="none"/>
          <w:u w:val="single"/>
          <w:lang w:eastAsia="zh-CN"/>
        </w:rPr>
        <w:t>、</w:t>
      </w:r>
      <w:bookmarkEnd w:id="1813"/>
      <w:bookmarkEnd w:id="1814"/>
      <w:r>
        <w:rPr>
          <w:rFonts w:hint="eastAsia" w:ascii="仿宋" w:hAnsi="仿宋" w:eastAsia="仿宋" w:cs="仿宋"/>
          <w:color w:val="auto"/>
          <w:sz w:val="24"/>
          <w:szCs w:val="24"/>
          <w:highlight w:val="none"/>
          <w:u w:val="single"/>
          <w:lang w:val="en-US" w:eastAsia="zh-CN"/>
        </w:rPr>
        <w:t>云南咏名工程管理咨询有限公司</w:t>
      </w:r>
    </w:p>
    <w:p w14:paraId="1DE860DA">
      <w:pPr>
        <w:pStyle w:val="684"/>
        <w:wordWrap w:val="0"/>
        <w:overflowPunct w:val="0"/>
        <w:topLinePunct/>
        <w:spacing w:before="0"/>
        <w:ind w:firstLine="480"/>
        <w:jc w:val="left"/>
        <w:rPr>
          <w:rFonts w:hint="eastAsia" w:ascii="仿宋" w:hAnsi="仿宋" w:eastAsia="仿宋" w:cs="仿宋"/>
          <w:color w:val="auto"/>
          <w:kern w:val="0"/>
          <w:highlight w:val="none"/>
          <w:lang w:bidi="ar"/>
        </w:rPr>
      </w:pPr>
    </w:p>
    <w:p w14:paraId="27A4F647">
      <w:pPr>
        <w:pStyle w:val="684"/>
        <w:wordWrap w:val="0"/>
        <w:overflowPunct w:val="0"/>
        <w:topLinePunct/>
        <w:spacing w:before="0"/>
        <w:ind w:firstLine="480"/>
        <w:jc w:val="left"/>
        <w:rPr>
          <w:rFonts w:hint="eastAsia" w:ascii="仿宋" w:hAnsi="仿宋" w:eastAsia="仿宋" w:cs="仿宋"/>
          <w:color w:val="auto"/>
          <w:kern w:val="0"/>
          <w:highlight w:val="none"/>
          <w:lang w:bidi="ar"/>
        </w:rPr>
      </w:pPr>
      <w:r>
        <w:rPr>
          <w:rFonts w:hint="eastAsia" w:ascii="仿宋" w:hAnsi="仿宋" w:eastAsia="仿宋" w:cs="仿宋"/>
          <w:color w:val="auto"/>
          <w:kern w:val="0"/>
          <w:highlight w:val="none"/>
          <w:lang w:bidi="ar"/>
        </w:rPr>
        <w:t>我公司依法参加贵单位组织的</w:t>
      </w:r>
      <w:r>
        <w:rPr>
          <w:rFonts w:hint="eastAsia" w:ascii="仿宋" w:hAnsi="仿宋" w:eastAsia="仿宋" w:cs="仿宋"/>
          <w:color w:val="auto"/>
          <w:highlight w:val="none"/>
        </w:rPr>
        <w:t>（</w:t>
      </w:r>
      <w:r>
        <w:rPr>
          <w:rFonts w:hint="eastAsia" w:ascii="仿宋" w:hAnsi="仿宋" w:eastAsia="仿宋" w:cs="仿宋"/>
          <w:color w:val="auto"/>
          <w:sz w:val="24"/>
          <w:highlight w:val="none"/>
          <w:lang w:eastAsia="zh-CN"/>
        </w:rPr>
        <w:t>项目名称：</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、项目编号：</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highlight w:val="none"/>
        </w:rPr>
        <w:t>）</w:t>
      </w:r>
      <w:r>
        <w:rPr>
          <w:rFonts w:hint="eastAsia" w:ascii="仿宋" w:hAnsi="仿宋" w:eastAsia="仿宋" w:cs="仿宋"/>
          <w:color w:val="auto"/>
          <w:highlight w:val="none"/>
          <w:u w:val="single"/>
          <w:lang w:eastAsia="zh-CN"/>
        </w:rPr>
        <w:t>公开招标</w:t>
      </w:r>
      <w:r>
        <w:rPr>
          <w:rFonts w:hint="eastAsia" w:ascii="仿宋" w:hAnsi="仿宋" w:eastAsia="仿宋" w:cs="仿宋"/>
          <w:color w:val="auto"/>
          <w:highlight w:val="none"/>
        </w:rPr>
        <w:t>采购活动</w:t>
      </w:r>
      <w:r>
        <w:rPr>
          <w:rFonts w:hint="eastAsia" w:ascii="仿宋" w:hAnsi="仿宋" w:eastAsia="仿宋" w:cs="仿宋"/>
          <w:color w:val="auto"/>
          <w:kern w:val="0"/>
          <w:highlight w:val="none"/>
          <w:lang w:bidi="ar"/>
        </w:rPr>
        <w:t>。现本公司郑重承诺：</w:t>
      </w:r>
    </w:p>
    <w:p w14:paraId="35DD66C9">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1、我公司在参加政府采购活动前3年内未因违法经营被禁止在一定期限内参加政府采购活动，可以参加本次政府采购活动。</w:t>
      </w:r>
    </w:p>
    <w:p w14:paraId="3E480AA2">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2、我方未被列入“信用中国”网站失信被执行人名单。</w:t>
      </w:r>
    </w:p>
    <w:p w14:paraId="456C19CC">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3、我方未被列入“信用中国”网站重大税收违法案件当事人名单。</w:t>
      </w:r>
    </w:p>
    <w:p w14:paraId="206D7718">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4、我方未被列入“中国政府采购网”政府采购严重违法失信行为记录名单。</w:t>
      </w:r>
    </w:p>
    <w:p w14:paraId="7E1BE914">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以上承诺信息如有虚假或隐瞒，我方愿意承担一切后果，并不再寻求任何旨在减轻或免除法律责任的辩解。</w:t>
      </w:r>
      <w:r>
        <w:rPr>
          <w:rFonts w:hint="eastAsia" w:ascii="仿宋" w:hAnsi="仿宋" w:eastAsia="仿宋" w:cs="仿宋"/>
          <w:color w:val="auto"/>
          <w:sz w:val="24"/>
          <w:highlight w:val="none"/>
        </w:rPr>
        <w:t>如有不实，我方将无条件地退出本项目的采购活动，并遵照《</w:t>
      </w:r>
      <w:r>
        <w:rPr>
          <w:rFonts w:hint="eastAsia" w:ascii="仿宋" w:hAnsi="仿宋" w:eastAsia="仿宋" w:cs="仿宋"/>
          <w:color w:val="auto"/>
          <w:sz w:val="24"/>
          <w:highlight w:val="none"/>
          <w:lang w:eastAsia="zh-CN"/>
        </w:rPr>
        <w:t>中华人民共和国政府采购法</w:t>
      </w:r>
      <w:r>
        <w:rPr>
          <w:rFonts w:hint="eastAsia" w:ascii="仿宋" w:hAnsi="仿宋" w:eastAsia="仿宋" w:cs="仿宋"/>
          <w:color w:val="auto"/>
          <w:sz w:val="24"/>
          <w:highlight w:val="none"/>
        </w:rPr>
        <w:t>》有关“提供虚假材料的规定”接受处罚</w:t>
      </w:r>
      <w:r>
        <w:rPr>
          <w:rFonts w:hint="eastAsia" w:ascii="仿宋" w:hAnsi="仿宋" w:eastAsia="仿宋" w:cs="仿宋"/>
          <w:color w:val="auto"/>
          <w:kern w:val="0"/>
          <w:sz w:val="24"/>
          <w:highlight w:val="none"/>
          <w:lang w:bidi="ar"/>
        </w:rPr>
        <w:t>。</w:t>
      </w:r>
    </w:p>
    <w:p w14:paraId="683D61C9">
      <w:pPr>
        <w:wordWrap w:val="0"/>
        <w:overflowPunct w:val="0"/>
        <w:topLinePunct/>
        <w:spacing w:line="360" w:lineRule="auto"/>
        <w:jc w:val="both"/>
        <w:rPr>
          <w:rFonts w:hint="eastAsia" w:ascii="仿宋" w:hAnsi="仿宋" w:eastAsia="仿宋" w:cs="仿宋"/>
          <w:color w:val="auto"/>
          <w:sz w:val="24"/>
          <w:highlight w:val="none"/>
        </w:rPr>
      </w:pPr>
    </w:p>
    <w:p w14:paraId="6349F019">
      <w:pPr>
        <w:wordWrap w:val="0"/>
        <w:overflowPunct w:val="0"/>
        <w:topLinePunct/>
        <w:spacing w:line="360" w:lineRule="auto"/>
        <w:jc w:val="center"/>
        <w:rPr>
          <w:rFonts w:hint="eastAsia" w:ascii="仿宋" w:hAnsi="仿宋" w:eastAsia="仿宋" w:cs="仿宋"/>
          <w:color w:val="auto"/>
          <w:sz w:val="24"/>
          <w:highlight w:val="none"/>
        </w:rPr>
      </w:pPr>
    </w:p>
    <w:p w14:paraId="33BEB63D">
      <w:pPr>
        <w:wordWrap w:val="0"/>
        <w:overflowPunct w:val="0"/>
        <w:topLinePunct/>
        <w:spacing w:line="360" w:lineRule="auto"/>
        <w:jc w:val="center"/>
        <w:rPr>
          <w:rFonts w:hint="eastAsia" w:ascii="仿宋" w:hAnsi="仿宋" w:eastAsia="仿宋" w:cs="仿宋"/>
          <w:color w:val="auto"/>
          <w:sz w:val="24"/>
          <w:highlight w:val="none"/>
          <w:lang w:eastAsia="zh-CN"/>
        </w:rPr>
      </w:pPr>
    </w:p>
    <w:p w14:paraId="1B27B7D0">
      <w:pPr>
        <w:wordWrap w:val="0"/>
        <w:overflowPunct w:val="0"/>
        <w:topLinePunct/>
        <w:spacing w:line="360" w:lineRule="auto"/>
        <w:jc w:val="center"/>
        <w:rPr>
          <w:rFonts w:hint="eastAsia" w:ascii="仿宋" w:hAnsi="仿宋" w:eastAsia="仿宋" w:cs="仿宋"/>
          <w:color w:val="auto"/>
          <w:sz w:val="24"/>
          <w:highlight w:val="none"/>
          <w:lang w:eastAsia="zh-CN"/>
        </w:rPr>
      </w:pPr>
    </w:p>
    <w:p w14:paraId="0F90DBC6">
      <w:pPr>
        <w:wordWrap w:val="0"/>
        <w:overflowPunct w:val="0"/>
        <w:topLinePunct/>
        <w:spacing w:line="360" w:lineRule="auto"/>
        <w:jc w:val="center"/>
        <w:rPr>
          <w:rFonts w:hint="eastAsia" w:ascii="仿宋" w:hAnsi="仿宋" w:eastAsia="仿宋" w:cs="仿宋"/>
          <w:color w:val="auto"/>
          <w:sz w:val="24"/>
          <w:highlight w:val="none"/>
          <w:lang w:eastAsia="zh-CN"/>
        </w:rPr>
      </w:pPr>
    </w:p>
    <w:p w14:paraId="6FC5960D">
      <w:pPr>
        <w:wordWrap w:val="0"/>
        <w:overflowPunct w:val="0"/>
        <w:topLinePunct/>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加盖电子公章）</w:t>
      </w:r>
    </w:p>
    <w:p w14:paraId="04ABE482">
      <w:pPr>
        <w:pStyle w:val="684"/>
        <w:wordWrap w:val="0"/>
        <w:overflowPunct w:val="0"/>
        <w:topLinePunct/>
        <w:spacing w:before="0"/>
        <w:ind w:firstLine="480"/>
        <w:jc w:val="center"/>
        <w:rPr>
          <w:rFonts w:hint="eastAsia"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14:paraId="57485A86">
      <w:pPr>
        <w:pStyle w:val="684"/>
        <w:wordWrap w:val="0"/>
        <w:overflowPunct w:val="0"/>
        <w:topLinePunct/>
        <w:spacing w:before="0"/>
        <w:jc w:val="both"/>
        <w:rPr>
          <w:rFonts w:hint="eastAsia" w:ascii="仿宋" w:hAnsi="仿宋" w:eastAsia="仿宋" w:cs="仿宋"/>
          <w:color w:val="auto"/>
          <w:highlight w:val="none"/>
        </w:rPr>
      </w:pPr>
    </w:p>
    <w:p w14:paraId="2B827ED2">
      <w:pPr>
        <w:wordWrap w:val="0"/>
        <w:overflowPunct w:val="0"/>
        <w:topLinePunct/>
        <w:spacing w:line="0" w:lineRule="atLeast"/>
        <w:ind w:firstLine="482" w:firstLineChars="200"/>
        <w:jc w:val="left"/>
        <w:rPr>
          <w:rFonts w:hint="eastAsia" w:ascii="仿宋" w:hAnsi="仿宋" w:eastAsia="仿宋" w:cs="仿宋"/>
          <w:b/>
          <w:bCs/>
          <w:color w:val="auto"/>
          <w:sz w:val="24"/>
          <w:highlight w:val="none"/>
        </w:rPr>
      </w:pPr>
    </w:p>
    <w:p w14:paraId="60AAC363">
      <w:pPr>
        <w:pStyle w:val="65"/>
        <w:rPr>
          <w:rFonts w:hint="eastAsia" w:ascii="仿宋" w:hAnsi="仿宋" w:eastAsia="仿宋" w:cs="仿宋"/>
          <w:b/>
          <w:bCs/>
          <w:color w:val="auto"/>
          <w:sz w:val="21"/>
          <w:szCs w:val="21"/>
          <w:highlight w:val="none"/>
        </w:rPr>
      </w:pPr>
    </w:p>
    <w:p w14:paraId="5AB40FD9">
      <w:pPr>
        <w:pStyle w:val="65"/>
        <w:rPr>
          <w:rFonts w:hint="eastAsia" w:ascii="仿宋" w:hAnsi="仿宋" w:eastAsia="仿宋" w:cs="仿宋"/>
          <w:b/>
          <w:bCs/>
          <w:color w:val="auto"/>
          <w:sz w:val="21"/>
          <w:szCs w:val="21"/>
          <w:highlight w:val="none"/>
        </w:rPr>
      </w:pPr>
    </w:p>
    <w:p w14:paraId="20ED2BA5">
      <w:pPr>
        <w:pStyle w:val="65"/>
        <w:rPr>
          <w:rFonts w:hint="eastAsia" w:ascii="仿宋" w:hAnsi="仿宋" w:eastAsia="仿宋" w:cs="仿宋"/>
          <w:b/>
          <w:bCs/>
          <w:color w:val="auto"/>
          <w:sz w:val="24"/>
          <w:highlight w:val="none"/>
        </w:rPr>
        <w:sectPr>
          <w:pgSz w:w="11906" w:h="16838"/>
          <w:pgMar w:top="1134" w:right="1134" w:bottom="1134" w:left="1134" w:header="851" w:footer="992"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b/>
          <w:bCs/>
          <w:color w:val="auto"/>
          <w:sz w:val="21"/>
          <w:szCs w:val="21"/>
          <w:highlight w:val="none"/>
        </w:rPr>
        <w:t>注：3年内因违法经营被禁止在一定期限内参加政府采购，处罚期限届满可以参加政府采购活动的，但应提供期限届满的证明材料。</w:t>
      </w:r>
      <w:bookmarkStart w:id="1815" w:name="_Toc4238"/>
      <w:bookmarkStart w:id="1816" w:name="_Toc7287"/>
      <w:bookmarkStart w:id="1817" w:name="_Toc18012"/>
      <w:bookmarkStart w:id="1818" w:name="_Toc3606"/>
      <w:bookmarkStart w:id="1819" w:name="_Toc28900"/>
      <w:bookmarkStart w:id="1820" w:name="_Toc16572"/>
      <w:bookmarkStart w:id="1821" w:name="_Toc4806"/>
      <w:bookmarkStart w:id="1822" w:name="_Toc16693"/>
      <w:bookmarkStart w:id="1823" w:name="_Toc25072"/>
      <w:bookmarkStart w:id="1824" w:name="_Toc23880"/>
      <w:bookmarkStart w:id="1825" w:name="_Toc32199"/>
    </w:p>
    <w:bookmarkEnd w:id="1815"/>
    <w:bookmarkEnd w:id="1816"/>
    <w:bookmarkEnd w:id="1817"/>
    <w:bookmarkEnd w:id="1818"/>
    <w:bookmarkEnd w:id="1819"/>
    <w:bookmarkEnd w:id="1820"/>
    <w:bookmarkEnd w:id="1821"/>
    <w:bookmarkEnd w:id="1822"/>
    <w:bookmarkEnd w:id="1823"/>
    <w:bookmarkEnd w:id="1824"/>
    <w:bookmarkEnd w:id="1825"/>
    <w:p w14:paraId="6A990FB1">
      <w:pPr>
        <w:pStyle w:val="65"/>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outlineLvl w:val="2"/>
        <w:rPr>
          <w:rFonts w:hint="eastAsia" w:ascii="仿宋" w:hAnsi="仿宋" w:eastAsia="仿宋" w:cs="仿宋"/>
          <w:b/>
          <w:bCs/>
          <w:color w:val="auto"/>
          <w:sz w:val="32"/>
          <w:szCs w:val="32"/>
          <w:highlight w:val="none"/>
        </w:rPr>
      </w:pPr>
      <w:bookmarkStart w:id="1826" w:name="_Toc19498"/>
      <w:bookmarkStart w:id="1827" w:name="_Toc25143"/>
      <w:bookmarkStart w:id="1828" w:name="_Toc112677164"/>
      <w:bookmarkStart w:id="1829" w:name="_Toc698"/>
      <w:bookmarkStart w:id="1830" w:name="_Toc120277425"/>
      <w:bookmarkStart w:id="1831" w:name="_Toc19537"/>
      <w:bookmarkStart w:id="1832" w:name="_Toc15174"/>
      <w:bookmarkStart w:id="1833" w:name="_Toc1648"/>
      <w:bookmarkStart w:id="1834" w:name="_Toc7266"/>
      <w:bookmarkStart w:id="1835" w:name="_Toc27828"/>
      <w:bookmarkStart w:id="1836" w:name="_Toc22394"/>
      <w:bookmarkStart w:id="1837" w:name="_Toc23889"/>
      <w:bookmarkStart w:id="1838" w:name="_Toc7746"/>
      <w:bookmarkStart w:id="1839" w:name="_Toc21545"/>
      <w:bookmarkStart w:id="1840" w:name="_Toc31270"/>
      <w:bookmarkStart w:id="1841" w:name="_Toc9578"/>
      <w:bookmarkStart w:id="1842" w:name="_Toc20757"/>
      <w:bookmarkStart w:id="1843" w:name="_Toc22406"/>
      <w:r>
        <w:rPr>
          <w:rFonts w:hint="eastAsia" w:ascii="仿宋" w:hAnsi="仿宋" w:eastAsia="仿宋" w:cs="仿宋"/>
          <w:b/>
          <w:bCs/>
          <w:color w:val="auto"/>
          <w:sz w:val="28"/>
          <w:szCs w:val="28"/>
          <w:highlight w:val="none"/>
          <w:lang w:val="en-US" w:eastAsia="zh-CN"/>
        </w:rPr>
        <w:t>（2）</w:t>
      </w:r>
      <w:r>
        <w:rPr>
          <w:rFonts w:hint="eastAsia" w:ascii="仿宋" w:hAnsi="仿宋" w:eastAsia="仿宋" w:cs="仿宋"/>
          <w:b/>
          <w:bCs/>
          <w:color w:val="auto"/>
          <w:sz w:val="28"/>
          <w:szCs w:val="28"/>
          <w:highlight w:val="none"/>
        </w:rPr>
        <w:t>资格声明函</w:t>
      </w:r>
      <w:r>
        <w:rPr>
          <w:rFonts w:hint="eastAsia" w:ascii="仿宋" w:hAnsi="仿宋" w:eastAsia="仿宋" w:cs="仿宋"/>
          <w:b/>
          <w:bCs/>
          <w:color w:val="auto"/>
          <w:sz w:val="28"/>
          <w:szCs w:val="28"/>
          <w:highlight w:val="none"/>
          <w:lang w:val="en-US" w:eastAsia="zh-CN"/>
        </w:rPr>
        <w:t>（实质性格式）</w:t>
      </w:r>
      <w:bookmarkEnd w:id="1826"/>
      <w:bookmarkEnd w:id="1827"/>
    </w:p>
    <w:p w14:paraId="1EDBDB64">
      <w:pPr>
        <w:keepNext w:val="0"/>
        <w:keepLines w:val="0"/>
        <w:pageBreakBefore w:val="0"/>
        <w:widowControl w:val="0"/>
        <w:kinsoku/>
        <w:wordWrap w:val="0"/>
        <w:overflowPunct/>
        <w:topLinePunct/>
        <w:autoSpaceDE/>
        <w:autoSpaceDN/>
        <w:bidi w:val="0"/>
        <w:adjustRightInd/>
        <w:snapToGrid/>
        <w:spacing w:before="63" w:beforeLines="20" w:after="63" w:afterLines="20" w:line="0" w:lineRule="atLeast"/>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highlight w:val="none"/>
        </w:rPr>
        <w:t>致：</w:t>
      </w:r>
      <w:r>
        <w:rPr>
          <w:rFonts w:hint="eastAsia" w:ascii="仿宋" w:hAnsi="仿宋" w:eastAsia="仿宋" w:cs="仿宋"/>
          <w:color w:val="auto"/>
          <w:sz w:val="24"/>
          <w:szCs w:val="24"/>
          <w:highlight w:val="none"/>
          <w:u w:val="single"/>
          <w:lang w:val="en-US" w:eastAsia="zh-CN"/>
        </w:rPr>
        <w:t>楚雄彝族自治州人民医院</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lang w:val="en-US" w:eastAsia="zh-CN"/>
        </w:rPr>
        <w:t>云南咏名工程管理咨询有限公司</w:t>
      </w:r>
    </w:p>
    <w:p w14:paraId="71C85DD5">
      <w:pPr>
        <w:keepNext w:val="0"/>
        <w:keepLines w:val="0"/>
        <w:pageBreakBefore w:val="0"/>
        <w:widowControl w:val="0"/>
        <w:kinsoku/>
        <w:wordWrap w:val="0"/>
        <w:overflowPunct/>
        <w:topLinePunct/>
        <w:autoSpaceDE/>
        <w:autoSpaceDN/>
        <w:bidi w:val="0"/>
        <w:adjustRightInd/>
        <w:snapToGrid/>
        <w:spacing w:before="63" w:beforeLines="20" w:after="63" w:afterLines="20" w:line="0" w:lineRule="atLeas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关于贵方组织的（</w:t>
      </w:r>
      <w:r>
        <w:rPr>
          <w:rFonts w:hint="eastAsia" w:ascii="仿宋" w:hAnsi="仿宋" w:eastAsia="仿宋" w:cs="仿宋"/>
          <w:color w:val="auto"/>
          <w:sz w:val="24"/>
          <w:szCs w:val="24"/>
          <w:highlight w:val="none"/>
          <w:lang w:eastAsia="zh-CN"/>
        </w:rPr>
        <w:t>项目名称：</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、项目编号：</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eastAsia="zh-CN"/>
        </w:rPr>
        <w:t>公开招标</w:t>
      </w:r>
      <w:r>
        <w:rPr>
          <w:rFonts w:hint="eastAsia" w:ascii="仿宋" w:hAnsi="仿宋" w:eastAsia="仿宋" w:cs="仿宋"/>
          <w:color w:val="auto"/>
          <w:sz w:val="24"/>
          <w:szCs w:val="24"/>
          <w:highlight w:val="none"/>
        </w:rPr>
        <w:t>采购活动，我公司</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（公司名称）愿意参加，提供</w:t>
      </w:r>
      <w:r>
        <w:rPr>
          <w:rFonts w:hint="eastAsia" w:ascii="仿宋" w:hAnsi="仿宋" w:eastAsia="仿宋" w:cs="仿宋"/>
          <w:color w:val="auto"/>
          <w:sz w:val="24"/>
          <w:szCs w:val="24"/>
          <w:highlight w:val="none"/>
          <w:lang w:eastAsia="zh-CN"/>
        </w:rPr>
        <w:t>投标文件</w:t>
      </w:r>
      <w:r>
        <w:rPr>
          <w:rFonts w:hint="eastAsia" w:ascii="仿宋" w:hAnsi="仿宋" w:eastAsia="仿宋" w:cs="仿宋"/>
          <w:color w:val="auto"/>
          <w:sz w:val="24"/>
          <w:szCs w:val="24"/>
          <w:highlight w:val="none"/>
        </w:rPr>
        <w:t>中规定的货物及服务，并针对本项目的相关资格条款，我公司作出以下声明；</w:t>
      </w:r>
    </w:p>
    <w:p w14:paraId="7C3B5353">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480" w:firstLineChars="200"/>
        <w:jc w:val="left"/>
        <w:textAlignment w:val="auto"/>
        <w:rPr>
          <w:rFonts w:hint="eastAsia" w:ascii="仿宋" w:hAnsi="仿宋" w:eastAsia="仿宋" w:cs="仿宋"/>
          <w:color w:val="auto"/>
          <w:sz w:val="24"/>
          <w:szCs w:val="24"/>
          <w:highlight w:val="none"/>
          <w:lang w:val="en-US"/>
        </w:rPr>
      </w:pPr>
      <w:bookmarkStart w:id="1844" w:name="_Toc28986"/>
      <w:bookmarkStart w:id="1845" w:name="_Toc26904"/>
      <w:bookmarkStart w:id="1846" w:name="_Toc3450"/>
      <w:bookmarkStart w:id="1847" w:name="_Toc23865"/>
      <w:bookmarkStart w:id="1848" w:name="_Toc5283"/>
      <w:bookmarkStart w:id="1849" w:name="_Toc10065"/>
      <w:bookmarkStart w:id="1850" w:name="_Toc14160"/>
      <w:bookmarkStart w:id="1851" w:name="_Toc30423"/>
      <w:bookmarkStart w:id="1852" w:name="_Toc26981"/>
      <w:r>
        <w:rPr>
          <w:rFonts w:hint="eastAsia" w:ascii="仿宋" w:hAnsi="仿宋" w:eastAsia="仿宋" w:cs="仿宋"/>
          <w:color w:val="auto"/>
          <w:sz w:val="24"/>
          <w:szCs w:val="24"/>
          <w:highlight w:val="none"/>
        </w:rPr>
        <w:t>1.我公司是依法注册的法人，在法律上、财务上和运作上完全独立于</w:t>
      </w:r>
      <w:r>
        <w:rPr>
          <w:rFonts w:hint="eastAsia" w:ascii="仿宋" w:hAnsi="仿宋" w:eastAsia="仿宋" w:cs="仿宋"/>
          <w:color w:val="auto"/>
          <w:sz w:val="24"/>
          <w:szCs w:val="24"/>
          <w:highlight w:val="none"/>
          <w:u w:val="single"/>
          <w:lang w:val="en-US" w:eastAsia="zh-CN"/>
        </w:rPr>
        <w:t>楚雄彝族自治州人民医院</w:t>
      </w:r>
      <w:r>
        <w:rPr>
          <w:rFonts w:hint="eastAsia" w:ascii="仿宋" w:hAnsi="仿宋" w:eastAsia="仿宋" w:cs="仿宋"/>
          <w:color w:val="auto"/>
          <w:sz w:val="24"/>
          <w:szCs w:val="24"/>
          <w:highlight w:val="none"/>
        </w:rPr>
        <w:t>及</w:t>
      </w:r>
      <w:r>
        <w:rPr>
          <w:rFonts w:hint="eastAsia" w:ascii="仿宋" w:hAnsi="仿宋" w:eastAsia="仿宋" w:cs="仿宋"/>
          <w:color w:val="auto"/>
          <w:sz w:val="24"/>
          <w:szCs w:val="24"/>
          <w:highlight w:val="none"/>
          <w:u w:val="single"/>
          <w:lang w:val="en-US" w:eastAsia="zh-CN"/>
        </w:rPr>
        <w:t>云南咏名工程管理咨询有限公司</w:t>
      </w:r>
    </w:p>
    <w:p w14:paraId="52D31F80">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480" w:firstLineChars="200"/>
        <w:jc w:val="left"/>
        <w:textAlignment w:val="auto"/>
        <w:rPr>
          <w:rFonts w:hint="eastAsia" w:ascii="仿宋" w:hAnsi="仿宋" w:eastAsia="仿宋" w:cs="仿宋"/>
          <w:color w:val="auto"/>
          <w:sz w:val="24"/>
          <w:szCs w:val="24"/>
          <w:highlight w:val="none"/>
          <w:lang w:val="en-US"/>
        </w:rPr>
      </w:pP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color w:val="auto"/>
          <w:sz w:val="24"/>
          <w:szCs w:val="24"/>
          <w:highlight w:val="none"/>
        </w:rPr>
        <w:t>我公司</w:t>
      </w:r>
      <w:r>
        <w:rPr>
          <w:rFonts w:hint="eastAsia" w:ascii="仿宋" w:hAnsi="仿宋" w:eastAsia="仿宋" w:cs="仿宋"/>
          <w:b w:val="0"/>
          <w:bCs w:val="0"/>
          <w:color w:val="auto"/>
          <w:sz w:val="24"/>
          <w:szCs w:val="24"/>
          <w:highlight w:val="none"/>
          <w:lang w:eastAsia="zh-CN"/>
        </w:rPr>
        <w:t>遵守国家有关的法律、法令和条例，以及符合并承认和履行招标文件中的各项规定。</w:t>
      </w:r>
    </w:p>
    <w:p w14:paraId="4CB658D4">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w:t>
      </w:r>
      <w:bookmarkEnd w:id="1844"/>
      <w:bookmarkEnd w:id="1845"/>
      <w:bookmarkEnd w:id="1846"/>
      <w:bookmarkEnd w:id="1847"/>
      <w:bookmarkEnd w:id="1848"/>
      <w:bookmarkEnd w:id="1849"/>
      <w:bookmarkEnd w:id="1850"/>
      <w:bookmarkEnd w:id="1851"/>
      <w:bookmarkEnd w:id="1852"/>
      <w:r>
        <w:rPr>
          <w:rFonts w:hint="eastAsia" w:ascii="仿宋" w:hAnsi="仿宋" w:eastAsia="仿宋" w:cs="仿宋"/>
          <w:color w:val="auto"/>
          <w:sz w:val="24"/>
          <w:szCs w:val="24"/>
          <w:highlight w:val="none"/>
        </w:rPr>
        <w:t>我单位不属于政府采购法律、行政法规规定的公益一类事业单位</w:t>
      </w:r>
      <w:r>
        <w:rPr>
          <w:rFonts w:hint="eastAsia" w:ascii="仿宋" w:hAnsi="仿宋" w:eastAsia="仿宋" w:cs="仿宋"/>
          <w:color w:val="auto"/>
          <w:sz w:val="24"/>
          <w:szCs w:val="24"/>
          <w:highlight w:val="none"/>
          <w:lang w:eastAsia="zh-CN"/>
        </w:rPr>
        <w:t>或</w:t>
      </w:r>
      <w:r>
        <w:rPr>
          <w:rFonts w:hint="eastAsia" w:ascii="仿宋" w:hAnsi="仿宋" w:eastAsia="仿宋" w:cs="仿宋"/>
          <w:color w:val="auto"/>
          <w:sz w:val="24"/>
          <w:szCs w:val="24"/>
          <w:highlight w:val="none"/>
        </w:rPr>
        <w:t>使用事业编制且由财政拨款保障的群团组织（仅适用于政府购买服务项目）</w:t>
      </w:r>
      <w:r>
        <w:rPr>
          <w:rFonts w:hint="eastAsia" w:ascii="仿宋" w:hAnsi="仿宋" w:eastAsia="仿宋" w:cs="仿宋"/>
          <w:color w:val="auto"/>
          <w:sz w:val="24"/>
          <w:szCs w:val="24"/>
          <w:highlight w:val="none"/>
          <w:lang w:eastAsia="zh-CN"/>
        </w:rPr>
        <w:t>；</w:t>
      </w:r>
    </w:p>
    <w:p w14:paraId="24815462">
      <w:pPr>
        <w:keepNext w:val="0"/>
        <w:keepLines w:val="0"/>
        <w:pageBreakBefore w:val="0"/>
        <w:widowControl w:val="0"/>
        <w:numPr>
          <w:ilvl w:val="3"/>
          <w:numId w:val="0"/>
        </w:numPr>
        <w:kinsoku/>
        <w:overflowPunct/>
        <w:autoSpaceDE/>
        <w:autoSpaceDN/>
        <w:bidi w:val="0"/>
        <w:adjustRightInd/>
        <w:snapToGrid/>
        <w:spacing w:before="63" w:beforeLines="20" w:after="63" w:afterLines="20" w:line="0" w:lineRule="atLeas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我单位不存在为采购项目提供整体设计、规范编制或者项目管理、监理、检测等服务后，再参加该采购项目的其他采购活动的情形（单一来源采购项目除外）</w:t>
      </w:r>
      <w:r>
        <w:rPr>
          <w:rFonts w:hint="eastAsia" w:ascii="仿宋" w:hAnsi="仿宋" w:eastAsia="仿宋" w:cs="仿宋"/>
          <w:color w:val="auto"/>
          <w:sz w:val="24"/>
          <w:szCs w:val="24"/>
          <w:highlight w:val="none"/>
          <w:lang w:eastAsia="zh-CN"/>
        </w:rPr>
        <w:t>；</w:t>
      </w:r>
    </w:p>
    <w:p w14:paraId="32DC4CFC">
      <w:pPr>
        <w:keepNext w:val="0"/>
        <w:keepLines w:val="0"/>
        <w:pageBreakBefore w:val="0"/>
        <w:widowControl w:val="0"/>
        <w:numPr>
          <w:ilvl w:val="3"/>
          <w:numId w:val="0"/>
        </w:numPr>
        <w:kinsoku/>
        <w:overflowPunct/>
        <w:autoSpaceDE/>
        <w:autoSpaceDN/>
        <w:bidi w:val="0"/>
        <w:adjustRightInd/>
        <w:snapToGrid/>
        <w:spacing w:before="63" w:beforeLines="20" w:after="63" w:afterLines="20" w:line="0" w:lineRule="atLeas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与我单位存在“单位负责人为同一人或者存在直接控股、管理关系”的其他法人单位信息如下（如有，不论其是否参加同一合同项下的政府采购活动均须填写）：</w:t>
      </w:r>
    </w:p>
    <w:tbl>
      <w:tblPr>
        <w:tblStyle w:val="67"/>
        <w:tblW w:w="94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57"/>
        <w:gridCol w:w="5102"/>
        <w:gridCol w:w="3320"/>
      </w:tblGrid>
      <w:tr w14:paraId="2E3D30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57" w:type="dxa"/>
            <w:vAlign w:val="center"/>
          </w:tcPr>
          <w:p w14:paraId="5CA60D93">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5102" w:type="dxa"/>
            <w:vAlign w:val="center"/>
          </w:tcPr>
          <w:p w14:paraId="6B3E8BDA">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单位名称</w:t>
            </w:r>
          </w:p>
        </w:tc>
        <w:tc>
          <w:tcPr>
            <w:tcW w:w="3320" w:type="dxa"/>
            <w:vAlign w:val="center"/>
          </w:tcPr>
          <w:p w14:paraId="2404F9F7">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相互关系</w:t>
            </w:r>
          </w:p>
        </w:tc>
      </w:tr>
      <w:tr w14:paraId="17094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57" w:type="dxa"/>
            <w:vAlign w:val="center"/>
          </w:tcPr>
          <w:p w14:paraId="1EE61AF0">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5102" w:type="dxa"/>
            <w:vAlign w:val="center"/>
          </w:tcPr>
          <w:p w14:paraId="47507D98">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p>
        </w:tc>
        <w:tc>
          <w:tcPr>
            <w:tcW w:w="3320" w:type="dxa"/>
            <w:vAlign w:val="center"/>
          </w:tcPr>
          <w:p w14:paraId="016FA25D">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p>
        </w:tc>
      </w:tr>
      <w:tr w14:paraId="68514D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57" w:type="dxa"/>
            <w:vAlign w:val="center"/>
          </w:tcPr>
          <w:p w14:paraId="5C181772">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5102" w:type="dxa"/>
            <w:vAlign w:val="center"/>
          </w:tcPr>
          <w:p w14:paraId="36EA6ABD">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p>
        </w:tc>
        <w:tc>
          <w:tcPr>
            <w:tcW w:w="3320" w:type="dxa"/>
            <w:vAlign w:val="center"/>
          </w:tcPr>
          <w:p w14:paraId="4113109C">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p>
        </w:tc>
      </w:tr>
      <w:tr w14:paraId="1E678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57" w:type="dxa"/>
            <w:vAlign w:val="center"/>
          </w:tcPr>
          <w:p w14:paraId="722485D8">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5102" w:type="dxa"/>
            <w:vAlign w:val="center"/>
          </w:tcPr>
          <w:p w14:paraId="7D8822F3">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p>
        </w:tc>
        <w:tc>
          <w:tcPr>
            <w:tcW w:w="3320" w:type="dxa"/>
            <w:vAlign w:val="center"/>
          </w:tcPr>
          <w:p w14:paraId="0DE7B43A">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p>
        </w:tc>
      </w:tr>
    </w:tbl>
    <w:p w14:paraId="35B9143E">
      <w:pPr>
        <w:keepNext w:val="0"/>
        <w:keepLines w:val="0"/>
        <w:pageBreakBefore w:val="0"/>
        <w:widowControl w:val="0"/>
        <w:numPr>
          <w:ilvl w:val="3"/>
          <w:numId w:val="0"/>
        </w:numPr>
        <w:kinsoku/>
        <w:overflowPunct/>
        <w:autoSpaceDE/>
        <w:autoSpaceDN/>
        <w:bidi w:val="0"/>
        <w:adjustRightInd/>
        <w:snapToGrid/>
        <w:spacing w:before="63" w:beforeLines="20" w:after="63" w:afterLines="20" w:line="0" w:lineRule="atLeas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.我公司完全符合本项目的投标资格，我公司对上述声明内容事项真实性负责。如经查实上述承诺声明的内容事项存在虚假或未履行，本单位愿意接受相关处罚并追究法律责任。</w:t>
      </w:r>
    </w:p>
    <w:p w14:paraId="64B7E727">
      <w:pPr>
        <w:keepNext w:val="0"/>
        <w:keepLines w:val="0"/>
        <w:pageBreakBefore w:val="0"/>
        <w:widowControl w:val="0"/>
        <w:numPr>
          <w:ilvl w:val="3"/>
          <w:numId w:val="0"/>
        </w:numPr>
        <w:kinsoku/>
        <w:overflowPunct/>
        <w:autoSpaceDE/>
        <w:autoSpaceDN/>
        <w:bidi w:val="0"/>
        <w:adjustRightInd/>
        <w:snapToGrid/>
        <w:spacing w:before="63" w:beforeLines="20" w:after="63" w:afterLines="20" w:line="0" w:lineRule="atLeas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特此承诺！</w:t>
      </w:r>
    </w:p>
    <w:p w14:paraId="5581B593">
      <w:pPr>
        <w:pStyle w:val="569"/>
        <w:keepNext w:val="0"/>
        <w:keepLines w:val="0"/>
        <w:pageBreakBefore w:val="0"/>
        <w:widowControl w:val="0"/>
        <w:kinsoku/>
        <w:autoSpaceDE w:val="0"/>
        <w:autoSpaceDN w:val="0"/>
        <w:bidi w:val="0"/>
        <w:adjustRightInd/>
        <w:snapToGrid/>
        <w:spacing w:before="63" w:beforeLines="20" w:after="63" w:afterLines="20" w:line="0" w:lineRule="atLeast"/>
        <w:ind w:left="0" w:leftChars="0" w:firstLine="0" w:firstLineChars="0"/>
        <w:jc w:val="left"/>
        <w:textAlignment w:val="baseline"/>
        <w:rPr>
          <w:rFonts w:hint="eastAsia" w:ascii="仿宋" w:hAnsi="仿宋" w:eastAsia="仿宋" w:cs="仿宋"/>
          <w:color w:val="auto"/>
          <w:kern w:val="0"/>
          <w:sz w:val="24"/>
          <w:szCs w:val="24"/>
          <w:highlight w:val="none"/>
          <w:u w:val="single"/>
        </w:rPr>
      </w:pPr>
    </w:p>
    <w:p w14:paraId="207DD5D5">
      <w:pPr>
        <w:keepNext w:val="0"/>
        <w:keepLines w:val="0"/>
        <w:pageBreakBefore w:val="0"/>
        <w:widowControl w:val="0"/>
        <w:kinsoku/>
        <w:wordWrap w:val="0"/>
        <w:overflowPunct w:val="0"/>
        <w:topLinePunct/>
        <w:bidi w:val="0"/>
        <w:adjustRightInd/>
        <w:snapToGrid/>
        <w:spacing w:before="63" w:beforeLines="20" w:after="63" w:afterLines="20" w:line="0" w:lineRule="atLeast"/>
        <w:jc w:val="left"/>
        <w:rPr>
          <w:rFonts w:hint="eastAsia" w:ascii="仿宋" w:hAnsi="仿宋" w:eastAsia="仿宋" w:cs="仿宋"/>
          <w:color w:val="auto"/>
          <w:sz w:val="24"/>
          <w:szCs w:val="24"/>
          <w:highlight w:val="none"/>
          <w:lang w:eastAsia="zh-CN"/>
        </w:rPr>
      </w:pPr>
    </w:p>
    <w:p w14:paraId="7FB2F860">
      <w:pPr>
        <w:keepNext w:val="0"/>
        <w:keepLines w:val="0"/>
        <w:pageBreakBefore w:val="0"/>
        <w:widowControl w:val="0"/>
        <w:kinsoku/>
        <w:wordWrap w:val="0"/>
        <w:overflowPunct w:val="0"/>
        <w:topLinePunct/>
        <w:bidi w:val="0"/>
        <w:adjustRightInd/>
        <w:snapToGrid/>
        <w:spacing w:before="63" w:beforeLines="20" w:after="63" w:afterLines="20" w:line="0" w:lineRule="atLeast"/>
        <w:jc w:val="left"/>
        <w:rPr>
          <w:rFonts w:hint="eastAsia" w:ascii="仿宋" w:hAnsi="仿宋" w:eastAsia="仿宋" w:cs="仿宋"/>
          <w:color w:val="auto"/>
          <w:sz w:val="24"/>
          <w:szCs w:val="24"/>
          <w:highlight w:val="none"/>
          <w:lang w:eastAsia="zh-CN"/>
        </w:rPr>
      </w:pPr>
    </w:p>
    <w:p w14:paraId="53C27C55">
      <w:pPr>
        <w:keepNext w:val="0"/>
        <w:keepLines w:val="0"/>
        <w:pageBreakBefore w:val="0"/>
        <w:widowControl w:val="0"/>
        <w:kinsoku/>
        <w:wordWrap w:val="0"/>
        <w:overflowPunct w:val="0"/>
        <w:topLinePunct/>
        <w:bidi w:val="0"/>
        <w:adjustRightInd/>
        <w:snapToGrid/>
        <w:spacing w:before="63" w:beforeLines="20" w:after="63" w:afterLines="20" w:line="0" w:lineRule="atLeas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rPr>
        <w:t>加盖电子公章</w:t>
      </w:r>
      <w:r>
        <w:rPr>
          <w:rFonts w:hint="eastAsia" w:ascii="仿宋" w:hAnsi="仿宋" w:eastAsia="仿宋" w:cs="仿宋"/>
          <w:color w:val="auto"/>
          <w:sz w:val="24"/>
          <w:szCs w:val="24"/>
          <w:highlight w:val="none"/>
        </w:rPr>
        <w:t>）</w:t>
      </w:r>
    </w:p>
    <w:p w14:paraId="64B2C7E0">
      <w:pPr>
        <w:keepNext w:val="0"/>
        <w:keepLines w:val="0"/>
        <w:pageBreakBefore w:val="0"/>
        <w:widowControl w:val="0"/>
        <w:kinsoku/>
        <w:wordWrap w:val="0"/>
        <w:overflowPunct w:val="0"/>
        <w:topLinePunct/>
        <w:bidi w:val="0"/>
        <w:adjustRightInd/>
        <w:snapToGrid/>
        <w:spacing w:before="63" w:beforeLines="20" w:after="63" w:afterLines="20" w:line="0" w:lineRule="atLeast"/>
        <w:jc w:val="left"/>
        <w:outlineLvl w:val="1"/>
        <w:rPr>
          <w:rFonts w:hint="eastAsia" w:ascii="仿宋" w:hAnsi="仿宋" w:eastAsia="仿宋" w:cs="仿宋"/>
          <w:color w:val="auto"/>
          <w:sz w:val="24"/>
          <w:szCs w:val="24"/>
          <w:highlight w:val="none"/>
          <w:u w:val="single"/>
        </w:rPr>
      </w:pPr>
      <w:bookmarkStart w:id="1853" w:name="_Toc31055"/>
      <w:bookmarkStart w:id="1854" w:name="_Toc23639"/>
      <w:r>
        <w:rPr>
          <w:rFonts w:hint="eastAsia" w:ascii="仿宋" w:hAnsi="仿宋" w:eastAsia="仿宋" w:cs="仿宋"/>
          <w:color w:val="auto"/>
          <w:sz w:val="24"/>
          <w:szCs w:val="24"/>
          <w:highlight w:val="none"/>
        </w:rPr>
        <w:t>法定代表人（负责人）或授权委托人：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签字或电子签章</w:t>
      </w:r>
      <w:r>
        <w:rPr>
          <w:rFonts w:hint="eastAsia" w:ascii="仿宋" w:hAnsi="仿宋" w:eastAsia="仿宋" w:cs="仿宋"/>
          <w:color w:val="auto"/>
          <w:sz w:val="24"/>
          <w:szCs w:val="24"/>
          <w:highlight w:val="none"/>
        </w:rPr>
        <w:t>）</w:t>
      </w:r>
      <w:bookmarkEnd w:id="1853"/>
      <w:bookmarkEnd w:id="1854"/>
    </w:p>
    <w:p w14:paraId="43A2AE99">
      <w:pPr>
        <w:keepNext w:val="0"/>
        <w:keepLines w:val="0"/>
        <w:pageBreakBefore w:val="0"/>
        <w:widowControl w:val="0"/>
        <w:kinsoku/>
        <w:bidi w:val="0"/>
        <w:adjustRightInd/>
        <w:snapToGrid/>
        <w:spacing w:before="63" w:beforeLines="20" w:after="63" w:afterLines="20" w:line="0" w:lineRule="atLeas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3EC678FC">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仿宋" w:hAnsi="仿宋" w:eastAsia="仿宋" w:cs="仿宋"/>
          <w:b/>
          <w:color w:val="auto"/>
          <w:sz w:val="21"/>
          <w:szCs w:val="21"/>
          <w:highlight w:val="none"/>
        </w:rPr>
      </w:pPr>
    </w:p>
    <w:p w14:paraId="6EBB8EB1">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仿宋" w:hAnsi="仿宋" w:eastAsia="仿宋" w:cs="仿宋"/>
          <w:b/>
          <w:color w:val="auto"/>
          <w:sz w:val="21"/>
          <w:szCs w:val="21"/>
          <w:highlight w:val="none"/>
        </w:rPr>
      </w:pPr>
    </w:p>
    <w:p w14:paraId="219B219A">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仿宋" w:hAnsi="仿宋" w:eastAsia="仿宋" w:cs="仿宋"/>
          <w:b/>
          <w:color w:val="auto"/>
          <w:sz w:val="21"/>
          <w:szCs w:val="21"/>
          <w:highlight w:val="none"/>
        </w:rPr>
      </w:pPr>
    </w:p>
    <w:p w14:paraId="7A91ED4E">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仿宋" w:hAnsi="仿宋" w:eastAsia="仿宋" w:cs="仿宋"/>
          <w:b/>
          <w:color w:val="auto"/>
          <w:sz w:val="21"/>
          <w:szCs w:val="21"/>
          <w:highlight w:val="none"/>
        </w:rPr>
      </w:pPr>
    </w:p>
    <w:p w14:paraId="5E7A8490">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注：</w:t>
      </w:r>
    </w:p>
    <w:p w14:paraId="3A20FD5B">
      <w:pPr>
        <w:keepNext w:val="0"/>
        <w:keepLines w:val="0"/>
        <w:pageBreakBefore w:val="0"/>
        <w:widowControl w:val="0"/>
        <w:kinsoku/>
        <w:wordWrap w:val="0"/>
        <w:overflowPunct/>
        <w:topLinePunct/>
        <w:autoSpaceDE/>
        <w:autoSpaceDN/>
        <w:bidi w:val="0"/>
        <w:adjustRightInd/>
        <w:snapToGrid/>
        <w:spacing w:line="0" w:lineRule="atLeast"/>
        <w:ind w:firstLine="422" w:firstLineChars="200"/>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1、单位负责人，是指单位法定代表人或者法律、行政法规规定代表单位行使职权的主要负责人。</w:t>
      </w:r>
    </w:p>
    <w:p w14:paraId="508042D1">
      <w:pPr>
        <w:keepNext w:val="0"/>
        <w:keepLines w:val="0"/>
        <w:pageBreakBefore w:val="0"/>
        <w:widowControl w:val="0"/>
        <w:kinsoku/>
        <w:wordWrap w:val="0"/>
        <w:overflowPunct/>
        <w:topLinePunct/>
        <w:autoSpaceDE/>
        <w:autoSpaceDN/>
        <w:bidi w:val="0"/>
        <w:adjustRightInd/>
        <w:snapToGrid/>
        <w:spacing w:line="0" w:lineRule="atLeast"/>
        <w:ind w:firstLine="422" w:firstLineChars="200"/>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2、直接控股关系，</w:t>
      </w:r>
      <w:r>
        <w:rPr>
          <w:rFonts w:hint="eastAsia" w:ascii="仿宋" w:hAnsi="仿宋" w:eastAsia="仿宋" w:cs="仿宋"/>
          <w:b/>
          <w:color w:val="auto"/>
          <w:sz w:val="21"/>
          <w:szCs w:val="21"/>
          <w:highlight w:val="none"/>
          <w:shd w:val="clear" w:color="auto" w:fill="FFFFFF"/>
        </w:rPr>
        <w:t>是指单位或个人股东的直接控股关系；控股股东，是指其出资额占有限责任公司资本总额</w:t>
      </w:r>
      <w:r>
        <w:rPr>
          <w:rFonts w:hint="eastAsia" w:ascii="仿宋" w:hAnsi="仿宋" w:eastAsia="仿宋" w:cs="仿宋"/>
          <w:b/>
          <w:color w:val="auto"/>
          <w:sz w:val="21"/>
          <w:szCs w:val="21"/>
          <w:highlight w:val="none"/>
          <w:shd w:val="clear" w:color="auto" w:fill="FFFFFF"/>
          <w:lang w:eastAsia="zh-CN"/>
        </w:rPr>
        <w:t>50%</w:t>
      </w:r>
      <w:r>
        <w:rPr>
          <w:rFonts w:hint="eastAsia" w:ascii="仿宋" w:hAnsi="仿宋" w:eastAsia="仿宋" w:cs="仿宋"/>
          <w:b/>
          <w:color w:val="auto"/>
          <w:sz w:val="21"/>
          <w:szCs w:val="21"/>
          <w:highlight w:val="none"/>
          <w:shd w:val="clear" w:color="auto" w:fill="FFFFFF"/>
        </w:rPr>
        <w:t>以上或者其持有的股份占股份有限公司股本总额</w:t>
      </w:r>
      <w:r>
        <w:rPr>
          <w:rFonts w:hint="eastAsia" w:ascii="仿宋" w:hAnsi="仿宋" w:eastAsia="仿宋" w:cs="仿宋"/>
          <w:b/>
          <w:color w:val="auto"/>
          <w:sz w:val="21"/>
          <w:szCs w:val="21"/>
          <w:highlight w:val="none"/>
          <w:shd w:val="clear" w:color="auto" w:fill="FFFFFF"/>
          <w:lang w:eastAsia="zh-CN"/>
        </w:rPr>
        <w:t>50%</w:t>
      </w:r>
      <w:r>
        <w:rPr>
          <w:rFonts w:hint="eastAsia" w:ascii="仿宋" w:hAnsi="仿宋" w:eastAsia="仿宋" w:cs="仿宋"/>
          <w:b/>
          <w:color w:val="auto"/>
          <w:sz w:val="21"/>
          <w:szCs w:val="21"/>
          <w:highlight w:val="none"/>
          <w:shd w:val="clear" w:color="auto" w:fill="FFFFFF"/>
        </w:rPr>
        <w:t>以上的股东；出资额或者持有股份的比例虽然不足</w:t>
      </w:r>
      <w:r>
        <w:rPr>
          <w:rFonts w:hint="eastAsia" w:ascii="仿宋" w:hAnsi="仿宋" w:eastAsia="仿宋" w:cs="仿宋"/>
          <w:b/>
          <w:color w:val="auto"/>
          <w:sz w:val="21"/>
          <w:szCs w:val="21"/>
          <w:highlight w:val="none"/>
          <w:shd w:val="clear" w:color="auto" w:fill="FFFFFF"/>
          <w:lang w:eastAsia="zh-CN"/>
        </w:rPr>
        <w:t>50%</w:t>
      </w:r>
      <w:r>
        <w:rPr>
          <w:rFonts w:hint="eastAsia" w:ascii="仿宋" w:hAnsi="仿宋" w:eastAsia="仿宋" w:cs="仿宋"/>
          <w:b/>
          <w:color w:val="auto"/>
          <w:sz w:val="21"/>
          <w:szCs w:val="21"/>
          <w:highlight w:val="none"/>
          <w:shd w:val="clear" w:color="auto" w:fill="FFFFFF"/>
        </w:rPr>
        <w:t>，但依其出资额或者持有的股份所享有的表决权已足以对股东会、股东大会的决议产生重大影响的股东</w:t>
      </w:r>
      <w:r>
        <w:rPr>
          <w:rFonts w:hint="eastAsia" w:ascii="仿宋" w:hAnsi="仿宋" w:eastAsia="仿宋" w:cs="仿宋"/>
          <w:b/>
          <w:color w:val="auto"/>
          <w:sz w:val="21"/>
          <w:szCs w:val="21"/>
          <w:highlight w:val="none"/>
        </w:rPr>
        <w:t>。</w:t>
      </w:r>
    </w:p>
    <w:p w14:paraId="17010025">
      <w:pPr>
        <w:keepNext w:val="0"/>
        <w:keepLines w:val="0"/>
        <w:pageBreakBefore w:val="0"/>
        <w:widowControl w:val="0"/>
        <w:kinsoku/>
        <w:wordWrap w:val="0"/>
        <w:overflowPunct/>
        <w:topLinePunct/>
        <w:autoSpaceDE/>
        <w:autoSpaceDN/>
        <w:bidi w:val="0"/>
        <w:adjustRightInd/>
        <w:snapToGrid/>
        <w:spacing w:line="0" w:lineRule="atLeast"/>
        <w:ind w:firstLine="422" w:firstLineChars="200"/>
        <w:jc w:val="left"/>
        <w:textAlignment w:val="auto"/>
        <w:rPr>
          <w:rFonts w:hint="eastAsia" w:ascii="仿宋" w:hAnsi="仿宋" w:eastAsia="仿宋" w:cs="仿宋"/>
          <w:color w:val="auto"/>
          <w:sz w:val="24"/>
          <w:highlight w:val="none"/>
        </w:rPr>
        <w:sectPr>
          <w:pgSz w:w="11906" w:h="16838"/>
          <w:pgMar w:top="1134" w:right="1134" w:bottom="1134" w:left="1134" w:header="851" w:footer="992"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b/>
          <w:color w:val="auto"/>
          <w:sz w:val="21"/>
          <w:szCs w:val="21"/>
          <w:highlight w:val="none"/>
        </w:rPr>
        <w:t>3、直接管理关系，是指不具有出资持股关系的其他单位之间存在的直接管理与被管理关系，如上下级关系的事业单位和团体组织。</w:t>
      </w:r>
    </w:p>
    <w:p w14:paraId="1FAB7A17">
      <w:pPr>
        <w:pStyle w:val="3"/>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jc w:val="center"/>
        <w:textAlignment w:val="auto"/>
        <w:rPr>
          <w:rFonts w:hint="eastAsia" w:ascii="仿宋" w:hAnsi="仿宋" w:eastAsia="仿宋" w:cs="仿宋"/>
          <w:color w:val="auto"/>
          <w:sz w:val="40"/>
          <w:szCs w:val="24"/>
          <w:highlight w:val="none"/>
        </w:rPr>
      </w:pPr>
      <w:bookmarkStart w:id="1855" w:name="_Toc27505"/>
      <w:bookmarkStart w:id="1856" w:name="_Toc29636"/>
      <w:bookmarkStart w:id="1857" w:name="_Toc14317"/>
      <w:bookmarkStart w:id="1858" w:name="_Toc23453"/>
      <w:r>
        <w:rPr>
          <w:rFonts w:hint="eastAsia" w:ascii="仿宋" w:hAnsi="仿宋" w:eastAsia="仿宋" w:cs="仿宋"/>
          <w:color w:val="auto"/>
          <w:sz w:val="28"/>
          <w:szCs w:val="28"/>
          <w:highlight w:val="none"/>
          <w:lang w:val="en-US" w:eastAsia="zh-CN"/>
        </w:rPr>
        <w:t>七、</w:t>
      </w:r>
      <w:r>
        <w:rPr>
          <w:rFonts w:hint="eastAsia" w:ascii="仿宋" w:hAnsi="仿宋" w:eastAsia="仿宋" w:cs="仿宋"/>
          <w:color w:val="auto"/>
          <w:sz w:val="28"/>
          <w:szCs w:val="28"/>
          <w:highlight w:val="none"/>
        </w:rPr>
        <w:t>无串通投标行为的承诺函</w:t>
      </w:r>
      <w:bookmarkEnd w:id="1828"/>
      <w:bookmarkEnd w:id="1829"/>
      <w:bookmarkEnd w:id="1830"/>
      <w:bookmarkEnd w:id="1831"/>
      <w:r>
        <w:rPr>
          <w:rFonts w:hint="eastAsia" w:ascii="仿宋" w:hAnsi="仿宋" w:eastAsia="仿宋" w:cs="仿宋"/>
          <w:color w:val="auto"/>
          <w:sz w:val="28"/>
          <w:szCs w:val="28"/>
          <w:highlight w:val="none"/>
          <w:lang w:val="en-US" w:eastAsia="zh-CN"/>
        </w:rPr>
        <w:t>（实质性格式）</w:t>
      </w:r>
      <w:bookmarkEnd w:id="1855"/>
      <w:bookmarkEnd w:id="1856"/>
      <w:bookmarkEnd w:id="1857"/>
      <w:bookmarkEnd w:id="1858"/>
      <w:r>
        <w:rPr>
          <w:rFonts w:hint="eastAsia" w:ascii="仿宋" w:hAnsi="仿宋" w:eastAsia="仿宋" w:cs="仿宋"/>
          <w:color w:val="auto"/>
          <w:sz w:val="28"/>
          <w:szCs w:val="28"/>
          <w:highlight w:val="none"/>
          <w:lang w:val="en-US" w:eastAsia="zh-CN"/>
        </w:rPr>
        <w:t xml:space="preserve"> </w:t>
      </w:r>
    </w:p>
    <w:p w14:paraId="5C4B7EDC">
      <w:pPr>
        <w:keepNext w:val="0"/>
        <w:keepLines w:val="0"/>
        <w:pageBreakBefore w:val="0"/>
        <w:widowControl w:val="0"/>
        <w:kinsoku/>
        <w:wordWrap w:val="0"/>
        <w:overflowPunct/>
        <w:topLinePunct/>
        <w:autoSpaceDE/>
        <w:autoSpaceDN/>
        <w:bidi w:val="0"/>
        <w:adjustRightInd/>
        <w:snapToGrid/>
        <w:spacing w:line="360" w:lineRule="auto"/>
        <w:ind w:left="0" w:firstLine="482" w:firstLineChars="200"/>
        <w:jc w:val="left"/>
        <w:textAlignment w:val="auto"/>
        <w:rPr>
          <w:rFonts w:hint="eastAsia" w:ascii="仿宋" w:hAnsi="仿宋" w:eastAsia="仿宋" w:cs="仿宋"/>
          <w:b/>
          <w:color w:val="auto"/>
          <w:kern w:val="0"/>
          <w:sz w:val="24"/>
          <w:highlight w:val="none"/>
        </w:rPr>
      </w:pPr>
      <w:r>
        <w:rPr>
          <w:rFonts w:hint="eastAsia" w:ascii="仿宋" w:hAnsi="仿宋" w:eastAsia="仿宋" w:cs="仿宋"/>
          <w:b/>
          <w:color w:val="auto"/>
          <w:kern w:val="0"/>
          <w:sz w:val="24"/>
          <w:highlight w:val="none"/>
        </w:rPr>
        <w:t>一、有下列情形之一的，属于恶意串通投标：</w:t>
      </w:r>
    </w:p>
    <w:p w14:paraId="1440F62A">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（一）</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直接或者间接从采购人或者采购代理机构处获得其他</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的相关情况并修改其投标文件或者响应文件；</w:t>
      </w:r>
    </w:p>
    <w:p w14:paraId="4A608711">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（二）</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按照采购人或者采购代理机构的授意撤换、修改投标文件或者响应文件；</w:t>
      </w:r>
    </w:p>
    <w:p w14:paraId="286D71B7">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（三）</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之间协商报价、技术方案等投标文件或者响应文件的实质性内容；</w:t>
      </w:r>
    </w:p>
    <w:p w14:paraId="370F7C66">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（四）属于同一集团、协会、商会等组织成员的</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按照该组织要求协同参加政府采购活动；</w:t>
      </w:r>
    </w:p>
    <w:p w14:paraId="3EFDE79C">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outlineLvl w:val="2"/>
        <w:rPr>
          <w:rFonts w:hint="eastAsia" w:ascii="仿宋" w:hAnsi="仿宋" w:eastAsia="仿宋" w:cs="仿宋"/>
          <w:color w:val="auto"/>
          <w:kern w:val="0"/>
          <w:sz w:val="24"/>
          <w:highlight w:val="none"/>
        </w:rPr>
      </w:pPr>
      <w:bookmarkStart w:id="1859" w:name="_Toc17897"/>
      <w:bookmarkStart w:id="1860" w:name="_Toc19340"/>
      <w:r>
        <w:rPr>
          <w:rFonts w:hint="eastAsia" w:ascii="仿宋" w:hAnsi="仿宋" w:eastAsia="仿宋" w:cs="仿宋"/>
          <w:color w:val="auto"/>
          <w:kern w:val="0"/>
          <w:sz w:val="24"/>
          <w:highlight w:val="none"/>
        </w:rPr>
        <w:t>（五）</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之间事先约定由某一特定</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中标、成交；</w:t>
      </w:r>
      <w:bookmarkEnd w:id="1859"/>
      <w:bookmarkEnd w:id="1860"/>
    </w:p>
    <w:p w14:paraId="24EB5330">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（六）</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之间商定部分</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放弃参加政府采购活动或者放弃中标、成交；</w:t>
      </w:r>
    </w:p>
    <w:p w14:paraId="08E0E7F5">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（七）</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与采购人或者采购代理机构之间、</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相互之间，为谋求特定</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中标、成交或者排斥其他</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的其他串通行为。</w:t>
      </w:r>
    </w:p>
    <w:p w14:paraId="2DA0029B">
      <w:pPr>
        <w:keepNext w:val="0"/>
        <w:keepLines w:val="0"/>
        <w:pageBreakBefore w:val="0"/>
        <w:widowControl w:val="0"/>
        <w:kinsoku/>
        <w:wordWrap w:val="0"/>
        <w:overflowPunct/>
        <w:topLinePunct/>
        <w:autoSpaceDE/>
        <w:autoSpaceDN/>
        <w:bidi w:val="0"/>
        <w:adjustRightInd/>
        <w:snapToGrid/>
        <w:spacing w:line="360" w:lineRule="auto"/>
        <w:ind w:left="0" w:firstLine="482" w:firstLineChars="200"/>
        <w:jc w:val="left"/>
        <w:textAlignment w:val="auto"/>
        <w:outlineLvl w:val="1"/>
        <w:rPr>
          <w:rFonts w:hint="eastAsia" w:ascii="仿宋" w:hAnsi="仿宋" w:eastAsia="仿宋" w:cs="仿宋"/>
          <w:color w:val="auto"/>
          <w:kern w:val="0"/>
          <w:sz w:val="24"/>
          <w:highlight w:val="none"/>
        </w:rPr>
      </w:pPr>
      <w:bookmarkStart w:id="1861" w:name="_Toc24099"/>
      <w:bookmarkStart w:id="1862" w:name="_Toc23990"/>
      <w:r>
        <w:rPr>
          <w:rFonts w:hint="eastAsia" w:ascii="仿宋" w:hAnsi="仿宋" w:eastAsia="仿宋" w:cs="仿宋"/>
          <w:b/>
          <w:color w:val="auto"/>
          <w:kern w:val="0"/>
          <w:sz w:val="24"/>
          <w:highlight w:val="none"/>
        </w:rPr>
        <w:t>二、有下列情形之一的，视为</w:t>
      </w:r>
      <w:r>
        <w:rPr>
          <w:rFonts w:hint="eastAsia" w:ascii="仿宋" w:hAnsi="仿宋" w:eastAsia="仿宋" w:cs="仿宋"/>
          <w:b/>
          <w:color w:val="auto"/>
          <w:kern w:val="0"/>
          <w:sz w:val="24"/>
          <w:highlight w:val="none"/>
          <w:lang w:eastAsia="zh-CN"/>
        </w:rPr>
        <w:t>投标人</w:t>
      </w:r>
      <w:r>
        <w:rPr>
          <w:rFonts w:hint="eastAsia" w:ascii="仿宋" w:hAnsi="仿宋" w:eastAsia="仿宋" w:cs="仿宋"/>
          <w:b/>
          <w:color w:val="auto"/>
          <w:kern w:val="0"/>
          <w:sz w:val="24"/>
          <w:highlight w:val="none"/>
        </w:rPr>
        <w:t>串通投标，其投标无效：</w:t>
      </w:r>
      <w:bookmarkEnd w:id="1861"/>
      <w:bookmarkEnd w:id="1862"/>
    </w:p>
    <w:p w14:paraId="32BA9849">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（一）不同</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的投标文件由同一单位或者个人编制；</w:t>
      </w:r>
    </w:p>
    <w:p w14:paraId="21E88672">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（二）不同</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委托同一单位或者个人办理投标事宜；</w:t>
      </w:r>
    </w:p>
    <w:p w14:paraId="76EF7096">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（三）不同</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的投标文件载明的项目管理成员或者联系人员为同一人；</w:t>
      </w:r>
    </w:p>
    <w:p w14:paraId="65448E59">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（四）不同</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的投标文件异常一致或者投标报价呈规律性差异；</w:t>
      </w:r>
    </w:p>
    <w:p w14:paraId="6CE7259A">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（五）不同</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的投标文件相互混装；</w:t>
      </w:r>
    </w:p>
    <w:p w14:paraId="20EAD36F">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（六）不同</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的投标保证金从同一单位或者个人的账户转出。</w:t>
      </w:r>
    </w:p>
    <w:p w14:paraId="4B5528B2">
      <w:pPr>
        <w:keepNext w:val="0"/>
        <w:keepLines w:val="0"/>
        <w:pageBreakBefore w:val="0"/>
        <w:widowControl w:val="0"/>
        <w:kinsoku/>
        <w:wordWrap w:val="0"/>
        <w:overflowPunct/>
        <w:topLinePunct/>
        <w:autoSpaceDE/>
        <w:autoSpaceDN/>
        <w:bidi w:val="0"/>
        <w:adjustRightInd/>
        <w:snapToGrid/>
        <w:spacing w:line="360" w:lineRule="auto"/>
        <w:ind w:left="0" w:firstLine="482" w:firstLineChars="200"/>
        <w:jc w:val="left"/>
        <w:textAlignment w:val="auto"/>
        <w:rPr>
          <w:rFonts w:hint="eastAsia" w:ascii="仿宋" w:hAnsi="仿宋" w:eastAsia="仿宋" w:cs="仿宋"/>
          <w:b/>
          <w:color w:val="auto"/>
          <w:kern w:val="0"/>
          <w:sz w:val="24"/>
          <w:highlight w:val="none"/>
        </w:rPr>
      </w:pPr>
      <w:r>
        <w:rPr>
          <w:rFonts w:hint="eastAsia" w:ascii="仿宋" w:hAnsi="仿宋" w:eastAsia="仿宋" w:cs="仿宋"/>
          <w:b/>
          <w:color w:val="auto"/>
          <w:kern w:val="0"/>
          <w:sz w:val="24"/>
          <w:highlight w:val="none"/>
        </w:rPr>
        <w:t>请</w:t>
      </w:r>
      <w:r>
        <w:rPr>
          <w:rFonts w:hint="eastAsia" w:ascii="仿宋" w:hAnsi="仿宋" w:eastAsia="仿宋" w:cs="仿宋"/>
          <w:b/>
          <w:color w:val="auto"/>
          <w:kern w:val="0"/>
          <w:sz w:val="24"/>
          <w:highlight w:val="none"/>
          <w:lang w:eastAsia="zh-CN"/>
        </w:rPr>
        <w:t>投标人</w:t>
      </w:r>
      <w:r>
        <w:rPr>
          <w:rFonts w:hint="eastAsia" w:ascii="仿宋" w:hAnsi="仿宋" w:eastAsia="仿宋" w:cs="仿宋"/>
          <w:b/>
          <w:color w:val="auto"/>
          <w:kern w:val="0"/>
          <w:sz w:val="24"/>
          <w:highlight w:val="none"/>
        </w:rPr>
        <w:t>出具是否存在上述情形的承诺函（内容自拟），如出现上述情形的，将向财政部门报告，依照政府采购法第七十七条第一款的规定追究法律责任。</w:t>
      </w:r>
    </w:p>
    <w:p w14:paraId="52F1E52C">
      <w:pPr>
        <w:keepNext w:val="0"/>
        <w:keepLines w:val="0"/>
        <w:pageBreakBefore w:val="0"/>
        <w:widowControl w:val="0"/>
        <w:kinsoku/>
        <w:wordWrap w:val="0"/>
        <w:overflowPunct/>
        <w:topLinePunct/>
        <w:autoSpaceDE/>
        <w:autoSpaceDN/>
        <w:bidi w:val="0"/>
        <w:adjustRightInd/>
        <w:snapToGrid/>
        <w:spacing w:line="360" w:lineRule="auto"/>
        <w:ind w:left="0" w:firstLine="482" w:firstLineChars="200"/>
        <w:jc w:val="left"/>
        <w:textAlignment w:val="auto"/>
        <w:rPr>
          <w:rFonts w:hint="eastAsia" w:ascii="仿宋" w:hAnsi="仿宋" w:eastAsia="仿宋" w:cs="仿宋"/>
          <w:b/>
          <w:color w:val="auto"/>
          <w:kern w:val="0"/>
          <w:sz w:val="24"/>
          <w:highlight w:val="none"/>
        </w:rPr>
      </w:pPr>
    </w:p>
    <w:p w14:paraId="4F5CB99C">
      <w:pPr>
        <w:wordWrap w:val="0"/>
        <w:overflowPunct w:val="0"/>
        <w:topLinePunct/>
        <w:spacing w:line="360" w:lineRule="auto"/>
        <w:jc w:val="left"/>
        <w:rPr>
          <w:rFonts w:hint="eastAsia" w:ascii="仿宋" w:hAnsi="仿宋" w:eastAsia="仿宋" w:cs="仿宋"/>
          <w:color w:val="auto"/>
          <w:sz w:val="24"/>
          <w:highlight w:val="none"/>
          <w:lang w:eastAsia="zh-CN"/>
        </w:rPr>
      </w:pPr>
    </w:p>
    <w:p w14:paraId="1EC9FBBE">
      <w:pPr>
        <w:wordWrap w:val="0"/>
        <w:overflowPunct w:val="0"/>
        <w:topLinePunct/>
        <w:spacing w:line="360" w:lineRule="auto"/>
        <w:jc w:val="left"/>
        <w:rPr>
          <w:rFonts w:hint="eastAsia" w:ascii="仿宋" w:hAnsi="仿宋" w:eastAsia="仿宋" w:cs="仿宋"/>
          <w:color w:val="auto"/>
          <w:sz w:val="24"/>
          <w:highlight w:val="none"/>
          <w:lang w:eastAsia="zh-CN"/>
        </w:rPr>
      </w:pPr>
    </w:p>
    <w:p w14:paraId="63F0CAAD">
      <w:pPr>
        <w:wordWrap w:val="0"/>
        <w:overflowPunct w:val="0"/>
        <w:topLinePunct/>
        <w:spacing w:line="360" w:lineRule="auto"/>
        <w:jc w:val="left"/>
        <w:rPr>
          <w:rFonts w:hint="eastAsia" w:ascii="仿宋" w:hAnsi="仿宋" w:eastAsia="仿宋" w:cs="仿宋"/>
          <w:color w:val="auto"/>
          <w:sz w:val="24"/>
          <w:highlight w:val="none"/>
          <w:lang w:eastAsia="zh-CN"/>
        </w:rPr>
      </w:pPr>
    </w:p>
    <w:p w14:paraId="391132E6">
      <w:pPr>
        <w:wordWrap w:val="0"/>
        <w:overflowPunct w:val="0"/>
        <w:topLinePunct/>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加盖电子公章）</w:t>
      </w:r>
    </w:p>
    <w:p w14:paraId="237AC932">
      <w:pPr>
        <w:wordWrap w:val="0"/>
        <w:overflowPunct w:val="0"/>
        <w:topLinePunct/>
        <w:spacing w:line="360" w:lineRule="auto"/>
        <w:jc w:val="left"/>
        <w:outlineLvl w:val="2"/>
        <w:rPr>
          <w:rFonts w:hint="eastAsia" w:ascii="仿宋" w:hAnsi="仿宋" w:eastAsia="仿宋" w:cs="仿宋"/>
          <w:color w:val="auto"/>
          <w:sz w:val="24"/>
          <w:highlight w:val="none"/>
          <w:u w:val="single"/>
        </w:rPr>
      </w:pPr>
      <w:bookmarkStart w:id="1863" w:name="_Toc19032"/>
      <w:bookmarkStart w:id="1864" w:name="_Toc9486"/>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bookmarkEnd w:id="1863"/>
      <w:bookmarkEnd w:id="1864"/>
    </w:p>
    <w:p w14:paraId="63109690">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color w:val="auto"/>
          <w:kern w:val="0"/>
          <w:sz w:val="24"/>
          <w:highlight w:val="none"/>
          <w:lang w:val="en-US" w:eastAsia="zh-CN"/>
        </w:rPr>
        <w:sectPr>
          <w:pgSz w:w="11906" w:h="16838"/>
          <w:pgMar w:top="1134" w:right="1134" w:bottom="1134" w:left="1134" w:header="709" w:footer="907" w:gutter="0"/>
          <w:pgBorders>
            <w:top w:val="none" w:sz="0" w:space="0"/>
            <w:left w:val="none" w:sz="0" w:space="0"/>
            <w:bottom w:val="none" w:sz="0" w:space="0"/>
            <w:right w:val="none" w:sz="0" w:space="0"/>
          </w:pgBorders>
          <w:pgNumType w:fmt="decimal"/>
          <w:cols w:space="720" w:num="1"/>
          <w:titlePg/>
          <w:rtlGutter w:val="0"/>
          <w:docGrid w:linePitch="299" w:charSpace="0"/>
        </w:sect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297019F4">
      <w:pPr>
        <w:pStyle w:val="4"/>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outlineLvl w:val="1"/>
        <w:rPr>
          <w:rFonts w:hint="eastAsia" w:ascii="仿宋" w:hAnsi="仿宋" w:eastAsia="仿宋" w:cs="仿宋"/>
          <w:color w:val="auto"/>
          <w:sz w:val="22"/>
          <w:szCs w:val="22"/>
          <w:highlight w:val="none"/>
          <w:u w:val="none"/>
          <w:lang w:eastAsia="zh-CN"/>
        </w:rPr>
      </w:pPr>
      <w:bookmarkStart w:id="1865" w:name="_Toc9147"/>
      <w:r>
        <w:rPr>
          <w:rFonts w:hint="eastAsia" w:ascii="仿宋" w:hAnsi="仿宋" w:eastAsia="仿宋" w:cs="仿宋"/>
          <w:b/>
          <w:bCs/>
          <w:color w:val="auto"/>
          <w:sz w:val="28"/>
          <w:szCs w:val="28"/>
          <w:highlight w:val="none"/>
          <w:lang w:val="en-US" w:eastAsia="zh-CN"/>
        </w:rPr>
        <w:t>八</w:t>
      </w:r>
      <w:bookmarkEnd w:id="1832"/>
      <w:bookmarkEnd w:id="1833"/>
      <w:bookmarkEnd w:id="1834"/>
      <w:bookmarkEnd w:id="1835"/>
      <w:bookmarkEnd w:id="1836"/>
      <w:bookmarkEnd w:id="1837"/>
      <w:bookmarkEnd w:id="1838"/>
      <w:bookmarkEnd w:id="1839"/>
      <w:bookmarkEnd w:id="1840"/>
      <w:bookmarkEnd w:id="1841"/>
      <w:bookmarkEnd w:id="1842"/>
      <w:bookmarkEnd w:id="1843"/>
      <w:bookmarkEnd w:id="1865"/>
      <w:bookmarkStart w:id="1866" w:name="_Toc19034"/>
      <w:bookmarkStart w:id="1867" w:name="_Toc14821"/>
      <w:bookmarkStart w:id="1868" w:name="_Toc31177"/>
      <w:bookmarkStart w:id="1869" w:name="_Toc5174"/>
      <w:bookmarkStart w:id="1870" w:name="_Toc21967"/>
      <w:bookmarkStart w:id="1871" w:name="_Toc30334"/>
      <w:r>
        <w:rPr>
          <w:rFonts w:hint="eastAsia" w:ascii="仿宋" w:hAnsi="仿宋" w:eastAsia="仿宋" w:cs="仿宋"/>
          <w:color w:val="auto"/>
          <w:sz w:val="28"/>
          <w:szCs w:val="28"/>
          <w:highlight w:val="none"/>
          <w:lang w:eastAsia="zh-CN"/>
        </w:rPr>
        <w:t>、</w:t>
      </w:r>
      <w:bookmarkStart w:id="1872" w:name="_Toc8006"/>
      <w:bookmarkStart w:id="1873" w:name="_Toc89951843"/>
      <w:r>
        <w:rPr>
          <w:rFonts w:hint="eastAsia" w:ascii="仿宋" w:hAnsi="仿宋" w:eastAsia="仿宋" w:cs="仿宋"/>
          <w:color w:val="auto"/>
          <w:sz w:val="28"/>
          <w:szCs w:val="28"/>
          <w:highlight w:val="none"/>
          <w:lang w:eastAsia="zh-CN"/>
        </w:rPr>
        <w:t>投标保证金</w:t>
      </w:r>
      <w:bookmarkEnd w:id="1872"/>
      <w:bookmarkEnd w:id="1873"/>
      <w:r>
        <w:rPr>
          <w:rFonts w:hint="eastAsia" w:ascii="仿宋" w:hAnsi="仿宋" w:eastAsia="仿宋" w:cs="仿宋"/>
          <w:b/>
          <w:bCs/>
          <w:color w:val="auto"/>
          <w:spacing w:val="-1"/>
          <w:sz w:val="28"/>
          <w:szCs w:val="28"/>
          <w:highlight w:val="none"/>
        </w:rPr>
        <w:t>缴</w:t>
      </w:r>
      <w:r>
        <w:rPr>
          <w:rFonts w:hint="eastAsia" w:ascii="仿宋" w:hAnsi="仿宋" w:eastAsia="仿宋" w:cs="仿宋"/>
          <w:b/>
          <w:bCs/>
          <w:color w:val="auto"/>
          <w:sz w:val="28"/>
          <w:szCs w:val="28"/>
          <w:highlight w:val="none"/>
        </w:rPr>
        <w:t>纳证明</w:t>
      </w:r>
      <w:bookmarkEnd w:id="1866"/>
      <w:bookmarkEnd w:id="1867"/>
      <w:r>
        <w:rPr>
          <w:rFonts w:hint="eastAsia" w:ascii="仿宋" w:hAnsi="仿宋" w:eastAsia="仿宋" w:cs="仿宋"/>
          <w:b/>
          <w:bCs/>
          <w:color w:val="auto"/>
          <w:sz w:val="28"/>
          <w:szCs w:val="28"/>
          <w:highlight w:val="none"/>
          <w:lang w:val="en-US" w:eastAsia="zh-CN"/>
        </w:rPr>
        <w:t>（实质性格式）</w:t>
      </w:r>
      <w:bookmarkEnd w:id="1868"/>
      <w:bookmarkEnd w:id="1869"/>
      <w:bookmarkEnd w:id="1870"/>
      <w:bookmarkEnd w:id="1871"/>
    </w:p>
    <w:p w14:paraId="0FC7AE52">
      <w:pPr>
        <w:keepNext w:val="0"/>
        <w:keepLines w:val="0"/>
        <w:pageBreakBefore w:val="0"/>
        <w:widowControl w:val="0"/>
        <w:kinsoku/>
        <w:wordWrap w:val="0"/>
        <w:overflowPunct/>
        <w:topLinePunct/>
        <w:autoSpaceDE/>
        <w:autoSpaceDN/>
        <w:bidi w:val="0"/>
        <w:adjustRightInd/>
        <w:snapToGrid/>
        <w:spacing w:line="360" w:lineRule="auto"/>
        <w:ind w:left="0" w:leftChars="0" w:right="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none"/>
          <w:lang w:val="en-US" w:eastAsia="zh-CN"/>
        </w:rPr>
        <w:t>云南咏名工程管理咨询有限公司</w:t>
      </w:r>
      <w:r>
        <w:rPr>
          <w:rFonts w:hint="eastAsia" w:ascii="仿宋" w:hAnsi="仿宋" w:eastAsia="仿宋" w:cs="仿宋"/>
          <w:color w:val="auto"/>
          <w:sz w:val="24"/>
          <w:szCs w:val="24"/>
          <w:highlight w:val="none"/>
          <w:u w:val="none"/>
        </w:rPr>
        <w:t>：</w:t>
      </w:r>
    </w:p>
    <w:p w14:paraId="41FF582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投标人）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参加贵单位组织的（</w:t>
      </w:r>
      <w:r>
        <w:rPr>
          <w:rFonts w:hint="eastAsia" w:ascii="仿宋" w:hAnsi="仿宋" w:eastAsia="仿宋" w:cs="仿宋"/>
          <w:color w:val="auto"/>
          <w:sz w:val="24"/>
          <w:szCs w:val="24"/>
          <w:highlight w:val="none"/>
          <w:lang w:eastAsia="zh-CN"/>
        </w:rPr>
        <w:t>项目</w:t>
      </w: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w:t>
      </w:r>
      <w:r>
        <w:rPr>
          <w:rFonts w:hint="eastAsia" w:ascii="仿宋" w:hAnsi="仿宋" w:eastAsia="仿宋" w:cs="仿宋"/>
          <w:color w:val="auto"/>
          <w:sz w:val="24"/>
          <w:szCs w:val="24"/>
          <w:highlight w:val="none"/>
          <w:lang w:val="zh-CN"/>
        </w:rPr>
        <w:t>项目编号</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highlight w:val="none"/>
          <w:u w:val="single"/>
          <w:lang w:val="en-US" w:eastAsia="zh-CN"/>
        </w:rPr>
        <w:t>公开招标</w:t>
      </w:r>
      <w:r>
        <w:rPr>
          <w:rFonts w:hint="eastAsia" w:ascii="仿宋" w:hAnsi="仿宋" w:eastAsia="仿宋" w:cs="仿宋"/>
          <w:color w:val="auto"/>
          <w:sz w:val="24"/>
          <w:highlight w:val="none"/>
          <w:lang w:val="en-US" w:eastAsia="zh-CN"/>
        </w:rPr>
        <w:t>采购活动</w:t>
      </w:r>
      <w:r>
        <w:rPr>
          <w:rFonts w:hint="eastAsia" w:ascii="仿宋" w:hAnsi="仿宋" w:eastAsia="仿宋" w:cs="仿宋"/>
          <w:color w:val="auto"/>
          <w:sz w:val="24"/>
          <w:szCs w:val="24"/>
          <w:highlight w:val="none"/>
        </w:rPr>
        <w:t>。按</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文件的规定，已通过（转</w:t>
      </w:r>
      <w:r>
        <w:rPr>
          <w:rFonts w:hint="eastAsia" w:ascii="仿宋" w:hAnsi="仿宋" w:eastAsia="仿宋" w:cs="仿宋"/>
          <w:color w:val="auto"/>
          <w:sz w:val="24"/>
          <w:szCs w:val="24"/>
          <w:highlight w:val="none"/>
          <w:lang w:eastAsia="zh-CN"/>
        </w:rPr>
        <w:t>账</w:t>
      </w:r>
      <w:r>
        <w:rPr>
          <w:rFonts w:hint="eastAsia" w:ascii="仿宋" w:hAnsi="仿宋" w:eastAsia="仿宋" w:cs="仿宋"/>
          <w:color w:val="auto"/>
          <w:sz w:val="24"/>
          <w:szCs w:val="24"/>
          <w:highlight w:val="none"/>
        </w:rPr>
        <w:t>、银行汇款、支票、银行汇票等）</w:t>
      </w:r>
      <w:r>
        <w:rPr>
          <w:rFonts w:hint="eastAsia" w:ascii="仿宋" w:hAnsi="仿宋" w:eastAsia="仿宋" w:cs="仿宋"/>
          <w:color w:val="auto"/>
          <w:sz w:val="24"/>
          <w:szCs w:val="24"/>
          <w:highlight w:val="none"/>
          <w:lang w:eastAsia="zh-CN"/>
        </w:rPr>
        <w:t>非现金</w:t>
      </w:r>
      <w:r>
        <w:rPr>
          <w:rFonts w:hint="eastAsia" w:ascii="仿宋" w:hAnsi="仿宋" w:eastAsia="仿宋" w:cs="仿宋"/>
          <w:color w:val="auto"/>
          <w:sz w:val="24"/>
          <w:szCs w:val="24"/>
          <w:highlight w:val="none"/>
        </w:rPr>
        <w:t>形式</w:t>
      </w:r>
      <w:r>
        <w:rPr>
          <w:rFonts w:hint="eastAsia" w:ascii="仿宋" w:hAnsi="仿宋" w:eastAsia="仿宋" w:cs="仿宋"/>
          <w:color w:val="auto"/>
          <w:sz w:val="24"/>
          <w:szCs w:val="24"/>
          <w:highlight w:val="none"/>
          <w:lang w:eastAsia="zh-CN"/>
        </w:rPr>
        <w:t>缴纳</w:t>
      </w:r>
      <w:r>
        <w:rPr>
          <w:rFonts w:hint="eastAsia" w:ascii="仿宋" w:hAnsi="仿宋" w:eastAsia="仿宋" w:cs="仿宋"/>
          <w:color w:val="auto"/>
          <w:sz w:val="24"/>
          <w:szCs w:val="24"/>
          <w:highlight w:val="none"/>
        </w:rPr>
        <w:t>人民币</w:t>
      </w:r>
      <w:r>
        <w:rPr>
          <w:rFonts w:hint="eastAsia" w:ascii="仿宋" w:hAnsi="仿宋" w:eastAsia="仿宋" w:cs="仿宋"/>
          <w:color w:val="auto"/>
          <w:sz w:val="24"/>
          <w:szCs w:val="24"/>
          <w:highlight w:val="none"/>
          <w:u w:val="single"/>
        </w:rPr>
        <w:t xml:space="preserve">（大写）  　　  </w:t>
      </w:r>
      <w:r>
        <w:rPr>
          <w:rFonts w:hint="eastAsia" w:ascii="仿宋" w:hAnsi="仿宋" w:eastAsia="仿宋" w:cs="仿宋"/>
          <w:color w:val="auto"/>
          <w:sz w:val="24"/>
          <w:szCs w:val="24"/>
          <w:highlight w:val="none"/>
        </w:rPr>
        <w:t>元的投标保证金。</w:t>
      </w:r>
    </w:p>
    <w:p w14:paraId="275A037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开票信息：</w:t>
      </w:r>
    </w:p>
    <w:p w14:paraId="42441BA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名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称：</w:t>
      </w:r>
      <w:r>
        <w:rPr>
          <w:rFonts w:hint="eastAsia" w:ascii="仿宋" w:hAnsi="仿宋" w:eastAsia="仿宋" w:cs="仿宋"/>
          <w:color w:val="auto"/>
          <w:sz w:val="24"/>
          <w:szCs w:val="24"/>
          <w:highlight w:val="none"/>
          <w:u w:val="single"/>
        </w:rPr>
        <w:t xml:space="preserve">                     </w:t>
      </w:r>
    </w:p>
    <w:p w14:paraId="72BC605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纳税人识别号：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6486EAA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址、电 话：</w:t>
      </w:r>
      <w:r>
        <w:rPr>
          <w:rFonts w:hint="eastAsia" w:ascii="仿宋" w:hAnsi="仿宋" w:eastAsia="仿宋" w:cs="仿宋"/>
          <w:color w:val="auto"/>
          <w:sz w:val="24"/>
          <w:szCs w:val="24"/>
          <w:highlight w:val="none"/>
          <w:u w:val="single"/>
        </w:rPr>
        <w:t xml:space="preserve">                     </w:t>
      </w:r>
    </w:p>
    <w:p w14:paraId="0A209F2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 户 银 行 ：</w:t>
      </w:r>
      <w:r>
        <w:rPr>
          <w:rFonts w:hint="eastAsia" w:ascii="仿宋" w:hAnsi="仿宋" w:eastAsia="仿宋" w:cs="仿宋"/>
          <w:color w:val="auto"/>
          <w:sz w:val="24"/>
          <w:szCs w:val="24"/>
          <w:highlight w:val="none"/>
          <w:u w:val="single"/>
        </w:rPr>
        <w:t xml:space="preserve">                     </w:t>
      </w:r>
    </w:p>
    <w:p w14:paraId="294DF91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账        号：</w:t>
      </w:r>
      <w:r>
        <w:rPr>
          <w:rFonts w:hint="eastAsia" w:ascii="仿宋" w:hAnsi="仿宋" w:eastAsia="仿宋" w:cs="仿宋"/>
          <w:color w:val="auto"/>
          <w:sz w:val="24"/>
          <w:szCs w:val="24"/>
          <w:highlight w:val="none"/>
          <w:u w:val="single"/>
        </w:rPr>
        <w:t xml:space="preserve">                     </w:t>
      </w:r>
    </w:p>
    <w:p w14:paraId="1F36F12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说明：上述要素的填写必须与银行转账或银行汇款凭证的要素一致，</w:t>
      </w:r>
      <w:r>
        <w:rPr>
          <w:rFonts w:hint="eastAsia" w:ascii="仿宋" w:hAnsi="仿宋" w:eastAsia="仿宋" w:cs="仿宋"/>
          <w:color w:val="auto"/>
          <w:sz w:val="24"/>
          <w:szCs w:val="24"/>
          <w:highlight w:val="none"/>
          <w:u w:val="none"/>
          <w:lang w:val="en-US" w:eastAsia="zh-CN"/>
        </w:rPr>
        <w:t>采购</w:t>
      </w:r>
      <w:r>
        <w:rPr>
          <w:rFonts w:hint="eastAsia" w:ascii="仿宋" w:hAnsi="仿宋" w:eastAsia="仿宋" w:cs="仿宋"/>
          <w:color w:val="auto"/>
          <w:sz w:val="24"/>
          <w:szCs w:val="24"/>
          <w:highlight w:val="none"/>
          <w:u w:val="none"/>
          <w:lang w:eastAsia="zh-CN"/>
        </w:rPr>
        <w:t>代理机构</w:t>
      </w:r>
      <w:r>
        <w:rPr>
          <w:rFonts w:hint="eastAsia" w:ascii="仿宋" w:hAnsi="仿宋" w:eastAsia="仿宋" w:cs="仿宋"/>
          <w:color w:val="auto"/>
          <w:sz w:val="24"/>
          <w:szCs w:val="24"/>
          <w:highlight w:val="none"/>
          <w:u w:val="none"/>
        </w:rPr>
        <w:t>依</w:t>
      </w:r>
      <w:r>
        <w:rPr>
          <w:rFonts w:hint="eastAsia" w:ascii="仿宋" w:hAnsi="仿宋" w:eastAsia="仿宋" w:cs="仿宋"/>
          <w:color w:val="auto"/>
          <w:sz w:val="24"/>
          <w:szCs w:val="24"/>
          <w:highlight w:val="none"/>
        </w:rPr>
        <w:t>据此凭证信息退还</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保证金。</w:t>
      </w:r>
    </w:p>
    <w:p w14:paraId="1453898F">
      <w:pPr>
        <w:keepNext w:val="0"/>
        <w:keepLines w:val="0"/>
        <w:pageBreakBefore w:val="0"/>
        <w:widowControl w:val="0"/>
        <w:kinsoku/>
        <w:wordWrap w:val="0"/>
        <w:overflowPunct/>
        <w:topLinePunct/>
        <w:autoSpaceDE/>
        <w:autoSpaceDN/>
        <w:bidi w:val="0"/>
        <w:adjustRightInd/>
        <w:snapToGrid/>
        <w:spacing w:line="360" w:lineRule="auto"/>
        <w:ind w:left="0" w:leftChars="0" w:right="0"/>
        <w:jc w:val="left"/>
        <w:textAlignment w:val="auto"/>
        <w:outlineLvl w:val="2"/>
        <w:rPr>
          <w:rFonts w:hint="eastAsia" w:ascii="仿宋" w:hAnsi="仿宋" w:eastAsia="仿宋" w:cs="仿宋"/>
          <w:b/>
          <w:bCs/>
          <w:color w:val="auto"/>
          <w:sz w:val="24"/>
          <w:szCs w:val="24"/>
          <w:highlight w:val="none"/>
        </w:rPr>
      </w:pPr>
      <w:bookmarkStart w:id="1874" w:name="_Toc2179"/>
      <w:bookmarkStart w:id="1875" w:name="_Toc29103"/>
      <w:bookmarkStart w:id="1876" w:name="_Toc24540"/>
      <w:bookmarkStart w:id="1877" w:name="_Toc11719"/>
      <w:bookmarkStart w:id="1878" w:name="_Toc30420"/>
      <w:bookmarkStart w:id="1879" w:name="_Toc9499"/>
      <w:bookmarkStart w:id="1880" w:name="_Toc9888"/>
      <w:bookmarkStart w:id="1881" w:name="_Toc23440"/>
      <w:bookmarkStart w:id="1882" w:name="_Toc25495"/>
      <w:bookmarkStart w:id="1883" w:name="_Toc31994"/>
      <w:bookmarkStart w:id="1884" w:name="_Toc18949"/>
      <w:bookmarkStart w:id="1885" w:name="_Toc12219"/>
      <w:bookmarkStart w:id="1886" w:name="_Toc26681"/>
      <w:bookmarkStart w:id="1887" w:name="_Toc5076"/>
      <w:bookmarkStart w:id="1888" w:name="_Toc20192"/>
      <w:bookmarkStart w:id="1889" w:name="_Toc8799"/>
      <w:bookmarkStart w:id="1890" w:name="_Toc24446"/>
      <w:bookmarkStart w:id="1891" w:name="_Toc29555"/>
      <w:bookmarkStart w:id="1892" w:name="_Toc20585"/>
      <w:bookmarkStart w:id="1893" w:name="_Toc1753"/>
      <w:bookmarkStart w:id="1894" w:name="_Toc19467"/>
      <w:bookmarkStart w:id="1895" w:name="_Toc26762"/>
      <w:bookmarkStart w:id="1896" w:name="_Toc30390"/>
      <w:bookmarkStart w:id="1897" w:name="_Toc4664"/>
      <w:bookmarkStart w:id="1898" w:name="_Toc8676"/>
      <w:bookmarkStart w:id="1899" w:name="_Toc7519"/>
      <w:bookmarkStart w:id="1900" w:name="_Toc25243"/>
      <w:bookmarkStart w:id="1901" w:name="_Toc8068"/>
      <w:bookmarkStart w:id="1902" w:name="_Toc27200"/>
      <w:bookmarkStart w:id="1903" w:name="_Toc4111"/>
      <w:bookmarkStart w:id="1904" w:name="_Toc5356"/>
      <w:bookmarkStart w:id="1905" w:name="_Toc21748"/>
      <w:r>
        <w:rPr>
          <w:rFonts w:hint="eastAsia" w:ascii="仿宋" w:hAnsi="仿宋" w:eastAsia="仿宋" w:cs="仿宋"/>
          <w:b/>
          <w:bCs/>
          <w:color w:val="auto"/>
          <w:sz w:val="24"/>
          <w:szCs w:val="24"/>
          <w:highlight w:val="none"/>
        </w:rPr>
        <w:t>附：</w:t>
      </w:r>
      <w:r>
        <w:rPr>
          <w:rFonts w:hint="eastAsia" w:ascii="仿宋" w:hAnsi="仿宋" w:eastAsia="仿宋" w:cs="仿宋"/>
          <w:b/>
          <w:bCs/>
          <w:color w:val="auto"/>
          <w:sz w:val="24"/>
          <w:szCs w:val="24"/>
          <w:highlight w:val="none"/>
          <w:lang w:eastAsia="zh-CN"/>
        </w:rPr>
        <w:t>投标</w:t>
      </w:r>
      <w:r>
        <w:rPr>
          <w:rFonts w:hint="eastAsia" w:ascii="仿宋" w:hAnsi="仿宋" w:eastAsia="仿宋" w:cs="仿宋"/>
          <w:b/>
          <w:bCs/>
          <w:color w:val="auto"/>
          <w:sz w:val="24"/>
          <w:szCs w:val="24"/>
          <w:highlight w:val="none"/>
        </w:rPr>
        <w:t>保证金</w:t>
      </w:r>
      <w:r>
        <w:rPr>
          <w:rFonts w:hint="eastAsia" w:ascii="仿宋" w:hAnsi="仿宋" w:eastAsia="仿宋" w:cs="仿宋"/>
          <w:b/>
          <w:bCs/>
          <w:color w:val="auto"/>
          <w:sz w:val="24"/>
          <w:szCs w:val="24"/>
          <w:highlight w:val="none"/>
          <w:lang w:val="en-US" w:eastAsia="zh-CN"/>
        </w:rPr>
        <w:t>/保函、保险等</w:t>
      </w:r>
      <w:r>
        <w:rPr>
          <w:rFonts w:hint="eastAsia" w:ascii="仿宋" w:hAnsi="仿宋" w:eastAsia="仿宋" w:cs="仿宋"/>
          <w:b/>
          <w:bCs/>
          <w:color w:val="auto"/>
          <w:sz w:val="24"/>
          <w:szCs w:val="24"/>
          <w:highlight w:val="none"/>
        </w:rPr>
        <w:t>缴纳凭证</w:t>
      </w:r>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r>
        <w:rPr>
          <w:rFonts w:hint="eastAsia" w:ascii="仿宋" w:hAnsi="仿宋" w:eastAsia="仿宋" w:cs="仿宋"/>
          <w:b/>
          <w:bCs/>
          <w:color w:val="auto"/>
          <w:sz w:val="24"/>
          <w:szCs w:val="24"/>
          <w:highlight w:val="none"/>
        </w:rPr>
        <w:t xml:space="preserve"> </w:t>
      </w:r>
    </w:p>
    <w:tbl>
      <w:tblPr>
        <w:tblStyle w:val="67"/>
        <w:tblW w:w="93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00"/>
      </w:tblGrid>
      <w:tr w14:paraId="2AACC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8" w:hRule="atLeast"/>
          <w:jc w:val="center"/>
        </w:trPr>
        <w:tc>
          <w:tcPr>
            <w:tcW w:w="9300" w:type="dxa"/>
            <w:vAlign w:val="top"/>
          </w:tcPr>
          <w:p w14:paraId="64C4FF8D">
            <w:pPr>
              <w:keepNext w:val="0"/>
              <w:keepLines w:val="0"/>
              <w:pageBreakBefore w:val="0"/>
              <w:widowControl w:val="0"/>
              <w:kinsoku/>
              <w:wordWrap w:val="0"/>
              <w:overflowPunct/>
              <w:topLinePunct/>
              <w:autoSpaceDE/>
              <w:autoSpaceDN/>
              <w:bidi w:val="0"/>
              <w:adjustRightInd/>
              <w:snapToGrid/>
              <w:spacing w:line="300" w:lineRule="auto"/>
              <w:ind w:left="0" w:leftChars="0" w:right="0"/>
              <w:jc w:val="center"/>
              <w:rPr>
                <w:rFonts w:hint="eastAsia" w:ascii="仿宋" w:hAnsi="仿宋" w:eastAsia="仿宋" w:cs="仿宋"/>
                <w:color w:val="auto"/>
                <w:szCs w:val="21"/>
                <w:highlight w:val="none"/>
              </w:rPr>
            </w:pPr>
          </w:p>
        </w:tc>
      </w:tr>
    </w:tbl>
    <w:p w14:paraId="25154302">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z w:val="24"/>
          <w:szCs w:val="24"/>
          <w:highlight w:val="none"/>
          <w:lang w:eastAsia="zh-CN"/>
        </w:rPr>
      </w:pPr>
    </w:p>
    <w:p w14:paraId="2150C80C">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z w:val="24"/>
          <w:szCs w:val="24"/>
          <w:highlight w:val="none"/>
          <w:lang w:eastAsia="zh-CN"/>
        </w:rPr>
      </w:pPr>
    </w:p>
    <w:p w14:paraId="79419635">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z w:val="24"/>
          <w:szCs w:val="24"/>
          <w:highlight w:val="none"/>
          <w:lang w:eastAsia="zh-CN"/>
        </w:rPr>
      </w:pPr>
    </w:p>
    <w:p w14:paraId="23D1564A">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z w:val="24"/>
          <w:szCs w:val="24"/>
          <w:highlight w:val="none"/>
          <w:lang w:eastAsia="zh-CN"/>
        </w:rPr>
      </w:pPr>
    </w:p>
    <w:p w14:paraId="1CFDEA76">
      <w:pPr>
        <w:wordWrap w:val="0"/>
        <w:overflowPunct w:val="0"/>
        <w:topLinePunct/>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rPr>
        <w:t>（</w:t>
      </w:r>
      <w:r>
        <w:rPr>
          <w:rFonts w:hint="eastAsia" w:ascii="仿宋" w:hAnsi="仿宋" w:eastAsia="仿宋" w:cs="仿宋"/>
          <w:color w:val="auto"/>
          <w:sz w:val="24"/>
          <w:highlight w:val="none"/>
          <w:u w:val="none"/>
          <w:lang w:val="en-US" w:eastAsia="zh-CN"/>
        </w:rPr>
        <w:t>加盖电子</w:t>
      </w:r>
      <w:r>
        <w:rPr>
          <w:rFonts w:hint="eastAsia" w:ascii="仿宋" w:hAnsi="仿宋" w:eastAsia="仿宋" w:cs="仿宋"/>
          <w:color w:val="auto"/>
          <w:sz w:val="24"/>
          <w:highlight w:val="none"/>
        </w:rPr>
        <w:t>公章）</w:t>
      </w:r>
    </w:p>
    <w:p w14:paraId="3B904C78">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41880920">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44"/>
          <w:szCs w:val="44"/>
          <w:highlight w:val="none"/>
          <w:lang w:val="en-US" w:eastAsia="zh-CN"/>
        </w:rPr>
      </w:pPr>
      <w:r>
        <w:rPr>
          <w:rFonts w:hint="eastAsia" w:ascii="仿宋" w:hAnsi="仿宋" w:eastAsia="仿宋" w:cs="仿宋"/>
          <w:color w:val="auto"/>
          <w:sz w:val="24"/>
          <w:szCs w:val="24"/>
          <w:highlight w:val="none"/>
          <w:lang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p>
    <w:p w14:paraId="75A34459">
      <w:pPr>
        <w:pStyle w:val="4"/>
        <w:jc w:val="center"/>
        <w:rPr>
          <w:rFonts w:hint="eastAsia" w:ascii="仿宋" w:hAnsi="仿宋" w:eastAsia="仿宋" w:cs="仿宋"/>
          <w:b w:val="0"/>
          <w:color w:val="auto"/>
          <w:highlight w:val="none"/>
          <w:lang w:eastAsia="zh-CN"/>
        </w:rPr>
      </w:pPr>
      <w:r>
        <w:rPr>
          <w:rFonts w:hint="eastAsia" w:ascii="仿宋" w:hAnsi="仿宋" w:eastAsia="仿宋" w:cs="仿宋"/>
          <w:color w:val="auto"/>
          <w:sz w:val="24"/>
          <w:szCs w:val="24"/>
          <w:highlight w:val="none"/>
          <w:lang w:eastAsia="zh-CN"/>
        </w:rPr>
        <w:br w:type="page"/>
      </w:r>
      <w:r>
        <w:rPr>
          <w:rFonts w:hint="eastAsia" w:ascii="仿宋" w:hAnsi="仿宋" w:eastAsia="仿宋" w:cs="仿宋"/>
          <w:color w:val="auto"/>
          <w:sz w:val="44"/>
          <w:szCs w:val="44"/>
          <w:highlight w:val="none"/>
          <w:lang w:val="en-US" w:eastAsia="zh-CN"/>
        </w:rPr>
        <w:t>报价文件</w:t>
      </w:r>
    </w:p>
    <w:p w14:paraId="045FD51A">
      <w:pPr>
        <w:rPr>
          <w:rFonts w:hint="eastAsia" w:ascii="仿宋" w:hAnsi="仿宋" w:eastAsia="仿宋" w:cs="仿宋"/>
          <w:b/>
          <w:bCs/>
          <w:color w:val="FF0000"/>
          <w:sz w:val="30"/>
          <w:szCs w:val="32"/>
          <w:highlight w:val="none"/>
          <w:lang w:eastAsia="zh-CN"/>
        </w:rPr>
      </w:pPr>
    </w:p>
    <w:p w14:paraId="1B40C744">
      <w:pPr>
        <w:pStyle w:val="4"/>
        <w:bidi w:val="0"/>
        <w:jc w:val="center"/>
        <w:outlineLvl w:val="1"/>
        <w:rPr>
          <w:rFonts w:hint="eastAsia" w:ascii="仿宋" w:hAnsi="仿宋" w:eastAsia="仿宋" w:cs="仿宋"/>
          <w:color w:val="000000" w:themeColor="text1"/>
          <w:sz w:val="28"/>
          <w:szCs w:val="28"/>
          <w:highlight w:val="none"/>
          <w:lang w:eastAsia="zh-CN"/>
          <w14:textFill>
            <w14:solidFill>
              <w14:schemeClr w14:val="tx1"/>
            </w14:solidFill>
          </w14:textFill>
        </w:rPr>
      </w:pPr>
      <w:bookmarkStart w:id="1906" w:name="_Toc21637"/>
      <w:bookmarkStart w:id="1907" w:name="_Toc2199"/>
      <w:bookmarkStart w:id="1908" w:name="_Toc19698"/>
      <w:bookmarkStart w:id="1909" w:name="_Toc20154"/>
      <w:r>
        <w:rPr>
          <w:rFonts w:hint="eastAsia" w:ascii="仿宋" w:hAnsi="仿宋" w:eastAsia="仿宋" w:cs="仿宋"/>
          <w:color w:val="000000" w:themeColor="text1"/>
          <w:sz w:val="28"/>
          <w:szCs w:val="28"/>
          <w:highlight w:val="none"/>
          <w:lang w:val="en-US" w:eastAsia="zh-CN"/>
          <w14:textFill>
            <w14:solidFill>
              <w14:schemeClr w14:val="tx1"/>
            </w14:solidFill>
          </w14:textFill>
        </w:rPr>
        <w:t>一、</w:t>
      </w:r>
      <w:r>
        <w:rPr>
          <w:rFonts w:hint="eastAsia" w:ascii="仿宋" w:hAnsi="仿宋" w:eastAsia="仿宋" w:cs="仿宋"/>
          <w:color w:val="000000" w:themeColor="text1"/>
          <w:sz w:val="28"/>
          <w:szCs w:val="28"/>
          <w:highlight w:val="none"/>
          <w:lang w:eastAsia="zh-CN"/>
          <w14:textFill>
            <w14:solidFill>
              <w14:schemeClr w14:val="tx1"/>
            </w14:solidFill>
          </w14:textFill>
        </w:rPr>
        <w:t>投标报价（唱标）一览表</w:t>
      </w:r>
      <w:r>
        <w:rPr>
          <w:rFonts w:hint="eastAsia" w:ascii="仿宋" w:hAnsi="仿宋" w:eastAsia="仿宋" w:cs="仿宋"/>
          <w:color w:val="000000" w:themeColor="text1"/>
          <w:sz w:val="28"/>
          <w:szCs w:val="28"/>
          <w:highlight w:val="none"/>
          <w:lang w:val="en-US" w:eastAsia="zh-CN"/>
          <w14:textFill>
            <w14:solidFill>
              <w14:schemeClr w14:val="tx1"/>
            </w14:solidFill>
          </w14:textFill>
        </w:rPr>
        <w:t>（实质性格式）</w:t>
      </w:r>
      <w:bookmarkEnd w:id="1906"/>
      <w:bookmarkEnd w:id="1907"/>
      <w:bookmarkEnd w:id="1908"/>
      <w:bookmarkEnd w:id="1909"/>
    </w:p>
    <w:p w14:paraId="667753CC">
      <w:pPr>
        <w:keepNext w:val="0"/>
        <w:keepLines w:val="0"/>
        <w:pageBreakBefore w:val="0"/>
        <w:widowControl w:val="0"/>
        <w:numPr>
          <w:ilvl w:val="0"/>
          <w:numId w:val="0"/>
        </w:numPr>
        <w:kinsoku/>
        <w:wordWrap/>
        <w:overflowPunct w:val="0"/>
        <w:topLinePunct/>
        <w:autoSpaceDE/>
        <w:autoSpaceDN/>
        <w:bidi w:val="0"/>
        <w:adjustRightInd/>
        <w:snapToGrid/>
        <w:ind w:left="-92" w:leftChars="-42"/>
        <w:jc w:val="left"/>
        <w:rPr>
          <w:rFonts w:hint="eastAsia" w:ascii="仿宋" w:hAnsi="仿宋" w:eastAsia="仿宋" w:cs="仿宋"/>
          <w:color w:val="000000" w:themeColor="text1"/>
          <w:kern w:val="0"/>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项目名称：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kern w:val="0"/>
          <w:sz w:val="24"/>
          <w:szCs w:val="24"/>
          <w:highlight w:val="none"/>
          <w:u w:val="single"/>
          <w:lang w:val="en-US" w:eastAsia="zh-CN"/>
          <w14:textFill>
            <w14:solidFill>
              <w14:schemeClr w14:val="tx1"/>
            </w14:solidFill>
          </w14:textFill>
        </w:rPr>
        <w:t xml:space="preserve">  </w:t>
      </w:r>
    </w:p>
    <w:p w14:paraId="0866B38E">
      <w:pPr>
        <w:keepNext w:val="0"/>
        <w:keepLines w:val="0"/>
        <w:pageBreakBefore w:val="0"/>
        <w:widowControl w:val="0"/>
        <w:kinsoku/>
        <w:wordWrap w:val="0"/>
        <w:overflowPunct w:val="0"/>
        <w:topLinePunct/>
        <w:autoSpaceDE/>
        <w:autoSpaceDN/>
        <w:bidi w:val="0"/>
        <w:adjustRightInd/>
        <w:snapToGrid/>
        <w:ind w:left="-92" w:leftChars="-42"/>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项目编号：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tbl>
      <w:tblPr>
        <w:tblStyle w:val="67"/>
        <w:tblW w:w="1032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2410"/>
        <w:gridCol w:w="7911"/>
      </w:tblGrid>
      <w:tr w14:paraId="61D4EE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4" w:hRule="atLeast"/>
          <w:jc w:val="center"/>
        </w:trPr>
        <w:tc>
          <w:tcPr>
            <w:tcW w:w="2410" w:type="dxa"/>
            <w:vAlign w:val="center"/>
          </w:tcPr>
          <w:p w14:paraId="4900AE72">
            <w:pPr>
              <w:ind w:firstLine="9" w:firstLineChars="4"/>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bookmarkStart w:id="1910" w:name="OLE_LINK1"/>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统一单价下浮率</w:t>
            </w:r>
            <w:bookmarkEnd w:id="1910"/>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w:t>
            </w:r>
          </w:p>
        </w:tc>
        <w:tc>
          <w:tcPr>
            <w:tcW w:w="7911" w:type="dxa"/>
            <w:tcBorders>
              <w:right w:val="single" w:color="auto" w:sz="4" w:space="0"/>
            </w:tcBorders>
            <w:vAlign w:val="center"/>
          </w:tcPr>
          <w:p w14:paraId="76CE20EE">
            <w:pPr>
              <w:widowControl/>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大写：</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14:paraId="272E38F3">
            <w:pPr>
              <w:pStyle w:val="28"/>
              <w:rPr>
                <w:rFonts w:hint="eastAsia" w:ascii="仿宋" w:hAnsi="仿宋" w:eastAsia="仿宋" w:cs="仿宋"/>
                <w:color w:val="000000" w:themeColor="text1"/>
                <w:highlight w:val="none"/>
                <w:lang w:val="en-US" w:eastAsia="zh-CN"/>
                <w14:textFill>
                  <w14:solidFill>
                    <w14:schemeClr w14:val="tx1"/>
                  </w14:solidFill>
                </w14:textFill>
              </w:rPr>
            </w:pPr>
          </w:p>
          <w:p w14:paraId="76CCDC86">
            <w:pP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小写：</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tc>
      </w:tr>
      <w:tr w14:paraId="567D26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69" w:hRule="atLeast"/>
          <w:jc w:val="center"/>
        </w:trPr>
        <w:tc>
          <w:tcPr>
            <w:tcW w:w="2410" w:type="dxa"/>
            <w:vAlign w:val="center"/>
          </w:tcPr>
          <w:p w14:paraId="089FD1E2">
            <w:pPr>
              <w:ind w:firstLine="9" w:firstLineChars="4"/>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质保期</w:t>
            </w:r>
          </w:p>
        </w:tc>
        <w:tc>
          <w:tcPr>
            <w:tcW w:w="7911" w:type="dxa"/>
            <w:tcBorders>
              <w:right w:val="single" w:color="auto" w:sz="4" w:space="0"/>
            </w:tcBorders>
            <w:vAlign w:val="center"/>
          </w:tcPr>
          <w:p w14:paraId="3D42303B">
            <w:pPr>
              <w:widowControl/>
              <w:rPr>
                <w:rFonts w:hint="eastAsia" w:ascii="仿宋" w:hAnsi="仿宋" w:eastAsia="仿宋" w:cs="仿宋"/>
                <w:color w:val="000000" w:themeColor="text1"/>
                <w:sz w:val="24"/>
                <w:szCs w:val="24"/>
                <w:highlight w:val="none"/>
                <w14:textFill>
                  <w14:solidFill>
                    <w14:schemeClr w14:val="tx1"/>
                  </w14:solidFill>
                </w14:textFill>
              </w:rPr>
            </w:pPr>
          </w:p>
        </w:tc>
      </w:tr>
      <w:tr w14:paraId="6D62F6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1" w:hRule="atLeast"/>
          <w:jc w:val="center"/>
        </w:trPr>
        <w:tc>
          <w:tcPr>
            <w:tcW w:w="2410" w:type="dxa"/>
            <w:vAlign w:val="center"/>
          </w:tcPr>
          <w:p w14:paraId="39A4BD93">
            <w:pPr>
              <w:ind w:firstLine="9" w:firstLineChars="4"/>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交货（交付）期</w:t>
            </w:r>
          </w:p>
        </w:tc>
        <w:tc>
          <w:tcPr>
            <w:tcW w:w="7911" w:type="dxa"/>
            <w:tcBorders>
              <w:right w:val="single" w:color="auto" w:sz="4" w:space="0"/>
            </w:tcBorders>
            <w:vAlign w:val="center"/>
          </w:tcPr>
          <w:p w14:paraId="4D621639">
            <w:pPr>
              <w:widowControl/>
              <w:rPr>
                <w:rFonts w:hint="eastAsia" w:ascii="仿宋" w:hAnsi="仿宋" w:eastAsia="仿宋" w:cs="仿宋"/>
                <w:color w:val="000000" w:themeColor="text1"/>
                <w:sz w:val="24"/>
                <w:szCs w:val="24"/>
                <w:highlight w:val="none"/>
                <w14:textFill>
                  <w14:solidFill>
                    <w14:schemeClr w14:val="tx1"/>
                  </w14:solidFill>
                </w14:textFill>
              </w:rPr>
            </w:pPr>
          </w:p>
        </w:tc>
      </w:tr>
      <w:tr w14:paraId="4183CC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1" w:hRule="atLeast"/>
          <w:jc w:val="center"/>
        </w:trPr>
        <w:tc>
          <w:tcPr>
            <w:tcW w:w="2410" w:type="dxa"/>
            <w:vAlign w:val="center"/>
          </w:tcPr>
          <w:p w14:paraId="03456D6E">
            <w:pPr>
              <w:ind w:firstLine="9" w:firstLineChars="4"/>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交货地点</w:t>
            </w:r>
          </w:p>
        </w:tc>
        <w:tc>
          <w:tcPr>
            <w:tcW w:w="7911" w:type="dxa"/>
            <w:tcBorders>
              <w:right w:val="single" w:color="auto" w:sz="4" w:space="0"/>
            </w:tcBorders>
            <w:vAlign w:val="center"/>
          </w:tcPr>
          <w:p w14:paraId="08A38880">
            <w:pPr>
              <w:widowControl/>
              <w:rPr>
                <w:rFonts w:hint="eastAsia" w:ascii="仿宋" w:hAnsi="仿宋" w:eastAsia="仿宋" w:cs="仿宋"/>
                <w:color w:val="000000" w:themeColor="text1"/>
                <w:sz w:val="24"/>
                <w:szCs w:val="24"/>
                <w:highlight w:val="none"/>
                <w14:textFill>
                  <w14:solidFill>
                    <w14:schemeClr w14:val="tx1"/>
                  </w14:solidFill>
                </w14:textFill>
              </w:rPr>
            </w:pPr>
          </w:p>
        </w:tc>
      </w:tr>
      <w:tr w14:paraId="1911E5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2" w:hRule="atLeast"/>
          <w:jc w:val="center"/>
        </w:trPr>
        <w:tc>
          <w:tcPr>
            <w:tcW w:w="2410" w:type="dxa"/>
            <w:vMerge w:val="restart"/>
            <w:vAlign w:val="center"/>
          </w:tcPr>
          <w:p w14:paraId="31D265D1">
            <w:pPr>
              <w:ind w:firstLine="9" w:firstLineChars="4"/>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投标保证金</w:t>
            </w:r>
          </w:p>
        </w:tc>
        <w:tc>
          <w:tcPr>
            <w:tcW w:w="7911" w:type="dxa"/>
            <w:tcBorders>
              <w:bottom w:val="single" w:color="auto" w:sz="4" w:space="0"/>
              <w:right w:val="single" w:color="auto" w:sz="4" w:space="0"/>
            </w:tcBorders>
            <w:vAlign w:val="center"/>
          </w:tcPr>
          <w:p w14:paraId="462FE94F">
            <w:pPr>
              <w:widowControl/>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金额：</w:t>
            </w:r>
          </w:p>
        </w:tc>
      </w:tr>
      <w:tr w14:paraId="5BD7FE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21" w:hRule="atLeast"/>
          <w:jc w:val="center"/>
        </w:trPr>
        <w:tc>
          <w:tcPr>
            <w:tcW w:w="2410" w:type="dxa"/>
            <w:vMerge w:val="continue"/>
            <w:vAlign w:val="center"/>
          </w:tcPr>
          <w:p w14:paraId="1B3A59E6">
            <w:pPr>
              <w:ind w:firstLine="9" w:firstLineChars="4"/>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p>
        </w:tc>
        <w:tc>
          <w:tcPr>
            <w:tcW w:w="7911" w:type="dxa"/>
            <w:tcBorders>
              <w:top w:val="single" w:color="auto" w:sz="4" w:space="0"/>
              <w:right w:val="single" w:color="auto" w:sz="4" w:space="0"/>
            </w:tcBorders>
            <w:vAlign w:val="center"/>
          </w:tcPr>
          <w:p w14:paraId="34387650">
            <w:pPr>
              <w:widowControl/>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形式：银行转账□   保函□   支票□   汇票□   本票□</w:t>
            </w:r>
          </w:p>
        </w:tc>
      </w:tr>
      <w:tr w14:paraId="395D70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34" w:hRule="atLeast"/>
          <w:jc w:val="center"/>
        </w:trPr>
        <w:tc>
          <w:tcPr>
            <w:tcW w:w="2410" w:type="dxa"/>
            <w:vAlign w:val="center"/>
          </w:tcPr>
          <w:p w14:paraId="751549E3">
            <w:pPr>
              <w:ind w:firstLine="9" w:firstLineChars="4"/>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其他承诺或声明</w:t>
            </w:r>
          </w:p>
        </w:tc>
        <w:tc>
          <w:tcPr>
            <w:tcW w:w="7911" w:type="dxa"/>
            <w:tcBorders>
              <w:right w:val="single" w:color="auto" w:sz="4" w:space="0"/>
            </w:tcBorders>
            <w:vAlign w:val="center"/>
          </w:tcPr>
          <w:p w14:paraId="065C3BA8">
            <w:pPr>
              <w:widowControl/>
              <w:rPr>
                <w:rFonts w:hint="eastAsia" w:ascii="仿宋" w:hAnsi="仿宋" w:eastAsia="仿宋" w:cs="仿宋"/>
                <w:color w:val="000000" w:themeColor="text1"/>
                <w:sz w:val="24"/>
                <w:szCs w:val="24"/>
                <w:highlight w:val="none"/>
                <w14:textFill>
                  <w14:solidFill>
                    <w14:schemeClr w14:val="tx1"/>
                  </w14:solidFill>
                </w14:textFill>
              </w:rPr>
            </w:pPr>
          </w:p>
        </w:tc>
      </w:tr>
    </w:tbl>
    <w:p w14:paraId="2B13DAA8">
      <w:pPr>
        <w:ind w:firstLine="441" w:firstLineChars="210"/>
        <w:rPr>
          <w:rFonts w:hint="eastAsia" w:ascii="仿宋" w:hAnsi="仿宋" w:eastAsia="仿宋" w:cs="仿宋"/>
          <w:color w:val="000000" w:themeColor="text1"/>
          <w:sz w:val="21"/>
          <w:szCs w:val="21"/>
          <w:highlight w:val="none"/>
          <w:lang w:eastAsia="zh-CN"/>
          <w14:textFill>
            <w14:solidFill>
              <w14:schemeClr w14:val="tx1"/>
            </w14:solidFill>
          </w14:textFill>
        </w:rPr>
      </w:pPr>
    </w:p>
    <w:p w14:paraId="37DD6CD4">
      <w:pPr>
        <w:keepNext w:val="0"/>
        <w:keepLines w:val="0"/>
        <w:pageBreakBefore w:val="0"/>
        <w:widowControl w:val="0"/>
        <w:kinsoku/>
        <w:wordWrap w:val="0"/>
        <w:overflowPunct w:val="0"/>
        <w:topLinePunct/>
        <w:autoSpaceDE/>
        <w:autoSpaceDN/>
        <w:bidi w:val="0"/>
        <w:adjustRightInd/>
        <w:snapToGrid/>
        <w:spacing w:line="360" w:lineRule="auto"/>
        <w:jc w:val="both"/>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p>
    <w:p w14:paraId="2BB68A82">
      <w:pPr>
        <w:keepNext w:val="0"/>
        <w:keepLines w:val="0"/>
        <w:pageBreakBefore w:val="0"/>
        <w:widowControl w:val="0"/>
        <w:kinsoku/>
        <w:wordWrap w:val="0"/>
        <w:overflowPunct w:val="0"/>
        <w:topLinePunct/>
        <w:autoSpaceDE/>
        <w:autoSpaceDN/>
        <w:bidi w:val="0"/>
        <w:adjustRightInd/>
        <w:snapToGrid/>
        <w:spacing w:line="360" w:lineRule="auto"/>
        <w:jc w:val="both"/>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p>
    <w:p w14:paraId="2271EBD1">
      <w:pPr>
        <w:wordWrap w:val="0"/>
        <w:overflowPunct w:val="0"/>
        <w:topLinePunct/>
        <w:spacing w:line="360" w:lineRule="auto"/>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投标人</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none"/>
          <w14:textFill>
            <w14:solidFill>
              <w14:schemeClr w14:val="tx1"/>
            </w14:solidFill>
          </w14:textFill>
        </w:rPr>
        <w:t>（</w:t>
      </w:r>
      <w:r>
        <w:rPr>
          <w:rFonts w:hint="eastAsia" w:ascii="仿宋" w:hAnsi="仿宋" w:eastAsia="仿宋" w:cs="仿宋"/>
          <w:color w:val="000000" w:themeColor="text1"/>
          <w:sz w:val="24"/>
          <w:highlight w:val="none"/>
          <w:u w:val="none"/>
          <w:lang w:val="en-US" w:eastAsia="zh-CN"/>
          <w14:textFill>
            <w14:solidFill>
              <w14:schemeClr w14:val="tx1"/>
            </w14:solidFill>
          </w14:textFill>
        </w:rPr>
        <w:t>加盖电子</w:t>
      </w:r>
      <w:r>
        <w:rPr>
          <w:rFonts w:hint="eastAsia" w:ascii="仿宋" w:hAnsi="仿宋" w:eastAsia="仿宋" w:cs="仿宋"/>
          <w:color w:val="000000" w:themeColor="text1"/>
          <w:sz w:val="24"/>
          <w:highlight w:val="none"/>
          <w14:textFill>
            <w14:solidFill>
              <w14:schemeClr w14:val="tx1"/>
            </w14:solidFill>
          </w14:textFill>
        </w:rPr>
        <w:t>公章）</w:t>
      </w:r>
    </w:p>
    <w:p w14:paraId="662586F3">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outlineLvl w:val="2"/>
        <w:rPr>
          <w:rFonts w:hint="eastAsia" w:ascii="仿宋" w:hAnsi="仿宋" w:eastAsia="仿宋" w:cs="仿宋"/>
          <w:color w:val="000000" w:themeColor="text1"/>
          <w:sz w:val="24"/>
          <w:szCs w:val="24"/>
          <w:highlight w:val="none"/>
          <w:u w:val="single"/>
          <w:lang w:eastAsia="zh-CN"/>
          <w14:textFill>
            <w14:solidFill>
              <w14:schemeClr w14:val="tx1"/>
            </w14:solidFill>
          </w14:textFill>
        </w:rPr>
      </w:pPr>
      <w:bookmarkStart w:id="1911" w:name="_Toc10677"/>
      <w:bookmarkStart w:id="1912" w:name="_Toc9608"/>
      <w:r>
        <w:rPr>
          <w:rFonts w:hint="eastAsia" w:ascii="仿宋" w:hAnsi="仿宋" w:eastAsia="仿宋" w:cs="仿宋"/>
          <w:color w:val="000000" w:themeColor="text1"/>
          <w:sz w:val="24"/>
          <w:highlight w:val="none"/>
          <w14:textFill>
            <w14:solidFill>
              <w14:schemeClr w14:val="tx1"/>
            </w14:solidFill>
          </w14:textFill>
        </w:rPr>
        <w:t>法定代表人（负责人）或授权委托人：</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eastAsia="zh-CN"/>
          <w14:textFill>
            <w14:solidFill>
              <w14:schemeClr w14:val="tx1"/>
            </w14:solidFill>
          </w14:textFill>
        </w:rPr>
        <w:t>签字或电子签章</w:t>
      </w:r>
      <w:r>
        <w:rPr>
          <w:rFonts w:hint="eastAsia" w:ascii="仿宋" w:hAnsi="仿宋" w:eastAsia="仿宋" w:cs="仿宋"/>
          <w:color w:val="000000" w:themeColor="text1"/>
          <w:sz w:val="24"/>
          <w:highlight w:val="none"/>
          <w14:textFill>
            <w14:solidFill>
              <w14:schemeClr w14:val="tx1"/>
            </w14:solidFill>
          </w14:textFill>
        </w:rPr>
        <w:t>）</w:t>
      </w:r>
      <w:bookmarkEnd w:id="1911"/>
      <w:bookmarkEnd w:id="1912"/>
    </w:p>
    <w:p w14:paraId="34C4893B">
      <w:pPr>
        <w:jc w:val="center"/>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日期：</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lang w:eastAsia="zh-CN"/>
          <w14:textFill>
            <w14:solidFill>
              <w14:schemeClr w14:val="tx1"/>
            </w14:solidFill>
          </w14:textFill>
        </w:rPr>
        <w:t>年</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lang w:eastAsia="zh-CN"/>
          <w14:textFill>
            <w14:solidFill>
              <w14:schemeClr w14:val="tx1"/>
            </w14:solidFill>
          </w14:textFill>
        </w:rPr>
        <w:t>月</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lang w:eastAsia="zh-CN"/>
          <w14:textFill>
            <w14:solidFill>
              <w14:schemeClr w14:val="tx1"/>
            </w14:solidFill>
          </w14:textFill>
        </w:rPr>
        <w:t>日</w:t>
      </w:r>
    </w:p>
    <w:p w14:paraId="579ADDB5">
      <w:pPr>
        <w:keepNext w:val="0"/>
        <w:keepLines w:val="0"/>
        <w:pageBreakBefore w:val="0"/>
        <w:widowControl w:val="0"/>
        <w:kinsoku/>
        <w:wordWrap/>
        <w:overflowPunct w:val="0"/>
        <w:topLinePunct/>
        <w:autoSpaceDE/>
        <w:autoSpaceDN/>
        <w:bidi w:val="0"/>
        <w:adjustRightInd/>
        <w:snapToGrid/>
        <w:ind w:left="-92" w:leftChars="-42"/>
        <w:jc w:val="center"/>
        <w:outlineLvl w:val="1"/>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br w:type="page"/>
      </w:r>
      <w:bookmarkStart w:id="1913" w:name="_Toc4331"/>
      <w:bookmarkStart w:id="1914" w:name="_Toc31421"/>
      <w:bookmarkStart w:id="1915" w:name="_Toc292"/>
      <w:bookmarkStart w:id="1916" w:name="_Toc27338"/>
      <w:r>
        <w:rPr>
          <w:rStyle w:val="91"/>
          <w:rFonts w:hint="eastAsia" w:ascii="仿宋" w:hAnsi="仿宋" w:eastAsia="仿宋" w:cs="仿宋"/>
          <w:color w:val="000000" w:themeColor="text1"/>
          <w:sz w:val="28"/>
          <w:szCs w:val="28"/>
          <w:highlight w:val="none"/>
          <w:lang w:val="en-US" w:eastAsia="zh-CN"/>
          <w14:textFill>
            <w14:solidFill>
              <w14:schemeClr w14:val="tx1"/>
            </w14:solidFill>
          </w14:textFill>
        </w:rPr>
        <w:t>二、分项报价明细表（实质性格式）</w:t>
      </w:r>
      <w:bookmarkEnd w:id="1913"/>
      <w:bookmarkEnd w:id="1914"/>
      <w:bookmarkEnd w:id="1915"/>
      <w:bookmarkEnd w:id="1916"/>
    </w:p>
    <w:p w14:paraId="09A29AE9">
      <w:pPr>
        <w:keepNext w:val="0"/>
        <w:keepLines w:val="0"/>
        <w:pageBreakBefore w:val="0"/>
        <w:widowControl w:val="0"/>
        <w:kinsoku/>
        <w:wordWrap/>
        <w:overflowPunct w:val="0"/>
        <w:topLinePunct/>
        <w:autoSpaceDE/>
        <w:autoSpaceDN/>
        <w:bidi w:val="0"/>
        <w:adjustRightInd/>
        <w:snapToGrid/>
        <w:ind w:left="-92" w:leftChars="-42"/>
        <w:jc w:val="left"/>
        <w:rPr>
          <w:rFonts w:hint="eastAsia" w:ascii="仿宋" w:hAnsi="仿宋" w:eastAsia="仿宋" w:cs="仿宋"/>
          <w:color w:val="000000" w:themeColor="text1"/>
          <w:kern w:val="0"/>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项目名称：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14:paraId="31FBE552">
      <w:pPr>
        <w:keepNext w:val="0"/>
        <w:keepLines w:val="0"/>
        <w:pageBreakBefore w:val="0"/>
        <w:widowControl w:val="0"/>
        <w:kinsoku/>
        <w:wordWrap w:val="0"/>
        <w:overflowPunct w:val="0"/>
        <w:topLinePunct/>
        <w:autoSpaceDE/>
        <w:autoSpaceDN/>
        <w:bidi w:val="0"/>
        <w:adjustRightInd/>
        <w:snapToGrid/>
        <w:ind w:left="-92" w:leftChars="-42"/>
        <w:jc w:val="left"/>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项目编号：</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14:paraId="2D021C28">
      <w:pPr>
        <w:keepNext w:val="0"/>
        <w:keepLines w:val="0"/>
        <w:pageBreakBefore w:val="0"/>
        <w:widowControl w:val="0"/>
        <w:kinsoku/>
        <w:wordWrap w:val="0"/>
        <w:overflowPunct w:val="0"/>
        <w:topLinePunct/>
        <w:autoSpaceDE/>
        <w:autoSpaceDN/>
        <w:bidi w:val="0"/>
        <w:adjustRightInd/>
        <w:snapToGrid/>
        <w:ind w:left="-92" w:leftChars="-42"/>
        <w:jc w:val="left"/>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金额单位：人民币</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元</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14:paraId="41B62D15">
      <w:pPr>
        <w:keepNext w:val="0"/>
        <w:keepLines w:val="0"/>
        <w:pageBreakBefore w:val="0"/>
        <w:widowControl w:val="0"/>
        <w:kinsoku/>
        <w:wordWrap w:val="0"/>
        <w:overflowPunct w:val="0"/>
        <w:topLinePunct/>
        <w:autoSpaceDE/>
        <w:autoSpaceDN/>
        <w:bidi w:val="0"/>
        <w:adjustRightInd/>
        <w:snapToGrid/>
        <w:ind w:left="-92" w:leftChars="-42"/>
        <w:jc w:val="left"/>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（此表格需固化在投标文件编制软件中由投标人逐项填写，并在填写后将中标投标人此表内容同步至政府采购管理系统）</w:t>
      </w:r>
    </w:p>
    <w:tbl>
      <w:tblPr>
        <w:tblStyle w:val="694"/>
        <w:tblW w:w="973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3"/>
        <w:gridCol w:w="1238"/>
        <w:gridCol w:w="866"/>
        <w:gridCol w:w="948"/>
        <w:gridCol w:w="1531"/>
        <w:gridCol w:w="1044"/>
        <w:gridCol w:w="1865"/>
        <w:gridCol w:w="626"/>
        <w:gridCol w:w="904"/>
      </w:tblGrid>
      <w:tr w14:paraId="6E662A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3" w:hRule="atLeast"/>
          <w:jc w:val="center"/>
        </w:trPr>
        <w:tc>
          <w:tcPr>
            <w:tcW w:w="713" w:type="dxa"/>
            <w:vAlign w:val="center"/>
          </w:tcPr>
          <w:p w14:paraId="708E71C0">
            <w:pPr>
              <w:bidi w:val="0"/>
              <w:jc w:val="center"/>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序号</w:t>
            </w:r>
          </w:p>
        </w:tc>
        <w:tc>
          <w:tcPr>
            <w:tcW w:w="1238" w:type="dxa"/>
            <w:vAlign w:val="center"/>
          </w:tcPr>
          <w:p w14:paraId="1CB13ADB">
            <w:pPr>
              <w:keepNext w:val="0"/>
              <w:keepLines w:val="0"/>
              <w:widowControl/>
              <w:suppressLineNumbers w:val="0"/>
              <w:jc w:val="center"/>
              <w:textAlignment w:val="center"/>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0"/>
                <w:sz w:val="24"/>
                <w:szCs w:val="24"/>
                <w:highlight w:val="none"/>
                <w:u w:val="none"/>
                <w:lang w:val="en-US" w:eastAsia="zh-CN" w:bidi="ar"/>
                <w14:textFill>
                  <w14:solidFill>
                    <w14:schemeClr w14:val="tx1"/>
                  </w14:solidFill>
                </w14:textFill>
              </w:rPr>
              <w:t>商品名称（必填）</w:t>
            </w:r>
          </w:p>
        </w:tc>
        <w:tc>
          <w:tcPr>
            <w:tcW w:w="866" w:type="dxa"/>
            <w:vAlign w:val="center"/>
          </w:tcPr>
          <w:p w14:paraId="111E1EEE">
            <w:pPr>
              <w:keepNext w:val="0"/>
              <w:keepLines w:val="0"/>
              <w:widowControl/>
              <w:suppressLineNumbers w:val="0"/>
              <w:jc w:val="center"/>
              <w:textAlignment w:val="center"/>
              <w:rPr>
                <w:rFonts w:hint="eastAsia" w:ascii="仿宋" w:hAnsi="仿宋" w:eastAsia="仿宋" w:cs="仿宋"/>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val="0"/>
                <w:bCs w:val="0"/>
                <w:i w:val="0"/>
                <w:iCs w:val="0"/>
                <w:color w:val="000000" w:themeColor="text1"/>
                <w:kern w:val="0"/>
                <w:sz w:val="24"/>
                <w:szCs w:val="24"/>
                <w:highlight w:val="none"/>
                <w:u w:val="none"/>
                <w:lang w:val="en-US" w:eastAsia="zh-CN" w:bidi="ar"/>
                <w14:textFill>
                  <w14:solidFill>
                    <w14:schemeClr w14:val="tx1"/>
                  </w14:solidFill>
                </w14:textFill>
              </w:rPr>
              <w:t>所属行业</w:t>
            </w:r>
          </w:p>
        </w:tc>
        <w:tc>
          <w:tcPr>
            <w:tcW w:w="948" w:type="dxa"/>
            <w:vAlign w:val="center"/>
          </w:tcPr>
          <w:p w14:paraId="3A9A8EEE">
            <w:pPr>
              <w:keepNext w:val="0"/>
              <w:keepLines w:val="0"/>
              <w:widowControl/>
              <w:suppressLineNumbers w:val="0"/>
              <w:jc w:val="center"/>
              <w:textAlignment w:val="center"/>
              <w:rPr>
                <w:rFonts w:hint="eastAsia" w:ascii="仿宋" w:hAnsi="仿宋" w:eastAsia="仿宋" w:cs="仿宋"/>
                <w:b w:val="0"/>
                <w:bCs w:val="0"/>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val="0"/>
                <w:bCs w:val="0"/>
                <w:i w:val="0"/>
                <w:iCs w:val="0"/>
                <w:color w:val="000000" w:themeColor="text1"/>
                <w:kern w:val="0"/>
                <w:sz w:val="24"/>
                <w:szCs w:val="24"/>
                <w:highlight w:val="none"/>
                <w:u w:val="none"/>
                <w:lang w:val="en-US" w:eastAsia="zh-CN" w:bidi="ar"/>
                <w14:textFill>
                  <w14:solidFill>
                    <w14:schemeClr w14:val="tx1"/>
                  </w14:solidFill>
                </w14:textFill>
              </w:rPr>
              <w:t>品牌</w:t>
            </w:r>
          </w:p>
          <w:p w14:paraId="342A0546">
            <w:pPr>
              <w:keepNext w:val="0"/>
              <w:keepLines w:val="0"/>
              <w:widowControl/>
              <w:suppressLineNumbers w:val="0"/>
              <w:jc w:val="center"/>
              <w:textAlignment w:val="center"/>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0"/>
                <w:sz w:val="24"/>
                <w:szCs w:val="24"/>
                <w:highlight w:val="none"/>
                <w:u w:val="none"/>
                <w:lang w:val="en-US" w:eastAsia="zh-CN" w:bidi="ar"/>
                <w14:textFill>
                  <w14:solidFill>
                    <w14:schemeClr w14:val="tx1"/>
                  </w14:solidFill>
                </w14:textFill>
              </w:rPr>
              <w:t>（必填）</w:t>
            </w:r>
          </w:p>
        </w:tc>
        <w:tc>
          <w:tcPr>
            <w:tcW w:w="1531" w:type="dxa"/>
            <w:vAlign w:val="center"/>
          </w:tcPr>
          <w:p w14:paraId="2E3D6645">
            <w:pPr>
              <w:keepNext w:val="0"/>
              <w:keepLines w:val="0"/>
              <w:widowControl/>
              <w:suppressLineNumbers w:val="0"/>
              <w:jc w:val="center"/>
              <w:textAlignment w:val="center"/>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0"/>
                <w:sz w:val="24"/>
                <w:szCs w:val="24"/>
                <w:highlight w:val="none"/>
                <w:u w:val="none"/>
                <w:lang w:val="en-US" w:eastAsia="zh-CN" w:bidi="ar"/>
                <w14:textFill>
                  <w14:solidFill>
                    <w14:schemeClr w14:val="tx1"/>
                  </w14:solidFill>
                </w14:textFill>
              </w:rPr>
              <w:t>型号（必填）/服务要求</w:t>
            </w:r>
          </w:p>
        </w:tc>
        <w:tc>
          <w:tcPr>
            <w:tcW w:w="1044" w:type="dxa"/>
            <w:vAlign w:val="center"/>
          </w:tcPr>
          <w:p w14:paraId="5F598EA4">
            <w:pPr>
              <w:keepNext w:val="0"/>
              <w:keepLines w:val="0"/>
              <w:widowControl/>
              <w:suppressLineNumbers w:val="0"/>
              <w:jc w:val="center"/>
              <w:textAlignment w:val="center"/>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0"/>
                <w:sz w:val="24"/>
                <w:szCs w:val="24"/>
                <w:highlight w:val="none"/>
                <w:u w:val="none"/>
                <w:lang w:val="en-US" w:eastAsia="zh-CN" w:bidi="ar"/>
                <w14:textFill>
                  <w14:solidFill>
                    <w14:schemeClr w14:val="tx1"/>
                  </w14:solidFill>
                </w14:textFill>
              </w:rPr>
              <w:t>节能/节水/环保</w:t>
            </w:r>
          </w:p>
        </w:tc>
        <w:tc>
          <w:tcPr>
            <w:tcW w:w="1865" w:type="dxa"/>
            <w:vAlign w:val="center"/>
          </w:tcPr>
          <w:p w14:paraId="45C8A3DF">
            <w:pPr>
              <w:keepNext w:val="0"/>
              <w:keepLines w:val="0"/>
              <w:widowControl/>
              <w:suppressLineNumbers w:val="0"/>
              <w:jc w:val="center"/>
              <w:textAlignment w:val="cente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i w:val="0"/>
                <w:iCs w:val="0"/>
                <w:color w:val="000000" w:themeColor="text1"/>
                <w:kern w:val="0"/>
                <w:sz w:val="24"/>
                <w:szCs w:val="24"/>
                <w:highlight w:val="none"/>
                <w:u w:val="none"/>
                <w:lang w:val="en-US" w:eastAsia="zh-CN" w:bidi="ar"/>
                <w14:textFill>
                  <w14:solidFill>
                    <w14:schemeClr w14:val="tx1"/>
                  </w14:solidFill>
                </w14:textFill>
              </w:rPr>
              <w:t>产地类型（必填）</w:t>
            </w:r>
          </w:p>
        </w:tc>
        <w:tc>
          <w:tcPr>
            <w:tcW w:w="626" w:type="dxa"/>
            <w:vAlign w:val="center"/>
          </w:tcPr>
          <w:p w14:paraId="11B67E9C">
            <w:pPr>
              <w:keepNext w:val="0"/>
              <w:keepLines w:val="0"/>
              <w:widowControl/>
              <w:suppressLineNumbers w:val="0"/>
              <w:jc w:val="center"/>
              <w:textAlignment w:val="center"/>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0"/>
                <w:sz w:val="24"/>
                <w:szCs w:val="24"/>
                <w:highlight w:val="none"/>
                <w:u w:val="none"/>
                <w:lang w:val="en-US" w:eastAsia="zh-CN" w:bidi="ar"/>
                <w14:textFill>
                  <w14:solidFill>
                    <w14:schemeClr w14:val="tx1"/>
                  </w14:solidFill>
                </w14:textFill>
              </w:rPr>
              <w:t>国家</w:t>
            </w:r>
          </w:p>
        </w:tc>
        <w:tc>
          <w:tcPr>
            <w:tcW w:w="904" w:type="dxa"/>
            <w:vAlign w:val="center"/>
          </w:tcPr>
          <w:p w14:paraId="12728F10">
            <w:pPr>
              <w:keepNext w:val="0"/>
              <w:keepLines w:val="0"/>
              <w:widowControl/>
              <w:suppressLineNumbers w:val="0"/>
              <w:jc w:val="center"/>
              <w:textAlignment w:val="center"/>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0"/>
                <w:sz w:val="24"/>
                <w:szCs w:val="24"/>
                <w:highlight w:val="none"/>
                <w:u w:val="none"/>
                <w:lang w:val="en-US" w:eastAsia="zh-CN" w:bidi="ar"/>
                <w14:textFill>
                  <w14:solidFill>
                    <w14:schemeClr w14:val="tx1"/>
                  </w14:solidFill>
                </w14:textFill>
              </w:rPr>
              <w:t>单价（必填）</w:t>
            </w:r>
          </w:p>
        </w:tc>
      </w:tr>
      <w:tr w14:paraId="016917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713" w:type="dxa"/>
            <w:vAlign w:val="center"/>
          </w:tcPr>
          <w:p w14:paraId="644A55F3">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p>
        </w:tc>
        <w:tc>
          <w:tcPr>
            <w:tcW w:w="1238" w:type="dxa"/>
            <w:vAlign w:val="center"/>
          </w:tcPr>
          <w:p w14:paraId="7CA05329">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866" w:type="dxa"/>
            <w:vAlign w:val="center"/>
          </w:tcPr>
          <w:p w14:paraId="38F4054E">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948" w:type="dxa"/>
            <w:vAlign w:val="center"/>
          </w:tcPr>
          <w:p w14:paraId="14CC35F4">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531" w:type="dxa"/>
            <w:vAlign w:val="center"/>
          </w:tcPr>
          <w:p w14:paraId="4EEE85FE">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044" w:type="dxa"/>
            <w:vAlign w:val="center"/>
          </w:tcPr>
          <w:p w14:paraId="15043CA7">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865" w:type="dxa"/>
            <w:vAlign w:val="center"/>
          </w:tcPr>
          <w:p w14:paraId="585B21CB">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国内□  进口□</w:t>
            </w:r>
          </w:p>
        </w:tc>
        <w:tc>
          <w:tcPr>
            <w:tcW w:w="626" w:type="dxa"/>
            <w:vAlign w:val="center"/>
          </w:tcPr>
          <w:p w14:paraId="3F13F6D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904" w:type="dxa"/>
            <w:vAlign w:val="center"/>
          </w:tcPr>
          <w:p w14:paraId="1ACEC84D">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6DD98D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713" w:type="dxa"/>
            <w:vAlign w:val="center"/>
          </w:tcPr>
          <w:p w14:paraId="09EBF38C">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p>
        </w:tc>
        <w:tc>
          <w:tcPr>
            <w:tcW w:w="1238" w:type="dxa"/>
            <w:vAlign w:val="center"/>
          </w:tcPr>
          <w:p w14:paraId="239EDC3B">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866" w:type="dxa"/>
            <w:vAlign w:val="center"/>
          </w:tcPr>
          <w:p w14:paraId="4C8C8AC6">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948" w:type="dxa"/>
            <w:vAlign w:val="center"/>
          </w:tcPr>
          <w:p w14:paraId="62D9E0D9">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531" w:type="dxa"/>
            <w:vAlign w:val="center"/>
          </w:tcPr>
          <w:p w14:paraId="3B19A4B6">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044" w:type="dxa"/>
            <w:vAlign w:val="center"/>
          </w:tcPr>
          <w:p w14:paraId="555B13D3">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865" w:type="dxa"/>
            <w:vAlign w:val="center"/>
          </w:tcPr>
          <w:p w14:paraId="7762A5AE">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国内□  进口□</w:t>
            </w:r>
          </w:p>
        </w:tc>
        <w:tc>
          <w:tcPr>
            <w:tcW w:w="626" w:type="dxa"/>
            <w:vAlign w:val="center"/>
          </w:tcPr>
          <w:p w14:paraId="3F286025">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904" w:type="dxa"/>
            <w:vAlign w:val="center"/>
          </w:tcPr>
          <w:p w14:paraId="7ED49F6C">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192131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713" w:type="dxa"/>
            <w:vAlign w:val="center"/>
          </w:tcPr>
          <w:p w14:paraId="7638897D">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p>
        </w:tc>
        <w:tc>
          <w:tcPr>
            <w:tcW w:w="1238" w:type="dxa"/>
            <w:vAlign w:val="center"/>
          </w:tcPr>
          <w:p w14:paraId="131DE6A9">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866" w:type="dxa"/>
            <w:vAlign w:val="center"/>
          </w:tcPr>
          <w:p w14:paraId="486C7DBE">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948" w:type="dxa"/>
            <w:vAlign w:val="center"/>
          </w:tcPr>
          <w:p w14:paraId="4D59C19F">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531" w:type="dxa"/>
            <w:vAlign w:val="center"/>
          </w:tcPr>
          <w:p w14:paraId="23B8ABF9">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044" w:type="dxa"/>
            <w:vAlign w:val="center"/>
          </w:tcPr>
          <w:p w14:paraId="220DE186">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865" w:type="dxa"/>
            <w:vAlign w:val="center"/>
          </w:tcPr>
          <w:p w14:paraId="6943CB8D">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国内□  进口□</w:t>
            </w:r>
          </w:p>
        </w:tc>
        <w:tc>
          <w:tcPr>
            <w:tcW w:w="626" w:type="dxa"/>
            <w:vAlign w:val="center"/>
          </w:tcPr>
          <w:p w14:paraId="14631DD7">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904" w:type="dxa"/>
            <w:vAlign w:val="center"/>
          </w:tcPr>
          <w:p w14:paraId="19741B9E">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40AB3F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713" w:type="dxa"/>
            <w:vAlign w:val="center"/>
          </w:tcPr>
          <w:p w14:paraId="30C69AA6">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p>
        </w:tc>
        <w:tc>
          <w:tcPr>
            <w:tcW w:w="1238" w:type="dxa"/>
            <w:vAlign w:val="center"/>
          </w:tcPr>
          <w:p w14:paraId="5C96E81E">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866" w:type="dxa"/>
            <w:vAlign w:val="center"/>
          </w:tcPr>
          <w:p w14:paraId="62BFDE9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948" w:type="dxa"/>
            <w:vAlign w:val="center"/>
          </w:tcPr>
          <w:p w14:paraId="278D7248">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531" w:type="dxa"/>
            <w:vAlign w:val="center"/>
          </w:tcPr>
          <w:p w14:paraId="5BBE6EE8">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044" w:type="dxa"/>
            <w:vAlign w:val="center"/>
          </w:tcPr>
          <w:p w14:paraId="2BD0F387">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865" w:type="dxa"/>
            <w:vAlign w:val="center"/>
          </w:tcPr>
          <w:p w14:paraId="1E88BA68">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国内□  进口□</w:t>
            </w:r>
          </w:p>
        </w:tc>
        <w:tc>
          <w:tcPr>
            <w:tcW w:w="626" w:type="dxa"/>
            <w:vAlign w:val="center"/>
          </w:tcPr>
          <w:p w14:paraId="59913DA6">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904" w:type="dxa"/>
            <w:vAlign w:val="center"/>
          </w:tcPr>
          <w:p w14:paraId="4CBD1E44">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1C6A03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713" w:type="dxa"/>
            <w:vAlign w:val="center"/>
          </w:tcPr>
          <w:p w14:paraId="755949B4">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p>
        </w:tc>
        <w:tc>
          <w:tcPr>
            <w:tcW w:w="1238" w:type="dxa"/>
            <w:vAlign w:val="center"/>
          </w:tcPr>
          <w:p w14:paraId="783F6846">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866" w:type="dxa"/>
            <w:vAlign w:val="center"/>
          </w:tcPr>
          <w:p w14:paraId="40F98EB9">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948" w:type="dxa"/>
            <w:vAlign w:val="center"/>
          </w:tcPr>
          <w:p w14:paraId="2B00125F">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531" w:type="dxa"/>
            <w:vAlign w:val="center"/>
          </w:tcPr>
          <w:p w14:paraId="372330C5">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044" w:type="dxa"/>
            <w:vAlign w:val="center"/>
          </w:tcPr>
          <w:p w14:paraId="0011A992">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865" w:type="dxa"/>
            <w:vAlign w:val="center"/>
          </w:tcPr>
          <w:p w14:paraId="7B95DB62">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国内□  进口□</w:t>
            </w:r>
          </w:p>
        </w:tc>
        <w:tc>
          <w:tcPr>
            <w:tcW w:w="626" w:type="dxa"/>
            <w:vAlign w:val="center"/>
          </w:tcPr>
          <w:p w14:paraId="03865825">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904" w:type="dxa"/>
            <w:vAlign w:val="center"/>
          </w:tcPr>
          <w:p w14:paraId="5A5F40BD">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1BAC98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713" w:type="dxa"/>
            <w:vAlign w:val="center"/>
          </w:tcPr>
          <w:p w14:paraId="43BBA6F8">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6</w:t>
            </w:r>
          </w:p>
        </w:tc>
        <w:tc>
          <w:tcPr>
            <w:tcW w:w="1238" w:type="dxa"/>
            <w:vAlign w:val="center"/>
          </w:tcPr>
          <w:p w14:paraId="43654557">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866" w:type="dxa"/>
            <w:vAlign w:val="center"/>
          </w:tcPr>
          <w:p w14:paraId="33E4F63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948" w:type="dxa"/>
            <w:vAlign w:val="center"/>
          </w:tcPr>
          <w:p w14:paraId="601B7D43">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531" w:type="dxa"/>
            <w:vAlign w:val="center"/>
          </w:tcPr>
          <w:p w14:paraId="3C56F51F">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044" w:type="dxa"/>
            <w:vAlign w:val="center"/>
          </w:tcPr>
          <w:p w14:paraId="7E4F13D4">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865" w:type="dxa"/>
            <w:vAlign w:val="center"/>
          </w:tcPr>
          <w:p w14:paraId="4E604B95">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国内□  进口□</w:t>
            </w:r>
          </w:p>
        </w:tc>
        <w:tc>
          <w:tcPr>
            <w:tcW w:w="626" w:type="dxa"/>
            <w:vAlign w:val="center"/>
          </w:tcPr>
          <w:p w14:paraId="4D53C0A0">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904" w:type="dxa"/>
            <w:vAlign w:val="center"/>
          </w:tcPr>
          <w:p w14:paraId="0F177D9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1464CC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713" w:type="dxa"/>
            <w:vAlign w:val="center"/>
          </w:tcPr>
          <w:p w14:paraId="75A24F8A">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7</w:t>
            </w:r>
          </w:p>
        </w:tc>
        <w:tc>
          <w:tcPr>
            <w:tcW w:w="1238" w:type="dxa"/>
            <w:vAlign w:val="center"/>
          </w:tcPr>
          <w:p w14:paraId="7C9A69BD">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866" w:type="dxa"/>
            <w:vAlign w:val="center"/>
          </w:tcPr>
          <w:p w14:paraId="20A652FF">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948" w:type="dxa"/>
            <w:vAlign w:val="center"/>
          </w:tcPr>
          <w:p w14:paraId="7FB0A6E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531" w:type="dxa"/>
            <w:vAlign w:val="center"/>
          </w:tcPr>
          <w:p w14:paraId="73156742">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044" w:type="dxa"/>
            <w:vAlign w:val="center"/>
          </w:tcPr>
          <w:p w14:paraId="7383717C">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865" w:type="dxa"/>
            <w:vAlign w:val="center"/>
          </w:tcPr>
          <w:p w14:paraId="7553ABC3">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国内□  进口□</w:t>
            </w:r>
          </w:p>
        </w:tc>
        <w:tc>
          <w:tcPr>
            <w:tcW w:w="626" w:type="dxa"/>
            <w:vAlign w:val="center"/>
          </w:tcPr>
          <w:p w14:paraId="3BD9529A">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904" w:type="dxa"/>
            <w:vAlign w:val="center"/>
          </w:tcPr>
          <w:p w14:paraId="4F5D2315">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75BD71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713" w:type="dxa"/>
            <w:vAlign w:val="center"/>
          </w:tcPr>
          <w:p w14:paraId="2BA4DC35">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w:t>
            </w:r>
          </w:p>
        </w:tc>
        <w:tc>
          <w:tcPr>
            <w:tcW w:w="1238" w:type="dxa"/>
            <w:vAlign w:val="center"/>
          </w:tcPr>
          <w:p w14:paraId="7F866200">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866" w:type="dxa"/>
            <w:vAlign w:val="center"/>
          </w:tcPr>
          <w:p w14:paraId="794E34C4">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948" w:type="dxa"/>
            <w:vAlign w:val="center"/>
          </w:tcPr>
          <w:p w14:paraId="1F09D9F6">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531" w:type="dxa"/>
            <w:vAlign w:val="center"/>
          </w:tcPr>
          <w:p w14:paraId="74C881CC">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044" w:type="dxa"/>
            <w:vAlign w:val="center"/>
          </w:tcPr>
          <w:p w14:paraId="23361EB3">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1865" w:type="dxa"/>
            <w:vAlign w:val="center"/>
          </w:tcPr>
          <w:p w14:paraId="322D3DE4">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国内□  进口□</w:t>
            </w:r>
          </w:p>
        </w:tc>
        <w:tc>
          <w:tcPr>
            <w:tcW w:w="626" w:type="dxa"/>
            <w:vAlign w:val="center"/>
          </w:tcPr>
          <w:p w14:paraId="086AD77F">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c>
          <w:tcPr>
            <w:tcW w:w="904" w:type="dxa"/>
            <w:vAlign w:val="center"/>
          </w:tcPr>
          <w:p w14:paraId="48415250">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bl>
    <w:p w14:paraId="6E103D97">
      <w:pPr>
        <w:keepNext w:val="0"/>
        <w:keepLines w:val="0"/>
        <w:pageBreakBefore w:val="0"/>
        <w:widowControl w:val="0"/>
        <w:kinsoku/>
        <w:wordWrap w:val="0"/>
        <w:overflowPunct w:val="0"/>
        <w:topLinePunct/>
        <w:autoSpaceDE/>
        <w:autoSpaceDN/>
        <w:bidi w:val="0"/>
        <w:adjustRightInd/>
        <w:snapToGrid/>
        <w:spacing w:line="0" w:lineRule="atLeast"/>
        <w:ind w:firstLine="422" w:firstLineChars="200"/>
        <w:jc w:val="left"/>
        <w:textAlignment w:val="auto"/>
        <w:rPr>
          <w:rFonts w:hint="eastAsia" w:ascii="仿宋" w:hAnsi="仿宋" w:eastAsia="仿宋" w:cs="仿宋"/>
          <w:b/>
          <w:color w:val="000000" w:themeColor="text1"/>
          <w:sz w:val="20"/>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bidi="ar"/>
          <w14:textFill>
            <w14:solidFill>
              <w14:schemeClr w14:val="tx1"/>
            </w14:solidFill>
          </w14:textFill>
        </w:rPr>
        <w:t>注：此表“单价”请填写下浮后的单价。</w:t>
      </w:r>
    </w:p>
    <w:p w14:paraId="172BC168">
      <w:pPr>
        <w:pStyle w:val="370"/>
        <w:spacing w:line="360" w:lineRule="auto"/>
        <w:ind w:firstLine="2" w:firstLineChars="1"/>
        <w:rPr>
          <w:rFonts w:hint="eastAsia" w:ascii="仿宋" w:hAnsi="仿宋" w:eastAsia="仿宋" w:cs="仿宋"/>
          <w:color w:val="000000" w:themeColor="text1"/>
          <w:szCs w:val="21"/>
          <w:highlight w:val="none"/>
          <w14:textFill>
            <w14:solidFill>
              <w14:schemeClr w14:val="tx1"/>
            </w14:solidFill>
          </w14:textFill>
        </w:rPr>
      </w:pPr>
    </w:p>
    <w:p w14:paraId="037B2833">
      <w:pPr>
        <w:pStyle w:val="66"/>
        <w:rPr>
          <w:rFonts w:hint="eastAsia" w:ascii="仿宋" w:hAnsi="仿宋" w:eastAsia="仿宋" w:cs="仿宋"/>
          <w:color w:val="000000" w:themeColor="text1"/>
          <w:sz w:val="24"/>
          <w:szCs w:val="24"/>
          <w:highlight w:val="none"/>
          <w:lang w:eastAsia="zh-CN"/>
          <w14:textFill>
            <w14:solidFill>
              <w14:schemeClr w14:val="tx1"/>
            </w14:solidFill>
          </w14:textFill>
        </w:rPr>
      </w:pPr>
    </w:p>
    <w:p w14:paraId="39CB7458">
      <w:pPr>
        <w:wordWrap w:val="0"/>
        <w:overflowPunct w:val="0"/>
        <w:topLinePunct/>
        <w:spacing w:line="360" w:lineRule="auto"/>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投标人</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none"/>
          <w14:textFill>
            <w14:solidFill>
              <w14:schemeClr w14:val="tx1"/>
            </w14:solidFill>
          </w14:textFill>
        </w:rPr>
        <w:t>（</w:t>
      </w:r>
      <w:r>
        <w:rPr>
          <w:rFonts w:hint="eastAsia" w:ascii="仿宋" w:hAnsi="仿宋" w:eastAsia="仿宋" w:cs="仿宋"/>
          <w:color w:val="000000" w:themeColor="text1"/>
          <w:sz w:val="24"/>
          <w:highlight w:val="none"/>
          <w:u w:val="none"/>
          <w:lang w:val="en-US" w:eastAsia="zh-CN"/>
          <w14:textFill>
            <w14:solidFill>
              <w14:schemeClr w14:val="tx1"/>
            </w14:solidFill>
          </w14:textFill>
        </w:rPr>
        <w:t>加盖电子</w:t>
      </w:r>
      <w:r>
        <w:rPr>
          <w:rFonts w:hint="eastAsia" w:ascii="仿宋" w:hAnsi="仿宋" w:eastAsia="仿宋" w:cs="仿宋"/>
          <w:color w:val="000000" w:themeColor="text1"/>
          <w:sz w:val="24"/>
          <w:highlight w:val="none"/>
          <w14:textFill>
            <w14:solidFill>
              <w14:schemeClr w14:val="tx1"/>
            </w14:solidFill>
          </w14:textFill>
        </w:rPr>
        <w:t>公章）</w:t>
      </w:r>
    </w:p>
    <w:p w14:paraId="18012618">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outlineLvl w:val="2"/>
        <w:rPr>
          <w:rFonts w:hint="eastAsia" w:ascii="仿宋" w:hAnsi="仿宋" w:eastAsia="仿宋" w:cs="仿宋"/>
          <w:color w:val="000000" w:themeColor="text1"/>
          <w:sz w:val="24"/>
          <w:szCs w:val="24"/>
          <w:highlight w:val="none"/>
          <w:u w:val="single"/>
          <w:lang w:eastAsia="zh-CN"/>
          <w14:textFill>
            <w14:solidFill>
              <w14:schemeClr w14:val="tx1"/>
            </w14:solidFill>
          </w14:textFill>
        </w:rPr>
      </w:pPr>
      <w:bookmarkStart w:id="1917" w:name="_Toc5390"/>
      <w:bookmarkStart w:id="1918" w:name="_Toc25706"/>
      <w:r>
        <w:rPr>
          <w:rFonts w:hint="eastAsia" w:ascii="仿宋" w:hAnsi="仿宋" w:eastAsia="仿宋" w:cs="仿宋"/>
          <w:color w:val="000000" w:themeColor="text1"/>
          <w:sz w:val="24"/>
          <w:highlight w:val="none"/>
          <w14:textFill>
            <w14:solidFill>
              <w14:schemeClr w14:val="tx1"/>
            </w14:solidFill>
          </w14:textFill>
        </w:rPr>
        <w:t>法定代表人（负责人）或授权委托人：</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eastAsia="zh-CN"/>
          <w14:textFill>
            <w14:solidFill>
              <w14:schemeClr w14:val="tx1"/>
            </w14:solidFill>
          </w14:textFill>
        </w:rPr>
        <w:t>签字或电子签章</w:t>
      </w:r>
      <w:r>
        <w:rPr>
          <w:rFonts w:hint="eastAsia" w:ascii="仿宋" w:hAnsi="仿宋" w:eastAsia="仿宋" w:cs="仿宋"/>
          <w:color w:val="000000" w:themeColor="text1"/>
          <w:sz w:val="24"/>
          <w:highlight w:val="none"/>
          <w14:textFill>
            <w14:solidFill>
              <w14:schemeClr w14:val="tx1"/>
            </w14:solidFill>
          </w14:textFill>
        </w:rPr>
        <w:t>）</w:t>
      </w:r>
      <w:bookmarkEnd w:id="1917"/>
      <w:bookmarkEnd w:id="1918"/>
    </w:p>
    <w:p w14:paraId="65455D3E">
      <w:pPr>
        <w:spacing w:line="360" w:lineRule="auto"/>
        <w:jc w:val="center"/>
        <w:rPr>
          <w:rFonts w:hint="eastAsia" w:ascii="仿宋" w:hAnsi="仿宋" w:eastAsia="仿宋" w:cs="仿宋"/>
          <w:color w:val="auto"/>
          <w:sz w:val="24"/>
          <w:szCs w:val="24"/>
          <w:highlight w:val="none"/>
          <w:lang w:eastAsia="zh-CN"/>
        </w:rPr>
        <w:sectPr>
          <w:pgSz w:w="11906" w:h="16838"/>
          <w:pgMar w:top="1134" w:right="1134" w:bottom="1134" w:left="1134" w:header="720" w:footer="907" w:gutter="0"/>
          <w:pgBorders>
            <w:top w:val="none" w:sz="0" w:space="0"/>
            <w:left w:val="none" w:sz="0" w:space="0"/>
            <w:bottom w:val="none" w:sz="0" w:space="0"/>
            <w:right w:val="none" w:sz="0" w:space="0"/>
          </w:pgBorders>
          <w:pgNumType w:fmt="decimal"/>
          <w:cols w:space="720" w:num="1"/>
        </w:sectPr>
      </w:pPr>
      <w:r>
        <w:rPr>
          <w:rFonts w:hint="eastAsia" w:ascii="仿宋" w:hAnsi="仿宋" w:eastAsia="仿宋" w:cs="仿宋"/>
          <w:color w:val="000000" w:themeColor="text1"/>
          <w:sz w:val="24"/>
          <w:szCs w:val="24"/>
          <w:highlight w:val="none"/>
          <w:lang w:eastAsia="zh-CN"/>
          <w14:textFill>
            <w14:solidFill>
              <w14:schemeClr w14:val="tx1"/>
            </w14:solidFill>
          </w14:textFill>
        </w:rPr>
        <w:t>日期：</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lang w:eastAsia="zh-CN"/>
          <w14:textFill>
            <w14:solidFill>
              <w14:schemeClr w14:val="tx1"/>
            </w14:solidFill>
          </w14:textFill>
        </w:rPr>
        <w:t>年</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lang w:eastAsia="zh-CN"/>
          <w14:textFill>
            <w14:solidFill>
              <w14:schemeClr w14:val="tx1"/>
            </w14:solidFill>
          </w14:textFill>
        </w:rPr>
        <w:t>月</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lang w:eastAsia="zh-CN"/>
          <w14:textFill>
            <w14:solidFill>
              <w14:schemeClr w14:val="tx1"/>
            </w14:solidFill>
          </w14:textFill>
        </w:rPr>
        <w:t>日</w:t>
      </w:r>
    </w:p>
    <w:p w14:paraId="170B63AC">
      <w:pPr>
        <w:wordWrap w:val="0"/>
        <w:overflowPunct w:val="0"/>
        <w:topLinePunct/>
        <w:jc w:val="center"/>
        <w:outlineLvl w:val="1"/>
        <w:rPr>
          <w:rFonts w:hint="eastAsia" w:ascii="仿宋" w:hAnsi="仿宋" w:eastAsia="仿宋" w:cs="仿宋"/>
          <w:b/>
          <w:bCs/>
          <w:color w:val="auto"/>
          <w:sz w:val="28"/>
          <w:szCs w:val="28"/>
          <w:highlight w:val="none"/>
        </w:rPr>
      </w:pPr>
      <w:bookmarkStart w:id="1919" w:name="_Toc9431"/>
      <w:bookmarkStart w:id="1920" w:name="_Toc13697"/>
      <w:bookmarkStart w:id="1921" w:name="_Toc18779"/>
      <w:bookmarkStart w:id="1922" w:name="_Toc18503"/>
      <w:bookmarkStart w:id="1923" w:name="_Toc805"/>
      <w:bookmarkStart w:id="1924" w:name="_Toc19116"/>
      <w:bookmarkStart w:id="1925" w:name="_Toc15773"/>
      <w:bookmarkStart w:id="1926" w:name="_Toc16894"/>
      <w:bookmarkStart w:id="1927" w:name="_Toc12820"/>
      <w:bookmarkStart w:id="1928" w:name="_Toc1243"/>
      <w:bookmarkStart w:id="1929" w:name="_Toc23358"/>
      <w:bookmarkStart w:id="1930" w:name="_Toc31224"/>
      <w:bookmarkStart w:id="1931" w:name="_Toc15176"/>
      <w:bookmarkStart w:id="1932" w:name="_Toc10617"/>
      <w:bookmarkStart w:id="1933" w:name="_Toc17170"/>
      <w:bookmarkStart w:id="1934" w:name="_Toc10871"/>
      <w:bookmarkStart w:id="1935" w:name="_Toc17678"/>
      <w:bookmarkStart w:id="1936" w:name="_Toc28150"/>
      <w:bookmarkStart w:id="1937" w:name="_Toc9958"/>
      <w:bookmarkStart w:id="1938" w:name="_Toc20751"/>
      <w:bookmarkStart w:id="1939" w:name="_Toc18520"/>
      <w:bookmarkStart w:id="1940" w:name="_Toc18849"/>
      <w:bookmarkStart w:id="1941" w:name="_Toc31594"/>
      <w:bookmarkStart w:id="1942" w:name="_Toc14316"/>
      <w:bookmarkStart w:id="1943" w:name="_Toc6244"/>
      <w:bookmarkStart w:id="1944" w:name="_Toc6574"/>
      <w:bookmarkStart w:id="1945" w:name="_Toc30860"/>
      <w:bookmarkStart w:id="1946" w:name="_Toc32623"/>
      <w:bookmarkStart w:id="1947" w:name="_Toc32557"/>
      <w:r>
        <w:rPr>
          <w:rFonts w:hint="eastAsia" w:ascii="仿宋" w:hAnsi="仿宋" w:eastAsia="仿宋" w:cs="仿宋"/>
          <w:b/>
          <w:bCs/>
          <w:color w:val="auto"/>
          <w:sz w:val="28"/>
          <w:szCs w:val="28"/>
          <w:highlight w:val="none"/>
          <w:lang w:val="en-US" w:eastAsia="zh-CN"/>
        </w:rPr>
        <w:t>三</w:t>
      </w:r>
      <w:r>
        <w:rPr>
          <w:rFonts w:hint="eastAsia" w:ascii="仿宋" w:hAnsi="仿宋" w:eastAsia="仿宋" w:cs="仿宋"/>
          <w:b/>
          <w:bCs/>
          <w:color w:val="auto"/>
          <w:sz w:val="28"/>
          <w:szCs w:val="28"/>
          <w:highlight w:val="none"/>
          <w:lang w:val="zh-CN" w:eastAsia="zh-CN"/>
        </w:rPr>
        <w:t>、</w:t>
      </w:r>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r>
        <w:rPr>
          <w:rFonts w:hint="eastAsia" w:ascii="仿宋" w:hAnsi="仿宋" w:eastAsia="仿宋" w:cs="仿宋"/>
          <w:b/>
          <w:bCs/>
          <w:color w:val="auto"/>
          <w:sz w:val="28"/>
          <w:szCs w:val="28"/>
          <w:highlight w:val="none"/>
          <w:lang w:eastAsia="zh-CN"/>
        </w:rPr>
        <w:t>落实政府采购政策</w:t>
      </w:r>
      <w:bookmarkEnd w:id="1942"/>
      <w:bookmarkEnd w:id="1943"/>
      <w:bookmarkEnd w:id="1944"/>
      <w:bookmarkEnd w:id="1945"/>
      <w:bookmarkEnd w:id="1946"/>
      <w:bookmarkEnd w:id="1947"/>
    </w:p>
    <w:p w14:paraId="05C65A4B">
      <w:pPr>
        <w:wordWrap w:val="0"/>
        <w:overflowPunct w:val="0"/>
        <w:topLinePunct/>
        <w:jc w:val="center"/>
        <w:outlineLvl w:val="9"/>
        <w:rPr>
          <w:rFonts w:hint="eastAsia" w:ascii="仿宋" w:hAnsi="仿宋" w:eastAsia="仿宋" w:cs="仿宋"/>
          <w:color w:val="auto"/>
          <w:szCs w:val="30"/>
          <w:highlight w:val="none"/>
        </w:rPr>
      </w:pPr>
    </w:p>
    <w:p w14:paraId="5F8319A6">
      <w:pPr>
        <w:wordWrap w:val="0"/>
        <w:overflowPunct w:val="0"/>
        <w:topLinePunct/>
        <w:spacing w:line="360" w:lineRule="auto"/>
        <w:jc w:val="lef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说明：</w:t>
      </w:r>
    </w:p>
    <w:p w14:paraId="0F0DD9BC">
      <w:pPr>
        <w:wordWrap w:val="0"/>
        <w:overflowPunct w:val="0"/>
        <w:topLinePunct/>
        <w:spacing w:line="360" w:lineRule="auto"/>
        <w:ind w:firstLine="480" w:firstLineChars="200"/>
        <w:jc w:val="lef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eastAsia="zh-CN"/>
        </w:rPr>
        <w:t xml:space="preserve">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 </w:t>
      </w:r>
    </w:p>
    <w:p w14:paraId="7CF8DF69">
      <w:pPr>
        <w:wordWrap w:val="0"/>
        <w:overflowPunct w:val="0"/>
        <w:topLinePunct/>
        <w:spacing w:line="360" w:lineRule="auto"/>
        <w:ind w:firstLine="480" w:firstLineChars="200"/>
        <w:jc w:val="lef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eastAsia="zh-CN"/>
        </w:rPr>
        <w:t xml:space="preserve">2）对于联合体中由中小企业承担的部分，或者分包给中小企业的部分，必须全部由中小企业制造、承建或者承接。投标人应当在声明函“标的名称”部分标明联合体中中小企业承担的具体内容或者中小企业的具体分包内容。 </w:t>
      </w:r>
    </w:p>
    <w:p w14:paraId="37DCCB28">
      <w:pPr>
        <w:wordWrap w:val="0"/>
        <w:overflowPunct w:val="0"/>
        <w:topLinePunct/>
        <w:spacing w:line="360" w:lineRule="auto"/>
        <w:ind w:firstLine="480" w:firstLineChars="200"/>
        <w:jc w:val="lef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eastAsia="zh-CN"/>
        </w:rPr>
        <w:t>3）对于多标的采购项目，投标人应充分、准确地了解所提供货物的制造企业、提供服务的承接企业信息。对相关情况了解不清楚的，不建议填报本声明函。</w:t>
      </w:r>
    </w:p>
    <w:p w14:paraId="22C1E430">
      <w:pPr>
        <w:wordWrap w:val="0"/>
        <w:overflowPunct w:val="0"/>
        <w:topLinePunct/>
        <w:spacing w:line="360" w:lineRule="auto"/>
        <w:ind w:firstLine="480" w:firstLineChars="200"/>
        <w:jc w:val="lef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eastAsia="zh-CN"/>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如在该程序中未找到本项目文件规定的中小企业划分标准所属行业，则按照《关于印发中小企业划型标准规定的通知（工信部联企业﹝2011﹞300 号）》及本项目文件规定的中小企业划分标准所属行业执行。</w:t>
      </w:r>
    </w:p>
    <w:p w14:paraId="5E354A34">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outlineLvl w:val="9"/>
        <w:rPr>
          <w:rFonts w:hint="eastAsia" w:ascii="仿宋" w:hAnsi="仿宋" w:eastAsia="仿宋" w:cs="仿宋"/>
          <w:b/>
          <w:bCs/>
          <w:color w:val="auto"/>
          <w:sz w:val="30"/>
          <w:szCs w:val="30"/>
          <w:highlight w:val="none"/>
          <w:lang w:val="en-US" w:eastAsia="zh-CN"/>
        </w:rPr>
        <w:sectPr>
          <w:pgSz w:w="11906" w:h="16838"/>
          <w:pgMar w:top="1134" w:right="1134" w:bottom="1134" w:left="1134" w:header="720" w:footer="907" w:gutter="0"/>
          <w:pgBorders>
            <w:top w:val="none" w:sz="0" w:space="0"/>
            <w:left w:val="none" w:sz="0" w:space="0"/>
            <w:bottom w:val="none" w:sz="0" w:space="0"/>
            <w:right w:val="none" w:sz="0" w:space="0"/>
          </w:pgBorders>
          <w:pgNumType w:fmt="decimal"/>
          <w:cols w:space="720" w:num="1"/>
          <w:rtlGutter w:val="0"/>
        </w:sectPr>
      </w:pPr>
      <w:bookmarkStart w:id="1948" w:name="_Toc16149"/>
      <w:bookmarkStart w:id="1949" w:name="_Toc30990"/>
      <w:bookmarkStart w:id="1950" w:name="_Toc9189"/>
      <w:bookmarkStart w:id="1951" w:name="_Toc4785"/>
      <w:bookmarkStart w:id="1952" w:name="_Toc25444"/>
      <w:bookmarkStart w:id="1953" w:name="_Toc6532"/>
      <w:bookmarkStart w:id="1954" w:name="_Toc5567"/>
      <w:bookmarkStart w:id="1955" w:name="_Toc4362"/>
      <w:bookmarkStart w:id="1956" w:name="_Toc31097"/>
      <w:bookmarkStart w:id="1957" w:name="_Toc13096"/>
      <w:bookmarkStart w:id="1958" w:name="_Toc3101"/>
      <w:bookmarkStart w:id="1959" w:name="_Toc18460"/>
      <w:bookmarkStart w:id="1960" w:name="_Toc3382"/>
      <w:bookmarkStart w:id="1961" w:name="_Toc31351"/>
      <w:bookmarkStart w:id="1962" w:name="_Toc29070"/>
      <w:bookmarkStart w:id="1963" w:name="_Toc29802"/>
      <w:bookmarkStart w:id="1964" w:name="_Toc6169"/>
      <w:bookmarkStart w:id="1965" w:name="_Toc32564"/>
      <w:bookmarkStart w:id="1966" w:name="_Toc9989"/>
      <w:bookmarkStart w:id="1967" w:name="_Toc13683"/>
      <w:bookmarkStart w:id="1968" w:name="_Toc29581"/>
      <w:bookmarkStart w:id="1969" w:name="_Toc7953"/>
      <w:bookmarkStart w:id="1970" w:name="_Toc11649"/>
      <w:bookmarkStart w:id="1971" w:name="_Toc15831"/>
      <w:bookmarkStart w:id="1972" w:name="_Toc10388"/>
    </w:p>
    <w:p w14:paraId="4DE8BD67">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outlineLvl w:val="2"/>
        <w:rPr>
          <w:rFonts w:hint="eastAsia" w:ascii="仿宋" w:hAnsi="仿宋" w:eastAsia="仿宋" w:cs="仿宋"/>
          <w:i w:val="0"/>
          <w:iCs w:val="0"/>
          <w:color w:val="auto"/>
          <w:sz w:val="22"/>
          <w:szCs w:val="22"/>
          <w:highlight w:val="none"/>
          <w:lang w:val="en-US" w:eastAsia="zh-CN"/>
        </w:rPr>
      </w:pPr>
      <w:bookmarkStart w:id="1973" w:name="_Toc19520"/>
      <w:bookmarkStart w:id="1974" w:name="_Toc12208"/>
      <w:bookmarkStart w:id="1975" w:name="_Toc14451"/>
      <w:bookmarkStart w:id="1976" w:name="_Toc6298"/>
      <w:bookmarkStart w:id="1977" w:name="_Toc8646"/>
      <w:bookmarkStart w:id="1978" w:name="_Toc10936"/>
      <w:r>
        <w:rPr>
          <w:rFonts w:hint="eastAsia" w:ascii="仿宋" w:hAnsi="仿宋" w:eastAsia="仿宋" w:cs="仿宋"/>
          <w:b/>
          <w:bCs/>
          <w:i w:val="0"/>
          <w:iCs w:val="0"/>
          <w:color w:val="auto"/>
          <w:sz w:val="28"/>
          <w:szCs w:val="28"/>
          <w:highlight w:val="none"/>
          <w:lang w:val="en-US" w:eastAsia="zh-CN"/>
        </w:rPr>
        <w:t>中小企业声明函（货物）</w:t>
      </w:r>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p>
    <w:p w14:paraId="072FB96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本公司（联合体）郑重声明，根据《政府采购促进中小企业发展管理办法》（财库〔2020〕46号）的规定，本公司（联合体）参加</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u w:val="none"/>
          <w:lang w:val="en-US" w:eastAsia="zh-CN"/>
        </w:rPr>
        <w:t>（单位名称）的</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u w:val="none"/>
          <w:lang w:val="en-US" w:eastAsia="zh-CN"/>
        </w:rPr>
        <w:t>（项目名称）</w:t>
      </w:r>
      <w:r>
        <w:rPr>
          <w:rFonts w:hint="eastAsia" w:ascii="仿宋" w:hAnsi="仿宋" w:eastAsia="仿宋" w:cs="仿宋"/>
          <w:i w:val="0"/>
          <w:iCs w:val="0"/>
          <w:color w:val="auto"/>
          <w:sz w:val="24"/>
          <w:szCs w:val="24"/>
          <w:highlight w:val="none"/>
          <w:lang w:val="en-US" w:eastAsia="zh-CN"/>
        </w:rPr>
        <w:t>采购活动，货物全部由符合政策要求的中小企业承接。相关企业（含联合体中的中小企业、签订分包意向协议的中小企业）的具体情况如下：</w:t>
      </w:r>
    </w:p>
    <w:p w14:paraId="5B2D2EE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1.（</w:t>
      </w:r>
      <w:r>
        <w:rPr>
          <w:rFonts w:hint="eastAsia" w:ascii="仿宋" w:hAnsi="仿宋" w:eastAsia="仿宋" w:cs="仿宋"/>
          <w:i w:val="0"/>
          <w:iCs w:val="0"/>
          <w:color w:val="auto"/>
          <w:sz w:val="24"/>
          <w:szCs w:val="24"/>
          <w:highlight w:val="none"/>
          <w:u w:val="single"/>
          <w:lang w:val="en-US" w:eastAsia="zh-CN"/>
        </w:rPr>
        <w:t>标的名称</w:t>
      </w:r>
      <w:r>
        <w:rPr>
          <w:rFonts w:hint="eastAsia" w:ascii="仿宋" w:hAnsi="仿宋" w:eastAsia="仿宋" w:cs="仿宋"/>
          <w:i w:val="0"/>
          <w:iCs w:val="0"/>
          <w:color w:val="auto"/>
          <w:sz w:val="24"/>
          <w:szCs w:val="24"/>
          <w:highlight w:val="none"/>
          <w:lang w:val="en-US" w:eastAsia="zh-CN"/>
        </w:rPr>
        <w:t>），属于（</w:t>
      </w:r>
      <w:r>
        <w:rPr>
          <w:rFonts w:hint="eastAsia" w:ascii="仿宋" w:hAnsi="仿宋" w:eastAsia="仿宋" w:cs="仿宋"/>
          <w:i w:val="0"/>
          <w:iCs w:val="0"/>
          <w:color w:val="auto"/>
          <w:sz w:val="24"/>
          <w:szCs w:val="24"/>
          <w:highlight w:val="none"/>
          <w:u w:val="single"/>
          <w:lang w:val="en-US" w:eastAsia="zh-CN"/>
        </w:rPr>
        <w:t>采购文件中明确的所属行业</w:t>
      </w:r>
      <w:r>
        <w:rPr>
          <w:rFonts w:hint="eastAsia" w:ascii="仿宋" w:hAnsi="仿宋" w:eastAsia="仿宋" w:cs="仿宋"/>
          <w:i w:val="0"/>
          <w:iCs w:val="0"/>
          <w:color w:val="auto"/>
          <w:sz w:val="24"/>
          <w:szCs w:val="24"/>
          <w:highlight w:val="none"/>
          <w:lang w:val="en-US" w:eastAsia="zh-CN"/>
        </w:rPr>
        <w:t>）；制造商为（</w:t>
      </w:r>
      <w:r>
        <w:rPr>
          <w:rFonts w:hint="eastAsia" w:ascii="仿宋" w:hAnsi="仿宋" w:eastAsia="仿宋" w:cs="仿宋"/>
          <w:i w:val="0"/>
          <w:iCs w:val="0"/>
          <w:color w:val="auto"/>
          <w:sz w:val="24"/>
          <w:szCs w:val="24"/>
          <w:highlight w:val="none"/>
          <w:u w:val="single"/>
          <w:lang w:val="en-US" w:eastAsia="zh-CN"/>
        </w:rPr>
        <w:t>企业名称</w:t>
      </w:r>
      <w:r>
        <w:rPr>
          <w:rFonts w:hint="eastAsia" w:ascii="仿宋" w:hAnsi="仿宋" w:eastAsia="仿宋" w:cs="仿宋"/>
          <w:i w:val="0"/>
          <w:iCs w:val="0"/>
          <w:color w:val="auto"/>
          <w:sz w:val="24"/>
          <w:szCs w:val="24"/>
          <w:highlight w:val="none"/>
          <w:lang w:val="en-US" w:eastAsia="zh-CN"/>
        </w:rPr>
        <w:t>），从业人员</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人，营业收入为</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万元，资产总额为</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万元，属于</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（中型企业、小型企业、微型企业）；</w:t>
      </w:r>
    </w:p>
    <w:p w14:paraId="4393752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2.（</w:t>
      </w:r>
      <w:r>
        <w:rPr>
          <w:rFonts w:hint="eastAsia" w:ascii="仿宋" w:hAnsi="仿宋" w:eastAsia="仿宋" w:cs="仿宋"/>
          <w:i w:val="0"/>
          <w:iCs w:val="0"/>
          <w:color w:val="auto"/>
          <w:sz w:val="24"/>
          <w:szCs w:val="24"/>
          <w:highlight w:val="none"/>
          <w:u w:val="single"/>
          <w:lang w:val="en-US" w:eastAsia="zh-CN"/>
        </w:rPr>
        <w:t>标的名称</w:t>
      </w:r>
      <w:r>
        <w:rPr>
          <w:rFonts w:hint="eastAsia" w:ascii="仿宋" w:hAnsi="仿宋" w:eastAsia="仿宋" w:cs="仿宋"/>
          <w:i w:val="0"/>
          <w:iCs w:val="0"/>
          <w:color w:val="auto"/>
          <w:sz w:val="24"/>
          <w:szCs w:val="24"/>
          <w:highlight w:val="none"/>
          <w:lang w:val="en-US" w:eastAsia="zh-CN"/>
        </w:rPr>
        <w:t>），属于（</w:t>
      </w:r>
      <w:r>
        <w:rPr>
          <w:rFonts w:hint="eastAsia" w:ascii="仿宋" w:hAnsi="仿宋" w:eastAsia="仿宋" w:cs="仿宋"/>
          <w:i w:val="0"/>
          <w:iCs w:val="0"/>
          <w:color w:val="auto"/>
          <w:sz w:val="24"/>
          <w:szCs w:val="24"/>
          <w:highlight w:val="none"/>
          <w:u w:val="single"/>
          <w:lang w:val="en-US" w:eastAsia="zh-CN"/>
        </w:rPr>
        <w:t>采购文件中明确的所属行业</w:t>
      </w:r>
      <w:r>
        <w:rPr>
          <w:rFonts w:hint="eastAsia" w:ascii="仿宋" w:hAnsi="仿宋" w:eastAsia="仿宋" w:cs="仿宋"/>
          <w:i w:val="0"/>
          <w:iCs w:val="0"/>
          <w:color w:val="auto"/>
          <w:sz w:val="24"/>
          <w:szCs w:val="24"/>
          <w:highlight w:val="none"/>
          <w:lang w:val="en-US" w:eastAsia="zh-CN"/>
        </w:rPr>
        <w:t>）；制造商为（</w:t>
      </w:r>
      <w:r>
        <w:rPr>
          <w:rFonts w:hint="eastAsia" w:ascii="仿宋" w:hAnsi="仿宋" w:eastAsia="仿宋" w:cs="仿宋"/>
          <w:i w:val="0"/>
          <w:iCs w:val="0"/>
          <w:color w:val="auto"/>
          <w:sz w:val="24"/>
          <w:szCs w:val="24"/>
          <w:highlight w:val="none"/>
          <w:u w:val="single"/>
          <w:lang w:val="en-US" w:eastAsia="zh-CN"/>
        </w:rPr>
        <w:t>企业名称</w:t>
      </w:r>
      <w:r>
        <w:rPr>
          <w:rFonts w:hint="eastAsia" w:ascii="仿宋" w:hAnsi="仿宋" w:eastAsia="仿宋" w:cs="仿宋"/>
          <w:i w:val="0"/>
          <w:iCs w:val="0"/>
          <w:color w:val="auto"/>
          <w:sz w:val="24"/>
          <w:szCs w:val="24"/>
          <w:highlight w:val="none"/>
          <w:lang w:val="en-US" w:eastAsia="zh-CN"/>
        </w:rPr>
        <w:t>），从业人员</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人，营业收入为</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万元，资产总额为</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万元，属于</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（中型企业、小型企业、微型企业）；</w:t>
      </w:r>
    </w:p>
    <w:p w14:paraId="56E748C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w:t>
      </w:r>
    </w:p>
    <w:p w14:paraId="5CFFE11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以上企业，不属于大企业的分支机构，不存在控股股东为大企业的情形，也不存在与大企业的负责人为同一人的情形。</w:t>
      </w:r>
    </w:p>
    <w:p w14:paraId="6AE6F21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本企业对上述声明内容的真实性负责。如有虚假，将依法承担相应责任。</w:t>
      </w:r>
    </w:p>
    <w:p w14:paraId="4994E4F4">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i w:val="0"/>
          <w:iCs w:val="0"/>
          <w:color w:val="auto"/>
          <w:sz w:val="24"/>
          <w:szCs w:val="24"/>
          <w:highlight w:val="none"/>
          <w:lang w:val="en-US" w:eastAsia="zh-CN"/>
        </w:rPr>
      </w:pPr>
    </w:p>
    <w:p w14:paraId="270FB4E3">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i w:val="0"/>
          <w:iCs w:val="0"/>
          <w:color w:val="auto"/>
          <w:highlight w:val="none"/>
          <w:lang w:val="en-US" w:eastAsia="zh-CN"/>
        </w:rPr>
      </w:pPr>
    </w:p>
    <w:p w14:paraId="12160AF0">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i w:val="0"/>
          <w:iCs w:val="0"/>
          <w:color w:val="auto"/>
          <w:sz w:val="24"/>
          <w:szCs w:val="24"/>
          <w:highlight w:val="none"/>
          <w:lang w:val="en-US" w:eastAsia="zh-CN"/>
        </w:rPr>
      </w:pPr>
    </w:p>
    <w:p w14:paraId="0AF8F33E">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i w:val="0"/>
          <w:iCs w:val="0"/>
          <w:color w:val="auto"/>
          <w:sz w:val="24"/>
          <w:szCs w:val="24"/>
          <w:highlight w:val="none"/>
          <w:lang w:val="en-US" w:eastAsia="zh-CN"/>
        </w:rPr>
      </w:pPr>
    </w:p>
    <w:p w14:paraId="2AC2707F">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i w:val="0"/>
          <w:iCs w:val="0"/>
          <w:color w:val="auto"/>
          <w:sz w:val="24"/>
          <w:szCs w:val="24"/>
          <w:highlight w:val="none"/>
          <w:lang w:val="en-US" w:eastAsia="zh-CN"/>
        </w:rPr>
      </w:pPr>
    </w:p>
    <w:p w14:paraId="7868C38C">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i w:val="0"/>
          <w:iCs w:val="0"/>
          <w:color w:val="auto"/>
          <w:sz w:val="24"/>
          <w:szCs w:val="24"/>
          <w:highlight w:val="none"/>
          <w:lang w:val="en-US" w:eastAsia="zh-CN"/>
        </w:rPr>
      </w:pPr>
    </w:p>
    <w:p w14:paraId="5C5381E9">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i w:val="0"/>
          <w:iCs w:val="0"/>
          <w:color w:val="auto"/>
          <w:sz w:val="24"/>
          <w:szCs w:val="24"/>
          <w:highlight w:val="none"/>
          <w:lang w:val="en-US" w:eastAsia="zh-CN"/>
        </w:rPr>
      </w:pPr>
    </w:p>
    <w:p w14:paraId="595FBE96">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i w:val="0"/>
          <w:iCs w:val="0"/>
          <w:color w:val="auto"/>
          <w:sz w:val="24"/>
          <w:szCs w:val="24"/>
          <w:highlight w:val="none"/>
          <w:lang w:val="en-US" w:eastAsia="zh-CN"/>
        </w:rPr>
      </w:pPr>
    </w:p>
    <w:p w14:paraId="51D3DA72">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企业名称：</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u w:val="none"/>
          <w:lang w:val="en-US" w:eastAsia="zh-CN"/>
        </w:rPr>
        <w:t>（盖章）</w:t>
      </w:r>
    </w:p>
    <w:p w14:paraId="7DC87030">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日期：</w:t>
      </w:r>
      <w:r>
        <w:rPr>
          <w:rFonts w:hint="eastAsia" w:ascii="仿宋" w:hAnsi="仿宋" w:eastAsia="仿宋" w:cs="仿宋"/>
          <w:i w:val="0"/>
          <w:iCs w:val="0"/>
          <w:color w:val="auto"/>
          <w:sz w:val="24"/>
          <w:szCs w:val="24"/>
          <w:highlight w:val="none"/>
          <w:u w:val="single"/>
          <w:lang w:eastAsia="zh-CN"/>
        </w:rPr>
        <w:t xml:space="preserve">     </w:t>
      </w:r>
      <w:r>
        <w:rPr>
          <w:rFonts w:hint="eastAsia" w:ascii="仿宋" w:hAnsi="仿宋" w:eastAsia="仿宋" w:cs="仿宋"/>
          <w:i w:val="0"/>
          <w:iCs w:val="0"/>
          <w:color w:val="auto"/>
          <w:sz w:val="24"/>
          <w:szCs w:val="24"/>
          <w:highlight w:val="none"/>
          <w:lang w:eastAsia="zh-CN"/>
        </w:rPr>
        <w:t>年</w:t>
      </w:r>
      <w:r>
        <w:rPr>
          <w:rFonts w:hint="eastAsia" w:ascii="仿宋" w:hAnsi="仿宋" w:eastAsia="仿宋" w:cs="仿宋"/>
          <w:i w:val="0"/>
          <w:iCs w:val="0"/>
          <w:color w:val="auto"/>
          <w:sz w:val="24"/>
          <w:szCs w:val="24"/>
          <w:highlight w:val="none"/>
          <w:u w:val="single"/>
          <w:lang w:eastAsia="zh-CN"/>
        </w:rPr>
        <w:t xml:space="preserve">     </w:t>
      </w:r>
      <w:r>
        <w:rPr>
          <w:rFonts w:hint="eastAsia" w:ascii="仿宋" w:hAnsi="仿宋" w:eastAsia="仿宋" w:cs="仿宋"/>
          <w:i w:val="0"/>
          <w:iCs w:val="0"/>
          <w:color w:val="auto"/>
          <w:sz w:val="24"/>
          <w:szCs w:val="24"/>
          <w:highlight w:val="none"/>
          <w:lang w:eastAsia="zh-CN"/>
        </w:rPr>
        <w:t>月</w:t>
      </w:r>
      <w:r>
        <w:rPr>
          <w:rFonts w:hint="eastAsia" w:ascii="仿宋" w:hAnsi="仿宋" w:eastAsia="仿宋" w:cs="仿宋"/>
          <w:i w:val="0"/>
          <w:iCs w:val="0"/>
          <w:color w:val="auto"/>
          <w:sz w:val="24"/>
          <w:szCs w:val="24"/>
          <w:highlight w:val="none"/>
          <w:u w:val="single"/>
          <w:lang w:eastAsia="zh-CN"/>
        </w:rPr>
        <w:t xml:space="preserve">     </w:t>
      </w:r>
      <w:r>
        <w:rPr>
          <w:rFonts w:hint="eastAsia" w:ascii="仿宋" w:hAnsi="仿宋" w:eastAsia="仿宋" w:cs="仿宋"/>
          <w:i w:val="0"/>
          <w:iCs w:val="0"/>
          <w:color w:val="auto"/>
          <w:sz w:val="24"/>
          <w:szCs w:val="24"/>
          <w:highlight w:val="none"/>
          <w:lang w:eastAsia="zh-CN"/>
        </w:rPr>
        <w:t>日</w:t>
      </w:r>
    </w:p>
    <w:p w14:paraId="5FBBFCDD">
      <w:pPr>
        <w:pStyle w:val="28"/>
        <w:keepNext w:val="0"/>
        <w:keepLines w:val="0"/>
        <w:pageBreakBefore w:val="0"/>
        <w:widowControl w:val="0"/>
        <w:kinsoku/>
        <w:wordWrap w:val="0"/>
        <w:overflowPunct/>
        <w:topLinePunct/>
        <w:autoSpaceDE/>
        <w:autoSpaceDN/>
        <w:bidi w:val="0"/>
        <w:adjustRightInd/>
        <w:snapToGrid/>
        <w:ind w:left="0" w:leftChars="0" w:right="0" w:firstLine="480" w:firstLineChars="200"/>
        <w:rPr>
          <w:rFonts w:hint="eastAsia" w:ascii="仿宋" w:hAnsi="仿宋" w:eastAsia="仿宋" w:cs="仿宋"/>
          <w:i w:val="0"/>
          <w:iCs w:val="0"/>
          <w:color w:val="auto"/>
          <w:sz w:val="24"/>
          <w:szCs w:val="24"/>
          <w:highlight w:val="none"/>
          <w:lang w:val="en-US" w:eastAsia="zh-CN"/>
        </w:rPr>
      </w:pPr>
    </w:p>
    <w:p w14:paraId="45FFBD0A">
      <w:pPr>
        <w:pStyle w:val="28"/>
        <w:keepNext w:val="0"/>
        <w:keepLines w:val="0"/>
        <w:pageBreakBefore w:val="0"/>
        <w:widowControl w:val="0"/>
        <w:kinsoku/>
        <w:wordWrap w:val="0"/>
        <w:overflowPunct/>
        <w:topLinePunct/>
        <w:autoSpaceDE/>
        <w:autoSpaceDN/>
        <w:bidi w:val="0"/>
        <w:adjustRightInd/>
        <w:snapToGrid/>
        <w:spacing w:line="0" w:lineRule="atLeast"/>
        <w:ind w:left="0" w:leftChars="0" w:right="0" w:firstLine="420" w:firstLineChars="200"/>
        <w:jc w:val="left"/>
        <w:textAlignment w:val="auto"/>
        <w:rPr>
          <w:rFonts w:hint="eastAsia" w:ascii="仿宋" w:hAnsi="仿宋" w:eastAsia="仿宋" w:cs="仿宋"/>
          <w:i w:val="0"/>
          <w:iCs w:val="0"/>
          <w:color w:val="auto"/>
          <w:sz w:val="21"/>
          <w:szCs w:val="21"/>
          <w:highlight w:val="none"/>
          <w:lang w:val="en-US" w:eastAsia="zh-CN"/>
        </w:rPr>
      </w:pPr>
    </w:p>
    <w:p w14:paraId="50FD64BE">
      <w:pPr>
        <w:pStyle w:val="28"/>
        <w:keepNext w:val="0"/>
        <w:keepLines w:val="0"/>
        <w:pageBreakBefore w:val="0"/>
        <w:widowControl w:val="0"/>
        <w:kinsoku/>
        <w:wordWrap w:val="0"/>
        <w:overflowPunct/>
        <w:topLinePunct/>
        <w:autoSpaceDE/>
        <w:autoSpaceDN/>
        <w:bidi w:val="0"/>
        <w:adjustRightInd/>
        <w:snapToGrid/>
        <w:spacing w:line="0" w:lineRule="atLeast"/>
        <w:ind w:left="0" w:leftChars="0" w:right="0" w:firstLine="420" w:firstLineChars="200"/>
        <w:jc w:val="left"/>
        <w:textAlignment w:val="auto"/>
        <w:rPr>
          <w:rFonts w:hint="eastAsia" w:ascii="仿宋" w:hAnsi="仿宋" w:eastAsia="仿宋" w:cs="仿宋"/>
          <w:i w:val="0"/>
          <w:iCs w:val="0"/>
          <w:color w:val="auto"/>
          <w:sz w:val="21"/>
          <w:szCs w:val="21"/>
          <w:highlight w:val="none"/>
          <w:lang w:val="en-US" w:eastAsia="zh-CN"/>
        </w:rPr>
      </w:pPr>
    </w:p>
    <w:p w14:paraId="650B6678">
      <w:pPr>
        <w:pStyle w:val="28"/>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仿宋" w:hAnsi="仿宋" w:eastAsia="仿宋" w:cs="仿宋"/>
          <w:b/>
          <w:bCs/>
          <w:i w:val="0"/>
          <w:iCs w:val="0"/>
          <w:color w:val="auto"/>
          <w:sz w:val="21"/>
          <w:szCs w:val="21"/>
          <w:highlight w:val="none"/>
          <w:lang w:val="en-US" w:eastAsia="zh-CN"/>
        </w:rPr>
      </w:pPr>
    </w:p>
    <w:p w14:paraId="75D254C4">
      <w:pPr>
        <w:pStyle w:val="28"/>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仿宋" w:hAnsi="仿宋" w:eastAsia="仿宋" w:cs="仿宋"/>
          <w:b/>
          <w:bCs/>
          <w:i w:val="0"/>
          <w:iCs w:val="0"/>
          <w:color w:val="auto"/>
          <w:sz w:val="21"/>
          <w:szCs w:val="21"/>
          <w:highlight w:val="none"/>
          <w:lang w:val="en-US" w:eastAsia="zh-CN"/>
        </w:rPr>
      </w:pPr>
    </w:p>
    <w:p w14:paraId="3402BBEA">
      <w:pPr>
        <w:pStyle w:val="28"/>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仿宋" w:hAnsi="仿宋" w:eastAsia="仿宋" w:cs="仿宋"/>
          <w:b/>
          <w:bCs/>
          <w:i w:val="0"/>
          <w:iCs w:val="0"/>
          <w:color w:val="auto"/>
          <w:sz w:val="21"/>
          <w:szCs w:val="21"/>
          <w:highlight w:val="none"/>
          <w:lang w:val="en-US" w:eastAsia="zh-CN"/>
        </w:rPr>
      </w:pPr>
    </w:p>
    <w:p w14:paraId="29C9B9D1">
      <w:pPr>
        <w:pStyle w:val="28"/>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仿宋" w:hAnsi="仿宋" w:eastAsia="仿宋" w:cs="仿宋"/>
          <w:b/>
          <w:bCs/>
          <w:i w:val="0"/>
          <w:iCs w:val="0"/>
          <w:color w:val="auto"/>
          <w:sz w:val="21"/>
          <w:szCs w:val="21"/>
          <w:highlight w:val="none"/>
          <w:lang w:val="en-US" w:eastAsia="zh-CN"/>
        </w:rPr>
      </w:pPr>
    </w:p>
    <w:p w14:paraId="4779FCC7">
      <w:pPr>
        <w:pStyle w:val="28"/>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仿宋" w:hAnsi="仿宋" w:eastAsia="仿宋" w:cs="仿宋"/>
          <w:b/>
          <w:bCs/>
          <w:i w:val="0"/>
          <w:iCs w:val="0"/>
          <w:color w:val="auto"/>
          <w:sz w:val="21"/>
          <w:szCs w:val="21"/>
          <w:highlight w:val="none"/>
          <w:lang w:val="en-US" w:eastAsia="zh-CN"/>
        </w:rPr>
      </w:pPr>
    </w:p>
    <w:p w14:paraId="7D68F3A6">
      <w:pPr>
        <w:pStyle w:val="28"/>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仿宋" w:hAnsi="仿宋" w:eastAsia="仿宋" w:cs="仿宋"/>
          <w:b/>
          <w:bCs/>
          <w:i w:val="0"/>
          <w:iCs w:val="0"/>
          <w:color w:val="auto"/>
          <w:sz w:val="21"/>
          <w:szCs w:val="21"/>
          <w:highlight w:val="none"/>
          <w:lang w:val="en-US" w:eastAsia="zh-CN"/>
        </w:rPr>
      </w:pPr>
    </w:p>
    <w:p w14:paraId="1EE77627">
      <w:pPr>
        <w:pStyle w:val="28"/>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仿宋" w:hAnsi="仿宋" w:eastAsia="仿宋" w:cs="仿宋"/>
          <w:b/>
          <w:bCs/>
          <w:i w:val="0"/>
          <w:iCs w:val="0"/>
          <w:color w:val="auto"/>
          <w:sz w:val="21"/>
          <w:szCs w:val="21"/>
          <w:highlight w:val="none"/>
          <w:lang w:val="zh-CN"/>
        </w:rPr>
      </w:pPr>
      <w:r>
        <w:rPr>
          <w:rFonts w:hint="eastAsia" w:ascii="仿宋" w:hAnsi="仿宋" w:eastAsia="仿宋" w:cs="仿宋"/>
          <w:b/>
          <w:bCs/>
          <w:i w:val="0"/>
          <w:iCs w:val="0"/>
          <w:color w:val="auto"/>
          <w:sz w:val="21"/>
          <w:szCs w:val="21"/>
          <w:highlight w:val="none"/>
          <w:lang w:val="en-US" w:eastAsia="zh-CN"/>
        </w:rPr>
        <w:t>注：从业人员、营业收入、资产总额填报上一年度数据，无上一年度数据的新成立企业可不填报。</w:t>
      </w:r>
    </w:p>
    <w:p w14:paraId="541E865E">
      <w:pPr>
        <w:pStyle w:val="63"/>
        <w:keepNext w:val="0"/>
        <w:keepLines w:val="0"/>
        <w:pageBreakBefore w:val="0"/>
        <w:widowControl w:val="0"/>
        <w:kinsoku/>
        <w:wordWrap w:val="0"/>
        <w:overflowPunct/>
        <w:topLinePunct/>
        <w:autoSpaceDE/>
        <w:autoSpaceDN/>
        <w:bidi w:val="0"/>
        <w:adjustRightInd/>
        <w:snapToGrid/>
        <w:spacing w:beforeLines="0" w:after="0" w:line="360" w:lineRule="auto"/>
        <w:ind w:left="0" w:leftChars="0" w:right="0"/>
        <w:jc w:val="center"/>
        <w:outlineLvl w:val="9"/>
        <w:rPr>
          <w:rFonts w:hint="eastAsia" w:ascii="仿宋" w:hAnsi="仿宋" w:eastAsia="仿宋" w:cs="仿宋"/>
          <w:bCs w:val="0"/>
          <w:i w:val="0"/>
          <w:iCs w:val="0"/>
          <w:color w:val="auto"/>
          <w:sz w:val="30"/>
          <w:szCs w:val="30"/>
          <w:highlight w:val="none"/>
          <w:lang w:val="zh-CN"/>
        </w:rPr>
        <w:sectPr>
          <w:pgSz w:w="11906" w:h="16838"/>
          <w:pgMar w:top="1134" w:right="1134" w:bottom="1134" w:left="1134" w:header="720" w:footer="907" w:gutter="0"/>
          <w:pgBorders>
            <w:top w:val="none" w:sz="0" w:space="0"/>
            <w:left w:val="none" w:sz="0" w:space="0"/>
            <w:bottom w:val="none" w:sz="0" w:space="0"/>
            <w:right w:val="none" w:sz="0" w:space="0"/>
          </w:pgBorders>
          <w:pgNumType w:fmt="decimal"/>
          <w:cols w:space="720" w:num="1"/>
          <w:rtlGutter w:val="0"/>
        </w:sectPr>
      </w:pPr>
      <w:bookmarkStart w:id="1979" w:name="_Toc515908228"/>
      <w:bookmarkStart w:id="1980" w:name="_Toc4282"/>
      <w:bookmarkStart w:id="1981" w:name="_Toc5927"/>
      <w:bookmarkStart w:id="1982" w:name="_Toc13592"/>
      <w:bookmarkStart w:id="1983" w:name="_Toc1572"/>
      <w:bookmarkStart w:id="1984" w:name="_Toc18540"/>
      <w:bookmarkStart w:id="1985" w:name="_Toc31050"/>
      <w:bookmarkStart w:id="1986" w:name="_Toc19525"/>
      <w:bookmarkStart w:id="1987" w:name="_Toc991"/>
    </w:p>
    <w:p w14:paraId="53C0FA23">
      <w:pPr>
        <w:pStyle w:val="63"/>
        <w:keepNext w:val="0"/>
        <w:keepLines w:val="0"/>
        <w:pageBreakBefore w:val="0"/>
        <w:widowControl w:val="0"/>
        <w:kinsoku/>
        <w:wordWrap w:val="0"/>
        <w:overflowPunct/>
        <w:topLinePunct/>
        <w:autoSpaceDE/>
        <w:autoSpaceDN/>
        <w:bidi w:val="0"/>
        <w:adjustRightInd/>
        <w:snapToGrid/>
        <w:spacing w:beforeLines="0" w:after="0" w:line="360" w:lineRule="auto"/>
        <w:ind w:left="0" w:leftChars="0" w:right="0"/>
        <w:jc w:val="center"/>
        <w:outlineLvl w:val="1"/>
        <w:rPr>
          <w:rFonts w:hint="eastAsia" w:ascii="仿宋" w:hAnsi="仿宋" w:eastAsia="仿宋" w:cs="仿宋"/>
          <w:b w:val="0"/>
          <w:color w:val="auto"/>
          <w:sz w:val="30"/>
          <w:szCs w:val="30"/>
          <w:highlight w:val="none"/>
        </w:rPr>
      </w:pPr>
      <w:bookmarkStart w:id="1988" w:name="_Toc28166"/>
      <w:bookmarkStart w:id="1989" w:name="_Toc17945"/>
      <w:bookmarkStart w:id="1990" w:name="_Toc8038"/>
      <w:bookmarkStart w:id="1991" w:name="_Toc31894"/>
      <w:bookmarkStart w:id="1992" w:name="_Toc8964"/>
      <w:bookmarkStart w:id="1993" w:name="_Toc24407"/>
      <w:bookmarkStart w:id="1994" w:name="_Toc31390"/>
      <w:bookmarkStart w:id="1995" w:name="_Toc23027"/>
      <w:bookmarkStart w:id="1996" w:name="_Toc13642"/>
      <w:bookmarkStart w:id="1997" w:name="_Toc30489"/>
      <w:bookmarkStart w:id="1998" w:name="_Toc12561"/>
      <w:bookmarkStart w:id="1999" w:name="_Toc3342"/>
      <w:bookmarkStart w:id="2000" w:name="_Toc12749"/>
      <w:bookmarkStart w:id="2001" w:name="_Toc7857"/>
      <w:bookmarkStart w:id="2002" w:name="_Toc30821"/>
      <w:bookmarkStart w:id="2003" w:name="_Toc31247"/>
      <w:bookmarkStart w:id="2004" w:name="_Toc12660"/>
      <w:bookmarkStart w:id="2005" w:name="_Toc3522"/>
      <w:bookmarkStart w:id="2006" w:name="_Toc13667"/>
      <w:bookmarkStart w:id="2007" w:name="_Toc25597"/>
      <w:bookmarkStart w:id="2008" w:name="_Toc12525"/>
      <w:bookmarkStart w:id="2009" w:name="_Toc3944"/>
      <w:bookmarkStart w:id="2010" w:name="_Toc23749"/>
      <w:bookmarkStart w:id="2011" w:name="_Toc20255"/>
      <w:bookmarkStart w:id="2012" w:name="_Toc27655"/>
      <w:r>
        <w:rPr>
          <w:rFonts w:hint="eastAsia" w:ascii="仿宋" w:hAnsi="仿宋" w:eastAsia="仿宋" w:cs="仿宋"/>
          <w:bCs w:val="0"/>
          <w:color w:val="auto"/>
          <w:sz w:val="28"/>
          <w:szCs w:val="28"/>
          <w:highlight w:val="none"/>
          <w:lang w:val="zh-CN"/>
        </w:rPr>
        <w:t>残疾人</w:t>
      </w:r>
      <w:r>
        <w:rPr>
          <w:rFonts w:hint="eastAsia" w:ascii="仿宋" w:hAnsi="仿宋" w:eastAsia="仿宋" w:cs="仿宋"/>
          <w:bCs w:val="0"/>
          <w:color w:val="auto"/>
          <w:sz w:val="28"/>
          <w:szCs w:val="28"/>
          <w:highlight w:val="none"/>
        </w:rPr>
        <w:t>福利性单位声明函</w:t>
      </w:r>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p>
    <w:p w14:paraId="706B50FC">
      <w:pPr>
        <w:keepNext w:val="0"/>
        <w:keepLines w:val="0"/>
        <w:pageBreakBefore w:val="0"/>
        <w:widowControl w:val="0"/>
        <w:kinsoku/>
        <w:wordWrap w:val="0"/>
        <w:overflowPunct/>
        <w:topLinePunct/>
        <w:autoSpaceDE/>
        <w:autoSpaceDN/>
        <w:bidi w:val="0"/>
        <w:adjustRightInd/>
        <w:snapToGrid/>
        <w:spacing w:line="360" w:lineRule="auto"/>
        <w:ind w:left="0" w:leftChars="0" w:right="0"/>
        <w:rPr>
          <w:rFonts w:hint="eastAsia" w:ascii="仿宋" w:hAnsi="仿宋" w:eastAsia="仿宋" w:cs="仿宋"/>
          <w:color w:val="auto"/>
          <w:sz w:val="24"/>
          <w:highlight w:val="none"/>
        </w:rPr>
      </w:pPr>
    </w:p>
    <w:p w14:paraId="4D85911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本单位郑重声明，根据《财政部、民政部、中国残疾人联合会关于促进残疾人就业政府采购政策的通知》（财库〔2017〕141号）的规定，本单位为符合条件的残疾人福利性单位，本单位在职职工人数为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人，安置的残疾人人数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人。且本单位参加</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单位的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项目采购活动提供本单位制造的货物（由本单位承担工程/提供服务），或者提供其他残疾人福利性单位制造的货物（不包括使用非残疾人福利性单位注册商标的货物）。</w:t>
      </w:r>
    </w:p>
    <w:p w14:paraId="0DBF838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本单位对上述声明的真实性负责。如有虚假，将依法承担相应责任。</w:t>
      </w:r>
    </w:p>
    <w:p w14:paraId="6F038F0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rPr>
          <w:rFonts w:hint="eastAsia" w:ascii="仿宋" w:hAnsi="仿宋" w:eastAsia="仿宋" w:cs="仿宋"/>
          <w:color w:val="auto"/>
          <w:sz w:val="24"/>
          <w:highlight w:val="none"/>
        </w:rPr>
      </w:pPr>
    </w:p>
    <w:p w14:paraId="52F7F78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注：若无此项内容，可不</w:t>
      </w:r>
      <w:r>
        <w:rPr>
          <w:rFonts w:hint="eastAsia" w:ascii="仿宋" w:hAnsi="仿宋" w:eastAsia="仿宋" w:cs="仿宋"/>
          <w:color w:val="auto"/>
          <w:sz w:val="24"/>
          <w:highlight w:val="none"/>
          <w:lang w:eastAsia="zh-CN"/>
        </w:rPr>
        <w:t>填写</w:t>
      </w:r>
      <w:r>
        <w:rPr>
          <w:rFonts w:hint="eastAsia" w:ascii="仿宋" w:hAnsi="仿宋" w:eastAsia="仿宋" w:cs="仿宋"/>
          <w:color w:val="auto"/>
          <w:sz w:val="24"/>
          <w:highlight w:val="none"/>
        </w:rPr>
        <w:t>此函。</w:t>
      </w:r>
    </w:p>
    <w:p w14:paraId="0B105BDB">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仿宋" w:hAnsi="仿宋" w:eastAsia="仿宋" w:cs="仿宋"/>
          <w:color w:val="auto"/>
          <w:kern w:val="0"/>
          <w:sz w:val="24"/>
          <w:highlight w:val="none"/>
          <w:lang w:val="zh-CN"/>
        </w:rPr>
      </w:pPr>
    </w:p>
    <w:p w14:paraId="76194146">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仿宋" w:hAnsi="仿宋" w:eastAsia="仿宋" w:cs="仿宋"/>
          <w:color w:val="auto"/>
          <w:kern w:val="0"/>
          <w:sz w:val="24"/>
          <w:highlight w:val="none"/>
          <w:lang w:val="zh-CN"/>
        </w:rPr>
      </w:pPr>
    </w:p>
    <w:p w14:paraId="2456C272">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仿宋" w:hAnsi="仿宋" w:eastAsia="仿宋" w:cs="仿宋"/>
          <w:color w:val="auto"/>
          <w:kern w:val="0"/>
          <w:sz w:val="24"/>
          <w:highlight w:val="none"/>
          <w:lang w:val="zh-CN"/>
        </w:rPr>
      </w:pPr>
    </w:p>
    <w:p w14:paraId="1B322611">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仿宋" w:hAnsi="仿宋" w:eastAsia="仿宋" w:cs="仿宋"/>
          <w:color w:val="auto"/>
          <w:kern w:val="0"/>
          <w:sz w:val="24"/>
          <w:highlight w:val="none"/>
          <w:lang w:val="zh-CN"/>
        </w:rPr>
      </w:pPr>
    </w:p>
    <w:p w14:paraId="5A25EA2E">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仿宋" w:hAnsi="仿宋" w:eastAsia="仿宋" w:cs="仿宋"/>
          <w:color w:val="auto"/>
          <w:kern w:val="0"/>
          <w:sz w:val="24"/>
          <w:highlight w:val="none"/>
          <w:lang w:val="zh-CN"/>
        </w:rPr>
      </w:pPr>
    </w:p>
    <w:p w14:paraId="00217EB5">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7AAB7674">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1103105C">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56A2E671">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620F7885">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298CD39E">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59217663">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73C56E13">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7C127909">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4600910F">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投标人：</w:t>
      </w:r>
      <w:r>
        <w:rPr>
          <w:rFonts w:hint="eastAsia" w:ascii="仿宋" w:hAnsi="仿宋" w:eastAsia="仿宋" w:cs="仿宋"/>
          <w:color w:val="auto"/>
          <w:kern w:val="0"/>
          <w:sz w:val="24"/>
          <w:highlight w:val="none"/>
          <w:u w:val="single"/>
          <w:lang w:val="zh-CN"/>
        </w:rPr>
        <w:t xml:space="preserve">             </w:t>
      </w:r>
      <w:r>
        <w:rPr>
          <w:rFonts w:hint="eastAsia" w:ascii="仿宋" w:hAnsi="仿宋" w:eastAsia="仿宋" w:cs="仿宋"/>
          <w:color w:val="auto"/>
          <w:kern w:val="0"/>
          <w:sz w:val="24"/>
          <w:highlight w:val="none"/>
          <w:u w:val="single"/>
          <w:lang w:val="en-US" w:eastAsia="zh-CN"/>
        </w:rPr>
        <w:t xml:space="preserve">            </w:t>
      </w:r>
      <w:r>
        <w:rPr>
          <w:rFonts w:hint="eastAsia" w:ascii="仿宋" w:hAnsi="仿宋" w:eastAsia="仿宋" w:cs="仿宋"/>
          <w:color w:val="auto"/>
          <w:kern w:val="0"/>
          <w:sz w:val="24"/>
          <w:highlight w:val="none"/>
          <w:lang w:val="zh-CN"/>
        </w:rPr>
        <w:t>（</w:t>
      </w:r>
      <w:r>
        <w:rPr>
          <w:rFonts w:hint="eastAsia" w:ascii="仿宋" w:hAnsi="仿宋" w:eastAsia="仿宋" w:cs="仿宋"/>
          <w:color w:val="auto"/>
          <w:kern w:val="0"/>
          <w:sz w:val="24"/>
          <w:highlight w:val="none"/>
          <w:lang w:val="en-US" w:eastAsia="zh-CN"/>
        </w:rPr>
        <w:t>盖章</w:t>
      </w:r>
      <w:r>
        <w:rPr>
          <w:rFonts w:hint="eastAsia" w:ascii="仿宋" w:hAnsi="仿宋" w:eastAsia="仿宋" w:cs="仿宋"/>
          <w:color w:val="auto"/>
          <w:kern w:val="0"/>
          <w:sz w:val="24"/>
          <w:highlight w:val="none"/>
          <w:lang w:val="zh-CN"/>
        </w:rPr>
        <w:t>）</w:t>
      </w:r>
    </w:p>
    <w:p w14:paraId="61832C0B">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b w:val="0"/>
          <w:bCs w:val="0"/>
          <w:color w:val="auto"/>
          <w:kern w:val="0"/>
          <w:sz w:val="24"/>
          <w:highlight w:val="none"/>
          <w:lang w:val="zh-CN"/>
        </w:rPr>
      </w:pPr>
    </w:p>
    <w:p w14:paraId="64E7B599">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b w:val="0"/>
          <w:bCs w:val="0"/>
          <w:color w:val="auto"/>
          <w:kern w:val="0"/>
          <w:sz w:val="24"/>
          <w:highlight w:val="none"/>
          <w:lang w:val="zh-CN"/>
        </w:rPr>
        <w:sectPr>
          <w:pgSz w:w="11906" w:h="16838"/>
          <w:pgMar w:top="1134" w:right="1134" w:bottom="1134" w:left="1134" w:header="720" w:footer="907" w:gutter="0"/>
          <w:pgBorders>
            <w:top w:val="none" w:sz="0" w:space="0"/>
            <w:left w:val="none" w:sz="0" w:space="0"/>
            <w:bottom w:val="none" w:sz="0" w:space="0"/>
            <w:right w:val="none" w:sz="0" w:space="0"/>
          </w:pgBorders>
          <w:pgNumType w:fmt="decimal"/>
          <w:cols w:space="720" w:num="1"/>
          <w:rtlGutter w:val="0"/>
        </w:sectPr>
      </w:pPr>
      <w:r>
        <w:rPr>
          <w:rFonts w:hint="eastAsia" w:ascii="仿宋" w:hAnsi="仿宋" w:eastAsia="仿宋" w:cs="仿宋"/>
          <w:b w:val="0"/>
          <w:bCs w:val="0"/>
          <w:color w:val="auto"/>
          <w:kern w:val="0"/>
          <w:sz w:val="24"/>
          <w:highlight w:val="none"/>
          <w:lang w:val="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p>
    <w:p w14:paraId="33C3F82B">
      <w:pPr>
        <w:pStyle w:val="61"/>
        <w:keepNext w:val="0"/>
        <w:keepLines w:val="0"/>
        <w:pageBreakBefore w:val="0"/>
        <w:widowControl w:val="0"/>
        <w:suppressLineNumbers w:val="0"/>
        <w:kinsoku/>
        <w:wordWrap w:val="0"/>
        <w:overflowPunct/>
        <w:topLinePunct/>
        <w:autoSpaceDE/>
        <w:autoSpaceDN/>
        <w:bidi w:val="0"/>
        <w:adjustRightInd/>
        <w:snapToGrid/>
        <w:spacing w:before="0" w:beforeAutospacing="0" w:after="0" w:afterAutospacing="0" w:line="360" w:lineRule="auto"/>
        <w:ind w:left="0" w:leftChars="0" w:right="0"/>
        <w:jc w:val="center"/>
        <w:textAlignment w:val="auto"/>
        <w:outlineLvl w:val="1"/>
        <w:rPr>
          <w:rFonts w:hint="eastAsia" w:ascii="仿宋" w:hAnsi="仿宋" w:eastAsia="仿宋" w:cs="仿宋"/>
          <w:color w:val="auto"/>
          <w:sz w:val="22"/>
          <w:szCs w:val="22"/>
          <w:highlight w:val="none"/>
        </w:rPr>
      </w:pPr>
      <w:bookmarkStart w:id="2013" w:name="_Toc17582"/>
      <w:bookmarkStart w:id="2014" w:name="_Toc19429"/>
      <w:bookmarkStart w:id="2015" w:name="_Toc25936"/>
      <w:bookmarkStart w:id="2016" w:name="_Toc31166"/>
      <w:bookmarkStart w:id="2017" w:name="_Toc18265"/>
      <w:bookmarkStart w:id="2018" w:name="_Toc21829"/>
      <w:bookmarkStart w:id="2019" w:name="_Toc12345"/>
      <w:bookmarkStart w:id="2020" w:name="_Toc27539"/>
      <w:bookmarkStart w:id="2021" w:name="_Toc7854"/>
      <w:bookmarkStart w:id="2022" w:name="_Toc15186"/>
      <w:bookmarkStart w:id="2023" w:name="_Toc20260"/>
      <w:bookmarkStart w:id="2024" w:name="_Toc3658"/>
      <w:bookmarkStart w:id="2025" w:name="_Toc24011"/>
      <w:bookmarkStart w:id="2026" w:name="_Toc5961"/>
      <w:bookmarkStart w:id="2027" w:name="_Toc7339"/>
      <w:bookmarkStart w:id="2028" w:name="_Toc24184"/>
      <w:bookmarkStart w:id="2029" w:name="_Toc14312"/>
      <w:bookmarkStart w:id="2030" w:name="_Toc28662"/>
      <w:bookmarkStart w:id="2031" w:name="_Toc27183"/>
      <w:bookmarkStart w:id="2032" w:name="_Toc19777"/>
      <w:bookmarkStart w:id="2033" w:name="_Toc4375"/>
      <w:bookmarkStart w:id="2034" w:name="_Toc21220"/>
      <w:bookmarkStart w:id="2035" w:name="_Toc7575"/>
      <w:bookmarkStart w:id="2036" w:name="_Toc27186"/>
      <w:bookmarkStart w:id="2037" w:name="_Toc4256"/>
      <w:bookmarkStart w:id="2038" w:name="_Toc18227"/>
      <w:bookmarkStart w:id="2039" w:name="_Toc23316"/>
      <w:bookmarkStart w:id="2040" w:name="_Toc21948"/>
      <w:bookmarkStart w:id="2041" w:name="_Toc3712"/>
      <w:bookmarkStart w:id="2042" w:name="_Toc24860"/>
      <w:bookmarkStart w:id="2043" w:name="_Toc451"/>
      <w:bookmarkStart w:id="2044" w:name="_Toc6778"/>
      <w:r>
        <w:rPr>
          <w:rFonts w:hint="eastAsia" w:ascii="仿宋" w:hAnsi="仿宋" w:eastAsia="仿宋" w:cs="仿宋"/>
          <w:b/>
          <w:bCs/>
          <w:color w:val="auto"/>
          <w:sz w:val="28"/>
          <w:szCs w:val="28"/>
          <w:highlight w:val="none"/>
        </w:rPr>
        <w:t>监狱企业声明函</w:t>
      </w:r>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p>
    <w:p w14:paraId="1FED0BB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rPr>
      </w:pPr>
    </w:p>
    <w:p w14:paraId="781B74B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本公司郑重声明，根据《关于政府采购支持监狱企业发展有关问题的通知》（财库[2014]68 号）的规定，本公司为监狱企业。</w:t>
      </w:r>
    </w:p>
    <w:p w14:paraId="1C3C372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根据上述标准，我公司属于监狱企业的理由为：</w:t>
      </w:r>
    </w:p>
    <w:p w14:paraId="1E19DB7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outlineLvl w:val="1"/>
        <w:rPr>
          <w:rFonts w:hint="eastAsia" w:ascii="仿宋" w:hAnsi="仿宋" w:eastAsia="仿宋" w:cs="仿宋"/>
          <w:color w:val="auto"/>
          <w:sz w:val="24"/>
          <w:szCs w:val="24"/>
          <w:highlight w:val="none"/>
          <w:lang w:val="en-US" w:eastAsia="zh-CN"/>
        </w:rPr>
      </w:pPr>
      <w:bookmarkStart w:id="2045" w:name="_Toc5764"/>
      <w:bookmarkStart w:id="2046" w:name="_Toc489"/>
      <w:bookmarkStart w:id="2047" w:name="_Toc4816"/>
      <w:bookmarkStart w:id="2048" w:name="_Toc28879"/>
      <w:bookmarkStart w:id="2049" w:name="_Toc30129"/>
      <w:bookmarkStart w:id="2050" w:name="_Toc6171"/>
      <w:bookmarkStart w:id="2051" w:name="_Toc22432"/>
      <w:bookmarkStart w:id="2052" w:name="_Toc17344"/>
      <w:bookmarkStart w:id="2053" w:name="_Toc26209"/>
      <w:bookmarkStart w:id="2054" w:name="_Toc17052"/>
      <w:bookmarkStart w:id="2055" w:name="_Toc139"/>
      <w:bookmarkStart w:id="2056" w:name="_Toc20412"/>
      <w:bookmarkStart w:id="2057" w:name="_Toc15073"/>
      <w:bookmarkStart w:id="2058" w:name="_Toc22729"/>
      <w:bookmarkStart w:id="2059" w:name="_Toc6301"/>
      <w:bookmarkStart w:id="2060" w:name="_Toc23466"/>
      <w:bookmarkStart w:id="2061" w:name="_Toc14792"/>
      <w:bookmarkStart w:id="2062" w:name="_Toc6373"/>
      <w:bookmarkStart w:id="2063" w:name="_Toc24342"/>
      <w:bookmarkStart w:id="2064" w:name="_Toc2869"/>
      <w:bookmarkStart w:id="2065" w:name="_Toc32680"/>
      <w:bookmarkStart w:id="2066" w:name="_Toc9022"/>
      <w:bookmarkStart w:id="2067" w:name="_Toc2104"/>
      <w:bookmarkStart w:id="2068" w:name="_Toc21660"/>
      <w:bookmarkStart w:id="2069" w:name="_Toc7890"/>
      <w:bookmarkStart w:id="2070" w:name="_Toc9956"/>
      <w:bookmarkStart w:id="2071" w:name="_Toc26304"/>
      <w:bookmarkStart w:id="2072" w:name="_Toc31990"/>
      <w:bookmarkStart w:id="2073" w:name="_Toc28"/>
      <w:bookmarkStart w:id="2074" w:name="_Toc21415"/>
      <w:bookmarkStart w:id="2075" w:name="_Toc9548"/>
      <w:bookmarkStart w:id="2076" w:name="_Toc9210"/>
      <w:bookmarkStart w:id="2077" w:name="_Toc20595"/>
      <w:bookmarkStart w:id="2078" w:name="_Toc17479"/>
      <w:bookmarkStart w:id="2079" w:name="_Toc28812"/>
      <w:bookmarkStart w:id="2080" w:name="_Toc13508"/>
      <w:bookmarkStart w:id="2081" w:name="_Toc10980"/>
      <w:bookmarkStart w:id="2082" w:name="_Toc11261"/>
      <w:bookmarkStart w:id="2083" w:name="_Toc22325"/>
      <w:r>
        <w:rPr>
          <w:rFonts w:hint="eastAsia" w:ascii="仿宋" w:hAnsi="仿宋" w:eastAsia="仿宋" w:cs="仿宋"/>
          <w:color w:val="auto"/>
          <w:sz w:val="24"/>
          <w:szCs w:val="24"/>
          <w:highlight w:val="none"/>
          <w:lang w:val="en-US" w:eastAsia="zh-CN"/>
        </w:rPr>
        <w:t>1、</w:t>
      </w:r>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p>
    <w:p w14:paraId="17E1349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outlineLvl w:val="1"/>
        <w:rPr>
          <w:rFonts w:hint="eastAsia" w:ascii="仿宋" w:hAnsi="仿宋" w:eastAsia="仿宋" w:cs="仿宋"/>
          <w:color w:val="auto"/>
          <w:sz w:val="24"/>
          <w:szCs w:val="24"/>
          <w:highlight w:val="none"/>
          <w:lang w:val="en-US" w:eastAsia="zh-CN"/>
        </w:rPr>
      </w:pPr>
      <w:bookmarkStart w:id="2084" w:name="_Toc25974"/>
      <w:bookmarkStart w:id="2085" w:name="_Toc32561"/>
      <w:bookmarkStart w:id="2086" w:name="_Toc1257"/>
      <w:bookmarkStart w:id="2087" w:name="_Toc14799"/>
      <w:bookmarkStart w:id="2088" w:name="_Toc10502"/>
      <w:bookmarkStart w:id="2089" w:name="_Toc25807"/>
      <w:bookmarkStart w:id="2090" w:name="_Toc12984"/>
      <w:bookmarkStart w:id="2091" w:name="_Toc2698"/>
      <w:bookmarkStart w:id="2092" w:name="_Toc11720"/>
      <w:bookmarkStart w:id="2093" w:name="_Toc26415"/>
      <w:bookmarkStart w:id="2094" w:name="_Toc7385"/>
      <w:bookmarkStart w:id="2095" w:name="_Toc12358"/>
      <w:bookmarkStart w:id="2096" w:name="_Toc7389"/>
      <w:bookmarkStart w:id="2097" w:name="_Toc25751"/>
      <w:bookmarkStart w:id="2098" w:name="_Toc19413"/>
      <w:bookmarkStart w:id="2099" w:name="_Toc25186"/>
      <w:bookmarkStart w:id="2100" w:name="_Toc13724"/>
      <w:bookmarkStart w:id="2101" w:name="_Toc27202"/>
      <w:bookmarkStart w:id="2102" w:name="_Toc12669"/>
      <w:bookmarkStart w:id="2103" w:name="_Toc4584"/>
      <w:bookmarkStart w:id="2104" w:name="_Toc10850"/>
      <w:bookmarkStart w:id="2105" w:name="_Toc29889"/>
      <w:bookmarkStart w:id="2106" w:name="_Toc9330"/>
      <w:bookmarkStart w:id="2107" w:name="_Toc565"/>
      <w:bookmarkStart w:id="2108" w:name="_Toc22253"/>
      <w:bookmarkStart w:id="2109" w:name="_Toc27967"/>
      <w:bookmarkStart w:id="2110" w:name="_Toc17825"/>
      <w:bookmarkStart w:id="2111" w:name="_Toc10259"/>
      <w:bookmarkStart w:id="2112" w:name="_Toc7045"/>
      <w:bookmarkStart w:id="2113" w:name="_Toc22544"/>
      <w:bookmarkStart w:id="2114" w:name="_Toc8098"/>
      <w:bookmarkStart w:id="2115" w:name="_Toc18997"/>
      <w:bookmarkStart w:id="2116" w:name="_Toc21190"/>
      <w:bookmarkStart w:id="2117" w:name="_Toc29815"/>
      <w:bookmarkStart w:id="2118" w:name="_Toc11746"/>
      <w:bookmarkStart w:id="2119" w:name="_Toc9638"/>
      <w:bookmarkStart w:id="2120" w:name="_Toc17536"/>
      <w:bookmarkStart w:id="2121" w:name="_Toc17261"/>
      <w:bookmarkStart w:id="2122" w:name="_Toc14473"/>
      <w:r>
        <w:rPr>
          <w:rFonts w:hint="eastAsia" w:ascii="仿宋" w:hAnsi="仿宋" w:eastAsia="仿宋" w:cs="仿宋"/>
          <w:color w:val="auto"/>
          <w:sz w:val="24"/>
          <w:szCs w:val="24"/>
          <w:highlight w:val="none"/>
          <w:lang w:val="en-US" w:eastAsia="zh-CN"/>
        </w:rPr>
        <w:t>2、</w:t>
      </w:r>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p>
    <w:p w14:paraId="679EF59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outlineLvl w:val="1"/>
        <w:rPr>
          <w:rFonts w:hint="eastAsia" w:ascii="仿宋" w:hAnsi="仿宋" w:eastAsia="仿宋" w:cs="仿宋"/>
          <w:color w:val="auto"/>
          <w:sz w:val="24"/>
          <w:szCs w:val="24"/>
          <w:highlight w:val="none"/>
          <w:lang w:val="en-US" w:eastAsia="zh-CN"/>
        </w:rPr>
      </w:pPr>
      <w:bookmarkStart w:id="2123" w:name="_Toc1464"/>
      <w:bookmarkStart w:id="2124" w:name="_Toc1948"/>
      <w:bookmarkStart w:id="2125" w:name="_Toc7053"/>
      <w:bookmarkStart w:id="2126" w:name="_Toc27872"/>
      <w:bookmarkStart w:id="2127" w:name="_Toc27931"/>
      <w:bookmarkStart w:id="2128" w:name="_Toc17337"/>
      <w:bookmarkStart w:id="2129" w:name="_Toc9734"/>
      <w:bookmarkStart w:id="2130" w:name="_Toc13396"/>
      <w:bookmarkStart w:id="2131" w:name="_Toc6007"/>
      <w:bookmarkStart w:id="2132" w:name="_Toc18044"/>
      <w:bookmarkStart w:id="2133" w:name="_Toc30903"/>
      <w:bookmarkStart w:id="2134" w:name="_Toc29881"/>
      <w:bookmarkStart w:id="2135" w:name="_Toc12955"/>
      <w:bookmarkStart w:id="2136" w:name="_Toc8022"/>
      <w:bookmarkStart w:id="2137" w:name="_Toc10774"/>
      <w:bookmarkStart w:id="2138" w:name="_Toc3580"/>
      <w:bookmarkStart w:id="2139" w:name="_Toc20592"/>
      <w:bookmarkStart w:id="2140" w:name="_Toc20133"/>
      <w:bookmarkStart w:id="2141" w:name="_Toc25372"/>
      <w:bookmarkStart w:id="2142" w:name="_Toc25144"/>
      <w:bookmarkStart w:id="2143" w:name="_Toc11156"/>
      <w:bookmarkStart w:id="2144" w:name="_Toc5554"/>
      <w:bookmarkStart w:id="2145" w:name="_Toc15504"/>
      <w:bookmarkStart w:id="2146" w:name="_Toc4947"/>
      <w:bookmarkStart w:id="2147" w:name="_Toc19333"/>
      <w:bookmarkStart w:id="2148" w:name="_Toc2677"/>
      <w:bookmarkStart w:id="2149" w:name="_Toc23118"/>
      <w:bookmarkStart w:id="2150" w:name="_Toc24087"/>
      <w:bookmarkStart w:id="2151" w:name="_Toc32267"/>
      <w:bookmarkStart w:id="2152" w:name="_Toc24635"/>
      <w:bookmarkStart w:id="2153" w:name="_Toc686"/>
      <w:bookmarkStart w:id="2154" w:name="_Toc31171"/>
      <w:bookmarkStart w:id="2155" w:name="_Toc31364"/>
      <w:bookmarkStart w:id="2156" w:name="_Toc22728"/>
      <w:bookmarkStart w:id="2157" w:name="_Toc31034"/>
      <w:bookmarkStart w:id="2158" w:name="_Toc249"/>
      <w:bookmarkStart w:id="2159" w:name="_Toc21130"/>
      <w:bookmarkStart w:id="2160" w:name="_Toc11055"/>
      <w:bookmarkStart w:id="2161" w:name="_Toc7295"/>
      <w:r>
        <w:rPr>
          <w:rFonts w:hint="eastAsia" w:ascii="仿宋" w:hAnsi="仿宋" w:eastAsia="仿宋" w:cs="仿宋"/>
          <w:color w:val="auto"/>
          <w:sz w:val="24"/>
          <w:szCs w:val="24"/>
          <w:highlight w:val="none"/>
          <w:lang w:val="en-US" w:eastAsia="zh-CN"/>
        </w:rPr>
        <w:t>3、</w:t>
      </w:r>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p>
    <w:p w14:paraId="3AACBE0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highlight w:val="none"/>
          <w:lang w:val="en-US" w:eastAsia="zh-CN"/>
        </w:rPr>
      </w:pPr>
      <w:r>
        <w:rPr>
          <w:rFonts w:hint="eastAsia" w:ascii="仿宋" w:hAnsi="仿宋" w:eastAsia="仿宋" w:cs="仿宋"/>
          <w:color w:val="auto"/>
          <w:sz w:val="24"/>
          <w:szCs w:val="24"/>
          <w:highlight w:val="none"/>
          <w:lang w:val="en-US" w:eastAsia="zh-CN"/>
        </w:rPr>
        <w:t>…</w:t>
      </w:r>
    </w:p>
    <w:p w14:paraId="7B4639A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本公司为参加（</w:t>
      </w:r>
      <w:r>
        <w:rPr>
          <w:rFonts w:hint="eastAsia" w:ascii="仿宋" w:hAnsi="仿宋" w:eastAsia="仿宋" w:cs="仿宋"/>
          <w:color w:val="auto"/>
          <w:sz w:val="24"/>
          <w:szCs w:val="24"/>
          <w:highlight w:val="none"/>
          <w:lang w:eastAsia="zh-CN"/>
        </w:rPr>
        <w:t>项目</w:t>
      </w: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zh-CN"/>
        </w:rPr>
        <w:t>项目编号</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highlight w:val="none"/>
          <w:u w:val="single"/>
          <w:lang w:val="en-US" w:eastAsia="zh-CN"/>
        </w:rPr>
        <w:t xml:space="preserve"> 公开招标 </w:t>
      </w:r>
      <w:r>
        <w:rPr>
          <w:rFonts w:hint="eastAsia" w:ascii="仿宋" w:hAnsi="仿宋" w:eastAsia="仿宋" w:cs="仿宋"/>
          <w:color w:val="auto"/>
          <w:sz w:val="24"/>
          <w:highlight w:val="none"/>
          <w:lang w:val="en-US" w:eastAsia="zh-CN"/>
        </w:rPr>
        <w:t>采购活动</w:t>
      </w:r>
      <w:r>
        <w:rPr>
          <w:rFonts w:hint="eastAsia" w:ascii="仿宋" w:hAnsi="仿宋" w:eastAsia="仿宋" w:cs="仿宋"/>
          <w:color w:val="auto"/>
          <w:sz w:val="24"/>
          <w:szCs w:val="24"/>
          <w:highlight w:val="none"/>
        </w:rPr>
        <w:t>提供本企业提供服务。</w:t>
      </w:r>
    </w:p>
    <w:p w14:paraId="3B99710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本公司对上述声明的真实性负责。如有虚假，将依法承担相应责任。</w:t>
      </w:r>
    </w:p>
    <w:p w14:paraId="4242B1F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lang w:val="en-US" w:eastAsia="zh-CN"/>
        </w:rPr>
      </w:pPr>
    </w:p>
    <w:p w14:paraId="5B38518B">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37B71C53">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3F136C7E">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775BD385">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4352AC6B">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0A50D9B1">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5D5A858F">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4181F449">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2A82E2E1">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highlight w:val="none"/>
          <w:lang w:val="en-US" w:eastAsia="zh-CN"/>
        </w:rPr>
      </w:pPr>
    </w:p>
    <w:p w14:paraId="0968050C">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03464759">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5468E249">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21034451">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438DF781">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outlineLvl w:val="9"/>
        <w:rPr>
          <w:rFonts w:hint="eastAsia" w:ascii="仿宋" w:hAnsi="仿宋" w:eastAsia="仿宋" w:cs="仿宋"/>
          <w:color w:val="auto"/>
          <w:sz w:val="24"/>
          <w:szCs w:val="24"/>
          <w:highlight w:val="none"/>
          <w:lang w:val="en-US" w:eastAsia="zh-CN"/>
        </w:rPr>
      </w:pPr>
      <w:bookmarkStart w:id="2162" w:name="_Toc27772"/>
      <w:bookmarkStart w:id="2163" w:name="_Toc26600"/>
      <w:bookmarkStart w:id="2164" w:name="_Toc19474"/>
      <w:bookmarkStart w:id="2165" w:name="_Toc13262"/>
      <w:bookmarkStart w:id="2166" w:name="_Toc25033"/>
      <w:bookmarkStart w:id="2167" w:name="_Toc22484"/>
      <w:bookmarkStart w:id="2168" w:name="_Toc28772"/>
      <w:bookmarkStart w:id="2169" w:name="_Toc23531"/>
      <w:bookmarkStart w:id="2170" w:name="_Toc30945"/>
      <w:bookmarkStart w:id="2171" w:name="_Toc13699"/>
      <w:bookmarkStart w:id="2172" w:name="_Toc4834"/>
      <w:bookmarkStart w:id="2173" w:name="_Toc32185"/>
      <w:bookmarkStart w:id="2174" w:name="_Toc16202"/>
      <w:bookmarkStart w:id="2175" w:name="_Toc31757"/>
      <w:bookmarkStart w:id="2176" w:name="_Toc24558"/>
      <w:bookmarkStart w:id="2177" w:name="_Toc25161"/>
      <w:bookmarkStart w:id="2178" w:name="_Toc18210"/>
      <w:bookmarkStart w:id="2179" w:name="_Toc32349"/>
      <w:bookmarkStart w:id="2180" w:name="_Toc7623"/>
      <w:bookmarkStart w:id="2181" w:name="_Toc32504"/>
      <w:bookmarkStart w:id="2182" w:name="_Toc14387"/>
      <w:bookmarkStart w:id="2183" w:name="_Toc3864"/>
      <w:bookmarkStart w:id="2184" w:name="_Toc13225"/>
      <w:bookmarkStart w:id="2185" w:name="_Toc1622"/>
      <w:bookmarkStart w:id="2186" w:name="_Toc29567"/>
      <w:bookmarkStart w:id="2187" w:name="_Toc3444"/>
      <w:bookmarkStart w:id="2188" w:name="_Toc25524"/>
      <w:bookmarkStart w:id="2189" w:name="_Toc20546"/>
      <w:bookmarkStart w:id="2190" w:name="_Toc17540"/>
      <w:bookmarkStart w:id="2191" w:name="_Toc15689"/>
      <w:bookmarkStart w:id="2192" w:name="_Toc29094"/>
      <w:bookmarkStart w:id="2193" w:name="_Toc25944"/>
      <w:bookmarkStart w:id="2194" w:name="_Toc3669"/>
      <w:bookmarkStart w:id="2195" w:name="_Toc28320"/>
    </w:p>
    <w:p w14:paraId="4292EBE5">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outlineLvl w:val="9"/>
        <w:rPr>
          <w:rFonts w:hint="eastAsia" w:ascii="仿宋" w:hAnsi="仿宋" w:eastAsia="仿宋" w:cs="仿宋"/>
          <w:color w:val="auto"/>
          <w:sz w:val="24"/>
          <w:szCs w:val="24"/>
          <w:highlight w:val="none"/>
          <w:lang w:val="en-US" w:eastAsia="zh-CN"/>
        </w:rPr>
      </w:pPr>
    </w:p>
    <w:p w14:paraId="525CD570">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outlineLvl w:val="9"/>
        <w:rPr>
          <w:rFonts w:hint="eastAsia" w:ascii="仿宋" w:hAnsi="仿宋" w:eastAsia="仿宋" w:cs="仿宋"/>
          <w:color w:val="auto"/>
          <w:sz w:val="24"/>
          <w:szCs w:val="24"/>
          <w:highlight w:val="none"/>
          <w:lang w:val="en-US" w:eastAsia="zh-CN"/>
        </w:rPr>
      </w:pPr>
    </w:p>
    <w:p w14:paraId="75265188">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outlineLvl w:val="9"/>
        <w:rPr>
          <w:rFonts w:hint="eastAsia" w:ascii="仿宋" w:hAnsi="仿宋" w:eastAsia="仿宋" w:cs="仿宋"/>
          <w:color w:val="auto"/>
          <w:sz w:val="24"/>
          <w:szCs w:val="24"/>
          <w:highlight w:val="none"/>
          <w:lang w:val="en-US" w:eastAsia="zh-CN"/>
        </w:rPr>
      </w:pPr>
    </w:p>
    <w:p w14:paraId="2A3C89F5">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outlineLvl w:val="1"/>
        <w:rPr>
          <w:rFonts w:hint="eastAsia" w:ascii="仿宋" w:hAnsi="仿宋" w:eastAsia="仿宋" w:cs="仿宋"/>
          <w:color w:val="auto"/>
          <w:sz w:val="24"/>
          <w:szCs w:val="24"/>
          <w:highlight w:val="none"/>
          <w:u w:val="none"/>
          <w:lang w:val="en-US" w:eastAsia="zh-CN"/>
        </w:rPr>
      </w:pPr>
      <w:bookmarkStart w:id="2196" w:name="_Toc6744"/>
      <w:bookmarkStart w:id="2197" w:name="_Toc20803"/>
      <w:bookmarkStart w:id="2198" w:name="_Toc7011"/>
      <w:bookmarkStart w:id="2199" w:name="_Toc3282"/>
      <w:bookmarkStart w:id="2200" w:name="_Toc4648"/>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w:t>
      </w:r>
      <w:r>
        <w:rPr>
          <w:rFonts w:hint="eastAsia" w:ascii="仿宋" w:hAnsi="仿宋" w:eastAsia="仿宋" w:cs="仿宋"/>
          <w:color w:val="auto"/>
          <w:sz w:val="24"/>
          <w:szCs w:val="24"/>
          <w:highlight w:val="none"/>
          <w:lang w:val="en-US" w:eastAsia="zh-CN"/>
        </w:rPr>
        <w:t>盖章</w:t>
      </w:r>
      <w:r>
        <w:rPr>
          <w:rFonts w:hint="eastAsia" w:ascii="仿宋" w:hAnsi="仿宋" w:eastAsia="仿宋" w:cs="仿宋"/>
          <w:color w:val="auto"/>
          <w:sz w:val="24"/>
          <w:szCs w:val="24"/>
          <w:highlight w:val="none"/>
          <w:u w:val="none"/>
          <w:lang w:val="en-US" w:eastAsia="zh-CN"/>
        </w:rPr>
        <w:t>）</w:t>
      </w:r>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p>
    <w:p w14:paraId="6D3E98AC">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color w:val="auto"/>
          <w:sz w:val="24"/>
          <w:szCs w:val="24"/>
          <w:highlight w:val="none"/>
          <w:lang w:val="en-US" w:eastAsia="zh-CN"/>
        </w:rPr>
      </w:pPr>
    </w:p>
    <w:p w14:paraId="3BB62469">
      <w:pPr>
        <w:pStyle w:val="28"/>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p>
    <w:p w14:paraId="5857633E">
      <w:pP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br w:type="page"/>
      </w:r>
    </w:p>
    <w:p w14:paraId="62C99A87">
      <w:pPr>
        <w:rPr>
          <w:rFonts w:hint="eastAsia"/>
          <w:lang w:val="zh-CN"/>
        </w:rPr>
        <w:sectPr>
          <w:pgSz w:w="11906" w:h="16838"/>
          <w:pgMar w:top="1134" w:right="1134" w:bottom="1134" w:left="1134" w:header="720" w:footer="907" w:gutter="0"/>
          <w:pgBorders>
            <w:top w:val="none" w:sz="0" w:space="0"/>
            <w:left w:val="none" w:sz="0" w:space="0"/>
            <w:bottom w:val="none" w:sz="0" w:space="0"/>
            <w:right w:val="none" w:sz="0" w:space="0"/>
          </w:pgBorders>
          <w:pgNumType w:fmt="decimal"/>
          <w:cols w:space="720" w:num="1"/>
          <w:rtlGutter w:val="0"/>
        </w:sectPr>
      </w:pPr>
    </w:p>
    <w:p w14:paraId="045E91D6">
      <w:pPr>
        <w:pStyle w:val="6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center"/>
        <w:rPr>
          <w:rFonts w:hint="eastAsia" w:ascii="仿宋" w:hAnsi="仿宋" w:eastAsia="仿宋" w:cs="仿宋"/>
          <w:i w:val="0"/>
          <w:iCs w:val="0"/>
          <w:caps w:val="0"/>
          <w:color w:val="auto"/>
          <w:spacing w:val="0"/>
          <w:sz w:val="28"/>
          <w:szCs w:val="28"/>
        </w:rPr>
      </w:pPr>
      <w:bookmarkStart w:id="2201" w:name="_Toc5332"/>
      <w:bookmarkStart w:id="2202" w:name="_Toc12538"/>
      <w:bookmarkStart w:id="2203" w:name="_Toc13019"/>
      <w:bookmarkStart w:id="2204" w:name="_Toc7083"/>
      <w:bookmarkStart w:id="2205" w:name="_Toc17838"/>
      <w:bookmarkStart w:id="2206" w:name="_Toc25190"/>
      <w:bookmarkStart w:id="2207" w:name="_Toc31359"/>
      <w:bookmarkStart w:id="2208" w:name="_Toc5221"/>
      <w:bookmarkStart w:id="2209" w:name="_Toc15638"/>
      <w:bookmarkStart w:id="2210" w:name="_Toc1680"/>
      <w:bookmarkStart w:id="2211" w:name="_Toc21236"/>
      <w:bookmarkStart w:id="2212" w:name="_Toc16724"/>
      <w:bookmarkStart w:id="2213" w:name="_Toc4296"/>
      <w:r>
        <w:rPr>
          <w:rStyle w:val="72"/>
          <w:rFonts w:hint="eastAsia" w:ascii="仿宋" w:hAnsi="仿宋" w:eastAsia="仿宋" w:cs="仿宋"/>
          <w:i w:val="0"/>
          <w:iCs w:val="0"/>
          <w:caps w:val="0"/>
          <w:color w:val="auto"/>
          <w:spacing w:val="0"/>
          <w:sz w:val="28"/>
          <w:szCs w:val="28"/>
          <w:shd w:val="clear" w:fill="FFFFFF"/>
        </w:rPr>
        <w:t>关于符合本国产品标准的声明函</w:t>
      </w:r>
    </w:p>
    <w:p w14:paraId="09115B59">
      <w:pPr>
        <w:pStyle w:val="6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p>
    <w:p w14:paraId="3872A095">
      <w:pPr>
        <w:pStyle w:val="6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本公司</w:t>
      </w:r>
      <w:r>
        <w:rPr>
          <w:rFonts w:hint="eastAsia" w:ascii="仿宋" w:hAnsi="仿宋" w:eastAsia="仿宋" w:cs="仿宋"/>
          <w:i w:val="0"/>
          <w:iCs w:val="0"/>
          <w:caps w:val="0"/>
          <w:color w:val="auto"/>
          <w:spacing w:val="0"/>
          <w:sz w:val="24"/>
          <w:szCs w:val="24"/>
          <w:u w:val="none"/>
          <w:shd w:val="clear" w:fill="FFFFFF"/>
        </w:rPr>
        <w:t>（单位）</w:t>
      </w:r>
      <w:r>
        <w:rPr>
          <w:rFonts w:hint="eastAsia" w:ascii="仿宋" w:hAnsi="仿宋" w:eastAsia="仿宋" w:cs="仿宋"/>
          <w:i w:val="0"/>
          <w:iCs w:val="0"/>
          <w:caps w:val="0"/>
          <w:color w:val="auto"/>
          <w:spacing w:val="0"/>
          <w:sz w:val="24"/>
          <w:szCs w:val="24"/>
          <w:shd w:val="clear" w:fill="FFFFFF"/>
        </w:rPr>
        <w:t>郑重声明，根据《国务院办公厅关于在政府采购中实施本国产品标准及相关政策的通知》（国办发〔2025〕34号）的规定，本公司（单位）提供的以下产品属于本国产品。具体情况如下：</w:t>
      </w:r>
    </w:p>
    <w:p w14:paraId="66801C7F">
      <w:pPr>
        <w:pStyle w:val="6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1.</w:t>
      </w:r>
      <w:r>
        <w:rPr>
          <w:rStyle w:val="75"/>
          <w:rFonts w:hint="eastAsia" w:ascii="仿宋" w:hAnsi="仿宋" w:eastAsia="仿宋" w:cs="仿宋"/>
          <w:i w:val="0"/>
          <w:iCs w:val="0"/>
          <w:caps w:val="0"/>
          <w:color w:val="auto"/>
          <w:spacing w:val="0"/>
          <w:sz w:val="24"/>
          <w:szCs w:val="24"/>
          <w:u w:val="single"/>
          <w:shd w:val="clear" w:fill="FFFFFF"/>
        </w:rPr>
        <w:t>（产品名称1）</w:t>
      </w:r>
      <w:r>
        <w:rPr>
          <w:rStyle w:val="75"/>
          <w:rFonts w:hint="eastAsia" w:ascii="仿宋" w:hAnsi="仿宋" w:eastAsia="仿宋" w:cs="仿宋"/>
          <w:i w:val="0"/>
          <w:iCs w:val="0"/>
          <w:caps w:val="0"/>
          <w:color w:val="auto"/>
          <w:spacing w:val="0"/>
          <w:sz w:val="24"/>
          <w:szCs w:val="24"/>
          <w:u w:val="single"/>
          <w:shd w:val="clear" w:fill="FFFFFF"/>
          <w:vertAlign w:val="superscript"/>
        </w:rPr>
        <w:t>1</w:t>
      </w:r>
      <w:r>
        <w:rPr>
          <w:rFonts w:hint="eastAsia" w:ascii="仿宋" w:hAnsi="仿宋" w:eastAsia="仿宋" w:cs="仿宋"/>
          <w:i w:val="0"/>
          <w:iCs w:val="0"/>
          <w:caps w:val="0"/>
          <w:color w:val="auto"/>
          <w:spacing w:val="0"/>
          <w:sz w:val="24"/>
          <w:szCs w:val="24"/>
          <w:shd w:val="clear" w:fill="FFFFFF"/>
        </w:rPr>
        <w:t>，生产厂为</w:t>
      </w:r>
      <w:r>
        <w:rPr>
          <w:rStyle w:val="75"/>
          <w:rFonts w:hint="eastAsia" w:ascii="仿宋" w:hAnsi="仿宋" w:eastAsia="仿宋" w:cs="仿宋"/>
          <w:i w:val="0"/>
          <w:iCs w:val="0"/>
          <w:caps w:val="0"/>
          <w:color w:val="auto"/>
          <w:spacing w:val="0"/>
          <w:sz w:val="24"/>
          <w:szCs w:val="24"/>
          <w:u w:val="single"/>
          <w:shd w:val="clear" w:fill="FFFFFF"/>
        </w:rPr>
        <w:t>（厂名）</w:t>
      </w:r>
      <w:r>
        <w:rPr>
          <w:rStyle w:val="75"/>
          <w:rFonts w:hint="eastAsia" w:ascii="仿宋" w:hAnsi="仿宋" w:eastAsia="仿宋" w:cs="仿宋"/>
          <w:i w:val="0"/>
          <w:iCs w:val="0"/>
          <w:caps w:val="0"/>
          <w:color w:val="auto"/>
          <w:spacing w:val="0"/>
          <w:sz w:val="24"/>
          <w:szCs w:val="24"/>
          <w:u w:val="single"/>
          <w:shd w:val="clear" w:fill="FFFFFF"/>
          <w:vertAlign w:val="superscript"/>
        </w:rPr>
        <w:t>2</w:t>
      </w:r>
      <w:r>
        <w:rPr>
          <w:rFonts w:hint="eastAsia" w:ascii="仿宋" w:hAnsi="仿宋" w:eastAsia="仿宋" w:cs="仿宋"/>
          <w:i w:val="0"/>
          <w:iCs w:val="0"/>
          <w:caps w:val="0"/>
          <w:color w:val="auto"/>
          <w:spacing w:val="0"/>
          <w:sz w:val="24"/>
          <w:szCs w:val="24"/>
          <w:shd w:val="clear" w:fill="FFFFFF"/>
        </w:rPr>
        <w:t>，厂址为</w:t>
      </w:r>
      <w:r>
        <w:rPr>
          <w:rStyle w:val="75"/>
          <w:rFonts w:hint="eastAsia" w:ascii="仿宋" w:hAnsi="仿宋" w:eastAsia="仿宋" w:cs="仿宋"/>
          <w:i w:val="0"/>
          <w:iCs w:val="0"/>
          <w:caps w:val="0"/>
          <w:color w:val="auto"/>
          <w:spacing w:val="0"/>
          <w:sz w:val="24"/>
          <w:szCs w:val="24"/>
          <w:u w:val="single"/>
          <w:shd w:val="clear" w:fill="FFFFFF"/>
        </w:rPr>
        <w:t>（生产厂址）</w:t>
      </w:r>
      <w:r>
        <w:rPr>
          <w:rFonts w:hint="eastAsia" w:ascii="仿宋" w:hAnsi="仿宋" w:eastAsia="仿宋" w:cs="仿宋"/>
          <w:i w:val="0"/>
          <w:iCs w:val="0"/>
          <w:caps w:val="0"/>
          <w:color w:val="auto"/>
          <w:spacing w:val="0"/>
          <w:sz w:val="24"/>
          <w:szCs w:val="24"/>
          <w:shd w:val="clear" w:fill="FFFFFF"/>
        </w:rPr>
        <w:t>。</w:t>
      </w:r>
      <w:r>
        <w:rPr>
          <w:rStyle w:val="75"/>
          <w:rFonts w:hint="eastAsia" w:ascii="仿宋" w:hAnsi="仿宋" w:eastAsia="仿宋" w:cs="仿宋"/>
          <w:i w:val="0"/>
          <w:iCs w:val="0"/>
          <w:caps w:val="0"/>
          <w:color w:val="auto"/>
          <w:spacing w:val="0"/>
          <w:sz w:val="24"/>
          <w:szCs w:val="24"/>
          <w:u w:val="single"/>
          <w:shd w:val="clear" w:fill="FFFFFF"/>
        </w:rPr>
        <w:t>（产品名称1）</w:t>
      </w:r>
      <w:r>
        <w:rPr>
          <w:rFonts w:hint="eastAsia" w:ascii="仿宋" w:hAnsi="仿宋" w:eastAsia="仿宋" w:cs="仿宋"/>
          <w:i w:val="0"/>
          <w:iCs w:val="0"/>
          <w:caps w:val="0"/>
          <w:color w:val="auto"/>
          <w:spacing w:val="0"/>
          <w:sz w:val="24"/>
          <w:szCs w:val="24"/>
          <w:shd w:val="clear" w:fill="FFFFFF"/>
        </w:rPr>
        <w:t>的中国境内生产的组件成本占比≥</w:t>
      </w:r>
      <w:r>
        <w:rPr>
          <w:rStyle w:val="75"/>
          <w:rFonts w:hint="eastAsia" w:ascii="仿宋" w:hAnsi="仿宋" w:eastAsia="仿宋" w:cs="仿宋"/>
          <w:i w:val="0"/>
          <w:iCs w:val="0"/>
          <w:caps w:val="0"/>
          <w:color w:val="auto"/>
          <w:spacing w:val="0"/>
          <w:sz w:val="24"/>
          <w:szCs w:val="24"/>
          <w:u w:val="single"/>
          <w:shd w:val="clear" w:fill="FFFFFF"/>
        </w:rPr>
        <w:t>（规定比例）</w:t>
      </w:r>
      <w:r>
        <w:rPr>
          <w:rStyle w:val="75"/>
          <w:rFonts w:hint="eastAsia" w:ascii="仿宋" w:hAnsi="仿宋" w:eastAsia="仿宋" w:cs="仿宋"/>
          <w:i w:val="0"/>
          <w:iCs w:val="0"/>
          <w:caps w:val="0"/>
          <w:color w:val="auto"/>
          <w:spacing w:val="0"/>
          <w:sz w:val="24"/>
          <w:szCs w:val="24"/>
          <w:u w:val="single"/>
          <w:shd w:val="clear" w:fill="FFFFFF"/>
          <w:vertAlign w:val="superscript"/>
        </w:rPr>
        <w:t>3</w:t>
      </w:r>
      <w:r>
        <w:rPr>
          <w:rFonts w:hint="eastAsia" w:ascii="仿宋" w:hAnsi="仿宋" w:eastAsia="仿宋" w:cs="仿宋"/>
          <w:i w:val="0"/>
          <w:iCs w:val="0"/>
          <w:caps w:val="0"/>
          <w:color w:val="auto"/>
          <w:spacing w:val="0"/>
          <w:sz w:val="24"/>
          <w:szCs w:val="24"/>
          <w:shd w:val="clear" w:fill="FFFFFF"/>
        </w:rPr>
        <w:t>。</w:t>
      </w:r>
      <w:r>
        <w:rPr>
          <w:rStyle w:val="75"/>
          <w:rFonts w:hint="eastAsia" w:ascii="仿宋" w:hAnsi="仿宋" w:eastAsia="仿宋" w:cs="仿宋"/>
          <w:i w:val="0"/>
          <w:iCs w:val="0"/>
          <w:caps w:val="0"/>
          <w:color w:val="auto"/>
          <w:spacing w:val="0"/>
          <w:sz w:val="24"/>
          <w:szCs w:val="24"/>
          <w:u w:val="single"/>
          <w:shd w:val="clear" w:fill="FFFFFF"/>
        </w:rPr>
        <w:t>（产品名称1）</w:t>
      </w:r>
      <w:r>
        <w:rPr>
          <w:rFonts w:hint="eastAsia" w:ascii="仿宋" w:hAnsi="仿宋" w:eastAsia="仿宋" w:cs="仿宋"/>
          <w:i w:val="0"/>
          <w:iCs w:val="0"/>
          <w:caps w:val="0"/>
          <w:color w:val="auto"/>
          <w:spacing w:val="0"/>
          <w:sz w:val="24"/>
          <w:szCs w:val="24"/>
          <w:shd w:val="clear" w:fill="FFFFFF"/>
        </w:rPr>
        <w:t>的</w:t>
      </w:r>
      <w:r>
        <w:rPr>
          <w:rStyle w:val="75"/>
          <w:rFonts w:hint="eastAsia" w:ascii="仿宋" w:hAnsi="仿宋" w:eastAsia="仿宋" w:cs="仿宋"/>
          <w:i w:val="0"/>
          <w:iCs w:val="0"/>
          <w:caps w:val="0"/>
          <w:color w:val="auto"/>
          <w:spacing w:val="0"/>
          <w:sz w:val="24"/>
          <w:szCs w:val="24"/>
          <w:u w:val="single"/>
          <w:shd w:val="clear" w:fill="FFFFFF"/>
        </w:rPr>
        <w:t>（关键组件）</w:t>
      </w:r>
      <w:r>
        <w:rPr>
          <w:rStyle w:val="75"/>
          <w:rFonts w:hint="eastAsia" w:ascii="仿宋" w:hAnsi="仿宋" w:eastAsia="仿宋" w:cs="仿宋"/>
          <w:i w:val="0"/>
          <w:iCs w:val="0"/>
          <w:caps w:val="0"/>
          <w:color w:val="auto"/>
          <w:spacing w:val="0"/>
          <w:sz w:val="24"/>
          <w:szCs w:val="24"/>
          <w:u w:val="single"/>
          <w:shd w:val="clear" w:fill="FFFFFF"/>
          <w:vertAlign w:val="superscript"/>
        </w:rPr>
        <w:t>4</w:t>
      </w:r>
      <w:r>
        <w:rPr>
          <w:rFonts w:hint="eastAsia" w:ascii="仿宋" w:hAnsi="仿宋" w:eastAsia="仿宋" w:cs="仿宋"/>
          <w:i w:val="0"/>
          <w:iCs w:val="0"/>
          <w:caps w:val="0"/>
          <w:color w:val="auto"/>
          <w:spacing w:val="0"/>
          <w:sz w:val="24"/>
          <w:szCs w:val="24"/>
          <w:shd w:val="clear" w:fill="FFFFFF"/>
        </w:rPr>
        <w:t>在中国境内生产。</w:t>
      </w:r>
      <w:r>
        <w:rPr>
          <w:rStyle w:val="75"/>
          <w:rFonts w:hint="eastAsia" w:ascii="仿宋" w:hAnsi="仿宋" w:eastAsia="仿宋" w:cs="仿宋"/>
          <w:i w:val="0"/>
          <w:iCs w:val="0"/>
          <w:caps w:val="0"/>
          <w:color w:val="auto"/>
          <w:spacing w:val="0"/>
          <w:sz w:val="24"/>
          <w:szCs w:val="24"/>
          <w:u w:val="single"/>
          <w:shd w:val="clear" w:fill="FFFFFF"/>
        </w:rPr>
        <w:t>（产品名称1）</w:t>
      </w:r>
      <w:r>
        <w:rPr>
          <w:rFonts w:hint="eastAsia" w:ascii="仿宋" w:hAnsi="仿宋" w:eastAsia="仿宋" w:cs="仿宋"/>
          <w:i w:val="0"/>
          <w:iCs w:val="0"/>
          <w:caps w:val="0"/>
          <w:color w:val="auto"/>
          <w:spacing w:val="0"/>
          <w:sz w:val="24"/>
          <w:szCs w:val="24"/>
          <w:shd w:val="clear" w:fill="FFFFFF"/>
        </w:rPr>
        <w:t>的</w:t>
      </w:r>
      <w:r>
        <w:rPr>
          <w:rStyle w:val="75"/>
          <w:rFonts w:hint="eastAsia" w:ascii="仿宋" w:hAnsi="仿宋" w:eastAsia="仿宋" w:cs="仿宋"/>
          <w:i w:val="0"/>
          <w:iCs w:val="0"/>
          <w:caps w:val="0"/>
          <w:color w:val="auto"/>
          <w:spacing w:val="0"/>
          <w:sz w:val="24"/>
          <w:szCs w:val="24"/>
          <w:u w:val="single"/>
          <w:shd w:val="clear" w:fill="FFFFFF"/>
        </w:rPr>
        <w:t>（关键工序）</w:t>
      </w:r>
      <w:r>
        <w:rPr>
          <w:rStyle w:val="75"/>
          <w:rFonts w:hint="eastAsia" w:ascii="仿宋" w:hAnsi="仿宋" w:eastAsia="仿宋" w:cs="仿宋"/>
          <w:i w:val="0"/>
          <w:iCs w:val="0"/>
          <w:caps w:val="0"/>
          <w:color w:val="auto"/>
          <w:spacing w:val="0"/>
          <w:sz w:val="24"/>
          <w:szCs w:val="24"/>
          <w:u w:val="single"/>
          <w:shd w:val="clear" w:fill="FFFFFF"/>
          <w:vertAlign w:val="superscript"/>
        </w:rPr>
        <w:t>5</w:t>
      </w:r>
      <w:r>
        <w:rPr>
          <w:rFonts w:hint="eastAsia" w:ascii="仿宋" w:hAnsi="仿宋" w:eastAsia="仿宋" w:cs="仿宋"/>
          <w:i w:val="0"/>
          <w:iCs w:val="0"/>
          <w:caps w:val="0"/>
          <w:color w:val="auto"/>
          <w:spacing w:val="0"/>
          <w:sz w:val="24"/>
          <w:szCs w:val="24"/>
          <w:shd w:val="clear" w:fill="FFFFFF"/>
        </w:rPr>
        <w:t>在中国境内完成。</w:t>
      </w:r>
    </w:p>
    <w:p w14:paraId="462F2A14">
      <w:pPr>
        <w:pStyle w:val="6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2.</w:t>
      </w:r>
      <w:r>
        <w:rPr>
          <w:rStyle w:val="75"/>
          <w:rFonts w:hint="eastAsia" w:ascii="仿宋" w:hAnsi="仿宋" w:eastAsia="仿宋" w:cs="仿宋"/>
          <w:i w:val="0"/>
          <w:iCs w:val="0"/>
          <w:caps w:val="0"/>
          <w:color w:val="auto"/>
          <w:spacing w:val="0"/>
          <w:sz w:val="24"/>
          <w:szCs w:val="24"/>
          <w:u w:val="single"/>
          <w:shd w:val="clear" w:fill="FFFFFF"/>
        </w:rPr>
        <w:t>（产品名称2）</w:t>
      </w:r>
      <w:r>
        <w:rPr>
          <w:rFonts w:hint="eastAsia" w:ascii="仿宋" w:hAnsi="仿宋" w:eastAsia="仿宋" w:cs="仿宋"/>
          <w:i w:val="0"/>
          <w:iCs w:val="0"/>
          <w:caps w:val="0"/>
          <w:color w:val="auto"/>
          <w:spacing w:val="0"/>
          <w:sz w:val="24"/>
          <w:szCs w:val="24"/>
          <w:shd w:val="clear" w:fill="FFFFFF"/>
        </w:rPr>
        <w:t>，生产厂为</w:t>
      </w:r>
      <w:r>
        <w:rPr>
          <w:rStyle w:val="75"/>
          <w:rFonts w:hint="eastAsia" w:ascii="仿宋" w:hAnsi="仿宋" w:eastAsia="仿宋" w:cs="仿宋"/>
          <w:i w:val="0"/>
          <w:iCs w:val="0"/>
          <w:caps w:val="0"/>
          <w:color w:val="auto"/>
          <w:spacing w:val="0"/>
          <w:sz w:val="24"/>
          <w:szCs w:val="24"/>
          <w:u w:val="single"/>
          <w:shd w:val="clear" w:fill="FFFFFF"/>
        </w:rPr>
        <w:t>（厂名）</w:t>
      </w:r>
      <w:r>
        <w:rPr>
          <w:rFonts w:hint="eastAsia" w:ascii="仿宋" w:hAnsi="仿宋" w:eastAsia="仿宋" w:cs="仿宋"/>
          <w:i w:val="0"/>
          <w:iCs w:val="0"/>
          <w:caps w:val="0"/>
          <w:color w:val="auto"/>
          <w:spacing w:val="0"/>
          <w:sz w:val="24"/>
          <w:szCs w:val="24"/>
          <w:shd w:val="clear" w:fill="FFFFFF"/>
        </w:rPr>
        <w:t>，厂址为</w:t>
      </w:r>
      <w:r>
        <w:rPr>
          <w:rStyle w:val="75"/>
          <w:rFonts w:hint="eastAsia" w:ascii="仿宋" w:hAnsi="仿宋" w:eastAsia="仿宋" w:cs="仿宋"/>
          <w:i w:val="0"/>
          <w:iCs w:val="0"/>
          <w:caps w:val="0"/>
          <w:color w:val="auto"/>
          <w:spacing w:val="0"/>
          <w:sz w:val="24"/>
          <w:szCs w:val="24"/>
          <w:u w:val="single"/>
          <w:shd w:val="clear" w:fill="FFFFFF"/>
        </w:rPr>
        <w:t>（生产厂址）</w:t>
      </w:r>
      <w:r>
        <w:rPr>
          <w:rFonts w:hint="eastAsia" w:ascii="仿宋" w:hAnsi="仿宋" w:eastAsia="仿宋" w:cs="仿宋"/>
          <w:i w:val="0"/>
          <w:iCs w:val="0"/>
          <w:caps w:val="0"/>
          <w:color w:val="auto"/>
          <w:spacing w:val="0"/>
          <w:sz w:val="24"/>
          <w:szCs w:val="24"/>
          <w:shd w:val="clear" w:fill="FFFFFF"/>
        </w:rPr>
        <w:t>。</w:t>
      </w:r>
      <w:r>
        <w:rPr>
          <w:rStyle w:val="75"/>
          <w:rFonts w:hint="eastAsia" w:ascii="仿宋" w:hAnsi="仿宋" w:eastAsia="仿宋" w:cs="仿宋"/>
          <w:i w:val="0"/>
          <w:iCs w:val="0"/>
          <w:caps w:val="0"/>
          <w:color w:val="auto"/>
          <w:spacing w:val="0"/>
          <w:sz w:val="24"/>
          <w:szCs w:val="24"/>
          <w:u w:val="single"/>
          <w:shd w:val="clear" w:fill="FFFFFF"/>
        </w:rPr>
        <w:t>（产品名称2）</w:t>
      </w:r>
      <w:r>
        <w:rPr>
          <w:rFonts w:hint="eastAsia" w:ascii="仿宋" w:hAnsi="仿宋" w:eastAsia="仿宋" w:cs="仿宋"/>
          <w:i w:val="0"/>
          <w:iCs w:val="0"/>
          <w:caps w:val="0"/>
          <w:color w:val="auto"/>
          <w:spacing w:val="0"/>
          <w:sz w:val="24"/>
          <w:szCs w:val="24"/>
          <w:shd w:val="clear" w:fill="FFFFFF"/>
        </w:rPr>
        <w:t>的中国境内生产的组件成本占比≥</w:t>
      </w:r>
      <w:r>
        <w:rPr>
          <w:rStyle w:val="75"/>
          <w:rFonts w:hint="eastAsia" w:ascii="仿宋" w:hAnsi="仿宋" w:eastAsia="仿宋" w:cs="仿宋"/>
          <w:i w:val="0"/>
          <w:iCs w:val="0"/>
          <w:caps w:val="0"/>
          <w:color w:val="auto"/>
          <w:spacing w:val="0"/>
          <w:sz w:val="24"/>
          <w:szCs w:val="24"/>
          <w:u w:val="single"/>
          <w:shd w:val="clear" w:fill="FFFFFF"/>
        </w:rPr>
        <w:t>（规定比例）</w:t>
      </w:r>
      <w:r>
        <w:rPr>
          <w:rFonts w:hint="eastAsia" w:ascii="仿宋" w:hAnsi="仿宋" w:eastAsia="仿宋" w:cs="仿宋"/>
          <w:i w:val="0"/>
          <w:iCs w:val="0"/>
          <w:caps w:val="0"/>
          <w:color w:val="auto"/>
          <w:spacing w:val="0"/>
          <w:sz w:val="24"/>
          <w:szCs w:val="24"/>
          <w:shd w:val="clear" w:fill="FFFFFF"/>
        </w:rPr>
        <w:t>。</w:t>
      </w:r>
      <w:r>
        <w:rPr>
          <w:rStyle w:val="75"/>
          <w:rFonts w:hint="eastAsia" w:ascii="仿宋" w:hAnsi="仿宋" w:eastAsia="仿宋" w:cs="仿宋"/>
          <w:i w:val="0"/>
          <w:iCs w:val="0"/>
          <w:caps w:val="0"/>
          <w:color w:val="auto"/>
          <w:spacing w:val="0"/>
          <w:sz w:val="24"/>
          <w:szCs w:val="24"/>
          <w:u w:val="single"/>
          <w:shd w:val="clear" w:fill="FFFFFF"/>
        </w:rPr>
        <w:t>（产品名称2）</w:t>
      </w:r>
      <w:r>
        <w:rPr>
          <w:rFonts w:hint="eastAsia" w:ascii="仿宋" w:hAnsi="仿宋" w:eastAsia="仿宋" w:cs="仿宋"/>
          <w:i w:val="0"/>
          <w:iCs w:val="0"/>
          <w:caps w:val="0"/>
          <w:color w:val="auto"/>
          <w:spacing w:val="0"/>
          <w:sz w:val="24"/>
          <w:szCs w:val="24"/>
          <w:shd w:val="clear" w:fill="FFFFFF"/>
        </w:rPr>
        <w:t>的</w:t>
      </w:r>
      <w:r>
        <w:rPr>
          <w:rStyle w:val="75"/>
          <w:rFonts w:hint="eastAsia" w:ascii="仿宋" w:hAnsi="仿宋" w:eastAsia="仿宋" w:cs="仿宋"/>
          <w:i w:val="0"/>
          <w:iCs w:val="0"/>
          <w:caps w:val="0"/>
          <w:color w:val="auto"/>
          <w:spacing w:val="0"/>
          <w:sz w:val="24"/>
          <w:szCs w:val="24"/>
          <w:u w:val="single"/>
          <w:shd w:val="clear" w:fill="FFFFFF"/>
        </w:rPr>
        <w:t>（关键组件）</w:t>
      </w:r>
      <w:r>
        <w:rPr>
          <w:rFonts w:hint="eastAsia" w:ascii="仿宋" w:hAnsi="仿宋" w:eastAsia="仿宋" w:cs="仿宋"/>
          <w:i w:val="0"/>
          <w:iCs w:val="0"/>
          <w:caps w:val="0"/>
          <w:color w:val="auto"/>
          <w:spacing w:val="0"/>
          <w:sz w:val="24"/>
          <w:szCs w:val="24"/>
          <w:shd w:val="clear" w:fill="FFFFFF"/>
        </w:rPr>
        <w:t>在中国境内生产。</w:t>
      </w:r>
      <w:r>
        <w:rPr>
          <w:rStyle w:val="75"/>
          <w:rFonts w:hint="eastAsia" w:ascii="仿宋" w:hAnsi="仿宋" w:eastAsia="仿宋" w:cs="仿宋"/>
          <w:i w:val="0"/>
          <w:iCs w:val="0"/>
          <w:caps w:val="0"/>
          <w:color w:val="auto"/>
          <w:spacing w:val="0"/>
          <w:sz w:val="24"/>
          <w:szCs w:val="24"/>
          <w:u w:val="single"/>
          <w:shd w:val="clear" w:fill="FFFFFF"/>
        </w:rPr>
        <w:t>（产品名称2）</w:t>
      </w:r>
      <w:r>
        <w:rPr>
          <w:rFonts w:hint="eastAsia" w:ascii="仿宋" w:hAnsi="仿宋" w:eastAsia="仿宋" w:cs="仿宋"/>
          <w:i w:val="0"/>
          <w:iCs w:val="0"/>
          <w:caps w:val="0"/>
          <w:color w:val="auto"/>
          <w:spacing w:val="0"/>
          <w:sz w:val="24"/>
          <w:szCs w:val="24"/>
          <w:shd w:val="clear" w:fill="FFFFFF"/>
        </w:rPr>
        <w:t>的</w:t>
      </w:r>
      <w:r>
        <w:rPr>
          <w:rStyle w:val="75"/>
          <w:rFonts w:hint="eastAsia" w:ascii="仿宋" w:hAnsi="仿宋" w:eastAsia="仿宋" w:cs="仿宋"/>
          <w:i w:val="0"/>
          <w:iCs w:val="0"/>
          <w:caps w:val="0"/>
          <w:color w:val="auto"/>
          <w:spacing w:val="0"/>
          <w:sz w:val="24"/>
          <w:szCs w:val="24"/>
          <w:u w:val="single"/>
          <w:shd w:val="clear" w:fill="FFFFFF"/>
        </w:rPr>
        <w:t>（关键工序）</w:t>
      </w:r>
      <w:r>
        <w:rPr>
          <w:rFonts w:hint="eastAsia" w:ascii="仿宋" w:hAnsi="仿宋" w:eastAsia="仿宋" w:cs="仿宋"/>
          <w:i w:val="0"/>
          <w:iCs w:val="0"/>
          <w:caps w:val="0"/>
          <w:color w:val="auto"/>
          <w:spacing w:val="0"/>
          <w:sz w:val="24"/>
          <w:szCs w:val="24"/>
          <w:shd w:val="clear" w:fill="FFFFFF"/>
        </w:rPr>
        <w:t>在中国境内完成。</w:t>
      </w:r>
    </w:p>
    <w:p w14:paraId="72308D74">
      <w:pPr>
        <w:pStyle w:val="6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w:t>
      </w:r>
    </w:p>
    <w:p w14:paraId="3E165E9C">
      <w:pPr>
        <w:pStyle w:val="6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本公司（单位）对上述声明内容的真实性负责。如有虚假，愿承担相应法律责任。</w:t>
      </w:r>
    </w:p>
    <w:p w14:paraId="2777C648">
      <w:pPr>
        <w:pStyle w:val="6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jc w:val="right"/>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公司（单位）名称（盖章）：      </w:t>
      </w:r>
    </w:p>
    <w:p w14:paraId="5D193FE2">
      <w:pPr>
        <w:pStyle w:val="6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jc w:val="right"/>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日期：　　　　　年　　月　日    </w:t>
      </w:r>
    </w:p>
    <w:p w14:paraId="6252ED48">
      <w:pPr>
        <w:pStyle w:val="6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rPr>
      </w:pPr>
    </w:p>
    <w:p w14:paraId="336CC1FD">
      <w:pPr>
        <w:pStyle w:val="6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rPr>
      </w:pPr>
    </w:p>
    <w:p w14:paraId="312E00EC">
      <w:pPr>
        <w:pStyle w:val="6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_____________________________</w:t>
      </w:r>
    </w:p>
    <w:p w14:paraId="575A9482">
      <w:pPr>
        <w:pStyle w:val="6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1.产品如有型号，请在“产品名称”栏一并填写。</w:t>
      </w:r>
    </w:p>
    <w:p w14:paraId="2108BE90">
      <w:pPr>
        <w:pStyle w:val="6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2.生产厂名与厂址应与生产厂营业执照载明的相关信息保持一致。</w:t>
      </w:r>
    </w:p>
    <w:p w14:paraId="2ED8A609">
      <w:pPr>
        <w:pStyle w:val="6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3.该产品的中国境内生产的组件成本占比相关要求实施前，“规定比例”栏可不填，下同。</w:t>
      </w:r>
    </w:p>
    <w:p w14:paraId="1E9E4518">
      <w:pPr>
        <w:pStyle w:val="6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4.该产品的关键组件要求实施前，“关键组件”栏可不填，下同。</w:t>
      </w:r>
    </w:p>
    <w:p w14:paraId="1853FA36">
      <w:pPr>
        <w:pStyle w:val="6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5.该产品的关键工序要求实施前，“关键工序”栏可不填，下同。</w:t>
      </w:r>
    </w:p>
    <w:p w14:paraId="31DF77D8">
      <w:pPr>
        <w:pStyle w:val="3"/>
        <w:bidi w:val="0"/>
        <w:spacing w:line="360" w:lineRule="auto"/>
        <w:rPr>
          <w:rFonts w:hint="eastAsia" w:ascii="仿宋" w:hAnsi="仿宋" w:eastAsia="仿宋" w:cs="仿宋"/>
          <w:color w:val="auto"/>
          <w:highlight w:val="none"/>
          <w:lang w:eastAsia="zh-CN"/>
        </w:rPr>
        <w:sectPr>
          <w:footerReference r:id="rId8" w:type="first"/>
          <w:footerReference r:id="rId7" w:type="default"/>
          <w:pgSz w:w="11906" w:h="16838"/>
          <w:pgMar w:top="1134" w:right="1134" w:bottom="1134" w:left="1134" w:header="709" w:footer="907" w:gutter="0"/>
          <w:pgBorders>
            <w:top w:val="none" w:sz="0" w:space="0"/>
            <w:left w:val="none" w:sz="0" w:space="0"/>
            <w:bottom w:val="none" w:sz="0" w:space="0"/>
            <w:right w:val="none" w:sz="0" w:space="0"/>
          </w:pgBorders>
          <w:pgNumType w:fmt="decimal"/>
          <w:cols w:space="720" w:num="1"/>
          <w:titlePg/>
          <w:rtlGutter w:val="0"/>
          <w:docGrid w:linePitch="299" w:charSpace="0"/>
        </w:sectPr>
      </w:pPr>
    </w:p>
    <w:p w14:paraId="21E6CB53">
      <w:pPr>
        <w:pStyle w:val="17"/>
        <w:spacing w:line="360" w:lineRule="auto"/>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一、本国产品标准</w:t>
      </w:r>
    </w:p>
    <w:p w14:paraId="0ECBCD9A">
      <w:pPr>
        <w:pStyle w:val="17"/>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本国产品应当符合以下条件：</w:t>
      </w:r>
    </w:p>
    <w:p w14:paraId="77039E85">
      <w:pPr>
        <w:pStyle w:val="17"/>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（一）在中国境内生产</w:t>
      </w:r>
    </w:p>
    <w:p w14:paraId="6D1EF2EA">
      <w:pPr>
        <w:pStyle w:val="17"/>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产品应当在中国境内生产，即在中华人民共和国关境内实现从原材料、组件到产品的属性改变。</w:t>
      </w:r>
    </w:p>
    <w:p w14:paraId="4C7E9B55">
      <w:pPr>
        <w:pStyle w:val="17"/>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属性改变是指经过制造、加工或者组装等工序，产生完全不同于原材料、组件的新产品，并具有新的名称和特征（用途）。属性改变不包括以下细微操作：</w:t>
      </w:r>
    </w:p>
    <w:p w14:paraId="375C0FD4">
      <w:pPr>
        <w:pStyle w:val="17"/>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1.为确保产品在运输或者储存期间保持某种状态而进行的操作；</w:t>
      </w:r>
    </w:p>
    <w:p w14:paraId="0E0094AE">
      <w:pPr>
        <w:pStyle w:val="17"/>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2.为产品运输或者销售进行的包装或者展示；</w:t>
      </w:r>
    </w:p>
    <w:p w14:paraId="638FB471">
      <w:pPr>
        <w:pStyle w:val="17"/>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3.在产品或者其包装上粘贴或者印刷品牌、标志、标识以及其他用于区别的标记；</w:t>
      </w:r>
    </w:p>
    <w:p w14:paraId="54BA92BB">
      <w:pPr>
        <w:pStyle w:val="17"/>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4.简单的上漆、磨光和分装；</w:t>
      </w:r>
    </w:p>
    <w:p w14:paraId="63A4E3B6">
      <w:pPr>
        <w:pStyle w:val="17"/>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5.其他不属于属性改变的情形。</w:t>
      </w:r>
    </w:p>
    <w:p w14:paraId="553B3287">
      <w:pPr>
        <w:pStyle w:val="17"/>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（二）在中国境内生产的组件成本占比达到规定比例</w:t>
      </w:r>
    </w:p>
    <w:p w14:paraId="77A7AFCE">
      <w:pPr>
        <w:pStyle w:val="17"/>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产品在中国境内生产的组件成本占比应当达到规定比例，计算公式为：</w:t>
      </w:r>
    </w:p>
    <w:p w14:paraId="4BE039FB">
      <w:pPr>
        <w:pStyle w:val="17"/>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drawing>
          <wp:inline distT="0" distB="0" distL="114300" distR="114300">
            <wp:extent cx="2733675" cy="390525"/>
            <wp:effectExtent l="0" t="0" r="9525" b="5715"/>
            <wp:docPr id="20"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 descr="IMG_256"/>
                    <pic:cNvPicPr>
                      <a:picLocks noChangeAspect="1"/>
                    </pic:cNvPicPr>
                  </pic:nvPicPr>
                  <pic:blipFill>
                    <a:blip r:embed="rId11"/>
                    <a:stretch>
                      <a:fillRect/>
                    </a:stretch>
                  </pic:blipFill>
                  <pic:spPr>
                    <a:xfrm>
                      <a:off x="0" y="0"/>
                      <a:ext cx="2733675" cy="390525"/>
                    </a:xfrm>
                    <a:prstGeom prst="rect">
                      <a:avLst/>
                    </a:prstGeom>
                    <a:noFill/>
                    <a:ln w="9525">
                      <a:noFill/>
                    </a:ln>
                  </pic:spPr>
                </pic:pic>
              </a:graphicData>
            </a:graphic>
          </wp:inline>
        </w:drawing>
      </w:r>
    </w:p>
    <w:p w14:paraId="54DAAB2A">
      <w:pPr>
        <w:pStyle w:val="17"/>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218AC198">
      <w:pPr>
        <w:pStyle w:val="17"/>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（三）特定产品的关键组件、关键工序符合相关要求</w:t>
      </w:r>
    </w:p>
    <w:p w14:paraId="4BC5A9E5">
      <w:pPr>
        <w:pStyle w:val="17"/>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对特定产品，在符合本通知第一条第（一）项和第（二）项条件的基础上，应当符合财政部会同有关行业主管部门确定的其关键组件、关键工序在中国境内生产、完成等要求。</w:t>
      </w:r>
    </w:p>
    <w:p w14:paraId="6202E76D">
      <w:pPr>
        <w:pStyle w:val="17"/>
        <w:spacing w:line="360" w:lineRule="auto"/>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二、本国产品标准的适用范围</w:t>
      </w:r>
    </w:p>
    <w:p w14:paraId="2C45AC16">
      <w:pPr>
        <w:pStyle w:val="17"/>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9FC002A">
      <w:pPr>
        <w:pStyle w:val="17"/>
        <w:spacing w:line="360" w:lineRule="auto"/>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三、对本国产品的支持政策</w:t>
      </w:r>
    </w:p>
    <w:p w14:paraId="55842156">
      <w:pPr>
        <w:pStyle w:val="17"/>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政府采购活动中既有本国产品又有非本国产品参与竞争的，依法对本国产品给予价格评审优惠，对本国产品的报价给予20%的价格扣除，用扣除后的价格参与评审。</w:t>
      </w:r>
    </w:p>
    <w:p w14:paraId="50B67F19">
      <w:pPr>
        <w:pStyle w:val="17"/>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p>
    <w:p w14:paraId="0E5FC58C">
      <w:pPr>
        <w:pStyle w:val="17"/>
        <w:spacing w:line="360" w:lineRule="auto"/>
        <w:rPr>
          <w:rFonts w:hint="eastAsia" w:ascii="仿宋" w:hAnsi="仿宋" w:eastAsia="仿宋" w:cs="仿宋"/>
          <w:color w:val="auto"/>
          <w:sz w:val="24"/>
          <w:szCs w:val="24"/>
          <w:lang w:eastAsia="zh-CN"/>
        </w:rPr>
        <w:sectPr>
          <w:pgSz w:w="11906" w:h="16838"/>
          <w:pgMar w:top="1134" w:right="1134" w:bottom="1134" w:left="1134" w:header="709" w:footer="907" w:gutter="0"/>
          <w:pgBorders>
            <w:top w:val="none" w:sz="0" w:space="0"/>
            <w:left w:val="none" w:sz="0" w:space="0"/>
            <w:bottom w:val="none" w:sz="0" w:space="0"/>
            <w:right w:val="none" w:sz="0" w:space="0"/>
          </w:pgBorders>
          <w:pgNumType w:fmt="decimal"/>
          <w:cols w:space="720" w:num="1"/>
          <w:titlePg/>
          <w:rtlGutter w:val="0"/>
          <w:docGrid w:linePitch="299" w:charSpace="0"/>
        </w:sectPr>
      </w:pPr>
    </w:p>
    <w:p w14:paraId="59DEECC4">
      <w:pPr>
        <w:keepNext w:val="0"/>
        <w:keepLines w:val="0"/>
        <w:pageBreakBefore w:val="0"/>
        <w:widowControl w:val="0"/>
        <w:numPr>
          <w:ilvl w:val="0"/>
          <w:numId w:val="0"/>
        </w:numPr>
        <w:kinsoku/>
        <w:wordWrap w:val="0"/>
        <w:overflowPunct/>
        <w:topLinePunct/>
        <w:autoSpaceDE/>
        <w:autoSpaceDN/>
        <w:bidi w:val="0"/>
        <w:adjustRightInd/>
        <w:snapToGrid/>
        <w:ind w:left="0" w:leftChars="0" w:right="0" w:rightChars="0"/>
        <w:jc w:val="center"/>
        <w:outlineLvl w:val="1"/>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8"/>
          <w:szCs w:val="28"/>
          <w:highlight w:val="none"/>
          <w:lang w:val="en-US" w:eastAsia="zh-CN"/>
        </w:rPr>
        <w:t>四、</w:t>
      </w:r>
      <w:bookmarkStart w:id="2214" w:name="_Toc19607"/>
      <w:r>
        <w:rPr>
          <w:rFonts w:hint="eastAsia" w:ascii="仿宋" w:hAnsi="仿宋" w:eastAsia="仿宋" w:cs="仿宋"/>
          <w:b/>
          <w:bCs/>
          <w:color w:val="auto"/>
          <w:sz w:val="28"/>
          <w:szCs w:val="28"/>
          <w:highlight w:val="none"/>
          <w:lang w:val="en-US" w:eastAsia="zh-CN"/>
        </w:rPr>
        <w:t>环保标志产品、节能产品</w:t>
      </w:r>
      <w:bookmarkEnd w:id="2201"/>
      <w:bookmarkEnd w:id="2202"/>
      <w:bookmarkEnd w:id="2203"/>
      <w:bookmarkEnd w:id="2204"/>
      <w:bookmarkEnd w:id="2205"/>
      <w:bookmarkEnd w:id="2206"/>
      <w:bookmarkEnd w:id="2207"/>
      <w:bookmarkEnd w:id="2208"/>
      <w:bookmarkEnd w:id="2209"/>
      <w:bookmarkEnd w:id="2214"/>
      <w:r>
        <w:rPr>
          <w:rFonts w:hint="eastAsia" w:ascii="仿宋" w:hAnsi="仿宋" w:eastAsia="仿宋" w:cs="仿宋"/>
          <w:b/>
          <w:bCs/>
          <w:color w:val="auto"/>
          <w:sz w:val="28"/>
          <w:szCs w:val="28"/>
          <w:highlight w:val="none"/>
          <w:lang w:val="en-US" w:eastAsia="zh-CN"/>
        </w:rPr>
        <w:t>（若有）</w:t>
      </w:r>
      <w:bookmarkEnd w:id="2210"/>
      <w:bookmarkEnd w:id="2211"/>
      <w:bookmarkEnd w:id="2212"/>
      <w:bookmarkEnd w:id="2213"/>
    </w:p>
    <w:p w14:paraId="50F6AEBF">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480" w:firstLineChars="200"/>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lang w:val="en-US" w:eastAsia="zh-CN"/>
        </w:rPr>
        <w:t>按照政府采购有关政策的要求，在本次投标的货物中，采用符合政策的环保标志产品、节能产品介绍说明如下：</w:t>
      </w:r>
    </w:p>
    <w:tbl>
      <w:tblPr>
        <w:tblStyle w:val="68"/>
        <w:tblW w:w="10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0"/>
        <w:gridCol w:w="2004"/>
        <w:gridCol w:w="1800"/>
        <w:gridCol w:w="1176"/>
        <w:gridCol w:w="2042"/>
        <w:gridCol w:w="1398"/>
      </w:tblGrid>
      <w:tr w14:paraId="529D2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1750" w:type="dxa"/>
            <w:vAlign w:val="center"/>
          </w:tcPr>
          <w:p w14:paraId="1560E52C">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类别</w:t>
            </w:r>
          </w:p>
        </w:tc>
        <w:tc>
          <w:tcPr>
            <w:tcW w:w="2004" w:type="dxa"/>
            <w:vAlign w:val="center"/>
          </w:tcPr>
          <w:p w14:paraId="597A293C">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主要产品/技术名称（规格型号、注册商标）</w:t>
            </w:r>
          </w:p>
        </w:tc>
        <w:tc>
          <w:tcPr>
            <w:tcW w:w="1800" w:type="dxa"/>
            <w:vAlign w:val="center"/>
          </w:tcPr>
          <w:p w14:paraId="69430F23">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制造商/开发商</w:t>
            </w:r>
          </w:p>
        </w:tc>
        <w:tc>
          <w:tcPr>
            <w:tcW w:w="1176" w:type="dxa"/>
            <w:vAlign w:val="center"/>
          </w:tcPr>
          <w:p w14:paraId="52575790">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认证证书编号</w:t>
            </w:r>
          </w:p>
        </w:tc>
        <w:tc>
          <w:tcPr>
            <w:tcW w:w="2042" w:type="dxa"/>
            <w:vAlign w:val="center"/>
          </w:tcPr>
          <w:p w14:paraId="6984178D">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lang w:val="en-US" w:eastAsia="zh-CN"/>
              </w:rPr>
              <w:t>环保标志产品、节能</w:t>
            </w:r>
            <w:r>
              <w:rPr>
                <w:rFonts w:hint="eastAsia" w:ascii="仿宋" w:hAnsi="仿宋" w:eastAsia="仿宋" w:cs="仿宋"/>
                <w:color w:val="auto"/>
                <w:sz w:val="24"/>
                <w:szCs w:val="24"/>
                <w:highlight w:val="none"/>
                <w:vertAlign w:val="baseline"/>
                <w:lang w:val="en-US" w:eastAsia="zh-CN"/>
              </w:rPr>
              <w:t>产品金额小计</w:t>
            </w:r>
          </w:p>
        </w:tc>
        <w:tc>
          <w:tcPr>
            <w:tcW w:w="1398" w:type="dxa"/>
            <w:vAlign w:val="center"/>
          </w:tcPr>
          <w:p w14:paraId="0ACB8F9C">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highlight w:val="none"/>
                <w:lang w:val="en-US" w:eastAsia="zh-CN"/>
              </w:rPr>
            </w:pPr>
            <w:r>
              <w:rPr>
                <w:rFonts w:hint="eastAsia" w:ascii="仿宋" w:hAnsi="仿宋" w:eastAsia="仿宋" w:cs="仿宋"/>
                <w:color w:val="auto"/>
                <w:sz w:val="24"/>
                <w:szCs w:val="24"/>
                <w:highlight w:val="none"/>
                <w:lang w:val="en-US" w:eastAsia="zh-CN"/>
              </w:rPr>
              <w:t>备注</w:t>
            </w:r>
            <w:r>
              <w:rPr>
                <w:rFonts w:hint="eastAsia" w:ascii="仿宋" w:hAnsi="仿宋" w:eastAsia="仿宋" w:cs="仿宋"/>
                <w:color w:val="auto"/>
                <w:sz w:val="24"/>
                <w:szCs w:val="24"/>
                <w:highlight w:val="none"/>
                <w:vertAlign w:val="baseline"/>
                <w:lang w:val="en-US" w:eastAsia="zh-CN"/>
              </w:rPr>
              <w:t>（证书页码）</w:t>
            </w:r>
          </w:p>
        </w:tc>
      </w:tr>
      <w:tr w14:paraId="42BBA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50" w:type="dxa"/>
            <w:vMerge w:val="restart"/>
            <w:vAlign w:val="center"/>
          </w:tcPr>
          <w:p w14:paraId="4A912F6B">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lang w:val="en-US" w:eastAsia="zh-CN"/>
              </w:rPr>
              <w:t>环保标志产品</w:t>
            </w:r>
          </w:p>
        </w:tc>
        <w:tc>
          <w:tcPr>
            <w:tcW w:w="2004" w:type="dxa"/>
            <w:vAlign w:val="center"/>
          </w:tcPr>
          <w:p w14:paraId="57474C00">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w:t>
            </w:r>
          </w:p>
        </w:tc>
        <w:tc>
          <w:tcPr>
            <w:tcW w:w="1800" w:type="dxa"/>
            <w:vAlign w:val="center"/>
          </w:tcPr>
          <w:p w14:paraId="44A6B7A0">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p>
        </w:tc>
        <w:tc>
          <w:tcPr>
            <w:tcW w:w="1176" w:type="dxa"/>
            <w:vAlign w:val="center"/>
          </w:tcPr>
          <w:p w14:paraId="3DA6F14F">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p>
        </w:tc>
        <w:tc>
          <w:tcPr>
            <w:tcW w:w="2042" w:type="dxa"/>
            <w:vAlign w:val="center"/>
          </w:tcPr>
          <w:p w14:paraId="5212A88A">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p>
        </w:tc>
        <w:tc>
          <w:tcPr>
            <w:tcW w:w="1398" w:type="dxa"/>
            <w:vAlign w:val="center"/>
          </w:tcPr>
          <w:p w14:paraId="38A77A87">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p>
        </w:tc>
      </w:tr>
      <w:tr w14:paraId="17683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50" w:type="dxa"/>
            <w:vMerge w:val="continue"/>
            <w:vAlign w:val="center"/>
          </w:tcPr>
          <w:p w14:paraId="2DF69EAA">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p>
        </w:tc>
        <w:tc>
          <w:tcPr>
            <w:tcW w:w="2004" w:type="dxa"/>
            <w:vAlign w:val="center"/>
          </w:tcPr>
          <w:p w14:paraId="435F3E1F">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2</w:t>
            </w:r>
          </w:p>
        </w:tc>
        <w:tc>
          <w:tcPr>
            <w:tcW w:w="1800" w:type="dxa"/>
            <w:vAlign w:val="center"/>
          </w:tcPr>
          <w:p w14:paraId="07D5D146">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p>
        </w:tc>
        <w:tc>
          <w:tcPr>
            <w:tcW w:w="1176" w:type="dxa"/>
            <w:vAlign w:val="center"/>
          </w:tcPr>
          <w:p w14:paraId="4228522B">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p>
        </w:tc>
        <w:tc>
          <w:tcPr>
            <w:tcW w:w="2042" w:type="dxa"/>
            <w:vAlign w:val="center"/>
          </w:tcPr>
          <w:p w14:paraId="41DFAC30">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p>
        </w:tc>
        <w:tc>
          <w:tcPr>
            <w:tcW w:w="1398" w:type="dxa"/>
            <w:vAlign w:val="center"/>
          </w:tcPr>
          <w:p w14:paraId="0F39ED83">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p>
        </w:tc>
      </w:tr>
      <w:tr w14:paraId="338B0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750" w:type="dxa"/>
            <w:vMerge w:val="continue"/>
            <w:vAlign w:val="center"/>
          </w:tcPr>
          <w:p w14:paraId="1660F21E">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p>
        </w:tc>
        <w:tc>
          <w:tcPr>
            <w:tcW w:w="2004" w:type="dxa"/>
            <w:vAlign w:val="center"/>
          </w:tcPr>
          <w:p w14:paraId="605A710A">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3</w:t>
            </w:r>
          </w:p>
        </w:tc>
        <w:tc>
          <w:tcPr>
            <w:tcW w:w="1800" w:type="dxa"/>
            <w:vAlign w:val="center"/>
          </w:tcPr>
          <w:p w14:paraId="6BDF22F4">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p>
        </w:tc>
        <w:tc>
          <w:tcPr>
            <w:tcW w:w="1176" w:type="dxa"/>
            <w:vAlign w:val="center"/>
          </w:tcPr>
          <w:p w14:paraId="5281FCFC">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p>
        </w:tc>
        <w:tc>
          <w:tcPr>
            <w:tcW w:w="2042" w:type="dxa"/>
            <w:vAlign w:val="center"/>
          </w:tcPr>
          <w:p w14:paraId="50D016C8">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p>
        </w:tc>
        <w:tc>
          <w:tcPr>
            <w:tcW w:w="1398" w:type="dxa"/>
            <w:vAlign w:val="center"/>
          </w:tcPr>
          <w:p w14:paraId="6A009545">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p>
        </w:tc>
      </w:tr>
      <w:tr w14:paraId="5C959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750" w:type="dxa"/>
            <w:vMerge w:val="continue"/>
            <w:vAlign w:val="center"/>
          </w:tcPr>
          <w:p w14:paraId="4A5B4981">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p>
        </w:tc>
        <w:tc>
          <w:tcPr>
            <w:tcW w:w="2004" w:type="dxa"/>
            <w:vAlign w:val="center"/>
          </w:tcPr>
          <w:p w14:paraId="02431FAE">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w:t>
            </w:r>
          </w:p>
        </w:tc>
        <w:tc>
          <w:tcPr>
            <w:tcW w:w="1800" w:type="dxa"/>
            <w:vAlign w:val="center"/>
          </w:tcPr>
          <w:p w14:paraId="48A6399E">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p>
        </w:tc>
        <w:tc>
          <w:tcPr>
            <w:tcW w:w="1176" w:type="dxa"/>
            <w:vAlign w:val="center"/>
          </w:tcPr>
          <w:p w14:paraId="2701F9D7">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p>
        </w:tc>
        <w:tc>
          <w:tcPr>
            <w:tcW w:w="2042" w:type="dxa"/>
            <w:vAlign w:val="center"/>
          </w:tcPr>
          <w:p w14:paraId="6AD6EC4E">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p>
        </w:tc>
        <w:tc>
          <w:tcPr>
            <w:tcW w:w="1398" w:type="dxa"/>
            <w:vAlign w:val="center"/>
          </w:tcPr>
          <w:p w14:paraId="24BC3486">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p>
        </w:tc>
      </w:tr>
      <w:tr w14:paraId="0D0F5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3754" w:type="dxa"/>
            <w:gridSpan w:val="2"/>
            <w:vAlign w:val="center"/>
          </w:tcPr>
          <w:p w14:paraId="6DFE4E8E">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0" w:firstLineChars="0"/>
              <w:jc w:val="both"/>
              <w:rPr>
                <w:rFonts w:hint="eastAsia" w:ascii="仿宋" w:hAnsi="仿宋" w:eastAsia="仿宋" w:cs="仿宋"/>
                <w:color w:val="auto"/>
                <w:kern w:val="2"/>
                <w:sz w:val="24"/>
                <w:szCs w:val="24"/>
                <w:highlight w:val="none"/>
                <w:u w:val="single"/>
                <w:vertAlign w:val="baseline"/>
                <w:lang w:val="en-US" w:eastAsia="zh-CN" w:bidi="ar-SA"/>
              </w:rPr>
            </w:pPr>
            <w:r>
              <w:rPr>
                <w:rFonts w:hint="eastAsia" w:ascii="仿宋" w:hAnsi="仿宋" w:eastAsia="仿宋" w:cs="仿宋"/>
                <w:color w:val="auto"/>
                <w:kern w:val="2"/>
                <w:sz w:val="24"/>
                <w:szCs w:val="24"/>
                <w:highlight w:val="none"/>
                <w:vertAlign w:val="baseline"/>
                <w:lang w:val="en-US" w:eastAsia="zh-CN" w:bidi="ar-SA"/>
              </w:rPr>
              <w:t>金额：</w:t>
            </w:r>
            <w:r>
              <w:rPr>
                <w:rFonts w:hint="eastAsia" w:ascii="仿宋" w:hAnsi="仿宋" w:eastAsia="仿宋" w:cs="仿宋"/>
                <w:color w:val="auto"/>
                <w:kern w:val="2"/>
                <w:sz w:val="24"/>
                <w:szCs w:val="24"/>
                <w:highlight w:val="none"/>
                <w:u w:val="single"/>
                <w:vertAlign w:val="baseline"/>
                <w:lang w:val="en-US" w:eastAsia="zh-CN" w:bidi="ar-SA"/>
              </w:rPr>
              <w:t xml:space="preserve">                </w:t>
            </w:r>
          </w:p>
        </w:tc>
        <w:tc>
          <w:tcPr>
            <w:tcW w:w="6416" w:type="dxa"/>
            <w:gridSpan w:val="4"/>
            <w:vAlign w:val="center"/>
          </w:tcPr>
          <w:p w14:paraId="041AC85C">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0" w:firstLineChars="0"/>
              <w:jc w:val="center"/>
              <w:rPr>
                <w:rFonts w:hint="eastAsia" w:ascii="仿宋" w:hAnsi="仿宋" w:eastAsia="仿宋" w:cs="仿宋"/>
                <w:color w:val="auto"/>
                <w:kern w:val="2"/>
                <w:sz w:val="24"/>
                <w:szCs w:val="24"/>
                <w:highlight w:val="none"/>
                <w:vertAlign w:val="baseline"/>
                <w:lang w:val="en-US" w:eastAsia="zh-CN" w:bidi="ar-SA"/>
              </w:rPr>
            </w:pPr>
            <w:r>
              <w:rPr>
                <w:rFonts w:hint="eastAsia" w:ascii="仿宋" w:hAnsi="仿宋" w:eastAsia="仿宋" w:cs="仿宋"/>
                <w:color w:val="auto"/>
                <w:sz w:val="24"/>
                <w:szCs w:val="24"/>
                <w:highlight w:val="none"/>
                <w:vertAlign w:val="baseline"/>
                <w:lang w:val="en-US" w:eastAsia="zh-CN"/>
              </w:rPr>
              <w:t>使用价值量占总金额比重（累计</w:t>
            </w:r>
            <w:r>
              <w:rPr>
                <w:rFonts w:hint="eastAsia" w:ascii="仿宋" w:hAnsi="仿宋" w:eastAsia="仿宋" w:cs="仿宋"/>
                <w:color w:val="auto"/>
                <w:sz w:val="24"/>
                <w:szCs w:val="24"/>
                <w:highlight w:val="none"/>
                <w:u w:val="single"/>
                <w:vertAlign w:val="baseline"/>
                <w:lang w:val="en-US" w:eastAsia="zh-CN"/>
              </w:rPr>
              <w:t xml:space="preserve">    </w:t>
            </w:r>
            <w:r>
              <w:rPr>
                <w:rFonts w:hint="eastAsia" w:ascii="仿宋" w:hAnsi="仿宋" w:eastAsia="仿宋" w:cs="仿宋"/>
                <w:color w:val="auto"/>
                <w:sz w:val="24"/>
                <w:szCs w:val="24"/>
                <w:highlight w:val="none"/>
                <w:u w:val="none"/>
                <w:vertAlign w:val="baseline"/>
                <w:lang w:val="en-US" w:eastAsia="zh-CN"/>
              </w:rPr>
              <w:t>%</w:t>
            </w:r>
            <w:r>
              <w:rPr>
                <w:rFonts w:hint="eastAsia" w:ascii="仿宋" w:hAnsi="仿宋" w:eastAsia="仿宋" w:cs="仿宋"/>
                <w:color w:val="auto"/>
                <w:sz w:val="24"/>
                <w:szCs w:val="24"/>
                <w:highlight w:val="none"/>
                <w:vertAlign w:val="baseline"/>
                <w:lang w:val="en-US" w:eastAsia="zh-CN"/>
              </w:rPr>
              <w:t>）</w:t>
            </w:r>
          </w:p>
        </w:tc>
      </w:tr>
      <w:tr w14:paraId="633E9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750" w:type="dxa"/>
            <w:vMerge w:val="restart"/>
            <w:vAlign w:val="center"/>
          </w:tcPr>
          <w:p w14:paraId="52C827AE">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lang w:val="en-US" w:eastAsia="zh-CN"/>
              </w:rPr>
              <w:t>节能产品</w:t>
            </w:r>
          </w:p>
        </w:tc>
        <w:tc>
          <w:tcPr>
            <w:tcW w:w="2004" w:type="dxa"/>
            <w:vAlign w:val="center"/>
          </w:tcPr>
          <w:p w14:paraId="7E8918BC">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0" w:firstLineChars="0"/>
              <w:jc w:val="center"/>
              <w:rPr>
                <w:rFonts w:hint="eastAsia" w:ascii="仿宋" w:hAnsi="仿宋" w:eastAsia="仿宋" w:cs="仿宋"/>
                <w:color w:val="auto"/>
                <w:sz w:val="24"/>
                <w:szCs w:val="24"/>
                <w:highlight w:val="none"/>
                <w:vertAlign w:val="baseline"/>
                <w:lang w:val="en-US" w:eastAsia="zh-CN" w:bidi="zh-CN"/>
              </w:rPr>
            </w:pPr>
            <w:r>
              <w:rPr>
                <w:rFonts w:hint="eastAsia" w:ascii="仿宋" w:hAnsi="仿宋" w:eastAsia="仿宋" w:cs="仿宋"/>
                <w:color w:val="auto"/>
                <w:sz w:val="24"/>
                <w:szCs w:val="24"/>
                <w:highlight w:val="none"/>
                <w:vertAlign w:val="baseline"/>
                <w:lang w:val="en-US" w:eastAsia="zh-CN"/>
              </w:rPr>
              <w:t>1</w:t>
            </w:r>
          </w:p>
        </w:tc>
        <w:tc>
          <w:tcPr>
            <w:tcW w:w="1800" w:type="dxa"/>
            <w:vAlign w:val="center"/>
          </w:tcPr>
          <w:p w14:paraId="653DE3AA">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p>
        </w:tc>
        <w:tc>
          <w:tcPr>
            <w:tcW w:w="1176" w:type="dxa"/>
            <w:vAlign w:val="center"/>
          </w:tcPr>
          <w:p w14:paraId="2A0B7B95">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p>
        </w:tc>
        <w:tc>
          <w:tcPr>
            <w:tcW w:w="2042" w:type="dxa"/>
            <w:vAlign w:val="center"/>
          </w:tcPr>
          <w:p w14:paraId="46454B18">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p>
        </w:tc>
        <w:tc>
          <w:tcPr>
            <w:tcW w:w="1398" w:type="dxa"/>
            <w:vAlign w:val="center"/>
          </w:tcPr>
          <w:p w14:paraId="489486EC">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p>
        </w:tc>
      </w:tr>
      <w:tr w14:paraId="49BC0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750" w:type="dxa"/>
            <w:vMerge w:val="continue"/>
            <w:vAlign w:val="center"/>
          </w:tcPr>
          <w:p w14:paraId="005E7245">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p>
        </w:tc>
        <w:tc>
          <w:tcPr>
            <w:tcW w:w="2004" w:type="dxa"/>
            <w:vAlign w:val="center"/>
          </w:tcPr>
          <w:p w14:paraId="36B0D674">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0" w:firstLineChars="0"/>
              <w:jc w:val="center"/>
              <w:rPr>
                <w:rFonts w:hint="eastAsia" w:ascii="仿宋" w:hAnsi="仿宋" w:eastAsia="仿宋" w:cs="仿宋"/>
                <w:color w:val="auto"/>
                <w:sz w:val="24"/>
                <w:szCs w:val="24"/>
                <w:highlight w:val="none"/>
                <w:vertAlign w:val="baseline"/>
                <w:lang w:val="en-US" w:eastAsia="zh-CN" w:bidi="zh-CN"/>
              </w:rPr>
            </w:pPr>
            <w:r>
              <w:rPr>
                <w:rFonts w:hint="eastAsia" w:ascii="仿宋" w:hAnsi="仿宋" w:eastAsia="仿宋" w:cs="仿宋"/>
                <w:color w:val="auto"/>
                <w:sz w:val="24"/>
                <w:szCs w:val="24"/>
                <w:highlight w:val="none"/>
                <w:vertAlign w:val="baseline"/>
                <w:lang w:val="en-US" w:eastAsia="zh-CN"/>
              </w:rPr>
              <w:t>2</w:t>
            </w:r>
          </w:p>
        </w:tc>
        <w:tc>
          <w:tcPr>
            <w:tcW w:w="1800" w:type="dxa"/>
            <w:vAlign w:val="center"/>
          </w:tcPr>
          <w:p w14:paraId="181ED58C">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p>
        </w:tc>
        <w:tc>
          <w:tcPr>
            <w:tcW w:w="1176" w:type="dxa"/>
            <w:vAlign w:val="center"/>
          </w:tcPr>
          <w:p w14:paraId="116272E7">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p>
        </w:tc>
        <w:tc>
          <w:tcPr>
            <w:tcW w:w="2042" w:type="dxa"/>
            <w:vAlign w:val="center"/>
          </w:tcPr>
          <w:p w14:paraId="4A2B4FD5">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p>
        </w:tc>
        <w:tc>
          <w:tcPr>
            <w:tcW w:w="1398" w:type="dxa"/>
            <w:vAlign w:val="center"/>
          </w:tcPr>
          <w:p w14:paraId="40B8EE99">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p>
        </w:tc>
      </w:tr>
      <w:tr w14:paraId="43536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750" w:type="dxa"/>
            <w:vMerge w:val="continue"/>
            <w:vAlign w:val="center"/>
          </w:tcPr>
          <w:p w14:paraId="51558C78">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p>
        </w:tc>
        <w:tc>
          <w:tcPr>
            <w:tcW w:w="2004" w:type="dxa"/>
            <w:vAlign w:val="center"/>
          </w:tcPr>
          <w:p w14:paraId="648BCEA2">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0" w:firstLineChars="0"/>
              <w:jc w:val="center"/>
              <w:rPr>
                <w:rFonts w:hint="eastAsia" w:ascii="仿宋" w:hAnsi="仿宋" w:eastAsia="仿宋" w:cs="仿宋"/>
                <w:color w:val="auto"/>
                <w:sz w:val="24"/>
                <w:szCs w:val="24"/>
                <w:highlight w:val="none"/>
                <w:vertAlign w:val="baseline"/>
                <w:lang w:val="en-US" w:eastAsia="zh-CN" w:bidi="zh-CN"/>
              </w:rPr>
            </w:pPr>
            <w:r>
              <w:rPr>
                <w:rFonts w:hint="eastAsia" w:ascii="仿宋" w:hAnsi="仿宋" w:eastAsia="仿宋" w:cs="仿宋"/>
                <w:color w:val="auto"/>
                <w:sz w:val="24"/>
                <w:szCs w:val="24"/>
                <w:highlight w:val="none"/>
                <w:vertAlign w:val="baseline"/>
                <w:lang w:val="en-US" w:eastAsia="zh-CN"/>
              </w:rPr>
              <w:t>3</w:t>
            </w:r>
          </w:p>
        </w:tc>
        <w:tc>
          <w:tcPr>
            <w:tcW w:w="1800" w:type="dxa"/>
            <w:vAlign w:val="center"/>
          </w:tcPr>
          <w:p w14:paraId="1421549B">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p>
        </w:tc>
        <w:tc>
          <w:tcPr>
            <w:tcW w:w="1176" w:type="dxa"/>
            <w:vAlign w:val="center"/>
          </w:tcPr>
          <w:p w14:paraId="0F257FEC">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p>
        </w:tc>
        <w:tc>
          <w:tcPr>
            <w:tcW w:w="2042" w:type="dxa"/>
            <w:vAlign w:val="center"/>
          </w:tcPr>
          <w:p w14:paraId="545C0B14">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p>
        </w:tc>
        <w:tc>
          <w:tcPr>
            <w:tcW w:w="1398" w:type="dxa"/>
            <w:vAlign w:val="center"/>
          </w:tcPr>
          <w:p w14:paraId="3478D77C">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p>
        </w:tc>
      </w:tr>
      <w:tr w14:paraId="1F9E2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750" w:type="dxa"/>
            <w:vMerge w:val="continue"/>
            <w:vAlign w:val="center"/>
          </w:tcPr>
          <w:p w14:paraId="0ED85033">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p>
        </w:tc>
        <w:tc>
          <w:tcPr>
            <w:tcW w:w="2004" w:type="dxa"/>
            <w:vAlign w:val="center"/>
          </w:tcPr>
          <w:p w14:paraId="1AA25482">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0" w:firstLineChars="0"/>
              <w:jc w:val="center"/>
              <w:rPr>
                <w:rFonts w:hint="eastAsia" w:ascii="仿宋" w:hAnsi="仿宋" w:eastAsia="仿宋" w:cs="仿宋"/>
                <w:color w:val="auto"/>
                <w:sz w:val="24"/>
                <w:szCs w:val="24"/>
                <w:highlight w:val="none"/>
                <w:vertAlign w:val="baseline"/>
                <w:lang w:val="en-US" w:eastAsia="zh-CN" w:bidi="zh-CN"/>
              </w:rPr>
            </w:pPr>
            <w:r>
              <w:rPr>
                <w:rFonts w:hint="eastAsia" w:ascii="仿宋" w:hAnsi="仿宋" w:eastAsia="仿宋" w:cs="仿宋"/>
                <w:color w:val="auto"/>
                <w:sz w:val="24"/>
                <w:szCs w:val="24"/>
                <w:highlight w:val="none"/>
                <w:vertAlign w:val="baseline"/>
                <w:lang w:val="en-US" w:eastAsia="zh-CN"/>
              </w:rPr>
              <w:t>…</w:t>
            </w:r>
          </w:p>
        </w:tc>
        <w:tc>
          <w:tcPr>
            <w:tcW w:w="1800" w:type="dxa"/>
            <w:vAlign w:val="center"/>
          </w:tcPr>
          <w:p w14:paraId="7BB31181">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p>
        </w:tc>
        <w:tc>
          <w:tcPr>
            <w:tcW w:w="1176" w:type="dxa"/>
            <w:vAlign w:val="center"/>
          </w:tcPr>
          <w:p w14:paraId="67C7B054">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p>
        </w:tc>
        <w:tc>
          <w:tcPr>
            <w:tcW w:w="2042" w:type="dxa"/>
            <w:vAlign w:val="center"/>
          </w:tcPr>
          <w:p w14:paraId="41CA5BEC">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p>
        </w:tc>
        <w:tc>
          <w:tcPr>
            <w:tcW w:w="1398" w:type="dxa"/>
            <w:vAlign w:val="center"/>
          </w:tcPr>
          <w:p w14:paraId="336C1DC5">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color w:val="auto"/>
                <w:sz w:val="24"/>
                <w:szCs w:val="24"/>
                <w:highlight w:val="none"/>
                <w:vertAlign w:val="baseline"/>
                <w:lang w:val="en-US" w:eastAsia="zh-CN"/>
              </w:rPr>
            </w:pPr>
          </w:p>
        </w:tc>
      </w:tr>
      <w:tr w14:paraId="6F488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3754" w:type="dxa"/>
            <w:gridSpan w:val="2"/>
            <w:vAlign w:val="center"/>
          </w:tcPr>
          <w:p w14:paraId="0D28ECAD">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0" w:firstLineChars="0"/>
              <w:jc w:val="both"/>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kern w:val="2"/>
                <w:sz w:val="24"/>
                <w:szCs w:val="24"/>
                <w:highlight w:val="none"/>
                <w:vertAlign w:val="baseline"/>
                <w:lang w:val="en-US" w:eastAsia="zh-CN" w:bidi="ar-SA"/>
              </w:rPr>
              <w:t>金额：</w:t>
            </w:r>
            <w:r>
              <w:rPr>
                <w:rFonts w:hint="eastAsia" w:ascii="仿宋" w:hAnsi="仿宋" w:eastAsia="仿宋" w:cs="仿宋"/>
                <w:color w:val="auto"/>
                <w:kern w:val="2"/>
                <w:sz w:val="24"/>
                <w:szCs w:val="24"/>
                <w:highlight w:val="none"/>
                <w:u w:val="single"/>
                <w:vertAlign w:val="baseline"/>
                <w:lang w:val="en-US" w:eastAsia="zh-CN" w:bidi="ar-SA"/>
              </w:rPr>
              <w:t xml:space="preserve">                </w:t>
            </w:r>
          </w:p>
        </w:tc>
        <w:tc>
          <w:tcPr>
            <w:tcW w:w="6416" w:type="dxa"/>
            <w:gridSpan w:val="4"/>
            <w:vAlign w:val="center"/>
          </w:tcPr>
          <w:p w14:paraId="0580D597">
            <w:pPr>
              <w:pStyle w:val="28"/>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0" w:firstLineChars="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使用价值量占总金额比重（累计</w:t>
            </w:r>
            <w:r>
              <w:rPr>
                <w:rFonts w:hint="eastAsia" w:ascii="仿宋" w:hAnsi="仿宋" w:eastAsia="仿宋" w:cs="仿宋"/>
                <w:color w:val="auto"/>
                <w:sz w:val="24"/>
                <w:szCs w:val="24"/>
                <w:highlight w:val="none"/>
                <w:u w:val="single"/>
                <w:vertAlign w:val="baseline"/>
                <w:lang w:val="en-US" w:eastAsia="zh-CN"/>
              </w:rPr>
              <w:t xml:space="preserve">    </w:t>
            </w:r>
            <w:r>
              <w:rPr>
                <w:rFonts w:hint="eastAsia" w:ascii="仿宋" w:hAnsi="仿宋" w:eastAsia="仿宋" w:cs="仿宋"/>
                <w:color w:val="auto"/>
                <w:sz w:val="24"/>
                <w:szCs w:val="24"/>
                <w:highlight w:val="none"/>
                <w:u w:val="none"/>
                <w:vertAlign w:val="baseline"/>
                <w:lang w:val="en-US" w:eastAsia="zh-CN"/>
              </w:rPr>
              <w:t>%</w:t>
            </w:r>
            <w:r>
              <w:rPr>
                <w:rFonts w:hint="eastAsia" w:ascii="仿宋" w:hAnsi="仿宋" w:eastAsia="仿宋" w:cs="仿宋"/>
                <w:color w:val="auto"/>
                <w:sz w:val="24"/>
                <w:szCs w:val="24"/>
                <w:highlight w:val="none"/>
                <w:vertAlign w:val="baseline"/>
                <w:lang w:val="en-US" w:eastAsia="zh-CN"/>
              </w:rPr>
              <w:t>）</w:t>
            </w:r>
          </w:p>
        </w:tc>
      </w:tr>
    </w:tbl>
    <w:p w14:paraId="1C7BBE65">
      <w:pPr>
        <w:pStyle w:val="28"/>
        <w:keepNext w:val="0"/>
        <w:keepLines w:val="0"/>
        <w:pageBreakBefore w:val="0"/>
        <w:widowControl w:val="0"/>
        <w:numPr>
          <w:ilvl w:val="0"/>
          <w:numId w:val="0"/>
        </w:numPr>
        <w:kinsoku/>
        <w:wordWrap w:val="0"/>
        <w:overflowPunct/>
        <w:topLinePunct/>
        <w:autoSpaceDE/>
        <w:autoSpaceDN/>
        <w:bidi w:val="0"/>
        <w:adjustRightInd/>
        <w:snapToGrid/>
        <w:spacing w:line="0" w:lineRule="atLeast"/>
        <w:ind w:left="0" w:leftChars="0" w:right="0" w:rightChars="0" w:firstLine="0" w:firstLineChars="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注：1.本表可选填。</w:t>
      </w:r>
    </w:p>
    <w:p w14:paraId="78FD1D9C">
      <w:pPr>
        <w:pStyle w:val="28"/>
        <w:keepNext w:val="0"/>
        <w:keepLines w:val="0"/>
        <w:pageBreakBefore w:val="0"/>
        <w:widowControl w:val="0"/>
        <w:numPr>
          <w:ilvl w:val="0"/>
          <w:numId w:val="0"/>
        </w:numPr>
        <w:kinsoku/>
        <w:wordWrap w:val="0"/>
        <w:overflowPunct/>
        <w:topLinePunct/>
        <w:autoSpaceDE/>
        <w:autoSpaceDN/>
        <w:bidi w:val="0"/>
        <w:adjustRightInd/>
        <w:snapToGrid/>
        <w:spacing w:line="0" w:lineRule="atLeast"/>
        <w:ind w:left="0" w:leftChars="0" w:right="0" w:rightChars="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2.节能产品、环境标志产品根据财政部、国家发展改革委最新公布的节能产品政府采购清单确定。  </w:t>
      </w:r>
    </w:p>
    <w:p w14:paraId="46C7A50B">
      <w:pPr>
        <w:pStyle w:val="28"/>
        <w:keepNext w:val="0"/>
        <w:keepLines w:val="0"/>
        <w:pageBreakBefore w:val="0"/>
        <w:widowControl w:val="0"/>
        <w:numPr>
          <w:ilvl w:val="0"/>
          <w:numId w:val="0"/>
        </w:numPr>
        <w:kinsoku/>
        <w:wordWrap w:val="0"/>
        <w:overflowPunct/>
        <w:topLinePunct/>
        <w:autoSpaceDE/>
        <w:autoSpaceDN/>
        <w:bidi w:val="0"/>
        <w:adjustRightInd/>
        <w:snapToGrid/>
        <w:spacing w:line="0" w:lineRule="atLeast"/>
        <w:ind w:left="0" w:leftChars="0" w:right="0" w:rightChars="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3.如所投产品为节能产品、环境标志产品（强制采购产品除外），必须按规定格式逐项填写，否则评审时不予加分。</w:t>
      </w:r>
    </w:p>
    <w:p w14:paraId="098EFF2D">
      <w:pPr>
        <w:pStyle w:val="28"/>
        <w:keepNext w:val="0"/>
        <w:keepLines w:val="0"/>
        <w:pageBreakBefore w:val="0"/>
        <w:widowControl w:val="0"/>
        <w:tabs>
          <w:tab w:val="left" w:pos="2937"/>
        </w:tabs>
        <w:kinsoku/>
        <w:wordWrap w:val="0"/>
        <w:overflowPunct/>
        <w:topLinePunct/>
        <w:autoSpaceDE/>
        <w:autoSpaceDN/>
        <w:bidi w:val="0"/>
        <w:adjustRightInd/>
        <w:snapToGrid/>
        <w:spacing w:line="0" w:lineRule="atLeast"/>
        <w:ind w:left="0" w:leftChars="0" w:right="0" w:firstLine="420" w:firstLineChars="200"/>
        <w:jc w:val="left"/>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z w:val="21"/>
          <w:szCs w:val="21"/>
          <w:highlight w:val="none"/>
          <w:lang w:val="en-US" w:eastAsia="zh-CN"/>
        </w:rPr>
        <w:t>4.“环保标志产品、节能产品”是属于国家行业主管部门颁布的清单目录中的产品，须填写认证证书编号，并同时提供有效期内的证书扫描件或“中国政府采购网”截图附后。</w:t>
      </w:r>
    </w:p>
    <w:p w14:paraId="7629E328">
      <w:pPr>
        <w:pStyle w:val="28"/>
        <w:keepNext w:val="0"/>
        <w:keepLines w:val="0"/>
        <w:pageBreakBefore w:val="0"/>
        <w:widowControl w:val="0"/>
        <w:tabs>
          <w:tab w:val="left" w:pos="2937"/>
        </w:tabs>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pacing w:val="-1"/>
          <w:sz w:val="24"/>
          <w:szCs w:val="24"/>
          <w:highlight w:val="none"/>
        </w:rPr>
      </w:pPr>
    </w:p>
    <w:p w14:paraId="70B32939">
      <w:pPr>
        <w:pStyle w:val="28"/>
        <w:keepNext w:val="0"/>
        <w:keepLines w:val="0"/>
        <w:pageBreakBefore w:val="0"/>
        <w:widowControl w:val="0"/>
        <w:tabs>
          <w:tab w:val="left" w:pos="2937"/>
        </w:tabs>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pacing w:val="-1"/>
          <w:sz w:val="24"/>
          <w:szCs w:val="24"/>
          <w:highlight w:val="none"/>
          <w:lang w:eastAsia="zh-CN"/>
        </w:rPr>
      </w:pPr>
    </w:p>
    <w:p w14:paraId="30902015">
      <w:pPr>
        <w:pStyle w:val="28"/>
        <w:keepNext w:val="0"/>
        <w:keepLines w:val="0"/>
        <w:pageBreakBefore w:val="0"/>
        <w:widowControl w:val="0"/>
        <w:tabs>
          <w:tab w:val="left" w:pos="2937"/>
        </w:tabs>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pacing w:val="-1"/>
          <w:sz w:val="24"/>
          <w:szCs w:val="24"/>
          <w:highlight w:val="none"/>
          <w:lang w:eastAsia="zh-CN"/>
        </w:rPr>
      </w:pPr>
    </w:p>
    <w:p w14:paraId="48970ABB">
      <w:pPr>
        <w:pStyle w:val="28"/>
        <w:keepNext w:val="0"/>
        <w:keepLines w:val="0"/>
        <w:pageBreakBefore w:val="0"/>
        <w:widowControl w:val="0"/>
        <w:tabs>
          <w:tab w:val="left" w:pos="2937"/>
        </w:tabs>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pacing w:val="-1"/>
          <w:sz w:val="24"/>
          <w:szCs w:val="24"/>
          <w:highlight w:val="none"/>
          <w:lang w:eastAsia="zh-CN"/>
        </w:rPr>
      </w:pPr>
    </w:p>
    <w:p w14:paraId="4205FCED">
      <w:pPr>
        <w:wordWrap w:val="0"/>
        <w:overflowPunct w:val="0"/>
        <w:topLinePunct/>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rPr>
        <w:t>（</w:t>
      </w:r>
      <w:r>
        <w:rPr>
          <w:rFonts w:hint="eastAsia" w:ascii="仿宋" w:hAnsi="仿宋" w:eastAsia="仿宋" w:cs="仿宋"/>
          <w:color w:val="auto"/>
          <w:sz w:val="24"/>
          <w:highlight w:val="none"/>
          <w:u w:val="none"/>
          <w:lang w:val="en-US" w:eastAsia="zh-CN"/>
        </w:rPr>
        <w:t>加盖电子</w:t>
      </w:r>
      <w:r>
        <w:rPr>
          <w:rFonts w:hint="eastAsia" w:ascii="仿宋" w:hAnsi="仿宋" w:eastAsia="仿宋" w:cs="仿宋"/>
          <w:color w:val="auto"/>
          <w:sz w:val="24"/>
          <w:highlight w:val="none"/>
        </w:rPr>
        <w:t>公章）</w:t>
      </w:r>
    </w:p>
    <w:p w14:paraId="289D8333">
      <w:pPr>
        <w:pStyle w:val="28"/>
        <w:keepNext w:val="0"/>
        <w:keepLines w:val="0"/>
        <w:pageBreakBefore w:val="0"/>
        <w:widowControl w:val="0"/>
        <w:tabs>
          <w:tab w:val="left" w:pos="2937"/>
        </w:tabs>
        <w:kinsoku/>
        <w:wordWrap w:val="0"/>
        <w:overflowPunct/>
        <w:topLinePunct/>
        <w:autoSpaceDE/>
        <w:autoSpaceDN/>
        <w:bidi w:val="0"/>
        <w:adjustRightInd/>
        <w:snapToGrid/>
        <w:spacing w:line="360" w:lineRule="auto"/>
        <w:ind w:left="0" w:leftChars="0" w:right="0"/>
        <w:jc w:val="center"/>
        <w:textAlignment w:val="auto"/>
        <w:outlineLvl w:val="2"/>
        <w:rPr>
          <w:rFonts w:hint="eastAsia" w:ascii="仿宋" w:hAnsi="仿宋" w:eastAsia="仿宋" w:cs="仿宋"/>
          <w:color w:val="auto"/>
          <w:sz w:val="24"/>
          <w:szCs w:val="24"/>
          <w:highlight w:val="none"/>
          <w:u w:val="none"/>
          <w:lang w:val="en-US"/>
        </w:rPr>
      </w:pPr>
      <w:bookmarkStart w:id="2215" w:name="_Toc28702"/>
      <w:bookmarkStart w:id="2216" w:name="_Toc28526"/>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bookmarkEnd w:id="2215"/>
      <w:bookmarkEnd w:id="2216"/>
    </w:p>
    <w:p w14:paraId="7FB208D5">
      <w:pPr>
        <w:pStyle w:val="28"/>
        <w:spacing w:after="0" w:line="360" w:lineRule="auto"/>
        <w:jc w:val="center"/>
        <w:rPr>
          <w:rStyle w:val="91"/>
          <w:rFonts w:hint="eastAsia" w:ascii="仿宋" w:hAnsi="仿宋" w:eastAsia="仿宋" w:cs="仿宋"/>
          <w:color w:val="auto"/>
          <w:highlight w:val="none"/>
          <w:lang w:val="en-US" w:eastAsia="zh-CN"/>
        </w:rPr>
      </w:pP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p>
    <w:p w14:paraId="071D5107">
      <w:pPr>
        <w:pStyle w:val="28"/>
        <w:spacing w:after="0" w:line="360" w:lineRule="auto"/>
        <w:jc w:val="center"/>
        <w:rPr>
          <w:rStyle w:val="91"/>
          <w:rFonts w:hint="eastAsia" w:ascii="仿宋" w:hAnsi="仿宋" w:eastAsia="仿宋" w:cs="仿宋"/>
          <w:color w:val="auto"/>
          <w:highlight w:val="none"/>
          <w:lang w:val="en-US" w:eastAsia="zh-CN"/>
        </w:rPr>
      </w:pPr>
    </w:p>
    <w:p w14:paraId="3562D725">
      <w:pPr>
        <w:pStyle w:val="3"/>
        <w:bidi w:val="0"/>
        <w:outlineLvl w:val="9"/>
        <w:rPr>
          <w:rFonts w:hint="eastAsia" w:ascii="仿宋" w:hAnsi="仿宋" w:eastAsia="仿宋" w:cs="仿宋"/>
          <w:color w:val="auto"/>
          <w:highlight w:val="none"/>
          <w:lang w:eastAsia="zh-CN"/>
        </w:rPr>
        <w:sectPr>
          <w:pgSz w:w="11906" w:h="16838"/>
          <w:pgMar w:top="1134" w:right="1134" w:bottom="1134" w:left="1134" w:header="709" w:footer="907" w:gutter="0"/>
          <w:pgBorders>
            <w:top w:val="none" w:sz="0" w:space="0"/>
            <w:left w:val="none" w:sz="0" w:space="0"/>
            <w:bottom w:val="none" w:sz="0" w:space="0"/>
            <w:right w:val="none" w:sz="0" w:space="0"/>
          </w:pgBorders>
          <w:pgNumType w:fmt="decimal"/>
          <w:cols w:space="720" w:num="1"/>
          <w:titlePg/>
          <w:docGrid w:linePitch="299" w:charSpace="0"/>
        </w:sectPr>
      </w:pPr>
    </w:p>
    <w:p w14:paraId="430B733C">
      <w:pPr>
        <w:pStyle w:val="3"/>
        <w:bidi w:val="0"/>
        <w:rPr>
          <w:rFonts w:hint="eastAsia" w:ascii="仿宋" w:hAnsi="仿宋" w:eastAsia="仿宋" w:cs="仿宋"/>
          <w:b/>
          <w:bCs/>
          <w:color w:val="auto"/>
          <w:szCs w:val="32"/>
          <w:highlight w:val="none"/>
          <w:lang w:eastAsia="zh-CN"/>
        </w:rPr>
      </w:pPr>
      <w:r>
        <w:rPr>
          <w:rFonts w:hint="eastAsia" w:ascii="仿宋" w:hAnsi="仿宋" w:eastAsia="仿宋" w:cs="仿宋"/>
          <w:color w:val="auto"/>
          <w:highlight w:val="none"/>
          <w:lang w:eastAsia="zh-CN"/>
        </w:rPr>
        <w:t>商务技术文件</w:t>
      </w:r>
    </w:p>
    <w:p w14:paraId="7E4437BB">
      <w:pPr>
        <w:pStyle w:val="4"/>
        <w:jc w:val="center"/>
        <w:outlineLvl w:val="1"/>
        <w:rPr>
          <w:rFonts w:hint="eastAsia" w:ascii="仿宋" w:hAnsi="仿宋" w:eastAsia="仿宋" w:cs="仿宋"/>
          <w:color w:val="auto"/>
          <w:highlight w:val="none"/>
          <w:lang w:eastAsia="zh-CN"/>
        </w:rPr>
      </w:pPr>
      <w:bookmarkStart w:id="2217" w:name="_Toc14416"/>
      <w:bookmarkStart w:id="2218" w:name="_Toc23058"/>
      <w:bookmarkStart w:id="2219" w:name="_Toc19094"/>
      <w:bookmarkStart w:id="2220" w:name="_Toc6652"/>
      <w:r>
        <w:rPr>
          <w:rFonts w:hint="eastAsia" w:ascii="仿宋" w:hAnsi="仿宋" w:eastAsia="仿宋" w:cs="仿宋"/>
          <w:color w:val="auto"/>
          <w:highlight w:val="none"/>
          <w:lang w:val="en-US" w:eastAsia="zh-CN"/>
        </w:rPr>
        <w:t>一、</w:t>
      </w:r>
      <w:r>
        <w:rPr>
          <w:rFonts w:hint="eastAsia" w:ascii="仿宋" w:hAnsi="仿宋" w:eastAsia="仿宋" w:cs="仿宋"/>
          <w:color w:val="auto"/>
          <w:highlight w:val="none"/>
          <w:lang w:eastAsia="zh-CN"/>
        </w:rPr>
        <w:t>技术参数偏离表</w:t>
      </w:r>
      <w:r>
        <w:rPr>
          <w:rFonts w:hint="eastAsia" w:ascii="仿宋" w:hAnsi="仿宋" w:eastAsia="仿宋" w:cs="仿宋"/>
          <w:color w:val="auto"/>
          <w:highlight w:val="none"/>
          <w:lang w:val="en-US" w:eastAsia="zh-CN"/>
        </w:rPr>
        <w:t>（实质性格式）</w:t>
      </w:r>
      <w:bookmarkEnd w:id="2217"/>
      <w:bookmarkEnd w:id="2218"/>
      <w:bookmarkEnd w:id="2219"/>
      <w:bookmarkEnd w:id="2220"/>
    </w:p>
    <w:tbl>
      <w:tblPr>
        <w:tblStyle w:val="67"/>
        <w:tblW w:w="1079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48"/>
        <w:gridCol w:w="1938"/>
        <w:gridCol w:w="720"/>
        <w:gridCol w:w="2172"/>
        <w:gridCol w:w="1985"/>
        <w:gridCol w:w="1168"/>
        <w:gridCol w:w="900"/>
        <w:gridCol w:w="1168"/>
      </w:tblGrid>
      <w:tr w14:paraId="7C5BA1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0" w:hRule="atLeast"/>
          <w:jc w:val="center"/>
        </w:trPr>
        <w:tc>
          <w:tcPr>
            <w:tcW w:w="748" w:type="dxa"/>
            <w:vAlign w:val="center"/>
          </w:tcPr>
          <w:p w14:paraId="3374695C">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1938" w:type="dxa"/>
            <w:vAlign w:val="center"/>
          </w:tcPr>
          <w:p w14:paraId="4F63AB98">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货物名称</w:t>
            </w:r>
          </w:p>
        </w:tc>
        <w:tc>
          <w:tcPr>
            <w:tcW w:w="720" w:type="dxa"/>
            <w:vAlign w:val="center"/>
          </w:tcPr>
          <w:p w14:paraId="0027D687">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数量</w:t>
            </w:r>
          </w:p>
        </w:tc>
        <w:tc>
          <w:tcPr>
            <w:tcW w:w="2172" w:type="dxa"/>
            <w:vAlign w:val="center"/>
          </w:tcPr>
          <w:p w14:paraId="5B08C065">
            <w:pPr>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招标文件技术</w:t>
            </w:r>
          </w:p>
          <w:p w14:paraId="2D3CF941">
            <w:pPr>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规范、要求</w:t>
            </w:r>
          </w:p>
        </w:tc>
        <w:tc>
          <w:tcPr>
            <w:tcW w:w="1985" w:type="dxa"/>
            <w:vAlign w:val="center"/>
          </w:tcPr>
          <w:p w14:paraId="49E683D6">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投标文件</w:t>
            </w:r>
          </w:p>
          <w:p w14:paraId="7883AF2A">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对应规范</w:t>
            </w:r>
          </w:p>
        </w:tc>
        <w:tc>
          <w:tcPr>
            <w:tcW w:w="1168" w:type="dxa"/>
            <w:vAlign w:val="center"/>
          </w:tcPr>
          <w:p w14:paraId="181597BC">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正偏离/</w:t>
            </w:r>
            <w:r>
              <w:rPr>
                <w:rFonts w:hint="eastAsia" w:ascii="仿宋" w:hAnsi="仿宋" w:eastAsia="仿宋" w:cs="仿宋"/>
                <w:color w:val="auto"/>
                <w:szCs w:val="21"/>
                <w:highlight w:val="none"/>
                <w:lang w:val="en-US" w:eastAsia="zh-CN"/>
              </w:rPr>
              <w:t>无偏离</w:t>
            </w:r>
            <w:r>
              <w:rPr>
                <w:rFonts w:hint="eastAsia" w:ascii="仿宋" w:hAnsi="仿宋" w:eastAsia="仿宋" w:cs="仿宋"/>
                <w:color w:val="auto"/>
                <w:szCs w:val="21"/>
                <w:highlight w:val="none"/>
              </w:rPr>
              <w:t>/负偏离</w:t>
            </w:r>
          </w:p>
        </w:tc>
        <w:tc>
          <w:tcPr>
            <w:tcW w:w="900" w:type="dxa"/>
            <w:vAlign w:val="center"/>
          </w:tcPr>
          <w:p w14:paraId="1286E5E9">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c>
          <w:tcPr>
            <w:tcW w:w="1168" w:type="dxa"/>
            <w:vAlign w:val="top"/>
          </w:tcPr>
          <w:p w14:paraId="6F07EFF6">
            <w:pPr>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证明材料投标文件所在位置</w:t>
            </w:r>
          </w:p>
        </w:tc>
      </w:tr>
      <w:tr w14:paraId="416D09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0" w:hRule="atLeast"/>
          <w:jc w:val="center"/>
        </w:trPr>
        <w:tc>
          <w:tcPr>
            <w:tcW w:w="748" w:type="dxa"/>
            <w:vAlign w:val="top"/>
          </w:tcPr>
          <w:p w14:paraId="1414B17E">
            <w:pPr>
              <w:rPr>
                <w:rFonts w:hint="eastAsia" w:ascii="仿宋" w:hAnsi="仿宋" w:eastAsia="仿宋" w:cs="仿宋"/>
                <w:color w:val="auto"/>
                <w:szCs w:val="21"/>
                <w:highlight w:val="none"/>
                <w:lang w:eastAsia="zh-CN"/>
              </w:rPr>
            </w:pPr>
          </w:p>
        </w:tc>
        <w:tc>
          <w:tcPr>
            <w:tcW w:w="1938" w:type="dxa"/>
            <w:vAlign w:val="top"/>
          </w:tcPr>
          <w:p w14:paraId="1D33DECF">
            <w:pPr>
              <w:rPr>
                <w:rFonts w:hint="eastAsia" w:ascii="仿宋" w:hAnsi="仿宋" w:eastAsia="仿宋" w:cs="仿宋"/>
                <w:color w:val="auto"/>
                <w:szCs w:val="21"/>
                <w:highlight w:val="none"/>
                <w:lang w:eastAsia="zh-CN"/>
              </w:rPr>
            </w:pPr>
          </w:p>
        </w:tc>
        <w:tc>
          <w:tcPr>
            <w:tcW w:w="720" w:type="dxa"/>
            <w:vAlign w:val="top"/>
          </w:tcPr>
          <w:p w14:paraId="79BCDCC7">
            <w:pPr>
              <w:rPr>
                <w:rFonts w:hint="eastAsia" w:ascii="仿宋" w:hAnsi="仿宋" w:eastAsia="仿宋" w:cs="仿宋"/>
                <w:color w:val="auto"/>
                <w:szCs w:val="21"/>
                <w:highlight w:val="none"/>
                <w:lang w:eastAsia="zh-CN"/>
              </w:rPr>
            </w:pPr>
          </w:p>
        </w:tc>
        <w:tc>
          <w:tcPr>
            <w:tcW w:w="2172" w:type="dxa"/>
            <w:vAlign w:val="top"/>
          </w:tcPr>
          <w:p w14:paraId="3B034915">
            <w:pPr>
              <w:rPr>
                <w:rFonts w:hint="eastAsia" w:ascii="仿宋" w:hAnsi="仿宋" w:eastAsia="仿宋" w:cs="仿宋"/>
                <w:color w:val="auto"/>
                <w:szCs w:val="21"/>
                <w:highlight w:val="none"/>
                <w:lang w:eastAsia="zh-CN"/>
              </w:rPr>
            </w:pPr>
          </w:p>
        </w:tc>
        <w:tc>
          <w:tcPr>
            <w:tcW w:w="1985" w:type="dxa"/>
            <w:vAlign w:val="top"/>
          </w:tcPr>
          <w:p w14:paraId="55DD7F6A">
            <w:pPr>
              <w:rPr>
                <w:rFonts w:hint="eastAsia" w:ascii="仿宋" w:hAnsi="仿宋" w:eastAsia="仿宋" w:cs="仿宋"/>
                <w:color w:val="auto"/>
                <w:szCs w:val="21"/>
                <w:highlight w:val="none"/>
                <w:lang w:eastAsia="zh-CN"/>
              </w:rPr>
            </w:pPr>
          </w:p>
        </w:tc>
        <w:tc>
          <w:tcPr>
            <w:tcW w:w="1168" w:type="dxa"/>
            <w:vAlign w:val="top"/>
          </w:tcPr>
          <w:p w14:paraId="6C9B5E1A">
            <w:pPr>
              <w:rPr>
                <w:rFonts w:hint="eastAsia" w:ascii="仿宋" w:hAnsi="仿宋" w:eastAsia="仿宋" w:cs="仿宋"/>
                <w:color w:val="auto"/>
                <w:szCs w:val="21"/>
                <w:highlight w:val="none"/>
                <w:lang w:eastAsia="zh-CN"/>
              </w:rPr>
            </w:pPr>
          </w:p>
        </w:tc>
        <w:tc>
          <w:tcPr>
            <w:tcW w:w="900" w:type="dxa"/>
            <w:vAlign w:val="top"/>
          </w:tcPr>
          <w:p w14:paraId="7493D98D">
            <w:pPr>
              <w:rPr>
                <w:rFonts w:hint="eastAsia" w:ascii="仿宋" w:hAnsi="仿宋" w:eastAsia="仿宋" w:cs="仿宋"/>
                <w:color w:val="auto"/>
                <w:szCs w:val="21"/>
                <w:highlight w:val="none"/>
                <w:lang w:eastAsia="zh-CN"/>
              </w:rPr>
            </w:pPr>
          </w:p>
        </w:tc>
        <w:tc>
          <w:tcPr>
            <w:tcW w:w="1168" w:type="dxa"/>
            <w:vAlign w:val="top"/>
          </w:tcPr>
          <w:p w14:paraId="67067C47">
            <w:pPr>
              <w:rPr>
                <w:rFonts w:hint="eastAsia" w:ascii="仿宋" w:hAnsi="仿宋" w:eastAsia="仿宋" w:cs="仿宋"/>
                <w:color w:val="auto"/>
                <w:szCs w:val="21"/>
                <w:highlight w:val="none"/>
                <w:lang w:eastAsia="zh-CN"/>
              </w:rPr>
            </w:pPr>
          </w:p>
        </w:tc>
      </w:tr>
      <w:tr w14:paraId="1CECDB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0" w:hRule="atLeast"/>
          <w:jc w:val="center"/>
        </w:trPr>
        <w:tc>
          <w:tcPr>
            <w:tcW w:w="748" w:type="dxa"/>
            <w:vAlign w:val="top"/>
          </w:tcPr>
          <w:p w14:paraId="20CD7E91">
            <w:pPr>
              <w:rPr>
                <w:rFonts w:hint="eastAsia" w:ascii="仿宋" w:hAnsi="仿宋" w:eastAsia="仿宋" w:cs="仿宋"/>
                <w:color w:val="auto"/>
                <w:szCs w:val="21"/>
                <w:highlight w:val="none"/>
                <w:lang w:eastAsia="zh-CN"/>
              </w:rPr>
            </w:pPr>
          </w:p>
        </w:tc>
        <w:tc>
          <w:tcPr>
            <w:tcW w:w="1938" w:type="dxa"/>
            <w:vAlign w:val="top"/>
          </w:tcPr>
          <w:p w14:paraId="48ABC8E6">
            <w:pPr>
              <w:rPr>
                <w:rFonts w:hint="eastAsia" w:ascii="仿宋" w:hAnsi="仿宋" w:eastAsia="仿宋" w:cs="仿宋"/>
                <w:color w:val="auto"/>
                <w:szCs w:val="21"/>
                <w:highlight w:val="none"/>
                <w:lang w:eastAsia="zh-CN"/>
              </w:rPr>
            </w:pPr>
          </w:p>
        </w:tc>
        <w:tc>
          <w:tcPr>
            <w:tcW w:w="720" w:type="dxa"/>
            <w:vAlign w:val="top"/>
          </w:tcPr>
          <w:p w14:paraId="76560F8B">
            <w:pPr>
              <w:rPr>
                <w:rFonts w:hint="eastAsia" w:ascii="仿宋" w:hAnsi="仿宋" w:eastAsia="仿宋" w:cs="仿宋"/>
                <w:color w:val="auto"/>
                <w:szCs w:val="21"/>
                <w:highlight w:val="none"/>
                <w:lang w:eastAsia="zh-CN"/>
              </w:rPr>
            </w:pPr>
          </w:p>
        </w:tc>
        <w:tc>
          <w:tcPr>
            <w:tcW w:w="2172" w:type="dxa"/>
            <w:vAlign w:val="top"/>
          </w:tcPr>
          <w:p w14:paraId="7D07191C">
            <w:pPr>
              <w:rPr>
                <w:rFonts w:hint="eastAsia" w:ascii="仿宋" w:hAnsi="仿宋" w:eastAsia="仿宋" w:cs="仿宋"/>
                <w:color w:val="auto"/>
                <w:szCs w:val="21"/>
                <w:highlight w:val="none"/>
                <w:lang w:eastAsia="zh-CN"/>
              </w:rPr>
            </w:pPr>
          </w:p>
        </w:tc>
        <w:tc>
          <w:tcPr>
            <w:tcW w:w="1985" w:type="dxa"/>
            <w:vAlign w:val="top"/>
          </w:tcPr>
          <w:p w14:paraId="6D19DE02">
            <w:pPr>
              <w:rPr>
                <w:rFonts w:hint="eastAsia" w:ascii="仿宋" w:hAnsi="仿宋" w:eastAsia="仿宋" w:cs="仿宋"/>
                <w:color w:val="auto"/>
                <w:szCs w:val="21"/>
                <w:highlight w:val="none"/>
                <w:lang w:eastAsia="zh-CN"/>
              </w:rPr>
            </w:pPr>
          </w:p>
        </w:tc>
        <w:tc>
          <w:tcPr>
            <w:tcW w:w="1168" w:type="dxa"/>
            <w:vAlign w:val="top"/>
          </w:tcPr>
          <w:p w14:paraId="71037876">
            <w:pPr>
              <w:rPr>
                <w:rFonts w:hint="eastAsia" w:ascii="仿宋" w:hAnsi="仿宋" w:eastAsia="仿宋" w:cs="仿宋"/>
                <w:color w:val="auto"/>
                <w:szCs w:val="21"/>
                <w:highlight w:val="none"/>
                <w:lang w:eastAsia="zh-CN"/>
              </w:rPr>
            </w:pPr>
          </w:p>
        </w:tc>
        <w:tc>
          <w:tcPr>
            <w:tcW w:w="900" w:type="dxa"/>
            <w:vAlign w:val="top"/>
          </w:tcPr>
          <w:p w14:paraId="788F97CF">
            <w:pPr>
              <w:rPr>
                <w:rFonts w:hint="eastAsia" w:ascii="仿宋" w:hAnsi="仿宋" w:eastAsia="仿宋" w:cs="仿宋"/>
                <w:color w:val="auto"/>
                <w:szCs w:val="21"/>
                <w:highlight w:val="none"/>
                <w:lang w:eastAsia="zh-CN"/>
              </w:rPr>
            </w:pPr>
          </w:p>
        </w:tc>
        <w:tc>
          <w:tcPr>
            <w:tcW w:w="1168" w:type="dxa"/>
            <w:vAlign w:val="top"/>
          </w:tcPr>
          <w:p w14:paraId="3693D98B">
            <w:pPr>
              <w:rPr>
                <w:rFonts w:hint="eastAsia" w:ascii="仿宋" w:hAnsi="仿宋" w:eastAsia="仿宋" w:cs="仿宋"/>
                <w:color w:val="auto"/>
                <w:szCs w:val="21"/>
                <w:highlight w:val="none"/>
                <w:lang w:eastAsia="zh-CN"/>
              </w:rPr>
            </w:pPr>
          </w:p>
        </w:tc>
      </w:tr>
      <w:tr w14:paraId="106079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0" w:hRule="atLeast"/>
          <w:jc w:val="center"/>
        </w:trPr>
        <w:tc>
          <w:tcPr>
            <w:tcW w:w="748" w:type="dxa"/>
            <w:vAlign w:val="top"/>
          </w:tcPr>
          <w:p w14:paraId="0E10A343">
            <w:pPr>
              <w:rPr>
                <w:rFonts w:hint="eastAsia" w:ascii="仿宋" w:hAnsi="仿宋" w:eastAsia="仿宋" w:cs="仿宋"/>
                <w:color w:val="auto"/>
                <w:szCs w:val="21"/>
                <w:highlight w:val="none"/>
                <w:lang w:eastAsia="zh-CN"/>
              </w:rPr>
            </w:pPr>
          </w:p>
        </w:tc>
        <w:tc>
          <w:tcPr>
            <w:tcW w:w="1938" w:type="dxa"/>
            <w:vAlign w:val="top"/>
          </w:tcPr>
          <w:p w14:paraId="1791B774">
            <w:pPr>
              <w:rPr>
                <w:rFonts w:hint="eastAsia" w:ascii="仿宋" w:hAnsi="仿宋" w:eastAsia="仿宋" w:cs="仿宋"/>
                <w:color w:val="auto"/>
                <w:szCs w:val="21"/>
                <w:highlight w:val="none"/>
                <w:lang w:eastAsia="zh-CN"/>
              </w:rPr>
            </w:pPr>
          </w:p>
        </w:tc>
        <w:tc>
          <w:tcPr>
            <w:tcW w:w="720" w:type="dxa"/>
            <w:vAlign w:val="top"/>
          </w:tcPr>
          <w:p w14:paraId="333AFF9B">
            <w:pPr>
              <w:rPr>
                <w:rFonts w:hint="eastAsia" w:ascii="仿宋" w:hAnsi="仿宋" w:eastAsia="仿宋" w:cs="仿宋"/>
                <w:color w:val="auto"/>
                <w:szCs w:val="21"/>
                <w:highlight w:val="none"/>
                <w:lang w:eastAsia="zh-CN"/>
              </w:rPr>
            </w:pPr>
          </w:p>
        </w:tc>
        <w:tc>
          <w:tcPr>
            <w:tcW w:w="2172" w:type="dxa"/>
            <w:vAlign w:val="top"/>
          </w:tcPr>
          <w:p w14:paraId="530FBB8D">
            <w:pPr>
              <w:rPr>
                <w:rFonts w:hint="eastAsia" w:ascii="仿宋" w:hAnsi="仿宋" w:eastAsia="仿宋" w:cs="仿宋"/>
                <w:color w:val="auto"/>
                <w:szCs w:val="21"/>
                <w:highlight w:val="none"/>
                <w:lang w:eastAsia="zh-CN"/>
              </w:rPr>
            </w:pPr>
          </w:p>
        </w:tc>
        <w:tc>
          <w:tcPr>
            <w:tcW w:w="1985" w:type="dxa"/>
            <w:vAlign w:val="top"/>
          </w:tcPr>
          <w:p w14:paraId="6384B276">
            <w:pPr>
              <w:rPr>
                <w:rFonts w:hint="eastAsia" w:ascii="仿宋" w:hAnsi="仿宋" w:eastAsia="仿宋" w:cs="仿宋"/>
                <w:color w:val="auto"/>
                <w:szCs w:val="21"/>
                <w:highlight w:val="none"/>
                <w:lang w:eastAsia="zh-CN"/>
              </w:rPr>
            </w:pPr>
          </w:p>
        </w:tc>
        <w:tc>
          <w:tcPr>
            <w:tcW w:w="1168" w:type="dxa"/>
            <w:vAlign w:val="top"/>
          </w:tcPr>
          <w:p w14:paraId="3DCE8873">
            <w:pPr>
              <w:rPr>
                <w:rFonts w:hint="eastAsia" w:ascii="仿宋" w:hAnsi="仿宋" w:eastAsia="仿宋" w:cs="仿宋"/>
                <w:color w:val="auto"/>
                <w:szCs w:val="21"/>
                <w:highlight w:val="none"/>
                <w:lang w:eastAsia="zh-CN"/>
              </w:rPr>
            </w:pPr>
          </w:p>
        </w:tc>
        <w:tc>
          <w:tcPr>
            <w:tcW w:w="900" w:type="dxa"/>
            <w:vAlign w:val="top"/>
          </w:tcPr>
          <w:p w14:paraId="296EF336">
            <w:pPr>
              <w:rPr>
                <w:rFonts w:hint="eastAsia" w:ascii="仿宋" w:hAnsi="仿宋" w:eastAsia="仿宋" w:cs="仿宋"/>
                <w:color w:val="auto"/>
                <w:szCs w:val="21"/>
                <w:highlight w:val="none"/>
                <w:lang w:eastAsia="zh-CN"/>
              </w:rPr>
            </w:pPr>
          </w:p>
        </w:tc>
        <w:tc>
          <w:tcPr>
            <w:tcW w:w="1168" w:type="dxa"/>
            <w:vAlign w:val="top"/>
          </w:tcPr>
          <w:p w14:paraId="419F6A0C">
            <w:pPr>
              <w:rPr>
                <w:rFonts w:hint="eastAsia" w:ascii="仿宋" w:hAnsi="仿宋" w:eastAsia="仿宋" w:cs="仿宋"/>
                <w:color w:val="auto"/>
                <w:szCs w:val="21"/>
                <w:highlight w:val="none"/>
                <w:lang w:eastAsia="zh-CN"/>
              </w:rPr>
            </w:pPr>
          </w:p>
        </w:tc>
      </w:tr>
      <w:tr w14:paraId="34F2DC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0" w:hRule="atLeast"/>
          <w:jc w:val="center"/>
        </w:trPr>
        <w:tc>
          <w:tcPr>
            <w:tcW w:w="748" w:type="dxa"/>
            <w:vAlign w:val="top"/>
          </w:tcPr>
          <w:p w14:paraId="3DCACF7B">
            <w:pPr>
              <w:rPr>
                <w:rFonts w:hint="eastAsia" w:ascii="仿宋" w:hAnsi="仿宋" w:eastAsia="仿宋" w:cs="仿宋"/>
                <w:color w:val="auto"/>
                <w:szCs w:val="21"/>
                <w:highlight w:val="none"/>
                <w:lang w:eastAsia="zh-CN"/>
              </w:rPr>
            </w:pPr>
          </w:p>
        </w:tc>
        <w:tc>
          <w:tcPr>
            <w:tcW w:w="1938" w:type="dxa"/>
            <w:vAlign w:val="top"/>
          </w:tcPr>
          <w:p w14:paraId="1F5A2184">
            <w:pPr>
              <w:rPr>
                <w:rFonts w:hint="eastAsia" w:ascii="仿宋" w:hAnsi="仿宋" w:eastAsia="仿宋" w:cs="仿宋"/>
                <w:color w:val="auto"/>
                <w:szCs w:val="21"/>
                <w:highlight w:val="none"/>
                <w:lang w:eastAsia="zh-CN"/>
              </w:rPr>
            </w:pPr>
          </w:p>
        </w:tc>
        <w:tc>
          <w:tcPr>
            <w:tcW w:w="720" w:type="dxa"/>
            <w:vAlign w:val="top"/>
          </w:tcPr>
          <w:p w14:paraId="1412CFB9">
            <w:pPr>
              <w:rPr>
                <w:rFonts w:hint="eastAsia" w:ascii="仿宋" w:hAnsi="仿宋" w:eastAsia="仿宋" w:cs="仿宋"/>
                <w:color w:val="auto"/>
                <w:szCs w:val="21"/>
                <w:highlight w:val="none"/>
                <w:lang w:eastAsia="zh-CN"/>
              </w:rPr>
            </w:pPr>
          </w:p>
        </w:tc>
        <w:tc>
          <w:tcPr>
            <w:tcW w:w="2172" w:type="dxa"/>
            <w:vAlign w:val="top"/>
          </w:tcPr>
          <w:p w14:paraId="1B1F3695">
            <w:pPr>
              <w:rPr>
                <w:rFonts w:hint="eastAsia" w:ascii="仿宋" w:hAnsi="仿宋" w:eastAsia="仿宋" w:cs="仿宋"/>
                <w:color w:val="auto"/>
                <w:szCs w:val="21"/>
                <w:highlight w:val="none"/>
                <w:lang w:eastAsia="zh-CN"/>
              </w:rPr>
            </w:pPr>
          </w:p>
        </w:tc>
        <w:tc>
          <w:tcPr>
            <w:tcW w:w="1985" w:type="dxa"/>
            <w:vAlign w:val="top"/>
          </w:tcPr>
          <w:p w14:paraId="09B21D68">
            <w:pPr>
              <w:rPr>
                <w:rFonts w:hint="eastAsia" w:ascii="仿宋" w:hAnsi="仿宋" w:eastAsia="仿宋" w:cs="仿宋"/>
                <w:color w:val="auto"/>
                <w:szCs w:val="21"/>
                <w:highlight w:val="none"/>
                <w:lang w:eastAsia="zh-CN"/>
              </w:rPr>
            </w:pPr>
          </w:p>
        </w:tc>
        <w:tc>
          <w:tcPr>
            <w:tcW w:w="1168" w:type="dxa"/>
            <w:vAlign w:val="top"/>
          </w:tcPr>
          <w:p w14:paraId="40AF09BC">
            <w:pPr>
              <w:rPr>
                <w:rFonts w:hint="eastAsia" w:ascii="仿宋" w:hAnsi="仿宋" w:eastAsia="仿宋" w:cs="仿宋"/>
                <w:color w:val="auto"/>
                <w:szCs w:val="21"/>
                <w:highlight w:val="none"/>
                <w:lang w:eastAsia="zh-CN"/>
              </w:rPr>
            </w:pPr>
          </w:p>
        </w:tc>
        <w:tc>
          <w:tcPr>
            <w:tcW w:w="900" w:type="dxa"/>
            <w:vAlign w:val="top"/>
          </w:tcPr>
          <w:p w14:paraId="06A6D06A">
            <w:pPr>
              <w:rPr>
                <w:rFonts w:hint="eastAsia" w:ascii="仿宋" w:hAnsi="仿宋" w:eastAsia="仿宋" w:cs="仿宋"/>
                <w:color w:val="auto"/>
                <w:szCs w:val="21"/>
                <w:highlight w:val="none"/>
                <w:lang w:eastAsia="zh-CN"/>
              </w:rPr>
            </w:pPr>
          </w:p>
        </w:tc>
        <w:tc>
          <w:tcPr>
            <w:tcW w:w="1168" w:type="dxa"/>
            <w:vAlign w:val="top"/>
          </w:tcPr>
          <w:p w14:paraId="7C85DE04">
            <w:pPr>
              <w:rPr>
                <w:rFonts w:hint="eastAsia" w:ascii="仿宋" w:hAnsi="仿宋" w:eastAsia="仿宋" w:cs="仿宋"/>
                <w:color w:val="auto"/>
                <w:szCs w:val="21"/>
                <w:highlight w:val="none"/>
                <w:lang w:eastAsia="zh-CN"/>
              </w:rPr>
            </w:pPr>
          </w:p>
        </w:tc>
      </w:tr>
      <w:tr w14:paraId="397B84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0" w:hRule="atLeast"/>
          <w:jc w:val="center"/>
        </w:trPr>
        <w:tc>
          <w:tcPr>
            <w:tcW w:w="748" w:type="dxa"/>
            <w:vAlign w:val="top"/>
          </w:tcPr>
          <w:p w14:paraId="08D74397">
            <w:pPr>
              <w:rPr>
                <w:rFonts w:hint="eastAsia" w:ascii="仿宋" w:hAnsi="仿宋" w:eastAsia="仿宋" w:cs="仿宋"/>
                <w:color w:val="auto"/>
                <w:szCs w:val="21"/>
                <w:highlight w:val="none"/>
                <w:lang w:eastAsia="zh-CN"/>
              </w:rPr>
            </w:pPr>
          </w:p>
        </w:tc>
        <w:tc>
          <w:tcPr>
            <w:tcW w:w="1938" w:type="dxa"/>
            <w:vAlign w:val="top"/>
          </w:tcPr>
          <w:p w14:paraId="6640BB5F">
            <w:pPr>
              <w:rPr>
                <w:rFonts w:hint="eastAsia" w:ascii="仿宋" w:hAnsi="仿宋" w:eastAsia="仿宋" w:cs="仿宋"/>
                <w:color w:val="auto"/>
                <w:szCs w:val="21"/>
                <w:highlight w:val="none"/>
                <w:lang w:eastAsia="zh-CN"/>
              </w:rPr>
            </w:pPr>
          </w:p>
        </w:tc>
        <w:tc>
          <w:tcPr>
            <w:tcW w:w="720" w:type="dxa"/>
            <w:vAlign w:val="top"/>
          </w:tcPr>
          <w:p w14:paraId="55C5632E">
            <w:pPr>
              <w:rPr>
                <w:rFonts w:hint="eastAsia" w:ascii="仿宋" w:hAnsi="仿宋" w:eastAsia="仿宋" w:cs="仿宋"/>
                <w:color w:val="auto"/>
                <w:szCs w:val="21"/>
                <w:highlight w:val="none"/>
                <w:lang w:eastAsia="zh-CN"/>
              </w:rPr>
            </w:pPr>
          </w:p>
        </w:tc>
        <w:tc>
          <w:tcPr>
            <w:tcW w:w="2172" w:type="dxa"/>
            <w:vAlign w:val="top"/>
          </w:tcPr>
          <w:p w14:paraId="4AEC4701">
            <w:pPr>
              <w:rPr>
                <w:rFonts w:hint="eastAsia" w:ascii="仿宋" w:hAnsi="仿宋" w:eastAsia="仿宋" w:cs="仿宋"/>
                <w:color w:val="auto"/>
                <w:szCs w:val="21"/>
                <w:highlight w:val="none"/>
                <w:lang w:eastAsia="zh-CN"/>
              </w:rPr>
            </w:pPr>
          </w:p>
        </w:tc>
        <w:tc>
          <w:tcPr>
            <w:tcW w:w="1985" w:type="dxa"/>
            <w:vAlign w:val="top"/>
          </w:tcPr>
          <w:p w14:paraId="0192DC42">
            <w:pPr>
              <w:rPr>
                <w:rFonts w:hint="eastAsia" w:ascii="仿宋" w:hAnsi="仿宋" w:eastAsia="仿宋" w:cs="仿宋"/>
                <w:color w:val="auto"/>
                <w:szCs w:val="21"/>
                <w:highlight w:val="none"/>
                <w:lang w:eastAsia="zh-CN"/>
              </w:rPr>
            </w:pPr>
          </w:p>
        </w:tc>
        <w:tc>
          <w:tcPr>
            <w:tcW w:w="1168" w:type="dxa"/>
            <w:vAlign w:val="top"/>
          </w:tcPr>
          <w:p w14:paraId="75BC4A29">
            <w:pPr>
              <w:rPr>
                <w:rFonts w:hint="eastAsia" w:ascii="仿宋" w:hAnsi="仿宋" w:eastAsia="仿宋" w:cs="仿宋"/>
                <w:color w:val="auto"/>
                <w:szCs w:val="21"/>
                <w:highlight w:val="none"/>
                <w:lang w:eastAsia="zh-CN"/>
              </w:rPr>
            </w:pPr>
          </w:p>
        </w:tc>
        <w:tc>
          <w:tcPr>
            <w:tcW w:w="900" w:type="dxa"/>
            <w:vAlign w:val="top"/>
          </w:tcPr>
          <w:p w14:paraId="27EFB8E5">
            <w:pPr>
              <w:rPr>
                <w:rFonts w:hint="eastAsia" w:ascii="仿宋" w:hAnsi="仿宋" w:eastAsia="仿宋" w:cs="仿宋"/>
                <w:color w:val="auto"/>
                <w:szCs w:val="21"/>
                <w:highlight w:val="none"/>
                <w:lang w:eastAsia="zh-CN"/>
              </w:rPr>
            </w:pPr>
          </w:p>
        </w:tc>
        <w:tc>
          <w:tcPr>
            <w:tcW w:w="1168" w:type="dxa"/>
            <w:vAlign w:val="top"/>
          </w:tcPr>
          <w:p w14:paraId="39A40297">
            <w:pPr>
              <w:rPr>
                <w:rFonts w:hint="eastAsia" w:ascii="仿宋" w:hAnsi="仿宋" w:eastAsia="仿宋" w:cs="仿宋"/>
                <w:color w:val="auto"/>
                <w:szCs w:val="21"/>
                <w:highlight w:val="none"/>
                <w:lang w:eastAsia="zh-CN"/>
              </w:rPr>
            </w:pPr>
          </w:p>
        </w:tc>
      </w:tr>
      <w:tr w14:paraId="6B967B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0" w:hRule="atLeast"/>
          <w:jc w:val="center"/>
        </w:trPr>
        <w:tc>
          <w:tcPr>
            <w:tcW w:w="748" w:type="dxa"/>
            <w:vAlign w:val="top"/>
          </w:tcPr>
          <w:p w14:paraId="24729E00">
            <w:pPr>
              <w:rPr>
                <w:rFonts w:hint="eastAsia" w:ascii="仿宋" w:hAnsi="仿宋" w:eastAsia="仿宋" w:cs="仿宋"/>
                <w:color w:val="auto"/>
                <w:szCs w:val="21"/>
                <w:highlight w:val="none"/>
                <w:lang w:eastAsia="zh-CN"/>
              </w:rPr>
            </w:pPr>
          </w:p>
        </w:tc>
        <w:tc>
          <w:tcPr>
            <w:tcW w:w="1938" w:type="dxa"/>
            <w:vAlign w:val="top"/>
          </w:tcPr>
          <w:p w14:paraId="3DB38633">
            <w:pPr>
              <w:rPr>
                <w:rFonts w:hint="eastAsia" w:ascii="仿宋" w:hAnsi="仿宋" w:eastAsia="仿宋" w:cs="仿宋"/>
                <w:color w:val="auto"/>
                <w:szCs w:val="21"/>
                <w:highlight w:val="none"/>
                <w:lang w:eastAsia="zh-CN"/>
              </w:rPr>
            </w:pPr>
          </w:p>
        </w:tc>
        <w:tc>
          <w:tcPr>
            <w:tcW w:w="720" w:type="dxa"/>
            <w:vAlign w:val="top"/>
          </w:tcPr>
          <w:p w14:paraId="380145B4">
            <w:pPr>
              <w:rPr>
                <w:rFonts w:hint="eastAsia" w:ascii="仿宋" w:hAnsi="仿宋" w:eastAsia="仿宋" w:cs="仿宋"/>
                <w:color w:val="auto"/>
                <w:szCs w:val="21"/>
                <w:highlight w:val="none"/>
                <w:lang w:eastAsia="zh-CN"/>
              </w:rPr>
            </w:pPr>
          </w:p>
        </w:tc>
        <w:tc>
          <w:tcPr>
            <w:tcW w:w="2172" w:type="dxa"/>
            <w:vAlign w:val="top"/>
          </w:tcPr>
          <w:p w14:paraId="4688565D">
            <w:pPr>
              <w:rPr>
                <w:rFonts w:hint="eastAsia" w:ascii="仿宋" w:hAnsi="仿宋" w:eastAsia="仿宋" w:cs="仿宋"/>
                <w:color w:val="auto"/>
                <w:szCs w:val="21"/>
                <w:highlight w:val="none"/>
                <w:lang w:eastAsia="zh-CN"/>
              </w:rPr>
            </w:pPr>
          </w:p>
        </w:tc>
        <w:tc>
          <w:tcPr>
            <w:tcW w:w="1985" w:type="dxa"/>
            <w:vAlign w:val="top"/>
          </w:tcPr>
          <w:p w14:paraId="5083D109">
            <w:pPr>
              <w:rPr>
                <w:rFonts w:hint="eastAsia" w:ascii="仿宋" w:hAnsi="仿宋" w:eastAsia="仿宋" w:cs="仿宋"/>
                <w:color w:val="auto"/>
                <w:szCs w:val="21"/>
                <w:highlight w:val="none"/>
                <w:lang w:eastAsia="zh-CN"/>
              </w:rPr>
            </w:pPr>
          </w:p>
        </w:tc>
        <w:tc>
          <w:tcPr>
            <w:tcW w:w="1168" w:type="dxa"/>
            <w:vAlign w:val="top"/>
          </w:tcPr>
          <w:p w14:paraId="453A2A8B">
            <w:pPr>
              <w:rPr>
                <w:rFonts w:hint="eastAsia" w:ascii="仿宋" w:hAnsi="仿宋" w:eastAsia="仿宋" w:cs="仿宋"/>
                <w:color w:val="auto"/>
                <w:szCs w:val="21"/>
                <w:highlight w:val="none"/>
                <w:lang w:eastAsia="zh-CN"/>
              </w:rPr>
            </w:pPr>
          </w:p>
        </w:tc>
        <w:tc>
          <w:tcPr>
            <w:tcW w:w="900" w:type="dxa"/>
            <w:vAlign w:val="top"/>
          </w:tcPr>
          <w:p w14:paraId="215EFDF7">
            <w:pPr>
              <w:rPr>
                <w:rFonts w:hint="eastAsia" w:ascii="仿宋" w:hAnsi="仿宋" w:eastAsia="仿宋" w:cs="仿宋"/>
                <w:color w:val="auto"/>
                <w:szCs w:val="21"/>
                <w:highlight w:val="none"/>
                <w:lang w:eastAsia="zh-CN"/>
              </w:rPr>
            </w:pPr>
          </w:p>
        </w:tc>
        <w:tc>
          <w:tcPr>
            <w:tcW w:w="1168" w:type="dxa"/>
            <w:vAlign w:val="top"/>
          </w:tcPr>
          <w:p w14:paraId="08ED0997">
            <w:pPr>
              <w:rPr>
                <w:rFonts w:hint="eastAsia" w:ascii="仿宋" w:hAnsi="仿宋" w:eastAsia="仿宋" w:cs="仿宋"/>
                <w:color w:val="auto"/>
                <w:szCs w:val="21"/>
                <w:highlight w:val="none"/>
                <w:lang w:eastAsia="zh-CN"/>
              </w:rPr>
            </w:pPr>
          </w:p>
        </w:tc>
      </w:tr>
    </w:tbl>
    <w:p w14:paraId="244CB52D">
      <w:pPr>
        <w:keepNext w:val="0"/>
        <w:keepLines w:val="0"/>
        <w:pageBreakBefore w:val="0"/>
        <w:widowControl w:val="0"/>
        <w:kinsoku/>
        <w:wordWrap/>
        <w:overflowPunct/>
        <w:topLinePunct w:val="0"/>
        <w:autoSpaceDE/>
        <w:autoSpaceDN/>
        <w:bidi w:val="0"/>
        <w:adjustRightInd/>
        <w:snapToGrid/>
        <w:spacing w:line="0" w:lineRule="atLeast"/>
        <w:jc w:val="left"/>
        <w:textAlignment w:val="auto"/>
        <w:rPr>
          <w:rFonts w:hint="eastAsia" w:ascii="仿宋" w:hAnsi="仿宋" w:eastAsia="仿宋" w:cs="仿宋"/>
          <w:color w:val="auto"/>
          <w:highlight w:val="none"/>
        </w:rPr>
      </w:pPr>
      <w:r>
        <w:rPr>
          <w:rFonts w:hint="eastAsia" w:ascii="仿宋" w:hAnsi="仿宋" w:eastAsia="仿宋" w:cs="仿宋"/>
          <w:color w:val="auto"/>
          <w:highlight w:val="none"/>
        </w:rPr>
        <w:t>填表说明：</w:t>
      </w:r>
    </w:p>
    <w:p w14:paraId="50D0CFFE">
      <w:pPr>
        <w:keepNext w:val="0"/>
        <w:keepLines w:val="0"/>
        <w:pageBreakBefore w:val="0"/>
        <w:widowControl w:val="0"/>
        <w:kinsoku/>
        <w:wordWrap/>
        <w:overflowPunct/>
        <w:topLinePunct w:val="0"/>
        <w:autoSpaceDE/>
        <w:autoSpaceDN/>
        <w:bidi w:val="0"/>
        <w:adjustRightInd/>
        <w:snapToGrid/>
        <w:spacing w:line="0" w:lineRule="atLeast"/>
        <w:ind w:firstLine="440" w:firstLineChars="200"/>
        <w:jc w:val="left"/>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（1）投标人应根据报价设备的性能指标、对照招标文件要求在“偏离情况”栏注明“正偏离”“负偏离”或“无偏离”。 </w:t>
      </w:r>
    </w:p>
    <w:p w14:paraId="6E053B34">
      <w:pPr>
        <w:keepNext w:val="0"/>
        <w:keepLines w:val="0"/>
        <w:pageBreakBefore w:val="0"/>
        <w:widowControl w:val="0"/>
        <w:kinsoku/>
        <w:wordWrap/>
        <w:overflowPunct/>
        <w:topLinePunct w:val="0"/>
        <w:autoSpaceDE/>
        <w:autoSpaceDN/>
        <w:bidi w:val="0"/>
        <w:adjustRightInd/>
        <w:snapToGrid/>
        <w:spacing w:line="0" w:lineRule="atLeast"/>
        <w:ind w:firstLine="440" w:firstLineChars="200"/>
        <w:jc w:val="left"/>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（2）投标人必须根据采购需求及要求中“技术要求” 在“技术参数偏离表”中作出全面、真实的反映，投标人除如实填写技术规格偏离表外，投标文件中必须提供技术支持资料支持参数技术规格偏离表应答（包括但不限于投标产品公开发布的技术白皮书、检测报告、彩页资料）。若投标文件中技术支持资料参数与技术规格偏离表应答不符，以技术支持资料为准；若无技术支持资料导致评审委员会无法判断的，评审委员会可认定为不响应该条技术参数要求。若出现制造商公开发布的技术白皮书、检测报告、彩页资料等技术证明文件中，同一技术参数或指标互相矛盾，视为该项技术参数不响应招标文件要求。</w:t>
      </w:r>
    </w:p>
    <w:p w14:paraId="4670D8C4">
      <w:pPr>
        <w:wordWrap w:val="0"/>
        <w:overflowPunct w:val="0"/>
        <w:topLinePunct/>
        <w:spacing w:line="360" w:lineRule="auto"/>
        <w:jc w:val="center"/>
        <w:rPr>
          <w:rFonts w:hint="eastAsia" w:ascii="仿宋" w:hAnsi="仿宋" w:eastAsia="仿宋" w:cs="仿宋"/>
          <w:b w:val="0"/>
          <w:bCs/>
          <w:color w:val="auto"/>
          <w:sz w:val="24"/>
          <w:highlight w:val="none"/>
          <w:lang w:eastAsia="zh-CN"/>
        </w:rPr>
      </w:pPr>
    </w:p>
    <w:p w14:paraId="70956D07">
      <w:pPr>
        <w:wordWrap w:val="0"/>
        <w:overflowPunct w:val="0"/>
        <w:topLinePunct/>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rPr>
        <w:t>（</w:t>
      </w:r>
      <w:r>
        <w:rPr>
          <w:rFonts w:hint="eastAsia" w:ascii="仿宋" w:hAnsi="仿宋" w:eastAsia="仿宋" w:cs="仿宋"/>
          <w:color w:val="auto"/>
          <w:sz w:val="24"/>
          <w:highlight w:val="none"/>
          <w:u w:val="none"/>
          <w:lang w:val="en-US" w:eastAsia="zh-CN"/>
        </w:rPr>
        <w:t>加盖电子</w:t>
      </w:r>
      <w:r>
        <w:rPr>
          <w:rFonts w:hint="eastAsia" w:ascii="仿宋" w:hAnsi="仿宋" w:eastAsia="仿宋" w:cs="仿宋"/>
          <w:color w:val="auto"/>
          <w:sz w:val="24"/>
          <w:highlight w:val="none"/>
        </w:rPr>
        <w:t>公章）</w:t>
      </w:r>
    </w:p>
    <w:p w14:paraId="79C86F97">
      <w:pPr>
        <w:wordWrap w:val="0"/>
        <w:overflowPunct w:val="0"/>
        <w:topLinePunct/>
        <w:spacing w:line="360" w:lineRule="auto"/>
        <w:jc w:val="center"/>
        <w:outlineLvl w:val="2"/>
        <w:rPr>
          <w:rFonts w:hint="eastAsia" w:ascii="仿宋" w:hAnsi="仿宋" w:eastAsia="仿宋" w:cs="仿宋"/>
          <w:b w:val="0"/>
          <w:bCs/>
          <w:color w:val="auto"/>
          <w:sz w:val="24"/>
          <w:highlight w:val="none"/>
          <w:u w:val="single"/>
        </w:rPr>
      </w:pPr>
      <w:bookmarkStart w:id="2221" w:name="_Toc27727"/>
      <w:bookmarkStart w:id="2222" w:name="_Toc14812"/>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bookmarkEnd w:id="2221"/>
      <w:bookmarkEnd w:id="2222"/>
    </w:p>
    <w:p w14:paraId="28CCC15C">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b w:val="0"/>
          <w:bCs/>
          <w:color w:val="auto"/>
          <w:sz w:val="24"/>
          <w:highlight w:val="none"/>
        </w:rPr>
        <w:sectPr>
          <w:pgSz w:w="11906" w:h="16838"/>
          <w:pgMar w:top="1134" w:right="1134" w:bottom="1134" w:left="1134" w:header="709" w:footer="907" w:gutter="0"/>
          <w:pgBorders>
            <w:top w:val="none" w:sz="0" w:space="0"/>
            <w:left w:val="none" w:sz="0" w:space="0"/>
            <w:bottom w:val="none" w:sz="0" w:space="0"/>
            <w:right w:val="none" w:sz="0" w:space="0"/>
          </w:pgBorders>
          <w:pgNumType w:fmt="decimal"/>
          <w:cols w:space="720" w:num="1"/>
          <w:titlePg/>
          <w:docGrid w:linePitch="299" w:charSpace="0"/>
        </w:sectPr>
      </w:pPr>
      <w:r>
        <w:rPr>
          <w:rFonts w:hint="eastAsia" w:ascii="仿宋" w:hAnsi="仿宋" w:eastAsia="仿宋" w:cs="仿宋"/>
          <w:b w:val="0"/>
          <w:bCs/>
          <w:color w:val="auto"/>
          <w:sz w:val="24"/>
          <w:highlight w:val="none"/>
        </w:rPr>
        <w:t>日期：</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年</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月</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日</w:t>
      </w:r>
    </w:p>
    <w:p w14:paraId="5AF73E24">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二、技术证明文件</w:t>
      </w:r>
    </w:p>
    <w:p w14:paraId="36C01C68">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仿宋" w:hAnsi="仿宋" w:eastAsia="仿宋" w:cs="仿宋"/>
          <w:b/>
          <w:bCs/>
          <w:color w:val="auto"/>
          <w:sz w:val="24"/>
          <w:szCs w:val="24"/>
          <w:highlight w:val="none"/>
          <w:lang w:val="en-US" w:eastAsia="zh-CN"/>
        </w:rPr>
        <w:sectPr>
          <w:pgSz w:w="11906" w:h="16838"/>
          <w:pgMar w:top="1134" w:right="1134" w:bottom="1134" w:left="1134" w:header="709" w:footer="907" w:gutter="0"/>
          <w:pgBorders>
            <w:top w:val="none" w:sz="0" w:space="0"/>
            <w:left w:val="none" w:sz="0" w:space="0"/>
            <w:bottom w:val="none" w:sz="0" w:space="0"/>
            <w:right w:val="none" w:sz="0" w:space="0"/>
          </w:pgBorders>
          <w:pgNumType w:fmt="decimal"/>
          <w:cols w:space="720" w:num="1"/>
          <w:titlePg/>
          <w:rtlGutter w:val="0"/>
          <w:docGrid w:linePitch="299" w:charSpace="0"/>
        </w:sectPr>
      </w:pPr>
      <w:r>
        <w:rPr>
          <w:rFonts w:hint="eastAsia" w:ascii="仿宋" w:hAnsi="仿宋" w:eastAsia="仿宋" w:cs="仿宋"/>
          <w:color w:val="auto"/>
          <w:sz w:val="24"/>
          <w:szCs w:val="24"/>
          <w:highlight w:val="none"/>
          <w:lang w:val="en-US" w:eastAsia="zh-CN"/>
        </w:rPr>
        <w:t>（1）投标产品彩页及相应技术参数的厂家使用说明书、检测报告等技术证明文件</w:t>
      </w:r>
      <w:r>
        <w:rPr>
          <w:rFonts w:hint="eastAsia" w:ascii="仿宋" w:hAnsi="仿宋" w:eastAsia="仿宋" w:cs="仿宋"/>
          <w:color w:val="auto"/>
          <w:sz w:val="24"/>
          <w:szCs w:val="24"/>
          <w:highlight w:val="none"/>
        </w:rPr>
        <w:t>。格式由</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自拟。</w:t>
      </w:r>
    </w:p>
    <w:p w14:paraId="207B617A">
      <w:pPr>
        <w:pStyle w:val="4"/>
        <w:keepNext w:val="0"/>
        <w:keepLines w:val="0"/>
        <w:pageBreakBefore w:val="0"/>
        <w:widowControl w:val="0"/>
        <w:kinsoku/>
        <w:wordWrap w:val="0"/>
        <w:overflowPunct/>
        <w:topLinePunct/>
        <w:autoSpaceDE/>
        <w:autoSpaceDN/>
        <w:bidi w:val="0"/>
        <w:adjustRightInd/>
        <w:snapToGrid/>
        <w:ind w:left="0" w:leftChars="0" w:right="0"/>
        <w:jc w:val="center"/>
        <w:outlineLvl w:val="1"/>
        <w:rPr>
          <w:rFonts w:hint="eastAsia" w:ascii="仿宋" w:hAnsi="仿宋" w:eastAsia="仿宋" w:cs="仿宋"/>
          <w:b/>
          <w:bCs/>
          <w:color w:val="auto"/>
          <w:szCs w:val="30"/>
          <w:highlight w:val="none"/>
          <w:lang w:eastAsia="zh-CN"/>
        </w:rPr>
      </w:pPr>
      <w:bookmarkStart w:id="2223" w:name="_Toc12564"/>
      <w:bookmarkStart w:id="2224" w:name="_Toc11374"/>
      <w:bookmarkStart w:id="2225" w:name="_Toc12948"/>
      <w:bookmarkStart w:id="2226" w:name="_Toc21138"/>
      <w:bookmarkStart w:id="2227" w:name="_Toc21198"/>
      <w:bookmarkStart w:id="2228" w:name="_Toc13383"/>
      <w:bookmarkStart w:id="2229" w:name="_Toc7766"/>
      <w:r>
        <w:rPr>
          <w:rFonts w:hint="eastAsia" w:ascii="仿宋" w:hAnsi="仿宋" w:eastAsia="仿宋" w:cs="仿宋"/>
          <w:color w:val="auto"/>
          <w:highlight w:val="none"/>
          <w:lang w:val="en-US" w:eastAsia="zh-CN"/>
        </w:rPr>
        <w:t>三、</w:t>
      </w:r>
      <w:r>
        <w:rPr>
          <w:rFonts w:hint="eastAsia" w:ascii="仿宋" w:hAnsi="仿宋" w:eastAsia="仿宋" w:cs="仿宋"/>
          <w:color w:val="auto"/>
          <w:highlight w:val="none"/>
          <w:lang w:eastAsia="zh-CN"/>
        </w:rPr>
        <w:t>廉洁承诺书</w:t>
      </w:r>
      <w:bookmarkEnd w:id="2223"/>
      <w:bookmarkEnd w:id="2224"/>
      <w:bookmarkEnd w:id="2225"/>
      <w:r>
        <w:rPr>
          <w:rFonts w:hint="eastAsia" w:ascii="仿宋" w:hAnsi="仿宋" w:eastAsia="仿宋" w:cs="仿宋"/>
          <w:color w:val="auto"/>
          <w:highlight w:val="none"/>
          <w:lang w:val="en-US" w:eastAsia="zh-CN"/>
        </w:rPr>
        <w:t>（实质性格式）</w:t>
      </w:r>
      <w:bookmarkEnd w:id="2226"/>
      <w:bookmarkEnd w:id="2227"/>
      <w:bookmarkEnd w:id="2228"/>
      <w:bookmarkEnd w:id="2229"/>
    </w:p>
    <w:p w14:paraId="520B0BD9">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color w:val="auto"/>
          <w:sz w:val="30"/>
          <w:szCs w:val="30"/>
          <w:highlight w:val="none"/>
          <w:lang w:eastAsia="zh-CN"/>
        </w:rPr>
      </w:pPr>
    </w:p>
    <w:p w14:paraId="618E6E95">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bCs/>
          <w:color w:val="auto"/>
          <w:spacing w:val="40"/>
          <w:sz w:val="32"/>
          <w:szCs w:val="28"/>
          <w:highlight w:val="none"/>
          <w:lang w:eastAsia="zh-CN"/>
        </w:rPr>
      </w:pPr>
    </w:p>
    <w:p w14:paraId="5C1DDD7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本企业参与</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项目</w:t>
      </w: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zh-CN"/>
        </w:rPr>
        <w:t>项目编号</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的投标人，现做如下承诺：</w:t>
      </w:r>
    </w:p>
    <w:p w14:paraId="4710E19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outlineLvl w:val="2"/>
        <w:rPr>
          <w:rFonts w:hint="eastAsia" w:ascii="仿宋" w:hAnsi="仿宋" w:eastAsia="仿宋" w:cs="仿宋"/>
          <w:color w:val="auto"/>
          <w:sz w:val="24"/>
          <w:szCs w:val="24"/>
          <w:highlight w:val="none"/>
          <w:lang w:eastAsia="zh-CN"/>
        </w:rPr>
      </w:pPr>
      <w:bookmarkStart w:id="2230" w:name="_Toc1040"/>
      <w:bookmarkStart w:id="2231" w:name="_Toc20141"/>
      <w:r>
        <w:rPr>
          <w:rFonts w:hint="eastAsia" w:ascii="仿宋" w:hAnsi="仿宋" w:eastAsia="仿宋" w:cs="仿宋"/>
          <w:color w:val="auto"/>
          <w:sz w:val="24"/>
          <w:szCs w:val="24"/>
          <w:highlight w:val="none"/>
          <w:lang w:eastAsia="zh-CN"/>
        </w:rPr>
        <w:t>1、所提供的一切材料都是真实、有效、合法的。</w:t>
      </w:r>
      <w:bookmarkEnd w:id="2230"/>
      <w:bookmarkEnd w:id="2231"/>
    </w:p>
    <w:p w14:paraId="5754CAB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2、不与其他投标人串通投标，不损害采购人或其他投标人的合法权益。</w:t>
      </w:r>
    </w:p>
    <w:p w14:paraId="76CFF40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3、不转让、出租、出借资质证书、人员岗位证书或以其他方式允许他人以本企业名义投标。</w:t>
      </w:r>
    </w:p>
    <w:p w14:paraId="6C57961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4、不与采购人或采购代理机构串通投标，损害国家利益、社会公共利益或者他人的合法权益。</w:t>
      </w:r>
    </w:p>
    <w:p w14:paraId="2F49CF8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5、不向采购人、评审委员会成员、监督人员行贿。</w:t>
      </w:r>
    </w:p>
    <w:p w14:paraId="5759D82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6、不扰乱招标投标活动正常秩序。</w:t>
      </w:r>
    </w:p>
    <w:p w14:paraId="3292DBD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7、不进行虚假恶意投诉。</w:t>
      </w:r>
    </w:p>
    <w:p w14:paraId="7AF4903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8、因违反法律法规、规章被查处的，不干预案件查处。</w:t>
      </w:r>
    </w:p>
    <w:p w14:paraId="058C148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如出现上述行为，本投标人自愿承担相关责任，接受招标投标监督管理部门、纪检监察部门或司法机关调查处理。给采购人造成损失的，依法承担赔偿责任。</w:t>
      </w:r>
    </w:p>
    <w:p w14:paraId="4FA054AB">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69D92C6E">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175E2E3B">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4AF230F7">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47ABEAD9">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0BEA7C80">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4C92AF8D">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5666CEE8">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5A17FEC3">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1D60F81C">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1A20A967">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highlight w:val="none"/>
          <w:lang w:eastAsia="zh-CN"/>
        </w:rPr>
      </w:pPr>
    </w:p>
    <w:p w14:paraId="6396A93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p>
    <w:p w14:paraId="13919F49">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highlight w:val="none"/>
        </w:rPr>
        <w:t>加盖电子公章</w:t>
      </w:r>
      <w:r>
        <w:rPr>
          <w:rFonts w:hint="eastAsia" w:ascii="仿宋" w:hAnsi="仿宋" w:eastAsia="仿宋" w:cs="仿宋"/>
          <w:color w:val="auto"/>
          <w:sz w:val="24"/>
          <w:szCs w:val="24"/>
          <w:highlight w:val="none"/>
          <w:lang w:eastAsia="zh-CN"/>
        </w:rPr>
        <w:t>）</w:t>
      </w:r>
    </w:p>
    <w:p w14:paraId="20A3C360">
      <w:pPr>
        <w:pStyle w:val="4"/>
        <w:keepNext w:val="0"/>
        <w:keepLines w:val="0"/>
        <w:pageBreakBefore w:val="0"/>
        <w:widowControl w:val="0"/>
        <w:kinsoku/>
        <w:wordWrap w:val="0"/>
        <w:overflowPunct w:val="0"/>
        <w:topLinePunct/>
        <w:autoSpaceDE/>
        <w:autoSpaceDN/>
        <w:bidi w:val="0"/>
        <w:adjustRightInd/>
        <w:snapToGrid/>
        <w:spacing w:line="360" w:lineRule="auto"/>
        <w:jc w:val="center"/>
        <w:outlineLvl w:val="1"/>
        <w:rPr>
          <w:rFonts w:hint="eastAsia" w:ascii="仿宋" w:hAnsi="仿宋" w:eastAsia="仿宋" w:cs="仿宋"/>
          <w:b w:val="0"/>
          <w:bCs w:val="0"/>
          <w:color w:val="auto"/>
          <w:sz w:val="32"/>
          <w:szCs w:val="32"/>
          <w:highlight w:val="none"/>
          <w:lang w:val="en-US" w:eastAsia="zh-CN"/>
        </w:rPr>
      </w:pPr>
      <w:bookmarkStart w:id="2232" w:name="_Toc25102"/>
      <w:bookmarkStart w:id="2233" w:name="_Toc1662"/>
      <w:bookmarkStart w:id="2234" w:name="_Toc17541"/>
      <w:bookmarkStart w:id="2235" w:name="_Toc13992"/>
      <w:bookmarkStart w:id="2236" w:name="_Toc5344"/>
      <w:r>
        <w:rPr>
          <w:rFonts w:hint="eastAsia" w:ascii="仿宋" w:hAnsi="仿宋" w:eastAsia="仿宋" w:cs="仿宋"/>
          <w:b w:val="0"/>
          <w:bCs w:val="0"/>
          <w:color w:val="auto"/>
          <w:sz w:val="24"/>
          <w:szCs w:val="24"/>
          <w:highlight w:val="none"/>
          <w:lang w:eastAsia="zh-CN"/>
        </w:rPr>
        <w:t>日期：</w:t>
      </w:r>
      <w:r>
        <w:rPr>
          <w:rFonts w:hint="eastAsia" w:ascii="仿宋" w:hAnsi="仿宋" w:eastAsia="仿宋" w:cs="仿宋"/>
          <w:b w:val="0"/>
          <w:bCs w:val="0"/>
          <w:color w:val="auto"/>
          <w:sz w:val="24"/>
          <w:szCs w:val="24"/>
          <w:highlight w:val="none"/>
          <w:u w:val="single"/>
          <w:lang w:eastAsia="zh-CN"/>
        </w:rPr>
        <w:t xml:space="preserve">     </w:t>
      </w:r>
      <w:r>
        <w:rPr>
          <w:rFonts w:hint="eastAsia" w:ascii="仿宋" w:hAnsi="仿宋" w:eastAsia="仿宋" w:cs="仿宋"/>
          <w:b w:val="0"/>
          <w:bCs w:val="0"/>
          <w:color w:val="auto"/>
          <w:sz w:val="24"/>
          <w:szCs w:val="24"/>
          <w:highlight w:val="none"/>
          <w:lang w:eastAsia="zh-CN"/>
        </w:rPr>
        <w:t>年</w:t>
      </w:r>
      <w:r>
        <w:rPr>
          <w:rFonts w:hint="eastAsia" w:ascii="仿宋" w:hAnsi="仿宋" w:eastAsia="仿宋" w:cs="仿宋"/>
          <w:b w:val="0"/>
          <w:bCs w:val="0"/>
          <w:color w:val="auto"/>
          <w:sz w:val="24"/>
          <w:szCs w:val="24"/>
          <w:highlight w:val="none"/>
          <w:u w:val="single"/>
          <w:lang w:eastAsia="zh-CN"/>
        </w:rPr>
        <w:t xml:space="preserve">     </w:t>
      </w:r>
      <w:r>
        <w:rPr>
          <w:rFonts w:hint="eastAsia" w:ascii="仿宋" w:hAnsi="仿宋" w:eastAsia="仿宋" w:cs="仿宋"/>
          <w:b w:val="0"/>
          <w:bCs w:val="0"/>
          <w:color w:val="auto"/>
          <w:sz w:val="24"/>
          <w:szCs w:val="24"/>
          <w:highlight w:val="none"/>
          <w:lang w:eastAsia="zh-CN"/>
        </w:rPr>
        <w:t>月</w:t>
      </w:r>
      <w:r>
        <w:rPr>
          <w:rFonts w:hint="eastAsia" w:ascii="仿宋" w:hAnsi="仿宋" w:eastAsia="仿宋" w:cs="仿宋"/>
          <w:b w:val="0"/>
          <w:bCs w:val="0"/>
          <w:color w:val="auto"/>
          <w:sz w:val="24"/>
          <w:szCs w:val="24"/>
          <w:highlight w:val="none"/>
          <w:u w:val="single"/>
          <w:lang w:eastAsia="zh-CN"/>
        </w:rPr>
        <w:t xml:space="preserve">     </w:t>
      </w:r>
      <w:r>
        <w:rPr>
          <w:rFonts w:hint="eastAsia" w:ascii="仿宋" w:hAnsi="仿宋" w:eastAsia="仿宋" w:cs="仿宋"/>
          <w:b w:val="0"/>
          <w:bCs w:val="0"/>
          <w:color w:val="auto"/>
          <w:sz w:val="24"/>
          <w:szCs w:val="24"/>
          <w:highlight w:val="none"/>
          <w:lang w:eastAsia="zh-CN"/>
        </w:rPr>
        <w:t>日</w:t>
      </w:r>
      <w:bookmarkEnd w:id="2232"/>
      <w:bookmarkEnd w:id="2233"/>
      <w:bookmarkEnd w:id="2234"/>
      <w:bookmarkEnd w:id="2235"/>
      <w:bookmarkEnd w:id="2236"/>
    </w:p>
    <w:p w14:paraId="4A3855B6">
      <w:pPr>
        <w:pStyle w:val="4"/>
        <w:keepNext w:val="0"/>
        <w:keepLines w:val="0"/>
        <w:pageBreakBefore w:val="0"/>
        <w:widowControl w:val="0"/>
        <w:kinsoku/>
        <w:wordWrap w:val="0"/>
        <w:overflowPunct w:val="0"/>
        <w:topLinePunct/>
        <w:autoSpaceDE/>
        <w:autoSpaceDN/>
        <w:bidi w:val="0"/>
        <w:adjustRightInd/>
        <w:snapToGrid/>
        <w:spacing w:line="360" w:lineRule="auto"/>
        <w:jc w:val="center"/>
        <w:outlineLvl w:val="9"/>
        <w:rPr>
          <w:rFonts w:hint="eastAsia" w:ascii="仿宋" w:hAnsi="仿宋" w:eastAsia="仿宋" w:cs="仿宋"/>
          <w:color w:val="auto"/>
          <w:sz w:val="32"/>
          <w:szCs w:val="32"/>
          <w:highlight w:val="none"/>
          <w:lang w:val="en-US" w:eastAsia="zh-CN"/>
        </w:rPr>
        <w:sectPr>
          <w:pgSz w:w="11906" w:h="16838"/>
          <w:pgMar w:top="1134" w:right="1134" w:bottom="1134" w:left="1134" w:header="709" w:footer="907" w:gutter="0"/>
          <w:pgBorders>
            <w:top w:val="none" w:sz="0" w:space="0"/>
            <w:left w:val="none" w:sz="0" w:space="0"/>
            <w:bottom w:val="none" w:sz="0" w:space="0"/>
            <w:right w:val="none" w:sz="0" w:space="0"/>
          </w:pgBorders>
          <w:pgNumType w:fmt="decimal"/>
          <w:cols w:space="720" w:num="1"/>
          <w:titlePg/>
          <w:docGrid w:linePitch="299" w:charSpace="0"/>
        </w:sectPr>
      </w:pPr>
    </w:p>
    <w:p w14:paraId="1D74777C">
      <w:pPr>
        <w:pStyle w:val="4"/>
        <w:keepNext w:val="0"/>
        <w:keepLines w:val="0"/>
        <w:pageBreakBefore w:val="0"/>
        <w:widowControl w:val="0"/>
        <w:kinsoku/>
        <w:wordWrap w:val="0"/>
        <w:overflowPunct w:val="0"/>
        <w:topLinePunct/>
        <w:autoSpaceDE/>
        <w:autoSpaceDN/>
        <w:bidi w:val="0"/>
        <w:adjustRightInd/>
        <w:snapToGrid/>
        <w:spacing w:line="360" w:lineRule="auto"/>
        <w:jc w:val="center"/>
        <w:outlineLvl w:val="1"/>
        <w:rPr>
          <w:rFonts w:hint="eastAsia" w:ascii="仿宋" w:hAnsi="仿宋" w:eastAsia="仿宋" w:cs="仿宋"/>
          <w:b/>
          <w:bCs/>
          <w:color w:val="auto"/>
          <w:spacing w:val="40"/>
          <w:sz w:val="32"/>
          <w:szCs w:val="28"/>
          <w:highlight w:val="none"/>
          <w:lang w:eastAsia="zh-CN"/>
        </w:rPr>
      </w:pPr>
      <w:bookmarkStart w:id="2237" w:name="_Toc19851"/>
      <w:bookmarkStart w:id="2238" w:name="_Toc8933"/>
      <w:bookmarkStart w:id="2239" w:name="_Toc15589"/>
      <w:bookmarkStart w:id="2240" w:name="_Toc27051"/>
      <w:r>
        <w:rPr>
          <w:rFonts w:hint="eastAsia" w:ascii="仿宋" w:hAnsi="仿宋" w:eastAsia="仿宋" w:cs="仿宋"/>
          <w:color w:val="auto"/>
          <w:sz w:val="32"/>
          <w:szCs w:val="32"/>
          <w:highlight w:val="none"/>
          <w:lang w:val="en-US" w:eastAsia="zh-CN"/>
        </w:rPr>
        <w:t>四、知识产权声明函（实质性格式）</w:t>
      </w:r>
      <w:bookmarkEnd w:id="2237"/>
      <w:bookmarkEnd w:id="2238"/>
      <w:bookmarkEnd w:id="2239"/>
      <w:bookmarkEnd w:id="2240"/>
    </w:p>
    <w:p w14:paraId="2CF6F561">
      <w:pPr>
        <w:keepNext w:val="0"/>
        <w:keepLines w:val="0"/>
        <w:pageBreakBefore w:val="0"/>
        <w:widowControl w:val="0"/>
        <w:kinsoku/>
        <w:wordWrap w:val="0"/>
        <w:overflowPunct w:val="0"/>
        <w:topLinePunct/>
        <w:autoSpaceDE/>
        <w:autoSpaceDN/>
        <w:bidi w:val="0"/>
        <w:adjustRightInd/>
        <w:snapToGrid/>
        <w:spacing w:line="520" w:lineRule="exact"/>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u w:val="single"/>
          <w:lang w:val="en-US" w:eastAsia="zh-CN"/>
        </w:rPr>
        <w:t>楚雄彝族自治州人民医院</w:t>
      </w:r>
      <w:r>
        <w:rPr>
          <w:rFonts w:hint="eastAsia" w:ascii="仿宋" w:hAnsi="仿宋" w:eastAsia="仿宋" w:cs="仿宋"/>
          <w:color w:val="auto"/>
          <w:sz w:val="24"/>
          <w:szCs w:val="24"/>
          <w:highlight w:val="none"/>
          <w:lang w:eastAsia="zh-CN"/>
        </w:rPr>
        <w:t>：</w:t>
      </w:r>
    </w:p>
    <w:p w14:paraId="08AC051D">
      <w:pPr>
        <w:keepNext w:val="0"/>
        <w:keepLines w:val="0"/>
        <w:pageBreakBefore w:val="0"/>
        <w:widowControl w:val="0"/>
        <w:kinsoku/>
        <w:wordWrap w:val="0"/>
        <w:overflowPunct w:val="0"/>
        <w:topLinePunct/>
        <w:autoSpaceDE/>
        <w:autoSpaceDN/>
        <w:bidi w:val="0"/>
        <w:adjustRightInd/>
        <w:snapToGrid/>
        <w:spacing w:line="520" w:lineRule="exact"/>
        <w:ind w:firstLine="480" w:firstLineChars="2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我公司</w:t>
      </w:r>
      <w:r>
        <w:rPr>
          <w:rFonts w:hint="eastAsia" w:ascii="仿宋" w:hAnsi="仿宋" w:eastAsia="仿宋" w:cs="仿宋"/>
          <w:color w:val="auto"/>
          <w:sz w:val="24"/>
          <w:szCs w:val="24"/>
          <w:highlight w:val="none"/>
          <w:u w:val="single"/>
          <w:lang w:eastAsia="zh-CN"/>
        </w:rPr>
        <w:t>（投标人名称）</w:t>
      </w:r>
      <w:r>
        <w:rPr>
          <w:rFonts w:hint="eastAsia" w:ascii="仿宋" w:hAnsi="仿宋" w:eastAsia="仿宋" w:cs="仿宋"/>
          <w:color w:val="auto"/>
          <w:sz w:val="24"/>
          <w:szCs w:val="24"/>
          <w:highlight w:val="none"/>
          <w:lang w:eastAsia="zh-CN"/>
        </w:rPr>
        <w:t>已详细阅读了</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项目</w:t>
      </w: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项目编号：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highlight w:val="none"/>
          <w:u w:val="single"/>
          <w:lang w:val="en-US" w:eastAsia="zh-CN"/>
        </w:rPr>
        <w:t xml:space="preserve"> 公开招标 </w:t>
      </w:r>
      <w:r>
        <w:rPr>
          <w:rFonts w:hint="eastAsia" w:ascii="仿宋" w:hAnsi="仿宋" w:eastAsia="仿宋" w:cs="仿宋"/>
          <w:color w:val="auto"/>
          <w:sz w:val="24"/>
          <w:highlight w:val="none"/>
          <w:lang w:val="en-US" w:eastAsia="zh-CN"/>
        </w:rPr>
        <w:t>采购活动</w:t>
      </w:r>
      <w:r>
        <w:rPr>
          <w:rFonts w:hint="eastAsia" w:ascii="仿宋" w:hAnsi="仿宋" w:eastAsia="仿宋" w:cs="仿宋"/>
          <w:color w:val="auto"/>
          <w:sz w:val="24"/>
          <w:szCs w:val="24"/>
          <w:highlight w:val="none"/>
          <w:lang w:eastAsia="zh-CN"/>
        </w:rPr>
        <w:t>，现承诺声明：</w:t>
      </w:r>
    </w:p>
    <w:p w14:paraId="0FBFD544">
      <w:pPr>
        <w:keepNext w:val="0"/>
        <w:keepLines w:val="0"/>
        <w:pageBreakBefore w:val="0"/>
        <w:widowControl w:val="0"/>
        <w:kinsoku/>
        <w:wordWrap w:val="0"/>
        <w:overflowPunct w:val="0"/>
        <w:topLinePunct/>
        <w:autoSpaceDE/>
        <w:autoSpaceDN/>
        <w:bidi w:val="0"/>
        <w:adjustRightInd/>
        <w:snapToGrid/>
        <w:spacing w:line="520" w:lineRule="exact"/>
        <w:ind w:firstLine="480" w:firstLineChars="2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一）本单位保证在本项目使用的任何产品和服务（包括部分使用）时，不会产生因第三方提出侵犯其专利权、商标权或其他知识产权而引起的法律和经济纠纷，如因专利权、商标权或其他知识产权而引起法律和经济纠纷，由本单位承担所有相关责任。</w:t>
      </w:r>
    </w:p>
    <w:p w14:paraId="6B4447C8">
      <w:pPr>
        <w:keepNext w:val="0"/>
        <w:keepLines w:val="0"/>
        <w:pageBreakBefore w:val="0"/>
        <w:widowControl w:val="0"/>
        <w:kinsoku/>
        <w:wordWrap w:val="0"/>
        <w:overflowPunct w:val="0"/>
        <w:topLinePunct/>
        <w:autoSpaceDE/>
        <w:autoSpaceDN/>
        <w:bidi w:val="0"/>
        <w:adjustRightInd/>
        <w:snapToGrid/>
        <w:spacing w:line="520" w:lineRule="exact"/>
        <w:ind w:firstLine="480" w:firstLineChars="200"/>
        <w:jc w:val="left"/>
        <w:outlineLvl w:val="2"/>
        <w:rPr>
          <w:rFonts w:hint="eastAsia" w:ascii="仿宋" w:hAnsi="仿宋" w:eastAsia="仿宋" w:cs="仿宋"/>
          <w:color w:val="auto"/>
          <w:sz w:val="24"/>
          <w:szCs w:val="24"/>
          <w:highlight w:val="none"/>
          <w:lang w:eastAsia="zh-CN"/>
        </w:rPr>
      </w:pPr>
      <w:bookmarkStart w:id="2241" w:name="_Toc28206"/>
      <w:bookmarkStart w:id="2242" w:name="_Toc2572"/>
      <w:r>
        <w:rPr>
          <w:rFonts w:hint="eastAsia" w:ascii="仿宋" w:hAnsi="仿宋" w:eastAsia="仿宋" w:cs="仿宋"/>
          <w:color w:val="auto"/>
          <w:sz w:val="24"/>
          <w:szCs w:val="24"/>
          <w:highlight w:val="none"/>
          <w:lang w:eastAsia="zh-CN"/>
        </w:rPr>
        <w:t>（二）采购人享有本项目实施过程中产生的知识成果及知识产权。</w:t>
      </w:r>
      <w:bookmarkEnd w:id="2241"/>
      <w:bookmarkEnd w:id="2242"/>
    </w:p>
    <w:p w14:paraId="635BC66F">
      <w:pPr>
        <w:keepNext w:val="0"/>
        <w:keepLines w:val="0"/>
        <w:pageBreakBefore w:val="0"/>
        <w:widowControl w:val="0"/>
        <w:kinsoku/>
        <w:wordWrap w:val="0"/>
        <w:overflowPunct w:val="0"/>
        <w:topLinePunct/>
        <w:autoSpaceDE/>
        <w:autoSpaceDN/>
        <w:bidi w:val="0"/>
        <w:adjustRightInd/>
        <w:snapToGrid/>
        <w:spacing w:line="520" w:lineRule="exact"/>
        <w:ind w:firstLine="480" w:firstLineChars="2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三）本单位声明如果在项目实施过程中涉及采用自有知识成果，本单位提供使用自有知识成果的相关资料并为其真实性单独负责，在使用该知识成果后，本单位提供开发接口和开发手册等技术文档给采购人，并承诺提供无限期技术支持，采购人享有永久使用权（含采购人委托第三方在该项目后续开发的使用权）。</w:t>
      </w:r>
    </w:p>
    <w:p w14:paraId="6E401532">
      <w:pPr>
        <w:keepNext w:val="0"/>
        <w:keepLines w:val="0"/>
        <w:pageBreakBefore w:val="0"/>
        <w:widowControl w:val="0"/>
        <w:kinsoku/>
        <w:wordWrap w:val="0"/>
        <w:overflowPunct w:val="0"/>
        <w:topLinePunct/>
        <w:autoSpaceDE/>
        <w:autoSpaceDN/>
        <w:bidi w:val="0"/>
        <w:adjustRightInd/>
        <w:snapToGrid/>
        <w:spacing w:line="520" w:lineRule="exact"/>
        <w:ind w:firstLine="480" w:firstLineChars="2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（四）如采用本单位所拥有的知识产权，本单位承诺在本项目投标报价中已经包括合法获取该知识产权的相关费用。</w:t>
      </w:r>
    </w:p>
    <w:p w14:paraId="1947A9BD">
      <w:pPr>
        <w:keepNext w:val="0"/>
        <w:keepLines w:val="0"/>
        <w:pageBreakBefore w:val="0"/>
        <w:widowControl w:val="0"/>
        <w:kinsoku/>
        <w:wordWrap w:val="0"/>
        <w:overflowPunct w:val="0"/>
        <w:topLinePunct/>
        <w:autoSpaceDE/>
        <w:autoSpaceDN/>
        <w:bidi w:val="0"/>
        <w:adjustRightInd/>
        <w:snapToGrid/>
        <w:spacing w:line="520" w:lineRule="exact"/>
        <w:ind w:firstLine="480" w:firstLineChars="2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本公司对上述承诺声明内容和事项真实性负责。如经查实上述承诺声明的内容事项存在虚假或未履行，本单位愿意接受以提供虚假材料谋取中标追究法律责任。</w:t>
      </w:r>
    </w:p>
    <w:p w14:paraId="50C3EF93">
      <w:pPr>
        <w:pStyle w:val="684"/>
        <w:keepNext w:val="0"/>
        <w:keepLines w:val="0"/>
        <w:pageBreakBefore w:val="0"/>
        <w:widowControl w:val="0"/>
        <w:kinsoku/>
        <w:wordWrap w:val="0"/>
        <w:overflowPunct w:val="0"/>
        <w:topLinePunct/>
        <w:autoSpaceDE/>
        <w:autoSpaceDN/>
        <w:bidi w:val="0"/>
        <w:adjustRightInd/>
        <w:snapToGrid/>
        <w:ind w:left="0" w:leftChars="0" w:firstLine="0" w:firstLineChars="0"/>
        <w:rPr>
          <w:rFonts w:hint="eastAsia" w:ascii="仿宋" w:hAnsi="仿宋" w:eastAsia="仿宋" w:cs="仿宋"/>
          <w:color w:val="auto"/>
          <w:sz w:val="24"/>
          <w:szCs w:val="24"/>
          <w:highlight w:val="none"/>
          <w:lang w:eastAsia="zh-CN"/>
        </w:rPr>
      </w:pPr>
    </w:p>
    <w:p w14:paraId="584458C0">
      <w:pPr>
        <w:pStyle w:val="684"/>
        <w:keepNext w:val="0"/>
        <w:keepLines w:val="0"/>
        <w:pageBreakBefore w:val="0"/>
        <w:widowControl w:val="0"/>
        <w:kinsoku/>
        <w:wordWrap w:val="0"/>
        <w:overflowPunct w:val="0"/>
        <w:topLinePunct/>
        <w:autoSpaceDE/>
        <w:autoSpaceDN/>
        <w:bidi w:val="0"/>
        <w:adjustRightInd/>
        <w:snapToGrid/>
        <w:ind w:left="0" w:leftChars="0" w:firstLine="0" w:firstLineChars="0"/>
        <w:rPr>
          <w:rFonts w:hint="eastAsia" w:ascii="仿宋" w:hAnsi="仿宋" w:eastAsia="仿宋" w:cs="仿宋"/>
          <w:color w:val="auto"/>
          <w:sz w:val="24"/>
          <w:szCs w:val="24"/>
          <w:highlight w:val="none"/>
          <w:lang w:eastAsia="zh-CN"/>
        </w:rPr>
      </w:pPr>
    </w:p>
    <w:p w14:paraId="595F6BAC">
      <w:pPr>
        <w:pStyle w:val="684"/>
        <w:keepNext w:val="0"/>
        <w:keepLines w:val="0"/>
        <w:pageBreakBefore w:val="0"/>
        <w:widowControl w:val="0"/>
        <w:kinsoku/>
        <w:wordWrap w:val="0"/>
        <w:overflowPunct w:val="0"/>
        <w:topLinePunct/>
        <w:autoSpaceDE/>
        <w:autoSpaceDN/>
        <w:bidi w:val="0"/>
        <w:adjustRightInd/>
        <w:snapToGrid/>
        <w:ind w:left="0" w:leftChars="0" w:firstLine="0" w:firstLineChars="0"/>
        <w:rPr>
          <w:rFonts w:hint="eastAsia" w:ascii="仿宋" w:hAnsi="仿宋" w:eastAsia="仿宋" w:cs="仿宋"/>
          <w:color w:val="auto"/>
          <w:sz w:val="24"/>
          <w:szCs w:val="24"/>
          <w:highlight w:val="none"/>
          <w:lang w:eastAsia="zh-CN"/>
        </w:rPr>
      </w:pPr>
    </w:p>
    <w:p w14:paraId="7DCA4B27">
      <w:pPr>
        <w:pStyle w:val="684"/>
        <w:keepNext w:val="0"/>
        <w:keepLines w:val="0"/>
        <w:pageBreakBefore w:val="0"/>
        <w:widowControl w:val="0"/>
        <w:kinsoku/>
        <w:wordWrap w:val="0"/>
        <w:overflowPunct w:val="0"/>
        <w:topLinePunct/>
        <w:autoSpaceDE/>
        <w:autoSpaceDN/>
        <w:bidi w:val="0"/>
        <w:adjustRightInd/>
        <w:snapToGrid/>
        <w:rPr>
          <w:rFonts w:hint="eastAsia" w:ascii="仿宋" w:hAnsi="仿宋" w:eastAsia="仿宋" w:cs="仿宋"/>
          <w:color w:val="auto"/>
          <w:sz w:val="24"/>
          <w:szCs w:val="24"/>
          <w:highlight w:val="none"/>
          <w:lang w:eastAsia="zh-CN"/>
        </w:rPr>
      </w:pPr>
    </w:p>
    <w:p w14:paraId="6785CDE4">
      <w:pPr>
        <w:wordWrap w:val="0"/>
        <w:overflowPunct w:val="0"/>
        <w:topLinePunct/>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rPr>
        <w:t>（</w:t>
      </w:r>
      <w:r>
        <w:rPr>
          <w:rFonts w:hint="eastAsia" w:ascii="仿宋" w:hAnsi="仿宋" w:eastAsia="仿宋" w:cs="仿宋"/>
          <w:color w:val="auto"/>
          <w:sz w:val="24"/>
          <w:highlight w:val="none"/>
          <w:u w:val="none"/>
          <w:lang w:val="en-US" w:eastAsia="zh-CN"/>
        </w:rPr>
        <w:t>加盖电子</w:t>
      </w:r>
      <w:r>
        <w:rPr>
          <w:rFonts w:hint="eastAsia" w:ascii="仿宋" w:hAnsi="仿宋" w:eastAsia="仿宋" w:cs="仿宋"/>
          <w:color w:val="auto"/>
          <w:sz w:val="24"/>
          <w:highlight w:val="none"/>
        </w:rPr>
        <w:t>公章）</w:t>
      </w:r>
    </w:p>
    <w:p w14:paraId="30F7877F">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outlineLvl w:val="1"/>
        <w:rPr>
          <w:rFonts w:hint="eastAsia" w:ascii="仿宋" w:hAnsi="仿宋" w:eastAsia="仿宋" w:cs="仿宋"/>
          <w:color w:val="auto"/>
          <w:sz w:val="24"/>
          <w:szCs w:val="24"/>
          <w:highlight w:val="none"/>
          <w:lang w:eastAsia="zh-CN"/>
        </w:rPr>
      </w:pPr>
      <w:bookmarkStart w:id="2243" w:name="_Toc12108"/>
      <w:bookmarkStart w:id="2244" w:name="_Toc3602"/>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bookmarkEnd w:id="2243"/>
      <w:bookmarkEnd w:id="2244"/>
    </w:p>
    <w:p w14:paraId="080EF392">
      <w:pPr>
        <w:spacing w:line="360" w:lineRule="auto"/>
        <w:jc w:val="center"/>
        <w:rPr>
          <w:rFonts w:hint="eastAsia" w:ascii="仿宋" w:hAnsi="仿宋" w:eastAsia="仿宋" w:cs="仿宋"/>
          <w:b/>
          <w:bCs/>
          <w:color w:val="auto"/>
          <w:sz w:val="30"/>
          <w:szCs w:val="30"/>
          <w:highlight w:val="none"/>
          <w:lang w:eastAsia="zh-CN"/>
        </w:rPr>
      </w:pPr>
      <w:r>
        <w:rPr>
          <w:rFonts w:hint="eastAsia" w:ascii="仿宋" w:hAnsi="仿宋" w:eastAsia="仿宋" w:cs="仿宋"/>
          <w:color w:val="auto"/>
          <w:sz w:val="24"/>
          <w:szCs w:val="24"/>
          <w:highlight w:val="none"/>
          <w:lang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r>
        <w:rPr>
          <w:rFonts w:hint="eastAsia" w:ascii="仿宋" w:hAnsi="仿宋" w:eastAsia="仿宋" w:cs="仿宋"/>
          <w:color w:val="auto"/>
          <w:sz w:val="18"/>
          <w:szCs w:val="18"/>
          <w:highlight w:val="none"/>
          <w:lang w:eastAsia="zh-CN"/>
        </w:rPr>
        <w:br w:type="page"/>
      </w:r>
      <w:r>
        <w:rPr>
          <w:rStyle w:val="91"/>
          <w:rFonts w:hint="eastAsia" w:ascii="仿宋" w:hAnsi="仿宋" w:eastAsia="仿宋" w:cs="仿宋"/>
          <w:lang w:val="en-US" w:eastAsia="zh-CN"/>
        </w:rPr>
        <w:t>五、</w:t>
      </w:r>
      <w:r>
        <w:rPr>
          <w:rStyle w:val="91"/>
          <w:rFonts w:hint="eastAsia" w:ascii="仿宋" w:hAnsi="仿宋" w:eastAsia="仿宋" w:cs="仿宋"/>
          <w:lang w:eastAsia="zh-CN"/>
        </w:rPr>
        <w:t>投标</w:t>
      </w:r>
      <w:r>
        <w:rPr>
          <w:rStyle w:val="91"/>
          <w:rFonts w:hint="eastAsia" w:ascii="仿宋" w:hAnsi="仿宋" w:eastAsia="仿宋" w:cs="仿宋"/>
          <w:lang w:val="en-US" w:eastAsia="zh-CN"/>
        </w:rPr>
        <w:t>产品</w:t>
      </w:r>
      <w:r>
        <w:rPr>
          <w:rStyle w:val="91"/>
          <w:rFonts w:hint="eastAsia" w:ascii="仿宋" w:hAnsi="仿宋" w:eastAsia="仿宋" w:cs="仿宋"/>
          <w:lang w:eastAsia="zh-CN"/>
        </w:rPr>
        <w:t>质量</w:t>
      </w:r>
      <w:r>
        <w:rPr>
          <w:rStyle w:val="91"/>
          <w:rFonts w:hint="eastAsia" w:ascii="仿宋" w:hAnsi="仿宋" w:eastAsia="仿宋" w:cs="仿宋"/>
          <w:lang w:val="en-US" w:eastAsia="zh-CN"/>
        </w:rPr>
        <w:t>承诺书（实质性格式）</w:t>
      </w:r>
    </w:p>
    <w:p w14:paraId="234D83F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eastAsia="zh-CN"/>
        </w:rPr>
      </w:pPr>
    </w:p>
    <w:p w14:paraId="1CC6ADA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致：楚雄彝族自治州人民医院</w:t>
      </w:r>
    </w:p>
    <w:p w14:paraId="7351B066">
      <w:pPr>
        <w:keepNext w:val="0"/>
        <w:keepLines w:val="0"/>
        <w:pageBreakBefore w:val="0"/>
        <w:widowControl w:val="0"/>
        <w:kinsoku/>
        <w:wordWrap/>
        <w:overflowPunct/>
        <w:topLinePunct w:val="0"/>
        <w:autoSpaceDE/>
        <w:autoSpaceDN/>
        <w:bidi w:val="0"/>
        <w:adjustRightInd/>
        <w:snapToGrid/>
        <w:spacing w:line="360" w:lineRule="auto"/>
        <w:ind w:firstLine="510"/>
        <w:textAlignment w:val="auto"/>
        <w:rPr>
          <w:rFonts w:hint="eastAsia" w:ascii="仿宋" w:hAnsi="仿宋" w:eastAsia="仿宋" w:cs="仿宋"/>
          <w:color w:val="auto"/>
          <w:sz w:val="24"/>
          <w:szCs w:val="24"/>
          <w:highlight w:val="none"/>
          <w:lang w:eastAsia="zh-CN"/>
        </w:rPr>
      </w:pPr>
    </w:p>
    <w:p w14:paraId="07E658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我司[</w:t>
      </w:r>
      <w:r>
        <w:rPr>
          <w:rFonts w:hint="eastAsia" w:ascii="仿宋" w:hAnsi="仿宋" w:eastAsia="仿宋" w:cs="仿宋"/>
          <w:i/>
          <w:iCs/>
          <w:color w:val="auto"/>
          <w:sz w:val="24"/>
          <w:szCs w:val="24"/>
          <w:highlight w:val="none"/>
          <w:u w:val="single"/>
          <w:lang w:eastAsia="zh-CN"/>
        </w:rPr>
        <w:t>投标公司全称</w:t>
      </w:r>
      <w:r>
        <w:rPr>
          <w:rFonts w:hint="eastAsia" w:ascii="仿宋" w:hAnsi="仿宋" w:eastAsia="仿宋" w:cs="仿宋"/>
          <w:color w:val="auto"/>
          <w:sz w:val="24"/>
          <w:szCs w:val="24"/>
          <w:highlight w:val="none"/>
          <w:lang w:eastAsia="zh-CN"/>
        </w:rPr>
        <w:t>]，在此郑重承诺，对于本次[项目名称：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；项目编号：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]投标所提供的产品及服务，将严格遵守以下质量承诺：</w:t>
      </w:r>
    </w:p>
    <w:p w14:paraId="56E1A9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我司承诺所提供的所有产品均为全新、未使用过的，并符合国家相关质量标准及行业标准。</w:t>
      </w:r>
    </w:p>
    <w:p w14:paraId="6D9262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所有产品均附有正规生产厂家出具的质量合格证明或质量保证书，确保产品来源合法，质量可靠。</w:t>
      </w:r>
    </w:p>
    <w:p w14:paraId="74EB29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产品性能、规格、型号等完全符合招标文件及合同约定的技术要求，满足项目实际需求。</w:t>
      </w:r>
    </w:p>
    <w:p w14:paraId="375F26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提供[</w:t>
      </w:r>
      <w:r>
        <w:rPr>
          <w:rFonts w:hint="eastAsia" w:ascii="仿宋" w:hAnsi="仿宋" w:eastAsia="仿宋" w:cs="仿宋"/>
          <w:i/>
          <w:iCs/>
          <w:color w:val="auto"/>
          <w:sz w:val="24"/>
          <w:szCs w:val="24"/>
          <w:highlight w:val="none"/>
          <w:u w:val="single"/>
          <w:lang w:eastAsia="zh-CN"/>
        </w:rPr>
        <w:t>如：一年/两年/三年等</w:t>
      </w:r>
      <w:r>
        <w:rPr>
          <w:rFonts w:hint="eastAsia" w:ascii="仿宋" w:hAnsi="仿宋" w:eastAsia="仿宋" w:cs="仿宋"/>
          <w:color w:val="auto"/>
          <w:sz w:val="24"/>
          <w:szCs w:val="24"/>
          <w:highlight w:val="none"/>
          <w:lang w:eastAsia="zh-CN"/>
        </w:rPr>
        <w:t>]的免费质保期，质保期内因产品质量问题导致的故障，我司将免费维修或更换。</w:t>
      </w:r>
    </w:p>
    <w:p w14:paraId="5BF27C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设立专门的客户服务热线，确保在接到用户故障通知后[</w:t>
      </w:r>
      <w:r>
        <w:rPr>
          <w:rFonts w:hint="eastAsia" w:ascii="仿宋" w:hAnsi="仿宋" w:eastAsia="仿宋" w:cs="仿宋"/>
          <w:i/>
          <w:iCs/>
          <w:color w:val="auto"/>
          <w:sz w:val="24"/>
          <w:szCs w:val="24"/>
          <w:highlight w:val="none"/>
          <w:u w:val="single"/>
          <w:lang w:eastAsia="zh-CN"/>
        </w:rPr>
        <w:t>具体时间，如：24小时/48小时等</w:t>
      </w:r>
      <w:r>
        <w:rPr>
          <w:rFonts w:hint="eastAsia" w:ascii="仿宋" w:hAnsi="仿宋" w:eastAsia="仿宋" w:cs="仿宋"/>
          <w:color w:val="auto"/>
          <w:sz w:val="24"/>
          <w:szCs w:val="24"/>
          <w:highlight w:val="none"/>
          <w:lang w:eastAsia="zh-CN"/>
        </w:rPr>
        <w:t>]内响应，并尽快解决问题。</w:t>
      </w:r>
    </w:p>
    <w:p w14:paraId="5CB586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如因产品质量问题给招标单位或最终用户造成损失，我司将依法承担相应的赔偿责任。</w:t>
      </w:r>
    </w:p>
    <w:p w14:paraId="066F6A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对于违反本承诺书的行为，我司愿意接受招标单位依据相关法律法规及合同条款所采取的任何处罚措施。</w:t>
      </w:r>
    </w:p>
    <w:p w14:paraId="7E1BE3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本承诺书作为投标文件的组成部分，与投标文件具有同等法律效力。我司将秉承诚信、专业的原则，全力确保本次投标项目的顺利实施和产品的长期稳定运行。</w:t>
      </w:r>
    </w:p>
    <w:p w14:paraId="12CDDF69">
      <w:pPr>
        <w:keepNext w:val="0"/>
        <w:keepLines w:val="0"/>
        <w:pageBreakBefore w:val="0"/>
        <w:widowControl w:val="0"/>
        <w:kinsoku/>
        <w:wordWrap/>
        <w:overflowPunct/>
        <w:topLinePunct w:val="0"/>
        <w:autoSpaceDE/>
        <w:autoSpaceDN/>
        <w:bidi w:val="0"/>
        <w:adjustRightInd/>
        <w:snapToGrid/>
        <w:spacing w:line="360" w:lineRule="auto"/>
        <w:ind w:firstLine="510"/>
        <w:textAlignment w:val="auto"/>
        <w:rPr>
          <w:rFonts w:hint="eastAsia" w:ascii="仿宋" w:hAnsi="仿宋" w:eastAsia="仿宋" w:cs="仿宋"/>
          <w:color w:val="auto"/>
          <w:sz w:val="24"/>
          <w:szCs w:val="24"/>
          <w:highlight w:val="none"/>
          <w:lang w:eastAsia="zh-CN"/>
        </w:rPr>
      </w:pPr>
    </w:p>
    <w:p w14:paraId="40FC17AD">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7F161136">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2CE141F7">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718B5107">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5DAD4CA3">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4ADF6030">
      <w:pPr>
        <w:wordWrap w:val="0"/>
        <w:overflowPunct w:val="0"/>
        <w:topLinePunct/>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rPr>
        <w:t>（</w:t>
      </w:r>
      <w:r>
        <w:rPr>
          <w:rFonts w:hint="eastAsia" w:ascii="仿宋" w:hAnsi="仿宋" w:eastAsia="仿宋" w:cs="仿宋"/>
          <w:color w:val="auto"/>
          <w:sz w:val="24"/>
          <w:highlight w:val="none"/>
          <w:u w:val="none"/>
          <w:lang w:val="en-US" w:eastAsia="zh-CN"/>
        </w:rPr>
        <w:t>加盖电子</w:t>
      </w:r>
      <w:r>
        <w:rPr>
          <w:rFonts w:hint="eastAsia" w:ascii="仿宋" w:hAnsi="仿宋" w:eastAsia="仿宋" w:cs="仿宋"/>
          <w:color w:val="auto"/>
          <w:sz w:val="24"/>
          <w:highlight w:val="none"/>
        </w:rPr>
        <w:t>公章）</w:t>
      </w:r>
    </w:p>
    <w:p w14:paraId="67A6A00F">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6AE2BDEA">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sectPr>
          <w:pgSz w:w="11906" w:h="16838"/>
          <w:pgMar w:top="1134" w:right="1134" w:bottom="1134" w:left="1134" w:header="709" w:footer="907" w:gutter="0"/>
          <w:pgBorders>
            <w:top w:val="none" w:sz="0" w:space="0"/>
            <w:left w:val="none" w:sz="0" w:space="0"/>
            <w:bottom w:val="none" w:sz="0" w:space="0"/>
            <w:right w:val="none" w:sz="0" w:space="0"/>
          </w:pgBorders>
          <w:pgNumType w:fmt="decimal"/>
          <w:cols w:space="720" w:num="1"/>
          <w:titlePg/>
          <w:docGrid w:linePitch="299" w:charSpace="0"/>
        </w:sectPr>
      </w:pPr>
      <w:r>
        <w:rPr>
          <w:rFonts w:hint="eastAsia" w:ascii="仿宋" w:hAnsi="仿宋" w:eastAsia="仿宋" w:cs="仿宋"/>
          <w:color w:val="auto"/>
          <w:sz w:val="24"/>
          <w:szCs w:val="24"/>
          <w:highlight w:val="none"/>
          <w:lang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p>
    <w:p w14:paraId="41D51A3F">
      <w:pPr>
        <w:pStyle w:val="35"/>
        <w:keepNext w:val="0"/>
        <w:keepLines w:val="0"/>
        <w:pageBreakBefore w:val="0"/>
        <w:widowControl w:val="0"/>
        <w:kinsoku/>
        <w:wordWrap w:val="0"/>
        <w:overflowPunct w:val="0"/>
        <w:topLinePunct/>
        <w:autoSpaceDE/>
        <w:autoSpaceDN/>
        <w:bidi w:val="0"/>
        <w:adjustRightInd/>
        <w:snapToGrid/>
        <w:spacing w:line="360" w:lineRule="auto"/>
        <w:jc w:val="center"/>
        <w:outlineLvl w:val="1"/>
        <w:rPr>
          <w:rFonts w:hint="eastAsia" w:ascii="仿宋" w:hAnsi="仿宋" w:eastAsia="仿宋" w:cs="仿宋"/>
          <w:b/>
          <w:color w:val="auto"/>
          <w:sz w:val="28"/>
          <w:szCs w:val="28"/>
          <w:highlight w:val="none"/>
        </w:rPr>
      </w:pPr>
      <w:bookmarkStart w:id="2245" w:name="_Toc15624"/>
      <w:bookmarkStart w:id="2246" w:name="_Toc20352"/>
      <w:bookmarkStart w:id="2247" w:name="_Toc28635"/>
      <w:bookmarkStart w:id="2248" w:name="_Toc23198"/>
      <w:r>
        <w:rPr>
          <w:rStyle w:val="685"/>
          <w:rFonts w:hint="eastAsia" w:ascii="仿宋" w:hAnsi="仿宋" w:eastAsia="仿宋" w:cs="仿宋"/>
          <w:color w:val="auto"/>
          <w:sz w:val="32"/>
          <w:szCs w:val="32"/>
          <w:highlight w:val="none"/>
          <w:lang w:val="en-US"/>
        </w:rPr>
        <w:t>六、</w:t>
      </w:r>
      <w:r>
        <w:rPr>
          <w:rStyle w:val="685"/>
          <w:rFonts w:hint="eastAsia" w:ascii="仿宋" w:hAnsi="仿宋" w:eastAsia="仿宋" w:cs="仿宋"/>
          <w:color w:val="auto"/>
          <w:sz w:val="32"/>
          <w:szCs w:val="32"/>
          <w:highlight w:val="none"/>
        </w:rPr>
        <w:t>商务响应偏离表</w:t>
      </w:r>
      <w:r>
        <w:rPr>
          <w:rStyle w:val="685"/>
          <w:rFonts w:hint="eastAsia" w:ascii="仿宋" w:hAnsi="仿宋" w:eastAsia="仿宋" w:cs="仿宋"/>
          <w:color w:val="auto"/>
          <w:sz w:val="32"/>
          <w:szCs w:val="32"/>
          <w:highlight w:val="none"/>
          <w:lang w:val="en-US" w:eastAsia="zh-CN"/>
        </w:rPr>
        <w:t>（实质性格式）</w:t>
      </w:r>
      <w:bookmarkEnd w:id="2245"/>
      <w:bookmarkEnd w:id="2246"/>
      <w:bookmarkEnd w:id="2247"/>
      <w:bookmarkEnd w:id="2248"/>
    </w:p>
    <w:p w14:paraId="29DE0195">
      <w:pPr>
        <w:keepNext w:val="0"/>
        <w:keepLines w:val="0"/>
        <w:pageBreakBefore w:val="0"/>
        <w:widowControl w:val="0"/>
        <w:kinsoku/>
        <w:wordWrap/>
        <w:overflowPunct w:val="0"/>
        <w:topLinePunct/>
        <w:autoSpaceDE/>
        <w:autoSpaceDN/>
        <w:bidi w:val="0"/>
        <w:adjustRightInd/>
        <w:snapToGrid/>
        <w:ind w:left="-92" w:leftChars="-42"/>
        <w:jc w:val="left"/>
        <w:rPr>
          <w:rFonts w:hint="eastAsia" w:ascii="仿宋" w:hAnsi="仿宋" w:eastAsia="仿宋" w:cs="仿宋"/>
          <w:color w:val="auto"/>
          <w:kern w:val="0"/>
          <w:sz w:val="24"/>
          <w:szCs w:val="24"/>
          <w:highlight w:val="none"/>
          <w:u w:val="single"/>
          <w:lang w:val="en-US" w:eastAsia="zh-CN"/>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p>
    <w:p w14:paraId="2BED6546">
      <w:pPr>
        <w:keepNext w:val="0"/>
        <w:keepLines w:val="0"/>
        <w:pageBreakBefore w:val="0"/>
        <w:widowControl w:val="0"/>
        <w:kinsoku/>
        <w:wordWrap w:val="0"/>
        <w:overflowPunct w:val="0"/>
        <w:topLinePunct/>
        <w:autoSpaceDE/>
        <w:autoSpaceDN/>
        <w:bidi w:val="0"/>
        <w:adjustRightInd/>
        <w:snapToGrid/>
        <w:ind w:left="-92" w:leftChars="-4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项目编号：</w:t>
      </w:r>
      <w:r>
        <w:rPr>
          <w:rFonts w:hint="eastAsia" w:ascii="仿宋" w:hAnsi="仿宋" w:eastAsia="仿宋" w:cs="仿宋"/>
          <w:color w:val="auto"/>
          <w:sz w:val="24"/>
          <w:szCs w:val="24"/>
          <w:highlight w:val="none"/>
          <w:u w:val="single"/>
          <w:lang w:val="en-US" w:eastAsia="zh-CN"/>
        </w:rPr>
        <w:t xml:space="preserve">                             </w:t>
      </w:r>
    </w:p>
    <w:p w14:paraId="11460063">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参加</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应逐条对应</w:t>
      </w:r>
      <w:r>
        <w:rPr>
          <w:rFonts w:hint="eastAsia" w:ascii="仿宋" w:hAnsi="仿宋" w:eastAsia="仿宋" w:cs="仿宋"/>
          <w:color w:val="auto"/>
          <w:sz w:val="24"/>
          <w:szCs w:val="24"/>
          <w:highlight w:val="none"/>
          <w:lang w:eastAsia="zh-CN"/>
        </w:rPr>
        <w:t>采购文件</w:t>
      </w:r>
      <w:r>
        <w:rPr>
          <w:rFonts w:hint="eastAsia" w:ascii="仿宋" w:hAnsi="仿宋" w:eastAsia="仿宋" w:cs="仿宋"/>
          <w:b/>
          <w:bCs/>
          <w:color w:val="auto"/>
          <w:sz w:val="24"/>
          <w:szCs w:val="24"/>
          <w:highlight w:val="none"/>
          <w:lang w:eastAsia="zh-CN"/>
        </w:rPr>
        <w:t>“第四章 采购需求及要求”</w:t>
      </w:r>
      <w:r>
        <w:rPr>
          <w:rFonts w:hint="eastAsia" w:ascii="仿宋" w:hAnsi="仿宋" w:eastAsia="仿宋" w:cs="仿宋"/>
          <w:color w:val="auto"/>
          <w:sz w:val="24"/>
          <w:szCs w:val="24"/>
          <w:highlight w:val="none"/>
        </w:rPr>
        <w:t>及</w:t>
      </w:r>
      <w:r>
        <w:rPr>
          <w:rFonts w:hint="eastAsia" w:ascii="仿宋" w:hAnsi="仿宋" w:eastAsia="仿宋" w:cs="仿宋"/>
          <w:b/>
          <w:bCs/>
          <w:color w:val="auto"/>
          <w:sz w:val="24"/>
          <w:szCs w:val="24"/>
          <w:highlight w:val="none"/>
          <w:lang w:eastAsia="zh-CN"/>
        </w:rPr>
        <w:t>“第</w:t>
      </w:r>
      <w:r>
        <w:rPr>
          <w:rFonts w:hint="eastAsia" w:ascii="仿宋" w:hAnsi="仿宋" w:eastAsia="仿宋" w:cs="仿宋"/>
          <w:b/>
          <w:bCs/>
          <w:color w:val="auto"/>
          <w:sz w:val="24"/>
          <w:szCs w:val="24"/>
          <w:highlight w:val="none"/>
          <w:lang w:val="en-US" w:eastAsia="zh-CN"/>
        </w:rPr>
        <w:t>五</w:t>
      </w:r>
      <w:r>
        <w:rPr>
          <w:rFonts w:hint="eastAsia" w:ascii="仿宋" w:hAnsi="仿宋" w:eastAsia="仿宋" w:cs="仿宋"/>
          <w:b/>
          <w:bCs/>
          <w:color w:val="auto"/>
          <w:sz w:val="24"/>
          <w:szCs w:val="24"/>
          <w:highlight w:val="none"/>
          <w:lang w:eastAsia="zh-CN"/>
        </w:rPr>
        <w:t>章</w:t>
      </w:r>
      <w:r>
        <w:rPr>
          <w:rFonts w:hint="eastAsia" w:ascii="仿宋" w:hAnsi="仿宋" w:eastAsia="仿宋" w:cs="仿宋"/>
          <w:b/>
          <w:bCs/>
          <w:color w:val="auto"/>
          <w:sz w:val="24"/>
          <w:szCs w:val="24"/>
          <w:highlight w:val="none"/>
          <w:lang w:val="en-US" w:eastAsia="zh-CN"/>
        </w:rPr>
        <w:t xml:space="preserve"> 合同条款及格式</w:t>
      </w:r>
      <w:r>
        <w:rPr>
          <w:rFonts w:hint="eastAsia" w:ascii="仿宋" w:hAnsi="仿宋" w:eastAsia="仿宋" w:cs="仿宋"/>
          <w:b/>
          <w:bCs/>
          <w:color w:val="auto"/>
          <w:sz w:val="24"/>
          <w:szCs w:val="24"/>
          <w:highlight w:val="none"/>
          <w:lang w:eastAsia="zh-CN"/>
        </w:rPr>
        <w:t>”</w:t>
      </w:r>
      <w:r>
        <w:rPr>
          <w:rFonts w:hint="eastAsia" w:ascii="仿宋" w:hAnsi="仿宋" w:eastAsia="仿宋" w:cs="仿宋"/>
          <w:color w:val="auto"/>
          <w:sz w:val="24"/>
          <w:szCs w:val="24"/>
          <w:highlight w:val="none"/>
        </w:rPr>
        <w:t>中要求的服务内容根据实际情况如实填写本表格。</w:t>
      </w:r>
    </w:p>
    <w:p w14:paraId="11A79976">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□我公司已详细阅读</w:t>
      </w:r>
      <w:r>
        <w:rPr>
          <w:rFonts w:hint="eastAsia" w:ascii="仿宋" w:hAnsi="仿宋" w:eastAsia="仿宋" w:cs="仿宋"/>
          <w:color w:val="auto"/>
          <w:sz w:val="24"/>
          <w:szCs w:val="24"/>
          <w:highlight w:val="none"/>
          <w:lang w:eastAsia="zh-CN"/>
        </w:rPr>
        <w:t>采购文件</w:t>
      </w:r>
      <w:r>
        <w:rPr>
          <w:rFonts w:hint="eastAsia" w:ascii="仿宋" w:hAnsi="仿宋" w:eastAsia="仿宋" w:cs="仿宋"/>
          <w:color w:val="auto"/>
          <w:sz w:val="24"/>
          <w:szCs w:val="24"/>
          <w:highlight w:val="none"/>
        </w:rPr>
        <w:t>中服务内容要求及主要合同条款，所有服务内容要求及主要合同条款均无偏离，成交后我公司将严格遵照执行。</w:t>
      </w:r>
    </w:p>
    <w:p w14:paraId="5B4DE054">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B</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□我公司已详细阅读</w:t>
      </w:r>
      <w:r>
        <w:rPr>
          <w:rFonts w:hint="eastAsia" w:ascii="仿宋" w:hAnsi="仿宋" w:eastAsia="仿宋" w:cs="仿宋"/>
          <w:color w:val="auto"/>
          <w:sz w:val="24"/>
          <w:szCs w:val="24"/>
          <w:highlight w:val="none"/>
          <w:lang w:eastAsia="zh-CN"/>
        </w:rPr>
        <w:t>采购文件</w:t>
      </w:r>
      <w:r>
        <w:rPr>
          <w:rFonts w:hint="eastAsia" w:ascii="仿宋" w:hAnsi="仿宋" w:eastAsia="仿宋" w:cs="仿宋"/>
          <w:color w:val="auto"/>
          <w:sz w:val="24"/>
          <w:szCs w:val="24"/>
          <w:highlight w:val="none"/>
        </w:rPr>
        <w:t>中服务内容要求及主要合同条款，除下述条款有偏离外，其余条款我公司均予以认可，成交后将严格遵照执行。</w:t>
      </w:r>
    </w:p>
    <w:tbl>
      <w:tblPr>
        <w:tblStyle w:val="67"/>
        <w:tblW w:w="9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3875"/>
        <w:gridCol w:w="3336"/>
        <w:gridCol w:w="1365"/>
      </w:tblGrid>
      <w:tr w14:paraId="70D98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3" w:hRule="atLeast"/>
          <w:jc w:val="center"/>
        </w:trPr>
        <w:tc>
          <w:tcPr>
            <w:tcW w:w="820" w:type="dxa"/>
            <w:vAlign w:val="center"/>
          </w:tcPr>
          <w:p w14:paraId="2778A09B">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3875" w:type="dxa"/>
            <w:vAlign w:val="center"/>
          </w:tcPr>
          <w:p w14:paraId="2D48DD03">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采购文件</w:t>
            </w:r>
            <w:r>
              <w:rPr>
                <w:rFonts w:hint="eastAsia" w:ascii="仿宋" w:hAnsi="仿宋" w:eastAsia="仿宋" w:cs="仿宋"/>
                <w:color w:val="auto"/>
                <w:sz w:val="24"/>
                <w:szCs w:val="24"/>
                <w:highlight w:val="none"/>
              </w:rPr>
              <w:t>的服务内容条款要求</w:t>
            </w:r>
          </w:p>
        </w:tc>
        <w:tc>
          <w:tcPr>
            <w:tcW w:w="3336" w:type="dxa"/>
            <w:vAlign w:val="center"/>
          </w:tcPr>
          <w:p w14:paraId="23FDFE59">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响应文件</w:t>
            </w:r>
            <w:r>
              <w:rPr>
                <w:rFonts w:hint="eastAsia" w:ascii="仿宋" w:hAnsi="仿宋" w:eastAsia="仿宋" w:cs="仿宋"/>
                <w:color w:val="auto"/>
                <w:sz w:val="24"/>
                <w:szCs w:val="24"/>
                <w:highlight w:val="none"/>
              </w:rPr>
              <w:t>的服务内容条款</w:t>
            </w:r>
          </w:p>
        </w:tc>
        <w:tc>
          <w:tcPr>
            <w:tcW w:w="1365" w:type="dxa"/>
            <w:vAlign w:val="center"/>
          </w:tcPr>
          <w:p w14:paraId="4B9655E9">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偏离说明</w:t>
            </w:r>
          </w:p>
        </w:tc>
      </w:tr>
      <w:tr w14:paraId="02F37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5" w:hRule="atLeast"/>
          <w:jc w:val="center"/>
        </w:trPr>
        <w:tc>
          <w:tcPr>
            <w:tcW w:w="820" w:type="dxa"/>
            <w:vAlign w:val="center"/>
          </w:tcPr>
          <w:p w14:paraId="75F23884">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color w:val="auto"/>
                <w:sz w:val="24"/>
                <w:szCs w:val="24"/>
                <w:highlight w:val="none"/>
              </w:rPr>
            </w:pPr>
          </w:p>
        </w:tc>
        <w:tc>
          <w:tcPr>
            <w:tcW w:w="3875" w:type="dxa"/>
            <w:vAlign w:val="center"/>
          </w:tcPr>
          <w:p w14:paraId="622CC9E5">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color w:val="auto"/>
                <w:sz w:val="24"/>
                <w:szCs w:val="24"/>
                <w:highlight w:val="none"/>
              </w:rPr>
            </w:pPr>
          </w:p>
        </w:tc>
        <w:tc>
          <w:tcPr>
            <w:tcW w:w="3336" w:type="dxa"/>
            <w:vAlign w:val="center"/>
          </w:tcPr>
          <w:p w14:paraId="1CC7AD9B">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color w:val="auto"/>
                <w:sz w:val="24"/>
                <w:szCs w:val="24"/>
                <w:highlight w:val="none"/>
              </w:rPr>
            </w:pPr>
          </w:p>
        </w:tc>
        <w:tc>
          <w:tcPr>
            <w:tcW w:w="1365" w:type="dxa"/>
            <w:vAlign w:val="center"/>
          </w:tcPr>
          <w:p w14:paraId="2CA129EE">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color w:val="auto"/>
                <w:sz w:val="24"/>
                <w:szCs w:val="24"/>
                <w:highlight w:val="none"/>
              </w:rPr>
            </w:pPr>
          </w:p>
        </w:tc>
      </w:tr>
      <w:tr w14:paraId="1EFE2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5" w:hRule="atLeast"/>
          <w:jc w:val="center"/>
        </w:trPr>
        <w:tc>
          <w:tcPr>
            <w:tcW w:w="820" w:type="dxa"/>
            <w:vAlign w:val="center"/>
          </w:tcPr>
          <w:p w14:paraId="70E3874C">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color w:val="auto"/>
                <w:sz w:val="24"/>
                <w:szCs w:val="24"/>
                <w:highlight w:val="none"/>
              </w:rPr>
            </w:pPr>
          </w:p>
        </w:tc>
        <w:tc>
          <w:tcPr>
            <w:tcW w:w="3875" w:type="dxa"/>
            <w:vAlign w:val="center"/>
          </w:tcPr>
          <w:p w14:paraId="38BFCB19">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color w:val="auto"/>
                <w:sz w:val="24"/>
                <w:szCs w:val="24"/>
                <w:highlight w:val="none"/>
              </w:rPr>
            </w:pPr>
          </w:p>
        </w:tc>
        <w:tc>
          <w:tcPr>
            <w:tcW w:w="3336" w:type="dxa"/>
            <w:vAlign w:val="center"/>
          </w:tcPr>
          <w:p w14:paraId="2A81E7AD">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color w:val="auto"/>
                <w:sz w:val="24"/>
                <w:szCs w:val="24"/>
                <w:highlight w:val="none"/>
              </w:rPr>
            </w:pPr>
          </w:p>
        </w:tc>
        <w:tc>
          <w:tcPr>
            <w:tcW w:w="1365" w:type="dxa"/>
            <w:vAlign w:val="center"/>
          </w:tcPr>
          <w:p w14:paraId="1C73EABE">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color w:val="auto"/>
                <w:sz w:val="24"/>
                <w:szCs w:val="24"/>
                <w:highlight w:val="none"/>
              </w:rPr>
            </w:pPr>
          </w:p>
        </w:tc>
      </w:tr>
      <w:tr w14:paraId="6BC33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5" w:hRule="atLeast"/>
          <w:jc w:val="center"/>
        </w:trPr>
        <w:tc>
          <w:tcPr>
            <w:tcW w:w="820" w:type="dxa"/>
            <w:vAlign w:val="center"/>
          </w:tcPr>
          <w:p w14:paraId="21C5CF18">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color w:val="auto"/>
                <w:sz w:val="24"/>
                <w:szCs w:val="24"/>
                <w:highlight w:val="none"/>
              </w:rPr>
            </w:pPr>
          </w:p>
        </w:tc>
        <w:tc>
          <w:tcPr>
            <w:tcW w:w="3875" w:type="dxa"/>
            <w:vAlign w:val="center"/>
          </w:tcPr>
          <w:p w14:paraId="47E45069">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color w:val="auto"/>
                <w:sz w:val="24"/>
                <w:szCs w:val="24"/>
                <w:highlight w:val="none"/>
              </w:rPr>
            </w:pPr>
          </w:p>
        </w:tc>
        <w:tc>
          <w:tcPr>
            <w:tcW w:w="3336" w:type="dxa"/>
            <w:vAlign w:val="center"/>
          </w:tcPr>
          <w:p w14:paraId="4465FDEF">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color w:val="auto"/>
                <w:sz w:val="24"/>
                <w:szCs w:val="24"/>
                <w:highlight w:val="none"/>
              </w:rPr>
            </w:pPr>
          </w:p>
        </w:tc>
        <w:tc>
          <w:tcPr>
            <w:tcW w:w="1365" w:type="dxa"/>
            <w:vAlign w:val="center"/>
          </w:tcPr>
          <w:p w14:paraId="58E16F2D">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color w:val="auto"/>
                <w:sz w:val="24"/>
                <w:szCs w:val="24"/>
                <w:highlight w:val="none"/>
              </w:rPr>
            </w:pPr>
          </w:p>
        </w:tc>
      </w:tr>
      <w:tr w14:paraId="129D9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6" w:hRule="atLeast"/>
          <w:jc w:val="center"/>
        </w:trPr>
        <w:tc>
          <w:tcPr>
            <w:tcW w:w="820" w:type="dxa"/>
            <w:vAlign w:val="center"/>
          </w:tcPr>
          <w:p w14:paraId="25E0FADA">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color w:val="auto"/>
                <w:sz w:val="24"/>
                <w:szCs w:val="24"/>
                <w:highlight w:val="none"/>
              </w:rPr>
            </w:pPr>
          </w:p>
        </w:tc>
        <w:tc>
          <w:tcPr>
            <w:tcW w:w="3875" w:type="dxa"/>
            <w:vAlign w:val="center"/>
          </w:tcPr>
          <w:p w14:paraId="1742896C">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color w:val="auto"/>
                <w:sz w:val="24"/>
                <w:szCs w:val="24"/>
                <w:highlight w:val="none"/>
              </w:rPr>
            </w:pPr>
          </w:p>
        </w:tc>
        <w:tc>
          <w:tcPr>
            <w:tcW w:w="3336" w:type="dxa"/>
            <w:vAlign w:val="center"/>
          </w:tcPr>
          <w:p w14:paraId="125E0948">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color w:val="auto"/>
                <w:sz w:val="24"/>
                <w:szCs w:val="24"/>
                <w:highlight w:val="none"/>
              </w:rPr>
            </w:pPr>
          </w:p>
        </w:tc>
        <w:tc>
          <w:tcPr>
            <w:tcW w:w="1365" w:type="dxa"/>
            <w:vAlign w:val="center"/>
          </w:tcPr>
          <w:p w14:paraId="078E8397">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color w:val="auto"/>
                <w:sz w:val="24"/>
                <w:szCs w:val="24"/>
                <w:highlight w:val="none"/>
              </w:rPr>
            </w:pPr>
          </w:p>
        </w:tc>
      </w:tr>
    </w:tbl>
    <w:p w14:paraId="324F5083">
      <w:pPr>
        <w:keepNext w:val="0"/>
        <w:keepLines w:val="0"/>
        <w:pageBreakBefore w:val="0"/>
        <w:widowControl w:val="0"/>
        <w:kinsoku/>
        <w:wordWrap w:val="0"/>
        <w:overflowPunct w:val="0"/>
        <w:topLinePunct/>
        <w:autoSpaceDE/>
        <w:autoSpaceDN/>
        <w:bidi w:val="0"/>
        <w:adjustRightInd/>
        <w:snapToGrid/>
        <w:spacing w:before="50" w:line="360" w:lineRule="auto"/>
        <w:rPr>
          <w:rFonts w:hint="eastAsia" w:ascii="仿宋" w:hAnsi="仿宋" w:eastAsia="仿宋" w:cs="仿宋"/>
          <w:color w:val="auto"/>
          <w:szCs w:val="21"/>
          <w:highlight w:val="none"/>
        </w:rPr>
      </w:pPr>
      <w:r>
        <w:rPr>
          <w:rFonts w:hint="eastAsia" w:ascii="仿宋" w:hAnsi="仿宋" w:eastAsia="仿宋" w:cs="仿宋"/>
          <w:b/>
          <w:bCs/>
          <w:color w:val="auto"/>
          <w:sz w:val="21"/>
          <w:szCs w:val="21"/>
          <w:highlight w:val="none"/>
        </w:rPr>
        <w:t>表格填写说明：</w:t>
      </w:r>
      <w:r>
        <w:rPr>
          <w:rFonts w:hint="eastAsia" w:ascii="仿宋" w:hAnsi="仿宋" w:eastAsia="仿宋" w:cs="仿宋"/>
          <w:b/>
          <w:bCs/>
          <w:color w:val="auto"/>
          <w:sz w:val="21"/>
          <w:szCs w:val="21"/>
          <w:highlight w:val="none"/>
          <w:lang w:eastAsia="zh-CN"/>
        </w:rPr>
        <w:t>投标人</w:t>
      </w:r>
      <w:r>
        <w:rPr>
          <w:rFonts w:hint="eastAsia" w:ascii="仿宋" w:hAnsi="仿宋" w:eastAsia="仿宋" w:cs="仿宋"/>
          <w:b/>
          <w:bCs/>
          <w:color w:val="auto"/>
          <w:sz w:val="21"/>
          <w:szCs w:val="21"/>
          <w:highlight w:val="none"/>
        </w:rPr>
        <w:t>根据实际情况，填写本表格，若无偏离，则勾选A项，签字盖章即可。若有偏离，则勾选B项，按表格要求及实际情况填写后，签字盖章</w:t>
      </w:r>
      <w:r>
        <w:rPr>
          <w:rFonts w:hint="eastAsia" w:ascii="仿宋" w:hAnsi="仿宋" w:eastAsia="仿宋" w:cs="仿宋"/>
          <w:b/>
          <w:bCs/>
          <w:color w:val="auto"/>
          <w:sz w:val="21"/>
          <w:szCs w:val="21"/>
          <w:highlight w:val="none"/>
          <w:lang w:eastAsia="zh-CN"/>
        </w:rPr>
        <w:t>。</w:t>
      </w:r>
      <w:r>
        <w:rPr>
          <w:rFonts w:hint="eastAsia" w:ascii="仿宋" w:hAnsi="仿宋" w:eastAsia="仿宋" w:cs="仿宋"/>
          <w:color w:val="auto"/>
          <w:szCs w:val="21"/>
          <w:highlight w:val="none"/>
        </w:rPr>
        <w:t xml:space="preserve"> </w:t>
      </w:r>
    </w:p>
    <w:p w14:paraId="5B74F072">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471E6A6A">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478F55CF">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3BA6A886">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31E01FDD">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both"/>
        <w:textAlignment w:val="auto"/>
        <w:rPr>
          <w:rFonts w:hint="eastAsia" w:ascii="仿宋" w:hAnsi="仿宋" w:eastAsia="仿宋" w:cs="仿宋"/>
          <w:color w:val="auto"/>
          <w:spacing w:val="-1"/>
          <w:sz w:val="24"/>
          <w:szCs w:val="24"/>
          <w:highlight w:val="none"/>
        </w:rPr>
      </w:pPr>
    </w:p>
    <w:p w14:paraId="6E6A2893">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4CC8E8E4">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1B2E2DCC">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1B6F4678">
      <w:pPr>
        <w:wordWrap w:val="0"/>
        <w:overflowPunct w:val="0"/>
        <w:topLinePunct/>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rPr>
        <w:t>（</w:t>
      </w:r>
      <w:r>
        <w:rPr>
          <w:rFonts w:hint="eastAsia" w:ascii="仿宋" w:hAnsi="仿宋" w:eastAsia="仿宋" w:cs="仿宋"/>
          <w:color w:val="auto"/>
          <w:sz w:val="24"/>
          <w:highlight w:val="none"/>
          <w:u w:val="none"/>
          <w:lang w:val="en-US" w:eastAsia="zh-CN"/>
        </w:rPr>
        <w:t>加盖电子</w:t>
      </w:r>
      <w:r>
        <w:rPr>
          <w:rFonts w:hint="eastAsia" w:ascii="仿宋" w:hAnsi="仿宋" w:eastAsia="仿宋" w:cs="仿宋"/>
          <w:color w:val="auto"/>
          <w:sz w:val="24"/>
          <w:highlight w:val="none"/>
        </w:rPr>
        <w:t>公章）</w:t>
      </w:r>
    </w:p>
    <w:p w14:paraId="21EF8A0A">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outlineLvl w:val="2"/>
        <w:rPr>
          <w:rFonts w:hint="eastAsia" w:ascii="仿宋" w:hAnsi="仿宋" w:eastAsia="仿宋" w:cs="仿宋"/>
          <w:color w:val="auto"/>
          <w:sz w:val="24"/>
          <w:szCs w:val="24"/>
          <w:highlight w:val="none"/>
          <w:u w:val="none"/>
          <w:lang w:val="en-US"/>
        </w:rPr>
      </w:pPr>
      <w:bookmarkStart w:id="2249" w:name="_Toc12028"/>
      <w:bookmarkStart w:id="2250" w:name="_Toc7170"/>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bookmarkEnd w:id="2249"/>
      <w:bookmarkEnd w:id="2250"/>
    </w:p>
    <w:p w14:paraId="4FB3D092">
      <w:pPr>
        <w:keepNext w:val="0"/>
        <w:keepLines w:val="0"/>
        <w:pageBreakBefore w:val="0"/>
        <w:widowControl w:val="0"/>
        <w:numPr>
          <w:ilvl w:val="0"/>
          <w:numId w:val="0"/>
        </w:numPr>
        <w:kinsoku/>
        <w:wordWrap w:val="0"/>
        <w:overflowPunct w:val="0"/>
        <w:topLinePunct/>
        <w:autoSpaceDE/>
        <w:autoSpaceDN/>
        <w:bidi w:val="0"/>
        <w:adjustRightInd/>
        <w:snapToGrid/>
        <w:ind w:right="0" w:rightChars="0"/>
        <w:jc w:val="center"/>
        <w:outlineLvl w:val="1"/>
        <w:rPr>
          <w:rFonts w:hint="eastAsia" w:ascii="仿宋" w:hAnsi="仿宋" w:eastAsia="仿宋" w:cs="仿宋"/>
          <w:b/>
          <w:bCs/>
          <w:color w:val="auto"/>
          <w:sz w:val="32"/>
          <w:szCs w:val="32"/>
          <w:highlight w:val="none"/>
          <w:lang w:val="en-US" w:eastAsia="zh-CN"/>
        </w:rPr>
        <w:sectPr>
          <w:pgSz w:w="11906" w:h="16838"/>
          <w:pgMar w:top="1134" w:right="1134" w:bottom="1134" w:left="1134" w:header="851" w:footer="992" w:gutter="0"/>
          <w:pgBorders>
            <w:top w:val="none" w:sz="0" w:space="0"/>
            <w:left w:val="none" w:sz="0" w:space="0"/>
            <w:bottom w:val="none" w:sz="0" w:space="0"/>
            <w:right w:val="none" w:sz="0" w:space="0"/>
          </w:pgBorders>
          <w:pgNumType w:fmt="decimal"/>
          <w:cols w:space="720" w:num="1"/>
          <w:docGrid w:type="lines" w:linePitch="312" w:charSpace="0"/>
        </w:sectPr>
      </w:pPr>
      <w:bookmarkStart w:id="2251" w:name="_Toc3791"/>
      <w:bookmarkStart w:id="2252" w:name="_Toc8104"/>
      <w:bookmarkStart w:id="2253" w:name="_Toc6482"/>
      <w:bookmarkStart w:id="2254" w:name="_Toc32622"/>
      <w:bookmarkStart w:id="2255" w:name="_Toc297"/>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bookmarkEnd w:id="2251"/>
      <w:bookmarkEnd w:id="2252"/>
      <w:bookmarkEnd w:id="2253"/>
      <w:bookmarkEnd w:id="2254"/>
      <w:bookmarkEnd w:id="2255"/>
    </w:p>
    <w:p w14:paraId="39CC5DED">
      <w:pPr>
        <w:keepNext w:val="0"/>
        <w:keepLines w:val="0"/>
        <w:pageBreakBefore w:val="0"/>
        <w:widowControl w:val="0"/>
        <w:kinsoku/>
        <w:wordWrap/>
        <w:overflowPunct/>
        <w:topLinePunct/>
        <w:autoSpaceDE w:val="0"/>
        <w:autoSpaceDN/>
        <w:bidi w:val="0"/>
        <w:adjustRightInd/>
        <w:snapToGrid/>
        <w:spacing w:line="360" w:lineRule="auto"/>
        <w:jc w:val="center"/>
        <w:textAlignment w:val="baseline"/>
        <w:outlineLvl w:val="1"/>
        <w:rPr>
          <w:rFonts w:hint="eastAsia" w:ascii="仿宋" w:hAnsi="仿宋" w:eastAsia="仿宋" w:cs="仿宋"/>
          <w:color w:val="auto"/>
          <w:sz w:val="24"/>
          <w:szCs w:val="24"/>
          <w:highlight w:val="none"/>
          <w:lang w:eastAsia="zh-CN"/>
        </w:rPr>
      </w:pPr>
      <w:bookmarkStart w:id="2256" w:name="_Toc23768"/>
      <w:bookmarkStart w:id="2257" w:name="_Toc18038"/>
      <w:bookmarkStart w:id="2258" w:name="_Toc25828"/>
      <w:bookmarkStart w:id="2259" w:name="_Toc12254"/>
      <w:r>
        <w:rPr>
          <w:rFonts w:hint="eastAsia" w:ascii="仿宋" w:hAnsi="仿宋" w:eastAsia="仿宋" w:cs="仿宋"/>
          <w:b/>
          <w:bCs/>
          <w:color w:val="auto"/>
          <w:sz w:val="32"/>
          <w:szCs w:val="32"/>
          <w:highlight w:val="none"/>
          <w:lang w:val="en-US" w:eastAsia="zh-CN"/>
        </w:rPr>
        <w:t>七</w:t>
      </w:r>
      <w:r>
        <w:rPr>
          <w:rFonts w:hint="eastAsia" w:ascii="仿宋" w:hAnsi="仿宋" w:eastAsia="仿宋" w:cs="仿宋"/>
          <w:b/>
          <w:bCs/>
          <w:color w:val="auto"/>
          <w:sz w:val="32"/>
          <w:szCs w:val="32"/>
          <w:highlight w:val="none"/>
          <w:lang w:eastAsia="zh-CN"/>
        </w:rPr>
        <w:t>、</w:t>
      </w:r>
      <w:r>
        <w:rPr>
          <w:rFonts w:hint="eastAsia" w:ascii="仿宋" w:hAnsi="仿宋" w:eastAsia="仿宋" w:cs="仿宋"/>
          <w:b/>
          <w:bCs/>
          <w:color w:val="auto"/>
          <w:sz w:val="32"/>
          <w:szCs w:val="32"/>
          <w:highlight w:val="none"/>
        </w:rPr>
        <w:t>供货渠道与合作机构情况</w:t>
      </w:r>
      <w:r>
        <w:rPr>
          <w:rFonts w:hint="eastAsia" w:ascii="仿宋" w:hAnsi="仿宋" w:eastAsia="仿宋" w:cs="仿宋"/>
          <w:b/>
          <w:bCs/>
          <w:color w:val="auto"/>
          <w:sz w:val="32"/>
          <w:szCs w:val="32"/>
          <w:highlight w:val="none"/>
          <w:lang w:eastAsia="zh-CN"/>
        </w:rPr>
        <w:t>（</w:t>
      </w:r>
      <w:r>
        <w:rPr>
          <w:rFonts w:hint="eastAsia" w:ascii="仿宋" w:hAnsi="仿宋" w:eastAsia="仿宋" w:cs="仿宋"/>
          <w:b/>
          <w:bCs/>
          <w:color w:val="auto"/>
          <w:sz w:val="30"/>
          <w:szCs w:val="30"/>
          <w:highlight w:val="none"/>
          <w:lang w:val="en-US" w:eastAsia="zh-CN"/>
        </w:rPr>
        <w:t>每个产品厂家（品牌）一张表</w:t>
      </w:r>
      <w:r>
        <w:rPr>
          <w:rFonts w:hint="eastAsia" w:ascii="仿宋" w:hAnsi="仿宋" w:eastAsia="仿宋" w:cs="仿宋"/>
          <w:b/>
          <w:bCs/>
          <w:color w:val="auto"/>
          <w:sz w:val="32"/>
          <w:szCs w:val="32"/>
          <w:highlight w:val="none"/>
          <w:lang w:eastAsia="zh-CN"/>
        </w:rPr>
        <w:t>）</w:t>
      </w:r>
      <w:bookmarkEnd w:id="2256"/>
      <w:bookmarkEnd w:id="2257"/>
      <w:bookmarkEnd w:id="2258"/>
      <w:bookmarkEnd w:id="2259"/>
    </w:p>
    <w:tbl>
      <w:tblPr>
        <w:tblStyle w:val="686"/>
        <w:tblW w:w="947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30"/>
        <w:gridCol w:w="5646"/>
        <w:gridCol w:w="2495"/>
      </w:tblGrid>
      <w:tr w14:paraId="6F511B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78" w:hRule="atLeast"/>
          <w:jc w:val="center"/>
        </w:trPr>
        <w:tc>
          <w:tcPr>
            <w:tcW w:w="1330" w:type="dxa"/>
            <w:tcBorders>
              <w:top w:val="single" w:color="auto" w:sz="4" w:space="0"/>
              <w:left w:val="single" w:color="auto" w:sz="4" w:space="0"/>
              <w:bottom w:val="single" w:color="auto" w:sz="4" w:space="0"/>
              <w:right w:val="single" w:color="auto" w:sz="4" w:space="0"/>
            </w:tcBorders>
            <w:vAlign w:val="center"/>
          </w:tcPr>
          <w:p w14:paraId="712A7B72">
            <w:pPr>
              <w:keepNext w:val="0"/>
              <w:keepLines w:val="0"/>
              <w:pageBreakBefore w:val="0"/>
              <w:widowControl w:val="0"/>
              <w:kinsoku/>
              <w:wordWrap/>
              <w:overflowPunct/>
              <w:topLinePunct/>
              <w:autoSpaceDE w:val="0"/>
              <w:autoSpaceDN/>
              <w:bidi w:val="0"/>
              <w:adjustRightInd/>
              <w:snapToGrid/>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分项</w:t>
            </w:r>
          </w:p>
        </w:tc>
        <w:tc>
          <w:tcPr>
            <w:tcW w:w="5646" w:type="dxa"/>
            <w:tcBorders>
              <w:left w:val="single" w:color="auto" w:sz="4" w:space="0"/>
            </w:tcBorders>
            <w:vAlign w:val="center"/>
          </w:tcPr>
          <w:p w14:paraId="3E14682A">
            <w:pPr>
              <w:keepNext w:val="0"/>
              <w:keepLines w:val="0"/>
              <w:pageBreakBefore w:val="0"/>
              <w:widowControl w:val="0"/>
              <w:kinsoku/>
              <w:wordWrap/>
              <w:overflowPunct/>
              <w:topLinePunct/>
              <w:autoSpaceDE w:val="0"/>
              <w:autoSpaceDN/>
              <w:bidi w:val="0"/>
              <w:adjustRightInd/>
              <w:snapToGrid/>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基 本 情 况</w:t>
            </w:r>
          </w:p>
        </w:tc>
        <w:tc>
          <w:tcPr>
            <w:tcW w:w="2495" w:type="dxa"/>
            <w:vAlign w:val="center"/>
          </w:tcPr>
          <w:p w14:paraId="7694F38A">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联系人/联系电话/传真</w:t>
            </w:r>
          </w:p>
        </w:tc>
      </w:tr>
      <w:tr w14:paraId="54DD4F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0" w:hRule="atLeast"/>
          <w:jc w:val="center"/>
        </w:trPr>
        <w:tc>
          <w:tcPr>
            <w:tcW w:w="1330" w:type="dxa"/>
            <w:tcBorders>
              <w:top w:val="single" w:color="auto" w:sz="4" w:space="0"/>
              <w:left w:val="single" w:color="auto" w:sz="4" w:space="0"/>
              <w:bottom w:val="single" w:color="auto" w:sz="4" w:space="0"/>
              <w:right w:val="single" w:color="auto" w:sz="4" w:space="0"/>
            </w:tcBorders>
            <w:vAlign w:val="center"/>
          </w:tcPr>
          <w:p w14:paraId="660C1881">
            <w:pPr>
              <w:keepNext w:val="0"/>
              <w:keepLines w:val="0"/>
              <w:pageBreakBefore w:val="0"/>
              <w:widowControl w:val="0"/>
              <w:kinsoku/>
              <w:wordWrap/>
              <w:overflowPunct/>
              <w:topLinePunct/>
              <w:autoSpaceDE w:val="0"/>
              <w:autoSpaceDN/>
              <w:bidi w:val="0"/>
              <w:adjustRightInd/>
              <w:snapToGrid/>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生产厂家</w:t>
            </w:r>
          </w:p>
        </w:tc>
        <w:tc>
          <w:tcPr>
            <w:tcW w:w="5646" w:type="dxa"/>
            <w:tcBorders>
              <w:left w:val="single" w:color="auto" w:sz="4" w:space="0"/>
            </w:tcBorders>
            <w:vAlign w:val="center"/>
          </w:tcPr>
          <w:p w14:paraId="145904A1">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单位名称：</w:t>
            </w:r>
            <w:r>
              <w:rPr>
                <w:rFonts w:hint="eastAsia" w:ascii="仿宋" w:hAnsi="仿宋" w:eastAsia="仿宋" w:cs="仿宋"/>
                <w:color w:val="auto"/>
                <w:sz w:val="24"/>
                <w:szCs w:val="24"/>
                <w:highlight w:val="none"/>
                <w:u w:val="single"/>
                <w:lang w:val="en-US" w:eastAsia="zh-CN"/>
              </w:rPr>
              <w:t xml:space="preserve">                     </w:t>
            </w:r>
          </w:p>
          <w:p w14:paraId="70E45AD3">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lang w:val="en-US" w:eastAsia="zh-CN"/>
              </w:rPr>
              <w:t xml:space="preserve">                     </w:t>
            </w:r>
          </w:p>
          <w:p w14:paraId="5222369A">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销售负责人：</w:t>
            </w:r>
            <w:r>
              <w:rPr>
                <w:rFonts w:hint="eastAsia" w:ascii="仿宋" w:hAnsi="仿宋" w:eastAsia="仿宋" w:cs="仿宋"/>
                <w:color w:val="auto"/>
                <w:sz w:val="24"/>
                <w:szCs w:val="24"/>
                <w:highlight w:val="none"/>
                <w:u w:val="single"/>
                <w:lang w:val="en-US" w:eastAsia="zh-CN"/>
              </w:rPr>
              <w:t xml:space="preserve">                   </w:t>
            </w:r>
          </w:p>
        </w:tc>
        <w:tc>
          <w:tcPr>
            <w:tcW w:w="2495" w:type="dxa"/>
            <w:tcBorders>
              <w:bottom w:val="single" w:color="auto" w:sz="4" w:space="0"/>
            </w:tcBorders>
            <w:vAlign w:val="center"/>
          </w:tcPr>
          <w:p w14:paraId="70550EFC">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val="en-US" w:eastAsia="zh-CN"/>
              </w:rPr>
              <w:t xml:space="preserve">            </w:t>
            </w:r>
          </w:p>
          <w:p w14:paraId="0CFC1360">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val="en-US" w:eastAsia="zh-CN"/>
              </w:rPr>
              <w:t xml:space="preserve">            </w:t>
            </w:r>
          </w:p>
          <w:p w14:paraId="2565CE97">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传真</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val="en-US" w:eastAsia="zh-CN"/>
              </w:rPr>
              <w:t xml:space="preserve">            </w:t>
            </w:r>
          </w:p>
        </w:tc>
      </w:tr>
      <w:tr w14:paraId="7BE346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55" w:hRule="atLeast"/>
          <w:jc w:val="center"/>
        </w:trPr>
        <w:tc>
          <w:tcPr>
            <w:tcW w:w="1330" w:type="dxa"/>
            <w:tcBorders>
              <w:top w:val="single" w:color="auto" w:sz="4" w:space="0"/>
              <w:left w:val="single" w:color="auto" w:sz="4" w:space="0"/>
              <w:bottom w:val="single" w:color="auto" w:sz="4" w:space="0"/>
              <w:right w:val="single" w:color="auto" w:sz="4" w:space="0"/>
            </w:tcBorders>
            <w:vAlign w:val="center"/>
          </w:tcPr>
          <w:p w14:paraId="17931F92">
            <w:pPr>
              <w:keepNext w:val="0"/>
              <w:keepLines w:val="0"/>
              <w:pageBreakBefore w:val="0"/>
              <w:widowControl w:val="0"/>
              <w:kinsoku/>
              <w:wordWrap/>
              <w:overflowPunct/>
              <w:topLinePunct/>
              <w:autoSpaceDE w:val="0"/>
              <w:autoSpaceDN/>
              <w:bidi w:val="0"/>
              <w:adjustRightInd/>
              <w:snapToGrid/>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关键设备合法来源渠道</w:t>
            </w:r>
          </w:p>
        </w:tc>
        <w:tc>
          <w:tcPr>
            <w:tcW w:w="5646" w:type="dxa"/>
            <w:tcBorders>
              <w:left w:val="single" w:color="auto" w:sz="4" w:space="0"/>
              <w:right w:val="single" w:color="auto" w:sz="4" w:space="0"/>
            </w:tcBorders>
            <w:vAlign w:val="center"/>
          </w:tcPr>
          <w:p w14:paraId="59E13010">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产品名称：</w:t>
            </w:r>
            <w:r>
              <w:rPr>
                <w:rFonts w:hint="eastAsia" w:ascii="仿宋" w:hAnsi="仿宋" w:eastAsia="仿宋" w:cs="仿宋"/>
                <w:color w:val="auto"/>
                <w:sz w:val="24"/>
                <w:szCs w:val="24"/>
                <w:highlight w:val="none"/>
                <w:u w:val="single"/>
                <w:lang w:val="en-US" w:eastAsia="zh-CN"/>
              </w:rPr>
              <w:t xml:space="preserve">                     </w:t>
            </w:r>
          </w:p>
          <w:p w14:paraId="1734EA7E">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制造/</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生产地：</w:t>
            </w:r>
            <w:r>
              <w:rPr>
                <w:rFonts w:hint="eastAsia" w:ascii="仿宋" w:hAnsi="仿宋" w:eastAsia="仿宋" w:cs="仿宋"/>
                <w:color w:val="auto"/>
                <w:sz w:val="24"/>
                <w:szCs w:val="24"/>
                <w:highlight w:val="none"/>
                <w:u w:val="single"/>
                <w:lang w:val="en-US" w:eastAsia="zh-CN"/>
              </w:rPr>
              <w:t xml:space="preserve">            </w:t>
            </w:r>
          </w:p>
          <w:p w14:paraId="62C3A5A2">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经销总代理：</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销售负责人：</w:t>
            </w:r>
            <w:r>
              <w:rPr>
                <w:rFonts w:hint="eastAsia" w:ascii="仿宋" w:hAnsi="仿宋" w:eastAsia="仿宋" w:cs="仿宋"/>
                <w:color w:val="auto"/>
                <w:sz w:val="24"/>
                <w:szCs w:val="24"/>
                <w:highlight w:val="none"/>
                <w:u w:val="single"/>
                <w:lang w:val="en-US" w:eastAsia="zh-CN"/>
              </w:rPr>
              <w:t xml:space="preserve">      </w:t>
            </w:r>
          </w:p>
          <w:p w14:paraId="42FAD195">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产品介绍和报价的权威网站：</w:t>
            </w:r>
            <w:r>
              <w:rPr>
                <w:rFonts w:hint="eastAsia" w:ascii="仿宋" w:hAnsi="仿宋" w:eastAsia="仿宋" w:cs="仿宋"/>
                <w:color w:val="auto"/>
                <w:sz w:val="24"/>
                <w:szCs w:val="24"/>
                <w:highlight w:val="none"/>
                <w:u w:val="single"/>
                <w:lang w:val="en-US" w:eastAsia="zh-CN"/>
              </w:rPr>
              <w:t xml:space="preserve">                    </w:t>
            </w:r>
          </w:p>
          <w:p w14:paraId="2F3DF501">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产品合法来源验证查询专线：</w:t>
            </w:r>
            <w:r>
              <w:rPr>
                <w:rFonts w:hint="eastAsia" w:ascii="仿宋" w:hAnsi="仿宋" w:eastAsia="仿宋" w:cs="仿宋"/>
                <w:color w:val="auto"/>
                <w:sz w:val="24"/>
                <w:szCs w:val="24"/>
                <w:highlight w:val="none"/>
                <w:u w:val="single"/>
                <w:lang w:val="en-US" w:eastAsia="zh-CN"/>
              </w:rPr>
              <w:t xml:space="preserve">                    </w:t>
            </w:r>
          </w:p>
          <w:p w14:paraId="7A07AC10">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售后服务管理验证查询专线：</w:t>
            </w:r>
            <w:r>
              <w:rPr>
                <w:rFonts w:hint="eastAsia" w:ascii="仿宋" w:hAnsi="仿宋" w:eastAsia="仿宋" w:cs="仿宋"/>
                <w:color w:val="auto"/>
                <w:sz w:val="24"/>
                <w:szCs w:val="24"/>
                <w:highlight w:val="none"/>
                <w:u w:val="single"/>
                <w:lang w:val="en-US" w:eastAsia="zh-CN"/>
              </w:rPr>
              <w:t xml:space="preserve">                    </w:t>
            </w:r>
          </w:p>
        </w:tc>
        <w:tc>
          <w:tcPr>
            <w:tcW w:w="2495" w:type="dxa"/>
            <w:tcBorders>
              <w:top w:val="single" w:color="auto" w:sz="4" w:space="0"/>
              <w:left w:val="single" w:color="auto" w:sz="4" w:space="0"/>
              <w:bottom w:val="single" w:color="auto" w:sz="4" w:space="0"/>
              <w:right w:val="single" w:color="auto" w:sz="4" w:space="0"/>
            </w:tcBorders>
            <w:vAlign w:val="center"/>
          </w:tcPr>
          <w:p w14:paraId="10228030">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val="en-US" w:eastAsia="zh-CN"/>
              </w:rPr>
              <w:t xml:space="preserve">            </w:t>
            </w:r>
          </w:p>
          <w:p w14:paraId="7F2205D6">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传真</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val="en-US" w:eastAsia="zh-CN"/>
              </w:rPr>
              <w:t xml:space="preserve">            </w:t>
            </w:r>
          </w:p>
        </w:tc>
      </w:tr>
      <w:tr w14:paraId="59F97D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1" w:hRule="atLeast"/>
          <w:jc w:val="center"/>
        </w:trPr>
        <w:tc>
          <w:tcPr>
            <w:tcW w:w="1330" w:type="dxa"/>
            <w:tcBorders>
              <w:top w:val="single" w:color="auto" w:sz="4" w:space="0"/>
              <w:left w:val="single" w:color="auto" w:sz="4" w:space="0"/>
              <w:bottom w:val="single" w:color="auto" w:sz="4" w:space="0"/>
              <w:right w:val="single" w:color="auto" w:sz="4" w:space="0"/>
            </w:tcBorders>
            <w:vAlign w:val="center"/>
          </w:tcPr>
          <w:p w14:paraId="3584E8DA">
            <w:pPr>
              <w:keepNext w:val="0"/>
              <w:keepLines w:val="0"/>
              <w:pageBreakBefore w:val="0"/>
              <w:widowControl w:val="0"/>
              <w:kinsoku/>
              <w:wordWrap/>
              <w:overflowPunct/>
              <w:topLinePunct/>
              <w:autoSpaceDE w:val="0"/>
              <w:autoSpaceDN/>
              <w:bidi w:val="0"/>
              <w:adjustRightInd/>
              <w:snapToGrid/>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设在</w:t>
            </w:r>
            <w:r>
              <w:rPr>
                <w:rFonts w:hint="eastAsia" w:ascii="仿宋" w:hAnsi="仿宋" w:eastAsia="仿宋" w:cs="仿宋"/>
                <w:color w:val="auto"/>
                <w:sz w:val="24"/>
                <w:szCs w:val="24"/>
                <w:highlight w:val="none"/>
                <w:lang w:eastAsia="zh-CN"/>
              </w:rPr>
              <w:t>云南</w:t>
            </w:r>
            <w:r>
              <w:rPr>
                <w:rFonts w:hint="eastAsia" w:ascii="仿宋" w:hAnsi="仿宋" w:eastAsia="仿宋" w:cs="仿宋"/>
                <w:color w:val="auto"/>
                <w:sz w:val="24"/>
                <w:szCs w:val="24"/>
                <w:highlight w:val="none"/>
              </w:rPr>
              <w:t>省内的售后服务机构情况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若有</w:t>
            </w:r>
            <w:r>
              <w:rPr>
                <w:rFonts w:hint="eastAsia" w:ascii="仿宋" w:hAnsi="仿宋" w:eastAsia="仿宋" w:cs="仿宋"/>
                <w:color w:val="auto"/>
                <w:sz w:val="24"/>
                <w:szCs w:val="24"/>
                <w:highlight w:val="none"/>
                <w:lang w:eastAsia="zh-CN"/>
              </w:rPr>
              <w:t>）</w:t>
            </w:r>
          </w:p>
        </w:tc>
        <w:tc>
          <w:tcPr>
            <w:tcW w:w="5646" w:type="dxa"/>
            <w:tcBorders>
              <w:left w:val="single" w:color="auto" w:sz="4" w:space="0"/>
              <w:right w:val="single" w:color="auto" w:sz="4" w:space="0"/>
            </w:tcBorders>
            <w:vAlign w:val="center"/>
          </w:tcPr>
          <w:p w14:paraId="4E8A8F21">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机构名称：</w:t>
            </w:r>
            <w:r>
              <w:rPr>
                <w:rFonts w:hint="eastAsia" w:ascii="仿宋" w:hAnsi="仿宋" w:eastAsia="仿宋" w:cs="仿宋"/>
                <w:color w:val="auto"/>
                <w:sz w:val="24"/>
                <w:szCs w:val="24"/>
                <w:highlight w:val="none"/>
                <w:u w:val="single"/>
                <w:lang w:val="en-US" w:eastAsia="zh-CN"/>
              </w:rPr>
              <w:t xml:space="preserve">                    </w:t>
            </w:r>
          </w:p>
          <w:p w14:paraId="027C4A98">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lang w:val="en-US" w:eastAsia="zh-CN"/>
              </w:rPr>
              <w:t xml:space="preserve">                    </w:t>
            </w:r>
          </w:p>
          <w:p w14:paraId="03A55FFA">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负 责 人：</w:t>
            </w:r>
            <w:r>
              <w:rPr>
                <w:rFonts w:hint="eastAsia" w:ascii="仿宋" w:hAnsi="仿宋" w:eastAsia="仿宋" w:cs="仿宋"/>
                <w:color w:val="auto"/>
                <w:sz w:val="24"/>
                <w:szCs w:val="24"/>
                <w:highlight w:val="none"/>
                <w:u w:val="single"/>
                <w:lang w:val="en-US" w:eastAsia="zh-CN"/>
              </w:rPr>
              <w:t xml:space="preserve">                    </w:t>
            </w:r>
          </w:p>
          <w:p w14:paraId="3FB257F7">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服务机构性质：企业自有/委托代理</w:t>
            </w:r>
          </w:p>
        </w:tc>
        <w:tc>
          <w:tcPr>
            <w:tcW w:w="2495" w:type="dxa"/>
            <w:tcBorders>
              <w:top w:val="single" w:color="auto" w:sz="4" w:space="0"/>
              <w:left w:val="single" w:color="auto" w:sz="4" w:space="0"/>
              <w:bottom w:val="single" w:color="auto" w:sz="4" w:space="0"/>
              <w:right w:val="single" w:color="auto" w:sz="4" w:space="0"/>
            </w:tcBorders>
            <w:vAlign w:val="center"/>
          </w:tcPr>
          <w:p w14:paraId="7D950617">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val="en-US" w:eastAsia="zh-CN"/>
              </w:rPr>
              <w:t xml:space="preserve">            </w:t>
            </w:r>
          </w:p>
          <w:p w14:paraId="7DBC5A3F">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val="en-US" w:eastAsia="zh-CN"/>
              </w:rPr>
              <w:t xml:space="preserve">            </w:t>
            </w:r>
          </w:p>
          <w:p w14:paraId="3405C35D">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传真</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val="en-US" w:eastAsia="zh-CN"/>
              </w:rPr>
              <w:t xml:space="preserve">            </w:t>
            </w:r>
          </w:p>
        </w:tc>
      </w:tr>
    </w:tbl>
    <w:p w14:paraId="4936F384">
      <w:pPr>
        <w:pStyle w:val="28"/>
        <w:rPr>
          <w:rFonts w:hint="eastAsia" w:ascii="仿宋" w:hAnsi="仿宋" w:eastAsia="仿宋" w:cs="仿宋"/>
          <w:color w:val="auto"/>
          <w:sz w:val="24"/>
          <w:szCs w:val="24"/>
          <w:highlight w:val="none"/>
          <w:lang w:eastAsia="zh-CN"/>
        </w:rPr>
        <w:sectPr>
          <w:pgSz w:w="11906" w:h="16838"/>
          <w:pgMar w:top="1134" w:right="1134" w:bottom="1134" w:left="1134"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仿宋" w:hAnsi="仿宋" w:eastAsia="仿宋" w:cs="仿宋"/>
          <w:color w:val="auto"/>
          <w:sz w:val="24"/>
          <w:szCs w:val="24"/>
          <w:highlight w:val="none"/>
          <w:lang w:eastAsia="zh-CN"/>
        </w:rPr>
        <w:t>注：须提供</w:t>
      </w:r>
      <w:r>
        <w:rPr>
          <w:rFonts w:hint="eastAsia" w:ascii="仿宋" w:hAnsi="仿宋" w:eastAsia="仿宋" w:cs="仿宋"/>
          <w:color w:val="auto"/>
          <w:sz w:val="24"/>
          <w:szCs w:val="24"/>
          <w:highlight w:val="none"/>
          <w:lang w:val="en-US" w:eastAsia="zh-CN"/>
        </w:rPr>
        <w:t>每个产品厂家（品牌）的</w:t>
      </w:r>
      <w:r>
        <w:rPr>
          <w:rFonts w:hint="eastAsia" w:ascii="仿宋" w:hAnsi="仿宋" w:eastAsia="仿宋" w:cs="仿宋"/>
          <w:color w:val="auto"/>
          <w:sz w:val="24"/>
          <w:szCs w:val="24"/>
          <w:highlight w:val="none"/>
          <w:lang w:eastAsia="zh-CN"/>
        </w:rPr>
        <w:t>相关证明材料</w:t>
      </w:r>
    </w:p>
    <w:p w14:paraId="432D85F4">
      <w:pPr>
        <w:keepNext w:val="0"/>
        <w:keepLines w:val="0"/>
        <w:pageBreakBefore w:val="0"/>
        <w:widowControl w:val="0"/>
        <w:kinsoku/>
        <w:wordWrap w:val="0"/>
        <w:overflowPunct w:val="0"/>
        <w:topLinePunct/>
        <w:autoSpaceDE/>
        <w:autoSpaceDN/>
        <w:bidi w:val="0"/>
        <w:adjustRightInd/>
        <w:snapToGrid/>
        <w:jc w:val="center"/>
        <w:outlineLvl w:val="1"/>
        <w:rPr>
          <w:rFonts w:hint="eastAsia" w:ascii="仿宋" w:hAnsi="仿宋" w:eastAsia="仿宋" w:cs="仿宋"/>
          <w:color w:val="auto"/>
          <w:highlight w:val="none"/>
          <w:lang w:val="zh-CN" w:eastAsia="zh-CN"/>
        </w:rPr>
      </w:pPr>
      <w:bookmarkStart w:id="2260" w:name="_Toc32465"/>
      <w:bookmarkStart w:id="2261" w:name="_Toc23457"/>
      <w:bookmarkStart w:id="2262" w:name="_Toc24895"/>
      <w:bookmarkStart w:id="2263" w:name="_Toc20393"/>
      <w:r>
        <w:rPr>
          <w:rFonts w:hint="eastAsia" w:ascii="仿宋" w:hAnsi="仿宋" w:eastAsia="仿宋" w:cs="仿宋"/>
          <w:b/>
          <w:bCs/>
          <w:color w:val="auto"/>
          <w:sz w:val="32"/>
          <w:szCs w:val="32"/>
          <w:highlight w:val="none"/>
          <w:lang w:val="en-US" w:eastAsia="zh-CN"/>
        </w:rPr>
        <w:t>八、</w:t>
      </w:r>
      <w:bookmarkEnd w:id="2260"/>
      <w:bookmarkEnd w:id="2261"/>
      <w:bookmarkEnd w:id="2262"/>
      <w:bookmarkEnd w:id="2263"/>
      <w:r>
        <w:rPr>
          <w:rFonts w:hint="eastAsia" w:ascii="仿宋" w:hAnsi="仿宋" w:eastAsia="仿宋" w:cs="仿宋"/>
          <w:b/>
          <w:bCs/>
          <w:color w:val="auto"/>
          <w:sz w:val="32"/>
          <w:szCs w:val="32"/>
          <w:highlight w:val="none"/>
          <w:lang w:val="en-US" w:eastAsia="zh-CN"/>
        </w:rPr>
        <w:t>服务方案</w:t>
      </w:r>
    </w:p>
    <w:p w14:paraId="69F6EF0C">
      <w:pPr>
        <w:spacing w:line="360" w:lineRule="auto"/>
        <w:jc w:val="center"/>
        <w:outlineLvl w:val="2"/>
        <w:rPr>
          <w:rFonts w:hint="eastAsia" w:ascii="仿宋" w:hAnsi="仿宋" w:eastAsia="仿宋" w:cs="仿宋"/>
          <w:snapToGrid w:val="0"/>
          <w:color w:val="auto"/>
          <w:kern w:val="0"/>
          <w:szCs w:val="20"/>
          <w:highlight w:val="none"/>
        </w:rPr>
      </w:pPr>
      <w:bookmarkStart w:id="2264" w:name="_Toc9973"/>
      <w:bookmarkStart w:id="2265" w:name="_Toc13813"/>
      <w:r>
        <w:rPr>
          <w:rFonts w:hint="eastAsia" w:ascii="仿宋" w:hAnsi="仿宋" w:eastAsia="仿宋" w:cs="仿宋"/>
          <w:snapToGrid w:val="0"/>
          <w:color w:val="auto"/>
          <w:kern w:val="0"/>
          <w:szCs w:val="20"/>
          <w:highlight w:val="none"/>
        </w:rPr>
        <w:t>（格式自拟，内容由</w:t>
      </w:r>
      <w:r>
        <w:rPr>
          <w:rFonts w:hint="eastAsia" w:ascii="仿宋" w:hAnsi="仿宋" w:eastAsia="仿宋" w:cs="仿宋"/>
          <w:snapToGrid w:val="0"/>
          <w:color w:val="auto"/>
          <w:kern w:val="0"/>
          <w:szCs w:val="20"/>
          <w:highlight w:val="none"/>
          <w:lang w:eastAsia="zh-CN"/>
        </w:rPr>
        <w:t>投标人</w:t>
      </w:r>
      <w:r>
        <w:rPr>
          <w:rFonts w:hint="eastAsia" w:ascii="仿宋" w:hAnsi="仿宋" w:eastAsia="仿宋" w:cs="仿宋"/>
          <w:snapToGrid w:val="0"/>
          <w:color w:val="auto"/>
          <w:kern w:val="0"/>
          <w:szCs w:val="20"/>
          <w:highlight w:val="none"/>
        </w:rPr>
        <w:t>根据</w:t>
      </w:r>
      <w:r>
        <w:rPr>
          <w:rFonts w:hint="eastAsia" w:ascii="仿宋" w:hAnsi="仿宋" w:eastAsia="仿宋" w:cs="仿宋"/>
          <w:snapToGrid w:val="0"/>
          <w:color w:val="auto"/>
          <w:kern w:val="0"/>
          <w:szCs w:val="20"/>
          <w:highlight w:val="none"/>
          <w:lang w:eastAsia="zh-CN"/>
        </w:rPr>
        <w:t>评审</w:t>
      </w:r>
      <w:r>
        <w:rPr>
          <w:rFonts w:hint="eastAsia" w:ascii="仿宋" w:hAnsi="仿宋" w:eastAsia="仿宋" w:cs="仿宋"/>
          <w:snapToGrid w:val="0"/>
          <w:color w:val="auto"/>
          <w:kern w:val="0"/>
          <w:szCs w:val="20"/>
          <w:highlight w:val="none"/>
        </w:rPr>
        <w:t>办法并结合自身实际情况自行编写）</w:t>
      </w:r>
      <w:bookmarkEnd w:id="2264"/>
      <w:bookmarkEnd w:id="2265"/>
    </w:p>
    <w:p w14:paraId="0ACD2591">
      <w:pPr>
        <w:wordWrap w:val="0"/>
        <w:overflowPunct w:val="0"/>
        <w:topLinePunct/>
        <w:spacing w:line="360" w:lineRule="auto"/>
        <w:jc w:val="both"/>
        <w:rPr>
          <w:rFonts w:hint="eastAsia" w:ascii="仿宋" w:hAnsi="仿宋" w:eastAsia="仿宋" w:cs="仿宋"/>
          <w:b w:val="0"/>
          <w:bCs/>
          <w:color w:val="auto"/>
          <w:sz w:val="24"/>
          <w:highlight w:val="none"/>
        </w:rPr>
      </w:pPr>
    </w:p>
    <w:p w14:paraId="28A1F8F5">
      <w:pPr>
        <w:pStyle w:val="28"/>
        <w:rPr>
          <w:rFonts w:hint="eastAsia" w:ascii="仿宋" w:hAnsi="仿宋" w:eastAsia="仿宋" w:cs="仿宋"/>
          <w:b w:val="0"/>
          <w:bCs/>
          <w:color w:val="auto"/>
          <w:sz w:val="24"/>
          <w:highlight w:val="none"/>
        </w:rPr>
      </w:pPr>
    </w:p>
    <w:p w14:paraId="767DE454">
      <w:pPr>
        <w:rPr>
          <w:rFonts w:hint="eastAsia" w:ascii="仿宋" w:hAnsi="仿宋" w:eastAsia="仿宋" w:cs="仿宋"/>
          <w:b w:val="0"/>
          <w:bCs/>
          <w:color w:val="auto"/>
          <w:sz w:val="24"/>
          <w:highlight w:val="none"/>
        </w:rPr>
      </w:pPr>
    </w:p>
    <w:p w14:paraId="099C8F35">
      <w:pPr>
        <w:pStyle w:val="28"/>
        <w:rPr>
          <w:rFonts w:hint="eastAsia" w:ascii="仿宋" w:hAnsi="仿宋" w:eastAsia="仿宋" w:cs="仿宋"/>
          <w:b w:val="0"/>
          <w:bCs/>
          <w:color w:val="auto"/>
          <w:sz w:val="24"/>
          <w:highlight w:val="none"/>
        </w:rPr>
      </w:pPr>
    </w:p>
    <w:p w14:paraId="2AFAF2B1">
      <w:pPr>
        <w:rPr>
          <w:rFonts w:hint="eastAsia" w:ascii="仿宋" w:hAnsi="仿宋" w:eastAsia="仿宋" w:cs="仿宋"/>
          <w:b w:val="0"/>
          <w:bCs/>
          <w:color w:val="auto"/>
          <w:sz w:val="24"/>
          <w:highlight w:val="none"/>
        </w:rPr>
      </w:pPr>
    </w:p>
    <w:p w14:paraId="6DB9AEDE">
      <w:pPr>
        <w:pStyle w:val="28"/>
        <w:rPr>
          <w:rFonts w:hint="eastAsia" w:ascii="仿宋" w:hAnsi="仿宋" w:eastAsia="仿宋" w:cs="仿宋"/>
          <w:b w:val="0"/>
          <w:bCs/>
          <w:color w:val="auto"/>
          <w:sz w:val="24"/>
          <w:highlight w:val="none"/>
        </w:rPr>
      </w:pPr>
    </w:p>
    <w:p w14:paraId="15A393D7">
      <w:pPr>
        <w:rPr>
          <w:rFonts w:hint="eastAsia" w:ascii="仿宋" w:hAnsi="仿宋" w:eastAsia="仿宋" w:cs="仿宋"/>
          <w:b w:val="0"/>
          <w:bCs/>
          <w:color w:val="auto"/>
          <w:sz w:val="24"/>
          <w:highlight w:val="none"/>
        </w:rPr>
      </w:pPr>
    </w:p>
    <w:p w14:paraId="547BC21D">
      <w:pPr>
        <w:pStyle w:val="28"/>
        <w:rPr>
          <w:rFonts w:hint="eastAsia" w:ascii="仿宋" w:hAnsi="仿宋" w:eastAsia="仿宋" w:cs="仿宋"/>
          <w:b w:val="0"/>
          <w:bCs/>
          <w:color w:val="auto"/>
          <w:sz w:val="24"/>
          <w:highlight w:val="none"/>
        </w:rPr>
      </w:pPr>
    </w:p>
    <w:p w14:paraId="7C3FE5CF">
      <w:pPr>
        <w:rPr>
          <w:rFonts w:hint="eastAsia" w:ascii="仿宋" w:hAnsi="仿宋" w:eastAsia="仿宋" w:cs="仿宋"/>
          <w:b w:val="0"/>
          <w:bCs/>
          <w:color w:val="auto"/>
          <w:sz w:val="24"/>
          <w:highlight w:val="none"/>
        </w:rPr>
      </w:pPr>
    </w:p>
    <w:p w14:paraId="3782CC2C">
      <w:pPr>
        <w:pStyle w:val="28"/>
        <w:rPr>
          <w:rFonts w:hint="eastAsia" w:ascii="仿宋" w:hAnsi="仿宋" w:eastAsia="仿宋" w:cs="仿宋"/>
          <w:b w:val="0"/>
          <w:bCs/>
          <w:color w:val="auto"/>
          <w:sz w:val="24"/>
          <w:highlight w:val="none"/>
        </w:rPr>
      </w:pPr>
    </w:p>
    <w:p w14:paraId="31CE5429">
      <w:pPr>
        <w:rPr>
          <w:rFonts w:hint="eastAsia" w:ascii="仿宋" w:hAnsi="仿宋" w:eastAsia="仿宋" w:cs="仿宋"/>
          <w:b w:val="0"/>
          <w:bCs/>
          <w:color w:val="auto"/>
          <w:sz w:val="24"/>
          <w:highlight w:val="none"/>
        </w:rPr>
      </w:pPr>
    </w:p>
    <w:p w14:paraId="48A86724">
      <w:pPr>
        <w:pStyle w:val="28"/>
        <w:rPr>
          <w:rFonts w:hint="eastAsia" w:ascii="仿宋" w:hAnsi="仿宋" w:eastAsia="仿宋" w:cs="仿宋"/>
          <w:b w:val="0"/>
          <w:bCs/>
          <w:color w:val="auto"/>
          <w:sz w:val="24"/>
          <w:highlight w:val="none"/>
        </w:rPr>
      </w:pPr>
    </w:p>
    <w:p w14:paraId="1BB6FC64">
      <w:pPr>
        <w:rPr>
          <w:rFonts w:hint="eastAsia" w:ascii="仿宋" w:hAnsi="仿宋" w:eastAsia="仿宋" w:cs="仿宋"/>
          <w:b w:val="0"/>
          <w:bCs/>
          <w:color w:val="auto"/>
          <w:sz w:val="24"/>
          <w:highlight w:val="none"/>
        </w:rPr>
      </w:pPr>
    </w:p>
    <w:p w14:paraId="19AFD377">
      <w:pPr>
        <w:pStyle w:val="28"/>
        <w:rPr>
          <w:rFonts w:hint="eastAsia" w:ascii="仿宋" w:hAnsi="仿宋" w:eastAsia="仿宋" w:cs="仿宋"/>
          <w:b w:val="0"/>
          <w:bCs/>
          <w:color w:val="auto"/>
          <w:sz w:val="24"/>
          <w:highlight w:val="none"/>
        </w:rPr>
      </w:pPr>
    </w:p>
    <w:p w14:paraId="6D5C088A">
      <w:pPr>
        <w:rPr>
          <w:rFonts w:hint="eastAsia" w:ascii="仿宋" w:hAnsi="仿宋" w:eastAsia="仿宋" w:cs="仿宋"/>
          <w:b w:val="0"/>
          <w:bCs/>
          <w:color w:val="auto"/>
          <w:sz w:val="24"/>
          <w:highlight w:val="none"/>
        </w:rPr>
      </w:pPr>
    </w:p>
    <w:p w14:paraId="3C8E1791">
      <w:pPr>
        <w:pStyle w:val="28"/>
        <w:rPr>
          <w:rFonts w:hint="eastAsia" w:ascii="仿宋" w:hAnsi="仿宋" w:eastAsia="仿宋" w:cs="仿宋"/>
          <w:b w:val="0"/>
          <w:bCs/>
          <w:color w:val="auto"/>
          <w:sz w:val="24"/>
          <w:highlight w:val="none"/>
        </w:rPr>
      </w:pPr>
    </w:p>
    <w:p w14:paraId="27050531">
      <w:pPr>
        <w:rPr>
          <w:rFonts w:hint="eastAsia" w:ascii="仿宋" w:hAnsi="仿宋" w:eastAsia="仿宋" w:cs="仿宋"/>
          <w:b w:val="0"/>
          <w:bCs/>
          <w:color w:val="auto"/>
          <w:sz w:val="24"/>
          <w:highlight w:val="none"/>
        </w:rPr>
      </w:pPr>
    </w:p>
    <w:p w14:paraId="40539ECC">
      <w:pPr>
        <w:pStyle w:val="28"/>
        <w:rPr>
          <w:rFonts w:hint="eastAsia" w:ascii="仿宋" w:hAnsi="仿宋" w:eastAsia="仿宋" w:cs="仿宋"/>
          <w:b w:val="0"/>
          <w:bCs/>
          <w:color w:val="auto"/>
          <w:sz w:val="24"/>
          <w:highlight w:val="none"/>
        </w:rPr>
      </w:pPr>
    </w:p>
    <w:p w14:paraId="68418ED3">
      <w:pPr>
        <w:rPr>
          <w:rFonts w:hint="eastAsia" w:ascii="仿宋" w:hAnsi="仿宋" w:eastAsia="仿宋" w:cs="仿宋"/>
          <w:b w:val="0"/>
          <w:bCs/>
          <w:color w:val="auto"/>
          <w:sz w:val="24"/>
          <w:highlight w:val="none"/>
        </w:rPr>
      </w:pPr>
    </w:p>
    <w:p w14:paraId="66DD1DB3">
      <w:pPr>
        <w:pStyle w:val="28"/>
        <w:rPr>
          <w:rFonts w:hint="eastAsia" w:ascii="仿宋" w:hAnsi="仿宋" w:eastAsia="仿宋" w:cs="仿宋"/>
          <w:b w:val="0"/>
          <w:bCs/>
          <w:color w:val="auto"/>
          <w:sz w:val="24"/>
          <w:highlight w:val="none"/>
        </w:rPr>
      </w:pPr>
    </w:p>
    <w:p w14:paraId="4D439063">
      <w:pPr>
        <w:rPr>
          <w:rFonts w:hint="eastAsia" w:ascii="仿宋" w:hAnsi="仿宋" w:eastAsia="仿宋" w:cs="仿宋"/>
          <w:b w:val="0"/>
          <w:bCs/>
          <w:color w:val="auto"/>
          <w:sz w:val="24"/>
          <w:highlight w:val="none"/>
        </w:rPr>
      </w:pPr>
    </w:p>
    <w:p w14:paraId="6BB08527">
      <w:pPr>
        <w:pStyle w:val="28"/>
        <w:rPr>
          <w:rFonts w:hint="eastAsia" w:ascii="仿宋" w:hAnsi="仿宋" w:eastAsia="仿宋" w:cs="仿宋"/>
          <w:b w:val="0"/>
          <w:bCs/>
          <w:color w:val="auto"/>
          <w:sz w:val="24"/>
          <w:highlight w:val="none"/>
        </w:rPr>
      </w:pPr>
    </w:p>
    <w:p w14:paraId="6972477F">
      <w:pPr>
        <w:rPr>
          <w:rFonts w:hint="eastAsia" w:ascii="仿宋" w:hAnsi="仿宋" w:eastAsia="仿宋" w:cs="仿宋"/>
          <w:b w:val="0"/>
          <w:bCs/>
          <w:color w:val="auto"/>
          <w:sz w:val="24"/>
          <w:highlight w:val="none"/>
        </w:rPr>
      </w:pPr>
    </w:p>
    <w:p w14:paraId="084056A5">
      <w:pPr>
        <w:pStyle w:val="28"/>
        <w:rPr>
          <w:rFonts w:hint="eastAsia" w:ascii="仿宋" w:hAnsi="仿宋" w:eastAsia="仿宋" w:cs="仿宋"/>
          <w:color w:val="auto"/>
          <w:highlight w:val="none"/>
        </w:rPr>
      </w:pPr>
    </w:p>
    <w:p w14:paraId="0DB0E077">
      <w:pPr>
        <w:wordWrap w:val="0"/>
        <w:overflowPunct w:val="0"/>
        <w:topLinePunct/>
        <w:spacing w:line="360" w:lineRule="auto"/>
        <w:jc w:val="both"/>
        <w:rPr>
          <w:rFonts w:hint="eastAsia" w:ascii="仿宋" w:hAnsi="仿宋" w:eastAsia="仿宋" w:cs="仿宋"/>
          <w:b w:val="0"/>
          <w:bCs/>
          <w:color w:val="auto"/>
          <w:sz w:val="24"/>
          <w:highlight w:val="none"/>
        </w:rPr>
      </w:pPr>
    </w:p>
    <w:p w14:paraId="64023E21">
      <w:pPr>
        <w:wordWrap w:val="0"/>
        <w:overflowPunct w:val="0"/>
        <w:topLinePunct/>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rPr>
        <w:t>（</w:t>
      </w:r>
      <w:r>
        <w:rPr>
          <w:rFonts w:hint="eastAsia" w:ascii="仿宋" w:hAnsi="仿宋" w:eastAsia="仿宋" w:cs="仿宋"/>
          <w:color w:val="auto"/>
          <w:sz w:val="24"/>
          <w:highlight w:val="none"/>
          <w:u w:val="none"/>
          <w:lang w:val="en-US" w:eastAsia="zh-CN"/>
        </w:rPr>
        <w:t>加盖电子</w:t>
      </w:r>
      <w:r>
        <w:rPr>
          <w:rFonts w:hint="eastAsia" w:ascii="仿宋" w:hAnsi="仿宋" w:eastAsia="仿宋" w:cs="仿宋"/>
          <w:color w:val="auto"/>
          <w:sz w:val="24"/>
          <w:highlight w:val="none"/>
        </w:rPr>
        <w:t>公章）</w:t>
      </w:r>
    </w:p>
    <w:p w14:paraId="41A41430">
      <w:pPr>
        <w:wordWrap w:val="0"/>
        <w:overflowPunct w:val="0"/>
        <w:topLinePunct/>
        <w:spacing w:line="360" w:lineRule="auto"/>
        <w:jc w:val="center"/>
        <w:rPr>
          <w:rFonts w:hint="eastAsia" w:ascii="仿宋" w:hAnsi="仿宋" w:eastAsia="仿宋" w:cs="仿宋"/>
          <w:b w:val="0"/>
          <w:bCs/>
          <w:color w:val="auto"/>
          <w:sz w:val="24"/>
          <w:highlight w:val="none"/>
          <w:u w:val="single"/>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0646A1D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b w:val="0"/>
          <w:bCs/>
          <w:color w:val="auto"/>
          <w:sz w:val="24"/>
          <w:highlight w:val="none"/>
        </w:rPr>
        <w:t>日期：</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年</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月</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日</w:t>
      </w:r>
    </w:p>
    <w:p w14:paraId="0F3C5764">
      <w:pPr>
        <w:pStyle w:val="4"/>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仿宋" w:hAnsi="仿宋" w:eastAsia="仿宋" w:cs="仿宋"/>
          <w:color w:val="auto"/>
          <w:sz w:val="24"/>
          <w:szCs w:val="24"/>
          <w:highlight w:val="none"/>
          <w:lang w:eastAsia="zh-CN"/>
        </w:rPr>
        <w:sectPr>
          <w:pgSz w:w="11906" w:h="16838"/>
          <w:pgMar w:top="1134" w:right="1134" w:bottom="1134" w:left="1134"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34EC2930">
      <w:pPr>
        <w:pStyle w:val="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仿宋" w:hAnsi="仿宋" w:eastAsia="仿宋" w:cs="仿宋"/>
          <w:color w:val="auto"/>
          <w:sz w:val="28"/>
          <w:szCs w:val="28"/>
          <w:highlight w:val="none"/>
          <w:lang w:val="en-US" w:eastAsia="zh-CN"/>
        </w:rPr>
      </w:pPr>
      <w:bookmarkStart w:id="2266" w:name="_Toc4241"/>
      <w:bookmarkStart w:id="2267" w:name="_Toc7667"/>
      <w:bookmarkStart w:id="2268" w:name="_Toc20853"/>
      <w:bookmarkStart w:id="2269" w:name="_Toc30326"/>
      <w:r>
        <w:rPr>
          <w:rFonts w:hint="eastAsia" w:ascii="仿宋" w:hAnsi="仿宋" w:eastAsia="仿宋" w:cs="仿宋"/>
          <w:color w:val="auto"/>
          <w:sz w:val="32"/>
          <w:szCs w:val="32"/>
          <w:highlight w:val="none"/>
          <w:lang w:val="en-US" w:eastAsia="zh-CN"/>
        </w:rPr>
        <w:t>九、</w:t>
      </w:r>
      <w:bookmarkEnd w:id="2266"/>
      <w:bookmarkEnd w:id="2267"/>
      <w:bookmarkEnd w:id="2268"/>
      <w:bookmarkEnd w:id="2269"/>
      <w:r>
        <w:rPr>
          <w:rFonts w:hint="eastAsia" w:ascii="仿宋" w:hAnsi="仿宋" w:eastAsia="仿宋" w:cs="仿宋"/>
          <w:color w:val="auto"/>
          <w:sz w:val="32"/>
          <w:szCs w:val="32"/>
          <w:highlight w:val="none"/>
          <w:lang w:val="en-US" w:eastAsia="zh-CN"/>
        </w:rPr>
        <w:t>产品质量保障方案</w:t>
      </w:r>
    </w:p>
    <w:p w14:paraId="3DB0C423">
      <w:pPr>
        <w:spacing w:line="360" w:lineRule="auto"/>
        <w:jc w:val="center"/>
        <w:outlineLvl w:val="2"/>
        <w:rPr>
          <w:rFonts w:hint="eastAsia" w:ascii="仿宋" w:hAnsi="仿宋" w:eastAsia="仿宋" w:cs="仿宋"/>
          <w:snapToGrid w:val="0"/>
          <w:color w:val="auto"/>
          <w:kern w:val="0"/>
          <w:szCs w:val="20"/>
          <w:highlight w:val="none"/>
        </w:rPr>
      </w:pPr>
      <w:bookmarkStart w:id="2270" w:name="_Toc24249"/>
      <w:bookmarkStart w:id="2271" w:name="_Toc22657"/>
      <w:r>
        <w:rPr>
          <w:rFonts w:hint="eastAsia" w:ascii="仿宋" w:hAnsi="仿宋" w:eastAsia="仿宋" w:cs="仿宋"/>
          <w:snapToGrid w:val="0"/>
          <w:color w:val="auto"/>
          <w:kern w:val="0"/>
          <w:szCs w:val="20"/>
          <w:highlight w:val="none"/>
        </w:rPr>
        <w:t>（格式自拟，内容由</w:t>
      </w:r>
      <w:r>
        <w:rPr>
          <w:rFonts w:hint="eastAsia" w:ascii="仿宋" w:hAnsi="仿宋" w:eastAsia="仿宋" w:cs="仿宋"/>
          <w:snapToGrid w:val="0"/>
          <w:color w:val="auto"/>
          <w:kern w:val="0"/>
          <w:szCs w:val="20"/>
          <w:highlight w:val="none"/>
          <w:lang w:eastAsia="zh-CN"/>
        </w:rPr>
        <w:t>投标人</w:t>
      </w:r>
      <w:r>
        <w:rPr>
          <w:rFonts w:hint="eastAsia" w:ascii="仿宋" w:hAnsi="仿宋" w:eastAsia="仿宋" w:cs="仿宋"/>
          <w:snapToGrid w:val="0"/>
          <w:color w:val="auto"/>
          <w:kern w:val="0"/>
          <w:szCs w:val="20"/>
          <w:highlight w:val="none"/>
        </w:rPr>
        <w:t>根据</w:t>
      </w:r>
      <w:r>
        <w:rPr>
          <w:rFonts w:hint="eastAsia" w:ascii="仿宋" w:hAnsi="仿宋" w:eastAsia="仿宋" w:cs="仿宋"/>
          <w:snapToGrid w:val="0"/>
          <w:color w:val="auto"/>
          <w:kern w:val="0"/>
          <w:szCs w:val="20"/>
          <w:highlight w:val="none"/>
          <w:lang w:eastAsia="zh-CN"/>
        </w:rPr>
        <w:t>评审</w:t>
      </w:r>
      <w:r>
        <w:rPr>
          <w:rFonts w:hint="eastAsia" w:ascii="仿宋" w:hAnsi="仿宋" w:eastAsia="仿宋" w:cs="仿宋"/>
          <w:snapToGrid w:val="0"/>
          <w:color w:val="auto"/>
          <w:kern w:val="0"/>
          <w:szCs w:val="20"/>
          <w:highlight w:val="none"/>
        </w:rPr>
        <w:t>办法并结合自身实际情况自行编写）</w:t>
      </w:r>
      <w:bookmarkEnd w:id="2270"/>
      <w:bookmarkEnd w:id="2271"/>
    </w:p>
    <w:p w14:paraId="08B43C2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23CCBFB5">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rPr>
          <w:rFonts w:hint="eastAsia" w:ascii="仿宋" w:hAnsi="仿宋" w:eastAsia="仿宋" w:cs="仿宋"/>
          <w:b/>
          <w:color w:val="auto"/>
          <w:sz w:val="24"/>
          <w:szCs w:val="24"/>
          <w:highlight w:val="none"/>
          <w:lang w:eastAsia="zh-CN"/>
        </w:rPr>
      </w:pPr>
    </w:p>
    <w:p w14:paraId="42F927A5">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rPr>
          <w:rFonts w:hint="eastAsia" w:ascii="仿宋" w:hAnsi="仿宋" w:eastAsia="仿宋" w:cs="仿宋"/>
          <w:b/>
          <w:color w:val="auto"/>
          <w:sz w:val="24"/>
          <w:szCs w:val="24"/>
          <w:highlight w:val="none"/>
          <w:lang w:eastAsia="zh-CN"/>
        </w:rPr>
      </w:pPr>
    </w:p>
    <w:p w14:paraId="3A7A380E">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rPr>
          <w:rFonts w:hint="eastAsia" w:ascii="仿宋" w:hAnsi="仿宋" w:eastAsia="仿宋" w:cs="仿宋"/>
          <w:b/>
          <w:color w:val="auto"/>
          <w:sz w:val="24"/>
          <w:szCs w:val="24"/>
          <w:highlight w:val="none"/>
          <w:lang w:eastAsia="zh-CN"/>
        </w:rPr>
      </w:pPr>
    </w:p>
    <w:p w14:paraId="0A7CD770">
      <w:pPr>
        <w:wordWrap w:val="0"/>
        <w:overflowPunct w:val="0"/>
        <w:topLinePunct/>
        <w:spacing w:line="360" w:lineRule="auto"/>
        <w:jc w:val="both"/>
        <w:rPr>
          <w:rFonts w:hint="eastAsia" w:ascii="仿宋" w:hAnsi="仿宋" w:eastAsia="仿宋" w:cs="仿宋"/>
          <w:b w:val="0"/>
          <w:bCs/>
          <w:color w:val="auto"/>
          <w:sz w:val="24"/>
          <w:highlight w:val="none"/>
        </w:rPr>
      </w:pPr>
    </w:p>
    <w:p w14:paraId="045925F6">
      <w:pPr>
        <w:wordWrap w:val="0"/>
        <w:overflowPunct w:val="0"/>
        <w:topLinePunct/>
        <w:spacing w:line="360" w:lineRule="auto"/>
        <w:jc w:val="both"/>
        <w:rPr>
          <w:rFonts w:hint="eastAsia" w:ascii="仿宋" w:hAnsi="仿宋" w:eastAsia="仿宋" w:cs="仿宋"/>
          <w:b w:val="0"/>
          <w:bCs/>
          <w:color w:val="auto"/>
          <w:sz w:val="24"/>
          <w:highlight w:val="none"/>
        </w:rPr>
      </w:pPr>
    </w:p>
    <w:p w14:paraId="24108E11">
      <w:pPr>
        <w:wordWrap w:val="0"/>
        <w:overflowPunct w:val="0"/>
        <w:topLinePunct/>
        <w:spacing w:line="360" w:lineRule="auto"/>
        <w:jc w:val="both"/>
        <w:rPr>
          <w:rFonts w:hint="eastAsia" w:ascii="仿宋" w:hAnsi="仿宋" w:eastAsia="仿宋" w:cs="仿宋"/>
          <w:b w:val="0"/>
          <w:bCs/>
          <w:color w:val="auto"/>
          <w:sz w:val="24"/>
          <w:highlight w:val="none"/>
        </w:rPr>
      </w:pPr>
    </w:p>
    <w:p w14:paraId="6D4CF64C">
      <w:pPr>
        <w:wordWrap w:val="0"/>
        <w:overflowPunct w:val="0"/>
        <w:topLinePunct/>
        <w:spacing w:line="360" w:lineRule="auto"/>
        <w:jc w:val="both"/>
        <w:rPr>
          <w:rFonts w:hint="eastAsia" w:ascii="仿宋" w:hAnsi="仿宋" w:eastAsia="仿宋" w:cs="仿宋"/>
          <w:b w:val="0"/>
          <w:bCs/>
          <w:color w:val="auto"/>
          <w:sz w:val="24"/>
          <w:highlight w:val="none"/>
        </w:rPr>
      </w:pPr>
    </w:p>
    <w:p w14:paraId="56990A7A">
      <w:pPr>
        <w:wordWrap w:val="0"/>
        <w:overflowPunct w:val="0"/>
        <w:topLinePunct/>
        <w:spacing w:line="360" w:lineRule="auto"/>
        <w:jc w:val="both"/>
        <w:rPr>
          <w:rFonts w:hint="eastAsia" w:ascii="仿宋" w:hAnsi="仿宋" w:eastAsia="仿宋" w:cs="仿宋"/>
          <w:b w:val="0"/>
          <w:bCs/>
          <w:color w:val="auto"/>
          <w:sz w:val="24"/>
          <w:highlight w:val="none"/>
        </w:rPr>
      </w:pPr>
    </w:p>
    <w:p w14:paraId="5B3AB6AC">
      <w:pPr>
        <w:wordWrap w:val="0"/>
        <w:overflowPunct w:val="0"/>
        <w:topLinePunct/>
        <w:spacing w:line="360" w:lineRule="auto"/>
        <w:jc w:val="both"/>
        <w:rPr>
          <w:rFonts w:hint="eastAsia" w:ascii="仿宋" w:hAnsi="仿宋" w:eastAsia="仿宋" w:cs="仿宋"/>
          <w:b w:val="0"/>
          <w:bCs/>
          <w:color w:val="auto"/>
          <w:sz w:val="24"/>
          <w:highlight w:val="none"/>
        </w:rPr>
      </w:pPr>
    </w:p>
    <w:p w14:paraId="779FC9D7">
      <w:pPr>
        <w:wordWrap w:val="0"/>
        <w:overflowPunct w:val="0"/>
        <w:topLinePunct/>
        <w:spacing w:line="360" w:lineRule="auto"/>
        <w:jc w:val="both"/>
        <w:rPr>
          <w:rFonts w:hint="eastAsia" w:ascii="仿宋" w:hAnsi="仿宋" w:eastAsia="仿宋" w:cs="仿宋"/>
          <w:b w:val="0"/>
          <w:bCs/>
          <w:color w:val="auto"/>
          <w:sz w:val="24"/>
          <w:highlight w:val="none"/>
        </w:rPr>
      </w:pPr>
    </w:p>
    <w:p w14:paraId="62757E49">
      <w:pPr>
        <w:wordWrap w:val="0"/>
        <w:overflowPunct w:val="0"/>
        <w:topLinePunct/>
        <w:spacing w:line="360" w:lineRule="auto"/>
        <w:jc w:val="both"/>
        <w:rPr>
          <w:rFonts w:hint="eastAsia" w:ascii="仿宋" w:hAnsi="仿宋" w:eastAsia="仿宋" w:cs="仿宋"/>
          <w:b w:val="0"/>
          <w:bCs/>
          <w:color w:val="auto"/>
          <w:sz w:val="24"/>
          <w:highlight w:val="none"/>
        </w:rPr>
      </w:pPr>
    </w:p>
    <w:p w14:paraId="6F0DA5D4">
      <w:pPr>
        <w:wordWrap w:val="0"/>
        <w:overflowPunct w:val="0"/>
        <w:topLinePunct/>
        <w:spacing w:line="360" w:lineRule="auto"/>
        <w:jc w:val="both"/>
        <w:rPr>
          <w:rFonts w:hint="eastAsia" w:ascii="仿宋" w:hAnsi="仿宋" w:eastAsia="仿宋" w:cs="仿宋"/>
          <w:b w:val="0"/>
          <w:bCs/>
          <w:color w:val="auto"/>
          <w:sz w:val="24"/>
          <w:highlight w:val="none"/>
        </w:rPr>
      </w:pPr>
    </w:p>
    <w:p w14:paraId="4BE5FD69">
      <w:pPr>
        <w:wordWrap w:val="0"/>
        <w:overflowPunct w:val="0"/>
        <w:topLinePunct/>
        <w:spacing w:line="360" w:lineRule="auto"/>
        <w:jc w:val="both"/>
        <w:rPr>
          <w:rFonts w:hint="eastAsia" w:ascii="仿宋" w:hAnsi="仿宋" w:eastAsia="仿宋" w:cs="仿宋"/>
          <w:b w:val="0"/>
          <w:bCs/>
          <w:color w:val="auto"/>
          <w:sz w:val="24"/>
          <w:highlight w:val="none"/>
        </w:rPr>
      </w:pPr>
    </w:p>
    <w:p w14:paraId="26DE9966">
      <w:pPr>
        <w:wordWrap w:val="0"/>
        <w:overflowPunct w:val="0"/>
        <w:topLinePunct/>
        <w:spacing w:line="360" w:lineRule="auto"/>
        <w:jc w:val="both"/>
        <w:rPr>
          <w:rFonts w:hint="eastAsia" w:ascii="仿宋" w:hAnsi="仿宋" w:eastAsia="仿宋" w:cs="仿宋"/>
          <w:b w:val="0"/>
          <w:bCs/>
          <w:color w:val="auto"/>
          <w:sz w:val="24"/>
          <w:highlight w:val="none"/>
        </w:rPr>
      </w:pPr>
    </w:p>
    <w:p w14:paraId="2C76A4B2">
      <w:pPr>
        <w:wordWrap w:val="0"/>
        <w:overflowPunct w:val="0"/>
        <w:topLinePunct/>
        <w:spacing w:line="360" w:lineRule="auto"/>
        <w:jc w:val="both"/>
        <w:rPr>
          <w:rFonts w:hint="eastAsia" w:ascii="仿宋" w:hAnsi="仿宋" w:eastAsia="仿宋" w:cs="仿宋"/>
          <w:b w:val="0"/>
          <w:bCs/>
          <w:color w:val="auto"/>
          <w:sz w:val="24"/>
          <w:highlight w:val="none"/>
        </w:rPr>
      </w:pPr>
    </w:p>
    <w:p w14:paraId="57013DC5">
      <w:pPr>
        <w:wordWrap w:val="0"/>
        <w:overflowPunct w:val="0"/>
        <w:topLinePunct/>
        <w:spacing w:line="360" w:lineRule="auto"/>
        <w:jc w:val="both"/>
        <w:rPr>
          <w:rFonts w:hint="eastAsia" w:ascii="仿宋" w:hAnsi="仿宋" w:eastAsia="仿宋" w:cs="仿宋"/>
          <w:b w:val="0"/>
          <w:bCs/>
          <w:color w:val="auto"/>
          <w:sz w:val="24"/>
          <w:highlight w:val="none"/>
        </w:rPr>
      </w:pPr>
    </w:p>
    <w:p w14:paraId="75307E74">
      <w:pPr>
        <w:wordWrap w:val="0"/>
        <w:overflowPunct w:val="0"/>
        <w:topLinePunct/>
        <w:spacing w:line="360" w:lineRule="auto"/>
        <w:jc w:val="both"/>
        <w:rPr>
          <w:rFonts w:hint="eastAsia" w:ascii="仿宋" w:hAnsi="仿宋" w:eastAsia="仿宋" w:cs="仿宋"/>
          <w:b w:val="0"/>
          <w:bCs/>
          <w:color w:val="auto"/>
          <w:sz w:val="24"/>
          <w:highlight w:val="none"/>
        </w:rPr>
      </w:pPr>
    </w:p>
    <w:p w14:paraId="7CC830E7">
      <w:pPr>
        <w:wordWrap w:val="0"/>
        <w:overflowPunct w:val="0"/>
        <w:topLinePunct/>
        <w:spacing w:line="360" w:lineRule="auto"/>
        <w:jc w:val="both"/>
        <w:rPr>
          <w:rFonts w:hint="eastAsia" w:ascii="仿宋" w:hAnsi="仿宋" w:eastAsia="仿宋" w:cs="仿宋"/>
          <w:b w:val="0"/>
          <w:bCs/>
          <w:color w:val="auto"/>
          <w:sz w:val="24"/>
          <w:highlight w:val="none"/>
        </w:rPr>
      </w:pPr>
    </w:p>
    <w:p w14:paraId="28526E60">
      <w:pPr>
        <w:wordWrap w:val="0"/>
        <w:overflowPunct w:val="0"/>
        <w:topLinePunct/>
        <w:spacing w:line="360" w:lineRule="auto"/>
        <w:jc w:val="both"/>
        <w:rPr>
          <w:rFonts w:hint="eastAsia" w:ascii="仿宋" w:hAnsi="仿宋" w:eastAsia="仿宋" w:cs="仿宋"/>
          <w:b w:val="0"/>
          <w:bCs/>
          <w:color w:val="auto"/>
          <w:sz w:val="24"/>
          <w:highlight w:val="none"/>
        </w:rPr>
      </w:pPr>
    </w:p>
    <w:p w14:paraId="3479C540">
      <w:pPr>
        <w:wordWrap w:val="0"/>
        <w:overflowPunct w:val="0"/>
        <w:topLinePunct/>
        <w:spacing w:line="360" w:lineRule="auto"/>
        <w:jc w:val="both"/>
        <w:rPr>
          <w:rFonts w:hint="eastAsia" w:ascii="仿宋" w:hAnsi="仿宋" w:eastAsia="仿宋" w:cs="仿宋"/>
          <w:b w:val="0"/>
          <w:bCs/>
          <w:color w:val="auto"/>
          <w:sz w:val="24"/>
          <w:highlight w:val="none"/>
        </w:rPr>
      </w:pPr>
    </w:p>
    <w:p w14:paraId="5DAE1D37">
      <w:pPr>
        <w:wordWrap w:val="0"/>
        <w:overflowPunct w:val="0"/>
        <w:topLinePunct/>
        <w:spacing w:line="360" w:lineRule="auto"/>
        <w:jc w:val="both"/>
        <w:rPr>
          <w:rFonts w:hint="eastAsia" w:ascii="仿宋" w:hAnsi="仿宋" w:eastAsia="仿宋" w:cs="仿宋"/>
          <w:b w:val="0"/>
          <w:bCs/>
          <w:color w:val="auto"/>
          <w:sz w:val="24"/>
          <w:highlight w:val="none"/>
        </w:rPr>
      </w:pPr>
    </w:p>
    <w:p w14:paraId="78C78F27">
      <w:pPr>
        <w:wordWrap w:val="0"/>
        <w:overflowPunct w:val="0"/>
        <w:topLinePunct/>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rPr>
        <w:t>（</w:t>
      </w:r>
      <w:r>
        <w:rPr>
          <w:rFonts w:hint="eastAsia" w:ascii="仿宋" w:hAnsi="仿宋" w:eastAsia="仿宋" w:cs="仿宋"/>
          <w:color w:val="auto"/>
          <w:sz w:val="24"/>
          <w:highlight w:val="none"/>
          <w:u w:val="none"/>
          <w:lang w:val="en-US" w:eastAsia="zh-CN"/>
        </w:rPr>
        <w:t>加盖电子</w:t>
      </w:r>
      <w:r>
        <w:rPr>
          <w:rFonts w:hint="eastAsia" w:ascii="仿宋" w:hAnsi="仿宋" w:eastAsia="仿宋" w:cs="仿宋"/>
          <w:color w:val="auto"/>
          <w:sz w:val="24"/>
          <w:highlight w:val="none"/>
        </w:rPr>
        <w:t>公章）</w:t>
      </w:r>
    </w:p>
    <w:p w14:paraId="0A5927CE">
      <w:pPr>
        <w:wordWrap w:val="0"/>
        <w:overflowPunct w:val="0"/>
        <w:topLinePunct/>
        <w:spacing w:line="360" w:lineRule="auto"/>
        <w:jc w:val="center"/>
        <w:rPr>
          <w:rFonts w:hint="eastAsia" w:ascii="仿宋" w:hAnsi="仿宋" w:eastAsia="仿宋" w:cs="仿宋"/>
          <w:b w:val="0"/>
          <w:bCs/>
          <w:color w:val="auto"/>
          <w:sz w:val="24"/>
          <w:highlight w:val="none"/>
          <w:u w:val="single"/>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7FE253D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val="0"/>
          <w:bCs/>
          <w:color w:val="auto"/>
          <w:sz w:val="24"/>
          <w:highlight w:val="none"/>
        </w:rPr>
        <w:t>日期：</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年</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月</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日</w:t>
      </w:r>
    </w:p>
    <w:p w14:paraId="5AC880AE">
      <w:pPr>
        <w:pStyle w:val="4"/>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仿宋" w:hAnsi="仿宋" w:eastAsia="仿宋" w:cs="仿宋"/>
          <w:color w:val="auto"/>
          <w:sz w:val="24"/>
          <w:szCs w:val="24"/>
          <w:highlight w:val="none"/>
          <w:lang w:eastAsia="zh-CN"/>
        </w:rPr>
        <w:sectPr>
          <w:pgSz w:w="11906" w:h="16838"/>
          <w:pgMar w:top="1134" w:right="1134" w:bottom="1134" w:left="1134"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41C611EE">
      <w:pPr>
        <w:pStyle w:val="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仿宋" w:hAnsi="仿宋" w:eastAsia="仿宋" w:cs="仿宋"/>
          <w:color w:val="auto"/>
          <w:sz w:val="28"/>
          <w:szCs w:val="28"/>
          <w:highlight w:val="none"/>
          <w:lang w:eastAsia="zh-CN"/>
        </w:rPr>
      </w:pPr>
      <w:bookmarkStart w:id="2272" w:name="_Toc21199"/>
      <w:bookmarkStart w:id="2273" w:name="_Toc25023"/>
      <w:bookmarkStart w:id="2274" w:name="_Toc10002"/>
      <w:bookmarkStart w:id="2275" w:name="_Toc22732"/>
      <w:r>
        <w:rPr>
          <w:rFonts w:hint="eastAsia" w:ascii="仿宋" w:hAnsi="仿宋" w:eastAsia="仿宋" w:cs="仿宋"/>
          <w:color w:val="auto"/>
          <w:sz w:val="32"/>
          <w:szCs w:val="32"/>
          <w:highlight w:val="none"/>
          <w:lang w:val="en-US" w:eastAsia="zh-CN"/>
        </w:rPr>
        <w:t>十、</w:t>
      </w:r>
      <w:bookmarkEnd w:id="2272"/>
      <w:bookmarkEnd w:id="2273"/>
      <w:bookmarkEnd w:id="2274"/>
      <w:bookmarkEnd w:id="2275"/>
      <w:r>
        <w:rPr>
          <w:rFonts w:hint="eastAsia" w:ascii="仿宋" w:hAnsi="仿宋" w:eastAsia="仿宋" w:cs="仿宋"/>
          <w:color w:val="auto"/>
          <w:sz w:val="32"/>
          <w:szCs w:val="32"/>
          <w:highlight w:val="none"/>
          <w:lang w:val="en-US" w:eastAsia="zh-CN"/>
        </w:rPr>
        <w:t>应急响应服务措施</w:t>
      </w:r>
    </w:p>
    <w:p w14:paraId="28EAB902">
      <w:pPr>
        <w:spacing w:line="360" w:lineRule="auto"/>
        <w:jc w:val="center"/>
        <w:outlineLvl w:val="2"/>
        <w:rPr>
          <w:rFonts w:hint="eastAsia" w:ascii="仿宋" w:hAnsi="仿宋" w:eastAsia="仿宋" w:cs="仿宋"/>
          <w:snapToGrid w:val="0"/>
          <w:color w:val="auto"/>
          <w:kern w:val="0"/>
          <w:szCs w:val="20"/>
          <w:highlight w:val="none"/>
        </w:rPr>
      </w:pPr>
      <w:bookmarkStart w:id="2276" w:name="_Toc14816"/>
      <w:bookmarkStart w:id="2277" w:name="_Toc14993"/>
      <w:r>
        <w:rPr>
          <w:rFonts w:hint="eastAsia" w:ascii="仿宋" w:hAnsi="仿宋" w:eastAsia="仿宋" w:cs="仿宋"/>
          <w:snapToGrid w:val="0"/>
          <w:color w:val="auto"/>
          <w:kern w:val="0"/>
          <w:szCs w:val="20"/>
          <w:highlight w:val="none"/>
        </w:rPr>
        <w:t>（格式自拟，内容由</w:t>
      </w:r>
      <w:r>
        <w:rPr>
          <w:rFonts w:hint="eastAsia" w:ascii="仿宋" w:hAnsi="仿宋" w:eastAsia="仿宋" w:cs="仿宋"/>
          <w:snapToGrid w:val="0"/>
          <w:color w:val="auto"/>
          <w:kern w:val="0"/>
          <w:szCs w:val="20"/>
          <w:highlight w:val="none"/>
          <w:lang w:eastAsia="zh-CN"/>
        </w:rPr>
        <w:t>投标人</w:t>
      </w:r>
      <w:r>
        <w:rPr>
          <w:rFonts w:hint="eastAsia" w:ascii="仿宋" w:hAnsi="仿宋" w:eastAsia="仿宋" w:cs="仿宋"/>
          <w:snapToGrid w:val="0"/>
          <w:color w:val="auto"/>
          <w:kern w:val="0"/>
          <w:szCs w:val="20"/>
          <w:highlight w:val="none"/>
        </w:rPr>
        <w:t>根据</w:t>
      </w:r>
      <w:r>
        <w:rPr>
          <w:rFonts w:hint="eastAsia" w:ascii="仿宋" w:hAnsi="仿宋" w:eastAsia="仿宋" w:cs="仿宋"/>
          <w:snapToGrid w:val="0"/>
          <w:color w:val="auto"/>
          <w:kern w:val="0"/>
          <w:szCs w:val="20"/>
          <w:highlight w:val="none"/>
          <w:lang w:eastAsia="zh-CN"/>
        </w:rPr>
        <w:t>评审</w:t>
      </w:r>
      <w:r>
        <w:rPr>
          <w:rFonts w:hint="eastAsia" w:ascii="仿宋" w:hAnsi="仿宋" w:eastAsia="仿宋" w:cs="仿宋"/>
          <w:snapToGrid w:val="0"/>
          <w:color w:val="auto"/>
          <w:kern w:val="0"/>
          <w:szCs w:val="20"/>
          <w:highlight w:val="none"/>
        </w:rPr>
        <w:t>办法并结合自身实际情况自行编写）</w:t>
      </w:r>
      <w:bookmarkEnd w:id="2276"/>
      <w:bookmarkEnd w:id="2277"/>
    </w:p>
    <w:p w14:paraId="6F96383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仿宋" w:hAnsi="仿宋" w:eastAsia="仿宋" w:cs="仿宋"/>
          <w:color w:val="auto"/>
          <w:sz w:val="24"/>
          <w:szCs w:val="24"/>
          <w:highlight w:val="none"/>
          <w:lang w:eastAsia="zh-CN"/>
        </w:rPr>
      </w:pPr>
    </w:p>
    <w:p w14:paraId="3429462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仿宋" w:hAnsi="仿宋" w:eastAsia="仿宋" w:cs="仿宋"/>
          <w:color w:val="auto"/>
          <w:sz w:val="24"/>
          <w:szCs w:val="24"/>
          <w:highlight w:val="none"/>
          <w:lang w:eastAsia="zh-CN"/>
        </w:rPr>
      </w:pPr>
    </w:p>
    <w:p w14:paraId="47EDC6B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仿宋" w:hAnsi="仿宋" w:eastAsia="仿宋" w:cs="仿宋"/>
          <w:color w:val="auto"/>
          <w:sz w:val="24"/>
          <w:szCs w:val="24"/>
          <w:highlight w:val="none"/>
          <w:lang w:eastAsia="zh-CN"/>
        </w:rPr>
      </w:pPr>
    </w:p>
    <w:p w14:paraId="5980A32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仿宋" w:hAnsi="仿宋" w:eastAsia="仿宋" w:cs="仿宋"/>
          <w:color w:val="auto"/>
          <w:sz w:val="24"/>
          <w:szCs w:val="24"/>
          <w:highlight w:val="none"/>
          <w:lang w:eastAsia="zh-CN"/>
        </w:rPr>
      </w:pPr>
    </w:p>
    <w:p w14:paraId="4EB039E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仿宋" w:hAnsi="仿宋" w:eastAsia="仿宋" w:cs="仿宋"/>
          <w:color w:val="auto"/>
          <w:sz w:val="24"/>
          <w:szCs w:val="24"/>
          <w:highlight w:val="none"/>
          <w:lang w:eastAsia="zh-CN"/>
        </w:rPr>
      </w:pPr>
    </w:p>
    <w:p w14:paraId="66EC667B">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rPr>
          <w:rFonts w:hint="eastAsia" w:ascii="仿宋" w:hAnsi="仿宋" w:eastAsia="仿宋" w:cs="仿宋"/>
          <w:b/>
          <w:color w:val="auto"/>
          <w:sz w:val="24"/>
          <w:szCs w:val="24"/>
          <w:highlight w:val="none"/>
          <w:lang w:eastAsia="zh-CN"/>
        </w:rPr>
      </w:pPr>
    </w:p>
    <w:p w14:paraId="1A4852B6">
      <w:pPr>
        <w:wordWrap w:val="0"/>
        <w:overflowPunct w:val="0"/>
        <w:topLinePunct/>
        <w:spacing w:line="360" w:lineRule="auto"/>
        <w:jc w:val="both"/>
        <w:rPr>
          <w:rFonts w:hint="eastAsia" w:ascii="仿宋" w:hAnsi="仿宋" w:eastAsia="仿宋" w:cs="仿宋"/>
          <w:b w:val="0"/>
          <w:bCs/>
          <w:color w:val="auto"/>
          <w:sz w:val="24"/>
          <w:highlight w:val="none"/>
        </w:rPr>
      </w:pPr>
    </w:p>
    <w:p w14:paraId="2EF8DB8C">
      <w:pPr>
        <w:wordWrap w:val="0"/>
        <w:overflowPunct w:val="0"/>
        <w:topLinePunct/>
        <w:spacing w:line="360" w:lineRule="auto"/>
        <w:jc w:val="both"/>
        <w:rPr>
          <w:rFonts w:hint="eastAsia" w:ascii="仿宋" w:hAnsi="仿宋" w:eastAsia="仿宋" w:cs="仿宋"/>
          <w:b w:val="0"/>
          <w:bCs/>
          <w:color w:val="auto"/>
          <w:sz w:val="24"/>
          <w:highlight w:val="none"/>
        </w:rPr>
      </w:pPr>
    </w:p>
    <w:p w14:paraId="48E3A1D7">
      <w:pPr>
        <w:wordWrap w:val="0"/>
        <w:overflowPunct w:val="0"/>
        <w:topLinePunct/>
        <w:spacing w:line="360" w:lineRule="auto"/>
        <w:jc w:val="both"/>
        <w:rPr>
          <w:rFonts w:hint="eastAsia" w:ascii="仿宋" w:hAnsi="仿宋" w:eastAsia="仿宋" w:cs="仿宋"/>
          <w:b w:val="0"/>
          <w:bCs/>
          <w:color w:val="auto"/>
          <w:sz w:val="24"/>
          <w:highlight w:val="none"/>
        </w:rPr>
      </w:pPr>
    </w:p>
    <w:p w14:paraId="19287D1B">
      <w:pPr>
        <w:wordWrap w:val="0"/>
        <w:overflowPunct w:val="0"/>
        <w:topLinePunct/>
        <w:spacing w:line="360" w:lineRule="auto"/>
        <w:jc w:val="both"/>
        <w:rPr>
          <w:rFonts w:hint="eastAsia" w:ascii="仿宋" w:hAnsi="仿宋" w:eastAsia="仿宋" w:cs="仿宋"/>
          <w:b w:val="0"/>
          <w:bCs/>
          <w:color w:val="auto"/>
          <w:sz w:val="24"/>
          <w:highlight w:val="none"/>
        </w:rPr>
      </w:pPr>
    </w:p>
    <w:p w14:paraId="4B509FDD">
      <w:pPr>
        <w:wordWrap w:val="0"/>
        <w:overflowPunct w:val="0"/>
        <w:topLinePunct/>
        <w:spacing w:line="360" w:lineRule="auto"/>
        <w:jc w:val="both"/>
        <w:rPr>
          <w:rFonts w:hint="eastAsia" w:ascii="仿宋" w:hAnsi="仿宋" w:eastAsia="仿宋" w:cs="仿宋"/>
          <w:b w:val="0"/>
          <w:bCs/>
          <w:color w:val="auto"/>
          <w:sz w:val="24"/>
          <w:highlight w:val="none"/>
        </w:rPr>
      </w:pPr>
    </w:p>
    <w:p w14:paraId="022D552F">
      <w:pPr>
        <w:wordWrap w:val="0"/>
        <w:overflowPunct w:val="0"/>
        <w:topLinePunct/>
        <w:spacing w:line="360" w:lineRule="auto"/>
        <w:jc w:val="both"/>
        <w:rPr>
          <w:rFonts w:hint="eastAsia" w:ascii="仿宋" w:hAnsi="仿宋" w:eastAsia="仿宋" w:cs="仿宋"/>
          <w:b w:val="0"/>
          <w:bCs/>
          <w:color w:val="auto"/>
          <w:sz w:val="24"/>
          <w:highlight w:val="none"/>
        </w:rPr>
      </w:pPr>
    </w:p>
    <w:p w14:paraId="2B6662DB">
      <w:pPr>
        <w:wordWrap w:val="0"/>
        <w:overflowPunct w:val="0"/>
        <w:topLinePunct/>
        <w:spacing w:line="360" w:lineRule="auto"/>
        <w:jc w:val="both"/>
        <w:rPr>
          <w:rFonts w:hint="eastAsia" w:ascii="仿宋" w:hAnsi="仿宋" w:eastAsia="仿宋" w:cs="仿宋"/>
          <w:b w:val="0"/>
          <w:bCs/>
          <w:color w:val="auto"/>
          <w:sz w:val="24"/>
          <w:highlight w:val="none"/>
        </w:rPr>
      </w:pPr>
    </w:p>
    <w:p w14:paraId="5757D93E">
      <w:pPr>
        <w:wordWrap w:val="0"/>
        <w:overflowPunct w:val="0"/>
        <w:topLinePunct/>
        <w:spacing w:line="360" w:lineRule="auto"/>
        <w:jc w:val="both"/>
        <w:rPr>
          <w:rFonts w:hint="eastAsia" w:ascii="仿宋" w:hAnsi="仿宋" w:eastAsia="仿宋" w:cs="仿宋"/>
          <w:b w:val="0"/>
          <w:bCs/>
          <w:color w:val="auto"/>
          <w:sz w:val="24"/>
          <w:highlight w:val="none"/>
        </w:rPr>
      </w:pPr>
    </w:p>
    <w:p w14:paraId="406A002A">
      <w:pPr>
        <w:wordWrap w:val="0"/>
        <w:overflowPunct w:val="0"/>
        <w:topLinePunct/>
        <w:spacing w:line="360" w:lineRule="auto"/>
        <w:jc w:val="both"/>
        <w:rPr>
          <w:rFonts w:hint="eastAsia" w:ascii="仿宋" w:hAnsi="仿宋" w:eastAsia="仿宋" w:cs="仿宋"/>
          <w:b w:val="0"/>
          <w:bCs/>
          <w:color w:val="auto"/>
          <w:sz w:val="24"/>
          <w:highlight w:val="none"/>
        </w:rPr>
      </w:pPr>
    </w:p>
    <w:p w14:paraId="34586D70">
      <w:pPr>
        <w:wordWrap w:val="0"/>
        <w:overflowPunct w:val="0"/>
        <w:topLinePunct/>
        <w:spacing w:line="360" w:lineRule="auto"/>
        <w:jc w:val="both"/>
        <w:rPr>
          <w:rFonts w:hint="eastAsia" w:ascii="仿宋" w:hAnsi="仿宋" w:eastAsia="仿宋" w:cs="仿宋"/>
          <w:b w:val="0"/>
          <w:bCs/>
          <w:color w:val="auto"/>
          <w:sz w:val="24"/>
          <w:highlight w:val="none"/>
        </w:rPr>
      </w:pPr>
    </w:p>
    <w:p w14:paraId="6DEA0D0C">
      <w:pPr>
        <w:wordWrap w:val="0"/>
        <w:overflowPunct w:val="0"/>
        <w:topLinePunct/>
        <w:spacing w:line="360" w:lineRule="auto"/>
        <w:jc w:val="both"/>
        <w:rPr>
          <w:rFonts w:hint="eastAsia" w:ascii="仿宋" w:hAnsi="仿宋" w:eastAsia="仿宋" w:cs="仿宋"/>
          <w:b w:val="0"/>
          <w:bCs/>
          <w:color w:val="auto"/>
          <w:sz w:val="24"/>
          <w:highlight w:val="none"/>
        </w:rPr>
      </w:pPr>
    </w:p>
    <w:p w14:paraId="164155EC">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30DD475C">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4E094E03">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66C81965">
      <w:pPr>
        <w:wordWrap w:val="0"/>
        <w:overflowPunct w:val="0"/>
        <w:topLinePunct/>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rPr>
        <w:t>（</w:t>
      </w:r>
      <w:r>
        <w:rPr>
          <w:rFonts w:hint="eastAsia" w:ascii="仿宋" w:hAnsi="仿宋" w:eastAsia="仿宋" w:cs="仿宋"/>
          <w:color w:val="auto"/>
          <w:sz w:val="24"/>
          <w:highlight w:val="none"/>
          <w:u w:val="none"/>
          <w:lang w:val="en-US" w:eastAsia="zh-CN"/>
        </w:rPr>
        <w:t>加盖电子</w:t>
      </w:r>
      <w:r>
        <w:rPr>
          <w:rFonts w:hint="eastAsia" w:ascii="仿宋" w:hAnsi="仿宋" w:eastAsia="仿宋" w:cs="仿宋"/>
          <w:color w:val="auto"/>
          <w:sz w:val="24"/>
          <w:highlight w:val="none"/>
        </w:rPr>
        <w:t>公章）</w:t>
      </w:r>
    </w:p>
    <w:p w14:paraId="5A971EF2">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3D4764F0">
      <w:pPr>
        <w:wordWrap w:val="0"/>
        <w:overflowPunct w:val="0"/>
        <w:topLinePunct/>
        <w:spacing w:line="360" w:lineRule="auto"/>
        <w:jc w:val="center"/>
        <w:rPr>
          <w:rFonts w:hint="eastAsia" w:ascii="仿宋" w:hAnsi="仿宋" w:eastAsia="仿宋" w:cs="仿宋"/>
          <w:b w:val="0"/>
          <w:bCs/>
          <w:color w:val="auto"/>
          <w:sz w:val="24"/>
          <w:highlight w:val="none"/>
        </w:rPr>
      </w:pPr>
      <w:r>
        <w:rPr>
          <w:rFonts w:hint="eastAsia" w:ascii="仿宋" w:hAnsi="仿宋" w:eastAsia="仿宋" w:cs="仿宋"/>
          <w:color w:val="auto"/>
          <w:sz w:val="24"/>
          <w:szCs w:val="24"/>
          <w:highlight w:val="none"/>
          <w:lang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p>
    <w:p w14:paraId="3E0B79CE">
      <w:pPr>
        <w:jc w:val="both"/>
        <w:rPr>
          <w:rFonts w:hint="eastAsia" w:ascii="仿宋" w:hAnsi="仿宋" w:eastAsia="仿宋" w:cs="仿宋"/>
          <w:b/>
          <w:color w:val="auto"/>
          <w:sz w:val="28"/>
          <w:szCs w:val="28"/>
          <w:highlight w:val="none"/>
          <w:lang w:eastAsia="zh-CN"/>
        </w:rPr>
        <w:sectPr>
          <w:pgSz w:w="11906" w:h="16838"/>
          <w:pgMar w:top="1134" w:right="1134" w:bottom="1134" w:left="1134"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763BC23B">
      <w:pPr>
        <w:pStyle w:val="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仿宋" w:hAnsi="仿宋" w:eastAsia="仿宋" w:cs="仿宋"/>
          <w:color w:val="auto"/>
          <w:sz w:val="28"/>
          <w:szCs w:val="28"/>
          <w:highlight w:val="none"/>
          <w:lang w:eastAsia="zh-CN"/>
        </w:rPr>
      </w:pPr>
      <w:bookmarkStart w:id="2278" w:name="_Toc1374"/>
      <w:bookmarkStart w:id="2279" w:name="_Toc20689"/>
      <w:r>
        <w:rPr>
          <w:rFonts w:hint="eastAsia" w:ascii="仿宋" w:hAnsi="仿宋" w:eastAsia="仿宋" w:cs="仿宋"/>
          <w:color w:val="auto"/>
          <w:sz w:val="32"/>
          <w:szCs w:val="32"/>
          <w:highlight w:val="none"/>
          <w:lang w:val="en-US" w:eastAsia="zh-CN"/>
        </w:rPr>
        <w:t>十一、售后服务方案</w:t>
      </w:r>
      <w:bookmarkEnd w:id="2278"/>
      <w:bookmarkEnd w:id="2279"/>
    </w:p>
    <w:p w14:paraId="3EB0DE94">
      <w:pPr>
        <w:spacing w:line="360" w:lineRule="auto"/>
        <w:jc w:val="center"/>
        <w:outlineLvl w:val="2"/>
        <w:rPr>
          <w:rFonts w:hint="eastAsia" w:ascii="仿宋" w:hAnsi="仿宋" w:eastAsia="仿宋" w:cs="仿宋"/>
          <w:snapToGrid w:val="0"/>
          <w:color w:val="auto"/>
          <w:kern w:val="0"/>
          <w:szCs w:val="20"/>
          <w:highlight w:val="none"/>
        </w:rPr>
      </w:pPr>
      <w:bookmarkStart w:id="2280" w:name="_Toc9520"/>
      <w:bookmarkStart w:id="2281" w:name="_Toc26269"/>
      <w:r>
        <w:rPr>
          <w:rFonts w:hint="eastAsia" w:ascii="仿宋" w:hAnsi="仿宋" w:eastAsia="仿宋" w:cs="仿宋"/>
          <w:snapToGrid w:val="0"/>
          <w:color w:val="auto"/>
          <w:kern w:val="0"/>
          <w:szCs w:val="20"/>
          <w:highlight w:val="none"/>
        </w:rPr>
        <w:t>（格式自拟，内容由</w:t>
      </w:r>
      <w:r>
        <w:rPr>
          <w:rFonts w:hint="eastAsia" w:ascii="仿宋" w:hAnsi="仿宋" w:eastAsia="仿宋" w:cs="仿宋"/>
          <w:snapToGrid w:val="0"/>
          <w:color w:val="auto"/>
          <w:kern w:val="0"/>
          <w:szCs w:val="20"/>
          <w:highlight w:val="none"/>
          <w:lang w:eastAsia="zh-CN"/>
        </w:rPr>
        <w:t>投标人</w:t>
      </w:r>
      <w:r>
        <w:rPr>
          <w:rFonts w:hint="eastAsia" w:ascii="仿宋" w:hAnsi="仿宋" w:eastAsia="仿宋" w:cs="仿宋"/>
          <w:snapToGrid w:val="0"/>
          <w:color w:val="auto"/>
          <w:kern w:val="0"/>
          <w:szCs w:val="20"/>
          <w:highlight w:val="none"/>
        </w:rPr>
        <w:t>根据</w:t>
      </w:r>
      <w:r>
        <w:rPr>
          <w:rFonts w:hint="eastAsia" w:ascii="仿宋" w:hAnsi="仿宋" w:eastAsia="仿宋" w:cs="仿宋"/>
          <w:snapToGrid w:val="0"/>
          <w:color w:val="auto"/>
          <w:kern w:val="0"/>
          <w:szCs w:val="20"/>
          <w:highlight w:val="none"/>
          <w:lang w:eastAsia="zh-CN"/>
        </w:rPr>
        <w:t>评审</w:t>
      </w:r>
      <w:r>
        <w:rPr>
          <w:rFonts w:hint="eastAsia" w:ascii="仿宋" w:hAnsi="仿宋" w:eastAsia="仿宋" w:cs="仿宋"/>
          <w:snapToGrid w:val="0"/>
          <w:color w:val="auto"/>
          <w:kern w:val="0"/>
          <w:szCs w:val="20"/>
          <w:highlight w:val="none"/>
        </w:rPr>
        <w:t>办法并结合自身实际情况自行编写）</w:t>
      </w:r>
      <w:bookmarkEnd w:id="2280"/>
      <w:bookmarkEnd w:id="2281"/>
    </w:p>
    <w:p w14:paraId="337FC90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仿宋" w:hAnsi="仿宋" w:eastAsia="仿宋" w:cs="仿宋"/>
          <w:color w:val="auto"/>
          <w:sz w:val="24"/>
          <w:szCs w:val="24"/>
          <w:highlight w:val="none"/>
          <w:lang w:eastAsia="zh-CN"/>
        </w:rPr>
      </w:pPr>
    </w:p>
    <w:p w14:paraId="52D41E1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仿宋" w:hAnsi="仿宋" w:eastAsia="仿宋" w:cs="仿宋"/>
          <w:color w:val="auto"/>
          <w:sz w:val="24"/>
          <w:szCs w:val="24"/>
          <w:highlight w:val="none"/>
          <w:lang w:eastAsia="zh-CN"/>
        </w:rPr>
      </w:pPr>
    </w:p>
    <w:p w14:paraId="26FD592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仿宋" w:hAnsi="仿宋" w:eastAsia="仿宋" w:cs="仿宋"/>
          <w:color w:val="auto"/>
          <w:sz w:val="24"/>
          <w:szCs w:val="24"/>
          <w:highlight w:val="none"/>
          <w:lang w:eastAsia="zh-CN"/>
        </w:rPr>
      </w:pPr>
    </w:p>
    <w:p w14:paraId="1181CA0D">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仿宋" w:hAnsi="仿宋" w:eastAsia="仿宋" w:cs="仿宋"/>
          <w:color w:val="auto"/>
          <w:sz w:val="24"/>
          <w:szCs w:val="24"/>
          <w:highlight w:val="none"/>
          <w:lang w:eastAsia="zh-CN"/>
        </w:rPr>
      </w:pPr>
    </w:p>
    <w:p w14:paraId="095A116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仿宋" w:hAnsi="仿宋" w:eastAsia="仿宋" w:cs="仿宋"/>
          <w:color w:val="auto"/>
          <w:sz w:val="24"/>
          <w:szCs w:val="24"/>
          <w:highlight w:val="none"/>
          <w:lang w:eastAsia="zh-CN"/>
        </w:rPr>
      </w:pPr>
    </w:p>
    <w:p w14:paraId="640389B2">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rPr>
          <w:rFonts w:hint="eastAsia" w:ascii="仿宋" w:hAnsi="仿宋" w:eastAsia="仿宋" w:cs="仿宋"/>
          <w:b/>
          <w:color w:val="auto"/>
          <w:sz w:val="24"/>
          <w:szCs w:val="24"/>
          <w:highlight w:val="none"/>
          <w:lang w:eastAsia="zh-CN"/>
        </w:rPr>
      </w:pPr>
    </w:p>
    <w:p w14:paraId="69CF2B43">
      <w:pPr>
        <w:wordWrap w:val="0"/>
        <w:overflowPunct w:val="0"/>
        <w:topLinePunct/>
        <w:spacing w:line="360" w:lineRule="auto"/>
        <w:jc w:val="both"/>
        <w:rPr>
          <w:rFonts w:hint="eastAsia" w:ascii="仿宋" w:hAnsi="仿宋" w:eastAsia="仿宋" w:cs="仿宋"/>
          <w:b w:val="0"/>
          <w:bCs/>
          <w:color w:val="auto"/>
          <w:sz w:val="24"/>
          <w:highlight w:val="none"/>
        </w:rPr>
      </w:pPr>
    </w:p>
    <w:p w14:paraId="61D68370">
      <w:pPr>
        <w:wordWrap w:val="0"/>
        <w:overflowPunct w:val="0"/>
        <w:topLinePunct/>
        <w:spacing w:line="360" w:lineRule="auto"/>
        <w:jc w:val="both"/>
        <w:rPr>
          <w:rFonts w:hint="eastAsia" w:ascii="仿宋" w:hAnsi="仿宋" w:eastAsia="仿宋" w:cs="仿宋"/>
          <w:b w:val="0"/>
          <w:bCs/>
          <w:color w:val="auto"/>
          <w:sz w:val="24"/>
          <w:highlight w:val="none"/>
        </w:rPr>
      </w:pPr>
    </w:p>
    <w:p w14:paraId="48B472B6">
      <w:pPr>
        <w:wordWrap w:val="0"/>
        <w:overflowPunct w:val="0"/>
        <w:topLinePunct/>
        <w:spacing w:line="360" w:lineRule="auto"/>
        <w:jc w:val="both"/>
        <w:rPr>
          <w:rFonts w:hint="eastAsia" w:ascii="仿宋" w:hAnsi="仿宋" w:eastAsia="仿宋" w:cs="仿宋"/>
          <w:b w:val="0"/>
          <w:bCs/>
          <w:color w:val="auto"/>
          <w:sz w:val="24"/>
          <w:highlight w:val="none"/>
        </w:rPr>
      </w:pPr>
    </w:p>
    <w:p w14:paraId="2F5D6613">
      <w:pPr>
        <w:wordWrap w:val="0"/>
        <w:overflowPunct w:val="0"/>
        <w:topLinePunct/>
        <w:spacing w:line="360" w:lineRule="auto"/>
        <w:jc w:val="both"/>
        <w:rPr>
          <w:rFonts w:hint="eastAsia" w:ascii="仿宋" w:hAnsi="仿宋" w:eastAsia="仿宋" w:cs="仿宋"/>
          <w:b w:val="0"/>
          <w:bCs/>
          <w:color w:val="auto"/>
          <w:sz w:val="24"/>
          <w:highlight w:val="none"/>
        </w:rPr>
      </w:pPr>
    </w:p>
    <w:p w14:paraId="74F55EEB">
      <w:pPr>
        <w:wordWrap w:val="0"/>
        <w:overflowPunct w:val="0"/>
        <w:topLinePunct/>
        <w:spacing w:line="360" w:lineRule="auto"/>
        <w:jc w:val="both"/>
        <w:rPr>
          <w:rFonts w:hint="eastAsia" w:ascii="仿宋" w:hAnsi="仿宋" w:eastAsia="仿宋" w:cs="仿宋"/>
          <w:b w:val="0"/>
          <w:bCs/>
          <w:color w:val="auto"/>
          <w:sz w:val="24"/>
          <w:highlight w:val="none"/>
        </w:rPr>
      </w:pPr>
    </w:p>
    <w:p w14:paraId="5F53D6F1">
      <w:pPr>
        <w:wordWrap w:val="0"/>
        <w:overflowPunct w:val="0"/>
        <w:topLinePunct/>
        <w:spacing w:line="360" w:lineRule="auto"/>
        <w:jc w:val="both"/>
        <w:rPr>
          <w:rFonts w:hint="eastAsia" w:ascii="仿宋" w:hAnsi="仿宋" w:eastAsia="仿宋" w:cs="仿宋"/>
          <w:b w:val="0"/>
          <w:bCs/>
          <w:color w:val="auto"/>
          <w:sz w:val="24"/>
          <w:highlight w:val="none"/>
        </w:rPr>
      </w:pPr>
    </w:p>
    <w:p w14:paraId="20029AE3">
      <w:pPr>
        <w:wordWrap w:val="0"/>
        <w:overflowPunct w:val="0"/>
        <w:topLinePunct/>
        <w:spacing w:line="360" w:lineRule="auto"/>
        <w:jc w:val="both"/>
        <w:rPr>
          <w:rFonts w:hint="eastAsia" w:ascii="仿宋" w:hAnsi="仿宋" w:eastAsia="仿宋" w:cs="仿宋"/>
          <w:b w:val="0"/>
          <w:bCs/>
          <w:color w:val="auto"/>
          <w:sz w:val="24"/>
          <w:highlight w:val="none"/>
        </w:rPr>
      </w:pPr>
    </w:p>
    <w:p w14:paraId="6B7F8600">
      <w:pPr>
        <w:wordWrap w:val="0"/>
        <w:overflowPunct w:val="0"/>
        <w:topLinePunct/>
        <w:spacing w:line="360" w:lineRule="auto"/>
        <w:jc w:val="both"/>
        <w:rPr>
          <w:rFonts w:hint="eastAsia" w:ascii="仿宋" w:hAnsi="仿宋" w:eastAsia="仿宋" w:cs="仿宋"/>
          <w:b w:val="0"/>
          <w:bCs/>
          <w:color w:val="auto"/>
          <w:sz w:val="24"/>
          <w:highlight w:val="none"/>
        </w:rPr>
      </w:pPr>
    </w:p>
    <w:p w14:paraId="0416E07D">
      <w:pPr>
        <w:wordWrap w:val="0"/>
        <w:overflowPunct w:val="0"/>
        <w:topLinePunct/>
        <w:spacing w:line="360" w:lineRule="auto"/>
        <w:jc w:val="both"/>
        <w:rPr>
          <w:rFonts w:hint="eastAsia" w:ascii="仿宋" w:hAnsi="仿宋" w:eastAsia="仿宋" w:cs="仿宋"/>
          <w:b w:val="0"/>
          <w:bCs/>
          <w:color w:val="auto"/>
          <w:sz w:val="24"/>
          <w:highlight w:val="none"/>
        </w:rPr>
      </w:pPr>
    </w:p>
    <w:p w14:paraId="3188C1E7">
      <w:pPr>
        <w:wordWrap w:val="0"/>
        <w:overflowPunct w:val="0"/>
        <w:topLinePunct/>
        <w:spacing w:line="360" w:lineRule="auto"/>
        <w:jc w:val="both"/>
        <w:rPr>
          <w:rFonts w:hint="eastAsia" w:ascii="仿宋" w:hAnsi="仿宋" w:eastAsia="仿宋" w:cs="仿宋"/>
          <w:b w:val="0"/>
          <w:bCs/>
          <w:color w:val="auto"/>
          <w:sz w:val="24"/>
          <w:highlight w:val="none"/>
        </w:rPr>
      </w:pPr>
    </w:p>
    <w:p w14:paraId="46CF78AC">
      <w:pPr>
        <w:wordWrap w:val="0"/>
        <w:overflowPunct w:val="0"/>
        <w:topLinePunct/>
        <w:spacing w:line="360" w:lineRule="auto"/>
        <w:jc w:val="both"/>
        <w:rPr>
          <w:rFonts w:hint="eastAsia" w:ascii="仿宋" w:hAnsi="仿宋" w:eastAsia="仿宋" w:cs="仿宋"/>
          <w:b w:val="0"/>
          <w:bCs/>
          <w:color w:val="auto"/>
          <w:sz w:val="24"/>
          <w:highlight w:val="none"/>
        </w:rPr>
      </w:pPr>
    </w:p>
    <w:p w14:paraId="79EE862B">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47ACF5C2">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7FA5E43B">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4EFA81EB">
      <w:pPr>
        <w:wordWrap w:val="0"/>
        <w:overflowPunct w:val="0"/>
        <w:topLinePunct/>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rPr>
        <w:t>（</w:t>
      </w:r>
      <w:r>
        <w:rPr>
          <w:rFonts w:hint="eastAsia" w:ascii="仿宋" w:hAnsi="仿宋" w:eastAsia="仿宋" w:cs="仿宋"/>
          <w:color w:val="auto"/>
          <w:sz w:val="24"/>
          <w:highlight w:val="none"/>
          <w:u w:val="none"/>
          <w:lang w:val="en-US" w:eastAsia="zh-CN"/>
        </w:rPr>
        <w:t>加盖电子</w:t>
      </w:r>
      <w:r>
        <w:rPr>
          <w:rFonts w:hint="eastAsia" w:ascii="仿宋" w:hAnsi="仿宋" w:eastAsia="仿宋" w:cs="仿宋"/>
          <w:color w:val="auto"/>
          <w:sz w:val="24"/>
          <w:highlight w:val="none"/>
        </w:rPr>
        <w:t>公章）</w:t>
      </w:r>
    </w:p>
    <w:p w14:paraId="732C8717">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29E782A4">
      <w:pPr>
        <w:jc w:val="center"/>
        <w:rPr>
          <w:rFonts w:hint="eastAsia" w:ascii="仿宋" w:hAnsi="仿宋" w:eastAsia="仿宋" w:cs="仿宋"/>
          <w:color w:val="auto"/>
          <w:sz w:val="24"/>
          <w:szCs w:val="24"/>
          <w:highlight w:val="none"/>
          <w:lang w:eastAsia="zh-CN"/>
        </w:rPr>
        <w:sectPr>
          <w:pgSz w:w="11906" w:h="16838"/>
          <w:pgMar w:top="1134" w:right="1134" w:bottom="1134" w:left="1134"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仿宋" w:hAnsi="仿宋" w:eastAsia="仿宋" w:cs="仿宋"/>
          <w:color w:val="auto"/>
          <w:sz w:val="24"/>
          <w:szCs w:val="24"/>
          <w:highlight w:val="none"/>
          <w:lang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p>
    <w:p w14:paraId="3107CE9F">
      <w:pPr>
        <w:jc w:val="left"/>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附件1</w:t>
      </w:r>
    </w:p>
    <w:p w14:paraId="36C787D4">
      <w:pPr>
        <w:jc w:val="center"/>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项目</w:t>
      </w:r>
      <w:r>
        <w:rPr>
          <w:rFonts w:hint="eastAsia" w:ascii="仿宋" w:hAnsi="仿宋" w:eastAsia="仿宋" w:cs="仿宋"/>
          <w:b/>
          <w:color w:val="auto"/>
          <w:sz w:val="28"/>
          <w:szCs w:val="28"/>
          <w:highlight w:val="none"/>
          <w:lang w:val="en-US" w:eastAsia="zh-CN"/>
        </w:rPr>
        <w:t>售后服务</w:t>
      </w:r>
      <w:r>
        <w:rPr>
          <w:rFonts w:hint="eastAsia" w:ascii="仿宋" w:hAnsi="仿宋" w:eastAsia="仿宋" w:cs="仿宋"/>
          <w:b/>
          <w:color w:val="auto"/>
          <w:sz w:val="28"/>
          <w:szCs w:val="28"/>
          <w:highlight w:val="none"/>
          <w:lang w:eastAsia="zh-CN"/>
        </w:rPr>
        <w:t>人员情况表</w:t>
      </w:r>
    </w:p>
    <w:tbl>
      <w:tblPr>
        <w:tblStyle w:val="67"/>
        <w:tblW w:w="10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083"/>
        <w:gridCol w:w="993"/>
        <w:gridCol w:w="850"/>
        <w:gridCol w:w="992"/>
        <w:gridCol w:w="1134"/>
        <w:gridCol w:w="1449"/>
        <w:gridCol w:w="1449"/>
        <w:gridCol w:w="1955"/>
      </w:tblGrid>
      <w:tr w14:paraId="5DBE7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746" w:type="dxa"/>
            <w:vAlign w:val="center"/>
          </w:tcPr>
          <w:p w14:paraId="23E50F3D">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1083" w:type="dxa"/>
            <w:vAlign w:val="center"/>
          </w:tcPr>
          <w:p w14:paraId="49A1CED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职务</w:t>
            </w:r>
          </w:p>
        </w:tc>
        <w:tc>
          <w:tcPr>
            <w:tcW w:w="993" w:type="dxa"/>
            <w:vAlign w:val="center"/>
          </w:tcPr>
          <w:p w14:paraId="3D3C5A54">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p>
        </w:tc>
        <w:tc>
          <w:tcPr>
            <w:tcW w:w="850" w:type="dxa"/>
            <w:vAlign w:val="center"/>
          </w:tcPr>
          <w:p w14:paraId="05D6740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年龄</w:t>
            </w:r>
          </w:p>
        </w:tc>
        <w:tc>
          <w:tcPr>
            <w:tcW w:w="992" w:type="dxa"/>
            <w:vAlign w:val="center"/>
          </w:tcPr>
          <w:p w14:paraId="44CFBD70">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职称</w:t>
            </w:r>
          </w:p>
        </w:tc>
        <w:tc>
          <w:tcPr>
            <w:tcW w:w="1134" w:type="dxa"/>
            <w:vAlign w:val="center"/>
          </w:tcPr>
          <w:p w14:paraId="5038A16A">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专业</w:t>
            </w:r>
          </w:p>
        </w:tc>
        <w:tc>
          <w:tcPr>
            <w:tcW w:w="1449" w:type="dxa"/>
            <w:vAlign w:val="center"/>
          </w:tcPr>
          <w:p w14:paraId="20E8B1A6">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业绩</w:t>
            </w:r>
          </w:p>
        </w:tc>
        <w:tc>
          <w:tcPr>
            <w:tcW w:w="1449" w:type="dxa"/>
            <w:vAlign w:val="center"/>
          </w:tcPr>
          <w:p w14:paraId="5ADE8BAC">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拟担任职务</w:t>
            </w:r>
          </w:p>
        </w:tc>
        <w:tc>
          <w:tcPr>
            <w:tcW w:w="1955" w:type="dxa"/>
            <w:vAlign w:val="center"/>
          </w:tcPr>
          <w:p w14:paraId="17A66837">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从专业工作时间</w:t>
            </w:r>
          </w:p>
        </w:tc>
      </w:tr>
      <w:tr w14:paraId="011EE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vAlign w:val="center"/>
          </w:tcPr>
          <w:p w14:paraId="62851102">
            <w:pPr>
              <w:jc w:val="center"/>
              <w:rPr>
                <w:rFonts w:hint="eastAsia" w:ascii="仿宋" w:hAnsi="仿宋" w:eastAsia="仿宋" w:cs="仿宋"/>
                <w:color w:val="auto"/>
                <w:sz w:val="24"/>
                <w:highlight w:val="none"/>
              </w:rPr>
            </w:pPr>
          </w:p>
        </w:tc>
        <w:tc>
          <w:tcPr>
            <w:tcW w:w="1083" w:type="dxa"/>
            <w:vAlign w:val="center"/>
          </w:tcPr>
          <w:p w14:paraId="3A10B5C7">
            <w:pPr>
              <w:jc w:val="center"/>
              <w:rPr>
                <w:rFonts w:hint="eastAsia" w:ascii="仿宋" w:hAnsi="仿宋" w:eastAsia="仿宋" w:cs="仿宋"/>
                <w:color w:val="auto"/>
                <w:sz w:val="24"/>
                <w:highlight w:val="none"/>
              </w:rPr>
            </w:pPr>
          </w:p>
        </w:tc>
        <w:tc>
          <w:tcPr>
            <w:tcW w:w="993" w:type="dxa"/>
            <w:vAlign w:val="center"/>
          </w:tcPr>
          <w:p w14:paraId="2688902C">
            <w:pPr>
              <w:jc w:val="center"/>
              <w:rPr>
                <w:rFonts w:hint="eastAsia" w:ascii="仿宋" w:hAnsi="仿宋" w:eastAsia="仿宋" w:cs="仿宋"/>
                <w:color w:val="auto"/>
                <w:sz w:val="24"/>
                <w:highlight w:val="none"/>
              </w:rPr>
            </w:pPr>
          </w:p>
        </w:tc>
        <w:tc>
          <w:tcPr>
            <w:tcW w:w="850" w:type="dxa"/>
            <w:vAlign w:val="center"/>
          </w:tcPr>
          <w:p w14:paraId="0C0892A5">
            <w:pPr>
              <w:jc w:val="center"/>
              <w:rPr>
                <w:rFonts w:hint="eastAsia" w:ascii="仿宋" w:hAnsi="仿宋" w:eastAsia="仿宋" w:cs="仿宋"/>
                <w:color w:val="auto"/>
                <w:sz w:val="24"/>
                <w:highlight w:val="none"/>
              </w:rPr>
            </w:pPr>
          </w:p>
        </w:tc>
        <w:tc>
          <w:tcPr>
            <w:tcW w:w="992" w:type="dxa"/>
            <w:vAlign w:val="center"/>
          </w:tcPr>
          <w:p w14:paraId="297E0AD5">
            <w:pPr>
              <w:jc w:val="center"/>
              <w:rPr>
                <w:rFonts w:hint="eastAsia" w:ascii="仿宋" w:hAnsi="仿宋" w:eastAsia="仿宋" w:cs="仿宋"/>
                <w:color w:val="auto"/>
                <w:sz w:val="24"/>
                <w:highlight w:val="none"/>
              </w:rPr>
            </w:pPr>
          </w:p>
        </w:tc>
        <w:tc>
          <w:tcPr>
            <w:tcW w:w="1134" w:type="dxa"/>
            <w:vAlign w:val="center"/>
          </w:tcPr>
          <w:p w14:paraId="5B103389">
            <w:pPr>
              <w:jc w:val="center"/>
              <w:rPr>
                <w:rFonts w:hint="eastAsia" w:ascii="仿宋" w:hAnsi="仿宋" w:eastAsia="仿宋" w:cs="仿宋"/>
                <w:color w:val="auto"/>
                <w:sz w:val="24"/>
                <w:highlight w:val="none"/>
              </w:rPr>
            </w:pPr>
          </w:p>
        </w:tc>
        <w:tc>
          <w:tcPr>
            <w:tcW w:w="1449" w:type="dxa"/>
            <w:vAlign w:val="center"/>
          </w:tcPr>
          <w:p w14:paraId="12328A37">
            <w:pPr>
              <w:jc w:val="center"/>
              <w:rPr>
                <w:rFonts w:hint="eastAsia" w:ascii="仿宋" w:hAnsi="仿宋" w:eastAsia="仿宋" w:cs="仿宋"/>
                <w:color w:val="auto"/>
                <w:sz w:val="24"/>
                <w:highlight w:val="none"/>
              </w:rPr>
            </w:pPr>
          </w:p>
        </w:tc>
        <w:tc>
          <w:tcPr>
            <w:tcW w:w="1449" w:type="dxa"/>
            <w:vAlign w:val="center"/>
          </w:tcPr>
          <w:p w14:paraId="182AC070">
            <w:pPr>
              <w:jc w:val="center"/>
              <w:rPr>
                <w:rFonts w:hint="eastAsia" w:ascii="仿宋" w:hAnsi="仿宋" w:eastAsia="仿宋" w:cs="仿宋"/>
                <w:color w:val="auto"/>
                <w:sz w:val="24"/>
                <w:highlight w:val="none"/>
              </w:rPr>
            </w:pPr>
          </w:p>
        </w:tc>
        <w:tc>
          <w:tcPr>
            <w:tcW w:w="1955" w:type="dxa"/>
            <w:vAlign w:val="center"/>
          </w:tcPr>
          <w:p w14:paraId="4E5447FB">
            <w:pPr>
              <w:jc w:val="center"/>
              <w:rPr>
                <w:rFonts w:hint="eastAsia" w:ascii="仿宋" w:hAnsi="仿宋" w:eastAsia="仿宋" w:cs="仿宋"/>
                <w:color w:val="auto"/>
                <w:sz w:val="24"/>
                <w:highlight w:val="none"/>
              </w:rPr>
            </w:pPr>
          </w:p>
        </w:tc>
      </w:tr>
      <w:tr w14:paraId="4DAF7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vAlign w:val="center"/>
          </w:tcPr>
          <w:p w14:paraId="493CBC63">
            <w:pPr>
              <w:jc w:val="center"/>
              <w:rPr>
                <w:rFonts w:hint="eastAsia" w:ascii="仿宋" w:hAnsi="仿宋" w:eastAsia="仿宋" w:cs="仿宋"/>
                <w:color w:val="auto"/>
                <w:sz w:val="24"/>
                <w:highlight w:val="none"/>
              </w:rPr>
            </w:pPr>
          </w:p>
        </w:tc>
        <w:tc>
          <w:tcPr>
            <w:tcW w:w="1083" w:type="dxa"/>
            <w:vAlign w:val="center"/>
          </w:tcPr>
          <w:p w14:paraId="419CEB8C">
            <w:pPr>
              <w:jc w:val="center"/>
              <w:rPr>
                <w:rFonts w:hint="eastAsia" w:ascii="仿宋" w:hAnsi="仿宋" w:eastAsia="仿宋" w:cs="仿宋"/>
                <w:color w:val="auto"/>
                <w:sz w:val="24"/>
                <w:highlight w:val="none"/>
              </w:rPr>
            </w:pPr>
          </w:p>
        </w:tc>
        <w:tc>
          <w:tcPr>
            <w:tcW w:w="993" w:type="dxa"/>
            <w:vAlign w:val="center"/>
          </w:tcPr>
          <w:p w14:paraId="1EAC29D0">
            <w:pPr>
              <w:jc w:val="center"/>
              <w:rPr>
                <w:rFonts w:hint="eastAsia" w:ascii="仿宋" w:hAnsi="仿宋" w:eastAsia="仿宋" w:cs="仿宋"/>
                <w:color w:val="auto"/>
                <w:sz w:val="24"/>
                <w:highlight w:val="none"/>
              </w:rPr>
            </w:pPr>
          </w:p>
        </w:tc>
        <w:tc>
          <w:tcPr>
            <w:tcW w:w="850" w:type="dxa"/>
            <w:vAlign w:val="center"/>
          </w:tcPr>
          <w:p w14:paraId="43493FEB">
            <w:pPr>
              <w:jc w:val="center"/>
              <w:rPr>
                <w:rFonts w:hint="eastAsia" w:ascii="仿宋" w:hAnsi="仿宋" w:eastAsia="仿宋" w:cs="仿宋"/>
                <w:color w:val="auto"/>
                <w:sz w:val="24"/>
                <w:highlight w:val="none"/>
              </w:rPr>
            </w:pPr>
          </w:p>
        </w:tc>
        <w:tc>
          <w:tcPr>
            <w:tcW w:w="992" w:type="dxa"/>
            <w:vAlign w:val="center"/>
          </w:tcPr>
          <w:p w14:paraId="20F7D375">
            <w:pPr>
              <w:jc w:val="center"/>
              <w:rPr>
                <w:rFonts w:hint="eastAsia" w:ascii="仿宋" w:hAnsi="仿宋" w:eastAsia="仿宋" w:cs="仿宋"/>
                <w:color w:val="auto"/>
                <w:sz w:val="24"/>
                <w:highlight w:val="none"/>
              </w:rPr>
            </w:pPr>
          </w:p>
        </w:tc>
        <w:tc>
          <w:tcPr>
            <w:tcW w:w="1134" w:type="dxa"/>
            <w:vAlign w:val="center"/>
          </w:tcPr>
          <w:p w14:paraId="20D3D0E4">
            <w:pPr>
              <w:jc w:val="center"/>
              <w:rPr>
                <w:rFonts w:hint="eastAsia" w:ascii="仿宋" w:hAnsi="仿宋" w:eastAsia="仿宋" w:cs="仿宋"/>
                <w:color w:val="auto"/>
                <w:sz w:val="24"/>
                <w:highlight w:val="none"/>
              </w:rPr>
            </w:pPr>
          </w:p>
        </w:tc>
        <w:tc>
          <w:tcPr>
            <w:tcW w:w="1449" w:type="dxa"/>
            <w:vAlign w:val="center"/>
          </w:tcPr>
          <w:p w14:paraId="2E1A833A">
            <w:pPr>
              <w:jc w:val="center"/>
              <w:rPr>
                <w:rFonts w:hint="eastAsia" w:ascii="仿宋" w:hAnsi="仿宋" w:eastAsia="仿宋" w:cs="仿宋"/>
                <w:color w:val="auto"/>
                <w:sz w:val="24"/>
                <w:highlight w:val="none"/>
              </w:rPr>
            </w:pPr>
          </w:p>
        </w:tc>
        <w:tc>
          <w:tcPr>
            <w:tcW w:w="1449" w:type="dxa"/>
            <w:vAlign w:val="center"/>
          </w:tcPr>
          <w:p w14:paraId="5E7DAB91">
            <w:pPr>
              <w:jc w:val="center"/>
              <w:rPr>
                <w:rFonts w:hint="eastAsia" w:ascii="仿宋" w:hAnsi="仿宋" w:eastAsia="仿宋" w:cs="仿宋"/>
                <w:color w:val="auto"/>
                <w:sz w:val="24"/>
                <w:highlight w:val="none"/>
              </w:rPr>
            </w:pPr>
          </w:p>
        </w:tc>
        <w:tc>
          <w:tcPr>
            <w:tcW w:w="1955" w:type="dxa"/>
            <w:vAlign w:val="center"/>
          </w:tcPr>
          <w:p w14:paraId="27A85E20">
            <w:pPr>
              <w:jc w:val="center"/>
              <w:rPr>
                <w:rFonts w:hint="eastAsia" w:ascii="仿宋" w:hAnsi="仿宋" w:eastAsia="仿宋" w:cs="仿宋"/>
                <w:color w:val="auto"/>
                <w:sz w:val="24"/>
                <w:highlight w:val="none"/>
              </w:rPr>
            </w:pPr>
          </w:p>
        </w:tc>
      </w:tr>
      <w:tr w14:paraId="35E9D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vAlign w:val="center"/>
          </w:tcPr>
          <w:p w14:paraId="3C183C02">
            <w:pPr>
              <w:jc w:val="center"/>
              <w:rPr>
                <w:rFonts w:hint="eastAsia" w:ascii="仿宋" w:hAnsi="仿宋" w:eastAsia="仿宋" w:cs="仿宋"/>
                <w:color w:val="auto"/>
                <w:sz w:val="24"/>
                <w:highlight w:val="none"/>
              </w:rPr>
            </w:pPr>
          </w:p>
        </w:tc>
        <w:tc>
          <w:tcPr>
            <w:tcW w:w="1083" w:type="dxa"/>
            <w:vAlign w:val="center"/>
          </w:tcPr>
          <w:p w14:paraId="17B3BD23">
            <w:pPr>
              <w:jc w:val="center"/>
              <w:rPr>
                <w:rFonts w:hint="eastAsia" w:ascii="仿宋" w:hAnsi="仿宋" w:eastAsia="仿宋" w:cs="仿宋"/>
                <w:color w:val="auto"/>
                <w:sz w:val="24"/>
                <w:highlight w:val="none"/>
              </w:rPr>
            </w:pPr>
          </w:p>
        </w:tc>
        <w:tc>
          <w:tcPr>
            <w:tcW w:w="993" w:type="dxa"/>
            <w:vAlign w:val="center"/>
          </w:tcPr>
          <w:p w14:paraId="405E3BB7">
            <w:pPr>
              <w:jc w:val="center"/>
              <w:rPr>
                <w:rFonts w:hint="eastAsia" w:ascii="仿宋" w:hAnsi="仿宋" w:eastAsia="仿宋" w:cs="仿宋"/>
                <w:color w:val="auto"/>
                <w:sz w:val="24"/>
                <w:highlight w:val="none"/>
              </w:rPr>
            </w:pPr>
          </w:p>
        </w:tc>
        <w:tc>
          <w:tcPr>
            <w:tcW w:w="850" w:type="dxa"/>
            <w:vAlign w:val="center"/>
          </w:tcPr>
          <w:p w14:paraId="37723FE8">
            <w:pPr>
              <w:jc w:val="center"/>
              <w:rPr>
                <w:rFonts w:hint="eastAsia" w:ascii="仿宋" w:hAnsi="仿宋" w:eastAsia="仿宋" w:cs="仿宋"/>
                <w:color w:val="auto"/>
                <w:sz w:val="24"/>
                <w:highlight w:val="none"/>
              </w:rPr>
            </w:pPr>
          </w:p>
        </w:tc>
        <w:tc>
          <w:tcPr>
            <w:tcW w:w="992" w:type="dxa"/>
            <w:vAlign w:val="center"/>
          </w:tcPr>
          <w:p w14:paraId="3A47C01C">
            <w:pPr>
              <w:jc w:val="center"/>
              <w:rPr>
                <w:rFonts w:hint="eastAsia" w:ascii="仿宋" w:hAnsi="仿宋" w:eastAsia="仿宋" w:cs="仿宋"/>
                <w:color w:val="auto"/>
                <w:sz w:val="24"/>
                <w:highlight w:val="none"/>
              </w:rPr>
            </w:pPr>
          </w:p>
        </w:tc>
        <w:tc>
          <w:tcPr>
            <w:tcW w:w="1134" w:type="dxa"/>
            <w:vAlign w:val="center"/>
          </w:tcPr>
          <w:p w14:paraId="683B33E3">
            <w:pPr>
              <w:jc w:val="center"/>
              <w:rPr>
                <w:rFonts w:hint="eastAsia" w:ascii="仿宋" w:hAnsi="仿宋" w:eastAsia="仿宋" w:cs="仿宋"/>
                <w:color w:val="auto"/>
                <w:sz w:val="24"/>
                <w:highlight w:val="none"/>
              </w:rPr>
            </w:pPr>
          </w:p>
        </w:tc>
        <w:tc>
          <w:tcPr>
            <w:tcW w:w="1449" w:type="dxa"/>
            <w:vAlign w:val="center"/>
          </w:tcPr>
          <w:p w14:paraId="7EE3F739">
            <w:pPr>
              <w:jc w:val="center"/>
              <w:rPr>
                <w:rFonts w:hint="eastAsia" w:ascii="仿宋" w:hAnsi="仿宋" w:eastAsia="仿宋" w:cs="仿宋"/>
                <w:color w:val="auto"/>
                <w:sz w:val="24"/>
                <w:highlight w:val="none"/>
              </w:rPr>
            </w:pPr>
          </w:p>
        </w:tc>
        <w:tc>
          <w:tcPr>
            <w:tcW w:w="1449" w:type="dxa"/>
            <w:vAlign w:val="center"/>
          </w:tcPr>
          <w:p w14:paraId="782FC029">
            <w:pPr>
              <w:jc w:val="center"/>
              <w:rPr>
                <w:rFonts w:hint="eastAsia" w:ascii="仿宋" w:hAnsi="仿宋" w:eastAsia="仿宋" w:cs="仿宋"/>
                <w:color w:val="auto"/>
                <w:sz w:val="24"/>
                <w:highlight w:val="none"/>
              </w:rPr>
            </w:pPr>
          </w:p>
        </w:tc>
        <w:tc>
          <w:tcPr>
            <w:tcW w:w="1955" w:type="dxa"/>
            <w:vAlign w:val="center"/>
          </w:tcPr>
          <w:p w14:paraId="44E01ADF">
            <w:pPr>
              <w:jc w:val="center"/>
              <w:rPr>
                <w:rFonts w:hint="eastAsia" w:ascii="仿宋" w:hAnsi="仿宋" w:eastAsia="仿宋" w:cs="仿宋"/>
                <w:color w:val="auto"/>
                <w:sz w:val="24"/>
                <w:highlight w:val="none"/>
              </w:rPr>
            </w:pPr>
          </w:p>
        </w:tc>
      </w:tr>
      <w:tr w14:paraId="06CC5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vAlign w:val="center"/>
          </w:tcPr>
          <w:p w14:paraId="21D17B12">
            <w:pPr>
              <w:jc w:val="center"/>
              <w:rPr>
                <w:rFonts w:hint="eastAsia" w:ascii="仿宋" w:hAnsi="仿宋" w:eastAsia="仿宋" w:cs="仿宋"/>
                <w:color w:val="auto"/>
                <w:sz w:val="24"/>
                <w:highlight w:val="none"/>
              </w:rPr>
            </w:pPr>
          </w:p>
        </w:tc>
        <w:tc>
          <w:tcPr>
            <w:tcW w:w="1083" w:type="dxa"/>
            <w:vAlign w:val="center"/>
          </w:tcPr>
          <w:p w14:paraId="08916960">
            <w:pPr>
              <w:jc w:val="center"/>
              <w:rPr>
                <w:rFonts w:hint="eastAsia" w:ascii="仿宋" w:hAnsi="仿宋" w:eastAsia="仿宋" w:cs="仿宋"/>
                <w:color w:val="auto"/>
                <w:sz w:val="24"/>
                <w:highlight w:val="none"/>
              </w:rPr>
            </w:pPr>
          </w:p>
        </w:tc>
        <w:tc>
          <w:tcPr>
            <w:tcW w:w="993" w:type="dxa"/>
            <w:vAlign w:val="center"/>
          </w:tcPr>
          <w:p w14:paraId="52BBA531">
            <w:pPr>
              <w:jc w:val="center"/>
              <w:rPr>
                <w:rFonts w:hint="eastAsia" w:ascii="仿宋" w:hAnsi="仿宋" w:eastAsia="仿宋" w:cs="仿宋"/>
                <w:color w:val="auto"/>
                <w:sz w:val="24"/>
                <w:highlight w:val="none"/>
              </w:rPr>
            </w:pPr>
          </w:p>
        </w:tc>
        <w:tc>
          <w:tcPr>
            <w:tcW w:w="850" w:type="dxa"/>
            <w:vAlign w:val="center"/>
          </w:tcPr>
          <w:p w14:paraId="1A7A7209">
            <w:pPr>
              <w:jc w:val="center"/>
              <w:rPr>
                <w:rFonts w:hint="eastAsia" w:ascii="仿宋" w:hAnsi="仿宋" w:eastAsia="仿宋" w:cs="仿宋"/>
                <w:color w:val="auto"/>
                <w:sz w:val="24"/>
                <w:highlight w:val="none"/>
              </w:rPr>
            </w:pPr>
          </w:p>
        </w:tc>
        <w:tc>
          <w:tcPr>
            <w:tcW w:w="992" w:type="dxa"/>
            <w:vAlign w:val="center"/>
          </w:tcPr>
          <w:p w14:paraId="069A446D">
            <w:pPr>
              <w:jc w:val="center"/>
              <w:rPr>
                <w:rFonts w:hint="eastAsia" w:ascii="仿宋" w:hAnsi="仿宋" w:eastAsia="仿宋" w:cs="仿宋"/>
                <w:color w:val="auto"/>
                <w:sz w:val="24"/>
                <w:highlight w:val="none"/>
              </w:rPr>
            </w:pPr>
          </w:p>
        </w:tc>
        <w:tc>
          <w:tcPr>
            <w:tcW w:w="1134" w:type="dxa"/>
            <w:vAlign w:val="center"/>
          </w:tcPr>
          <w:p w14:paraId="07817FFA">
            <w:pPr>
              <w:jc w:val="center"/>
              <w:rPr>
                <w:rFonts w:hint="eastAsia" w:ascii="仿宋" w:hAnsi="仿宋" w:eastAsia="仿宋" w:cs="仿宋"/>
                <w:color w:val="auto"/>
                <w:sz w:val="24"/>
                <w:highlight w:val="none"/>
              </w:rPr>
            </w:pPr>
          </w:p>
        </w:tc>
        <w:tc>
          <w:tcPr>
            <w:tcW w:w="1449" w:type="dxa"/>
            <w:vAlign w:val="center"/>
          </w:tcPr>
          <w:p w14:paraId="361AC215">
            <w:pPr>
              <w:jc w:val="center"/>
              <w:rPr>
                <w:rFonts w:hint="eastAsia" w:ascii="仿宋" w:hAnsi="仿宋" w:eastAsia="仿宋" w:cs="仿宋"/>
                <w:color w:val="auto"/>
                <w:sz w:val="24"/>
                <w:highlight w:val="none"/>
              </w:rPr>
            </w:pPr>
          </w:p>
        </w:tc>
        <w:tc>
          <w:tcPr>
            <w:tcW w:w="1449" w:type="dxa"/>
            <w:vAlign w:val="center"/>
          </w:tcPr>
          <w:p w14:paraId="531C511F">
            <w:pPr>
              <w:jc w:val="center"/>
              <w:rPr>
                <w:rFonts w:hint="eastAsia" w:ascii="仿宋" w:hAnsi="仿宋" w:eastAsia="仿宋" w:cs="仿宋"/>
                <w:color w:val="auto"/>
                <w:sz w:val="24"/>
                <w:highlight w:val="none"/>
              </w:rPr>
            </w:pPr>
          </w:p>
        </w:tc>
        <w:tc>
          <w:tcPr>
            <w:tcW w:w="1955" w:type="dxa"/>
            <w:vAlign w:val="center"/>
          </w:tcPr>
          <w:p w14:paraId="0D8A4D6A">
            <w:pPr>
              <w:jc w:val="center"/>
              <w:rPr>
                <w:rFonts w:hint="eastAsia" w:ascii="仿宋" w:hAnsi="仿宋" w:eastAsia="仿宋" w:cs="仿宋"/>
                <w:color w:val="auto"/>
                <w:sz w:val="24"/>
                <w:highlight w:val="none"/>
              </w:rPr>
            </w:pPr>
          </w:p>
        </w:tc>
      </w:tr>
      <w:tr w14:paraId="35663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vAlign w:val="center"/>
          </w:tcPr>
          <w:p w14:paraId="2BB23799">
            <w:pPr>
              <w:jc w:val="center"/>
              <w:rPr>
                <w:rFonts w:hint="eastAsia" w:ascii="仿宋" w:hAnsi="仿宋" w:eastAsia="仿宋" w:cs="仿宋"/>
                <w:color w:val="auto"/>
                <w:sz w:val="24"/>
                <w:highlight w:val="none"/>
              </w:rPr>
            </w:pPr>
          </w:p>
        </w:tc>
        <w:tc>
          <w:tcPr>
            <w:tcW w:w="1083" w:type="dxa"/>
            <w:vAlign w:val="center"/>
          </w:tcPr>
          <w:p w14:paraId="08B91AFF">
            <w:pPr>
              <w:jc w:val="center"/>
              <w:rPr>
                <w:rFonts w:hint="eastAsia" w:ascii="仿宋" w:hAnsi="仿宋" w:eastAsia="仿宋" w:cs="仿宋"/>
                <w:color w:val="auto"/>
                <w:sz w:val="24"/>
                <w:highlight w:val="none"/>
              </w:rPr>
            </w:pPr>
          </w:p>
        </w:tc>
        <w:tc>
          <w:tcPr>
            <w:tcW w:w="993" w:type="dxa"/>
            <w:vAlign w:val="center"/>
          </w:tcPr>
          <w:p w14:paraId="3A490EF3">
            <w:pPr>
              <w:jc w:val="center"/>
              <w:rPr>
                <w:rFonts w:hint="eastAsia" w:ascii="仿宋" w:hAnsi="仿宋" w:eastAsia="仿宋" w:cs="仿宋"/>
                <w:color w:val="auto"/>
                <w:sz w:val="24"/>
                <w:highlight w:val="none"/>
              </w:rPr>
            </w:pPr>
          </w:p>
        </w:tc>
        <w:tc>
          <w:tcPr>
            <w:tcW w:w="850" w:type="dxa"/>
            <w:vAlign w:val="center"/>
          </w:tcPr>
          <w:p w14:paraId="2E6DC6F9">
            <w:pPr>
              <w:jc w:val="center"/>
              <w:rPr>
                <w:rFonts w:hint="eastAsia" w:ascii="仿宋" w:hAnsi="仿宋" w:eastAsia="仿宋" w:cs="仿宋"/>
                <w:color w:val="auto"/>
                <w:sz w:val="24"/>
                <w:highlight w:val="none"/>
              </w:rPr>
            </w:pPr>
          </w:p>
        </w:tc>
        <w:tc>
          <w:tcPr>
            <w:tcW w:w="992" w:type="dxa"/>
            <w:vAlign w:val="center"/>
          </w:tcPr>
          <w:p w14:paraId="13059E36">
            <w:pPr>
              <w:jc w:val="center"/>
              <w:rPr>
                <w:rFonts w:hint="eastAsia" w:ascii="仿宋" w:hAnsi="仿宋" w:eastAsia="仿宋" w:cs="仿宋"/>
                <w:color w:val="auto"/>
                <w:sz w:val="24"/>
                <w:highlight w:val="none"/>
              </w:rPr>
            </w:pPr>
          </w:p>
        </w:tc>
        <w:tc>
          <w:tcPr>
            <w:tcW w:w="1134" w:type="dxa"/>
            <w:vAlign w:val="center"/>
          </w:tcPr>
          <w:p w14:paraId="75AE5403">
            <w:pPr>
              <w:jc w:val="center"/>
              <w:rPr>
                <w:rFonts w:hint="eastAsia" w:ascii="仿宋" w:hAnsi="仿宋" w:eastAsia="仿宋" w:cs="仿宋"/>
                <w:color w:val="auto"/>
                <w:sz w:val="24"/>
                <w:highlight w:val="none"/>
              </w:rPr>
            </w:pPr>
          </w:p>
        </w:tc>
        <w:tc>
          <w:tcPr>
            <w:tcW w:w="1449" w:type="dxa"/>
            <w:vAlign w:val="center"/>
          </w:tcPr>
          <w:p w14:paraId="31AF8312">
            <w:pPr>
              <w:jc w:val="center"/>
              <w:rPr>
                <w:rFonts w:hint="eastAsia" w:ascii="仿宋" w:hAnsi="仿宋" w:eastAsia="仿宋" w:cs="仿宋"/>
                <w:color w:val="auto"/>
                <w:sz w:val="24"/>
                <w:highlight w:val="none"/>
              </w:rPr>
            </w:pPr>
          </w:p>
        </w:tc>
        <w:tc>
          <w:tcPr>
            <w:tcW w:w="1449" w:type="dxa"/>
            <w:vAlign w:val="center"/>
          </w:tcPr>
          <w:p w14:paraId="628E47B6">
            <w:pPr>
              <w:jc w:val="center"/>
              <w:rPr>
                <w:rFonts w:hint="eastAsia" w:ascii="仿宋" w:hAnsi="仿宋" w:eastAsia="仿宋" w:cs="仿宋"/>
                <w:color w:val="auto"/>
                <w:sz w:val="24"/>
                <w:highlight w:val="none"/>
              </w:rPr>
            </w:pPr>
          </w:p>
        </w:tc>
        <w:tc>
          <w:tcPr>
            <w:tcW w:w="1955" w:type="dxa"/>
            <w:vAlign w:val="center"/>
          </w:tcPr>
          <w:p w14:paraId="5AC4A80F">
            <w:pPr>
              <w:jc w:val="center"/>
              <w:rPr>
                <w:rFonts w:hint="eastAsia" w:ascii="仿宋" w:hAnsi="仿宋" w:eastAsia="仿宋" w:cs="仿宋"/>
                <w:color w:val="auto"/>
                <w:sz w:val="24"/>
                <w:highlight w:val="none"/>
              </w:rPr>
            </w:pPr>
          </w:p>
        </w:tc>
      </w:tr>
      <w:tr w14:paraId="163C1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vAlign w:val="center"/>
          </w:tcPr>
          <w:p w14:paraId="7168F013">
            <w:pPr>
              <w:jc w:val="center"/>
              <w:rPr>
                <w:rFonts w:hint="eastAsia" w:ascii="仿宋" w:hAnsi="仿宋" w:eastAsia="仿宋" w:cs="仿宋"/>
                <w:color w:val="auto"/>
                <w:sz w:val="24"/>
                <w:highlight w:val="none"/>
              </w:rPr>
            </w:pPr>
          </w:p>
        </w:tc>
        <w:tc>
          <w:tcPr>
            <w:tcW w:w="1083" w:type="dxa"/>
            <w:vAlign w:val="center"/>
          </w:tcPr>
          <w:p w14:paraId="005EAF9A">
            <w:pPr>
              <w:jc w:val="center"/>
              <w:rPr>
                <w:rFonts w:hint="eastAsia" w:ascii="仿宋" w:hAnsi="仿宋" w:eastAsia="仿宋" w:cs="仿宋"/>
                <w:color w:val="auto"/>
                <w:sz w:val="24"/>
                <w:highlight w:val="none"/>
              </w:rPr>
            </w:pPr>
          </w:p>
        </w:tc>
        <w:tc>
          <w:tcPr>
            <w:tcW w:w="993" w:type="dxa"/>
            <w:vAlign w:val="center"/>
          </w:tcPr>
          <w:p w14:paraId="2A782DE4">
            <w:pPr>
              <w:jc w:val="center"/>
              <w:rPr>
                <w:rFonts w:hint="eastAsia" w:ascii="仿宋" w:hAnsi="仿宋" w:eastAsia="仿宋" w:cs="仿宋"/>
                <w:color w:val="auto"/>
                <w:sz w:val="24"/>
                <w:highlight w:val="none"/>
              </w:rPr>
            </w:pPr>
          </w:p>
        </w:tc>
        <w:tc>
          <w:tcPr>
            <w:tcW w:w="850" w:type="dxa"/>
            <w:vAlign w:val="center"/>
          </w:tcPr>
          <w:p w14:paraId="4B518186">
            <w:pPr>
              <w:jc w:val="center"/>
              <w:rPr>
                <w:rFonts w:hint="eastAsia" w:ascii="仿宋" w:hAnsi="仿宋" w:eastAsia="仿宋" w:cs="仿宋"/>
                <w:color w:val="auto"/>
                <w:sz w:val="24"/>
                <w:highlight w:val="none"/>
              </w:rPr>
            </w:pPr>
          </w:p>
        </w:tc>
        <w:tc>
          <w:tcPr>
            <w:tcW w:w="992" w:type="dxa"/>
            <w:vAlign w:val="center"/>
          </w:tcPr>
          <w:p w14:paraId="41D1A7E9">
            <w:pPr>
              <w:jc w:val="center"/>
              <w:rPr>
                <w:rFonts w:hint="eastAsia" w:ascii="仿宋" w:hAnsi="仿宋" w:eastAsia="仿宋" w:cs="仿宋"/>
                <w:color w:val="auto"/>
                <w:sz w:val="24"/>
                <w:highlight w:val="none"/>
              </w:rPr>
            </w:pPr>
          </w:p>
        </w:tc>
        <w:tc>
          <w:tcPr>
            <w:tcW w:w="1134" w:type="dxa"/>
            <w:vAlign w:val="center"/>
          </w:tcPr>
          <w:p w14:paraId="20F0313D">
            <w:pPr>
              <w:jc w:val="center"/>
              <w:rPr>
                <w:rFonts w:hint="eastAsia" w:ascii="仿宋" w:hAnsi="仿宋" w:eastAsia="仿宋" w:cs="仿宋"/>
                <w:color w:val="auto"/>
                <w:sz w:val="24"/>
                <w:highlight w:val="none"/>
              </w:rPr>
            </w:pPr>
          </w:p>
        </w:tc>
        <w:tc>
          <w:tcPr>
            <w:tcW w:w="1449" w:type="dxa"/>
            <w:vAlign w:val="center"/>
          </w:tcPr>
          <w:p w14:paraId="6C446F86">
            <w:pPr>
              <w:jc w:val="center"/>
              <w:rPr>
                <w:rFonts w:hint="eastAsia" w:ascii="仿宋" w:hAnsi="仿宋" w:eastAsia="仿宋" w:cs="仿宋"/>
                <w:color w:val="auto"/>
                <w:sz w:val="24"/>
                <w:highlight w:val="none"/>
              </w:rPr>
            </w:pPr>
          </w:p>
        </w:tc>
        <w:tc>
          <w:tcPr>
            <w:tcW w:w="1449" w:type="dxa"/>
            <w:vAlign w:val="center"/>
          </w:tcPr>
          <w:p w14:paraId="542ADCC6">
            <w:pPr>
              <w:jc w:val="center"/>
              <w:rPr>
                <w:rFonts w:hint="eastAsia" w:ascii="仿宋" w:hAnsi="仿宋" w:eastAsia="仿宋" w:cs="仿宋"/>
                <w:color w:val="auto"/>
                <w:sz w:val="24"/>
                <w:highlight w:val="none"/>
              </w:rPr>
            </w:pPr>
          </w:p>
        </w:tc>
        <w:tc>
          <w:tcPr>
            <w:tcW w:w="1955" w:type="dxa"/>
            <w:vAlign w:val="center"/>
          </w:tcPr>
          <w:p w14:paraId="74DD1275">
            <w:pPr>
              <w:jc w:val="center"/>
              <w:rPr>
                <w:rFonts w:hint="eastAsia" w:ascii="仿宋" w:hAnsi="仿宋" w:eastAsia="仿宋" w:cs="仿宋"/>
                <w:color w:val="auto"/>
                <w:sz w:val="24"/>
                <w:highlight w:val="none"/>
              </w:rPr>
            </w:pPr>
          </w:p>
        </w:tc>
      </w:tr>
      <w:tr w14:paraId="5B1DA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vAlign w:val="center"/>
          </w:tcPr>
          <w:p w14:paraId="2864AEBB">
            <w:pPr>
              <w:jc w:val="center"/>
              <w:rPr>
                <w:rFonts w:hint="eastAsia" w:ascii="仿宋" w:hAnsi="仿宋" w:eastAsia="仿宋" w:cs="仿宋"/>
                <w:color w:val="auto"/>
                <w:sz w:val="24"/>
                <w:highlight w:val="none"/>
              </w:rPr>
            </w:pPr>
          </w:p>
        </w:tc>
        <w:tc>
          <w:tcPr>
            <w:tcW w:w="1083" w:type="dxa"/>
            <w:vAlign w:val="center"/>
          </w:tcPr>
          <w:p w14:paraId="201380B7">
            <w:pPr>
              <w:jc w:val="center"/>
              <w:rPr>
                <w:rFonts w:hint="eastAsia" w:ascii="仿宋" w:hAnsi="仿宋" w:eastAsia="仿宋" w:cs="仿宋"/>
                <w:color w:val="auto"/>
                <w:sz w:val="24"/>
                <w:highlight w:val="none"/>
              </w:rPr>
            </w:pPr>
          </w:p>
        </w:tc>
        <w:tc>
          <w:tcPr>
            <w:tcW w:w="993" w:type="dxa"/>
            <w:vAlign w:val="center"/>
          </w:tcPr>
          <w:p w14:paraId="7E90AF4B">
            <w:pPr>
              <w:jc w:val="center"/>
              <w:rPr>
                <w:rFonts w:hint="eastAsia" w:ascii="仿宋" w:hAnsi="仿宋" w:eastAsia="仿宋" w:cs="仿宋"/>
                <w:color w:val="auto"/>
                <w:sz w:val="24"/>
                <w:highlight w:val="none"/>
              </w:rPr>
            </w:pPr>
          </w:p>
        </w:tc>
        <w:tc>
          <w:tcPr>
            <w:tcW w:w="850" w:type="dxa"/>
            <w:vAlign w:val="center"/>
          </w:tcPr>
          <w:p w14:paraId="67C625A3">
            <w:pPr>
              <w:jc w:val="center"/>
              <w:rPr>
                <w:rFonts w:hint="eastAsia" w:ascii="仿宋" w:hAnsi="仿宋" w:eastAsia="仿宋" w:cs="仿宋"/>
                <w:color w:val="auto"/>
                <w:sz w:val="24"/>
                <w:highlight w:val="none"/>
              </w:rPr>
            </w:pPr>
          </w:p>
        </w:tc>
        <w:tc>
          <w:tcPr>
            <w:tcW w:w="992" w:type="dxa"/>
            <w:vAlign w:val="center"/>
          </w:tcPr>
          <w:p w14:paraId="484E3479">
            <w:pPr>
              <w:jc w:val="center"/>
              <w:rPr>
                <w:rFonts w:hint="eastAsia" w:ascii="仿宋" w:hAnsi="仿宋" w:eastAsia="仿宋" w:cs="仿宋"/>
                <w:color w:val="auto"/>
                <w:sz w:val="24"/>
                <w:highlight w:val="none"/>
              </w:rPr>
            </w:pPr>
          </w:p>
        </w:tc>
        <w:tc>
          <w:tcPr>
            <w:tcW w:w="1134" w:type="dxa"/>
            <w:vAlign w:val="center"/>
          </w:tcPr>
          <w:p w14:paraId="731DB575">
            <w:pPr>
              <w:jc w:val="center"/>
              <w:rPr>
                <w:rFonts w:hint="eastAsia" w:ascii="仿宋" w:hAnsi="仿宋" w:eastAsia="仿宋" w:cs="仿宋"/>
                <w:color w:val="auto"/>
                <w:sz w:val="24"/>
                <w:highlight w:val="none"/>
              </w:rPr>
            </w:pPr>
          </w:p>
        </w:tc>
        <w:tc>
          <w:tcPr>
            <w:tcW w:w="1449" w:type="dxa"/>
            <w:vAlign w:val="center"/>
          </w:tcPr>
          <w:p w14:paraId="68619063">
            <w:pPr>
              <w:jc w:val="center"/>
              <w:rPr>
                <w:rFonts w:hint="eastAsia" w:ascii="仿宋" w:hAnsi="仿宋" w:eastAsia="仿宋" w:cs="仿宋"/>
                <w:color w:val="auto"/>
                <w:sz w:val="24"/>
                <w:highlight w:val="none"/>
              </w:rPr>
            </w:pPr>
          </w:p>
        </w:tc>
        <w:tc>
          <w:tcPr>
            <w:tcW w:w="1449" w:type="dxa"/>
            <w:vAlign w:val="center"/>
          </w:tcPr>
          <w:p w14:paraId="219B81FE">
            <w:pPr>
              <w:jc w:val="center"/>
              <w:rPr>
                <w:rFonts w:hint="eastAsia" w:ascii="仿宋" w:hAnsi="仿宋" w:eastAsia="仿宋" w:cs="仿宋"/>
                <w:color w:val="auto"/>
                <w:sz w:val="24"/>
                <w:highlight w:val="none"/>
              </w:rPr>
            </w:pPr>
          </w:p>
        </w:tc>
        <w:tc>
          <w:tcPr>
            <w:tcW w:w="1955" w:type="dxa"/>
            <w:vAlign w:val="center"/>
          </w:tcPr>
          <w:p w14:paraId="60CD81EF">
            <w:pPr>
              <w:jc w:val="center"/>
              <w:rPr>
                <w:rFonts w:hint="eastAsia" w:ascii="仿宋" w:hAnsi="仿宋" w:eastAsia="仿宋" w:cs="仿宋"/>
                <w:color w:val="auto"/>
                <w:sz w:val="24"/>
                <w:highlight w:val="none"/>
              </w:rPr>
            </w:pPr>
          </w:p>
        </w:tc>
      </w:tr>
      <w:tr w14:paraId="702B5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vAlign w:val="center"/>
          </w:tcPr>
          <w:p w14:paraId="59CD49F5">
            <w:pPr>
              <w:jc w:val="center"/>
              <w:rPr>
                <w:rFonts w:hint="eastAsia" w:ascii="仿宋" w:hAnsi="仿宋" w:eastAsia="仿宋" w:cs="仿宋"/>
                <w:color w:val="auto"/>
                <w:sz w:val="24"/>
                <w:highlight w:val="none"/>
              </w:rPr>
            </w:pPr>
          </w:p>
        </w:tc>
        <w:tc>
          <w:tcPr>
            <w:tcW w:w="1083" w:type="dxa"/>
            <w:vAlign w:val="center"/>
          </w:tcPr>
          <w:p w14:paraId="33630507">
            <w:pPr>
              <w:jc w:val="center"/>
              <w:rPr>
                <w:rFonts w:hint="eastAsia" w:ascii="仿宋" w:hAnsi="仿宋" w:eastAsia="仿宋" w:cs="仿宋"/>
                <w:color w:val="auto"/>
                <w:sz w:val="24"/>
                <w:highlight w:val="none"/>
              </w:rPr>
            </w:pPr>
          </w:p>
        </w:tc>
        <w:tc>
          <w:tcPr>
            <w:tcW w:w="993" w:type="dxa"/>
            <w:vAlign w:val="center"/>
          </w:tcPr>
          <w:p w14:paraId="5807B57D">
            <w:pPr>
              <w:jc w:val="center"/>
              <w:rPr>
                <w:rFonts w:hint="eastAsia" w:ascii="仿宋" w:hAnsi="仿宋" w:eastAsia="仿宋" w:cs="仿宋"/>
                <w:color w:val="auto"/>
                <w:sz w:val="24"/>
                <w:highlight w:val="none"/>
              </w:rPr>
            </w:pPr>
          </w:p>
        </w:tc>
        <w:tc>
          <w:tcPr>
            <w:tcW w:w="850" w:type="dxa"/>
            <w:vAlign w:val="center"/>
          </w:tcPr>
          <w:p w14:paraId="5626879A">
            <w:pPr>
              <w:jc w:val="center"/>
              <w:rPr>
                <w:rFonts w:hint="eastAsia" w:ascii="仿宋" w:hAnsi="仿宋" w:eastAsia="仿宋" w:cs="仿宋"/>
                <w:color w:val="auto"/>
                <w:sz w:val="24"/>
                <w:highlight w:val="none"/>
              </w:rPr>
            </w:pPr>
          </w:p>
        </w:tc>
        <w:tc>
          <w:tcPr>
            <w:tcW w:w="992" w:type="dxa"/>
            <w:vAlign w:val="center"/>
          </w:tcPr>
          <w:p w14:paraId="23694847">
            <w:pPr>
              <w:jc w:val="center"/>
              <w:rPr>
                <w:rFonts w:hint="eastAsia" w:ascii="仿宋" w:hAnsi="仿宋" w:eastAsia="仿宋" w:cs="仿宋"/>
                <w:color w:val="auto"/>
                <w:sz w:val="24"/>
                <w:highlight w:val="none"/>
              </w:rPr>
            </w:pPr>
          </w:p>
        </w:tc>
        <w:tc>
          <w:tcPr>
            <w:tcW w:w="1134" w:type="dxa"/>
            <w:vAlign w:val="center"/>
          </w:tcPr>
          <w:p w14:paraId="3F05A494">
            <w:pPr>
              <w:jc w:val="center"/>
              <w:rPr>
                <w:rFonts w:hint="eastAsia" w:ascii="仿宋" w:hAnsi="仿宋" w:eastAsia="仿宋" w:cs="仿宋"/>
                <w:color w:val="auto"/>
                <w:sz w:val="24"/>
                <w:highlight w:val="none"/>
              </w:rPr>
            </w:pPr>
          </w:p>
        </w:tc>
        <w:tc>
          <w:tcPr>
            <w:tcW w:w="1449" w:type="dxa"/>
            <w:vAlign w:val="center"/>
          </w:tcPr>
          <w:p w14:paraId="72B1EA99">
            <w:pPr>
              <w:jc w:val="center"/>
              <w:rPr>
                <w:rFonts w:hint="eastAsia" w:ascii="仿宋" w:hAnsi="仿宋" w:eastAsia="仿宋" w:cs="仿宋"/>
                <w:color w:val="auto"/>
                <w:sz w:val="24"/>
                <w:highlight w:val="none"/>
              </w:rPr>
            </w:pPr>
          </w:p>
        </w:tc>
        <w:tc>
          <w:tcPr>
            <w:tcW w:w="1449" w:type="dxa"/>
            <w:vAlign w:val="center"/>
          </w:tcPr>
          <w:p w14:paraId="5E036B30">
            <w:pPr>
              <w:jc w:val="center"/>
              <w:rPr>
                <w:rFonts w:hint="eastAsia" w:ascii="仿宋" w:hAnsi="仿宋" w:eastAsia="仿宋" w:cs="仿宋"/>
                <w:color w:val="auto"/>
                <w:sz w:val="24"/>
                <w:highlight w:val="none"/>
              </w:rPr>
            </w:pPr>
          </w:p>
        </w:tc>
        <w:tc>
          <w:tcPr>
            <w:tcW w:w="1955" w:type="dxa"/>
            <w:vAlign w:val="center"/>
          </w:tcPr>
          <w:p w14:paraId="0D1B4173">
            <w:pPr>
              <w:jc w:val="center"/>
              <w:rPr>
                <w:rFonts w:hint="eastAsia" w:ascii="仿宋" w:hAnsi="仿宋" w:eastAsia="仿宋" w:cs="仿宋"/>
                <w:color w:val="auto"/>
                <w:sz w:val="24"/>
                <w:highlight w:val="none"/>
              </w:rPr>
            </w:pPr>
          </w:p>
        </w:tc>
      </w:tr>
      <w:tr w14:paraId="5E00B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vAlign w:val="center"/>
          </w:tcPr>
          <w:p w14:paraId="4F21B13D">
            <w:pPr>
              <w:jc w:val="center"/>
              <w:rPr>
                <w:rFonts w:hint="eastAsia" w:ascii="仿宋" w:hAnsi="仿宋" w:eastAsia="仿宋" w:cs="仿宋"/>
                <w:color w:val="auto"/>
                <w:sz w:val="24"/>
                <w:highlight w:val="none"/>
              </w:rPr>
            </w:pPr>
          </w:p>
        </w:tc>
        <w:tc>
          <w:tcPr>
            <w:tcW w:w="1083" w:type="dxa"/>
            <w:vAlign w:val="center"/>
          </w:tcPr>
          <w:p w14:paraId="3C2ACB9C">
            <w:pPr>
              <w:jc w:val="center"/>
              <w:rPr>
                <w:rFonts w:hint="eastAsia" w:ascii="仿宋" w:hAnsi="仿宋" w:eastAsia="仿宋" w:cs="仿宋"/>
                <w:color w:val="auto"/>
                <w:sz w:val="24"/>
                <w:highlight w:val="none"/>
              </w:rPr>
            </w:pPr>
          </w:p>
        </w:tc>
        <w:tc>
          <w:tcPr>
            <w:tcW w:w="993" w:type="dxa"/>
            <w:vAlign w:val="center"/>
          </w:tcPr>
          <w:p w14:paraId="77231B41">
            <w:pPr>
              <w:jc w:val="center"/>
              <w:rPr>
                <w:rFonts w:hint="eastAsia" w:ascii="仿宋" w:hAnsi="仿宋" w:eastAsia="仿宋" w:cs="仿宋"/>
                <w:color w:val="auto"/>
                <w:sz w:val="24"/>
                <w:highlight w:val="none"/>
              </w:rPr>
            </w:pPr>
          </w:p>
        </w:tc>
        <w:tc>
          <w:tcPr>
            <w:tcW w:w="850" w:type="dxa"/>
            <w:vAlign w:val="center"/>
          </w:tcPr>
          <w:p w14:paraId="5A8D7787">
            <w:pPr>
              <w:jc w:val="center"/>
              <w:rPr>
                <w:rFonts w:hint="eastAsia" w:ascii="仿宋" w:hAnsi="仿宋" w:eastAsia="仿宋" w:cs="仿宋"/>
                <w:color w:val="auto"/>
                <w:sz w:val="24"/>
                <w:highlight w:val="none"/>
              </w:rPr>
            </w:pPr>
          </w:p>
        </w:tc>
        <w:tc>
          <w:tcPr>
            <w:tcW w:w="992" w:type="dxa"/>
            <w:vAlign w:val="center"/>
          </w:tcPr>
          <w:p w14:paraId="15E5A525">
            <w:pPr>
              <w:jc w:val="center"/>
              <w:rPr>
                <w:rFonts w:hint="eastAsia" w:ascii="仿宋" w:hAnsi="仿宋" w:eastAsia="仿宋" w:cs="仿宋"/>
                <w:color w:val="auto"/>
                <w:sz w:val="24"/>
                <w:highlight w:val="none"/>
              </w:rPr>
            </w:pPr>
          </w:p>
        </w:tc>
        <w:tc>
          <w:tcPr>
            <w:tcW w:w="1134" w:type="dxa"/>
            <w:vAlign w:val="center"/>
          </w:tcPr>
          <w:p w14:paraId="6BBEE843">
            <w:pPr>
              <w:jc w:val="center"/>
              <w:rPr>
                <w:rFonts w:hint="eastAsia" w:ascii="仿宋" w:hAnsi="仿宋" w:eastAsia="仿宋" w:cs="仿宋"/>
                <w:color w:val="auto"/>
                <w:sz w:val="24"/>
                <w:highlight w:val="none"/>
              </w:rPr>
            </w:pPr>
          </w:p>
        </w:tc>
        <w:tc>
          <w:tcPr>
            <w:tcW w:w="1449" w:type="dxa"/>
            <w:vAlign w:val="center"/>
          </w:tcPr>
          <w:p w14:paraId="2315959D">
            <w:pPr>
              <w:jc w:val="center"/>
              <w:rPr>
                <w:rFonts w:hint="eastAsia" w:ascii="仿宋" w:hAnsi="仿宋" w:eastAsia="仿宋" w:cs="仿宋"/>
                <w:color w:val="auto"/>
                <w:sz w:val="24"/>
                <w:highlight w:val="none"/>
              </w:rPr>
            </w:pPr>
          </w:p>
        </w:tc>
        <w:tc>
          <w:tcPr>
            <w:tcW w:w="1449" w:type="dxa"/>
            <w:vAlign w:val="center"/>
          </w:tcPr>
          <w:p w14:paraId="78598324">
            <w:pPr>
              <w:jc w:val="center"/>
              <w:rPr>
                <w:rFonts w:hint="eastAsia" w:ascii="仿宋" w:hAnsi="仿宋" w:eastAsia="仿宋" w:cs="仿宋"/>
                <w:color w:val="auto"/>
                <w:sz w:val="24"/>
                <w:highlight w:val="none"/>
              </w:rPr>
            </w:pPr>
          </w:p>
        </w:tc>
        <w:tc>
          <w:tcPr>
            <w:tcW w:w="1955" w:type="dxa"/>
            <w:vAlign w:val="center"/>
          </w:tcPr>
          <w:p w14:paraId="3B9CB655">
            <w:pPr>
              <w:jc w:val="center"/>
              <w:rPr>
                <w:rFonts w:hint="eastAsia" w:ascii="仿宋" w:hAnsi="仿宋" w:eastAsia="仿宋" w:cs="仿宋"/>
                <w:color w:val="auto"/>
                <w:sz w:val="24"/>
                <w:highlight w:val="none"/>
              </w:rPr>
            </w:pPr>
          </w:p>
        </w:tc>
      </w:tr>
    </w:tbl>
    <w:p w14:paraId="30476754">
      <w:pPr>
        <w:keepNext w:val="0"/>
        <w:keepLines w:val="0"/>
        <w:pageBreakBefore w:val="0"/>
        <w:widowControl w:val="0"/>
        <w:kinsoku/>
        <w:wordWrap w:val="0"/>
        <w:overflowPunct w:val="0"/>
        <w:topLinePunct/>
        <w:autoSpaceDE/>
        <w:autoSpaceDN/>
        <w:bidi w:val="0"/>
        <w:adjustRightInd/>
        <w:snapToGrid/>
        <w:rPr>
          <w:rFonts w:hint="eastAsia" w:ascii="仿宋" w:hAnsi="仿宋" w:eastAsia="仿宋" w:cs="仿宋"/>
          <w:color w:val="auto"/>
          <w:highlight w:val="none"/>
          <w:lang w:val="zh-CN" w:eastAsia="zh-CN"/>
        </w:rPr>
      </w:pPr>
    </w:p>
    <w:p w14:paraId="474F84DD">
      <w:pPr>
        <w:pStyle w:val="28"/>
        <w:keepNext w:val="0"/>
        <w:keepLines w:val="0"/>
        <w:pageBreakBefore w:val="0"/>
        <w:widowControl w:val="0"/>
        <w:kinsoku/>
        <w:wordWrap w:val="0"/>
        <w:overflowPunct w:val="0"/>
        <w:topLinePunct/>
        <w:autoSpaceDE/>
        <w:autoSpaceDN/>
        <w:bidi w:val="0"/>
        <w:adjustRightInd/>
        <w:snapToGrid/>
        <w:rPr>
          <w:rFonts w:hint="eastAsia" w:ascii="仿宋" w:hAnsi="仿宋" w:eastAsia="仿宋" w:cs="仿宋"/>
          <w:color w:val="auto"/>
          <w:highlight w:val="none"/>
          <w:lang w:val="zh-CN" w:eastAsia="zh-CN"/>
        </w:rPr>
      </w:pPr>
    </w:p>
    <w:p w14:paraId="47D9808C">
      <w:pPr>
        <w:pStyle w:val="28"/>
        <w:keepNext w:val="0"/>
        <w:keepLines w:val="0"/>
        <w:pageBreakBefore w:val="0"/>
        <w:widowControl w:val="0"/>
        <w:kinsoku/>
        <w:wordWrap w:val="0"/>
        <w:overflowPunct w:val="0"/>
        <w:topLinePunct/>
        <w:autoSpaceDE/>
        <w:autoSpaceDN/>
        <w:bidi w:val="0"/>
        <w:adjustRightInd/>
        <w:snapToGrid/>
        <w:rPr>
          <w:rFonts w:hint="eastAsia" w:ascii="仿宋" w:hAnsi="仿宋" w:eastAsia="仿宋" w:cs="仿宋"/>
          <w:color w:val="auto"/>
          <w:highlight w:val="none"/>
          <w:lang w:val="zh-CN" w:eastAsia="zh-CN"/>
        </w:rPr>
      </w:pPr>
    </w:p>
    <w:p w14:paraId="664F69F6">
      <w:pPr>
        <w:keepNext w:val="0"/>
        <w:keepLines w:val="0"/>
        <w:pageBreakBefore w:val="0"/>
        <w:widowControl w:val="0"/>
        <w:kinsoku/>
        <w:wordWrap w:val="0"/>
        <w:overflowPunct w:val="0"/>
        <w:topLinePunct/>
        <w:autoSpaceDE/>
        <w:autoSpaceDN/>
        <w:bidi w:val="0"/>
        <w:adjustRightInd/>
        <w:snapToGrid/>
        <w:rPr>
          <w:rFonts w:hint="eastAsia" w:ascii="仿宋" w:hAnsi="仿宋" w:eastAsia="仿宋" w:cs="仿宋"/>
          <w:color w:val="auto"/>
          <w:highlight w:val="none"/>
          <w:lang w:val="zh-CN" w:eastAsia="zh-CN"/>
        </w:rPr>
      </w:pPr>
    </w:p>
    <w:p w14:paraId="411668E7">
      <w:pPr>
        <w:keepNext w:val="0"/>
        <w:keepLines w:val="0"/>
        <w:pageBreakBefore w:val="0"/>
        <w:widowControl w:val="0"/>
        <w:kinsoku/>
        <w:wordWrap w:val="0"/>
        <w:overflowPunct w:val="0"/>
        <w:topLinePunct/>
        <w:autoSpaceDE/>
        <w:autoSpaceDN/>
        <w:bidi w:val="0"/>
        <w:adjustRightInd/>
        <w:snapToGrid/>
        <w:spacing w:line="360" w:lineRule="auto"/>
        <w:jc w:val="both"/>
        <w:textAlignment w:val="auto"/>
        <w:rPr>
          <w:rFonts w:hint="eastAsia" w:ascii="仿宋" w:hAnsi="仿宋" w:eastAsia="仿宋" w:cs="仿宋"/>
          <w:color w:val="auto"/>
          <w:sz w:val="24"/>
          <w:szCs w:val="24"/>
          <w:highlight w:val="none"/>
          <w:lang w:eastAsia="zh-CN"/>
        </w:rPr>
      </w:pPr>
    </w:p>
    <w:p w14:paraId="54830D88">
      <w:pPr>
        <w:pStyle w:val="28"/>
        <w:rPr>
          <w:rFonts w:hint="eastAsia" w:ascii="仿宋" w:hAnsi="仿宋" w:eastAsia="仿宋" w:cs="仿宋"/>
          <w:color w:val="auto"/>
          <w:sz w:val="24"/>
          <w:szCs w:val="24"/>
          <w:highlight w:val="none"/>
          <w:lang w:eastAsia="zh-CN"/>
        </w:rPr>
      </w:pPr>
    </w:p>
    <w:p w14:paraId="662C4257">
      <w:pPr>
        <w:rPr>
          <w:rFonts w:hint="eastAsia" w:ascii="仿宋" w:hAnsi="仿宋" w:eastAsia="仿宋" w:cs="仿宋"/>
          <w:color w:val="auto"/>
          <w:sz w:val="24"/>
          <w:szCs w:val="24"/>
          <w:highlight w:val="none"/>
          <w:lang w:eastAsia="zh-CN"/>
        </w:rPr>
      </w:pPr>
    </w:p>
    <w:p w14:paraId="2B6F5B7C">
      <w:pPr>
        <w:pStyle w:val="28"/>
        <w:rPr>
          <w:rFonts w:hint="eastAsia" w:ascii="仿宋" w:hAnsi="仿宋" w:eastAsia="仿宋" w:cs="仿宋"/>
          <w:color w:val="auto"/>
          <w:highlight w:val="none"/>
          <w:lang w:eastAsia="zh-CN"/>
        </w:rPr>
      </w:pPr>
    </w:p>
    <w:p w14:paraId="78E77FAE">
      <w:pPr>
        <w:wordWrap w:val="0"/>
        <w:overflowPunct w:val="0"/>
        <w:topLinePunct/>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rPr>
        <w:t>（</w:t>
      </w:r>
      <w:r>
        <w:rPr>
          <w:rFonts w:hint="eastAsia" w:ascii="仿宋" w:hAnsi="仿宋" w:eastAsia="仿宋" w:cs="仿宋"/>
          <w:color w:val="auto"/>
          <w:sz w:val="24"/>
          <w:highlight w:val="none"/>
          <w:u w:val="none"/>
          <w:lang w:val="en-US" w:eastAsia="zh-CN"/>
        </w:rPr>
        <w:t>加盖电子</w:t>
      </w:r>
      <w:r>
        <w:rPr>
          <w:rFonts w:hint="eastAsia" w:ascii="仿宋" w:hAnsi="仿宋" w:eastAsia="仿宋" w:cs="仿宋"/>
          <w:color w:val="auto"/>
          <w:sz w:val="24"/>
          <w:highlight w:val="none"/>
        </w:rPr>
        <w:t>公章）</w:t>
      </w:r>
    </w:p>
    <w:p w14:paraId="7A2869ED">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1F6A2800">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rPr>
          <w:rFonts w:hint="eastAsia" w:ascii="仿宋" w:hAnsi="仿宋" w:eastAsia="仿宋" w:cs="仿宋"/>
          <w:b/>
          <w:bCs/>
          <w:color w:val="auto"/>
          <w:sz w:val="28"/>
          <w:szCs w:val="28"/>
          <w:highlight w:val="none"/>
          <w:lang w:val="en-US" w:eastAsia="zh-CN"/>
        </w:rPr>
        <w:sectPr>
          <w:pgSz w:w="11906" w:h="16838"/>
          <w:pgMar w:top="1134" w:right="1134" w:bottom="1134" w:left="1134"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仿宋" w:hAnsi="仿宋" w:eastAsia="仿宋" w:cs="仿宋"/>
          <w:color w:val="auto"/>
          <w:sz w:val="24"/>
          <w:szCs w:val="24"/>
          <w:highlight w:val="none"/>
          <w:lang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p>
    <w:p w14:paraId="575FB0AD">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left"/>
        <w:textAlignment w:val="auto"/>
        <w:outlineLvl w:val="9"/>
        <w:rPr>
          <w:rFonts w:hint="eastAsia" w:ascii="仿宋" w:hAnsi="仿宋" w:eastAsia="仿宋" w:cs="仿宋"/>
          <w:b/>
          <w:bCs/>
          <w:color w:val="auto"/>
          <w:sz w:val="30"/>
          <w:szCs w:val="30"/>
          <w:highlight w:val="none"/>
          <w:lang w:val="en-US" w:eastAsia="zh-CN"/>
        </w:rPr>
      </w:pPr>
      <w:bookmarkStart w:id="2282" w:name="_Toc14847"/>
      <w:bookmarkStart w:id="2283" w:name="_Toc21666"/>
      <w:bookmarkStart w:id="2284" w:name="_Toc14130"/>
      <w:bookmarkStart w:id="2285" w:name="_Toc14056"/>
      <w:bookmarkStart w:id="2286" w:name="_Toc23069"/>
      <w:r>
        <w:rPr>
          <w:rFonts w:hint="eastAsia" w:ascii="仿宋" w:hAnsi="仿宋" w:eastAsia="仿宋" w:cs="仿宋"/>
          <w:b/>
          <w:bCs/>
          <w:color w:val="auto"/>
          <w:sz w:val="30"/>
          <w:szCs w:val="30"/>
          <w:highlight w:val="none"/>
          <w:lang w:val="en-US" w:eastAsia="zh-CN"/>
        </w:rPr>
        <w:t>附件2</w:t>
      </w:r>
      <w:bookmarkEnd w:id="2282"/>
      <w:bookmarkEnd w:id="2283"/>
      <w:bookmarkEnd w:id="2284"/>
      <w:bookmarkEnd w:id="2285"/>
      <w:bookmarkEnd w:id="2286"/>
    </w:p>
    <w:p w14:paraId="23CF81E9">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2287" w:name="_Toc11782"/>
      <w:bookmarkStart w:id="2288" w:name="_Toc1524"/>
      <w:bookmarkStart w:id="2289" w:name="_Toc3311"/>
      <w:bookmarkStart w:id="2290" w:name="_Toc21815"/>
      <w:bookmarkStart w:id="2291" w:name="_Toc4394"/>
      <w:r>
        <w:rPr>
          <w:rFonts w:hint="eastAsia" w:ascii="仿宋" w:hAnsi="仿宋" w:eastAsia="仿宋" w:cs="仿宋"/>
          <w:b/>
          <w:bCs/>
          <w:color w:val="auto"/>
          <w:sz w:val="30"/>
          <w:szCs w:val="30"/>
          <w:highlight w:val="none"/>
          <w:lang w:val="en-US" w:eastAsia="zh-CN"/>
        </w:rPr>
        <w:t>售后服务网点（若有）</w:t>
      </w:r>
      <w:bookmarkEnd w:id="2287"/>
      <w:bookmarkEnd w:id="2288"/>
      <w:bookmarkEnd w:id="2289"/>
      <w:bookmarkEnd w:id="2290"/>
      <w:bookmarkEnd w:id="2291"/>
    </w:p>
    <w:tbl>
      <w:tblPr>
        <w:tblStyle w:val="68"/>
        <w:tblW w:w="106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2"/>
        <w:gridCol w:w="1361"/>
        <w:gridCol w:w="1376"/>
        <w:gridCol w:w="1251"/>
        <w:gridCol w:w="1251"/>
        <w:gridCol w:w="1224"/>
        <w:gridCol w:w="1669"/>
        <w:gridCol w:w="1669"/>
      </w:tblGrid>
      <w:tr w14:paraId="5F659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32" w:type="dxa"/>
            <w:vAlign w:val="center"/>
          </w:tcPr>
          <w:p w14:paraId="66966857">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2292" w:name="_Toc14888"/>
            <w:bookmarkStart w:id="2293" w:name="_Toc19517"/>
            <w:bookmarkStart w:id="2294" w:name="_Toc27532"/>
            <w:bookmarkStart w:id="2295" w:name="_Toc24569"/>
            <w:bookmarkStart w:id="2296" w:name="_Toc15925"/>
            <w:r>
              <w:rPr>
                <w:rFonts w:hint="eastAsia" w:ascii="仿宋" w:hAnsi="仿宋" w:eastAsia="仿宋" w:cs="仿宋"/>
                <w:b w:val="0"/>
                <w:bCs w:val="0"/>
                <w:color w:val="auto"/>
                <w:sz w:val="24"/>
                <w:szCs w:val="24"/>
                <w:highlight w:val="none"/>
                <w:vertAlign w:val="baseline"/>
                <w:lang w:val="en-US" w:eastAsia="zh-CN"/>
              </w:rPr>
              <w:t>序号</w:t>
            </w:r>
            <w:bookmarkEnd w:id="2292"/>
            <w:bookmarkEnd w:id="2293"/>
            <w:bookmarkEnd w:id="2294"/>
            <w:bookmarkEnd w:id="2295"/>
            <w:bookmarkEnd w:id="2296"/>
          </w:p>
        </w:tc>
        <w:tc>
          <w:tcPr>
            <w:tcW w:w="1361" w:type="dxa"/>
            <w:vAlign w:val="center"/>
          </w:tcPr>
          <w:p w14:paraId="47CB5DA5">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2297" w:name="_Toc6741"/>
            <w:bookmarkStart w:id="2298" w:name="_Toc29523"/>
            <w:bookmarkStart w:id="2299" w:name="_Toc23477"/>
            <w:bookmarkStart w:id="2300" w:name="_Toc28597"/>
            <w:bookmarkStart w:id="2301" w:name="_Toc26698"/>
            <w:r>
              <w:rPr>
                <w:rFonts w:hint="eastAsia" w:ascii="仿宋" w:hAnsi="仿宋" w:eastAsia="仿宋" w:cs="仿宋"/>
                <w:b w:val="0"/>
                <w:bCs w:val="0"/>
                <w:color w:val="auto"/>
                <w:sz w:val="24"/>
                <w:szCs w:val="24"/>
                <w:highlight w:val="none"/>
                <w:vertAlign w:val="baseline"/>
                <w:lang w:val="en-US" w:eastAsia="zh-CN"/>
              </w:rPr>
              <w:t>机构名称</w:t>
            </w:r>
            <w:bookmarkEnd w:id="2297"/>
            <w:bookmarkEnd w:id="2298"/>
            <w:bookmarkEnd w:id="2299"/>
            <w:bookmarkEnd w:id="2300"/>
            <w:bookmarkEnd w:id="2301"/>
          </w:p>
        </w:tc>
        <w:tc>
          <w:tcPr>
            <w:tcW w:w="1376" w:type="dxa"/>
            <w:vAlign w:val="center"/>
          </w:tcPr>
          <w:p w14:paraId="7CD074BD">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2302" w:name="_Toc16185"/>
            <w:bookmarkStart w:id="2303" w:name="_Toc14381"/>
            <w:bookmarkStart w:id="2304" w:name="_Toc8313"/>
            <w:bookmarkStart w:id="2305" w:name="_Toc17076"/>
            <w:bookmarkStart w:id="2306" w:name="_Toc30212"/>
            <w:r>
              <w:rPr>
                <w:rFonts w:hint="eastAsia" w:ascii="仿宋" w:hAnsi="仿宋" w:eastAsia="仿宋" w:cs="仿宋"/>
                <w:b w:val="0"/>
                <w:bCs w:val="0"/>
                <w:color w:val="auto"/>
                <w:sz w:val="24"/>
                <w:szCs w:val="24"/>
                <w:highlight w:val="none"/>
                <w:vertAlign w:val="baseline"/>
                <w:lang w:val="en-US" w:eastAsia="zh-CN"/>
              </w:rPr>
              <w:t>机构地址</w:t>
            </w:r>
            <w:bookmarkEnd w:id="2302"/>
            <w:bookmarkEnd w:id="2303"/>
            <w:bookmarkEnd w:id="2304"/>
            <w:bookmarkEnd w:id="2305"/>
            <w:bookmarkEnd w:id="2306"/>
          </w:p>
        </w:tc>
        <w:tc>
          <w:tcPr>
            <w:tcW w:w="1251" w:type="dxa"/>
            <w:vAlign w:val="center"/>
          </w:tcPr>
          <w:p w14:paraId="68439152">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2307" w:name="_Toc18007"/>
            <w:bookmarkStart w:id="2308" w:name="_Toc21988"/>
            <w:bookmarkStart w:id="2309" w:name="_Toc20021"/>
            <w:bookmarkStart w:id="2310" w:name="_Toc3582"/>
            <w:bookmarkStart w:id="2311" w:name="_Toc21084"/>
            <w:r>
              <w:rPr>
                <w:rFonts w:hint="eastAsia" w:ascii="仿宋" w:hAnsi="仿宋" w:eastAsia="仿宋" w:cs="仿宋"/>
                <w:b w:val="0"/>
                <w:bCs w:val="0"/>
                <w:color w:val="auto"/>
                <w:sz w:val="24"/>
                <w:szCs w:val="24"/>
                <w:highlight w:val="none"/>
                <w:vertAlign w:val="baseline"/>
                <w:lang w:val="en-US" w:eastAsia="zh-CN"/>
              </w:rPr>
              <w:t>固话号码</w:t>
            </w:r>
            <w:bookmarkEnd w:id="2307"/>
            <w:bookmarkEnd w:id="2308"/>
            <w:bookmarkEnd w:id="2309"/>
            <w:bookmarkEnd w:id="2310"/>
            <w:bookmarkEnd w:id="2311"/>
          </w:p>
        </w:tc>
        <w:tc>
          <w:tcPr>
            <w:tcW w:w="1251" w:type="dxa"/>
            <w:vAlign w:val="center"/>
          </w:tcPr>
          <w:p w14:paraId="39F2E519">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2312" w:name="_Toc13490"/>
            <w:bookmarkStart w:id="2313" w:name="_Toc31636"/>
            <w:bookmarkStart w:id="2314" w:name="_Toc21615"/>
            <w:bookmarkStart w:id="2315" w:name="_Toc5224"/>
            <w:bookmarkStart w:id="2316" w:name="_Toc26314"/>
            <w:r>
              <w:rPr>
                <w:rFonts w:hint="eastAsia" w:ascii="仿宋" w:hAnsi="仿宋" w:eastAsia="仿宋" w:cs="仿宋"/>
                <w:b w:val="0"/>
                <w:bCs w:val="0"/>
                <w:color w:val="auto"/>
                <w:sz w:val="24"/>
                <w:szCs w:val="24"/>
                <w:highlight w:val="none"/>
                <w:vertAlign w:val="baseline"/>
                <w:lang w:val="en-US" w:eastAsia="zh-CN"/>
              </w:rPr>
              <w:t>联系人</w:t>
            </w:r>
            <w:bookmarkEnd w:id="2312"/>
            <w:bookmarkEnd w:id="2313"/>
            <w:bookmarkEnd w:id="2314"/>
            <w:bookmarkEnd w:id="2315"/>
            <w:bookmarkEnd w:id="2316"/>
          </w:p>
        </w:tc>
        <w:tc>
          <w:tcPr>
            <w:tcW w:w="1224" w:type="dxa"/>
            <w:vAlign w:val="center"/>
          </w:tcPr>
          <w:p w14:paraId="215DF8D0">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2317" w:name="_Toc25995"/>
            <w:bookmarkStart w:id="2318" w:name="_Toc23374"/>
            <w:bookmarkStart w:id="2319" w:name="_Toc18354"/>
            <w:bookmarkStart w:id="2320" w:name="_Toc25455"/>
            <w:bookmarkStart w:id="2321" w:name="_Toc22139"/>
            <w:r>
              <w:rPr>
                <w:rFonts w:hint="eastAsia" w:ascii="仿宋" w:hAnsi="仿宋" w:eastAsia="仿宋" w:cs="仿宋"/>
                <w:b w:val="0"/>
                <w:bCs w:val="0"/>
                <w:color w:val="auto"/>
                <w:sz w:val="24"/>
                <w:szCs w:val="24"/>
                <w:highlight w:val="none"/>
                <w:vertAlign w:val="baseline"/>
                <w:lang w:val="en-US" w:eastAsia="zh-CN"/>
              </w:rPr>
              <w:t>联系电话</w:t>
            </w:r>
            <w:bookmarkEnd w:id="2317"/>
            <w:bookmarkEnd w:id="2318"/>
            <w:bookmarkEnd w:id="2319"/>
            <w:bookmarkEnd w:id="2320"/>
            <w:bookmarkEnd w:id="2321"/>
          </w:p>
        </w:tc>
        <w:tc>
          <w:tcPr>
            <w:tcW w:w="1669" w:type="dxa"/>
            <w:vAlign w:val="center"/>
          </w:tcPr>
          <w:p w14:paraId="58F702FA">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2322" w:name="_Toc2315"/>
            <w:bookmarkStart w:id="2323" w:name="_Toc7976"/>
            <w:bookmarkStart w:id="2324" w:name="_Toc15008"/>
            <w:bookmarkStart w:id="2325" w:name="_Toc6633"/>
            <w:bookmarkStart w:id="2326" w:name="_Toc19407"/>
            <w:r>
              <w:rPr>
                <w:rFonts w:hint="eastAsia" w:ascii="仿宋" w:hAnsi="仿宋" w:eastAsia="仿宋" w:cs="仿宋"/>
                <w:b w:val="0"/>
                <w:bCs w:val="0"/>
                <w:color w:val="auto"/>
                <w:sz w:val="24"/>
                <w:szCs w:val="24"/>
                <w:highlight w:val="none"/>
                <w:vertAlign w:val="baseline"/>
                <w:lang w:val="en-US" w:eastAsia="zh-CN"/>
              </w:rPr>
              <w:t>E-mail/QQ</w:t>
            </w:r>
            <w:bookmarkEnd w:id="2322"/>
            <w:bookmarkEnd w:id="2323"/>
            <w:bookmarkEnd w:id="2324"/>
            <w:bookmarkEnd w:id="2325"/>
            <w:bookmarkEnd w:id="2326"/>
          </w:p>
        </w:tc>
        <w:tc>
          <w:tcPr>
            <w:tcW w:w="1669" w:type="dxa"/>
            <w:vAlign w:val="center"/>
          </w:tcPr>
          <w:p w14:paraId="0D8610F0">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2327" w:name="_Toc14218"/>
            <w:bookmarkStart w:id="2328" w:name="_Toc20012"/>
            <w:bookmarkStart w:id="2329" w:name="_Toc2188"/>
            <w:bookmarkStart w:id="2330" w:name="_Toc13538"/>
            <w:bookmarkStart w:id="2331" w:name="_Toc28570"/>
            <w:r>
              <w:rPr>
                <w:rFonts w:hint="eastAsia" w:ascii="仿宋" w:hAnsi="仿宋" w:eastAsia="仿宋" w:cs="仿宋"/>
                <w:b w:val="0"/>
                <w:bCs w:val="0"/>
                <w:color w:val="auto"/>
                <w:sz w:val="24"/>
                <w:szCs w:val="24"/>
                <w:highlight w:val="none"/>
                <w:vertAlign w:val="baseline"/>
                <w:lang w:val="en-US" w:eastAsia="zh-CN"/>
              </w:rPr>
              <w:t>400/800全国免费电话</w:t>
            </w:r>
            <w:bookmarkEnd w:id="2327"/>
            <w:bookmarkEnd w:id="2328"/>
            <w:bookmarkEnd w:id="2329"/>
            <w:bookmarkEnd w:id="2330"/>
            <w:bookmarkEnd w:id="2331"/>
          </w:p>
        </w:tc>
      </w:tr>
      <w:tr w14:paraId="639BE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Align w:val="center"/>
          </w:tcPr>
          <w:p w14:paraId="7BA699A3">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361" w:type="dxa"/>
            <w:vAlign w:val="center"/>
          </w:tcPr>
          <w:p w14:paraId="5D837B4D">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376" w:type="dxa"/>
            <w:vAlign w:val="center"/>
          </w:tcPr>
          <w:p w14:paraId="58E31B1C">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vAlign w:val="center"/>
          </w:tcPr>
          <w:p w14:paraId="7C32981F">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vAlign w:val="center"/>
          </w:tcPr>
          <w:p w14:paraId="2BE1DADD">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24" w:type="dxa"/>
            <w:vAlign w:val="center"/>
          </w:tcPr>
          <w:p w14:paraId="0F397178">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vAlign w:val="center"/>
          </w:tcPr>
          <w:p w14:paraId="5E914984">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vAlign w:val="center"/>
          </w:tcPr>
          <w:p w14:paraId="3E6A5349">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r>
      <w:tr w14:paraId="0A850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Align w:val="center"/>
          </w:tcPr>
          <w:p w14:paraId="450CBAEA">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361" w:type="dxa"/>
            <w:vAlign w:val="center"/>
          </w:tcPr>
          <w:p w14:paraId="7C43F480">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376" w:type="dxa"/>
            <w:vAlign w:val="center"/>
          </w:tcPr>
          <w:p w14:paraId="7B45B2D5">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vAlign w:val="center"/>
          </w:tcPr>
          <w:p w14:paraId="6BCE4977">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vAlign w:val="center"/>
          </w:tcPr>
          <w:p w14:paraId="34BD3303">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24" w:type="dxa"/>
            <w:vAlign w:val="center"/>
          </w:tcPr>
          <w:p w14:paraId="38E1855C">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vAlign w:val="center"/>
          </w:tcPr>
          <w:p w14:paraId="39A2DEE9">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vAlign w:val="center"/>
          </w:tcPr>
          <w:p w14:paraId="42A93038">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r>
      <w:tr w14:paraId="2ECA2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Align w:val="center"/>
          </w:tcPr>
          <w:p w14:paraId="761C15C3">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361" w:type="dxa"/>
            <w:vAlign w:val="center"/>
          </w:tcPr>
          <w:p w14:paraId="066EA007">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376" w:type="dxa"/>
            <w:vAlign w:val="center"/>
          </w:tcPr>
          <w:p w14:paraId="72DE3CFD">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vAlign w:val="center"/>
          </w:tcPr>
          <w:p w14:paraId="6C2E430E">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vAlign w:val="center"/>
          </w:tcPr>
          <w:p w14:paraId="18F4754B">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24" w:type="dxa"/>
            <w:vAlign w:val="center"/>
          </w:tcPr>
          <w:p w14:paraId="721AA65D">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vAlign w:val="center"/>
          </w:tcPr>
          <w:p w14:paraId="7E153028">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vAlign w:val="center"/>
          </w:tcPr>
          <w:p w14:paraId="5ECF65C1">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r>
      <w:tr w14:paraId="2474A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Align w:val="center"/>
          </w:tcPr>
          <w:p w14:paraId="5800BA7C">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361" w:type="dxa"/>
            <w:vAlign w:val="center"/>
          </w:tcPr>
          <w:p w14:paraId="5E408A24">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376" w:type="dxa"/>
            <w:vAlign w:val="center"/>
          </w:tcPr>
          <w:p w14:paraId="65FF06FC">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vAlign w:val="center"/>
          </w:tcPr>
          <w:p w14:paraId="66911DDA">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vAlign w:val="center"/>
          </w:tcPr>
          <w:p w14:paraId="32035618">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24" w:type="dxa"/>
            <w:vAlign w:val="center"/>
          </w:tcPr>
          <w:p w14:paraId="4C6C5C90">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vAlign w:val="center"/>
          </w:tcPr>
          <w:p w14:paraId="7485168A">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vAlign w:val="center"/>
          </w:tcPr>
          <w:p w14:paraId="6624C307">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r>
      <w:tr w14:paraId="17F8C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Align w:val="center"/>
          </w:tcPr>
          <w:p w14:paraId="4DEAA520">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361" w:type="dxa"/>
            <w:vAlign w:val="center"/>
          </w:tcPr>
          <w:p w14:paraId="1C157F7D">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376" w:type="dxa"/>
            <w:vAlign w:val="center"/>
          </w:tcPr>
          <w:p w14:paraId="2F598E09">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vAlign w:val="center"/>
          </w:tcPr>
          <w:p w14:paraId="48C94CDE">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vAlign w:val="center"/>
          </w:tcPr>
          <w:p w14:paraId="4911F549">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24" w:type="dxa"/>
            <w:vAlign w:val="center"/>
          </w:tcPr>
          <w:p w14:paraId="6C87DF0A">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vAlign w:val="center"/>
          </w:tcPr>
          <w:p w14:paraId="278738B0">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vAlign w:val="center"/>
          </w:tcPr>
          <w:p w14:paraId="1988F357">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r>
      <w:tr w14:paraId="68EE0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Align w:val="center"/>
          </w:tcPr>
          <w:p w14:paraId="1C8E0CD6">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361" w:type="dxa"/>
            <w:vAlign w:val="center"/>
          </w:tcPr>
          <w:p w14:paraId="35046B62">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376" w:type="dxa"/>
            <w:vAlign w:val="center"/>
          </w:tcPr>
          <w:p w14:paraId="16CC1CFC">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vAlign w:val="center"/>
          </w:tcPr>
          <w:p w14:paraId="15B13E5E">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vAlign w:val="center"/>
          </w:tcPr>
          <w:p w14:paraId="776FC997">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24" w:type="dxa"/>
            <w:vAlign w:val="center"/>
          </w:tcPr>
          <w:p w14:paraId="124314AF">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vAlign w:val="center"/>
          </w:tcPr>
          <w:p w14:paraId="0F778C13">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vAlign w:val="center"/>
          </w:tcPr>
          <w:p w14:paraId="4DEC7174">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r>
      <w:tr w14:paraId="2BB97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Align w:val="center"/>
          </w:tcPr>
          <w:p w14:paraId="58E4BB64">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361" w:type="dxa"/>
            <w:vAlign w:val="center"/>
          </w:tcPr>
          <w:p w14:paraId="3600DA3E">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376" w:type="dxa"/>
            <w:vAlign w:val="center"/>
          </w:tcPr>
          <w:p w14:paraId="0B51909C">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vAlign w:val="center"/>
          </w:tcPr>
          <w:p w14:paraId="064AC78C">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vAlign w:val="center"/>
          </w:tcPr>
          <w:p w14:paraId="75AF6087">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24" w:type="dxa"/>
            <w:vAlign w:val="center"/>
          </w:tcPr>
          <w:p w14:paraId="065FF3D7">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vAlign w:val="center"/>
          </w:tcPr>
          <w:p w14:paraId="39E5DDA1">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vAlign w:val="center"/>
          </w:tcPr>
          <w:p w14:paraId="48438C71">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r>
    </w:tbl>
    <w:p w14:paraId="4A4DA1C6">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left"/>
        <w:textAlignment w:val="auto"/>
        <w:outlineLvl w:val="9"/>
        <w:rPr>
          <w:rFonts w:hint="eastAsia" w:ascii="仿宋" w:hAnsi="仿宋" w:eastAsia="仿宋" w:cs="仿宋"/>
          <w:color w:val="auto"/>
          <w:spacing w:val="-1"/>
          <w:sz w:val="24"/>
          <w:szCs w:val="24"/>
          <w:highlight w:val="none"/>
        </w:rPr>
      </w:pPr>
      <w:bookmarkStart w:id="2332" w:name="_Toc15857"/>
      <w:bookmarkStart w:id="2333" w:name="_Toc1996"/>
      <w:bookmarkStart w:id="2334" w:name="_Toc4998"/>
      <w:bookmarkStart w:id="2335" w:name="_Toc31565"/>
      <w:bookmarkStart w:id="2336" w:name="_Toc28040"/>
      <w:r>
        <w:rPr>
          <w:rFonts w:hint="eastAsia" w:ascii="仿宋" w:hAnsi="仿宋" w:eastAsia="仿宋" w:cs="仿宋"/>
          <w:b w:val="0"/>
          <w:bCs w:val="0"/>
          <w:color w:val="auto"/>
          <w:sz w:val="24"/>
          <w:szCs w:val="24"/>
          <w:highlight w:val="none"/>
          <w:lang w:val="en-US" w:eastAsia="zh-CN"/>
        </w:rPr>
        <w:t>注：若服务机构为合作伙伴的需提供相关证明资料（如机构营业执照等</w:t>
      </w:r>
      <w:r>
        <w:rPr>
          <w:rFonts w:hint="eastAsia" w:ascii="仿宋" w:hAnsi="仿宋" w:eastAsia="仿宋" w:cs="仿宋"/>
          <w:b w:val="0"/>
          <w:bCs w:val="0"/>
          <w:color w:val="auto"/>
          <w:sz w:val="24"/>
          <w:szCs w:val="24"/>
          <w:highlight w:val="none"/>
          <w:lang w:eastAsia="zh-CN"/>
        </w:rPr>
        <w:t>（扫描件加盖电子公章）</w:t>
      </w:r>
      <w:bookmarkEnd w:id="2332"/>
      <w:bookmarkEnd w:id="2333"/>
      <w:bookmarkEnd w:id="2334"/>
      <w:bookmarkEnd w:id="2335"/>
      <w:bookmarkEnd w:id="2336"/>
    </w:p>
    <w:p w14:paraId="6534BA31">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193A2400">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24E465CB">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46447732">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4AD202FA">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19F82C78">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0845FD1F">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662A199E">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33D43AF6">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0A3CE7CB">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48A90A04">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390E8421">
      <w:pPr>
        <w:wordWrap w:val="0"/>
        <w:overflowPunct w:val="0"/>
        <w:topLinePunct/>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rPr>
        <w:t>（</w:t>
      </w:r>
      <w:r>
        <w:rPr>
          <w:rFonts w:hint="eastAsia" w:ascii="仿宋" w:hAnsi="仿宋" w:eastAsia="仿宋" w:cs="仿宋"/>
          <w:color w:val="auto"/>
          <w:sz w:val="24"/>
          <w:highlight w:val="none"/>
          <w:u w:val="none"/>
          <w:lang w:val="en-US" w:eastAsia="zh-CN"/>
        </w:rPr>
        <w:t>加盖电子</w:t>
      </w:r>
      <w:r>
        <w:rPr>
          <w:rFonts w:hint="eastAsia" w:ascii="仿宋" w:hAnsi="仿宋" w:eastAsia="仿宋" w:cs="仿宋"/>
          <w:color w:val="auto"/>
          <w:sz w:val="24"/>
          <w:highlight w:val="none"/>
        </w:rPr>
        <w:t>公章）</w:t>
      </w:r>
    </w:p>
    <w:p w14:paraId="5B32B1C8">
      <w:pPr>
        <w:pStyle w:val="28"/>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z w:val="24"/>
          <w:szCs w:val="24"/>
          <w:highlight w:val="none"/>
          <w:u w:val="none"/>
          <w:lang w:val="en-US"/>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7F913461">
      <w:pPr>
        <w:jc w:val="center"/>
        <w:rPr>
          <w:rFonts w:hint="eastAsia" w:ascii="仿宋" w:hAnsi="仿宋" w:eastAsia="仿宋" w:cs="仿宋"/>
          <w:color w:val="auto"/>
          <w:sz w:val="24"/>
          <w:szCs w:val="24"/>
          <w:highlight w:val="none"/>
          <w:lang w:eastAsia="zh-CN"/>
        </w:rPr>
        <w:sectPr>
          <w:pgSz w:w="11906" w:h="16838"/>
          <w:pgMar w:top="1134" w:right="1134" w:bottom="1134" w:left="1134"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p>
    <w:p w14:paraId="3F665B46">
      <w:pPr>
        <w:pStyle w:val="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仿宋" w:hAnsi="仿宋" w:eastAsia="仿宋" w:cs="仿宋"/>
          <w:color w:val="auto"/>
          <w:sz w:val="28"/>
          <w:szCs w:val="28"/>
          <w:highlight w:val="none"/>
          <w:lang w:eastAsia="zh-CN"/>
        </w:rPr>
      </w:pPr>
      <w:bookmarkStart w:id="2337" w:name="_Toc28159"/>
      <w:bookmarkStart w:id="2338" w:name="_Toc7291"/>
      <w:r>
        <w:rPr>
          <w:rFonts w:hint="eastAsia" w:ascii="仿宋" w:hAnsi="仿宋" w:eastAsia="仿宋" w:cs="仿宋"/>
          <w:color w:val="auto"/>
          <w:sz w:val="32"/>
          <w:szCs w:val="32"/>
          <w:highlight w:val="none"/>
          <w:lang w:val="en-US" w:eastAsia="zh-CN"/>
        </w:rPr>
        <w:t>十二、</w:t>
      </w:r>
      <w:bookmarkEnd w:id="2337"/>
      <w:bookmarkEnd w:id="2338"/>
      <w:r>
        <w:rPr>
          <w:rFonts w:hint="eastAsia" w:ascii="仿宋" w:hAnsi="仿宋" w:eastAsia="仿宋" w:cs="仿宋"/>
          <w:color w:val="auto"/>
          <w:sz w:val="32"/>
          <w:szCs w:val="32"/>
          <w:highlight w:val="none"/>
          <w:lang w:val="en-US" w:eastAsia="zh-CN"/>
        </w:rPr>
        <w:t>仓储能力</w:t>
      </w:r>
    </w:p>
    <w:p w14:paraId="730290EE">
      <w:pPr>
        <w:spacing w:line="360" w:lineRule="auto"/>
        <w:jc w:val="center"/>
        <w:outlineLvl w:val="2"/>
        <w:rPr>
          <w:rFonts w:hint="eastAsia" w:ascii="仿宋" w:hAnsi="仿宋" w:eastAsia="仿宋" w:cs="仿宋"/>
          <w:snapToGrid w:val="0"/>
          <w:color w:val="auto"/>
          <w:kern w:val="0"/>
          <w:szCs w:val="20"/>
          <w:highlight w:val="none"/>
        </w:rPr>
      </w:pPr>
      <w:bookmarkStart w:id="2339" w:name="_Toc24408"/>
      <w:bookmarkStart w:id="2340" w:name="_Toc24463"/>
      <w:r>
        <w:rPr>
          <w:rFonts w:hint="eastAsia" w:ascii="仿宋" w:hAnsi="仿宋" w:eastAsia="仿宋" w:cs="仿宋"/>
          <w:snapToGrid w:val="0"/>
          <w:color w:val="auto"/>
          <w:kern w:val="0"/>
          <w:szCs w:val="20"/>
          <w:highlight w:val="none"/>
        </w:rPr>
        <w:t>（格式自拟，内容由</w:t>
      </w:r>
      <w:r>
        <w:rPr>
          <w:rFonts w:hint="eastAsia" w:ascii="仿宋" w:hAnsi="仿宋" w:eastAsia="仿宋" w:cs="仿宋"/>
          <w:snapToGrid w:val="0"/>
          <w:color w:val="auto"/>
          <w:kern w:val="0"/>
          <w:szCs w:val="20"/>
          <w:highlight w:val="none"/>
          <w:lang w:eastAsia="zh-CN"/>
        </w:rPr>
        <w:t>投标人</w:t>
      </w:r>
      <w:r>
        <w:rPr>
          <w:rFonts w:hint="eastAsia" w:ascii="仿宋" w:hAnsi="仿宋" w:eastAsia="仿宋" w:cs="仿宋"/>
          <w:snapToGrid w:val="0"/>
          <w:color w:val="auto"/>
          <w:kern w:val="0"/>
          <w:szCs w:val="20"/>
          <w:highlight w:val="none"/>
        </w:rPr>
        <w:t>根据</w:t>
      </w:r>
      <w:r>
        <w:rPr>
          <w:rFonts w:hint="eastAsia" w:ascii="仿宋" w:hAnsi="仿宋" w:eastAsia="仿宋" w:cs="仿宋"/>
          <w:snapToGrid w:val="0"/>
          <w:color w:val="auto"/>
          <w:kern w:val="0"/>
          <w:szCs w:val="20"/>
          <w:highlight w:val="none"/>
          <w:lang w:eastAsia="zh-CN"/>
        </w:rPr>
        <w:t>评审</w:t>
      </w:r>
      <w:r>
        <w:rPr>
          <w:rFonts w:hint="eastAsia" w:ascii="仿宋" w:hAnsi="仿宋" w:eastAsia="仿宋" w:cs="仿宋"/>
          <w:snapToGrid w:val="0"/>
          <w:color w:val="auto"/>
          <w:kern w:val="0"/>
          <w:szCs w:val="20"/>
          <w:highlight w:val="none"/>
        </w:rPr>
        <w:t>办法并结合自身实际情况自行编写）</w:t>
      </w:r>
      <w:bookmarkEnd w:id="2339"/>
      <w:bookmarkEnd w:id="2340"/>
    </w:p>
    <w:p w14:paraId="02ED9FD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仿宋" w:hAnsi="仿宋" w:eastAsia="仿宋" w:cs="仿宋"/>
          <w:color w:val="auto"/>
          <w:sz w:val="24"/>
          <w:szCs w:val="24"/>
          <w:highlight w:val="none"/>
          <w:lang w:eastAsia="zh-CN"/>
        </w:rPr>
      </w:pPr>
    </w:p>
    <w:p w14:paraId="2174E4BB">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3EBA8D16">
      <w:pPr>
        <w:wordWrap w:val="0"/>
        <w:overflowPunct w:val="0"/>
        <w:topLinePunct/>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rPr>
        <w:t>（</w:t>
      </w:r>
      <w:r>
        <w:rPr>
          <w:rFonts w:hint="eastAsia" w:ascii="仿宋" w:hAnsi="仿宋" w:eastAsia="仿宋" w:cs="仿宋"/>
          <w:color w:val="auto"/>
          <w:sz w:val="24"/>
          <w:highlight w:val="none"/>
          <w:u w:val="none"/>
          <w:lang w:val="en-US" w:eastAsia="zh-CN"/>
        </w:rPr>
        <w:t>加盖电子</w:t>
      </w:r>
      <w:r>
        <w:rPr>
          <w:rFonts w:hint="eastAsia" w:ascii="仿宋" w:hAnsi="仿宋" w:eastAsia="仿宋" w:cs="仿宋"/>
          <w:color w:val="auto"/>
          <w:sz w:val="24"/>
          <w:highlight w:val="none"/>
        </w:rPr>
        <w:t>公章）</w:t>
      </w:r>
    </w:p>
    <w:p w14:paraId="59106360">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19EF5BFD">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p>
    <w:p w14:paraId="11D4F301">
      <w:pPr>
        <w:jc w:val="center"/>
        <w:rPr>
          <w:rFonts w:hint="eastAsia" w:ascii="仿宋" w:hAnsi="仿宋" w:eastAsia="仿宋" w:cs="仿宋"/>
          <w:color w:val="auto"/>
          <w:sz w:val="24"/>
          <w:szCs w:val="24"/>
          <w:highlight w:val="none"/>
          <w:lang w:eastAsia="zh-CN"/>
        </w:rPr>
      </w:pPr>
    </w:p>
    <w:p w14:paraId="7EC2961F">
      <w:pPr>
        <w:jc w:val="center"/>
        <w:rPr>
          <w:rFonts w:hint="eastAsia" w:ascii="仿宋" w:hAnsi="仿宋" w:eastAsia="仿宋" w:cs="仿宋"/>
          <w:color w:val="auto"/>
          <w:sz w:val="24"/>
          <w:szCs w:val="24"/>
          <w:highlight w:val="none"/>
          <w:lang w:eastAsia="zh-CN"/>
        </w:rPr>
      </w:pPr>
    </w:p>
    <w:p w14:paraId="459AF349">
      <w:pPr>
        <w:pStyle w:val="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仿宋" w:hAnsi="仿宋" w:eastAsia="仿宋" w:cs="仿宋"/>
          <w:color w:val="auto"/>
          <w:sz w:val="28"/>
          <w:szCs w:val="28"/>
          <w:highlight w:val="none"/>
          <w:lang w:eastAsia="zh-CN"/>
        </w:rPr>
      </w:pPr>
      <w:r>
        <w:rPr>
          <w:rFonts w:hint="eastAsia" w:ascii="仿宋" w:hAnsi="仿宋" w:eastAsia="仿宋" w:cs="仿宋"/>
          <w:color w:val="auto"/>
          <w:sz w:val="32"/>
          <w:szCs w:val="32"/>
          <w:highlight w:val="none"/>
          <w:lang w:val="en-US" w:eastAsia="zh-CN"/>
        </w:rPr>
        <w:t>十三、优惠条款</w:t>
      </w:r>
    </w:p>
    <w:p w14:paraId="5B47B7A0">
      <w:pPr>
        <w:spacing w:line="360" w:lineRule="auto"/>
        <w:jc w:val="center"/>
        <w:outlineLvl w:val="2"/>
        <w:rPr>
          <w:rFonts w:hint="eastAsia" w:ascii="仿宋" w:hAnsi="仿宋" w:eastAsia="仿宋" w:cs="仿宋"/>
          <w:snapToGrid w:val="0"/>
          <w:color w:val="auto"/>
          <w:kern w:val="0"/>
          <w:szCs w:val="20"/>
          <w:highlight w:val="none"/>
        </w:rPr>
      </w:pPr>
      <w:r>
        <w:rPr>
          <w:rFonts w:hint="eastAsia" w:ascii="仿宋" w:hAnsi="仿宋" w:eastAsia="仿宋" w:cs="仿宋"/>
          <w:snapToGrid w:val="0"/>
          <w:color w:val="auto"/>
          <w:kern w:val="0"/>
          <w:szCs w:val="20"/>
          <w:highlight w:val="none"/>
        </w:rPr>
        <w:t>（格式自拟，内容由</w:t>
      </w:r>
      <w:r>
        <w:rPr>
          <w:rFonts w:hint="eastAsia" w:ascii="仿宋" w:hAnsi="仿宋" w:eastAsia="仿宋" w:cs="仿宋"/>
          <w:snapToGrid w:val="0"/>
          <w:color w:val="auto"/>
          <w:kern w:val="0"/>
          <w:szCs w:val="20"/>
          <w:highlight w:val="none"/>
          <w:lang w:eastAsia="zh-CN"/>
        </w:rPr>
        <w:t>投标人</w:t>
      </w:r>
      <w:r>
        <w:rPr>
          <w:rFonts w:hint="eastAsia" w:ascii="仿宋" w:hAnsi="仿宋" w:eastAsia="仿宋" w:cs="仿宋"/>
          <w:snapToGrid w:val="0"/>
          <w:color w:val="auto"/>
          <w:kern w:val="0"/>
          <w:szCs w:val="20"/>
          <w:highlight w:val="none"/>
        </w:rPr>
        <w:t>根据</w:t>
      </w:r>
      <w:r>
        <w:rPr>
          <w:rFonts w:hint="eastAsia" w:ascii="仿宋" w:hAnsi="仿宋" w:eastAsia="仿宋" w:cs="仿宋"/>
          <w:snapToGrid w:val="0"/>
          <w:color w:val="auto"/>
          <w:kern w:val="0"/>
          <w:szCs w:val="20"/>
          <w:highlight w:val="none"/>
          <w:lang w:eastAsia="zh-CN"/>
        </w:rPr>
        <w:t>评审</w:t>
      </w:r>
      <w:r>
        <w:rPr>
          <w:rFonts w:hint="eastAsia" w:ascii="仿宋" w:hAnsi="仿宋" w:eastAsia="仿宋" w:cs="仿宋"/>
          <w:snapToGrid w:val="0"/>
          <w:color w:val="auto"/>
          <w:kern w:val="0"/>
          <w:szCs w:val="20"/>
          <w:highlight w:val="none"/>
        </w:rPr>
        <w:t>办法并结合自身实际情况自行编写）</w:t>
      </w:r>
    </w:p>
    <w:p w14:paraId="2D9E7A43">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仿宋" w:hAnsi="仿宋" w:eastAsia="仿宋" w:cs="仿宋"/>
          <w:color w:val="auto"/>
          <w:sz w:val="24"/>
          <w:szCs w:val="24"/>
          <w:highlight w:val="none"/>
          <w:lang w:eastAsia="zh-CN"/>
        </w:rPr>
      </w:pPr>
    </w:p>
    <w:p w14:paraId="2DCAC516">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240B4963">
      <w:pPr>
        <w:wordWrap w:val="0"/>
        <w:overflowPunct w:val="0"/>
        <w:topLinePunct/>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rPr>
        <w:t>（</w:t>
      </w:r>
      <w:r>
        <w:rPr>
          <w:rFonts w:hint="eastAsia" w:ascii="仿宋" w:hAnsi="仿宋" w:eastAsia="仿宋" w:cs="仿宋"/>
          <w:color w:val="auto"/>
          <w:sz w:val="24"/>
          <w:highlight w:val="none"/>
          <w:u w:val="none"/>
          <w:lang w:val="en-US" w:eastAsia="zh-CN"/>
        </w:rPr>
        <w:t>加盖电子</w:t>
      </w:r>
      <w:r>
        <w:rPr>
          <w:rFonts w:hint="eastAsia" w:ascii="仿宋" w:hAnsi="仿宋" w:eastAsia="仿宋" w:cs="仿宋"/>
          <w:color w:val="auto"/>
          <w:sz w:val="24"/>
          <w:highlight w:val="none"/>
        </w:rPr>
        <w:t>公章）</w:t>
      </w:r>
    </w:p>
    <w:p w14:paraId="1929FDF2">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63CD63D4">
      <w:pPr>
        <w:jc w:val="center"/>
        <w:rPr>
          <w:rFonts w:hint="eastAsia" w:ascii="仿宋" w:hAnsi="仿宋" w:eastAsia="仿宋" w:cs="仿宋"/>
          <w:color w:val="auto"/>
          <w:sz w:val="24"/>
          <w:szCs w:val="24"/>
          <w:highlight w:val="none"/>
        </w:rPr>
        <w:sectPr>
          <w:pgSz w:w="11906" w:h="16838"/>
          <w:pgMar w:top="1134" w:right="1134" w:bottom="1134" w:left="1134"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仿宋" w:hAnsi="仿宋" w:eastAsia="仿宋" w:cs="仿宋"/>
          <w:color w:val="auto"/>
          <w:sz w:val="24"/>
          <w:szCs w:val="24"/>
          <w:highlight w:val="none"/>
          <w:lang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p>
    <w:p w14:paraId="0DC66BD4">
      <w:pPr>
        <w:pStyle w:val="28"/>
        <w:keepNext w:val="0"/>
        <w:keepLines w:val="0"/>
        <w:pageBreakBefore w:val="0"/>
        <w:widowControl w:val="0"/>
        <w:kinsoku/>
        <w:wordWrap w:val="0"/>
        <w:overflowPunct w:val="0"/>
        <w:topLinePunct/>
        <w:autoSpaceDE/>
        <w:autoSpaceDN/>
        <w:bidi w:val="0"/>
        <w:adjustRightInd/>
        <w:snapToGrid/>
        <w:spacing w:line="360" w:lineRule="auto"/>
        <w:ind w:firstLine="0" w:firstLineChars="0"/>
        <w:jc w:val="center"/>
        <w:textAlignment w:val="auto"/>
        <w:outlineLvl w:val="1"/>
        <w:rPr>
          <w:rFonts w:hint="eastAsia" w:ascii="仿宋" w:hAnsi="仿宋" w:eastAsia="仿宋" w:cs="仿宋"/>
          <w:b/>
          <w:color w:val="auto"/>
          <w:szCs w:val="21"/>
          <w:highlight w:val="none"/>
        </w:rPr>
      </w:pPr>
      <w:bookmarkStart w:id="2341" w:name="_Toc10887"/>
      <w:bookmarkStart w:id="2342" w:name="_Toc17330"/>
      <w:bookmarkStart w:id="2343" w:name="_Toc2090"/>
      <w:bookmarkStart w:id="2344" w:name="_Toc7777"/>
      <w:r>
        <w:rPr>
          <w:rFonts w:hint="eastAsia" w:ascii="仿宋" w:hAnsi="仿宋" w:eastAsia="仿宋" w:cs="仿宋"/>
          <w:b/>
          <w:bCs/>
          <w:color w:val="auto"/>
          <w:sz w:val="32"/>
          <w:szCs w:val="32"/>
          <w:highlight w:val="none"/>
          <w:lang w:val="en-US" w:eastAsia="zh-CN"/>
        </w:rPr>
        <w:t>十四</w:t>
      </w:r>
      <w:r>
        <w:rPr>
          <w:rFonts w:hint="eastAsia" w:ascii="仿宋" w:hAnsi="仿宋" w:eastAsia="仿宋" w:cs="仿宋"/>
          <w:b/>
          <w:bCs/>
          <w:color w:val="auto"/>
          <w:sz w:val="32"/>
          <w:szCs w:val="32"/>
          <w:highlight w:val="none"/>
          <w:lang w:val="zh-CN" w:eastAsia="zh-CN"/>
        </w:rPr>
        <w:t>、</w:t>
      </w:r>
      <w:r>
        <w:rPr>
          <w:rFonts w:hint="eastAsia" w:ascii="仿宋" w:hAnsi="仿宋" w:eastAsia="仿宋" w:cs="仿宋"/>
          <w:b/>
          <w:bCs/>
          <w:color w:val="auto"/>
          <w:sz w:val="32"/>
          <w:szCs w:val="32"/>
          <w:highlight w:val="none"/>
          <w:lang w:eastAsia="zh-CN"/>
        </w:rPr>
        <w:t>投标人</w:t>
      </w:r>
      <w:r>
        <w:rPr>
          <w:rFonts w:hint="eastAsia" w:ascii="仿宋" w:hAnsi="仿宋" w:eastAsia="仿宋" w:cs="仿宋"/>
          <w:b/>
          <w:bCs/>
          <w:color w:val="auto"/>
          <w:sz w:val="32"/>
          <w:szCs w:val="32"/>
          <w:highlight w:val="none"/>
        </w:rPr>
        <w:t>主要业绩</w:t>
      </w:r>
      <w:r>
        <w:rPr>
          <w:rFonts w:hint="eastAsia" w:ascii="仿宋" w:hAnsi="仿宋" w:eastAsia="仿宋" w:cs="仿宋"/>
          <w:b/>
          <w:bCs/>
          <w:color w:val="auto"/>
          <w:sz w:val="32"/>
          <w:szCs w:val="32"/>
          <w:highlight w:val="none"/>
          <w:lang w:eastAsia="zh-CN"/>
        </w:rPr>
        <w:t>（若有）</w:t>
      </w:r>
      <w:bookmarkEnd w:id="2341"/>
      <w:bookmarkEnd w:id="2342"/>
      <w:bookmarkEnd w:id="2343"/>
      <w:bookmarkEnd w:id="2344"/>
    </w:p>
    <w:tbl>
      <w:tblPr>
        <w:tblStyle w:val="67"/>
        <w:tblW w:w="102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7"/>
        <w:gridCol w:w="1105"/>
        <w:gridCol w:w="1840"/>
        <w:gridCol w:w="1366"/>
        <w:gridCol w:w="1294"/>
        <w:gridCol w:w="1255"/>
        <w:gridCol w:w="1036"/>
        <w:gridCol w:w="1104"/>
      </w:tblGrid>
      <w:tr w14:paraId="25EA3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vAlign w:val="center"/>
          </w:tcPr>
          <w:p w14:paraId="3F21C847">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tc>
        <w:tc>
          <w:tcPr>
            <w:tcW w:w="1105" w:type="dxa"/>
            <w:vAlign w:val="center"/>
          </w:tcPr>
          <w:p w14:paraId="6078B711">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采购人</w:t>
            </w:r>
          </w:p>
        </w:tc>
        <w:tc>
          <w:tcPr>
            <w:tcW w:w="1840" w:type="dxa"/>
            <w:vAlign w:val="center"/>
          </w:tcPr>
          <w:p w14:paraId="72771F4A">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联系人及联系电话</w:t>
            </w:r>
          </w:p>
        </w:tc>
        <w:tc>
          <w:tcPr>
            <w:tcW w:w="1366" w:type="dxa"/>
            <w:vAlign w:val="center"/>
          </w:tcPr>
          <w:p w14:paraId="247F4800">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供货安装期限</w:t>
            </w:r>
          </w:p>
        </w:tc>
        <w:tc>
          <w:tcPr>
            <w:tcW w:w="1294" w:type="dxa"/>
            <w:vAlign w:val="center"/>
          </w:tcPr>
          <w:p w14:paraId="67769E0F">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项目地点</w:t>
            </w:r>
          </w:p>
        </w:tc>
        <w:tc>
          <w:tcPr>
            <w:tcW w:w="1255" w:type="dxa"/>
            <w:vAlign w:val="center"/>
          </w:tcPr>
          <w:p w14:paraId="434D000C">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项目规模</w:t>
            </w:r>
          </w:p>
        </w:tc>
        <w:tc>
          <w:tcPr>
            <w:tcW w:w="1036" w:type="dxa"/>
            <w:vAlign w:val="center"/>
          </w:tcPr>
          <w:p w14:paraId="0C3C9635">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pacing w:val="-16"/>
                <w:sz w:val="24"/>
                <w:szCs w:val="24"/>
                <w:highlight w:val="none"/>
              </w:rPr>
            </w:pPr>
            <w:r>
              <w:rPr>
                <w:rFonts w:hint="eastAsia" w:ascii="仿宋" w:hAnsi="仿宋" w:eastAsia="仿宋" w:cs="仿宋"/>
                <w:color w:val="auto"/>
                <w:spacing w:val="-16"/>
                <w:sz w:val="24"/>
                <w:szCs w:val="24"/>
                <w:highlight w:val="none"/>
              </w:rPr>
              <w:t>签约合同金额</w:t>
            </w:r>
          </w:p>
        </w:tc>
        <w:tc>
          <w:tcPr>
            <w:tcW w:w="1104" w:type="dxa"/>
            <w:vAlign w:val="center"/>
          </w:tcPr>
          <w:p w14:paraId="5AE7FB7B">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pacing w:val="-16"/>
                <w:sz w:val="24"/>
                <w:szCs w:val="24"/>
                <w:highlight w:val="none"/>
              </w:rPr>
            </w:pPr>
            <w:r>
              <w:rPr>
                <w:rFonts w:hint="eastAsia" w:ascii="仿宋" w:hAnsi="仿宋" w:eastAsia="仿宋" w:cs="仿宋"/>
                <w:color w:val="auto"/>
                <w:spacing w:val="-16"/>
                <w:sz w:val="24"/>
                <w:szCs w:val="24"/>
                <w:highlight w:val="none"/>
              </w:rPr>
              <w:t>合同内容</w:t>
            </w:r>
          </w:p>
        </w:tc>
      </w:tr>
      <w:tr w14:paraId="2D1FF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vAlign w:val="center"/>
          </w:tcPr>
          <w:p w14:paraId="36BEDE73">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5" w:type="dxa"/>
            <w:vAlign w:val="center"/>
          </w:tcPr>
          <w:p w14:paraId="245341F9">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840" w:type="dxa"/>
            <w:vAlign w:val="center"/>
          </w:tcPr>
          <w:p w14:paraId="718F5E79">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366" w:type="dxa"/>
            <w:vAlign w:val="center"/>
          </w:tcPr>
          <w:p w14:paraId="5DC4228F">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94" w:type="dxa"/>
            <w:vAlign w:val="center"/>
          </w:tcPr>
          <w:p w14:paraId="721E5197">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55" w:type="dxa"/>
            <w:vAlign w:val="center"/>
          </w:tcPr>
          <w:p w14:paraId="4A5032AC">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036" w:type="dxa"/>
            <w:vAlign w:val="center"/>
          </w:tcPr>
          <w:p w14:paraId="1569AFF5">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4" w:type="dxa"/>
            <w:vAlign w:val="center"/>
          </w:tcPr>
          <w:p w14:paraId="28CF523A">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r>
      <w:tr w14:paraId="79DB9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vAlign w:val="center"/>
          </w:tcPr>
          <w:p w14:paraId="5F10A1AD">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5" w:type="dxa"/>
            <w:vAlign w:val="center"/>
          </w:tcPr>
          <w:p w14:paraId="3BA2AB99">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840" w:type="dxa"/>
            <w:vAlign w:val="center"/>
          </w:tcPr>
          <w:p w14:paraId="0E406B22">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366" w:type="dxa"/>
            <w:vAlign w:val="center"/>
          </w:tcPr>
          <w:p w14:paraId="6A91485E">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94" w:type="dxa"/>
            <w:vAlign w:val="center"/>
          </w:tcPr>
          <w:p w14:paraId="4DC97E6C">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55" w:type="dxa"/>
            <w:vAlign w:val="center"/>
          </w:tcPr>
          <w:p w14:paraId="5FC907D8">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036" w:type="dxa"/>
            <w:vAlign w:val="center"/>
          </w:tcPr>
          <w:p w14:paraId="52E44FF6">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4" w:type="dxa"/>
            <w:vAlign w:val="center"/>
          </w:tcPr>
          <w:p w14:paraId="3F346EAE">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r>
      <w:tr w14:paraId="394E2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vAlign w:val="center"/>
          </w:tcPr>
          <w:p w14:paraId="6D613559">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5" w:type="dxa"/>
            <w:vAlign w:val="center"/>
          </w:tcPr>
          <w:p w14:paraId="51854D6D">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840" w:type="dxa"/>
            <w:vAlign w:val="center"/>
          </w:tcPr>
          <w:p w14:paraId="192693CC">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366" w:type="dxa"/>
            <w:vAlign w:val="center"/>
          </w:tcPr>
          <w:p w14:paraId="7DBA202D">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94" w:type="dxa"/>
            <w:vAlign w:val="center"/>
          </w:tcPr>
          <w:p w14:paraId="393096B1">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55" w:type="dxa"/>
            <w:vAlign w:val="center"/>
          </w:tcPr>
          <w:p w14:paraId="7E9571E4">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036" w:type="dxa"/>
            <w:vAlign w:val="center"/>
          </w:tcPr>
          <w:p w14:paraId="3EC09EF6">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4" w:type="dxa"/>
            <w:vAlign w:val="center"/>
          </w:tcPr>
          <w:p w14:paraId="51ACF6E3">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r>
      <w:tr w14:paraId="03CC8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vAlign w:val="center"/>
          </w:tcPr>
          <w:p w14:paraId="57E10D02">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5" w:type="dxa"/>
            <w:vAlign w:val="center"/>
          </w:tcPr>
          <w:p w14:paraId="6F5E5874">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840" w:type="dxa"/>
            <w:vAlign w:val="center"/>
          </w:tcPr>
          <w:p w14:paraId="4BBDCA40">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366" w:type="dxa"/>
            <w:vAlign w:val="center"/>
          </w:tcPr>
          <w:p w14:paraId="6B55102B">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94" w:type="dxa"/>
            <w:vAlign w:val="center"/>
          </w:tcPr>
          <w:p w14:paraId="19F6DE7B">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55" w:type="dxa"/>
            <w:vAlign w:val="center"/>
          </w:tcPr>
          <w:p w14:paraId="1A3A5307">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036" w:type="dxa"/>
            <w:vAlign w:val="center"/>
          </w:tcPr>
          <w:p w14:paraId="7585B5AA">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4" w:type="dxa"/>
            <w:vAlign w:val="center"/>
          </w:tcPr>
          <w:p w14:paraId="49BD174F">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r>
      <w:tr w14:paraId="21BE9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jc w:val="center"/>
        </w:trPr>
        <w:tc>
          <w:tcPr>
            <w:tcW w:w="1227" w:type="dxa"/>
            <w:vAlign w:val="center"/>
          </w:tcPr>
          <w:p w14:paraId="2E772CE3">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5" w:type="dxa"/>
            <w:vAlign w:val="center"/>
          </w:tcPr>
          <w:p w14:paraId="0D65B462">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840" w:type="dxa"/>
            <w:vAlign w:val="center"/>
          </w:tcPr>
          <w:p w14:paraId="23565EB6">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366" w:type="dxa"/>
            <w:vAlign w:val="center"/>
          </w:tcPr>
          <w:p w14:paraId="4538153F">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94" w:type="dxa"/>
            <w:vAlign w:val="center"/>
          </w:tcPr>
          <w:p w14:paraId="73DE1672">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55" w:type="dxa"/>
            <w:vAlign w:val="center"/>
          </w:tcPr>
          <w:p w14:paraId="0A1A3226">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036" w:type="dxa"/>
            <w:vAlign w:val="center"/>
          </w:tcPr>
          <w:p w14:paraId="5BD8145F">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4" w:type="dxa"/>
            <w:vAlign w:val="center"/>
          </w:tcPr>
          <w:p w14:paraId="5A5841F4">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r>
      <w:tr w14:paraId="729CD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jc w:val="center"/>
        </w:trPr>
        <w:tc>
          <w:tcPr>
            <w:tcW w:w="10227" w:type="dxa"/>
            <w:gridSpan w:val="8"/>
            <w:vAlign w:val="center"/>
          </w:tcPr>
          <w:p w14:paraId="36633778">
            <w:pPr>
              <w:keepNext w:val="0"/>
              <w:keepLines w:val="0"/>
              <w:pageBreakBefore w:val="0"/>
              <w:widowControl w:val="0"/>
              <w:kinsoku/>
              <w:wordWrap w:val="0"/>
              <w:overflowPunct w:val="0"/>
              <w:topLinePunct/>
              <w:autoSpaceDE/>
              <w:autoSpaceDN/>
              <w:bidi w:val="0"/>
              <w:adjustRightInd/>
              <w:snapToGrid/>
              <w:spacing w:line="360" w:lineRule="auto"/>
              <w:ind w:left="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说明：附（</w:t>
            </w:r>
            <w:r>
              <w:rPr>
                <w:rFonts w:hint="eastAsia" w:ascii="仿宋" w:hAnsi="仿宋" w:eastAsia="仿宋" w:cs="仿宋"/>
                <w:color w:val="auto"/>
                <w:sz w:val="24"/>
                <w:szCs w:val="24"/>
                <w:highlight w:val="none"/>
                <w:lang w:eastAsia="zh-CN"/>
              </w:rPr>
              <w:t>评审</w:t>
            </w:r>
            <w:r>
              <w:rPr>
                <w:rFonts w:hint="eastAsia" w:ascii="仿宋" w:hAnsi="仿宋" w:eastAsia="仿宋" w:cs="仿宋"/>
                <w:color w:val="auto"/>
                <w:sz w:val="24"/>
                <w:szCs w:val="24"/>
                <w:highlight w:val="none"/>
              </w:rPr>
              <w:t>办法要求提供的）证明材料。</w:t>
            </w:r>
          </w:p>
        </w:tc>
      </w:tr>
    </w:tbl>
    <w:p w14:paraId="694A2686">
      <w:pPr>
        <w:keepNext w:val="0"/>
        <w:keepLines w:val="0"/>
        <w:pageBreakBefore w:val="0"/>
        <w:widowControl w:val="0"/>
        <w:kinsoku/>
        <w:wordWrap w:val="0"/>
        <w:overflowPunct w:val="0"/>
        <w:topLinePunct/>
        <w:autoSpaceDE/>
        <w:autoSpaceDN/>
        <w:bidi w:val="0"/>
        <w:adjustRightInd/>
        <w:snapToGrid/>
        <w:rPr>
          <w:rFonts w:hint="eastAsia" w:ascii="仿宋" w:hAnsi="仿宋" w:eastAsia="仿宋" w:cs="仿宋"/>
          <w:color w:val="auto"/>
          <w:highlight w:val="none"/>
          <w:lang w:val="zh-CN" w:eastAsia="zh-CN"/>
        </w:rPr>
        <w:sectPr>
          <w:pgSz w:w="11906" w:h="16838"/>
          <w:pgMar w:top="1134" w:right="1134" w:bottom="1134" w:left="1134"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4048314D">
      <w:pPr>
        <w:pStyle w:val="4"/>
        <w:bidi w:val="0"/>
        <w:jc w:val="center"/>
        <w:outlineLvl w:val="1"/>
        <w:rPr>
          <w:rFonts w:hint="eastAsia" w:ascii="仿宋" w:hAnsi="仿宋" w:eastAsia="仿宋" w:cs="仿宋"/>
          <w:color w:val="auto"/>
          <w:highlight w:val="none"/>
          <w:lang w:eastAsia="zh-CN"/>
        </w:rPr>
      </w:pPr>
      <w:bookmarkStart w:id="2345" w:name="_Toc31548"/>
      <w:bookmarkStart w:id="2346" w:name="_Toc18373"/>
      <w:bookmarkStart w:id="2347" w:name="_Toc14131"/>
      <w:bookmarkStart w:id="2348" w:name="_Toc28887"/>
      <w:r>
        <w:rPr>
          <w:rFonts w:hint="eastAsia" w:ascii="仿宋" w:hAnsi="仿宋" w:eastAsia="仿宋" w:cs="仿宋"/>
          <w:color w:val="auto"/>
          <w:highlight w:val="none"/>
          <w:lang w:val="en-US" w:eastAsia="zh-CN"/>
        </w:rPr>
        <w:t>十五、</w:t>
      </w:r>
      <w:r>
        <w:rPr>
          <w:rFonts w:hint="eastAsia" w:ascii="仿宋" w:hAnsi="仿宋" w:eastAsia="仿宋" w:cs="仿宋"/>
          <w:color w:val="auto"/>
          <w:highlight w:val="none"/>
          <w:lang w:eastAsia="zh-CN"/>
        </w:rPr>
        <w:t>投标人认为有必要提供的其他资料</w:t>
      </w:r>
      <w:bookmarkEnd w:id="2345"/>
      <w:bookmarkEnd w:id="2346"/>
      <w:bookmarkEnd w:id="2347"/>
      <w:bookmarkEnd w:id="2348"/>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若有</w:t>
      </w:r>
      <w:r>
        <w:rPr>
          <w:rFonts w:hint="eastAsia" w:ascii="仿宋" w:hAnsi="仿宋" w:eastAsia="仿宋" w:cs="仿宋"/>
          <w:color w:val="auto"/>
          <w:highlight w:val="none"/>
          <w:lang w:eastAsia="zh-CN"/>
        </w:rPr>
        <w:t>）</w:t>
      </w:r>
    </w:p>
    <w:p w14:paraId="3AEB0F7B">
      <w:pPr>
        <w:pStyle w:val="28"/>
        <w:keepNext w:val="0"/>
        <w:keepLines w:val="0"/>
        <w:pageBreakBefore w:val="0"/>
        <w:widowControl w:val="0"/>
        <w:kinsoku/>
        <w:wordWrap w:val="0"/>
        <w:overflowPunct w:val="0"/>
        <w:topLinePunct/>
        <w:autoSpaceDE/>
        <w:autoSpaceDN/>
        <w:bidi w:val="0"/>
        <w:adjustRightInd/>
        <w:snapToGrid/>
        <w:spacing w:before="159" w:line="360" w:lineRule="auto"/>
        <w:jc w:val="center"/>
        <w:outlineLvl w:val="0"/>
        <w:rPr>
          <w:rFonts w:hint="eastAsia" w:ascii="仿宋" w:hAnsi="仿宋" w:eastAsia="仿宋" w:cs="仿宋"/>
          <w:color w:val="auto"/>
          <w:sz w:val="24"/>
          <w:szCs w:val="24"/>
          <w:highlight w:val="none"/>
        </w:rPr>
      </w:pPr>
      <w:bookmarkStart w:id="2349" w:name="_Toc30463"/>
      <w:bookmarkStart w:id="2350" w:name="_Toc21571"/>
      <w:bookmarkStart w:id="2351" w:name="_Toc659"/>
      <w:bookmarkStart w:id="2352" w:name="_Toc15143"/>
      <w:bookmarkStart w:id="2353" w:name="_Toc29207"/>
      <w:bookmarkStart w:id="2354" w:name="_Toc28641"/>
      <w:r>
        <w:rPr>
          <w:rFonts w:hint="eastAsia" w:ascii="仿宋" w:hAnsi="仿宋" w:eastAsia="仿宋" w:cs="仿宋"/>
          <w:color w:val="auto"/>
          <w:sz w:val="24"/>
          <w:szCs w:val="24"/>
          <w:highlight w:val="none"/>
          <w:lang w:eastAsia="zh-CN"/>
        </w:rPr>
        <w:t>招标文件要求投标人提交的其他资料或投标人认为应提交的其他资料</w:t>
      </w:r>
      <w:bookmarkEnd w:id="2349"/>
      <w:bookmarkEnd w:id="2350"/>
      <w:bookmarkEnd w:id="2351"/>
      <w:bookmarkEnd w:id="2352"/>
      <w:bookmarkEnd w:id="2353"/>
      <w:bookmarkEnd w:id="2354"/>
    </w:p>
    <w:p w14:paraId="0A79E104">
      <w:pPr>
        <w:pStyle w:val="66"/>
        <w:spacing w:line="360" w:lineRule="auto"/>
        <w:ind w:left="0" w:leftChars="0" w:firstLine="0" w:firstLineChars="0"/>
        <w:jc w:val="center"/>
        <w:outlineLvl w:val="0"/>
        <w:rPr>
          <w:rFonts w:hint="eastAsia" w:ascii="仿宋" w:hAnsi="仿宋" w:eastAsia="仿宋" w:cs="仿宋"/>
          <w:color w:val="auto"/>
          <w:sz w:val="24"/>
          <w:szCs w:val="24"/>
          <w:highlight w:val="none"/>
        </w:rPr>
      </w:pPr>
      <w:bookmarkStart w:id="2355" w:name="_Toc22133"/>
      <w:bookmarkStart w:id="2356" w:name="_Toc878"/>
      <w:bookmarkStart w:id="2357" w:name="_Toc31878"/>
      <w:bookmarkStart w:id="2358" w:name="_Toc22774"/>
      <w:bookmarkStart w:id="2359" w:name="_Toc18589"/>
      <w:bookmarkStart w:id="2360" w:name="_Toc29956"/>
      <w:r>
        <w:rPr>
          <w:rFonts w:hint="eastAsia" w:ascii="仿宋" w:hAnsi="仿宋" w:eastAsia="仿宋" w:cs="仿宋"/>
          <w:color w:val="auto"/>
          <w:sz w:val="24"/>
          <w:szCs w:val="24"/>
          <w:highlight w:val="none"/>
          <w:lang w:eastAsia="zh-CN"/>
        </w:rPr>
        <w:t>（格式自拟）</w:t>
      </w:r>
      <w:bookmarkEnd w:id="2355"/>
      <w:bookmarkEnd w:id="2356"/>
      <w:bookmarkEnd w:id="2357"/>
      <w:bookmarkEnd w:id="2358"/>
      <w:bookmarkEnd w:id="2359"/>
      <w:bookmarkEnd w:id="2360"/>
    </w:p>
    <w:p w14:paraId="5B668126">
      <w:pPr>
        <w:jc w:val="center"/>
        <w:rPr>
          <w:rFonts w:hint="eastAsia" w:ascii="仿宋" w:hAnsi="仿宋" w:eastAsia="仿宋" w:cs="仿宋"/>
          <w:color w:val="auto"/>
          <w:highlight w:val="none"/>
          <w:lang w:val="en-US" w:eastAsia="zh-CN"/>
        </w:rPr>
      </w:pPr>
    </w:p>
    <w:p w14:paraId="3FD4384E">
      <w:pPr>
        <w:pStyle w:val="28"/>
        <w:keepNext w:val="0"/>
        <w:keepLines w:val="0"/>
        <w:pageBreakBefore w:val="0"/>
        <w:widowControl w:val="0"/>
        <w:kinsoku/>
        <w:wordWrap w:val="0"/>
        <w:overflowPunct/>
        <w:topLinePunct/>
        <w:autoSpaceDE/>
        <w:autoSpaceDN/>
        <w:bidi w:val="0"/>
        <w:adjustRightInd/>
        <w:snapToGrid/>
        <w:ind w:left="0" w:leftChars="0" w:right="0"/>
        <w:jc w:val="center"/>
        <w:outlineLvl w:val="9"/>
        <w:rPr>
          <w:rFonts w:hint="eastAsia" w:ascii="仿宋" w:hAnsi="仿宋" w:eastAsia="仿宋" w:cs="仿宋"/>
          <w:color w:val="auto"/>
          <w:highlight w:val="none"/>
          <w:lang w:val="en-US" w:eastAsia="zh-CN"/>
        </w:rPr>
      </w:pPr>
    </w:p>
    <w:sectPr>
      <w:pgSz w:w="11906" w:h="16838"/>
      <w:pgMar w:top="1134" w:right="1134" w:bottom="1134" w:left="1134" w:header="709" w:footer="907" w:gutter="0"/>
      <w:pgBorders>
        <w:top w:val="none" w:sz="0" w:space="0"/>
        <w:left w:val="none" w:sz="0" w:space="0"/>
        <w:bottom w:val="none" w:sz="0" w:space="0"/>
        <w:right w:val="none" w:sz="0" w:space="0"/>
      </w:pgBorders>
      <w:pgNumType w:fmt="decimal"/>
      <w:cols w:space="720" w:num="1"/>
      <w:titlePg/>
      <w:rtlGutter w:val="0"/>
      <w:docGrid w:linePitch="29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1542EEA-C9F4-4AA1-8F32-3B3D24345A05}"/>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Helvetica">
    <w:altName w:val="Arial"/>
    <w:panose1 w:val="020B0604020202020204"/>
    <w:charset w:val="00"/>
    <w:family w:val="swiss"/>
    <w:pitch w:val="default"/>
    <w:sig w:usb0="00000000" w:usb1="00000000" w:usb2="00000000" w:usb3="00000000" w:csb0="000001FF"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幼圆">
    <w:altName w:val="宋体"/>
    <w:panose1 w:val="0201050906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2" w:fontKey="{8472564B-DD68-4834-B67E-83339BC45655}"/>
  </w:font>
  <w:font w:name="Arial Narrow">
    <w:altName w:val="Arial"/>
    <w:panose1 w:val="020B0606020202030204"/>
    <w:charset w:val="00"/>
    <w:family w:val="swiss"/>
    <w:pitch w:val="default"/>
    <w:sig w:usb0="00000000" w:usb1="00000000" w:usb2="00000000" w:usb3="00000000" w:csb0="2000009F" w:csb1="DFD70000"/>
  </w:font>
  <w:font w:name="华文楷体">
    <w:altName w:val="宋体"/>
    <w:panose1 w:val="02010600040101010101"/>
    <w:charset w:val="86"/>
    <w:family w:val="auto"/>
    <w:pitch w:val="default"/>
    <w:sig w:usb0="00000000" w:usb1="00000000" w:usb2="00000000" w:usb3="00000000" w:csb0="0004009F" w:csb1="DFD70000"/>
  </w:font>
  <w:font w:name="Arail">
    <w:altName w:val="宋体"/>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Arial"/>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Times New Roman Bold">
    <w:altName w:val="Times New Roman"/>
    <w:panose1 w:val="02020803070505020304"/>
    <w:charset w:val="00"/>
    <w:family w:val="roma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0" w:usb3="00000000" w:csb0="000001FF" w:csb1="00000000"/>
  </w:font>
  <w:font w:name="隶书">
    <w:altName w:val="微软雅黑"/>
    <w:panose1 w:val="02010509060101010101"/>
    <w:charset w:val="86"/>
    <w:family w:val="modern"/>
    <w:pitch w:val="default"/>
    <w:sig w:usb0="00000000" w:usb1="0000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等线">
    <w:panose1 w:val="02010600030101010101"/>
    <w:charset w:val="86"/>
    <w:family w:val="auto"/>
    <w:pitch w:val="default"/>
    <w:sig w:usb0="A00002BF" w:usb1="38CF7CFA" w:usb2="00000016" w:usb3="00000000" w:csb0="0004000F" w:csb1="00000000"/>
  </w:font>
  <w:font w:name="Mincho">
    <w:altName w:val="Yu Gothic UI"/>
    <w:panose1 w:val="02020609040305080305"/>
    <w:charset w:val="80"/>
    <w:family w:val="roman"/>
    <w:pitch w:val="default"/>
    <w:sig w:usb0="00000000" w:usb1="00000000" w:usb2="00000010" w:usb3="00000000" w:csb0="00020000" w:csb1="00000000"/>
  </w:font>
  <w:font w:name="Yu Gothic UI">
    <w:panose1 w:val="020B0500000000000000"/>
    <w:charset w:val="80"/>
    <w:family w:val="auto"/>
    <w:pitch w:val="default"/>
    <w:sig w:usb0="E00002FF" w:usb1="2AC7FDFF" w:usb2="00000016" w:usb3="00000000" w:csb0="2002009F" w:csb1="00000000"/>
  </w:font>
  <w:font w:name="CG Times">
    <w:altName w:val="Times New Roman"/>
    <w:panose1 w:val="02020603050405020304"/>
    <w:charset w:val="00"/>
    <w:family w:val="roman"/>
    <w:pitch w:val="default"/>
    <w:sig w:usb0="00000000" w:usb1="00000000" w:usb2="00000000" w:usb3="00000000" w:csb0="00000001" w:csb1="00000000"/>
  </w:font>
  <w:font w:name="Arial Bold">
    <w:altName w:val="Arial"/>
    <w:panose1 w:val="020B0704020202020204"/>
    <w:charset w:val="00"/>
    <w:family w:val="roman"/>
    <w:pitch w:val="default"/>
    <w:sig w:usb0="00000000" w:usb1="00000000" w:usb2="00000000" w:usb3="00000000" w:csb0="00040001"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Tms Rmn">
    <w:altName w:val="Times New Roman"/>
    <w:panose1 w:val="02020603040505020304"/>
    <w:charset w:val="00"/>
    <w:family w:val="roman"/>
    <w:pitch w:val="default"/>
    <w:sig w:usb0="00000000" w:usb1="00000000" w:usb2="00000000" w:usb3="00000000" w:csb0="00000001" w:csb1="00000000"/>
  </w:font>
  <w:font w:name="TimesNewRoman">
    <w:altName w:val="Times New Roman"/>
    <w:panose1 w:val="00000000000000000000"/>
    <w:charset w:val="00"/>
    <w:family w:val="roman"/>
    <w:pitch w:val="default"/>
    <w:sig w:usb0="00000000" w:usb1="00000000" w:usb2="00000010" w:usb3="00000000" w:csb0="00040001" w:csb1="00000000"/>
  </w:font>
  <w:font w:name="MS PGothic">
    <w:panose1 w:val="020B0600070205080204"/>
    <w:charset w:val="80"/>
    <w:family w:val="swiss"/>
    <w:pitch w:val="default"/>
    <w:sig w:usb0="E00002FF" w:usb1="6AC7FDFB" w:usb2="08000012" w:usb3="00000000" w:csb0="4002009F" w:csb1="DFD7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258937">
    <w:pPr>
      <w:pStyle w:val="4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26D0DE5">
                          <w:pPr>
                            <w:pStyle w:val="43"/>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文本框 1029"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Rqv1RMoBAACcAwAADgAAAAAAAAABACAAAAAeAQAAZHJzL2Uyb0Rv&#10;Yy54bWxQSwUGAAAAAAYABgBZAQAAWgUAAAAA&#10;">
              <v:fill on="f" focussize="0,0"/>
              <v:stroke on="f"/>
              <v:imagedata o:title=""/>
              <o:lock v:ext="edit" aspectratio="f"/>
              <v:textbox inset="0mm,0mm,0mm,0mm" style="mso-fit-shape-to-text:t;">
                <w:txbxContent>
                  <w:p w14:paraId="626D0DE5">
                    <w:pPr>
                      <w:pStyle w:val="4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075785">
    <w:pPr>
      <w:pStyle w:val="4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1A18CAF">
                          <w:pPr>
                            <w:pStyle w:val="43"/>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AegnfyQEAAJwDAAAOAAAAAAAAAAEAIAAAAB4BAABkcnMvZTJvRG9j&#10;LnhtbFBLBQYAAAAABgAGAFkBAABZBQAAAAA=&#10;">
              <v:fill on="f" focussize="0,0"/>
              <v:stroke on="f"/>
              <v:imagedata o:title=""/>
              <o:lock v:ext="edit" aspectratio="f"/>
              <v:textbox inset="0mm,0mm,0mm,0mm" style="mso-fit-shape-to-text:t;">
                <w:txbxContent>
                  <w:p w14:paraId="11A18CAF">
                    <w:pPr>
                      <w:pStyle w:val="4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D13D0C">
    <w:pPr>
      <w:pStyle w:val="43"/>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690B7A2">
                          <w:pPr>
                            <w:pStyle w:val="43"/>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p3kmnLAQAAnAMAAA4AAAAAAAAAAQAgAAAAHgEAAGRycy9lMm9E&#10;b2MueG1sUEsFBgAAAAAGAAYAWQEAAFsFAAAAAA==&#10;">
              <v:fill on="f" focussize="0,0"/>
              <v:stroke on="f"/>
              <v:imagedata o:title=""/>
              <o:lock v:ext="edit" aspectratio="f"/>
              <v:textbox inset="0mm,0mm,0mm,0mm" style="mso-fit-shape-to-text:t;">
                <w:txbxContent>
                  <w:p w14:paraId="1690B7A2">
                    <w:pPr>
                      <w:pStyle w:val="4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1EBB06">
    <w:pPr>
      <w:pStyle w:val="43"/>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D88BBBF">
                          <w:pPr>
                            <w:pStyle w:val="43"/>
                          </w:pPr>
                          <w:r>
                            <w:fldChar w:fldCharType="begin"/>
                          </w:r>
                          <w:r>
                            <w:instrText xml:space="preserve"> PAGE  \* MERGEFORMAT </w:instrText>
                          </w:r>
                          <w:r>
                            <w:fldChar w:fldCharType="separate"/>
                          </w:r>
                          <w:r>
                            <w:t>6</w:t>
                          </w:r>
                          <w:r>
                            <w:fldChar w:fldCharType="end"/>
                          </w:r>
                        </w:p>
                      </w:txbxContent>
                    </wps:txbx>
                    <wps:bodyPr wrap="none" lIns="0" tIns="0" rIns="0" bIns="0" upright="0">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uk78s8oBAACcAwAADgAAAAAAAAABACAAAAAeAQAAZHJzL2Uyb0Rv&#10;Yy54bWxQSwUGAAAAAAYABgBZAQAAWgUAAAAA&#10;">
              <v:fill on="f" focussize="0,0"/>
              <v:stroke on="f"/>
              <v:imagedata o:title=""/>
              <o:lock v:ext="edit" aspectratio="f"/>
              <v:textbox inset="0mm,0mm,0mm,0mm" style="mso-fit-shape-to-text:t;">
                <w:txbxContent>
                  <w:p w14:paraId="6D88BBBF">
                    <w:pPr>
                      <w:pStyle w:val="43"/>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58D99A">
    <w:pPr>
      <w:pStyle w:val="4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67007B">
                          <w:pPr>
                            <w:pStyle w:val="4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6167007B">
                    <w:pPr>
                      <w:pStyle w:val="43"/>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637EF">
    <w:pPr>
      <w:pStyle w:val="43"/>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7AFE06">
                          <w:pPr>
                            <w:pStyle w:val="43"/>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C7AFE06">
                    <w:pPr>
                      <w:pStyle w:val="43"/>
                    </w:pPr>
                    <w:r>
                      <w:fldChar w:fldCharType="begin"/>
                    </w:r>
                    <w:r>
                      <w:instrText xml:space="preserve"> PAGE  \* MERGEFORMAT </w:instrText>
                    </w:r>
                    <w:r>
                      <w:fldChar w:fldCharType="separate"/>
                    </w:r>
                    <w:r>
                      <w:t>59</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2"/>
      <w:numFmt w:val="decimal"/>
      <w:lvlText w:val="%1、"/>
      <w:lvlJc w:val="left"/>
      <w:pPr>
        <w:tabs>
          <w:tab w:val="left" w:pos="360"/>
        </w:tabs>
        <w:ind w:left="360" w:hanging="360"/>
      </w:pPr>
      <w:rPr>
        <w:rFonts w:hint="default" w:ascii="Times New Roman" w:hAnsi="Times New Roman"/>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pStyle w:val="8"/>
      <w:lvlText w:val="%7."/>
      <w:lvlJc w:val="left"/>
      <w:pPr>
        <w:tabs>
          <w:tab w:val="left" w:pos="2940"/>
        </w:tabs>
        <w:ind w:left="2940" w:hanging="420"/>
      </w:pPr>
    </w:lvl>
    <w:lvl w:ilvl="7" w:tentative="0">
      <w:start w:val="1"/>
      <w:numFmt w:val="lowerLetter"/>
      <w:pStyle w:val="9"/>
      <w:lvlText w:val="%8)"/>
      <w:lvlJc w:val="left"/>
      <w:pPr>
        <w:tabs>
          <w:tab w:val="left" w:pos="3360"/>
        </w:tabs>
        <w:ind w:left="3360" w:hanging="420"/>
      </w:pPr>
    </w:lvl>
    <w:lvl w:ilvl="8" w:tentative="0">
      <w:start w:val="1"/>
      <w:numFmt w:val="lowerRoman"/>
      <w:pStyle w:val="10"/>
      <w:lvlText w:val="%9."/>
      <w:lvlJc w:val="right"/>
      <w:pPr>
        <w:tabs>
          <w:tab w:val="left" w:pos="3780"/>
        </w:tabs>
        <w:ind w:left="3780" w:hanging="420"/>
      </w:pPr>
    </w:lvl>
  </w:abstractNum>
  <w:abstractNum w:abstractNumId="1">
    <w:nsid w:val="00000003"/>
    <w:multiLevelType w:val="multilevel"/>
    <w:tmpl w:val="00000003"/>
    <w:lvl w:ilvl="0" w:tentative="0">
      <w:start w:val="1"/>
      <w:numFmt w:val="decimal"/>
      <w:pStyle w:val="36"/>
      <w:lvlText w:val="%1)"/>
      <w:lvlJc w:val="left"/>
      <w:pPr>
        <w:tabs>
          <w:tab w:val="left" w:pos="900"/>
        </w:tabs>
        <w:ind w:left="900" w:hanging="420"/>
      </w:pPr>
      <w:rPr>
        <w:rFonts w:ascii="宋体" w:hAnsi="宋体" w:eastAsia="宋体"/>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2">
    <w:nsid w:val="00000004"/>
    <w:multiLevelType w:val="multilevel"/>
    <w:tmpl w:val="00000004"/>
    <w:lvl w:ilvl="0" w:tentative="0">
      <w:start w:val="1"/>
      <w:numFmt w:val="decimal"/>
      <w:pStyle w:val="553"/>
      <w:lvlText w:val="%1)"/>
      <w:lvlJc w:val="left"/>
      <w:pPr>
        <w:tabs>
          <w:tab w:val="left" w:pos="900"/>
        </w:tabs>
        <w:ind w:left="900" w:hanging="420"/>
      </w:pPr>
      <w:rPr>
        <w:rFonts w:ascii="宋体" w:hAnsi="宋体" w:eastAsia="宋体"/>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3">
    <w:nsid w:val="00000005"/>
    <w:multiLevelType w:val="multilevel"/>
    <w:tmpl w:val="00000005"/>
    <w:lvl w:ilvl="0" w:tentative="0">
      <w:start w:val="1"/>
      <w:numFmt w:val="decimal"/>
      <w:pStyle w:val="543"/>
      <w:lvlText w:val="%1)"/>
      <w:lvlJc w:val="left"/>
      <w:pPr>
        <w:tabs>
          <w:tab w:val="left" w:pos="420"/>
        </w:tabs>
        <w:ind w:left="420" w:hanging="420"/>
      </w:pPr>
      <w:rPr>
        <w:rFonts w:ascii="宋体" w:hAnsi="宋体" w:eastAsia="宋体"/>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07"/>
    <w:multiLevelType w:val="multilevel"/>
    <w:tmpl w:val="00000007"/>
    <w:lvl w:ilvl="0" w:tentative="0">
      <w:start w:val="1"/>
      <w:numFmt w:val="decimal"/>
      <w:pStyle w:val="315"/>
      <w:lvlText w:val="%1)"/>
      <w:lvlJc w:val="left"/>
      <w:pPr>
        <w:tabs>
          <w:tab w:val="left" w:pos="420"/>
        </w:tabs>
        <w:ind w:left="420" w:hanging="420"/>
      </w:pPr>
      <w:rPr>
        <w:rFonts w:ascii="宋体" w:hAnsi="宋体" w:eastAsia="宋体"/>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0000009"/>
    <w:multiLevelType w:val="multilevel"/>
    <w:tmpl w:val="00000009"/>
    <w:lvl w:ilvl="0" w:tentative="0">
      <w:start w:val="1"/>
      <w:numFmt w:val="decimal"/>
      <w:lvlText w:val="%1)"/>
      <w:lvlJc w:val="left"/>
      <w:pPr>
        <w:tabs>
          <w:tab w:val="left" w:pos="1280"/>
        </w:tabs>
        <w:ind w:left="1280" w:hanging="420"/>
      </w:pPr>
      <w:rPr>
        <w:rFonts w:ascii="宋体" w:hAnsi="宋体" w:eastAsia="宋体"/>
      </w:rPr>
    </w:lvl>
    <w:lvl w:ilvl="1" w:tentative="0">
      <w:start w:val="1"/>
      <w:numFmt w:val="lowerLetter"/>
      <w:pStyle w:val="552"/>
      <w:lvlText w:val="%2)"/>
      <w:lvlJc w:val="left"/>
      <w:pPr>
        <w:tabs>
          <w:tab w:val="left" w:pos="1700"/>
        </w:tabs>
        <w:ind w:left="1700" w:hanging="420"/>
      </w:pPr>
    </w:lvl>
    <w:lvl w:ilvl="2" w:tentative="0">
      <w:start w:val="1"/>
      <w:numFmt w:val="lowerRoman"/>
      <w:lvlText w:val="%3."/>
      <w:lvlJc w:val="right"/>
      <w:pPr>
        <w:tabs>
          <w:tab w:val="left" w:pos="2120"/>
        </w:tabs>
        <w:ind w:left="2120" w:hanging="420"/>
      </w:pPr>
    </w:lvl>
    <w:lvl w:ilvl="3" w:tentative="0">
      <w:start w:val="1"/>
      <w:numFmt w:val="decimal"/>
      <w:lvlText w:val="%4."/>
      <w:lvlJc w:val="left"/>
      <w:pPr>
        <w:tabs>
          <w:tab w:val="left" w:pos="2540"/>
        </w:tabs>
        <w:ind w:left="2540" w:hanging="420"/>
      </w:pPr>
    </w:lvl>
    <w:lvl w:ilvl="4" w:tentative="0">
      <w:start w:val="1"/>
      <w:numFmt w:val="lowerLetter"/>
      <w:lvlText w:val="%5)"/>
      <w:lvlJc w:val="left"/>
      <w:pPr>
        <w:tabs>
          <w:tab w:val="left" w:pos="2960"/>
        </w:tabs>
        <w:ind w:left="2960" w:hanging="420"/>
      </w:pPr>
    </w:lvl>
    <w:lvl w:ilvl="5" w:tentative="0">
      <w:start w:val="1"/>
      <w:numFmt w:val="lowerRoman"/>
      <w:lvlText w:val="%6."/>
      <w:lvlJc w:val="right"/>
      <w:pPr>
        <w:tabs>
          <w:tab w:val="left" w:pos="3380"/>
        </w:tabs>
        <w:ind w:left="3380" w:hanging="420"/>
      </w:pPr>
    </w:lvl>
    <w:lvl w:ilvl="6" w:tentative="0">
      <w:start w:val="1"/>
      <w:numFmt w:val="decimal"/>
      <w:lvlText w:val="%7."/>
      <w:lvlJc w:val="left"/>
      <w:pPr>
        <w:tabs>
          <w:tab w:val="left" w:pos="3800"/>
        </w:tabs>
        <w:ind w:left="3800" w:hanging="420"/>
      </w:pPr>
    </w:lvl>
    <w:lvl w:ilvl="7" w:tentative="0">
      <w:start w:val="1"/>
      <w:numFmt w:val="lowerLetter"/>
      <w:lvlText w:val="%8)"/>
      <w:lvlJc w:val="left"/>
      <w:pPr>
        <w:tabs>
          <w:tab w:val="left" w:pos="4220"/>
        </w:tabs>
        <w:ind w:left="4220" w:hanging="420"/>
      </w:pPr>
    </w:lvl>
    <w:lvl w:ilvl="8" w:tentative="0">
      <w:start w:val="1"/>
      <w:numFmt w:val="lowerRoman"/>
      <w:lvlText w:val="%9."/>
      <w:lvlJc w:val="right"/>
      <w:pPr>
        <w:tabs>
          <w:tab w:val="left" w:pos="4640"/>
        </w:tabs>
        <w:ind w:left="4640" w:hanging="420"/>
      </w:pPr>
    </w:lvl>
  </w:abstractNum>
  <w:abstractNum w:abstractNumId="6">
    <w:nsid w:val="0000000B"/>
    <w:multiLevelType w:val="multilevel"/>
    <w:tmpl w:val="0000000B"/>
    <w:lvl w:ilvl="0" w:tentative="0">
      <w:start w:val="1"/>
      <w:numFmt w:val="bullet"/>
      <w:pStyle w:val="20"/>
      <w:lvlText w:val=""/>
      <w:lvlJc w:val="left"/>
      <w:pPr>
        <w:tabs>
          <w:tab w:val="left" w:pos="860"/>
        </w:tabs>
        <w:ind w:left="860" w:hanging="420"/>
      </w:pPr>
      <w:rPr>
        <w:rFonts w:hint="default" w:ascii="Wingdings" w:hAnsi="Wingdings"/>
      </w:rPr>
    </w:lvl>
    <w:lvl w:ilvl="1" w:tentative="0">
      <w:start w:val="1"/>
      <w:numFmt w:val="decimal"/>
      <w:lvlText w:val="%2)"/>
      <w:lvlJc w:val="left"/>
      <w:pPr>
        <w:tabs>
          <w:tab w:val="left" w:pos="1280"/>
        </w:tabs>
        <w:ind w:left="1280" w:hanging="420"/>
      </w:pPr>
      <w:rPr>
        <w:rFonts w:hint="default"/>
      </w:rPr>
    </w:lvl>
    <w:lvl w:ilvl="2" w:tentative="0">
      <w:start w:val="1"/>
      <w:numFmt w:val="bullet"/>
      <w:lvlText w:val=""/>
      <w:lvlJc w:val="left"/>
      <w:pPr>
        <w:tabs>
          <w:tab w:val="left" w:pos="1700"/>
        </w:tabs>
        <w:ind w:left="1700" w:hanging="420"/>
      </w:pPr>
      <w:rPr>
        <w:rFonts w:hint="default" w:ascii="Wingdings" w:hAnsi="Wingdings"/>
      </w:rPr>
    </w:lvl>
    <w:lvl w:ilvl="3" w:tentative="0">
      <w:start w:val="1"/>
      <w:numFmt w:val="bullet"/>
      <w:lvlText w:val=""/>
      <w:lvlJc w:val="left"/>
      <w:pPr>
        <w:tabs>
          <w:tab w:val="left" w:pos="2120"/>
        </w:tabs>
        <w:ind w:left="2120" w:hanging="420"/>
      </w:pPr>
      <w:rPr>
        <w:rFonts w:hint="default" w:ascii="Wingdings" w:hAnsi="Wingdings"/>
      </w:rPr>
    </w:lvl>
    <w:lvl w:ilvl="4" w:tentative="0">
      <w:start w:val="1"/>
      <w:numFmt w:val="bullet"/>
      <w:lvlText w:val=""/>
      <w:lvlJc w:val="left"/>
      <w:pPr>
        <w:tabs>
          <w:tab w:val="left" w:pos="2540"/>
        </w:tabs>
        <w:ind w:left="2540" w:hanging="420"/>
      </w:pPr>
      <w:rPr>
        <w:rFonts w:hint="default" w:ascii="Wingdings" w:hAnsi="Wingdings"/>
      </w:rPr>
    </w:lvl>
    <w:lvl w:ilvl="5" w:tentative="0">
      <w:start w:val="1"/>
      <w:numFmt w:val="bullet"/>
      <w:lvlText w:val=""/>
      <w:lvlJc w:val="left"/>
      <w:pPr>
        <w:tabs>
          <w:tab w:val="left" w:pos="2960"/>
        </w:tabs>
        <w:ind w:left="2960" w:hanging="420"/>
      </w:pPr>
      <w:rPr>
        <w:rFonts w:hint="default" w:ascii="Wingdings" w:hAnsi="Wingdings"/>
      </w:rPr>
    </w:lvl>
    <w:lvl w:ilvl="6" w:tentative="0">
      <w:start w:val="1"/>
      <w:numFmt w:val="bullet"/>
      <w:lvlText w:val=""/>
      <w:lvlJc w:val="left"/>
      <w:pPr>
        <w:tabs>
          <w:tab w:val="left" w:pos="3380"/>
        </w:tabs>
        <w:ind w:left="3380" w:hanging="420"/>
      </w:pPr>
      <w:rPr>
        <w:rFonts w:hint="default" w:ascii="Wingdings" w:hAnsi="Wingdings"/>
      </w:rPr>
    </w:lvl>
    <w:lvl w:ilvl="7" w:tentative="0">
      <w:start w:val="1"/>
      <w:numFmt w:val="bullet"/>
      <w:lvlText w:val=""/>
      <w:lvlJc w:val="left"/>
      <w:pPr>
        <w:tabs>
          <w:tab w:val="left" w:pos="3800"/>
        </w:tabs>
        <w:ind w:left="3800" w:hanging="420"/>
      </w:pPr>
      <w:rPr>
        <w:rFonts w:hint="default" w:ascii="Wingdings" w:hAnsi="Wingdings"/>
      </w:rPr>
    </w:lvl>
    <w:lvl w:ilvl="8" w:tentative="0">
      <w:start w:val="1"/>
      <w:numFmt w:val="bullet"/>
      <w:lvlText w:val=""/>
      <w:lvlJc w:val="left"/>
      <w:pPr>
        <w:tabs>
          <w:tab w:val="left" w:pos="4220"/>
        </w:tabs>
        <w:ind w:left="4220" w:hanging="420"/>
      </w:pPr>
      <w:rPr>
        <w:rFonts w:hint="default" w:ascii="Wingdings" w:hAnsi="Wingdings"/>
      </w:rPr>
    </w:lvl>
  </w:abstractNum>
  <w:abstractNum w:abstractNumId="7">
    <w:nsid w:val="0000000C"/>
    <w:multiLevelType w:val="multilevel"/>
    <w:tmpl w:val="0000000C"/>
    <w:lvl w:ilvl="0" w:tentative="0">
      <w:start w:val="1"/>
      <w:numFmt w:val="decimal"/>
      <w:pStyle w:val="352"/>
      <w:lvlText w:val="%1."/>
      <w:lvlJc w:val="left"/>
      <w:pPr>
        <w:tabs>
          <w:tab w:val="left" w:pos="510"/>
        </w:tabs>
        <w:ind w:left="510" w:hanging="510"/>
      </w:pPr>
      <w:rPr>
        <w:rFonts w:hint="default"/>
      </w:rPr>
    </w:lvl>
    <w:lvl w:ilvl="1" w:tentative="0">
      <w:start w:val="1"/>
      <w:numFmt w:val="decimal"/>
      <w:isLgl/>
      <w:lvlText w:val="%1.%2"/>
      <w:lvlJc w:val="left"/>
      <w:pPr>
        <w:ind w:left="990" w:hanging="990"/>
      </w:pPr>
      <w:rPr>
        <w:rFonts w:hint="default"/>
      </w:rPr>
    </w:lvl>
    <w:lvl w:ilvl="2" w:tentative="0">
      <w:start w:val="1"/>
      <w:numFmt w:val="decimal"/>
      <w:isLgl/>
      <w:lvlText w:val="%1.%2.%3"/>
      <w:lvlJc w:val="left"/>
      <w:pPr>
        <w:ind w:left="990" w:hanging="990"/>
      </w:pPr>
      <w:rPr>
        <w:rFonts w:hint="default"/>
      </w:rPr>
    </w:lvl>
    <w:lvl w:ilvl="3" w:tentative="0">
      <w:start w:val="1"/>
      <w:numFmt w:val="decimal"/>
      <w:isLgl/>
      <w:lvlText w:val="%1.%2.%3.%4"/>
      <w:lvlJc w:val="left"/>
      <w:pPr>
        <w:ind w:left="1080" w:hanging="1080"/>
      </w:pPr>
      <w:rPr>
        <w:rFonts w:hint="default"/>
      </w:rPr>
    </w:lvl>
    <w:lvl w:ilvl="4" w:tentative="0">
      <w:start w:val="1"/>
      <w:numFmt w:val="decimal"/>
      <w:isLgl/>
      <w:lvlText w:val="%1.%2.%3.%4.%5"/>
      <w:lvlJc w:val="left"/>
      <w:pPr>
        <w:ind w:left="1440" w:hanging="1440"/>
      </w:pPr>
      <w:rPr>
        <w:rFonts w:hint="default"/>
      </w:rPr>
    </w:lvl>
    <w:lvl w:ilvl="5" w:tentative="0">
      <w:start w:val="1"/>
      <w:numFmt w:val="decimal"/>
      <w:isLgl/>
      <w:lvlText w:val="%1.%2.%3.%4.%5.%6"/>
      <w:lvlJc w:val="left"/>
      <w:pPr>
        <w:ind w:left="1800" w:hanging="1800"/>
      </w:pPr>
      <w:rPr>
        <w:rFonts w:hint="default"/>
      </w:rPr>
    </w:lvl>
    <w:lvl w:ilvl="6" w:tentative="0">
      <w:start w:val="1"/>
      <w:numFmt w:val="decimal"/>
      <w:isLgl/>
      <w:lvlText w:val="%1.%2.%3.%4.%5.%6.%7"/>
      <w:lvlJc w:val="left"/>
      <w:pPr>
        <w:ind w:left="2160" w:hanging="2160"/>
      </w:pPr>
      <w:rPr>
        <w:rFonts w:hint="default"/>
      </w:rPr>
    </w:lvl>
    <w:lvl w:ilvl="7" w:tentative="0">
      <w:start w:val="1"/>
      <w:numFmt w:val="decimal"/>
      <w:isLgl/>
      <w:lvlText w:val="%1.%2.%3.%4.%5.%6.%7.%8"/>
      <w:lvlJc w:val="left"/>
      <w:pPr>
        <w:ind w:left="2160" w:hanging="2160"/>
      </w:pPr>
      <w:rPr>
        <w:rFonts w:hint="default"/>
      </w:rPr>
    </w:lvl>
    <w:lvl w:ilvl="8" w:tentative="0">
      <w:start w:val="1"/>
      <w:numFmt w:val="decimal"/>
      <w:isLgl/>
      <w:lvlText w:val="%1.%2.%3.%4.%5.%6.%7.%8.%9"/>
      <w:lvlJc w:val="left"/>
      <w:pPr>
        <w:ind w:left="2520" w:hanging="2520"/>
      </w:pPr>
      <w:rPr>
        <w:rFonts w:hint="default"/>
      </w:rPr>
    </w:lvl>
  </w:abstractNum>
  <w:abstractNum w:abstractNumId="8">
    <w:nsid w:val="0000000D"/>
    <w:multiLevelType w:val="singleLevel"/>
    <w:tmpl w:val="0000000D"/>
    <w:lvl w:ilvl="0" w:tentative="0">
      <w:start w:val="17"/>
      <w:numFmt w:val="decimal"/>
      <w:pStyle w:val="287"/>
      <w:suff w:val="nothing"/>
      <w:lvlText w:val="%1）"/>
      <w:lvlJc w:val="left"/>
    </w:lvl>
  </w:abstractNum>
  <w:abstractNum w:abstractNumId="9">
    <w:nsid w:val="0000000E"/>
    <w:multiLevelType w:val="singleLevel"/>
    <w:tmpl w:val="0000000E"/>
    <w:lvl w:ilvl="0" w:tentative="0">
      <w:start w:val="1"/>
      <w:numFmt w:val="decimal"/>
      <w:pStyle w:val="638"/>
      <w:lvlText w:val="%1)"/>
      <w:lvlJc w:val="left"/>
      <w:pPr>
        <w:tabs>
          <w:tab w:val="left" w:pos="425"/>
        </w:tabs>
        <w:ind w:left="425" w:hanging="425"/>
      </w:pPr>
      <w:rPr>
        <w:rFonts w:hint="default"/>
      </w:rPr>
    </w:lvl>
  </w:abstractNum>
  <w:abstractNum w:abstractNumId="10">
    <w:nsid w:val="0000000F"/>
    <w:multiLevelType w:val="singleLevel"/>
    <w:tmpl w:val="0000000F"/>
    <w:lvl w:ilvl="0" w:tentative="0">
      <w:start w:val="1"/>
      <w:numFmt w:val="decimal"/>
      <w:pStyle w:val="542"/>
      <w:lvlText w:val="%1)"/>
      <w:lvlJc w:val="left"/>
      <w:pPr>
        <w:tabs>
          <w:tab w:val="left" w:pos="425"/>
        </w:tabs>
        <w:ind w:left="425" w:hanging="425"/>
      </w:pPr>
      <w:rPr>
        <w:rFonts w:hint="default"/>
      </w:rPr>
    </w:lvl>
  </w:abstractNum>
  <w:abstractNum w:abstractNumId="11">
    <w:nsid w:val="00000010"/>
    <w:multiLevelType w:val="multilevel"/>
    <w:tmpl w:val="00000010"/>
    <w:lvl w:ilvl="0" w:tentative="0">
      <w:start w:val="1"/>
      <w:numFmt w:val="decimal"/>
      <w:lvlText w:val="%1"/>
      <w:lvlJc w:val="left"/>
      <w:pPr>
        <w:tabs>
          <w:tab w:val="left" w:pos="0"/>
        </w:tabs>
        <w:ind w:left="907" w:hanging="907"/>
      </w:pPr>
      <w:rPr>
        <w:rFonts w:hint="default"/>
        <w:b/>
        <w:i w:val="0"/>
      </w:rPr>
    </w:lvl>
    <w:lvl w:ilvl="1" w:tentative="0">
      <w:start w:val="1"/>
      <w:numFmt w:val="decimal"/>
      <w:pStyle w:val="332"/>
      <w:lvlText w:val="%1.%2"/>
      <w:lvlJc w:val="left"/>
      <w:pPr>
        <w:tabs>
          <w:tab w:val="left" w:pos="0"/>
        </w:tabs>
        <w:ind w:left="907" w:hanging="907"/>
      </w:pPr>
      <w:rPr>
        <w:rFonts w:hint="default"/>
      </w:rPr>
    </w:lvl>
    <w:lvl w:ilvl="2" w:tentative="0">
      <w:start w:val="1"/>
      <w:numFmt w:val="decimal"/>
      <w:pStyle w:val="600"/>
      <w:lvlText w:val="%1.%2.%3"/>
      <w:lvlJc w:val="left"/>
      <w:pPr>
        <w:tabs>
          <w:tab w:val="left" w:pos="220"/>
        </w:tabs>
        <w:ind w:left="1127" w:hanging="907"/>
      </w:pPr>
      <w:rPr>
        <w:rFonts w:hint="default"/>
        <w:sz w:val="24"/>
        <w:szCs w:val="24"/>
      </w:rPr>
    </w:lvl>
    <w:lvl w:ilvl="3" w:tentative="0">
      <w:start w:val="1"/>
      <w:numFmt w:val="decimal"/>
      <w:pStyle w:val="364"/>
      <w:lvlText w:val="%1.%2.%3.%4"/>
      <w:lvlJc w:val="left"/>
      <w:pPr>
        <w:tabs>
          <w:tab w:val="left" w:pos="0"/>
        </w:tabs>
        <w:ind w:left="907" w:hanging="907"/>
      </w:pPr>
      <w:rPr>
        <w:rFonts w:hint="default"/>
        <w:b/>
        <w:i w:val="0"/>
        <w:sz w:val="24"/>
        <w:szCs w:val="24"/>
      </w:rPr>
    </w:lvl>
    <w:lvl w:ilvl="4" w:tentative="0">
      <w:start w:val="0"/>
      <w:numFmt w:val="none"/>
      <w:lvlText w:val=""/>
      <w:lvlJc w:val="left"/>
      <w:pPr>
        <w:tabs>
          <w:tab w:val="left" w:pos="142"/>
        </w:tabs>
        <w:ind w:left="142" w:firstLine="0"/>
      </w:pPr>
      <w:rPr>
        <w:rFonts w:hint="default"/>
      </w:rPr>
    </w:lvl>
    <w:lvl w:ilvl="5" w:tentative="0">
      <w:start w:val="0"/>
      <w:numFmt w:val="none"/>
      <w:lvlText w:val=""/>
      <w:lvlJc w:val="left"/>
      <w:pPr>
        <w:tabs>
          <w:tab w:val="left" w:pos="142"/>
        </w:tabs>
        <w:ind w:left="142" w:firstLine="0"/>
      </w:pPr>
      <w:rPr>
        <w:rFonts w:hint="default"/>
      </w:rPr>
    </w:lvl>
    <w:lvl w:ilvl="6" w:tentative="0">
      <w:start w:val="0"/>
      <w:numFmt w:val="none"/>
      <w:lvlText w:val=""/>
      <w:lvlJc w:val="left"/>
      <w:pPr>
        <w:tabs>
          <w:tab w:val="left" w:pos="142"/>
        </w:tabs>
        <w:ind w:left="142" w:firstLine="0"/>
      </w:pPr>
      <w:rPr>
        <w:rFonts w:hint="default"/>
      </w:rPr>
    </w:lvl>
    <w:lvl w:ilvl="7" w:tentative="0">
      <w:start w:val="0"/>
      <w:numFmt w:val="none"/>
      <w:lvlText w:val=""/>
      <w:lvlJc w:val="left"/>
      <w:pPr>
        <w:tabs>
          <w:tab w:val="left" w:pos="142"/>
        </w:tabs>
        <w:ind w:left="142" w:firstLine="0"/>
      </w:pPr>
      <w:rPr>
        <w:rFonts w:hint="default"/>
      </w:rPr>
    </w:lvl>
    <w:lvl w:ilvl="8" w:tentative="0">
      <w:start w:val="0"/>
      <w:numFmt w:val="none"/>
      <w:lvlText w:val=""/>
      <w:lvlJc w:val="left"/>
      <w:pPr>
        <w:tabs>
          <w:tab w:val="left" w:pos="142"/>
        </w:tabs>
        <w:ind w:left="142" w:firstLine="0"/>
      </w:pPr>
      <w:rPr>
        <w:rFonts w:hint="default"/>
      </w:rPr>
    </w:lvl>
  </w:abstractNum>
  <w:abstractNum w:abstractNumId="12">
    <w:nsid w:val="00000012"/>
    <w:multiLevelType w:val="multilevel"/>
    <w:tmpl w:val="00000012"/>
    <w:lvl w:ilvl="0" w:tentative="0">
      <w:start w:val="1"/>
      <w:numFmt w:val="decimal"/>
      <w:pStyle w:val="265"/>
      <w:lvlText w:val="%1)"/>
      <w:lvlJc w:val="left"/>
      <w:pPr>
        <w:tabs>
          <w:tab w:val="left" w:pos="900"/>
        </w:tabs>
        <w:ind w:left="900" w:hanging="420"/>
      </w:pPr>
      <w:rPr>
        <w:rFonts w:ascii="宋体" w:hAnsi="宋体" w:eastAsia="宋体"/>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3">
    <w:nsid w:val="365C1A32"/>
    <w:multiLevelType w:val="multilevel"/>
    <w:tmpl w:val="365C1A32"/>
    <w:lvl w:ilvl="0" w:tentative="0">
      <w:start w:val="1"/>
      <w:numFmt w:val="lowerLetter"/>
      <w:pStyle w:val="590"/>
      <w:lvlText w:val="%1)"/>
      <w:lvlJc w:val="left"/>
      <w:pPr>
        <w:tabs>
          <w:tab w:val="left" w:pos="900"/>
        </w:tabs>
        <w:ind w:left="900" w:hanging="420"/>
      </w:pPr>
    </w:lvl>
    <w:lvl w:ilvl="1" w:tentative="0">
      <w:start w:val="5"/>
      <w:numFmt w:val="decimal"/>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4">
    <w:nsid w:val="43740B8A"/>
    <w:multiLevelType w:val="multilevel"/>
    <w:tmpl w:val="43740B8A"/>
    <w:lvl w:ilvl="0" w:tentative="0">
      <w:start w:val="1"/>
      <w:numFmt w:val="chineseCountingThousand"/>
      <w:lvlText w:val="第%1章"/>
      <w:lvlJc w:val="left"/>
      <w:pPr>
        <w:ind w:left="420" w:hanging="420"/>
      </w:pPr>
      <w:rPr>
        <w:rFonts w:hint="eastAsia" w:ascii="宋体" w:hAnsi="宋体" w:eastAsia="宋体"/>
        <w:b/>
        <w:i w:val="0"/>
        <w:sz w:val="44"/>
      </w:rPr>
    </w:lvl>
    <w:lvl w:ilvl="1" w:tentative="0">
      <w:start w:val="1"/>
      <w:numFmt w:val="decimal"/>
      <w:pStyle w:val="571"/>
      <w:isLgl/>
      <w:suff w:val="space"/>
      <w:lvlText w:val="%1.%2."/>
      <w:lvlJc w:val="left"/>
      <w:pPr>
        <w:ind w:left="0" w:firstLine="0"/>
      </w:pPr>
      <w:rPr>
        <w:rFonts w:hint="default" w:ascii="宋体" w:hAnsi="宋体" w:eastAsia="宋体"/>
        <w:b/>
        <w:i w:val="0"/>
        <w:sz w:val="28"/>
      </w:rPr>
    </w:lvl>
    <w:lvl w:ilvl="2" w:tentative="0">
      <w:start w:val="1"/>
      <w:numFmt w:val="decimal"/>
      <w:isLgl/>
      <w:suff w:val="space"/>
      <w:lvlText w:val="%1.%2.%3."/>
      <w:lvlJc w:val="left"/>
      <w:pPr>
        <w:ind w:left="0" w:firstLine="0"/>
      </w:pPr>
      <w:rPr>
        <w:rFonts w:hint="default" w:ascii="宋体" w:hAnsi="宋体" w:eastAsia="宋体"/>
        <w:b/>
        <w:i w:val="0"/>
        <w:sz w:val="28"/>
      </w:rPr>
    </w:lvl>
    <w:lvl w:ilvl="3" w:tentative="0">
      <w:start w:val="1"/>
      <w:numFmt w:val="decimal"/>
      <w:isLgl/>
      <w:suff w:val="space"/>
      <w:lvlText w:val="%1.%2.%3.%4."/>
      <w:lvlJc w:val="left"/>
      <w:pPr>
        <w:ind w:left="0" w:firstLine="0"/>
      </w:pPr>
      <w:rPr>
        <w:rFonts w:hint="default" w:ascii="Times New Roman" w:hAnsi="Times New Roman" w:eastAsia="宋体"/>
        <w:b/>
        <w:i w:val="0"/>
        <w:sz w:val="24"/>
      </w:rPr>
    </w:lvl>
    <w:lvl w:ilvl="4" w:tentative="0">
      <w:start w:val="1"/>
      <w:numFmt w:val="decimal"/>
      <w:isLgl/>
      <w:suff w:val="space"/>
      <w:lvlText w:val="%1.%2.%3.%4.%5."/>
      <w:lvlJc w:val="left"/>
      <w:pPr>
        <w:ind w:left="0" w:firstLine="0"/>
      </w:pPr>
      <w:rPr>
        <w:rFonts w:hint="default" w:ascii="Times New Roman" w:hAnsi="Times New Roman" w:eastAsia="宋体"/>
        <w:b/>
        <w:i w:val="0"/>
        <w:sz w:val="24"/>
      </w:rPr>
    </w:lvl>
    <w:lvl w:ilvl="5" w:tentative="0">
      <w:start w:val="1"/>
      <w:numFmt w:val="decimal"/>
      <w:isLgl/>
      <w:suff w:val="space"/>
      <w:lvlText w:val="%1.%2.%3.%4.%5.%6."/>
      <w:lvlJc w:val="left"/>
      <w:pPr>
        <w:ind w:left="0" w:firstLine="0"/>
      </w:pPr>
      <w:rPr>
        <w:rFonts w:hint="default" w:ascii="Times New Roman" w:hAnsi="Times New Roman" w:eastAsia="宋体"/>
        <w:b/>
        <w:i w:val="0"/>
        <w:sz w:val="24"/>
      </w:rPr>
    </w:lvl>
    <w:lvl w:ilvl="6" w:tentative="0">
      <w:start w:val="1"/>
      <w:numFmt w:val="decimal"/>
      <w:isLgl/>
      <w:suff w:val="space"/>
      <w:lvlText w:val="%1.%2.%3.%4.%5.%6.%7."/>
      <w:lvlJc w:val="left"/>
      <w:pPr>
        <w:ind w:left="0" w:firstLine="0"/>
      </w:pPr>
      <w:rPr>
        <w:rFonts w:hint="default" w:ascii="Times New Roman" w:hAnsi="Times New Roman" w:eastAsia="宋体"/>
        <w:b/>
        <w:i w:val="0"/>
        <w:sz w:val="24"/>
      </w:rPr>
    </w:lvl>
    <w:lvl w:ilvl="7" w:tentative="0">
      <w:start w:val="1"/>
      <w:numFmt w:val="decimal"/>
      <w:isLgl/>
      <w:suff w:val="space"/>
      <w:lvlText w:val="%1.%2.%3.%4.%5.%6.%7.%8."/>
      <w:lvlJc w:val="left"/>
      <w:pPr>
        <w:ind w:left="0" w:firstLine="0"/>
      </w:pPr>
      <w:rPr>
        <w:rFonts w:hint="default" w:ascii="Times New Roman" w:hAnsi="Times New Roman" w:eastAsia="宋体"/>
        <w:b/>
        <w:i w:val="0"/>
        <w:sz w:val="24"/>
      </w:rPr>
    </w:lvl>
    <w:lvl w:ilvl="8" w:tentative="0">
      <w:start w:val="1"/>
      <w:numFmt w:val="decimal"/>
      <w:isLgl/>
      <w:suff w:val="space"/>
      <w:lvlText w:val="%1.%2.%3.%4.%5.%6.%7.%8.%9."/>
      <w:lvlJc w:val="left"/>
      <w:pPr>
        <w:ind w:left="0" w:firstLine="0"/>
      </w:pPr>
      <w:rPr>
        <w:rFonts w:hint="default" w:ascii="Times New Roman" w:hAnsi="Times New Roman" w:eastAsia="宋体"/>
        <w:b/>
        <w:i w:val="0"/>
        <w:sz w:val="24"/>
      </w:rPr>
    </w:lvl>
  </w:abstractNum>
  <w:abstractNum w:abstractNumId="15">
    <w:nsid w:val="46151BB4"/>
    <w:multiLevelType w:val="singleLevel"/>
    <w:tmpl w:val="46151BB4"/>
    <w:lvl w:ilvl="0" w:tentative="0">
      <w:start w:val="1"/>
      <w:numFmt w:val="decimal"/>
      <w:lvlText w:val="%1."/>
      <w:lvlJc w:val="left"/>
      <w:pPr>
        <w:ind w:left="425" w:hanging="425"/>
      </w:pPr>
      <w:rPr>
        <w:rFonts w:hint="default"/>
      </w:rPr>
    </w:lvl>
  </w:abstractNum>
  <w:abstractNum w:abstractNumId="16">
    <w:nsid w:val="4A9EB725"/>
    <w:multiLevelType w:val="singleLevel"/>
    <w:tmpl w:val="4A9EB725"/>
    <w:lvl w:ilvl="0" w:tentative="0">
      <w:start w:val="1"/>
      <w:numFmt w:val="chineseCounting"/>
      <w:suff w:val="space"/>
      <w:lvlText w:val="第%1章"/>
      <w:lvlJc w:val="left"/>
      <w:rPr>
        <w:rFonts w:hint="eastAsia"/>
      </w:rPr>
    </w:lvl>
  </w:abstractNum>
  <w:abstractNum w:abstractNumId="17">
    <w:nsid w:val="608BC416"/>
    <w:multiLevelType w:val="singleLevel"/>
    <w:tmpl w:val="608BC416"/>
    <w:lvl w:ilvl="0" w:tentative="0">
      <w:start w:val="5"/>
      <w:numFmt w:val="chineseCounting"/>
      <w:suff w:val="nothing"/>
      <w:lvlText w:val="%1、"/>
      <w:lvlJc w:val="left"/>
      <w:rPr>
        <w:rFonts w:hint="eastAsia"/>
      </w:rPr>
    </w:lvl>
  </w:abstractNum>
  <w:num w:numId="1">
    <w:abstractNumId w:val="0"/>
  </w:num>
  <w:num w:numId="2">
    <w:abstractNumId w:val="6"/>
  </w:num>
  <w:num w:numId="3">
    <w:abstractNumId w:val="1"/>
  </w:num>
  <w:num w:numId="4">
    <w:abstractNumId w:val="12"/>
  </w:num>
  <w:num w:numId="5">
    <w:abstractNumId w:val="8"/>
  </w:num>
  <w:num w:numId="6">
    <w:abstractNumId w:val="4"/>
  </w:num>
  <w:num w:numId="7">
    <w:abstractNumId w:val="11"/>
  </w:num>
  <w:num w:numId="8">
    <w:abstractNumId w:val="7"/>
  </w:num>
  <w:num w:numId="9">
    <w:abstractNumId w:val="10"/>
  </w:num>
  <w:num w:numId="10">
    <w:abstractNumId w:val="3"/>
  </w:num>
  <w:num w:numId="11">
    <w:abstractNumId w:val="5"/>
  </w:num>
  <w:num w:numId="12">
    <w:abstractNumId w:val="2"/>
  </w:num>
  <w:num w:numId="13">
    <w:abstractNumId w:val="14"/>
  </w:num>
  <w:num w:numId="14">
    <w:abstractNumId w:val="13"/>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16"/>
  </w:num>
  <w:num w:numId="17">
    <w:abstractNumId w:val="15"/>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8"/>
  <w:embedTrueTypeFonts/>
  <w:saveSubsetFonts/>
  <w:bordersDoNotSurroundHeader w:val="0"/>
  <w:bordersDoNotSurroundFooter w:val="0"/>
  <w:doNotTrackMoves/>
  <w:documentProtection w:enforcement="0"/>
  <w:defaultTabStop w:val="720"/>
  <w:drawingGridHorizontalSpacing w:val="220"/>
  <w:drawingGridVerticalSpacing w:val="149"/>
  <w:displayHorizontalDrawingGridEvery w:val="1"/>
  <w:displayVerticalDrawingGridEvery w:val="1"/>
  <w:noPunctuationKerning w:val="1"/>
  <w:characterSpacingControl w:val="doNotCompress"/>
  <w:hdrShapeDefaults>
    <o:shapelayout v:ext="edit">
      <o:idmap v:ext="edit" data="3,4"/>
    </o:shapelayout>
  </w:hdrShapeDefaults>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Q1YmZlZWYzNDE5ODljN2YzMDRkZWFlM2U0ODIxZmYifQ=="/>
  </w:docVars>
  <w:rsids>
    <w:rsidRoot w:val="00172A27"/>
    <w:rsid w:val="000030E9"/>
    <w:rsid w:val="00003787"/>
    <w:rsid w:val="00003E67"/>
    <w:rsid w:val="00003FE6"/>
    <w:rsid w:val="00004BC1"/>
    <w:rsid w:val="000052BA"/>
    <w:rsid w:val="000052EC"/>
    <w:rsid w:val="000059DE"/>
    <w:rsid w:val="00005C73"/>
    <w:rsid w:val="000107BE"/>
    <w:rsid w:val="000109CB"/>
    <w:rsid w:val="00014B5D"/>
    <w:rsid w:val="00017B71"/>
    <w:rsid w:val="000205CF"/>
    <w:rsid w:val="000207AF"/>
    <w:rsid w:val="0002295E"/>
    <w:rsid w:val="00023FDC"/>
    <w:rsid w:val="000246D4"/>
    <w:rsid w:val="00024701"/>
    <w:rsid w:val="00024C57"/>
    <w:rsid w:val="00025A38"/>
    <w:rsid w:val="0002602E"/>
    <w:rsid w:val="00026EA1"/>
    <w:rsid w:val="00026FC0"/>
    <w:rsid w:val="00030422"/>
    <w:rsid w:val="00030E10"/>
    <w:rsid w:val="00030FE1"/>
    <w:rsid w:val="00031839"/>
    <w:rsid w:val="000319B3"/>
    <w:rsid w:val="00031B3F"/>
    <w:rsid w:val="00031BD5"/>
    <w:rsid w:val="00032665"/>
    <w:rsid w:val="00033FC4"/>
    <w:rsid w:val="000344C7"/>
    <w:rsid w:val="00035301"/>
    <w:rsid w:val="000357FB"/>
    <w:rsid w:val="00035CD9"/>
    <w:rsid w:val="0004085D"/>
    <w:rsid w:val="00041715"/>
    <w:rsid w:val="00041C35"/>
    <w:rsid w:val="00042085"/>
    <w:rsid w:val="0004274A"/>
    <w:rsid w:val="00042845"/>
    <w:rsid w:val="00042A02"/>
    <w:rsid w:val="00042EB3"/>
    <w:rsid w:val="00043114"/>
    <w:rsid w:val="00043170"/>
    <w:rsid w:val="00043200"/>
    <w:rsid w:val="00043760"/>
    <w:rsid w:val="00043801"/>
    <w:rsid w:val="0004395B"/>
    <w:rsid w:val="00044B63"/>
    <w:rsid w:val="00044DFF"/>
    <w:rsid w:val="0004620B"/>
    <w:rsid w:val="000462A1"/>
    <w:rsid w:val="00047E99"/>
    <w:rsid w:val="00050299"/>
    <w:rsid w:val="00051357"/>
    <w:rsid w:val="00052179"/>
    <w:rsid w:val="00052A8A"/>
    <w:rsid w:val="00054034"/>
    <w:rsid w:val="0005422B"/>
    <w:rsid w:val="00055643"/>
    <w:rsid w:val="00055781"/>
    <w:rsid w:val="000558C1"/>
    <w:rsid w:val="000565C5"/>
    <w:rsid w:val="00056A85"/>
    <w:rsid w:val="00056D54"/>
    <w:rsid w:val="000576F2"/>
    <w:rsid w:val="0006116B"/>
    <w:rsid w:val="000620AB"/>
    <w:rsid w:val="0006219B"/>
    <w:rsid w:val="0006288C"/>
    <w:rsid w:val="00062C69"/>
    <w:rsid w:val="00063AE1"/>
    <w:rsid w:val="00064375"/>
    <w:rsid w:val="00065395"/>
    <w:rsid w:val="000656A0"/>
    <w:rsid w:val="00065B8F"/>
    <w:rsid w:val="00066DDC"/>
    <w:rsid w:val="00067D24"/>
    <w:rsid w:val="000706EF"/>
    <w:rsid w:val="00071623"/>
    <w:rsid w:val="0007187E"/>
    <w:rsid w:val="0007192D"/>
    <w:rsid w:val="00071A52"/>
    <w:rsid w:val="000724D6"/>
    <w:rsid w:val="00072F83"/>
    <w:rsid w:val="000734C6"/>
    <w:rsid w:val="00073B4C"/>
    <w:rsid w:val="00073C81"/>
    <w:rsid w:val="00074D00"/>
    <w:rsid w:val="00074F5D"/>
    <w:rsid w:val="00075C1B"/>
    <w:rsid w:val="000762BB"/>
    <w:rsid w:val="000762C5"/>
    <w:rsid w:val="00076869"/>
    <w:rsid w:val="000768E3"/>
    <w:rsid w:val="000773C5"/>
    <w:rsid w:val="00077A47"/>
    <w:rsid w:val="00080006"/>
    <w:rsid w:val="00081B84"/>
    <w:rsid w:val="00081FC9"/>
    <w:rsid w:val="00085A12"/>
    <w:rsid w:val="00085ACC"/>
    <w:rsid w:val="00090F35"/>
    <w:rsid w:val="00091074"/>
    <w:rsid w:val="00091D2B"/>
    <w:rsid w:val="0009233C"/>
    <w:rsid w:val="00092552"/>
    <w:rsid w:val="000940D2"/>
    <w:rsid w:val="00095435"/>
    <w:rsid w:val="00095CDB"/>
    <w:rsid w:val="000A029A"/>
    <w:rsid w:val="000A0638"/>
    <w:rsid w:val="000A2AA5"/>
    <w:rsid w:val="000A38F2"/>
    <w:rsid w:val="000A39EC"/>
    <w:rsid w:val="000A3C0D"/>
    <w:rsid w:val="000A3D9A"/>
    <w:rsid w:val="000A59DC"/>
    <w:rsid w:val="000A7189"/>
    <w:rsid w:val="000B12A1"/>
    <w:rsid w:val="000B2481"/>
    <w:rsid w:val="000B2965"/>
    <w:rsid w:val="000B2FDE"/>
    <w:rsid w:val="000B32E9"/>
    <w:rsid w:val="000B335C"/>
    <w:rsid w:val="000B4231"/>
    <w:rsid w:val="000B6CAA"/>
    <w:rsid w:val="000B761B"/>
    <w:rsid w:val="000B7F04"/>
    <w:rsid w:val="000C0099"/>
    <w:rsid w:val="000C07FD"/>
    <w:rsid w:val="000C164F"/>
    <w:rsid w:val="000C22FC"/>
    <w:rsid w:val="000C321B"/>
    <w:rsid w:val="000C33A7"/>
    <w:rsid w:val="000C432D"/>
    <w:rsid w:val="000C4E2A"/>
    <w:rsid w:val="000C549F"/>
    <w:rsid w:val="000C61EC"/>
    <w:rsid w:val="000C688D"/>
    <w:rsid w:val="000C725C"/>
    <w:rsid w:val="000C73A7"/>
    <w:rsid w:val="000D0894"/>
    <w:rsid w:val="000D0A9C"/>
    <w:rsid w:val="000D1074"/>
    <w:rsid w:val="000D28EF"/>
    <w:rsid w:val="000D31C9"/>
    <w:rsid w:val="000D4042"/>
    <w:rsid w:val="000D52BE"/>
    <w:rsid w:val="000D5909"/>
    <w:rsid w:val="000D5E3B"/>
    <w:rsid w:val="000D6E8C"/>
    <w:rsid w:val="000D764F"/>
    <w:rsid w:val="000D7655"/>
    <w:rsid w:val="000E024B"/>
    <w:rsid w:val="000E1996"/>
    <w:rsid w:val="000E21DA"/>
    <w:rsid w:val="000E23B0"/>
    <w:rsid w:val="000E465C"/>
    <w:rsid w:val="000E4BBB"/>
    <w:rsid w:val="000E59B0"/>
    <w:rsid w:val="000E71E7"/>
    <w:rsid w:val="000F0841"/>
    <w:rsid w:val="000F25E6"/>
    <w:rsid w:val="000F314B"/>
    <w:rsid w:val="000F339F"/>
    <w:rsid w:val="000F4746"/>
    <w:rsid w:val="000F5084"/>
    <w:rsid w:val="000F519C"/>
    <w:rsid w:val="000F5472"/>
    <w:rsid w:val="000F5B38"/>
    <w:rsid w:val="000F5B4C"/>
    <w:rsid w:val="000F6628"/>
    <w:rsid w:val="000F6DC0"/>
    <w:rsid w:val="000F7D41"/>
    <w:rsid w:val="000F7F8D"/>
    <w:rsid w:val="00100682"/>
    <w:rsid w:val="001010EA"/>
    <w:rsid w:val="00101F32"/>
    <w:rsid w:val="00102B85"/>
    <w:rsid w:val="00103832"/>
    <w:rsid w:val="00103DA9"/>
    <w:rsid w:val="00104B22"/>
    <w:rsid w:val="001057A6"/>
    <w:rsid w:val="00105ACF"/>
    <w:rsid w:val="00105F76"/>
    <w:rsid w:val="00106A32"/>
    <w:rsid w:val="00106B29"/>
    <w:rsid w:val="0010766B"/>
    <w:rsid w:val="001100CF"/>
    <w:rsid w:val="001101A5"/>
    <w:rsid w:val="00110670"/>
    <w:rsid w:val="00110D1E"/>
    <w:rsid w:val="00110D49"/>
    <w:rsid w:val="00112345"/>
    <w:rsid w:val="00113076"/>
    <w:rsid w:val="00113861"/>
    <w:rsid w:val="00113D61"/>
    <w:rsid w:val="00113E94"/>
    <w:rsid w:val="00114757"/>
    <w:rsid w:val="00115AF1"/>
    <w:rsid w:val="00116853"/>
    <w:rsid w:val="0011728A"/>
    <w:rsid w:val="0011764E"/>
    <w:rsid w:val="001176C0"/>
    <w:rsid w:val="00120D2F"/>
    <w:rsid w:val="00120DC8"/>
    <w:rsid w:val="0012108D"/>
    <w:rsid w:val="001211B3"/>
    <w:rsid w:val="00121841"/>
    <w:rsid w:val="00121B38"/>
    <w:rsid w:val="00121F48"/>
    <w:rsid w:val="00122B58"/>
    <w:rsid w:val="001235E3"/>
    <w:rsid w:val="001236D2"/>
    <w:rsid w:val="0012402E"/>
    <w:rsid w:val="0012423E"/>
    <w:rsid w:val="00126D35"/>
    <w:rsid w:val="00126DDB"/>
    <w:rsid w:val="0012759A"/>
    <w:rsid w:val="00127A3A"/>
    <w:rsid w:val="001306FE"/>
    <w:rsid w:val="00130B8E"/>
    <w:rsid w:val="00131236"/>
    <w:rsid w:val="00131429"/>
    <w:rsid w:val="0013142C"/>
    <w:rsid w:val="00131542"/>
    <w:rsid w:val="00131BAF"/>
    <w:rsid w:val="00132971"/>
    <w:rsid w:val="00132B0F"/>
    <w:rsid w:val="00132D9E"/>
    <w:rsid w:val="00133B3F"/>
    <w:rsid w:val="00134102"/>
    <w:rsid w:val="0013476C"/>
    <w:rsid w:val="00134B23"/>
    <w:rsid w:val="00134D06"/>
    <w:rsid w:val="001350AC"/>
    <w:rsid w:val="00135267"/>
    <w:rsid w:val="00135F3D"/>
    <w:rsid w:val="001416F7"/>
    <w:rsid w:val="0014231F"/>
    <w:rsid w:val="0014237D"/>
    <w:rsid w:val="00142E55"/>
    <w:rsid w:val="00142E71"/>
    <w:rsid w:val="00143719"/>
    <w:rsid w:val="001437D2"/>
    <w:rsid w:val="00143C8D"/>
    <w:rsid w:val="00144FCD"/>
    <w:rsid w:val="0014570A"/>
    <w:rsid w:val="00145887"/>
    <w:rsid w:val="00145AC8"/>
    <w:rsid w:val="0014637F"/>
    <w:rsid w:val="001471A6"/>
    <w:rsid w:val="0014751C"/>
    <w:rsid w:val="00147BFB"/>
    <w:rsid w:val="00150731"/>
    <w:rsid w:val="001508DB"/>
    <w:rsid w:val="00150B9F"/>
    <w:rsid w:val="00150F49"/>
    <w:rsid w:val="00151A59"/>
    <w:rsid w:val="00151CB4"/>
    <w:rsid w:val="00151EBC"/>
    <w:rsid w:val="00152349"/>
    <w:rsid w:val="0015336F"/>
    <w:rsid w:val="001551C3"/>
    <w:rsid w:val="00155CC8"/>
    <w:rsid w:val="00155CE9"/>
    <w:rsid w:val="001561EC"/>
    <w:rsid w:val="00156856"/>
    <w:rsid w:val="00160313"/>
    <w:rsid w:val="00160367"/>
    <w:rsid w:val="00163F95"/>
    <w:rsid w:val="00164C5D"/>
    <w:rsid w:val="00165915"/>
    <w:rsid w:val="00170723"/>
    <w:rsid w:val="001718B2"/>
    <w:rsid w:val="0017203A"/>
    <w:rsid w:val="00172A27"/>
    <w:rsid w:val="00172B96"/>
    <w:rsid w:val="00172E6A"/>
    <w:rsid w:val="00173111"/>
    <w:rsid w:val="001735D6"/>
    <w:rsid w:val="00173E78"/>
    <w:rsid w:val="00175134"/>
    <w:rsid w:val="0017618B"/>
    <w:rsid w:val="00176379"/>
    <w:rsid w:val="00176853"/>
    <w:rsid w:val="001768ED"/>
    <w:rsid w:val="00177FD6"/>
    <w:rsid w:val="00180336"/>
    <w:rsid w:val="00180647"/>
    <w:rsid w:val="0018088F"/>
    <w:rsid w:val="00180A23"/>
    <w:rsid w:val="00182FE3"/>
    <w:rsid w:val="00183A47"/>
    <w:rsid w:val="00184087"/>
    <w:rsid w:val="00184221"/>
    <w:rsid w:val="00185503"/>
    <w:rsid w:val="0018607D"/>
    <w:rsid w:val="00186766"/>
    <w:rsid w:val="00186BE1"/>
    <w:rsid w:val="0018765E"/>
    <w:rsid w:val="00187860"/>
    <w:rsid w:val="001878EA"/>
    <w:rsid w:val="00187BD4"/>
    <w:rsid w:val="00187DBC"/>
    <w:rsid w:val="00190C3D"/>
    <w:rsid w:val="00190DCF"/>
    <w:rsid w:val="001911EB"/>
    <w:rsid w:val="00191881"/>
    <w:rsid w:val="00191AA2"/>
    <w:rsid w:val="00191B79"/>
    <w:rsid w:val="00191D78"/>
    <w:rsid w:val="001928B8"/>
    <w:rsid w:val="0019293E"/>
    <w:rsid w:val="00193096"/>
    <w:rsid w:val="001932B6"/>
    <w:rsid w:val="00193356"/>
    <w:rsid w:val="00193564"/>
    <w:rsid w:val="00195BC6"/>
    <w:rsid w:val="00195CA0"/>
    <w:rsid w:val="001960F3"/>
    <w:rsid w:val="001961C8"/>
    <w:rsid w:val="0019661C"/>
    <w:rsid w:val="001967CD"/>
    <w:rsid w:val="001977BA"/>
    <w:rsid w:val="001A05ED"/>
    <w:rsid w:val="001A0D08"/>
    <w:rsid w:val="001A1141"/>
    <w:rsid w:val="001A2136"/>
    <w:rsid w:val="001A22DE"/>
    <w:rsid w:val="001A2AB1"/>
    <w:rsid w:val="001A2FA0"/>
    <w:rsid w:val="001A3B40"/>
    <w:rsid w:val="001A4AB4"/>
    <w:rsid w:val="001A50CE"/>
    <w:rsid w:val="001A71D0"/>
    <w:rsid w:val="001A71EA"/>
    <w:rsid w:val="001A7527"/>
    <w:rsid w:val="001B1E36"/>
    <w:rsid w:val="001B2492"/>
    <w:rsid w:val="001B4363"/>
    <w:rsid w:val="001B4E74"/>
    <w:rsid w:val="001B4EB7"/>
    <w:rsid w:val="001B6582"/>
    <w:rsid w:val="001B662E"/>
    <w:rsid w:val="001B6969"/>
    <w:rsid w:val="001B6C0E"/>
    <w:rsid w:val="001B782D"/>
    <w:rsid w:val="001C0F26"/>
    <w:rsid w:val="001C0FFC"/>
    <w:rsid w:val="001C1B80"/>
    <w:rsid w:val="001C1C08"/>
    <w:rsid w:val="001C2740"/>
    <w:rsid w:val="001C3765"/>
    <w:rsid w:val="001C4C69"/>
    <w:rsid w:val="001C4F70"/>
    <w:rsid w:val="001C5811"/>
    <w:rsid w:val="001C7793"/>
    <w:rsid w:val="001C7A81"/>
    <w:rsid w:val="001C7E40"/>
    <w:rsid w:val="001D0BA2"/>
    <w:rsid w:val="001D12A0"/>
    <w:rsid w:val="001D15A8"/>
    <w:rsid w:val="001D1847"/>
    <w:rsid w:val="001D1DED"/>
    <w:rsid w:val="001D5099"/>
    <w:rsid w:val="001D5568"/>
    <w:rsid w:val="001D6041"/>
    <w:rsid w:val="001D68F1"/>
    <w:rsid w:val="001D6951"/>
    <w:rsid w:val="001D75F9"/>
    <w:rsid w:val="001D7675"/>
    <w:rsid w:val="001D7774"/>
    <w:rsid w:val="001E0CDC"/>
    <w:rsid w:val="001E1D2A"/>
    <w:rsid w:val="001E2223"/>
    <w:rsid w:val="001E2FD0"/>
    <w:rsid w:val="001E3101"/>
    <w:rsid w:val="001E33E0"/>
    <w:rsid w:val="001E3541"/>
    <w:rsid w:val="001E3755"/>
    <w:rsid w:val="001E5051"/>
    <w:rsid w:val="001E53CC"/>
    <w:rsid w:val="001E54A5"/>
    <w:rsid w:val="001E565F"/>
    <w:rsid w:val="001E62D4"/>
    <w:rsid w:val="001E6314"/>
    <w:rsid w:val="001E64AC"/>
    <w:rsid w:val="001E783C"/>
    <w:rsid w:val="001E78D6"/>
    <w:rsid w:val="001E7A72"/>
    <w:rsid w:val="001E7D47"/>
    <w:rsid w:val="001F27AA"/>
    <w:rsid w:val="001F32D1"/>
    <w:rsid w:val="001F4307"/>
    <w:rsid w:val="001F5DA1"/>
    <w:rsid w:val="001F6C9D"/>
    <w:rsid w:val="002009E6"/>
    <w:rsid w:val="00201062"/>
    <w:rsid w:val="00201EE8"/>
    <w:rsid w:val="00204113"/>
    <w:rsid w:val="0020437A"/>
    <w:rsid w:val="002051CF"/>
    <w:rsid w:val="00205E4C"/>
    <w:rsid w:val="00206239"/>
    <w:rsid w:val="002064AE"/>
    <w:rsid w:val="00207083"/>
    <w:rsid w:val="00207171"/>
    <w:rsid w:val="002073FB"/>
    <w:rsid w:val="0020754B"/>
    <w:rsid w:val="00207A47"/>
    <w:rsid w:val="00207E1B"/>
    <w:rsid w:val="00211279"/>
    <w:rsid w:val="00211D16"/>
    <w:rsid w:val="00211D5B"/>
    <w:rsid w:val="002120D6"/>
    <w:rsid w:val="00213DD1"/>
    <w:rsid w:val="002140BD"/>
    <w:rsid w:val="00214439"/>
    <w:rsid w:val="0021580C"/>
    <w:rsid w:val="00215A1D"/>
    <w:rsid w:val="00215AEE"/>
    <w:rsid w:val="00216A4B"/>
    <w:rsid w:val="00216BBD"/>
    <w:rsid w:val="002177D0"/>
    <w:rsid w:val="00217B37"/>
    <w:rsid w:val="00217D9F"/>
    <w:rsid w:val="00221E53"/>
    <w:rsid w:val="0022237A"/>
    <w:rsid w:val="00222A1C"/>
    <w:rsid w:val="00223847"/>
    <w:rsid w:val="002239AA"/>
    <w:rsid w:val="00223D46"/>
    <w:rsid w:val="00223D88"/>
    <w:rsid w:val="00223F2F"/>
    <w:rsid w:val="00224197"/>
    <w:rsid w:val="0022562A"/>
    <w:rsid w:val="0022567B"/>
    <w:rsid w:val="0022608E"/>
    <w:rsid w:val="0022671A"/>
    <w:rsid w:val="00226C4E"/>
    <w:rsid w:val="00226FD5"/>
    <w:rsid w:val="0022719E"/>
    <w:rsid w:val="002271E8"/>
    <w:rsid w:val="00230113"/>
    <w:rsid w:val="002301E2"/>
    <w:rsid w:val="002311E2"/>
    <w:rsid w:val="00231CDC"/>
    <w:rsid w:val="002329E6"/>
    <w:rsid w:val="00233771"/>
    <w:rsid w:val="00234DA3"/>
    <w:rsid w:val="0023578B"/>
    <w:rsid w:val="002364D5"/>
    <w:rsid w:val="00236AB6"/>
    <w:rsid w:val="0023749C"/>
    <w:rsid w:val="0023760A"/>
    <w:rsid w:val="00237A11"/>
    <w:rsid w:val="002400D1"/>
    <w:rsid w:val="00240EA4"/>
    <w:rsid w:val="002419A4"/>
    <w:rsid w:val="00241B92"/>
    <w:rsid w:val="0024226E"/>
    <w:rsid w:val="00243682"/>
    <w:rsid w:val="002440C0"/>
    <w:rsid w:val="00245E55"/>
    <w:rsid w:val="00246908"/>
    <w:rsid w:val="00246992"/>
    <w:rsid w:val="00246DFB"/>
    <w:rsid w:val="00250355"/>
    <w:rsid w:val="00250709"/>
    <w:rsid w:val="00250763"/>
    <w:rsid w:val="002509EE"/>
    <w:rsid w:val="002511B7"/>
    <w:rsid w:val="00251C55"/>
    <w:rsid w:val="00251C93"/>
    <w:rsid w:val="00252089"/>
    <w:rsid w:val="00252519"/>
    <w:rsid w:val="00254A37"/>
    <w:rsid w:val="002559CB"/>
    <w:rsid w:val="002567D2"/>
    <w:rsid w:val="00256940"/>
    <w:rsid w:val="002570AF"/>
    <w:rsid w:val="00257168"/>
    <w:rsid w:val="00262683"/>
    <w:rsid w:val="00262D37"/>
    <w:rsid w:val="00264ABD"/>
    <w:rsid w:val="00266645"/>
    <w:rsid w:val="00266E21"/>
    <w:rsid w:val="00270720"/>
    <w:rsid w:val="002724D4"/>
    <w:rsid w:val="00272B13"/>
    <w:rsid w:val="00273A6E"/>
    <w:rsid w:val="00273B94"/>
    <w:rsid w:val="002740D6"/>
    <w:rsid w:val="00274DB8"/>
    <w:rsid w:val="00275E5D"/>
    <w:rsid w:val="00276143"/>
    <w:rsid w:val="002803AA"/>
    <w:rsid w:val="00280A93"/>
    <w:rsid w:val="00280EFF"/>
    <w:rsid w:val="00282ABC"/>
    <w:rsid w:val="0028357D"/>
    <w:rsid w:val="00283AD6"/>
    <w:rsid w:val="00283EE7"/>
    <w:rsid w:val="00285E4D"/>
    <w:rsid w:val="0028686E"/>
    <w:rsid w:val="00287B6E"/>
    <w:rsid w:val="00290437"/>
    <w:rsid w:val="00291700"/>
    <w:rsid w:val="00291931"/>
    <w:rsid w:val="00291A38"/>
    <w:rsid w:val="00291A41"/>
    <w:rsid w:val="00292716"/>
    <w:rsid w:val="00293112"/>
    <w:rsid w:val="00293E50"/>
    <w:rsid w:val="00294EF5"/>
    <w:rsid w:val="00295A68"/>
    <w:rsid w:val="00296391"/>
    <w:rsid w:val="00296A09"/>
    <w:rsid w:val="00296C20"/>
    <w:rsid w:val="00297207"/>
    <w:rsid w:val="00297C90"/>
    <w:rsid w:val="002A03D6"/>
    <w:rsid w:val="002A0F10"/>
    <w:rsid w:val="002A12D8"/>
    <w:rsid w:val="002A1C75"/>
    <w:rsid w:val="002A1DF2"/>
    <w:rsid w:val="002A2194"/>
    <w:rsid w:val="002A3FF6"/>
    <w:rsid w:val="002A4139"/>
    <w:rsid w:val="002A4429"/>
    <w:rsid w:val="002A4CAC"/>
    <w:rsid w:val="002A4E4E"/>
    <w:rsid w:val="002A6C1D"/>
    <w:rsid w:val="002A7609"/>
    <w:rsid w:val="002A7A3B"/>
    <w:rsid w:val="002B0254"/>
    <w:rsid w:val="002B3401"/>
    <w:rsid w:val="002B4312"/>
    <w:rsid w:val="002B450C"/>
    <w:rsid w:val="002B503D"/>
    <w:rsid w:val="002B5FDA"/>
    <w:rsid w:val="002B6B64"/>
    <w:rsid w:val="002B7092"/>
    <w:rsid w:val="002B709C"/>
    <w:rsid w:val="002B7310"/>
    <w:rsid w:val="002C02A6"/>
    <w:rsid w:val="002C0EEC"/>
    <w:rsid w:val="002C1000"/>
    <w:rsid w:val="002C26D3"/>
    <w:rsid w:val="002C306B"/>
    <w:rsid w:val="002C4266"/>
    <w:rsid w:val="002C48B9"/>
    <w:rsid w:val="002C54A3"/>
    <w:rsid w:val="002C54CA"/>
    <w:rsid w:val="002C6812"/>
    <w:rsid w:val="002C71A5"/>
    <w:rsid w:val="002C7540"/>
    <w:rsid w:val="002D1C20"/>
    <w:rsid w:val="002D2A3C"/>
    <w:rsid w:val="002D2BDF"/>
    <w:rsid w:val="002D319A"/>
    <w:rsid w:val="002D33E2"/>
    <w:rsid w:val="002D516D"/>
    <w:rsid w:val="002D55D7"/>
    <w:rsid w:val="002D5A4E"/>
    <w:rsid w:val="002D6B5E"/>
    <w:rsid w:val="002D6C85"/>
    <w:rsid w:val="002E036B"/>
    <w:rsid w:val="002E0449"/>
    <w:rsid w:val="002E0852"/>
    <w:rsid w:val="002E0C5B"/>
    <w:rsid w:val="002E12CD"/>
    <w:rsid w:val="002E1418"/>
    <w:rsid w:val="002E16D5"/>
    <w:rsid w:val="002E1B18"/>
    <w:rsid w:val="002E1B30"/>
    <w:rsid w:val="002E203E"/>
    <w:rsid w:val="002E2B3C"/>
    <w:rsid w:val="002E3991"/>
    <w:rsid w:val="002E4424"/>
    <w:rsid w:val="002E4554"/>
    <w:rsid w:val="002E4FF6"/>
    <w:rsid w:val="002E5433"/>
    <w:rsid w:val="002E5723"/>
    <w:rsid w:val="002E5A4D"/>
    <w:rsid w:val="002E5DFF"/>
    <w:rsid w:val="002E5F8B"/>
    <w:rsid w:val="002E617A"/>
    <w:rsid w:val="002E6DD7"/>
    <w:rsid w:val="002E6EAE"/>
    <w:rsid w:val="002E7AB8"/>
    <w:rsid w:val="002E7AEC"/>
    <w:rsid w:val="002E7AF8"/>
    <w:rsid w:val="002E7C68"/>
    <w:rsid w:val="002F1ABD"/>
    <w:rsid w:val="002F23DF"/>
    <w:rsid w:val="002F3A64"/>
    <w:rsid w:val="002F3CC2"/>
    <w:rsid w:val="002F463A"/>
    <w:rsid w:val="002F4696"/>
    <w:rsid w:val="002F4E48"/>
    <w:rsid w:val="002F5246"/>
    <w:rsid w:val="002F52BF"/>
    <w:rsid w:val="002F5B28"/>
    <w:rsid w:val="002F7A6D"/>
    <w:rsid w:val="00300139"/>
    <w:rsid w:val="0030104D"/>
    <w:rsid w:val="00301127"/>
    <w:rsid w:val="0030148F"/>
    <w:rsid w:val="003016DE"/>
    <w:rsid w:val="00302819"/>
    <w:rsid w:val="00303429"/>
    <w:rsid w:val="0030377D"/>
    <w:rsid w:val="003042A2"/>
    <w:rsid w:val="00304747"/>
    <w:rsid w:val="003058BA"/>
    <w:rsid w:val="00305FDD"/>
    <w:rsid w:val="00306432"/>
    <w:rsid w:val="003076A6"/>
    <w:rsid w:val="00307970"/>
    <w:rsid w:val="003103FA"/>
    <w:rsid w:val="00310E6C"/>
    <w:rsid w:val="00311870"/>
    <w:rsid w:val="00311D67"/>
    <w:rsid w:val="0031415B"/>
    <w:rsid w:val="00316EF8"/>
    <w:rsid w:val="00320AD2"/>
    <w:rsid w:val="00320D3C"/>
    <w:rsid w:val="00321EEB"/>
    <w:rsid w:val="00322043"/>
    <w:rsid w:val="003228E9"/>
    <w:rsid w:val="00323BDB"/>
    <w:rsid w:val="00323EEE"/>
    <w:rsid w:val="003245BB"/>
    <w:rsid w:val="00325FA4"/>
    <w:rsid w:val="00326B1D"/>
    <w:rsid w:val="00331D37"/>
    <w:rsid w:val="00332600"/>
    <w:rsid w:val="00333C3F"/>
    <w:rsid w:val="003342BE"/>
    <w:rsid w:val="0033568C"/>
    <w:rsid w:val="00335706"/>
    <w:rsid w:val="00336886"/>
    <w:rsid w:val="00337C93"/>
    <w:rsid w:val="0034073E"/>
    <w:rsid w:val="00340A4C"/>
    <w:rsid w:val="00341D40"/>
    <w:rsid w:val="00342E1E"/>
    <w:rsid w:val="00342E7B"/>
    <w:rsid w:val="00343384"/>
    <w:rsid w:val="0034362B"/>
    <w:rsid w:val="00343988"/>
    <w:rsid w:val="00343B92"/>
    <w:rsid w:val="00343E4F"/>
    <w:rsid w:val="00343E7E"/>
    <w:rsid w:val="0034496A"/>
    <w:rsid w:val="00344AF1"/>
    <w:rsid w:val="00344C0B"/>
    <w:rsid w:val="00344F16"/>
    <w:rsid w:val="00345611"/>
    <w:rsid w:val="00346660"/>
    <w:rsid w:val="00347242"/>
    <w:rsid w:val="00350621"/>
    <w:rsid w:val="00350B9D"/>
    <w:rsid w:val="00354438"/>
    <w:rsid w:val="00356C8A"/>
    <w:rsid w:val="00356EB5"/>
    <w:rsid w:val="003570A8"/>
    <w:rsid w:val="003602D9"/>
    <w:rsid w:val="0036068C"/>
    <w:rsid w:val="00360D5E"/>
    <w:rsid w:val="00361156"/>
    <w:rsid w:val="0036183C"/>
    <w:rsid w:val="003620CA"/>
    <w:rsid w:val="00363182"/>
    <w:rsid w:val="003633F9"/>
    <w:rsid w:val="003638F9"/>
    <w:rsid w:val="00364286"/>
    <w:rsid w:val="003644EF"/>
    <w:rsid w:val="00364E0B"/>
    <w:rsid w:val="00365CF3"/>
    <w:rsid w:val="003660C4"/>
    <w:rsid w:val="00366204"/>
    <w:rsid w:val="003662EE"/>
    <w:rsid w:val="003704A9"/>
    <w:rsid w:val="00371324"/>
    <w:rsid w:val="00371816"/>
    <w:rsid w:val="00372673"/>
    <w:rsid w:val="00374F60"/>
    <w:rsid w:val="00374F89"/>
    <w:rsid w:val="0037584A"/>
    <w:rsid w:val="00375F20"/>
    <w:rsid w:val="00376D1E"/>
    <w:rsid w:val="00376F21"/>
    <w:rsid w:val="00377D78"/>
    <w:rsid w:val="00380326"/>
    <w:rsid w:val="0038045D"/>
    <w:rsid w:val="00380BC8"/>
    <w:rsid w:val="003819F8"/>
    <w:rsid w:val="00381F3E"/>
    <w:rsid w:val="00382E1F"/>
    <w:rsid w:val="00383558"/>
    <w:rsid w:val="003835D8"/>
    <w:rsid w:val="00385083"/>
    <w:rsid w:val="0038590E"/>
    <w:rsid w:val="003912B5"/>
    <w:rsid w:val="00393DE3"/>
    <w:rsid w:val="00393FF7"/>
    <w:rsid w:val="00394164"/>
    <w:rsid w:val="0039430E"/>
    <w:rsid w:val="003946DA"/>
    <w:rsid w:val="0039578C"/>
    <w:rsid w:val="003965E8"/>
    <w:rsid w:val="00397F9B"/>
    <w:rsid w:val="003A1AA7"/>
    <w:rsid w:val="003A33D3"/>
    <w:rsid w:val="003A3C2B"/>
    <w:rsid w:val="003A59E3"/>
    <w:rsid w:val="003A6095"/>
    <w:rsid w:val="003A663A"/>
    <w:rsid w:val="003A7242"/>
    <w:rsid w:val="003A7AE0"/>
    <w:rsid w:val="003B00F8"/>
    <w:rsid w:val="003B0B2A"/>
    <w:rsid w:val="003B12F3"/>
    <w:rsid w:val="003B1880"/>
    <w:rsid w:val="003B1F1F"/>
    <w:rsid w:val="003B2FE3"/>
    <w:rsid w:val="003B523C"/>
    <w:rsid w:val="003B6464"/>
    <w:rsid w:val="003B6619"/>
    <w:rsid w:val="003B6713"/>
    <w:rsid w:val="003B7108"/>
    <w:rsid w:val="003C05BE"/>
    <w:rsid w:val="003C3672"/>
    <w:rsid w:val="003C467B"/>
    <w:rsid w:val="003C476B"/>
    <w:rsid w:val="003C55CA"/>
    <w:rsid w:val="003C5CCE"/>
    <w:rsid w:val="003C67F1"/>
    <w:rsid w:val="003C6F45"/>
    <w:rsid w:val="003D04C8"/>
    <w:rsid w:val="003D05E9"/>
    <w:rsid w:val="003D0853"/>
    <w:rsid w:val="003D10F5"/>
    <w:rsid w:val="003D1530"/>
    <w:rsid w:val="003D2CA0"/>
    <w:rsid w:val="003D3B9A"/>
    <w:rsid w:val="003D4ABC"/>
    <w:rsid w:val="003D55DF"/>
    <w:rsid w:val="003D5BA3"/>
    <w:rsid w:val="003D5EE9"/>
    <w:rsid w:val="003D716F"/>
    <w:rsid w:val="003D7286"/>
    <w:rsid w:val="003D74B2"/>
    <w:rsid w:val="003E030C"/>
    <w:rsid w:val="003E50D6"/>
    <w:rsid w:val="003E5FCF"/>
    <w:rsid w:val="003E6853"/>
    <w:rsid w:val="003E7615"/>
    <w:rsid w:val="003E7767"/>
    <w:rsid w:val="003F046E"/>
    <w:rsid w:val="003F050D"/>
    <w:rsid w:val="003F07C9"/>
    <w:rsid w:val="003F0DB2"/>
    <w:rsid w:val="003F3787"/>
    <w:rsid w:val="003F3BBC"/>
    <w:rsid w:val="003F4955"/>
    <w:rsid w:val="003F6569"/>
    <w:rsid w:val="003F68C7"/>
    <w:rsid w:val="003F7195"/>
    <w:rsid w:val="003F7268"/>
    <w:rsid w:val="003F78DA"/>
    <w:rsid w:val="004009DF"/>
    <w:rsid w:val="0040100D"/>
    <w:rsid w:val="00401387"/>
    <w:rsid w:val="00401839"/>
    <w:rsid w:val="00402A3A"/>
    <w:rsid w:val="00404543"/>
    <w:rsid w:val="004047D7"/>
    <w:rsid w:val="004053A1"/>
    <w:rsid w:val="0040620C"/>
    <w:rsid w:val="004072C3"/>
    <w:rsid w:val="00407C5B"/>
    <w:rsid w:val="0041262C"/>
    <w:rsid w:val="00412D33"/>
    <w:rsid w:val="00413523"/>
    <w:rsid w:val="004150AB"/>
    <w:rsid w:val="0041515B"/>
    <w:rsid w:val="00415318"/>
    <w:rsid w:val="00415B8A"/>
    <w:rsid w:val="00416520"/>
    <w:rsid w:val="00416D3C"/>
    <w:rsid w:val="004178B9"/>
    <w:rsid w:val="00420FED"/>
    <w:rsid w:val="00421D62"/>
    <w:rsid w:val="004226E4"/>
    <w:rsid w:val="00424759"/>
    <w:rsid w:val="00424F72"/>
    <w:rsid w:val="00425CD0"/>
    <w:rsid w:val="00425DA3"/>
    <w:rsid w:val="00427458"/>
    <w:rsid w:val="00427FE1"/>
    <w:rsid w:val="00430532"/>
    <w:rsid w:val="00431914"/>
    <w:rsid w:val="00433B6F"/>
    <w:rsid w:val="00433BF7"/>
    <w:rsid w:val="00433E88"/>
    <w:rsid w:val="00433ED0"/>
    <w:rsid w:val="00434EDB"/>
    <w:rsid w:val="00440A58"/>
    <w:rsid w:val="00440A82"/>
    <w:rsid w:val="00440B5D"/>
    <w:rsid w:val="00441A1C"/>
    <w:rsid w:val="00442E37"/>
    <w:rsid w:val="004444A9"/>
    <w:rsid w:val="00444A33"/>
    <w:rsid w:val="00444A48"/>
    <w:rsid w:val="0045047A"/>
    <w:rsid w:val="0045239F"/>
    <w:rsid w:val="0045302A"/>
    <w:rsid w:val="004536D2"/>
    <w:rsid w:val="004546D1"/>
    <w:rsid w:val="00454EE1"/>
    <w:rsid w:val="00455344"/>
    <w:rsid w:val="00455B42"/>
    <w:rsid w:val="00456E3E"/>
    <w:rsid w:val="004604FC"/>
    <w:rsid w:val="0046175C"/>
    <w:rsid w:val="00461795"/>
    <w:rsid w:val="0046207B"/>
    <w:rsid w:val="00462157"/>
    <w:rsid w:val="0046350D"/>
    <w:rsid w:val="00463C03"/>
    <w:rsid w:val="00463D97"/>
    <w:rsid w:val="00466652"/>
    <w:rsid w:val="00466886"/>
    <w:rsid w:val="00466D53"/>
    <w:rsid w:val="00467278"/>
    <w:rsid w:val="00467AFA"/>
    <w:rsid w:val="004702DE"/>
    <w:rsid w:val="004717FA"/>
    <w:rsid w:val="0047285E"/>
    <w:rsid w:val="0047348C"/>
    <w:rsid w:val="0047376F"/>
    <w:rsid w:val="004739C5"/>
    <w:rsid w:val="00476099"/>
    <w:rsid w:val="00476D5D"/>
    <w:rsid w:val="004819DA"/>
    <w:rsid w:val="00481C1F"/>
    <w:rsid w:val="00481CA6"/>
    <w:rsid w:val="004822FD"/>
    <w:rsid w:val="00484B45"/>
    <w:rsid w:val="00485B2E"/>
    <w:rsid w:val="00485BAE"/>
    <w:rsid w:val="004861E6"/>
    <w:rsid w:val="00486833"/>
    <w:rsid w:val="00487138"/>
    <w:rsid w:val="00487218"/>
    <w:rsid w:val="00487418"/>
    <w:rsid w:val="00487584"/>
    <w:rsid w:val="00487708"/>
    <w:rsid w:val="00487A00"/>
    <w:rsid w:val="00487CC4"/>
    <w:rsid w:val="00487E09"/>
    <w:rsid w:val="004937DF"/>
    <w:rsid w:val="00495CA5"/>
    <w:rsid w:val="00496D85"/>
    <w:rsid w:val="0049711F"/>
    <w:rsid w:val="00497138"/>
    <w:rsid w:val="004972F9"/>
    <w:rsid w:val="004A21A1"/>
    <w:rsid w:val="004A3159"/>
    <w:rsid w:val="004A404F"/>
    <w:rsid w:val="004A45EC"/>
    <w:rsid w:val="004A5B26"/>
    <w:rsid w:val="004A691D"/>
    <w:rsid w:val="004A6CE9"/>
    <w:rsid w:val="004A7790"/>
    <w:rsid w:val="004A7C81"/>
    <w:rsid w:val="004B011F"/>
    <w:rsid w:val="004B0CDA"/>
    <w:rsid w:val="004B2651"/>
    <w:rsid w:val="004B606E"/>
    <w:rsid w:val="004C05FC"/>
    <w:rsid w:val="004C1328"/>
    <w:rsid w:val="004C1FCB"/>
    <w:rsid w:val="004C2BCF"/>
    <w:rsid w:val="004C2DD6"/>
    <w:rsid w:val="004C3EC7"/>
    <w:rsid w:val="004C5589"/>
    <w:rsid w:val="004C58EC"/>
    <w:rsid w:val="004C5944"/>
    <w:rsid w:val="004C5C2D"/>
    <w:rsid w:val="004C63EB"/>
    <w:rsid w:val="004D0A36"/>
    <w:rsid w:val="004D1D57"/>
    <w:rsid w:val="004D1EF1"/>
    <w:rsid w:val="004D2073"/>
    <w:rsid w:val="004D2938"/>
    <w:rsid w:val="004D3D62"/>
    <w:rsid w:val="004D452F"/>
    <w:rsid w:val="004D5F44"/>
    <w:rsid w:val="004D6EDD"/>
    <w:rsid w:val="004D6EED"/>
    <w:rsid w:val="004D7B53"/>
    <w:rsid w:val="004D7BAE"/>
    <w:rsid w:val="004E2A8C"/>
    <w:rsid w:val="004E2AA2"/>
    <w:rsid w:val="004E2C3A"/>
    <w:rsid w:val="004E2EB4"/>
    <w:rsid w:val="004E2FAA"/>
    <w:rsid w:val="004E370D"/>
    <w:rsid w:val="004E57DE"/>
    <w:rsid w:val="004E5B11"/>
    <w:rsid w:val="004E6D52"/>
    <w:rsid w:val="004E6DC0"/>
    <w:rsid w:val="004E7086"/>
    <w:rsid w:val="004F1720"/>
    <w:rsid w:val="004F2706"/>
    <w:rsid w:val="004F2D06"/>
    <w:rsid w:val="004F46E4"/>
    <w:rsid w:val="004F4F92"/>
    <w:rsid w:val="004F5467"/>
    <w:rsid w:val="004F5C85"/>
    <w:rsid w:val="004F70E1"/>
    <w:rsid w:val="00500327"/>
    <w:rsid w:val="00500410"/>
    <w:rsid w:val="00500C3A"/>
    <w:rsid w:val="00501166"/>
    <w:rsid w:val="005024AE"/>
    <w:rsid w:val="00502C3F"/>
    <w:rsid w:val="005033BC"/>
    <w:rsid w:val="005038B3"/>
    <w:rsid w:val="00504EB9"/>
    <w:rsid w:val="00505D63"/>
    <w:rsid w:val="00506753"/>
    <w:rsid w:val="005075E2"/>
    <w:rsid w:val="0051127E"/>
    <w:rsid w:val="005112C7"/>
    <w:rsid w:val="005115F7"/>
    <w:rsid w:val="005117EA"/>
    <w:rsid w:val="00512B2A"/>
    <w:rsid w:val="00513036"/>
    <w:rsid w:val="0051330A"/>
    <w:rsid w:val="00513403"/>
    <w:rsid w:val="0051370E"/>
    <w:rsid w:val="0051476D"/>
    <w:rsid w:val="00514A62"/>
    <w:rsid w:val="00515B04"/>
    <w:rsid w:val="00515CFB"/>
    <w:rsid w:val="00516141"/>
    <w:rsid w:val="00516292"/>
    <w:rsid w:val="00516320"/>
    <w:rsid w:val="0051692C"/>
    <w:rsid w:val="005217D7"/>
    <w:rsid w:val="005224A6"/>
    <w:rsid w:val="005228D1"/>
    <w:rsid w:val="00525846"/>
    <w:rsid w:val="00525E4D"/>
    <w:rsid w:val="00525E6C"/>
    <w:rsid w:val="00526F5C"/>
    <w:rsid w:val="00526FED"/>
    <w:rsid w:val="00527DBC"/>
    <w:rsid w:val="00530C5A"/>
    <w:rsid w:val="00530C60"/>
    <w:rsid w:val="00530E13"/>
    <w:rsid w:val="00532F3F"/>
    <w:rsid w:val="00534398"/>
    <w:rsid w:val="00534EAB"/>
    <w:rsid w:val="005360CF"/>
    <w:rsid w:val="00536A93"/>
    <w:rsid w:val="00536DBB"/>
    <w:rsid w:val="00537485"/>
    <w:rsid w:val="0054008F"/>
    <w:rsid w:val="00541151"/>
    <w:rsid w:val="00541733"/>
    <w:rsid w:val="00543B65"/>
    <w:rsid w:val="00543EF8"/>
    <w:rsid w:val="00544669"/>
    <w:rsid w:val="00544D7F"/>
    <w:rsid w:val="00544E96"/>
    <w:rsid w:val="0054554A"/>
    <w:rsid w:val="0054644C"/>
    <w:rsid w:val="00546BF8"/>
    <w:rsid w:val="00546CF4"/>
    <w:rsid w:val="00546D87"/>
    <w:rsid w:val="005471A6"/>
    <w:rsid w:val="0054727A"/>
    <w:rsid w:val="00547401"/>
    <w:rsid w:val="00547A83"/>
    <w:rsid w:val="00550120"/>
    <w:rsid w:val="0055049C"/>
    <w:rsid w:val="00550801"/>
    <w:rsid w:val="00550A71"/>
    <w:rsid w:val="00551BD1"/>
    <w:rsid w:val="00552A34"/>
    <w:rsid w:val="00553718"/>
    <w:rsid w:val="00553F1E"/>
    <w:rsid w:val="00554BDA"/>
    <w:rsid w:val="00555086"/>
    <w:rsid w:val="00555133"/>
    <w:rsid w:val="00555C17"/>
    <w:rsid w:val="00556901"/>
    <w:rsid w:val="00556C74"/>
    <w:rsid w:val="00556D8B"/>
    <w:rsid w:val="00557F88"/>
    <w:rsid w:val="005608E9"/>
    <w:rsid w:val="00561374"/>
    <w:rsid w:val="00561DC1"/>
    <w:rsid w:val="0056204F"/>
    <w:rsid w:val="0056244A"/>
    <w:rsid w:val="00563AC6"/>
    <w:rsid w:val="00563BBF"/>
    <w:rsid w:val="0056558E"/>
    <w:rsid w:val="00565C5A"/>
    <w:rsid w:val="00565FD5"/>
    <w:rsid w:val="00566C5A"/>
    <w:rsid w:val="00566D78"/>
    <w:rsid w:val="00566E48"/>
    <w:rsid w:val="005700FD"/>
    <w:rsid w:val="00570A25"/>
    <w:rsid w:val="00571E07"/>
    <w:rsid w:val="0057286E"/>
    <w:rsid w:val="00573D73"/>
    <w:rsid w:val="00574099"/>
    <w:rsid w:val="00575DF3"/>
    <w:rsid w:val="005764C4"/>
    <w:rsid w:val="005764E6"/>
    <w:rsid w:val="00576745"/>
    <w:rsid w:val="00577264"/>
    <w:rsid w:val="00577B03"/>
    <w:rsid w:val="00580057"/>
    <w:rsid w:val="005804CA"/>
    <w:rsid w:val="005809EC"/>
    <w:rsid w:val="00580D03"/>
    <w:rsid w:val="00582793"/>
    <w:rsid w:val="00582EBA"/>
    <w:rsid w:val="00583BB3"/>
    <w:rsid w:val="005845BE"/>
    <w:rsid w:val="00584E89"/>
    <w:rsid w:val="005854CC"/>
    <w:rsid w:val="0058769A"/>
    <w:rsid w:val="00587963"/>
    <w:rsid w:val="00587A03"/>
    <w:rsid w:val="00587D69"/>
    <w:rsid w:val="005905BC"/>
    <w:rsid w:val="0059105C"/>
    <w:rsid w:val="005919A8"/>
    <w:rsid w:val="005938FF"/>
    <w:rsid w:val="0059413B"/>
    <w:rsid w:val="005949AE"/>
    <w:rsid w:val="00595648"/>
    <w:rsid w:val="00596368"/>
    <w:rsid w:val="005A09FB"/>
    <w:rsid w:val="005A1917"/>
    <w:rsid w:val="005A24C8"/>
    <w:rsid w:val="005A4E85"/>
    <w:rsid w:val="005A5A48"/>
    <w:rsid w:val="005A5EB6"/>
    <w:rsid w:val="005A7309"/>
    <w:rsid w:val="005B00AB"/>
    <w:rsid w:val="005B0ABF"/>
    <w:rsid w:val="005B0DDB"/>
    <w:rsid w:val="005B0E03"/>
    <w:rsid w:val="005B2CF1"/>
    <w:rsid w:val="005B3642"/>
    <w:rsid w:val="005B3BCC"/>
    <w:rsid w:val="005B3FEE"/>
    <w:rsid w:val="005B48E1"/>
    <w:rsid w:val="005B65AE"/>
    <w:rsid w:val="005B6850"/>
    <w:rsid w:val="005B752C"/>
    <w:rsid w:val="005B7FF7"/>
    <w:rsid w:val="005C0692"/>
    <w:rsid w:val="005C06BE"/>
    <w:rsid w:val="005C090A"/>
    <w:rsid w:val="005C0C27"/>
    <w:rsid w:val="005C0C30"/>
    <w:rsid w:val="005C16A4"/>
    <w:rsid w:val="005C1FA6"/>
    <w:rsid w:val="005C2CCD"/>
    <w:rsid w:val="005C33E0"/>
    <w:rsid w:val="005C3582"/>
    <w:rsid w:val="005C47FC"/>
    <w:rsid w:val="005C4831"/>
    <w:rsid w:val="005C5866"/>
    <w:rsid w:val="005C5B73"/>
    <w:rsid w:val="005C6516"/>
    <w:rsid w:val="005C6F11"/>
    <w:rsid w:val="005C7BEF"/>
    <w:rsid w:val="005C7D18"/>
    <w:rsid w:val="005D07AA"/>
    <w:rsid w:val="005D25CA"/>
    <w:rsid w:val="005D365E"/>
    <w:rsid w:val="005D46E0"/>
    <w:rsid w:val="005D47A1"/>
    <w:rsid w:val="005D4A3C"/>
    <w:rsid w:val="005D6172"/>
    <w:rsid w:val="005D6D86"/>
    <w:rsid w:val="005D7D6B"/>
    <w:rsid w:val="005E0951"/>
    <w:rsid w:val="005E11F6"/>
    <w:rsid w:val="005E13ED"/>
    <w:rsid w:val="005E3661"/>
    <w:rsid w:val="005E3F7E"/>
    <w:rsid w:val="005E48CB"/>
    <w:rsid w:val="005E4C59"/>
    <w:rsid w:val="005E6F57"/>
    <w:rsid w:val="005E790D"/>
    <w:rsid w:val="005F005E"/>
    <w:rsid w:val="005F04E4"/>
    <w:rsid w:val="005F095E"/>
    <w:rsid w:val="005F153F"/>
    <w:rsid w:val="005F1DAE"/>
    <w:rsid w:val="005F20AF"/>
    <w:rsid w:val="005F733D"/>
    <w:rsid w:val="005F744C"/>
    <w:rsid w:val="00600310"/>
    <w:rsid w:val="00600366"/>
    <w:rsid w:val="0060036D"/>
    <w:rsid w:val="00600473"/>
    <w:rsid w:val="00600CD8"/>
    <w:rsid w:val="00600F24"/>
    <w:rsid w:val="0060159F"/>
    <w:rsid w:val="00601CD6"/>
    <w:rsid w:val="00601CE4"/>
    <w:rsid w:val="006039EB"/>
    <w:rsid w:val="00604695"/>
    <w:rsid w:val="00604CDA"/>
    <w:rsid w:val="006071F1"/>
    <w:rsid w:val="0060735C"/>
    <w:rsid w:val="00607A8E"/>
    <w:rsid w:val="006132C2"/>
    <w:rsid w:val="0061510F"/>
    <w:rsid w:val="00615876"/>
    <w:rsid w:val="00615C66"/>
    <w:rsid w:val="0061746E"/>
    <w:rsid w:val="00617C38"/>
    <w:rsid w:val="00620734"/>
    <w:rsid w:val="0062136F"/>
    <w:rsid w:val="0062150B"/>
    <w:rsid w:val="006219BC"/>
    <w:rsid w:val="00621D59"/>
    <w:rsid w:val="00625571"/>
    <w:rsid w:val="0062641E"/>
    <w:rsid w:val="0063111D"/>
    <w:rsid w:val="0063356F"/>
    <w:rsid w:val="0063461E"/>
    <w:rsid w:val="00634DDE"/>
    <w:rsid w:val="00636B5B"/>
    <w:rsid w:val="00636BE0"/>
    <w:rsid w:val="00636E50"/>
    <w:rsid w:val="00637403"/>
    <w:rsid w:val="00637C4B"/>
    <w:rsid w:val="006405DD"/>
    <w:rsid w:val="006422A3"/>
    <w:rsid w:val="0064276C"/>
    <w:rsid w:val="00642E65"/>
    <w:rsid w:val="00643801"/>
    <w:rsid w:val="00645459"/>
    <w:rsid w:val="00645488"/>
    <w:rsid w:val="00645E15"/>
    <w:rsid w:val="0064604F"/>
    <w:rsid w:val="00646505"/>
    <w:rsid w:val="0064768D"/>
    <w:rsid w:val="006507AC"/>
    <w:rsid w:val="006513DD"/>
    <w:rsid w:val="00651E2D"/>
    <w:rsid w:val="00652049"/>
    <w:rsid w:val="0065265E"/>
    <w:rsid w:val="00653960"/>
    <w:rsid w:val="006540C1"/>
    <w:rsid w:val="00655BE4"/>
    <w:rsid w:val="00655EED"/>
    <w:rsid w:val="00656B6C"/>
    <w:rsid w:val="0065735D"/>
    <w:rsid w:val="006579D1"/>
    <w:rsid w:val="00657C23"/>
    <w:rsid w:val="006610D9"/>
    <w:rsid w:val="006628CE"/>
    <w:rsid w:val="00662C39"/>
    <w:rsid w:val="00662D55"/>
    <w:rsid w:val="0066374E"/>
    <w:rsid w:val="0066395D"/>
    <w:rsid w:val="006646C8"/>
    <w:rsid w:val="00664CF4"/>
    <w:rsid w:val="00665451"/>
    <w:rsid w:val="006665EB"/>
    <w:rsid w:val="0067024E"/>
    <w:rsid w:val="0067037D"/>
    <w:rsid w:val="0067100F"/>
    <w:rsid w:val="00672B3E"/>
    <w:rsid w:val="00673F7A"/>
    <w:rsid w:val="00674A08"/>
    <w:rsid w:val="00675169"/>
    <w:rsid w:val="00676C41"/>
    <w:rsid w:val="00676F4C"/>
    <w:rsid w:val="00677067"/>
    <w:rsid w:val="00677D0D"/>
    <w:rsid w:val="00680365"/>
    <w:rsid w:val="00681494"/>
    <w:rsid w:val="00681674"/>
    <w:rsid w:val="00681894"/>
    <w:rsid w:val="006868A3"/>
    <w:rsid w:val="00687713"/>
    <w:rsid w:val="00687A17"/>
    <w:rsid w:val="0069032F"/>
    <w:rsid w:val="00690B50"/>
    <w:rsid w:val="00692B70"/>
    <w:rsid w:val="006934DC"/>
    <w:rsid w:val="00694BE7"/>
    <w:rsid w:val="00695105"/>
    <w:rsid w:val="006969D0"/>
    <w:rsid w:val="00696D06"/>
    <w:rsid w:val="0069724A"/>
    <w:rsid w:val="00697359"/>
    <w:rsid w:val="00697978"/>
    <w:rsid w:val="00697FA2"/>
    <w:rsid w:val="006A0292"/>
    <w:rsid w:val="006A1E59"/>
    <w:rsid w:val="006A20CA"/>
    <w:rsid w:val="006A233F"/>
    <w:rsid w:val="006A235E"/>
    <w:rsid w:val="006A241A"/>
    <w:rsid w:val="006A26F1"/>
    <w:rsid w:val="006A3BFF"/>
    <w:rsid w:val="006A42CD"/>
    <w:rsid w:val="006A45B6"/>
    <w:rsid w:val="006A4D77"/>
    <w:rsid w:val="006A4FB3"/>
    <w:rsid w:val="006A540D"/>
    <w:rsid w:val="006A5EE7"/>
    <w:rsid w:val="006A5F6A"/>
    <w:rsid w:val="006A64D8"/>
    <w:rsid w:val="006A68B4"/>
    <w:rsid w:val="006A6F33"/>
    <w:rsid w:val="006A6F5F"/>
    <w:rsid w:val="006A7AEB"/>
    <w:rsid w:val="006B03E5"/>
    <w:rsid w:val="006B0738"/>
    <w:rsid w:val="006B07A6"/>
    <w:rsid w:val="006B0B3B"/>
    <w:rsid w:val="006B1C85"/>
    <w:rsid w:val="006B3C4A"/>
    <w:rsid w:val="006B3F76"/>
    <w:rsid w:val="006B51BB"/>
    <w:rsid w:val="006B551E"/>
    <w:rsid w:val="006B6713"/>
    <w:rsid w:val="006B6F39"/>
    <w:rsid w:val="006C058D"/>
    <w:rsid w:val="006C0E7F"/>
    <w:rsid w:val="006C2A9B"/>
    <w:rsid w:val="006C2D05"/>
    <w:rsid w:val="006C2EC7"/>
    <w:rsid w:val="006C388A"/>
    <w:rsid w:val="006C3A56"/>
    <w:rsid w:val="006C4096"/>
    <w:rsid w:val="006C4401"/>
    <w:rsid w:val="006C4602"/>
    <w:rsid w:val="006C562A"/>
    <w:rsid w:val="006C592C"/>
    <w:rsid w:val="006C6710"/>
    <w:rsid w:val="006C795E"/>
    <w:rsid w:val="006D086F"/>
    <w:rsid w:val="006D0BDF"/>
    <w:rsid w:val="006D17E8"/>
    <w:rsid w:val="006D1F37"/>
    <w:rsid w:val="006D2469"/>
    <w:rsid w:val="006D36A3"/>
    <w:rsid w:val="006D3A5B"/>
    <w:rsid w:val="006D3D7C"/>
    <w:rsid w:val="006D4142"/>
    <w:rsid w:val="006D4B12"/>
    <w:rsid w:val="006D58C7"/>
    <w:rsid w:val="006D5C7E"/>
    <w:rsid w:val="006D6BA9"/>
    <w:rsid w:val="006D7082"/>
    <w:rsid w:val="006D7B7C"/>
    <w:rsid w:val="006D7D6A"/>
    <w:rsid w:val="006E10F1"/>
    <w:rsid w:val="006E4057"/>
    <w:rsid w:val="006E46F2"/>
    <w:rsid w:val="006E4E12"/>
    <w:rsid w:val="006E5B97"/>
    <w:rsid w:val="006E60C4"/>
    <w:rsid w:val="006E6518"/>
    <w:rsid w:val="006E76A9"/>
    <w:rsid w:val="006E7BE3"/>
    <w:rsid w:val="006F0C02"/>
    <w:rsid w:val="006F120F"/>
    <w:rsid w:val="006F200F"/>
    <w:rsid w:val="006F2457"/>
    <w:rsid w:val="006F2691"/>
    <w:rsid w:val="006F2C72"/>
    <w:rsid w:val="006F3892"/>
    <w:rsid w:val="006F444D"/>
    <w:rsid w:val="006F5E50"/>
    <w:rsid w:val="00701103"/>
    <w:rsid w:val="00702E93"/>
    <w:rsid w:val="0070393F"/>
    <w:rsid w:val="00705146"/>
    <w:rsid w:val="00706A2C"/>
    <w:rsid w:val="0070781D"/>
    <w:rsid w:val="00707E7E"/>
    <w:rsid w:val="007100E3"/>
    <w:rsid w:val="00710BC0"/>
    <w:rsid w:val="007113D1"/>
    <w:rsid w:val="00711AF1"/>
    <w:rsid w:val="00711B22"/>
    <w:rsid w:val="00712953"/>
    <w:rsid w:val="00712B02"/>
    <w:rsid w:val="00714FA4"/>
    <w:rsid w:val="0071546B"/>
    <w:rsid w:val="0071660F"/>
    <w:rsid w:val="00716D3E"/>
    <w:rsid w:val="00717C12"/>
    <w:rsid w:val="00720AD9"/>
    <w:rsid w:val="0072165A"/>
    <w:rsid w:val="0072277C"/>
    <w:rsid w:val="007229E4"/>
    <w:rsid w:val="00724038"/>
    <w:rsid w:val="007253FC"/>
    <w:rsid w:val="007263F0"/>
    <w:rsid w:val="0072732E"/>
    <w:rsid w:val="00731421"/>
    <w:rsid w:val="0073279D"/>
    <w:rsid w:val="007328E5"/>
    <w:rsid w:val="0073376E"/>
    <w:rsid w:val="007338F3"/>
    <w:rsid w:val="00733FEB"/>
    <w:rsid w:val="00734152"/>
    <w:rsid w:val="00734EAC"/>
    <w:rsid w:val="007351DF"/>
    <w:rsid w:val="0073552D"/>
    <w:rsid w:val="007368FD"/>
    <w:rsid w:val="007376CD"/>
    <w:rsid w:val="0073778B"/>
    <w:rsid w:val="00737D33"/>
    <w:rsid w:val="0074088D"/>
    <w:rsid w:val="00741F07"/>
    <w:rsid w:val="00741FED"/>
    <w:rsid w:val="00743033"/>
    <w:rsid w:val="007447F4"/>
    <w:rsid w:val="0074508E"/>
    <w:rsid w:val="0074513D"/>
    <w:rsid w:val="0074539F"/>
    <w:rsid w:val="007472A3"/>
    <w:rsid w:val="007477C5"/>
    <w:rsid w:val="00750136"/>
    <w:rsid w:val="007516F4"/>
    <w:rsid w:val="00751A00"/>
    <w:rsid w:val="00751B8B"/>
    <w:rsid w:val="00752185"/>
    <w:rsid w:val="00752BAB"/>
    <w:rsid w:val="00753DC3"/>
    <w:rsid w:val="0075637D"/>
    <w:rsid w:val="007566B3"/>
    <w:rsid w:val="00756F69"/>
    <w:rsid w:val="0075765F"/>
    <w:rsid w:val="007604B1"/>
    <w:rsid w:val="00760BE9"/>
    <w:rsid w:val="00761077"/>
    <w:rsid w:val="007619CB"/>
    <w:rsid w:val="00762360"/>
    <w:rsid w:val="00762756"/>
    <w:rsid w:val="00762B3E"/>
    <w:rsid w:val="00762DBD"/>
    <w:rsid w:val="007630EB"/>
    <w:rsid w:val="00763D4A"/>
    <w:rsid w:val="00764C55"/>
    <w:rsid w:val="00764E29"/>
    <w:rsid w:val="00767386"/>
    <w:rsid w:val="00767949"/>
    <w:rsid w:val="00770D0B"/>
    <w:rsid w:val="00771429"/>
    <w:rsid w:val="007718D2"/>
    <w:rsid w:val="007722FF"/>
    <w:rsid w:val="00773C94"/>
    <w:rsid w:val="00775288"/>
    <w:rsid w:val="007756A1"/>
    <w:rsid w:val="00776080"/>
    <w:rsid w:val="0077753A"/>
    <w:rsid w:val="00777B23"/>
    <w:rsid w:val="00777C4B"/>
    <w:rsid w:val="007812BC"/>
    <w:rsid w:val="0078155F"/>
    <w:rsid w:val="00782BBB"/>
    <w:rsid w:val="00783314"/>
    <w:rsid w:val="00783556"/>
    <w:rsid w:val="00786609"/>
    <w:rsid w:val="00786FAB"/>
    <w:rsid w:val="00787675"/>
    <w:rsid w:val="00787E0A"/>
    <w:rsid w:val="007907E9"/>
    <w:rsid w:val="00790B68"/>
    <w:rsid w:val="00790E5B"/>
    <w:rsid w:val="007923A6"/>
    <w:rsid w:val="00792B54"/>
    <w:rsid w:val="0079384E"/>
    <w:rsid w:val="00793B13"/>
    <w:rsid w:val="00794006"/>
    <w:rsid w:val="00794E97"/>
    <w:rsid w:val="00795629"/>
    <w:rsid w:val="007956D5"/>
    <w:rsid w:val="00795A24"/>
    <w:rsid w:val="0079644E"/>
    <w:rsid w:val="007966DB"/>
    <w:rsid w:val="0079753B"/>
    <w:rsid w:val="00797617"/>
    <w:rsid w:val="00797EEA"/>
    <w:rsid w:val="007A01CE"/>
    <w:rsid w:val="007A17BC"/>
    <w:rsid w:val="007A2C20"/>
    <w:rsid w:val="007A37A0"/>
    <w:rsid w:val="007A386C"/>
    <w:rsid w:val="007A4448"/>
    <w:rsid w:val="007A51A5"/>
    <w:rsid w:val="007A6117"/>
    <w:rsid w:val="007A67A4"/>
    <w:rsid w:val="007A7B7C"/>
    <w:rsid w:val="007A7D64"/>
    <w:rsid w:val="007B009A"/>
    <w:rsid w:val="007B0620"/>
    <w:rsid w:val="007B1D46"/>
    <w:rsid w:val="007B2EA9"/>
    <w:rsid w:val="007B34A1"/>
    <w:rsid w:val="007B3BFA"/>
    <w:rsid w:val="007B4795"/>
    <w:rsid w:val="007B5578"/>
    <w:rsid w:val="007B567A"/>
    <w:rsid w:val="007B61D6"/>
    <w:rsid w:val="007B6BE2"/>
    <w:rsid w:val="007B77A9"/>
    <w:rsid w:val="007B7D16"/>
    <w:rsid w:val="007C015B"/>
    <w:rsid w:val="007C0308"/>
    <w:rsid w:val="007C06BF"/>
    <w:rsid w:val="007C0F91"/>
    <w:rsid w:val="007C103D"/>
    <w:rsid w:val="007C3814"/>
    <w:rsid w:val="007C385C"/>
    <w:rsid w:val="007C3A28"/>
    <w:rsid w:val="007C3BBE"/>
    <w:rsid w:val="007C3C8D"/>
    <w:rsid w:val="007C40A4"/>
    <w:rsid w:val="007C4AD2"/>
    <w:rsid w:val="007C5164"/>
    <w:rsid w:val="007C5AD6"/>
    <w:rsid w:val="007C5DFF"/>
    <w:rsid w:val="007C6FCC"/>
    <w:rsid w:val="007C72D8"/>
    <w:rsid w:val="007C7331"/>
    <w:rsid w:val="007D04DF"/>
    <w:rsid w:val="007D21B3"/>
    <w:rsid w:val="007D24BE"/>
    <w:rsid w:val="007D2911"/>
    <w:rsid w:val="007D2B98"/>
    <w:rsid w:val="007D3242"/>
    <w:rsid w:val="007D3718"/>
    <w:rsid w:val="007D3BC5"/>
    <w:rsid w:val="007D4966"/>
    <w:rsid w:val="007D4C23"/>
    <w:rsid w:val="007D4ECD"/>
    <w:rsid w:val="007D6AC6"/>
    <w:rsid w:val="007D6B90"/>
    <w:rsid w:val="007D79AA"/>
    <w:rsid w:val="007E0F2B"/>
    <w:rsid w:val="007E14A7"/>
    <w:rsid w:val="007E187D"/>
    <w:rsid w:val="007E2246"/>
    <w:rsid w:val="007E2937"/>
    <w:rsid w:val="007E2CC1"/>
    <w:rsid w:val="007E324F"/>
    <w:rsid w:val="007E3855"/>
    <w:rsid w:val="007E41BB"/>
    <w:rsid w:val="007E4E33"/>
    <w:rsid w:val="007E57EC"/>
    <w:rsid w:val="007E7561"/>
    <w:rsid w:val="007E75D5"/>
    <w:rsid w:val="007E7D57"/>
    <w:rsid w:val="007E7E27"/>
    <w:rsid w:val="007E7E9D"/>
    <w:rsid w:val="007F0606"/>
    <w:rsid w:val="007F0E50"/>
    <w:rsid w:val="007F147C"/>
    <w:rsid w:val="007F1C45"/>
    <w:rsid w:val="007F2A26"/>
    <w:rsid w:val="007F2C82"/>
    <w:rsid w:val="007F2DF2"/>
    <w:rsid w:val="007F2FC8"/>
    <w:rsid w:val="007F4013"/>
    <w:rsid w:val="007F620B"/>
    <w:rsid w:val="007F622A"/>
    <w:rsid w:val="007F6688"/>
    <w:rsid w:val="007F6FEF"/>
    <w:rsid w:val="007F73B2"/>
    <w:rsid w:val="00800791"/>
    <w:rsid w:val="00800935"/>
    <w:rsid w:val="00801F0C"/>
    <w:rsid w:val="008025B2"/>
    <w:rsid w:val="00802CBA"/>
    <w:rsid w:val="00803A08"/>
    <w:rsid w:val="00803A84"/>
    <w:rsid w:val="008042B0"/>
    <w:rsid w:val="00804D24"/>
    <w:rsid w:val="00804F0B"/>
    <w:rsid w:val="00805AE3"/>
    <w:rsid w:val="008071F5"/>
    <w:rsid w:val="008078AC"/>
    <w:rsid w:val="00810256"/>
    <w:rsid w:val="0081078E"/>
    <w:rsid w:val="008134A6"/>
    <w:rsid w:val="0081511F"/>
    <w:rsid w:val="00815798"/>
    <w:rsid w:val="00815BED"/>
    <w:rsid w:val="00815F32"/>
    <w:rsid w:val="00816D19"/>
    <w:rsid w:val="00817897"/>
    <w:rsid w:val="00817A08"/>
    <w:rsid w:val="00822577"/>
    <w:rsid w:val="0082278F"/>
    <w:rsid w:val="00822C2D"/>
    <w:rsid w:val="00823B59"/>
    <w:rsid w:val="00826432"/>
    <w:rsid w:val="00826D04"/>
    <w:rsid w:val="00826EB0"/>
    <w:rsid w:val="008272F8"/>
    <w:rsid w:val="00827FAE"/>
    <w:rsid w:val="00830676"/>
    <w:rsid w:val="008306A3"/>
    <w:rsid w:val="008328E9"/>
    <w:rsid w:val="00832B5F"/>
    <w:rsid w:val="008348DF"/>
    <w:rsid w:val="0083645C"/>
    <w:rsid w:val="008366C8"/>
    <w:rsid w:val="00837473"/>
    <w:rsid w:val="008377FF"/>
    <w:rsid w:val="00837A9E"/>
    <w:rsid w:val="00837AC5"/>
    <w:rsid w:val="00837DAD"/>
    <w:rsid w:val="00840DB0"/>
    <w:rsid w:val="008413BC"/>
    <w:rsid w:val="00841C52"/>
    <w:rsid w:val="00843116"/>
    <w:rsid w:val="00843FD4"/>
    <w:rsid w:val="00844422"/>
    <w:rsid w:val="0084504D"/>
    <w:rsid w:val="008460F2"/>
    <w:rsid w:val="00847840"/>
    <w:rsid w:val="008478C3"/>
    <w:rsid w:val="00847B5F"/>
    <w:rsid w:val="008505A1"/>
    <w:rsid w:val="00850696"/>
    <w:rsid w:val="00852621"/>
    <w:rsid w:val="00852ACD"/>
    <w:rsid w:val="008530C2"/>
    <w:rsid w:val="008543F7"/>
    <w:rsid w:val="00855E4F"/>
    <w:rsid w:val="008562BB"/>
    <w:rsid w:val="008564A6"/>
    <w:rsid w:val="008565CD"/>
    <w:rsid w:val="008573E7"/>
    <w:rsid w:val="00860B8B"/>
    <w:rsid w:val="00860CC7"/>
    <w:rsid w:val="008611DA"/>
    <w:rsid w:val="0086135E"/>
    <w:rsid w:val="00861406"/>
    <w:rsid w:val="00862F6C"/>
    <w:rsid w:val="008641B0"/>
    <w:rsid w:val="00865228"/>
    <w:rsid w:val="008656F9"/>
    <w:rsid w:val="00866BE7"/>
    <w:rsid w:val="0086774D"/>
    <w:rsid w:val="00867EB9"/>
    <w:rsid w:val="0087026B"/>
    <w:rsid w:val="00870411"/>
    <w:rsid w:val="0087148A"/>
    <w:rsid w:val="00873C76"/>
    <w:rsid w:val="00874551"/>
    <w:rsid w:val="00874E07"/>
    <w:rsid w:val="00875673"/>
    <w:rsid w:val="00875AEC"/>
    <w:rsid w:val="00875FB3"/>
    <w:rsid w:val="00876310"/>
    <w:rsid w:val="00876479"/>
    <w:rsid w:val="00877346"/>
    <w:rsid w:val="00880033"/>
    <w:rsid w:val="008801FF"/>
    <w:rsid w:val="00880B65"/>
    <w:rsid w:val="00880E93"/>
    <w:rsid w:val="008824ED"/>
    <w:rsid w:val="008829A6"/>
    <w:rsid w:val="008829BF"/>
    <w:rsid w:val="00883AE8"/>
    <w:rsid w:val="0088418C"/>
    <w:rsid w:val="0088447B"/>
    <w:rsid w:val="00884E42"/>
    <w:rsid w:val="00884F28"/>
    <w:rsid w:val="008873A7"/>
    <w:rsid w:val="00887866"/>
    <w:rsid w:val="00887FD7"/>
    <w:rsid w:val="00891595"/>
    <w:rsid w:val="008918E4"/>
    <w:rsid w:val="00892DA6"/>
    <w:rsid w:val="0089312E"/>
    <w:rsid w:val="008931AD"/>
    <w:rsid w:val="008935D0"/>
    <w:rsid w:val="00893B28"/>
    <w:rsid w:val="00893DEC"/>
    <w:rsid w:val="00893E01"/>
    <w:rsid w:val="008946B8"/>
    <w:rsid w:val="00894C1E"/>
    <w:rsid w:val="00894DD1"/>
    <w:rsid w:val="00895C7D"/>
    <w:rsid w:val="00895DA0"/>
    <w:rsid w:val="00896902"/>
    <w:rsid w:val="008A07E9"/>
    <w:rsid w:val="008A093F"/>
    <w:rsid w:val="008A1053"/>
    <w:rsid w:val="008A1CF3"/>
    <w:rsid w:val="008A3D99"/>
    <w:rsid w:val="008A4CC8"/>
    <w:rsid w:val="008A6488"/>
    <w:rsid w:val="008A6E43"/>
    <w:rsid w:val="008B065A"/>
    <w:rsid w:val="008B0895"/>
    <w:rsid w:val="008B08D2"/>
    <w:rsid w:val="008B08FA"/>
    <w:rsid w:val="008B09B7"/>
    <w:rsid w:val="008B0A7C"/>
    <w:rsid w:val="008B0C71"/>
    <w:rsid w:val="008B1658"/>
    <w:rsid w:val="008B24C8"/>
    <w:rsid w:val="008B2C7A"/>
    <w:rsid w:val="008B374C"/>
    <w:rsid w:val="008B3A27"/>
    <w:rsid w:val="008B4254"/>
    <w:rsid w:val="008B69E5"/>
    <w:rsid w:val="008B737C"/>
    <w:rsid w:val="008C0F98"/>
    <w:rsid w:val="008C2073"/>
    <w:rsid w:val="008C30C9"/>
    <w:rsid w:val="008C379F"/>
    <w:rsid w:val="008C5E2F"/>
    <w:rsid w:val="008C6821"/>
    <w:rsid w:val="008C6AEA"/>
    <w:rsid w:val="008D067B"/>
    <w:rsid w:val="008D0BD1"/>
    <w:rsid w:val="008D11B2"/>
    <w:rsid w:val="008D24B6"/>
    <w:rsid w:val="008D2868"/>
    <w:rsid w:val="008D301D"/>
    <w:rsid w:val="008D3211"/>
    <w:rsid w:val="008D391E"/>
    <w:rsid w:val="008D3C6C"/>
    <w:rsid w:val="008D47ED"/>
    <w:rsid w:val="008D4D1F"/>
    <w:rsid w:val="008D5670"/>
    <w:rsid w:val="008D698B"/>
    <w:rsid w:val="008E0356"/>
    <w:rsid w:val="008E0BD9"/>
    <w:rsid w:val="008E0C78"/>
    <w:rsid w:val="008E11A3"/>
    <w:rsid w:val="008E1C32"/>
    <w:rsid w:val="008E23DF"/>
    <w:rsid w:val="008E2A35"/>
    <w:rsid w:val="008E3333"/>
    <w:rsid w:val="008E3A31"/>
    <w:rsid w:val="008E4457"/>
    <w:rsid w:val="008E46BA"/>
    <w:rsid w:val="008E4CE9"/>
    <w:rsid w:val="008E5BC5"/>
    <w:rsid w:val="008E658C"/>
    <w:rsid w:val="008E7D4B"/>
    <w:rsid w:val="008F041D"/>
    <w:rsid w:val="008F09A6"/>
    <w:rsid w:val="008F32E4"/>
    <w:rsid w:val="008F390E"/>
    <w:rsid w:val="008F4918"/>
    <w:rsid w:val="008F54A7"/>
    <w:rsid w:val="008F60D8"/>
    <w:rsid w:val="008F6A4E"/>
    <w:rsid w:val="008F6D85"/>
    <w:rsid w:val="008F734B"/>
    <w:rsid w:val="008F7E53"/>
    <w:rsid w:val="00900496"/>
    <w:rsid w:val="009004DC"/>
    <w:rsid w:val="00900550"/>
    <w:rsid w:val="009016B8"/>
    <w:rsid w:val="00901FE5"/>
    <w:rsid w:val="00902B7B"/>
    <w:rsid w:val="00902CF7"/>
    <w:rsid w:val="009041FC"/>
    <w:rsid w:val="00905110"/>
    <w:rsid w:val="00906207"/>
    <w:rsid w:val="00907995"/>
    <w:rsid w:val="009102E2"/>
    <w:rsid w:val="0091103E"/>
    <w:rsid w:val="009112BF"/>
    <w:rsid w:val="00911B52"/>
    <w:rsid w:val="00911DEC"/>
    <w:rsid w:val="009127C9"/>
    <w:rsid w:val="00912C6E"/>
    <w:rsid w:val="00912CEC"/>
    <w:rsid w:val="009132D4"/>
    <w:rsid w:val="00913F66"/>
    <w:rsid w:val="009142F0"/>
    <w:rsid w:val="00915480"/>
    <w:rsid w:val="00916237"/>
    <w:rsid w:val="00916409"/>
    <w:rsid w:val="0091671D"/>
    <w:rsid w:val="009170E8"/>
    <w:rsid w:val="009175E8"/>
    <w:rsid w:val="009176B0"/>
    <w:rsid w:val="00917C66"/>
    <w:rsid w:val="009217CF"/>
    <w:rsid w:val="00922FE0"/>
    <w:rsid w:val="00925EDF"/>
    <w:rsid w:val="0092646C"/>
    <w:rsid w:val="009272A8"/>
    <w:rsid w:val="00930214"/>
    <w:rsid w:val="00930520"/>
    <w:rsid w:val="009307B9"/>
    <w:rsid w:val="009308A7"/>
    <w:rsid w:val="00932391"/>
    <w:rsid w:val="009332B9"/>
    <w:rsid w:val="00933B40"/>
    <w:rsid w:val="00936995"/>
    <w:rsid w:val="00936A8C"/>
    <w:rsid w:val="009373CE"/>
    <w:rsid w:val="00937686"/>
    <w:rsid w:val="00940169"/>
    <w:rsid w:val="00940186"/>
    <w:rsid w:val="00940DB4"/>
    <w:rsid w:val="009413C4"/>
    <w:rsid w:val="00941510"/>
    <w:rsid w:val="00941E0C"/>
    <w:rsid w:val="00943C97"/>
    <w:rsid w:val="00943CA3"/>
    <w:rsid w:val="00944A66"/>
    <w:rsid w:val="0094511F"/>
    <w:rsid w:val="009505B0"/>
    <w:rsid w:val="00951148"/>
    <w:rsid w:val="00951CE9"/>
    <w:rsid w:val="00952C08"/>
    <w:rsid w:val="00953094"/>
    <w:rsid w:val="00953103"/>
    <w:rsid w:val="009537B1"/>
    <w:rsid w:val="00954456"/>
    <w:rsid w:val="00955FD7"/>
    <w:rsid w:val="009563F1"/>
    <w:rsid w:val="009625B4"/>
    <w:rsid w:val="009627D2"/>
    <w:rsid w:val="009628A6"/>
    <w:rsid w:val="009629B1"/>
    <w:rsid w:val="00964AC7"/>
    <w:rsid w:val="00964B75"/>
    <w:rsid w:val="00966D5F"/>
    <w:rsid w:val="00967EAC"/>
    <w:rsid w:val="0097042C"/>
    <w:rsid w:val="00970A2D"/>
    <w:rsid w:val="00970FC9"/>
    <w:rsid w:val="009720CA"/>
    <w:rsid w:val="009728E9"/>
    <w:rsid w:val="00973F47"/>
    <w:rsid w:val="009744AF"/>
    <w:rsid w:val="00974940"/>
    <w:rsid w:val="00974B0C"/>
    <w:rsid w:val="00974BDB"/>
    <w:rsid w:val="00976C8D"/>
    <w:rsid w:val="00980825"/>
    <w:rsid w:val="00980953"/>
    <w:rsid w:val="00981275"/>
    <w:rsid w:val="00981DA5"/>
    <w:rsid w:val="00982CCA"/>
    <w:rsid w:val="00983494"/>
    <w:rsid w:val="00983783"/>
    <w:rsid w:val="00983B51"/>
    <w:rsid w:val="00983B56"/>
    <w:rsid w:val="00984C4F"/>
    <w:rsid w:val="0098543D"/>
    <w:rsid w:val="009865CB"/>
    <w:rsid w:val="00987278"/>
    <w:rsid w:val="00987FC9"/>
    <w:rsid w:val="00990A26"/>
    <w:rsid w:val="00991208"/>
    <w:rsid w:val="00991A8E"/>
    <w:rsid w:val="00991CA7"/>
    <w:rsid w:val="00992209"/>
    <w:rsid w:val="009923AF"/>
    <w:rsid w:val="00993CDE"/>
    <w:rsid w:val="00994E1E"/>
    <w:rsid w:val="009958CC"/>
    <w:rsid w:val="00996243"/>
    <w:rsid w:val="009962F8"/>
    <w:rsid w:val="00996529"/>
    <w:rsid w:val="00997BF0"/>
    <w:rsid w:val="009A0259"/>
    <w:rsid w:val="009A0859"/>
    <w:rsid w:val="009A3001"/>
    <w:rsid w:val="009A3541"/>
    <w:rsid w:val="009A475B"/>
    <w:rsid w:val="009A6FD1"/>
    <w:rsid w:val="009B00A3"/>
    <w:rsid w:val="009B0234"/>
    <w:rsid w:val="009B3085"/>
    <w:rsid w:val="009B3EA7"/>
    <w:rsid w:val="009B52E4"/>
    <w:rsid w:val="009B549D"/>
    <w:rsid w:val="009B54C1"/>
    <w:rsid w:val="009B55CA"/>
    <w:rsid w:val="009B5C22"/>
    <w:rsid w:val="009B658B"/>
    <w:rsid w:val="009C0115"/>
    <w:rsid w:val="009C1544"/>
    <w:rsid w:val="009C4645"/>
    <w:rsid w:val="009C5EB3"/>
    <w:rsid w:val="009C6F53"/>
    <w:rsid w:val="009C7056"/>
    <w:rsid w:val="009C71CA"/>
    <w:rsid w:val="009C7C0E"/>
    <w:rsid w:val="009D1EB8"/>
    <w:rsid w:val="009D2680"/>
    <w:rsid w:val="009D3F7D"/>
    <w:rsid w:val="009D44A1"/>
    <w:rsid w:val="009D4E5C"/>
    <w:rsid w:val="009D5790"/>
    <w:rsid w:val="009D5B06"/>
    <w:rsid w:val="009D5D31"/>
    <w:rsid w:val="009D5E1F"/>
    <w:rsid w:val="009D65DF"/>
    <w:rsid w:val="009D663D"/>
    <w:rsid w:val="009D6E37"/>
    <w:rsid w:val="009D744D"/>
    <w:rsid w:val="009D7BD1"/>
    <w:rsid w:val="009E0838"/>
    <w:rsid w:val="009E11A5"/>
    <w:rsid w:val="009E1E37"/>
    <w:rsid w:val="009E1F1F"/>
    <w:rsid w:val="009E262D"/>
    <w:rsid w:val="009E2811"/>
    <w:rsid w:val="009E3003"/>
    <w:rsid w:val="009E327A"/>
    <w:rsid w:val="009E399B"/>
    <w:rsid w:val="009E40AC"/>
    <w:rsid w:val="009E4981"/>
    <w:rsid w:val="009E4F53"/>
    <w:rsid w:val="009E51E6"/>
    <w:rsid w:val="009E5637"/>
    <w:rsid w:val="009E57E6"/>
    <w:rsid w:val="009E58A2"/>
    <w:rsid w:val="009E5B29"/>
    <w:rsid w:val="009E79D4"/>
    <w:rsid w:val="009F0644"/>
    <w:rsid w:val="009F10C2"/>
    <w:rsid w:val="009F2909"/>
    <w:rsid w:val="009F2F7C"/>
    <w:rsid w:val="009F3430"/>
    <w:rsid w:val="009F4193"/>
    <w:rsid w:val="009F4F56"/>
    <w:rsid w:val="009F4FC3"/>
    <w:rsid w:val="009F6099"/>
    <w:rsid w:val="009F6C43"/>
    <w:rsid w:val="009F6D2A"/>
    <w:rsid w:val="00A01089"/>
    <w:rsid w:val="00A03085"/>
    <w:rsid w:val="00A03825"/>
    <w:rsid w:val="00A03C1C"/>
    <w:rsid w:val="00A03F1A"/>
    <w:rsid w:val="00A07882"/>
    <w:rsid w:val="00A07AC4"/>
    <w:rsid w:val="00A07AEE"/>
    <w:rsid w:val="00A10344"/>
    <w:rsid w:val="00A10DB3"/>
    <w:rsid w:val="00A11F38"/>
    <w:rsid w:val="00A12948"/>
    <w:rsid w:val="00A12995"/>
    <w:rsid w:val="00A12F9A"/>
    <w:rsid w:val="00A13BC1"/>
    <w:rsid w:val="00A149DC"/>
    <w:rsid w:val="00A14C0D"/>
    <w:rsid w:val="00A14F9F"/>
    <w:rsid w:val="00A15063"/>
    <w:rsid w:val="00A150D1"/>
    <w:rsid w:val="00A16373"/>
    <w:rsid w:val="00A16D1A"/>
    <w:rsid w:val="00A17276"/>
    <w:rsid w:val="00A173B2"/>
    <w:rsid w:val="00A1780A"/>
    <w:rsid w:val="00A17FF9"/>
    <w:rsid w:val="00A20169"/>
    <w:rsid w:val="00A20CFB"/>
    <w:rsid w:val="00A22477"/>
    <w:rsid w:val="00A2435A"/>
    <w:rsid w:val="00A24621"/>
    <w:rsid w:val="00A250B9"/>
    <w:rsid w:val="00A2659B"/>
    <w:rsid w:val="00A26D86"/>
    <w:rsid w:val="00A27E57"/>
    <w:rsid w:val="00A323F5"/>
    <w:rsid w:val="00A33D9A"/>
    <w:rsid w:val="00A343D9"/>
    <w:rsid w:val="00A3482C"/>
    <w:rsid w:val="00A35315"/>
    <w:rsid w:val="00A3683E"/>
    <w:rsid w:val="00A3685C"/>
    <w:rsid w:val="00A3736C"/>
    <w:rsid w:val="00A3745F"/>
    <w:rsid w:val="00A4204D"/>
    <w:rsid w:val="00A436B5"/>
    <w:rsid w:val="00A437E5"/>
    <w:rsid w:val="00A43B35"/>
    <w:rsid w:val="00A44310"/>
    <w:rsid w:val="00A4655A"/>
    <w:rsid w:val="00A4727D"/>
    <w:rsid w:val="00A47EFE"/>
    <w:rsid w:val="00A507F9"/>
    <w:rsid w:val="00A50DA8"/>
    <w:rsid w:val="00A527C0"/>
    <w:rsid w:val="00A52B0F"/>
    <w:rsid w:val="00A53F01"/>
    <w:rsid w:val="00A53F3C"/>
    <w:rsid w:val="00A54964"/>
    <w:rsid w:val="00A55E81"/>
    <w:rsid w:val="00A561D3"/>
    <w:rsid w:val="00A6089F"/>
    <w:rsid w:val="00A61B07"/>
    <w:rsid w:val="00A622E7"/>
    <w:rsid w:val="00A62EE1"/>
    <w:rsid w:val="00A63145"/>
    <w:rsid w:val="00A637C5"/>
    <w:rsid w:val="00A63EEE"/>
    <w:rsid w:val="00A648B2"/>
    <w:rsid w:val="00A64925"/>
    <w:rsid w:val="00A654B5"/>
    <w:rsid w:val="00A66D52"/>
    <w:rsid w:val="00A67152"/>
    <w:rsid w:val="00A7049D"/>
    <w:rsid w:val="00A704A0"/>
    <w:rsid w:val="00A74074"/>
    <w:rsid w:val="00A75377"/>
    <w:rsid w:val="00A75E44"/>
    <w:rsid w:val="00A773D9"/>
    <w:rsid w:val="00A77433"/>
    <w:rsid w:val="00A77EBF"/>
    <w:rsid w:val="00A802C1"/>
    <w:rsid w:val="00A80DB1"/>
    <w:rsid w:val="00A829A9"/>
    <w:rsid w:val="00A829C5"/>
    <w:rsid w:val="00A83932"/>
    <w:rsid w:val="00A839E7"/>
    <w:rsid w:val="00A83BD0"/>
    <w:rsid w:val="00A84299"/>
    <w:rsid w:val="00A846F6"/>
    <w:rsid w:val="00A867ED"/>
    <w:rsid w:val="00A86E86"/>
    <w:rsid w:val="00A86FB1"/>
    <w:rsid w:val="00A87888"/>
    <w:rsid w:val="00A90226"/>
    <w:rsid w:val="00A9072A"/>
    <w:rsid w:val="00A914C6"/>
    <w:rsid w:val="00A91C30"/>
    <w:rsid w:val="00A923FE"/>
    <w:rsid w:val="00A9332F"/>
    <w:rsid w:val="00A97F8C"/>
    <w:rsid w:val="00AA0F84"/>
    <w:rsid w:val="00AA14EE"/>
    <w:rsid w:val="00AA1E9E"/>
    <w:rsid w:val="00AA22EB"/>
    <w:rsid w:val="00AA4699"/>
    <w:rsid w:val="00AA4891"/>
    <w:rsid w:val="00AA4B40"/>
    <w:rsid w:val="00AA4B78"/>
    <w:rsid w:val="00AA51CB"/>
    <w:rsid w:val="00AA551C"/>
    <w:rsid w:val="00AA55B8"/>
    <w:rsid w:val="00AA59C0"/>
    <w:rsid w:val="00AA5B07"/>
    <w:rsid w:val="00AB0505"/>
    <w:rsid w:val="00AB05AA"/>
    <w:rsid w:val="00AB1D3C"/>
    <w:rsid w:val="00AB23EB"/>
    <w:rsid w:val="00AB4CC2"/>
    <w:rsid w:val="00AB5509"/>
    <w:rsid w:val="00AB5993"/>
    <w:rsid w:val="00AB6D09"/>
    <w:rsid w:val="00AB6D8A"/>
    <w:rsid w:val="00AB7022"/>
    <w:rsid w:val="00AC0CBD"/>
    <w:rsid w:val="00AC0EA2"/>
    <w:rsid w:val="00AC169F"/>
    <w:rsid w:val="00AC1AFC"/>
    <w:rsid w:val="00AC2ADC"/>
    <w:rsid w:val="00AC4365"/>
    <w:rsid w:val="00AC4A0E"/>
    <w:rsid w:val="00AC5884"/>
    <w:rsid w:val="00AC72B4"/>
    <w:rsid w:val="00AC7728"/>
    <w:rsid w:val="00AD2F39"/>
    <w:rsid w:val="00AD38E4"/>
    <w:rsid w:val="00AD5E1D"/>
    <w:rsid w:val="00AD612F"/>
    <w:rsid w:val="00AD743B"/>
    <w:rsid w:val="00AE009C"/>
    <w:rsid w:val="00AE04A5"/>
    <w:rsid w:val="00AE2D84"/>
    <w:rsid w:val="00AE400C"/>
    <w:rsid w:val="00AE4BB9"/>
    <w:rsid w:val="00AE4D09"/>
    <w:rsid w:val="00AE4E5E"/>
    <w:rsid w:val="00AE54B4"/>
    <w:rsid w:val="00AE5552"/>
    <w:rsid w:val="00AE63AF"/>
    <w:rsid w:val="00AE6668"/>
    <w:rsid w:val="00AE6754"/>
    <w:rsid w:val="00AE6E7B"/>
    <w:rsid w:val="00AF0313"/>
    <w:rsid w:val="00AF1B76"/>
    <w:rsid w:val="00AF4511"/>
    <w:rsid w:val="00AF4ED8"/>
    <w:rsid w:val="00AF5AAD"/>
    <w:rsid w:val="00AF5D0F"/>
    <w:rsid w:val="00AF5D37"/>
    <w:rsid w:val="00AF604F"/>
    <w:rsid w:val="00AF6411"/>
    <w:rsid w:val="00AF698E"/>
    <w:rsid w:val="00AF69AC"/>
    <w:rsid w:val="00AF7139"/>
    <w:rsid w:val="00AF76CD"/>
    <w:rsid w:val="00B00602"/>
    <w:rsid w:val="00B00CEC"/>
    <w:rsid w:val="00B01252"/>
    <w:rsid w:val="00B016AE"/>
    <w:rsid w:val="00B01BB1"/>
    <w:rsid w:val="00B02D86"/>
    <w:rsid w:val="00B0343C"/>
    <w:rsid w:val="00B03A5E"/>
    <w:rsid w:val="00B03AB4"/>
    <w:rsid w:val="00B03C2A"/>
    <w:rsid w:val="00B03CC7"/>
    <w:rsid w:val="00B03D64"/>
    <w:rsid w:val="00B046BF"/>
    <w:rsid w:val="00B05E2D"/>
    <w:rsid w:val="00B06CB9"/>
    <w:rsid w:val="00B06F1E"/>
    <w:rsid w:val="00B101CA"/>
    <w:rsid w:val="00B107AC"/>
    <w:rsid w:val="00B10C0D"/>
    <w:rsid w:val="00B10CDD"/>
    <w:rsid w:val="00B11E27"/>
    <w:rsid w:val="00B14A51"/>
    <w:rsid w:val="00B14B4B"/>
    <w:rsid w:val="00B154ED"/>
    <w:rsid w:val="00B15A86"/>
    <w:rsid w:val="00B1788F"/>
    <w:rsid w:val="00B205C8"/>
    <w:rsid w:val="00B20EAE"/>
    <w:rsid w:val="00B212CB"/>
    <w:rsid w:val="00B21E6B"/>
    <w:rsid w:val="00B22316"/>
    <w:rsid w:val="00B22666"/>
    <w:rsid w:val="00B22E35"/>
    <w:rsid w:val="00B22E8C"/>
    <w:rsid w:val="00B24510"/>
    <w:rsid w:val="00B2466F"/>
    <w:rsid w:val="00B24986"/>
    <w:rsid w:val="00B249C3"/>
    <w:rsid w:val="00B2525F"/>
    <w:rsid w:val="00B252F1"/>
    <w:rsid w:val="00B25C11"/>
    <w:rsid w:val="00B263D5"/>
    <w:rsid w:val="00B267F0"/>
    <w:rsid w:val="00B300F8"/>
    <w:rsid w:val="00B3011D"/>
    <w:rsid w:val="00B31990"/>
    <w:rsid w:val="00B31E9F"/>
    <w:rsid w:val="00B31FB3"/>
    <w:rsid w:val="00B31FD5"/>
    <w:rsid w:val="00B323A7"/>
    <w:rsid w:val="00B32AE9"/>
    <w:rsid w:val="00B32F60"/>
    <w:rsid w:val="00B33972"/>
    <w:rsid w:val="00B344AA"/>
    <w:rsid w:val="00B360EA"/>
    <w:rsid w:val="00B3689B"/>
    <w:rsid w:val="00B37CEA"/>
    <w:rsid w:val="00B41F67"/>
    <w:rsid w:val="00B41FB5"/>
    <w:rsid w:val="00B4277B"/>
    <w:rsid w:val="00B42D4E"/>
    <w:rsid w:val="00B42EFF"/>
    <w:rsid w:val="00B450D8"/>
    <w:rsid w:val="00B45F48"/>
    <w:rsid w:val="00B4623E"/>
    <w:rsid w:val="00B471E1"/>
    <w:rsid w:val="00B47F51"/>
    <w:rsid w:val="00B50A96"/>
    <w:rsid w:val="00B52595"/>
    <w:rsid w:val="00B52F77"/>
    <w:rsid w:val="00B55612"/>
    <w:rsid w:val="00B55CE5"/>
    <w:rsid w:val="00B560A3"/>
    <w:rsid w:val="00B5614E"/>
    <w:rsid w:val="00B56F6E"/>
    <w:rsid w:val="00B608B2"/>
    <w:rsid w:val="00B60BBC"/>
    <w:rsid w:val="00B6152C"/>
    <w:rsid w:val="00B62718"/>
    <w:rsid w:val="00B63177"/>
    <w:rsid w:val="00B6330C"/>
    <w:rsid w:val="00B64420"/>
    <w:rsid w:val="00B64422"/>
    <w:rsid w:val="00B65413"/>
    <w:rsid w:val="00B6577D"/>
    <w:rsid w:val="00B65A6C"/>
    <w:rsid w:val="00B66804"/>
    <w:rsid w:val="00B66F36"/>
    <w:rsid w:val="00B66F66"/>
    <w:rsid w:val="00B67CB5"/>
    <w:rsid w:val="00B70D28"/>
    <w:rsid w:val="00B715BF"/>
    <w:rsid w:val="00B71A40"/>
    <w:rsid w:val="00B71FB8"/>
    <w:rsid w:val="00B72EC5"/>
    <w:rsid w:val="00B735C7"/>
    <w:rsid w:val="00B7392B"/>
    <w:rsid w:val="00B76C57"/>
    <w:rsid w:val="00B801CD"/>
    <w:rsid w:val="00B808B5"/>
    <w:rsid w:val="00B80E4C"/>
    <w:rsid w:val="00B8225C"/>
    <w:rsid w:val="00B840FB"/>
    <w:rsid w:val="00B8468B"/>
    <w:rsid w:val="00B85230"/>
    <w:rsid w:val="00B871F1"/>
    <w:rsid w:val="00B90B61"/>
    <w:rsid w:val="00B90D04"/>
    <w:rsid w:val="00B91876"/>
    <w:rsid w:val="00B91D03"/>
    <w:rsid w:val="00B9222A"/>
    <w:rsid w:val="00B924AB"/>
    <w:rsid w:val="00B9336B"/>
    <w:rsid w:val="00B948E0"/>
    <w:rsid w:val="00B95098"/>
    <w:rsid w:val="00B953D6"/>
    <w:rsid w:val="00B95C57"/>
    <w:rsid w:val="00B97260"/>
    <w:rsid w:val="00BA051C"/>
    <w:rsid w:val="00BA1467"/>
    <w:rsid w:val="00BA158E"/>
    <w:rsid w:val="00BA2C37"/>
    <w:rsid w:val="00BA3F6C"/>
    <w:rsid w:val="00BA417E"/>
    <w:rsid w:val="00BA535C"/>
    <w:rsid w:val="00BA5D45"/>
    <w:rsid w:val="00BA5E49"/>
    <w:rsid w:val="00BA6D60"/>
    <w:rsid w:val="00BA756F"/>
    <w:rsid w:val="00BA782D"/>
    <w:rsid w:val="00BB0CED"/>
    <w:rsid w:val="00BB20EC"/>
    <w:rsid w:val="00BB21D8"/>
    <w:rsid w:val="00BB4D78"/>
    <w:rsid w:val="00BB55B8"/>
    <w:rsid w:val="00BB6A05"/>
    <w:rsid w:val="00BB739C"/>
    <w:rsid w:val="00BC0893"/>
    <w:rsid w:val="00BC151E"/>
    <w:rsid w:val="00BC1568"/>
    <w:rsid w:val="00BC2F90"/>
    <w:rsid w:val="00BC33AC"/>
    <w:rsid w:val="00BC403B"/>
    <w:rsid w:val="00BC509C"/>
    <w:rsid w:val="00BC5BF0"/>
    <w:rsid w:val="00BC5D65"/>
    <w:rsid w:val="00BC5D84"/>
    <w:rsid w:val="00BC6110"/>
    <w:rsid w:val="00BC6281"/>
    <w:rsid w:val="00BC67C4"/>
    <w:rsid w:val="00BC6D10"/>
    <w:rsid w:val="00BC6FDB"/>
    <w:rsid w:val="00BC715B"/>
    <w:rsid w:val="00BC74B0"/>
    <w:rsid w:val="00BC763A"/>
    <w:rsid w:val="00BD0F59"/>
    <w:rsid w:val="00BD130F"/>
    <w:rsid w:val="00BD2FFA"/>
    <w:rsid w:val="00BD348D"/>
    <w:rsid w:val="00BD36C5"/>
    <w:rsid w:val="00BD4949"/>
    <w:rsid w:val="00BD6452"/>
    <w:rsid w:val="00BD6CF3"/>
    <w:rsid w:val="00BD6F2B"/>
    <w:rsid w:val="00BD76D7"/>
    <w:rsid w:val="00BD7BE3"/>
    <w:rsid w:val="00BE0085"/>
    <w:rsid w:val="00BE0FA8"/>
    <w:rsid w:val="00BE122B"/>
    <w:rsid w:val="00BE1704"/>
    <w:rsid w:val="00BE2656"/>
    <w:rsid w:val="00BE2BB2"/>
    <w:rsid w:val="00BE4041"/>
    <w:rsid w:val="00BE5202"/>
    <w:rsid w:val="00BE53EB"/>
    <w:rsid w:val="00BF0AA9"/>
    <w:rsid w:val="00BF0CF5"/>
    <w:rsid w:val="00BF22E9"/>
    <w:rsid w:val="00BF4D4E"/>
    <w:rsid w:val="00BF4E36"/>
    <w:rsid w:val="00BF57C8"/>
    <w:rsid w:val="00BF7DCF"/>
    <w:rsid w:val="00C003A1"/>
    <w:rsid w:val="00C00FF3"/>
    <w:rsid w:val="00C01275"/>
    <w:rsid w:val="00C02231"/>
    <w:rsid w:val="00C023F1"/>
    <w:rsid w:val="00C02639"/>
    <w:rsid w:val="00C04B45"/>
    <w:rsid w:val="00C05647"/>
    <w:rsid w:val="00C05B29"/>
    <w:rsid w:val="00C06C3C"/>
    <w:rsid w:val="00C06C4F"/>
    <w:rsid w:val="00C077DA"/>
    <w:rsid w:val="00C07A99"/>
    <w:rsid w:val="00C1187B"/>
    <w:rsid w:val="00C125F4"/>
    <w:rsid w:val="00C12EC3"/>
    <w:rsid w:val="00C140E7"/>
    <w:rsid w:val="00C14939"/>
    <w:rsid w:val="00C14A81"/>
    <w:rsid w:val="00C14D5A"/>
    <w:rsid w:val="00C16867"/>
    <w:rsid w:val="00C16DA8"/>
    <w:rsid w:val="00C1720C"/>
    <w:rsid w:val="00C172BD"/>
    <w:rsid w:val="00C20897"/>
    <w:rsid w:val="00C20982"/>
    <w:rsid w:val="00C2148F"/>
    <w:rsid w:val="00C225A1"/>
    <w:rsid w:val="00C22D88"/>
    <w:rsid w:val="00C23C45"/>
    <w:rsid w:val="00C2597A"/>
    <w:rsid w:val="00C26425"/>
    <w:rsid w:val="00C27844"/>
    <w:rsid w:val="00C27CD7"/>
    <w:rsid w:val="00C300BD"/>
    <w:rsid w:val="00C305C3"/>
    <w:rsid w:val="00C3087D"/>
    <w:rsid w:val="00C30889"/>
    <w:rsid w:val="00C324AD"/>
    <w:rsid w:val="00C32C19"/>
    <w:rsid w:val="00C3476A"/>
    <w:rsid w:val="00C349B7"/>
    <w:rsid w:val="00C349BE"/>
    <w:rsid w:val="00C37819"/>
    <w:rsid w:val="00C401CB"/>
    <w:rsid w:val="00C402BB"/>
    <w:rsid w:val="00C40D32"/>
    <w:rsid w:val="00C419FE"/>
    <w:rsid w:val="00C4276D"/>
    <w:rsid w:val="00C447AA"/>
    <w:rsid w:val="00C44B53"/>
    <w:rsid w:val="00C47A41"/>
    <w:rsid w:val="00C47CED"/>
    <w:rsid w:val="00C50151"/>
    <w:rsid w:val="00C50206"/>
    <w:rsid w:val="00C50623"/>
    <w:rsid w:val="00C50635"/>
    <w:rsid w:val="00C50E7A"/>
    <w:rsid w:val="00C52BCB"/>
    <w:rsid w:val="00C53A73"/>
    <w:rsid w:val="00C54D34"/>
    <w:rsid w:val="00C550C9"/>
    <w:rsid w:val="00C56091"/>
    <w:rsid w:val="00C60578"/>
    <w:rsid w:val="00C6084D"/>
    <w:rsid w:val="00C60C2C"/>
    <w:rsid w:val="00C60E57"/>
    <w:rsid w:val="00C62CD8"/>
    <w:rsid w:val="00C64132"/>
    <w:rsid w:val="00C64FFD"/>
    <w:rsid w:val="00C6554E"/>
    <w:rsid w:val="00C6625F"/>
    <w:rsid w:val="00C66D88"/>
    <w:rsid w:val="00C675FF"/>
    <w:rsid w:val="00C70F21"/>
    <w:rsid w:val="00C70F95"/>
    <w:rsid w:val="00C711B6"/>
    <w:rsid w:val="00C71827"/>
    <w:rsid w:val="00C71D8A"/>
    <w:rsid w:val="00C71F53"/>
    <w:rsid w:val="00C72457"/>
    <w:rsid w:val="00C72A15"/>
    <w:rsid w:val="00C72D1E"/>
    <w:rsid w:val="00C72FCF"/>
    <w:rsid w:val="00C74F4E"/>
    <w:rsid w:val="00C7555A"/>
    <w:rsid w:val="00C75B7F"/>
    <w:rsid w:val="00C764B6"/>
    <w:rsid w:val="00C76A20"/>
    <w:rsid w:val="00C76B6C"/>
    <w:rsid w:val="00C76DCF"/>
    <w:rsid w:val="00C771A5"/>
    <w:rsid w:val="00C77814"/>
    <w:rsid w:val="00C77913"/>
    <w:rsid w:val="00C81705"/>
    <w:rsid w:val="00C8227A"/>
    <w:rsid w:val="00C82F85"/>
    <w:rsid w:val="00C846B8"/>
    <w:rsid w:val="00C84957"/>
    <w:rsid w:val="00C84D47"/>
    <w:rsid w:val="00C84F6D"/>
    <w:rsid w:val="00C85257"/>
    <w:rsid w:val="00C85370"/>
    <w:rsid w:val="00C854F4"/>
    <w:rsid w:val="00C861F7"/>
    <w:rsid w:val="00C862B8"/>
    <w:rsid w:val="00C86FA4"/>
    <w:rsid w:val="00C8786A"/>
    <w:rsid w:val="00C87F7A"/>
    <w:rsid w:val="00C918EA"/>
    <w:rsid w:val="00C92AA9"/>
    <w:rsid w:val="00C92CD5"/>
    <w:rsid w:val="00C93351"/>
    <w:rsid w:val="00C941FD"/>
    <w:rsid w:val="00C9472F"/>
    <w:rsid w:val="00C94C31"/>
    <w:rsid w:val="00C95685"/>
    <w:rsid w:val="00C96A54"/>
    <w:rsid w:val="00C96FDF"/>
    <w:rsid w:val="00CA05A5"/>
    <w:rsid w:val="00CA16EB"/>
    <w:rsid w:val="00CA3F6F"/>
    <w:rsid w:val="00CA4119"/>
    <w:rsid w:val="00CA4263"/>
    <w:rsid w:val="00CA5DC5"/>
    <w:rsid w:val="00CA5E5F"/>
    <w:rsid w:val="00CA77B3"/>
    <w:rsid w:val="00CA7D9B"/>
    <w:rsid w:val="00CB009B"/>
    <w:rsid w:val="00CB0C07"/>
    <w:rsid w:val="00CB1EB4"/>
    <w:rsid w:val="00CB2963"/>
    <w:rsid w:val="00CB656B"/>
    <w:rsid w:val="00CB6916"/>
    <w:rsid w:val="00CB6E00"/>
    <w:rsid w:val="00CB71CA"/>
    <w:rsid w:val="00CB78EB"/>
    <w:rsid w:val="00CC0452"/>
    <w:rsid w:val="00CC120E"/>
    <w:rsid w:val="00CC1E8D"/>
    <w:rsid w:val="00CC2364"/>
    <w:rsid w:val="00CC3D5C"/>
    <w:rsid w:val="00CC3E42"/>
    <w:rsid w:val="00CC468C"/>
    <w:rsid w:val="00CC46B0"/>
    <w:rsid w:val="00CC5CF8"/>
    <w:rsid w:val="00CC7E2C"/>
    <w:rsid w:val="00CD0001"/>
    <w:rsid w:val="00CD091E"/>
    <w:rsid w:val="00CD0B15"/>
    <w:rsid w:val="00CD198C"/>
    <w:rsid w:val="00CD3511"/>
    <w:rsid w:val="00CD36DD"/>
    <w:rsid w:val="00CD384A"/>
    <w:rsid w:val="00CD416C"/>
    <w:rsid w:val="00CD468D"/>
    <w:rsid w:val="00CD5538"/>
    <w:rsid w:val="00CD6362"/>
    <w:rsid w:val="00CD6BBC"/>
    <w:rsid w:val="00CD6E21"/>
    <w:rsid w:val="00CD75E1"/>
    <w:rsid w:val="00CD7D24"/>
    <w:rsid w:val="00CD7F1A"/>
    <w:rsid w:val="00CE0801"/>
    <w:rsid w:val="00CE13FB"/>
    <w:rsid w:val="00CE2F2C"/>
    <w:rsid w:val="00CE30FC"/>
    <w:rsid w:val="00CE4EAF"/>
    <w:rsid w:val="00CE64DC"/>
    <w:rsid w:val="00CE6FD0"/>
    <w:rsid w:val="00CE75DE"/>
    <w:rsid w:val="00CE7AD7"/>
    <w:rsid w:val="00CF070E"/>
    <w:rsid w:val="00CF1228"/>
    <w:rsid w:val="00CF1248"/>
    <w:rsid w:val="00CF37DD"/>
    <w:rsid w:val="00CF58CC"/>
    <w:rsid w:val="00CF6354"/>
    <w:rsid w:val="00CF6E54"/>
    <w:rsid w:val="00CF7D5B"/>
    <w:rsid w:val="00D00903"/>
    <w:rsid w:val="00D015D1"/>
    <w:rsid w:val="00D01897"/>
    <w:rsid w:val="00D01A49"/>
    <w:rsid w:val="00D037D4"/>
    <w:rsid w:val="00D03AC4"/>
    <w:rsid w:val="00D04A65"/>
    <w:rsid w:val="00D04D84"/>
    <w:rsid w:val="00D0516E"/>
    <w:rsid w:val="00D05468"/>
    <w:rsid w:val="00D060E6"/>
    <w:rsid w:val="00D06419"/>
    <w:rsid w:val="00D06654"/>
    <w:rsid w:val="00D070C2"/>
    <w:rsid w:val="00D073C7"/>
    <w:rsid w:val="00D106E2"/>
    <w:rsid w:val="00D10FCD"/>
    <w:rsid w:val="00D111DE"/>
    <w:rsid w:val="00D11699"/>
    <w:rsid w:val="00D125DF"/>
    <w:rsid w:val="00D12EDD"/>
    <w:rsid w:val="00D134F5"/>
    <w:rsid w:val="00D13952"/>
    <w:rsid w:val="00D13A63"/>
    <w:rsid w:val="00D15113"/>
    <w:rsid w:val="00D16D7B"/>
    <w:rsid w:val="00D16D96"/>
    <w:rsid w:val="00D1781A"/>
    <w:rsid w:val="00D17A65"/>
    <w:rsid w:val="00D22D05"/>
    <w:rsid w:val="00D2326C"/>
    <w:rsid w:val="00D23B8B"/>
    <w:rsid w:val="00D23FED"/>
    <w:rsid w:val="00D24ED6"/>
    <w:rsid w:val="00D2513B"/>
    <w:rsid w:val="00D2522F"/>
    <w:rsid w:val="00D25592"/>
    <w:rsid w:val="00D2712C"/>
    <w:rsid w:val="00D3060E"/>
    <w:rsid w:val="00D313C8"/>
    <w:rsid w:val="00D31E6A"/>
    <w:rsid w:val="00D31F87"/>
    <w:rsid w:val="00D3213E"/>
    <w:rsid w:val="00D33516"/>
    <w:rsid w:val="00D3435C"/>
    <w:rsid w:val="00D348EA"/>
    <w:rsid w:val="00D373C4"/>
    <w:rsid w:val="00D403FA"/>
    <w:rsid w:val="00D40CB3"/>
    <w:rsid w:val="00D445FF"/>
    <w:rsid w:val="00D44785"/>
    <w:rsid w:val="00D44865"/>
    <w:rsid w:val="00D453C7"/>
    <w:rsid w:val="00D46A6A"/>
    <w:rsid w:val="00D4787D"/>
    <w:rsid w:val="00D50504"/>
    <w:rsid w:val="00D50B38"/>
    <w:rsid w:val="00D516EB"/>
    <w:rsid w:val="00D51A8C"/>
    <w:rsid w:val="00D52257"/>
    <w:rsid w:val="00D53D5A"/>
    <w:rsid w:val="00D53D9C"/>
    <w:rsid w:val="00D53FCB"/>
    <w:rsid w:val="00D54459"/>
    <w:rsid w:val="00D545B5"/>
    <w:rsid w:val="00D55923"/>
    <w:rsid w:val="00D56730"/>
    <w:rsid w:val="00D56755"/>
    <w:rsid w:val="00D60077"/>
    <w:rsid w:val="00D60595"/>
    <w:rsid w:val="00D60607"/>
    <w:rsid w:val="00D60FD9"/>
    <w:rsid w:val="00D6142D"/>
    <w:rsid w:val="00D61B2A"/>
    <w:rsid w:val="00D63506"/>
    <w:rsid w:val="00D639E2"/>
    <w:rsid w:val="00D63DB2"/>
    <w:rsid w:val="00D64812"/>
    <w:rsid w:val="00D66223"/>
    <w:rsid w:val="00D702B4"/>
    <w:rsid w:val="00D706AB"/>
    <w:rsid w:val="00D72D7C"/>
    <w:rsid w:val="00D739D3"/>
    <w:rsid w:val="00D7537D"/>
    <w:rsid w:val="00D75382"/>
    <w:rsid w:val="00D75685"/>
    <w:rsid w:val="00D75726"/>
    <w:rsid w:val="00D762DA"/>
    <w:rsid w:val="00D76714"/>
    <w:rsid w:val="00D77149"/>
    <w:rsid w:val="00D77B9F"/>
    <w:rsid w:val="00D808F1"/>
    <w:rsid w:val="00D82590"/>
    <w:rsid w:val="00D83C33"/>
    <w:rsid w:val="00D83C6E"/>
    <w:rsid w:val="00D84390"/>
    <w:rsid w:val="00D8455F"/>
    <w:rsid w:val="00D8497A"/>
    <w:rsid w:val="00D85B34"/>
    <w:rsid w:val="00D864CC"/>
    <w:rsid w:val="00D8713A"/>
    <w:rsid w:val="00D87860"/>
    <w:rsid w:val="00D87A8D"/>
    <w:rsid w:val="00D90D14"/>
    <w:rsid w:val="00D91892"/>
    <w:rsid w:val="00D9199A"/>
    <w:rsid w:val="00D92567"/>
    <w:rsid w:val="00D946BB"/>
    <w:rsid w:val="00D94ABE"/>
    <w:rsid w:val="00D9614B"/>
    <w:rsid w:val="00D966B4"/>
    <w:rsid w:val="00D9682D"/>
    <w:rsid w:val="00D97088"/>
    <w:rsid w:val="00D97FB7"/>
    <w:rsid w:val="00DA01A3"/>
    <w:rsid w:val="00DA0B53"/>
    <w:rsid w:val="00DA1545"/>
    <w:rsid w:val="00DA2BCA"/>
    <w:rsid w:val="00DA3133"/>
    <w:rsid w:val="00DA3245"/>
    <w:rsid w:val="00DA416E"/>
    <w:rsid w:val="00DA4675"/>
    <w:rsid w:val="00DA520D"/>
    <w:rsid w:val="00DA5299"/>
    <w:rsid w:val="00DA5429"/>
    <w:rsid w:val="00DA5670"/>
    <w:rsid w:val="00DA66E7"/>
    <w:rsid w:val="00DB14B8"/>
    <w:rsid w:val="00DB151C"/>
    <w:rsid w:val="00DB1A67"/>
    <w:rsid w:val="00DB20E0"/>
    <w:rsid w:val="00DB225B"/>
    <w:rsid w:val="00DB2832"/>
    <w:rsid w:val="00DB512A"/>
    <w:rsid w:val="00DB54BB"/>
    <w:rsid w:val="00DB6400"/>
    <w:rsid w:val="00DB65DF"/>
    <w:rsid w:val="00DB6B25"/>
    <w:rsid w:val="00DC0F6B"/>
    <w:rsid w:val="00DC185D"/>
    <w:rsid w:val="00DC1A64"/>
    <w:rsid w:val="00DC1B0F"/>
    <w:rsid w:val="00DC1E19"/>
    <w:rsid w:val="00DC317C"/>
    <w:rsid w:val="00DC4986"/>
    <w:rsid w:val="00DC4E09"/>
    <w:rsid w:val="00DC5170"/>
    <w:rsid w:val="00DC6241"/>
    <w:rsid w:val="00DC73E5"/>
    <w:rsid w:val="00DC7B6D"/>
    <w:rsid w:val="00DD0290"/>
    <w:rsid w:val="00DD2B31"/>
    <w:rsid w:val="00DD382F"/>
    <w:rsid w:val="00DD3E31"/>
    <w:rsid w:val="00DD41B2"/>
    <w:rsid w:val="00DD5A61"/>
    <w:rsid w:val="00DD6486"/>
    <w:rsid w:val="00DD6595"/>
    <w:rsid w:val="00DD7064"/>
    <w:rsid w:val="00DD7C1B"/>
    <w:rsid w:val="00DE26A1"/>
    <w:rsid w:val="00DE2C71"/>
    <w:rsid w:val="00DE3013"/>
    <w:rsid w:val="00DE3979"/>
    <w:rsid w:val="00DE4EED"/>
    <w:rsid w:val="00DE5AE3"/>
    <w:rsid w:val="00DE5E10"/>
    <w:rsid w:val="00DF051E"/>
    <w:rsid w:val="00DF1130"/>
    <w:rsid w:val="00DF1F1A"/>
    <w:rsid w:val="00DF2CB8"/>
    <w:rsid w:val="00DF2DE9"/>
    <w:rsid w:val="00DF33CA"/>
    <w:rsid w:val="00DF458E"/>
    <w:rsid w:val="00DF530C"/>
    <w:rsid w:val="00DF536B"/>
    <w:rsid w:val="00DF63ED"/>
    <w:rsid w:val="00DF6400"/>
    <w:rsid w:val="00DF77F0"/>
    <w:rsid w:val="00DF781A"/>
    <w:rsid w:val="00E01CE9"/>
    <w:rsid w:val="00E02A05"/>
    <w:rsid w:val="00E02D5B"/>
    <w:rsid w:val="00E050E7"/>
    <w:rsid w:val="00E057BB"/>
    <w:rsid w:val="00E0668D"/>
    <w:rsid w:val="00E06A80"/>
    <w:rsid w:val="00E06AC4"/>
    <w:rsid w:val="00E06E10"/>
    <w:rsid w:val="00E077D0"/>
    <w:rsid w:val="00E078C0"/>
    <w:rsid w:val="00E10294"/>
    <w:rsid w:val="00E10876"/>
    <w:rsid w:val="00E1220E"/>
    <w:rsid w:val="00E1329D"/>
    <w:rsid w:val="00E1344D"/>
    <w:rsid w:val="00E135C8"/>
    <w:rsid w:val="00E1564F"/>
    <w:rsid w:val="00E15854"/>
    <w:rsid w:val="00E15D1F"/>
    <w:rsid w:val="00E16530"/>
    <w:rsid w:val="00E166B6"/>
    <w:rsid w:val="00E16B31"/>
    <w:rsid w:val="00E16EDB"/>
    <w:rsid w:val="00E1729F"/>
    <w:rsid w:val="00E17476"/>
    <w:rsid w:val="00E20F11"/>
    <w:rsid w:val="00E236A2"/>
    <w:rsid w:val="00E23BC3"/>
    <w:rsid w:val="00E2405C"/>
    <w:rsid w:val="00E2429D"/>
    <w:rsid w:val="00E24DDF"/>
    <w:rsid w:val="00E256B8"/>
    <w:rsid w:val="00E25A80"/>
    <w:rsid w:val="00E25D88"/>
    <w:rsid w:val="00E25FBE"/>
    <w:rsid w:val="00E27521"/>
    <w:rsid w:val="00E27571"/>
    <w:rsid w:val="00E2764C"/>
    <w:rsid w:val="00E3000F"/>
    <w:rsid w:val="00E31A70"/>
    <w:rsid w:val="00E31AA0"/>
    <w:rsid w:val="00E31CBD"/>
    <w:rsid w:val="00E31DE5"/>
    <w:rsid w:val="00E3216B"/>
    <w:rsid w:val="00E32C3E"/>
    <w:rsid w:val="00E3387D"/>
    <w:rsid w:val="00E3632E"/>
    <w:rsid w:val="00E36745"/>
    <w:rsid w:val="00E3782F"/>
    <w:rsid w:val="00E40B60"/>
    <w:rsid w:val="00E4194B"/>
    <w:rsid w:val="00E428A9"/>
    <w:rsid w:val="00E4293C"/>
    <w:rsid w:val="00E43A57"/>
    <w:rsid w:val="00E43FAF"/>
    <w:rsid w:val="00E456E7"/>
    <w:rsid w:val="00E4764E"/>
    <w:rsid w:val="00E476B7"/>
    <w:rsid w:val="00E52982"/>
    <w:rsid w:val="00E52A69"/>
    <w:rsid w:val="00E53706"/>
    <w:rsid w:val="00E5432D"/>
    <w:rsid w:val="00E547EF"/>
    <w:rsid w:val="00E552B1"/>
    <w:rsid w:val="00E552BA"/>
    <w:rsid w:val="00E5541E"/>
    <w:rsid w:val="00E5575B"/>
    <w:rsid w:val="00E55CEF"/>
    <w:rsid w:val="00E55F34"/>
    <w:rsid w:val="00E571FD"/>
    <w:rsid w:val="00E57FEC"/>
    <w:rsid w:val="00E60C72"/>
    <w:rsid w:val="00E60F92"/>
    <w:rsid w:val="00E61123"/>
    <w:rsid w:val="00E62B25"/>
    <w:rsid w:val="00E631F7"/>
    <w:rsid w:val="00E638BD"/>
    <w:rsid w:val="00E6629E"/>
    <w:rsid w:val="00E66F7D"/>
    <w:rsid w:val="00E6759D"/>
    <w:rsid w:val="00E67F81"/>
    <w:rsid w:val="00E722B2"/>
    <w:rsid w:val="00E7393F"/>
    <w:rsid w:val="00E73D7A"/>
    <w:rsid w:val="00E74670"/>
    <w:rsid w:val="00E75C3B"/>
    <w:rsid w:val="00E8077D"/>
    <w:rsid w:val="00E80DC1"/>
    <w:rsid w:val="00E81909"/>
    <w:rsid w:val="00E81AAE"/>
    <w:rsid w:val="00E83839"/>
    <w:rsid w:val="00E83BB3"/>
    <w:rsid w:val="00E8483C"/>
    <w:rsid w:val="00E853D1"/>
    <w:rsid w:val="00E85483"/>
    <w:rsid w:val="00E8575B"/>
    <w:rsid w:val="00E85C9B"/>
    <w:rsid w:val="00E869EE"/>
    <w:rsid w:val="00E86E21"/>
    <w:rsid w:val="00E87F70"/>
    <w:rsid w:val="00E902BD"/>
    <w:rsid w:val="00E9046E"/>
    <w:rsid w:val="00E90C9D"/>
    <w:rsid w:val="00E90CF5"/>
    <w:rsid w:val="00E91324"/>
    <w:rsid w:val="00E927BD"/>
    <w:rsid w:val="00E929FB"/>
    <w:rsid w:val="00E93295"/>
    <w:rsid w:val="00E93404"/>
    <w:rsid w:val="00E93480"/>
    <w:rsid w:val="00E93C39"/>
    <w:rsid w:val="00E945BA"/>
    <w:rsid w:val="00E94714"/>
    <w:rsid w:val="00E95BBA"/>
    <w:rsid w:val="00E95D55"/>
    <w:rsid w:val="00E95D70"/>
    <w:rsid w:val="00E969F6"/>
    <w:rsid w:val="00E96AE0"/>
    <w:rsid w:val="00E9746A"/>
    <w:rsid w:val="00EA14E1"/>
    <w:rsid w:val="00EA2061"/>
    <w:rsid w:val="00EA38F1"/>
    <w:rsid w:val="00EA395F"/>
    <w:rsid w:val="00EA4A62"/>
    <w:rsid w:val="00EA4B5C"/>
    <w:rsid w:val="00EA5981"/>
    <w:rsid w:val="00EA5F56"/>
    <w:rsid w:val="00EA69F6"/>
    <w:rsid w:val="00EA6CA5"/>
    <w:rsid w:val="00EA7A9B"/>
    <w:rsid w:val="00EA7F1F"/>
    <w:rsid w:val="00EB0197"/>
    <w:rsid w:val="00EB065A"/>
    <w:rsid w:val="00EB0F5F"/>
    <w:rsid w:val="00EB105A"/>
    <w:rsid w:val="00EB20F1"/>
    <w:rsid w:val="00EB2D31"/>
    <w:rsid w:val="00EB30D1"/>
    <w:rsid w:val="00EB327F"/>
    <w:rsid w:val="00EB3828"/>
    <w:rsid w:val="00EB3F1F"/>
    <w:rsid w:val="00EB48B1"/>
    <w:rsid w:val="00EB63FE"/>
    <w:rsid w:val="00EB773B"/>
    <w:rsid w:val="00EB7F85"/>
    <w:rsid w:val="00EC06EB"/>
    <w:rsid w:val="00EC12DB"/>
    <w:rsid w:val="00EC2BF0"/>
    <w:rsid w:val="00EC2EA7"/>
    <w:rsid w:val="00EC3212"/>
    <w:rsid w:val="00EC3DAA"/>
    <w:rsid w:val="00EC46CF"/>
    <w:rsid w:val="00EC6CA9"/>
    <w:rsid w:val="00EC6DEB"/>
    <w:rsid w:val="00EC6FC6"/>
    <w:rsid w:val="00ED0B6D"/>
    <w:rsid w:val="00ED0E20"/>
    <w:rsid w:val="00ED0E23"/>
    <w:rsid w:val="00ED193F"/>
    <w:rsid w:val="00ED1B40"/>
    <w:rsid w:val="00ED22CC"/>
    <w:rsid w:val="00ED24DB"/>
    <w:rsid w:val="00ED29F4"/>
    <w:rsid w:val="00ED2A34"/>
    <w:rsid w:val="00ED2CB1"/>
    <w:rsid w:val="00ED2D51"/>
    <w:rsid w:val="00ED2D7A"/>
    <w:rsid w:val="00ED2DE4"/>
    <w:rsid w:val="00ED4B5A"/>
    <w:rsid w:val="00ED4C63"/>
    <w:rsid w:val="00ED4CD6"/>
    <w:rsid w:val="00ED5959"/>
    <w:rsid w:val="00ED5B20"/>
    <w:rsid w:val="00ED5FE9"/>
    <w:rsid w:val="00ED6CA2"/>
    <w:rsid w:val="00ED7A17"/>
    <w:rsid w:val="00EE0258"/>
    <w:rsid w:val="00EE0570"/>
    <w:rsid w:val="00EE0BB3"/>
    <w:rsid w:val="00EE1CBE"/>
    <w:rsid w:val="00EE344B"/>
    <w:rsid w:val="00EE3FBD"/>
    <w:rsid w:val="00EE4837"/>
    <w:rsid w:val="00EE630F"/>
    <w:rsid w:val="00EE6512"/>
    <w:rsid w:val="00EE7FC5"/>
    <w:rsid w:val="00EF0701"/>
    <w:rsid w:val="00EF165E"/>
    <w:rsid w:val="00EF170F"/>
    <w:rsid w:val="00EF20B1"/>
    <w:rsid w:val="00EF5166"/>
    <w:rsid w:val="00EF6504"/>
    <w:rsid w:val="00EF72C0"/>
    <w:rsid w:val="00F0025A"/>
    <w:rsid w:val="00F00728"/>
    <w:rsid w:val="00F0072F"/>
    <w:rsid w:val="00F010AD"/>
    <w:rsid w:val="00F02CB6"/>
    <w:rsid w:val="00F035BF"/>
    <w:rsid w:val="00F04766"/>
    <w:rsid w:val="00F04A45"/>
    <w:rsid w:val="00F05638"/>
    <w:rsid w:val="00F05721"/>
    <w:rsid w:val="00F05A60"/>
    <w:rsid w:val="00F0656F"/>
    <w:rsid w:val="00F0693C"/>
    <w:rsid w:val="00F06A0F"/>
    <w:rsid w:val="00F10007"/>
    <w:rsid w:val="00F10803"/>
    <w:rsid w:val="00F10EE6"/>
    <w:rsid w:val="00F1227B"/>
    <w:rsid w:val="00F12856"/>
    <w:rsid w:val="00F13288"/>
    <w:rsid w:val="00F14534"/>
    <w:rsid w:val="00F14576"/>
    <w:rsid w:val="00F14596"/>
    <w:rsid w:val="00F14B4A"/>
    <w:rsid w:val="00F15291"/>
    <w:rsid w:val="00F1599C"/>
    <w:rsid w:val="00F172CC"/>
    <w:rsid w:val="00F209BC"/>
    <w:rsid w:val="00F20B0E"/>
    <w:rsid w:val="00F2126E"/>
    <w:rsid w:val="00F2168A"/>
    <w:rsid w:val="00F21D06"/>
    <w:rsid w:val="00F2232B"/>
    <w:rsid w:val="00F247CD"/>
    <w:rsid w:val="00F24CBB"/>
    <w:rsid w:val="00F2511E"/>
    <w:rsid w:val="00F257A2"/>
    <w:rsid w:val="00F25A25"/>
    <w:rsid w:val="00F26B27"/>
    <w:rsid w:val="00F26BBB"/>
    <w:rsid w:val="00F27245"/>
    <w:rsid w:val="00F27B81"/>
    <w:rsid w:val="00F27C5C"/>
    <w:rsid w:val="00F31481"/>
    <w:rsid w:val="00F31F79"/>
    <w:rsid w:val="00F32465"/>
    <w:rsid w:val="00F32837"/>
    <w:rsid w:val="00F329B5"/>
    <w:rsid w:val="00F33789"/>
    <w:rsid w:val="00F34237"/>
    <w:rsid w:val="00F34795"/>
    <w:rsid w:val="00F35159"/>
    <w:rsid w:val="00F35E6E"/>
    <w:rsid w:val="00F361BB"/>
    <w:rsid w:val="00F3670A"/>
    <w:rsid w:val="00F369AE"/>
    <w:rsid w:val="00F4072C"/>
    <w:rsid w:val="00F40F1E"/>
    <w:rsid w:val="00F414F4"/>
    <w:rsid w:val="00F42FC4"/>
    <w:rsid w:val="00F43D2F"/>
    <w:rsid w:val="00F44580"/>
    <w:rsid w:val="00F456EB"/>
    <w:rsid w:val="00F46222"/>
    <w:rsid w:val="00F47386"/>
    <w:rsid w:val="00F47CF9"/>
    <w:rsid w:val="00F50306"/>
    <w:rsid w:val="00F51223"/>
    <w:rsid w:val="00F51256"/>
    <w:rsid w:val="00F512BF"/>
    <w:rsid w:val="00F5139C"/>
    <w:rsid w:val="00F5149D"/>
    <w:rsid w:val="00F514A3"/>
    <w:rsid w:val="00F5195F"/>
    <w:rsid w:val="00F530DD"/>
    <w:rsid w:val="00F53161"/>
    <w:rsid w:val="00F54BC6"/>
    <w:rsid w:val="00F55439"/>
    <w:rsid w:val="00F5552C"/>
    <w:rsid w:val="00F55A54"/>
    <w:rsid w:val="00F56013"/>
    <w:rsid w:val="00F56F52"/>
    <w:rsid w:val="00F575AE"/>
    <w:rsid w:val="00F605E7"/>
    <w:rsid w:val="00F607F3"/>
    <w:rsid w:val="00F60BBE"/>
    <w:rsid w:val="00F60CE3"/>
    <w:rsid w:val="00F6158F"/>
    <w:rsid w:val="00F62480"/>
    <w:rsid w:val="00F62BDC"/>
    <w:rsid w:val="00F62FE5"/>
    <w:rsid w:val="00F63129"/>
    <w:rsid w:val="00F632AA"/>
    <w:rsid w:val="00F639A1"/>
    <w:rsid w:val="00F63BAC"/>
    <w:rsid w:val="00F63F05"/>
    <w:rsid w:val="00F64EE7"/>
    <w:rsid w:val="00F64F63"/>
    <w:rsid w:val="00F676D4"/>
    <w:rsid w:val="00F67F71"/>
    <w:rsid w:val="00F7074D"/>
    <w:rsid w:val="00F70D85"/>
    <w:rsid w:val="00F71A18"/>
    <w:rsid w:val="00F71EDF"/>
    <w:rsid w:val="00F71F04"/>
    <w:rsid w:val="00F7400A"/>
    <w:rsid w:val="00F745E7"/>
    <w:rsid w:val="00F74700"/>
    <w:rsid w:val="00F74CB5"/>
    <w:rsid w:val="00F74DDC"/>
    <w:rsid w:val="00F756F8"/>
    <w:rsid w:val="00F75B98"/>
    <w:rsid w:val="00F75F40"/>
    <w:rsid w:val="00F75F80"/>
    <w:rsid w:val="00F77988"/>
    <w:rsid w:val="00F77993"/>
    <w:rsid w:val="00F8021F"/>
    <w:rsid w:val="00F80328"/>
    <w:rsid w:val="00F80C78"/>
    <w:rsid w:val="00F80D63"/>
    <w:rsid w:val="00F810E7"/>
    <w:rsid w:val="00F81ABC"/>
    <w:rsid w:val="00F8260B"/>
    <w:rsid w:val="00F82948"/>
    <w:rsid w:val="00F82F5A"/>
    <w:rsid w:val="00F831A4"/>
    <w:rsid w:val="00F84B84"/>
    <w:rsid w:val="00F855D5"/>
    <w:rsid w:val="00F85622"/>
    <w:rsid w:val="00F85F2B"/>
    <w:rsid w:val="00F87138"/>
    <w:rsid w:val="00F907CF"/>
    <w:rsid w:val="00F91DF9"/>
    <w:rsid w:val="00F92EAE"/>
    <w:rsid w:val="00F934B4"/>
    <w:rsid w:val="00F93AD4"/>
    <w:rsid w:val="00F9439D"/>
    <w:rsid w:val="00F94508"/>
    <w:rsid w:val="00F94656"/>
    <w:rsid w:val="00F94978"/>
    <w:rsid w:val="00F94C72"/>
    <w:rsid w:val="00F9654C"/>
    <w:rsid w:val="00F96D19"/>
    <w:rsid w:val="00F97E04"/>
    <w:rsid w:val="00FA0874"/>
    <w:rsid w:val="00FA08B4"/>
    <w:rsid w:val="00FA135E"/>
    <w:rsid w:val="00FA1E91"/>
    <w:rsid w:val="00FA2543"/>
    <w:rsid w:val="00FA32B8"/>
    <w:rsid w:val="00FA32FF"/>
    <w:rsid w:val="00FA39E5"/>
    <w:rsid w:val="00FA62A3"/>
    <w:rsid w:val="00FA7250"/>
    <w:rsid w:val="00FB02E5"/>
    <w:rsid w:val="00FB10B1"/>
    <w:rsid w:val="00FB17D4"/>
    <w:rsid w:val="00FB1D77"/>
    <w:rsid w:val="00FB29B5"/>
    <w:rsid w:val="00FB2B5A"/>
    <w:rsid w:val="00FB343B"/>
    <w:rsid w:val="00FB39AA"/>
    <w:rsid w:val="00FB3E54"/>
    <w:rsid w:val="00FB512C"/>
    <w:rsid w:val="00FB7DF5"/>
    <w:rsid w:val="00FC0B83"/>
    <w:rsid w:val="00FC150D"/>
    <w:rsid w:val="00FC181A"/>
    <w:rsid w:val="00FC1994"/>
    <w:rsid w:val="00FC1D88"/>
    <w:rsid w:val="00FC2218"/>
    <w:rsid w:val="00FC320E"/>
    <w:rsid w:val="00FC37C6"/>
    <w:rsid w:val="00FC452B"/>
    <w:rsid w:val="00FC4753"/>
    <w:rsid w:val="00FC4ED8"/>
    <w:rsid w:val="00FC51C9"/>
    <w:rsid w:val="00FC5553"/>
    <w:rsid w:val="00FC5882"/>
    <w:rsid w:val="00FC7D80"/>
    <w:rsid w:val="00FD154C"/>
    <w:rsid w:val="00FD1765"/>
    <w:rsid w:val="00FD1B7B"/>
    <w:rsid w:val="00FD22CC"/>
    <w:rsid w:val="00FD3D22"/>
    <w:rsid w:val="00FD4A06"/>
    <w:rsid w:val="00FD5763"/>
    <w:rsid w:val="00FD5B5E"/>
    <w:rsid w:val="00FD62CA"/>
    <w:rsid w:val="00FD704D"/>
    <w:rsid w:val="00FD75BC"/>
    <w:rsid w:val="00FE11FA"/>
    <w:rsid w:val="00FE2BB1"/>
    <w:rsid w:val="00FE4459"/>
    <w:rsid w:val="00FE50AA"/>
    <w:rsid w:val="00FE51A7"/>
    <w:rsid w:val="00FE575A"/>
    <w:rsid w:val="00FE60C2"/>
    <w:rsid w:val="00FE641A"/>
    <w:rsid w:val="00FE653D"/>
    <w:rsid w:val="00FF0752"/>
    <w:rsid w:val="00FF137E"/>
    <w:rsid w:val="00FF15B7"/>
    <w:rsid w:val="00FF2CEA"/>
    <w:rsid w:val="00FF3A80"/>
    <w:rsid w:val="00FF5671"/>
    <w:rsid w:val="014C053A"/>
    <w:rsid w:val="018965BF"/>
    <w:rsid w:val="0194674A"/>
    <w:rsid w:val="019809D3"/>
    <w:rsid w:val="01E274B5"/>
    <w:rsid w:val="01E85206"/>
    <w:rsid w:val="01F118F6"/>
    <w:rsid w:val="022A49B8"/>
    <w:rsid w:val="025005CD"/>
    <w:rsid w:val="0250441F"/>
    <w:rsid w:val="02521E84"/>
    <w:rsid w:val="02581365"/>
    <w:rsid w:val="0261487E"/>
    <w:rsid w:val="02B80216"/>
    <w:rsid w:val="02BF3353"/>
    <w:rsid w:val="02F9250E"/>
    <w:rsid w:val="030B2604"/>
    <w:rsid w:val="033A29CA"/>
    <w:rsid w:val="03435E1D"/>
    <w:rsid w:val="034A2073"/>
    <w:rsid w:val="0373358E"/>
    <w:rsid w:val="03764359"/>
    <w:rsid w:val="03971CCE"/>
    <w:rsid w:val="039D14F8"/>
    <w:rsid w:val="040F3E66"/>
    <w:rsid w:val="042C2C6A"/>
    <w:rsid w:val="04476F33"/>
    <w:rsid w:val="044D407B"/>
    <w:rsid w:val="045F6B9B"/>
    <w:rsid w:val="047C6C17"/>
    <w:rsid w:val="04926F71"/>
    <w:rsid w:val="04A57849"/>
    <w:rsid w:val="04C2712A"/>
    <w:rsid w:val="04C44C50"/>
    <w:rsid w:val="04DC01EC"/>
    <w:rsid w:val="04E11CA6"/>
    <w:rsid w:val="04E43544"/>
    <w:rsid w:val="050D2A9B"/>
    <w:rsid w:val="050D4849"/>
    <w:rsid w:val="050D7BBE"/>
    <w:rsid w:val="05374F27"/>
    <w:rsid w:val="05685F23"/>
    <w:rsid w:val="05776166"/>
    <w:rsid w:val="05962A91"/>
    <w:rsid w:val="05A53ACD"/>
    <w:rsid w:val="05B253F0"/>
    <w:rsid w:val="05E57574"/>
    <w:rsid w:val="06005C70"/>
    <w:rsid w:val="06156967"/>
    <w:rsid w:val="064A387B"/>
    <w:rsid w:val="0662095B"/>
    <w:rsid w:val="068218BB"/>
    <w:rsid w:val="068A5032"/>
    <w:rsid w:val="06936FD0"/>
    <w:rsid w:val="069B192F"/>
    <w:rsid w:val="06DA075B"/>
    <w:rsid w:val="071F2612"/>
    <w:rsid w:val="0769141E"/>
    <w:rsid w:val="077A1F3E"/>
    <w:rsid w:val="0788753E"/>
    <w:rsid w:val="07946C96"/>
    <w:rsid w:val="07E06D3A"/>
    <w:rsid w:val="08051549"/>
    <w:rsid w:val="0808032A"/>
    <w:rsid w:val="08495D9A"/>
    <w:rsid w:val="08684CE0"/>
    <w:rsid w:val="0898267C"/>
    <w:rsid w:val="08AF0FBB"/>
    <w:rsid w:val="08B44638"/>
    <w:rsid w:val="0902518B"/>
    <w:rsid w:val="091176C7"/>
    <w:rsid w:val="09134B9D"/>
    <w:rsid w:val="092D370C"/>
    <w:rsid w:val="094445B2"/>
    <w:rsid w:val="095D60FA"/>
    <w:rsid w:val="09656D08"/>
    <w:rsid w:val="096B38AC"/>
    <w:rsid w:val="09903C9B"/>
    <w:rsid w:val="099F1CDE"/>
    <w:rsid w:val="09B822B3"/>
    <w:rsid w:val="09C474A0"/>
    <w:rsid w:val="09E0048C"/>
    <w:rsid w:val="09E4729C"/>
    <w:rsid w:val="09EF7D37"/>
    <w:rsid w:val="0A1246B0"/>
    <w:rsid w:val="0A4A5CD5"/>
    <w:rsid w:val="0A8729A8"/>
    <w:rsid w:val="0A8C4462"/>
    <w:rsid w:val="0A942C23"/>
    <w:rsid w:val="0AA36264"/>
    <w:rsid w:val="0ABB08A3"/>
    <w:rsid w:val="0AE55D40"/>
    <w:rsid w:val="0B2621C1"/>
    <w:rsid w:val="0B5A150C"/>
    <w:rsid w:val="0B7D1FFD"/>
    <w:rsid w:val="0B83590E"/>
    <w:rsid w:val="0BA23FFD"/>
    <w:rsid w:val="0BB060BE"/>
    <w:rsid w:val="0BC96FF0"/>
    <w:rsid w:val="0C45195B"/>
    <w:rsid w:val="0C8A677F"/>
    <w:rsid w:val="0C9A1576"/>
    <w:rsid w:val="0CB90E13"/>
    <w:rsid w:val="0CBE1F4D"/>
    <w:rsid w:val="0CD0487B"/>
    <w:rsid w:val="0CE07EE3"/>
    <w:rsid w:val="0D166C60"/>
    <w:rsid w:val="0D26095D"/>
    <w:rsid w:val="0D6E6B91"/>
    <w:rsid w:val="0D7C256C"/>
    <w:rsid w:val="0D8238FA"/>
    <w:rsid w:val="0DA2253D"/>
    <w:rsid w:val="0DD855EE"/>
    <w:rsid w:val="0E407832"/>
    <w:rsid w:val="0E9C038E"/>
    <w:rsid w:val="0EBD44A4"/>
    <w:rsid w:val="0EC87A33"/>
    <w:rsid w:val="0EDB7766"/>
    <w:rsid w:val="0F135AE3"/>
    <w:rsid w:val="0F344EAE"/>
    <w:rsid w:val="0F40581B"/>
    <w:rsid w:val="0F474DFC"/>
    <w:rsid w:val="0F4E56DF"/>
    <w:rsid w:val="0F5228C6"/>
    <w:rsid w:val="0F64136A"/>
    <w:rsid w:val="0F67724C"/>
    <w:rsid w:val="0F7554C5"/>
    <w:rsid w:val="0FA652F3"/>
    <w:rsid w:val="0FDE4CB9"/>
    <w:rsid w:val="103661B5"/>
    <w:rsid w:val="1045393E"/>
    <w:rsid w:val="10751581"/>
    <w:rsid w:val="10766EB3"/>
    <w:rsid w:val="107A6C8B"/>
    <w:rsid w:val="10AB0728"/>
    <w:rsid w:val="10AE4602"/>
    <w:rsid w:val="10C224D8"/>
    <w:rsid w:val="10EC252D"/>
    <w:rsid w:val="1121705F"/>
    <w:rsid w:val="11511FD1"/>
    <w:rsid w:val="115B693C"/>
    <w:rsid w:val="11A06DE7"/>
    <w:rsid w:val="11A17CDE"/>
    <w:rsid w:val="11A953E5"/>
    <w:rsid w:val="11B00002"/>
    <w:rsid w:val="11DB3201"/>
    <w:rsid w:val="11E132E5"/>
    <w:rsid w:val="12176D07"/>
    <w:rsid w:val="124E72A0"/>
    <w:rsid w:val="127A45ED"/>
    <w:rsid w:val="127A5093"/>
    <w:rsid w:val="1292638E"/>
    <w:rsid w:val="12FB3F33"/>
    <w:rsid w:val="13051255"/>
    <w:rsid w:val="13554FCA"/>
    <w:rsid w:val="137731BF"/>
    <w:rsid w:val="137912FC"/>
    <w:rsid w:val="13861583"/>
    <w:rsid w:val="13954387"/>
    <w:rsid w:val="13A26886"/>
    <w:rsid w:val="13B55B78"/>
    <w:rsid w:val="13E23345"/>
    <w:rsid w:val="14117786"/>
    <w:rsid w:val="14320908"/>
    <w:rsid w:val="14527578"/>
    <w:rsid w:val="14854397"/>
    <w:rsid w:val="14A5684C"/>
    <w:rsid w:val="14C044BD"/>
    <w:rsid w:val="14C22DE3"/>
    <w:rsid w:val="14CB6990"/>
    <w:rsid w:val="14E54E9B"/>
    <w:rsid w:val="14F04B70"/>
    <w:rsid w:val="15245F48"/>
    <w:rsid w:val="155B282E"/>
    <w:rsid w:val="15B157C4"/>
    <w:rsid w:val="15C15E6E"/>
    <w:rsid w:val="15D849FF"/>
    <w:rsid w:val="15F42B78"/>
    <w:rsid w:val="161241C0"/>
    <w:rsid w:val="16241AD1"/>
    <w:rsid w:val="162C4671"/>
    <w:rsid w:val="16445BF1"/>
    <w:rsid w:val="1653052A"/>
    <w:rsid w:val="16657759"/>
    <w:rsid w:val="16BB6A4C"/>
    <w:rsid w:val="16E2633E"/>
    <w:rsid w:val="16F413C5"/>
    <w:rsid w:val="17033CFE"/>
    <w:rsid w:val="17081314"/>
    <w:rsid w:val="171C091C"/>
    <w:rsid w:val="171E606A"/>
    <w:rsid w:val="177F28B7"/>
    <w:rsid w:val="17D95D82"/>
    <w:rsid w:val="17E16D7D"/>
    <w:rsid w:val="17E83604"/>
    <w:rsid w:val="17FB2C27"/>
    <w:rsid w:val="17FC74C0"/>
    <w:rsid w:val="180478DF"/>
    <w:rsid w:val="180A58E4"/>
    <w:rsid w:val="180F2747"/>
    <w:rsid w:val="1818504B"/>
    <w:rsid w:val="18251831"/>
    <w:rsid w:val="18501D8C"/>
    <w:rsid w:val="186B4E30"/>
    <w:rsid w:val="187F5606"/>
    <w:rsid w:val="18882132"/>
    <w:rsid w:val="18982224"/>
    <w:rsid w:val="18BA0AB1"/>
    <w:rsid w:val="18D47700"/>
    <w:rsid w:val="18DC4807"/>
    <w:rsid w:val="196E4F40"/>
    <w:rsid w:val="1988673C"/>
    <w:rsid w:val="198F7ACB"/>
    <w:rsid w:val="19A20750"/>
    <w:rsid w:val="19A215AC"/>
    <w:rsid w:val="19ED659F"/>
    <w:rsid w:val="19F3273B"/>
    <w:rsid w:val="1A225A66"/>
    <w:rsid w:val="1A26685C"/>
    <w:rsid w:val="1A6920CA"/>
    <w:rsid w:val="1AAE793C"/>
    <w:rsid w:val="1AB52F78"/>
    <w:rsid w:val="1ACC23CB"/>
    <w:rsid w:val="1AEA60DF"/>
    <w:rsid w:val="1B07305E"/>
    <w:rsid w:val="1B465198"/>
    <w:rsid w:val="1B86423A"/>
    <w:rsid w:val="1BBD5FCF"/>
    <w:rsid w:val="1BD009B5"/>
    <w:rsid w:val="1BE13EE2"/>
    <w:rsid w:val="1C180C49"/>
    <w:rsid w:val="1C2C7FE2"/>
    <w:rsid w:val="1C3E504A"/>
    <w:rsid w:val="1C490D10"/>
    <w:rsid w:val="1C613BC7"/>
    <w:rsid w:val="1CD5442F"/>
    <w:rsid w:val="1CD778AC"/>
    <w:rsid w:val="1CDA0B62"/>
    <w:rsid w:val="1D585B0D"/>
    <w:rsid w:val="1D76208F"/>
    <w:rsid w:val="1D871781"/>
    <w:rsid w:val="1D8E280B"/>
    <w:rsid w:val="1DA00CEC"/>
    <w:rsid w:val="1E127DF9"/>
    <w:rsid w:val="1E74103D"/>
    <w:rsid w:val="1E875215"/>
    <w:rsid w:val="1E9516DF"/>
    <w:rsid w:val="1EA02417"/>
    <w:rsid w:val="1EA45E93"/>
    <w:rsid w:val="1EAD380C"/>
    <w:rsid w:val="1EB853CE"/>
    <w:rsid w:val="1EBF675C"/>
    <w:rsid w:val="1EEB7551"/>
    <w:rsid w:val="1EF93301"/>
    <w:rsid w:val="1F417171"/>
    <w:rsid w:val="1F6605F9"/>
    <w:rsid w:val="1FA7145B"/>
    <w:rsid w:val="1FF02946"/>
    <w:rsid w:val="1FF16DE9"/>
    <w:rsid w:val="203E1903"/>
    <w:rsid w:val="20596994"/>
    <w:rsid w:val="2091237A"/>
    <w:rsid w:val="20B86208"/>
    <w:rsid w:val="20C51B07"/>
    <w:rsid w:val="20CC33B3"/>
    <w:rsid w:val="20E81F4E"/>
    <w:rsid w:val="20EA0BE3"/>
    <w:rsid w:val="210902B5"/>
    <w:rsid w:val="210C0498"/>
    <w:rsid w:val="212F26E9"/>
    <w:rsid w:val="2167135F"/>
    <w:rsid w:val="21B57433"/>
    <w:rsid w:val="21B656EA"/>
    <w:rsid w:val="22250FCC"/>
    <w:rsid w:val="222C235B"/>
    <w:rsid w:val="22397E14"/>
    <w:rsid w:val="22C06F65"/>
    <w:rsid w:val="230961F8"/>
    <w:rsid w:val="23563407"/>
    <w:rsid w:val="235976EC"/>
    <w:rsid w:val="236433BE"/>
    <w:rsid w:val="23A97406"/>
    <w:rsid w:val="23FE2088"/>
    <w:rsid w:val="2403714E"/>
    <w:rsid w:val="2417647E"/>
    <w:rsid w:val="2446522A"/>
    <w:rsid w:val="24671633"/>
    <w:rsid w:val="249254E8"/>
    <w:rsid w:val="24A361D8"/>
    <w:rsid w:val="251E7876"/>
    <w:rsid w:val="255D5EF0"/>
    <w:rsid w:val="25675458"/>
    <w:rsid w:val="25702134"/>
    <w:rsid w:val="25752037"/>
    <w:rsid w:val="258673AF"/>
    <w:rsid w:val="259A75DB"/>
    <w:rsid w:val="25C30C51"/>
    <w:rsid w:val="25C44658"/>
    <w:rsid w:val="25F73A7D"/>
    <w:rsid w:val="261D0BDA"/>
    <w:rsid w:val="2629095F"/>
    <w:rsid w:val="266C0C6A"/>
    <w:rsid w:val="26926A95"/>
    <w:rsid w:val="26CA3750"/>
    <w:rsid w:val="273B094A"/>
    <w:rsid w:val="279D33B3"/>
    <w:rsid w:val="27AC7A9A"/>
    <w:rsid w:val="27B70919"/>
    <w:rsid w:val="28594C54"/>
    <w:rsid w:val="28672875"/>
    <w:rsid w:val="28966508"/>
    <w:rsid w:val="28AB7D51"/>
    <w:rsid w:val="28BF64DE"/>
    <w:rsid w:val="28C52BC1"/>
    <w:rsid w:val="28E444C1"/>
    <w:rsid w:val="28F8625E"/>
    <w:rsid w:val="291B46A3"/>
    <w:rsid w:val="29233D8C"/>
    <w:rsid w:val="29454B99"/>
    <w:rsid w:val="29546EC8"/>
    <w:rsid w:val="29567869"/>
    <w:rsid w:val="295D3CC9"/>
    <w:rsid w:val="297B3DA5"/>
    <w:rsid w:val="297C2905"/>
    <w:rsid w:val="2984482A"/>
    <w:rsid w:val="29C14FD0"/>
    <w:rsid w:val="29DE7A56"/>
    <w:rsid w:val="29E57780"/>
    <w:rsid w:val="2A075F37"/>
    <w:rsid w:val="2A0911D4"/>
    <w:rsid w:val="2A415023"/>
    <w:rsid w:val="2A9160E4"/>
    <w:rsid w:val="2A9E11D6"/>
    <w:rsid w:val="2ADE2756"/>
    <w:rsid w:val="2B011CF0"/>
    <w:rsid w:val="2B2479B8"/>
    <w:rsid w:val="2B2F067D"/>
    <w:rsid w:val="2B391902"/>
    <w:rsid w:val="2B6F32B8"/>
    <w:rsid w:val="2B944C3D"/>
    <w:rsid w:val="2BAA607C"/>
    <w:rsid w:val="2BB86A0D"/>
    <w:rsid w:val="2BC120BC"/>
    <w:rsid w:val="2BD33847"/>
    <w:rsid w:val="2BFC0FF0"/>
    <w:rsid w:val="2BFE33B8"/>
    <w:rsid w:val="2C070483"/>
    <w:rsid w:val="2C0C0B07"/>
    <w:rsid w:val="2C143EC1"/>
    <w:rsid w:val="2C2F3AC5"/>
    <w:rsid w:val="2C5C733A"/>
    <w:rsid w:val="2C637962"/>
    <w:rsid w:val="2C6E7AE6"/>
    <w:rsid w:val="2C772424"/>
    <w:rsid w:val="2C8252CD"/>
    <w:rsid w:val="2CA4205F"/>
    <w:rsid w:val="2CA64AB8"/>
    <w:rsid w:val="2CA84CD4"/>
    <w:rsid w:val="2CBD13CB"/>
    <w:rsid w:val="2CD45AC9"/>
    <w:rsid w:val="2CE77122"/>
    <w:rsid w:val="2CE81574"/>
    <w:rsid w:val="2D2873AD"/>
    <w:rsid w:val="2D325092"/>
    <w:rsid w:val="2D3C62C3"/>
    <w:rsid w:val="2D6A4F2A"/>
    <w:rsid w:val="2D9E0E4E"/>
    <w:rsid w:val="2DC46CCE"/>
    <w:rsid w:val="2DCD2E1D"/>
    <w:rsid w:val="2DE51610"/>
    <w:rsid w:val="2DFF6930"/>
    <w:rsid w:val="2E090714"/>
    <w:rsid w:val="2E3662A3"/>
    <w:rsid w:val="2E4B1DBB"/>
    <w:rsid w:val="2EA15E7F"/>
    <w:rsid w:val="2EA94D33"/>
    <w:rsid w:val="2EB379B8"/>
    <w:rsid w:val="2EBC745E"/>
    <w:rsid w:val="2ECD6C74"/>
    <w:rsid w:val="2ED72453"/>
    <w:rsid w:val="2F154177"/>
    <w:rsid w:val="2F2B5748"/>
    <w:rsid w:val="2F5922B5"/>
    <w:rsid w:val="2F666780"/>
    <w:rsid w:val="2F863502"/>
    <w:rsid w:val="2F8C7C3F"/>
    <w:rsid w:val="2F8E33BE"/>
    <w:rsid w:val="2FAD520D"/>
    <w:rsid w:val="2FC1199C"/>
    <w:rsid w:val="2FD162F0"/>
    <w:rsid w:val="301B2484"/>
    <w:rsid w:val="301B57BD"/>
    <w:rsid w:val="30332B06"/>
    <w:rsid w:val="30446AC1"/>
    <w:rsid w:val="307976F4"/>
    <w:rsid w:val="307A65E1"/>
    <w:rsid w:val="30841DBC"/>
    <w:rsid w:val="30F45845"/>
    <w:rsid w:val="30FB68BC"/>
    <w:rsid w:val="310B4A98"/>
    <w:rsid w:val="312D42FE"/>
    <w:rsid w:val="31517EBE"/>
    <w:rsid w:val="31CB6D6E"/>
    <w:rsid w:val="31CC30D7"/>
    <w:rsid w:val="31D43E75"/>
    <w:rsid w:val="31D62BCE"/>
    <w:rsid w:val="31E3055C"/>
    <w:rsid w:val="3204001F"/>
    <w:rsid w:val="322015A4"/>
    <w:rsid w:val="322E7A29"/>
    <w:rsid w:val="324C0413"/>
    <w:rsid w:val="32540B72"/>
    <w:rsid w:val="32B302B1"/>
    <w:rsid w:val="32C71C2C"/>
    <w:rsid w:val="33092305"/>
    <w:rsid w:val="333D0B2E"/>
    <w:rsid w:val="335746DC"/>
    <w:rsid w:val="335C4122"/>
    <w:rsid w:val="336F02F9"/>
    <w:rsid w:val="337616F8"/>
    <w:rsid w:val="33767A20"/>
    <w:rsid w:val="33957B8E"/>
    <w:rsid w:val="33D75E9F"/>
    <w:rsid w:val="33D9323A"/>
    <w:rsid w:val="3400221F"/>
    <w:rsid w:val="34463464"/>
    <w:rsid w:val="34652551"/>
    <w:rsid w:val="346C5F6A"/>
    <w:rsid w:val="34EE3B36"/>
    <w:rsid w:val="34F666BA"/>
    <w:rsid w:val="35225F95"/>
    <w:rsid w:val="35324372"/>
    <w:rsid w:val="35692CE4"/>
    <w:rsid w:val="356F3A03"/>
    <w:rsid w:val="3583135D"/>
    <w:rsid w:val="358856A2"/>
    <w:rsid w:val="3589141A"/>
    <w:rsid w:val="35B70990"/>
    <w:rsid w:val="35E63DEE"/>
    <w:rsid w:val="35E6686D"/>
    <w:rsid w:val="36175199"/>
    <w:rsid w:val="364A0BAA"/>
    <w:rsid w:val="36533F02"/>
    <w:rsid w:val="365B3302"/>
    <w:rsid w:val="36736147"/>
    <w:rsid w:val="36C97E74"/>
    <w:rsid w:val="36D17FEA"/>
    <w:rsid w:val="36EE0F21"/>
    <w:rsid w:val="36F1453A"/>
    <w:rsid w:val="37305BFD"/>
    <w:rsid w:val="37783EA6"/>
    <w:rsid w:val="37BC4B4E"/>
    <w:rsid w:val="37DE3C9F"/>
    <w:rsid w:val="38292529"/>
    <w:rsid w:val="386341A5"/>
    <w:rsid w:val="38666E04"/>
    <w:rsid w:val="38A50E3F"/>
    <w:rsid w:val="38C11545"/>
    <w:rsid w:val="38E72650"/>
    <w:rsid w:val="39044CF1"/>
    <w:rsid w:val="39137979"/>
    <w:rsid w:val="3925271D"/>
    <w:rsid w:val="39363667"/>
    <w:rsid w:val="395F671A"/>
    <w:rsid w:val="397F59CF"/>
    <w:rsid w:val="399A39EF"/>
    <w:rsid w:val="39AB3583"/>
    <w:rsid w:val="39BC4C91"/>
    <w:rsid w:val="39DD1DFB"/>
    <w:rsid w:val="3A173499"/>
    <w:rsid w:val="3A2047EC"/>
    <w:rsid w:val="3A8D7370"/>
    <w:rsid w:val="3A9C75B8"/>
    <w:rsid w:val="3AAC2D03"/>
    <w:rsid w:val="3AEF7F72"/>
    <w:rsid w:val="3B084B8F"/>
    <w:rsid w:val="3B0F23C2"/>
    <w:rsid w:val="3B366E5F"/>
    <w:rsid w:val="3B38059C"/>
    <w:rsid w:val="3B485A3C"/>
    <w:rsid w:val="3B7A736B"/>
    <w:rsid w:val="3BAE1DA8"/>
    <w:rsid w:val="3BD3519D"/>
    <w:rsid w:val="3BEF422D"/>
    <w:rsid w:val="3C17723B"/>
    <w:rsid w:val="3C2B4FD9"/>
    <w:rsid w:val="3C316275"/>
    <w:rsid w:val="3C524EFE"/>
    <w:rsid w:val="3C84050A"/>
    <w:rsid w:val="3C8779FB"/>
    <w:rsid w:val="3C8E3A48"/>
    <w:rsid w:val="3C9D4F6C"/>
    <w:rsid w:val="3CA53188"/>
    <w:rsid w:val="3CBE19AA"/>
    <w:rsid w:val="3CD51D4E"/>
    <w:rsid w:val="3CDB69FF"/>
    <w:rsid w:val="3D0507F0"/>
    <w:rsid w:val="3D33667E"/>
    <w:rsid w:val="3D400197"/>
    <w:rsid w:val="3D466B0B"/>
    <w:rsid w:val="3D4B7B0D"/>
    <w:rsid w:val="3D4D43A6"/>
    <w:rsid w:val="3D4D73E2"/>
    <w:rsid w:val="3DA60CF7"/>
    <w:rsid w:val="3DC94AAA"/>
    <w:rsid w:val="3DD07BE6"/>
    <w:rsid w:val="3DEF6B4B"/>
    <w:rsid w:val="3E0E4A06"/>
    <w:rsid w:val="3E1A5306"/>
    <w:rsid w:val="3E5A3B93"/>
    <w:rsid w:val="3E794529"/>
    <w:rsid w:val="3ED71449"/>
    <w:rsid w:val="3EDB3409"/>
    <w:rsid w:val="3EEC64BB"/>
    <w:rsid w:val="3F1137B5"/>
    <w:rsid w:val="3F154F70"/>
    <w:rsid w:val="3F2E19E9"/>
    <w:rsid w:val="3F433D33"/>
    <w:rsid w:val="3F557A44"/>
    <w:rsid w:val="3F5860E5"/>
    <w:rsid w:val="3F892743"/>
    <w:rsid w:val="3F8C2233"/>
    <w:rsid w:val="3F9A10D7"/>
    <w:rsid w:val="3FC77658"/>
    <w:rsid w:val="3FF2288E"/>
    <w:rsid w:val="404814DD"/>
    <w:rsid w:val="405459EF"/>
    <w:rsid w:val="406F0A80"/>
    <w:rsid w:val="408525AF"/>
    <w:rsid w:val="408D4294"/>
    <w:rsid w:val="40BC6B48"/>
    <w:rsid w:val="40DC720E"/>
    <w:rsid w:val="40E268CC"/>
    <w:rsid w:val="40F1196E"/>
    <w:rsid w:val="410645C2"/>
    <w:rsid w:val="410B53D9"/>
    <w:rsid w:val="410F1635"/>
    <w:rsid w:val="411249BA"/>
    <w:rsid w:val="41346343"/>
    <w:rsid w:val="415B010F"/>
    <w:rsid w:val="416F2D21"/>
    <w:rsid w:val="41812627"/>
    <w:rsid w:val="41923405"/>
    <w:rsid w:val="41A16B60"/>
    <w:rsid w:val="41A3767B"/>
    <w:rsid w:val="41B4449A"/>
    <w:rsid w:val="41BF24B3"/>
    <w:rsid w:val="41CC06C6"/>
    <w:rsid w:val="42072045"/>
    <w:rsid w:val="42332E3A"/>
    <w:rsid w:val="429343CD"/>
    <w:rsid w:val="4297531D"/>
    <w:rsid w:val="42BA0214"/>
    <w:rsid w:val="42C57F36"/>
    <w:rsid w:val="42DA69F7"/>
    <w:rsid w:val="42DF22D1"/>
    <w:rsid w:val="42FA74B4"/>
    <w:rsid w:val="42FE0D52"/>
    <w:rsid w:val="43192C36"/>
    <w:rsid w:val="43243FD6"/>
    <w:rsid w:val="43397498"/>
    <w:rsid w:val="435766B4"/>
    <w:rsid w:val="43593652"/>
    <w:rsid w:val="435C016E"/>
    <w:rsid w:val="436D4129"/>
    <w:rsid w:val="436F39FE"/>
    <w:rsid w:val="4376522A"/>
    <w:rsid w:val="43835115"/>
    <w:rsid w:val="438F1CE3"/>
    <w:rsid w:val="438F3E90"/>
    <w:rsid w:val="43F41CD4"/>
    <w:rsid w:val="4400619E"/>
    <w:rsid w:val="44524D55"/>
    <w:rsid w:val="44544042"/>
    <w:rsid w:val="44567C4C"/>
    <w:rsid w:val="44591CA1"/>
    <w:rsid w:val="445D5F4C"/>
    <w:rsid w:val="447475E0"/>
    <w:rsid w:val="448C5AFF"/>
    <w:rsid w:val="4493490D"/>
    <w:rsid w:val="44A43B7B"/>
    <w:rsid w:val="44B26298"/>
    <w:rsid w:val="44FF7003"/>
    <w:rsid w:val="452A0A8E"/>
    <w:rsid w:val="45467D25"/>
    <w:rsid w:val="456C42B5"/>
    <w:rsid w:val="45B50E2F"/>
    <w:rsid w:val="46390601"/>
    <w:rsid w:val="46513B67"/>
    <w:rsid w:val="46532D73"/>
    <w:rsid w:val="46612BBF"/>
    <w:rsid w:val="466510E8"/>
    <w:rsid w:val="467E4216"/>
    <w:rsid w:val="46A05B8A"/>
    <w:rsid w:val="46C502B5"/>
    <w:rsid w:val="475A2C17"/>
    <w:rsid w:val="47CA44D1"/>
    <w:rsid w:val="47FE35A2"/>
    <w:rsid w:val="48225263"/>
    <w:rsid w:val="48330486"/>
    <w:rsid w:val="48594C7C"/>
    <w:rsid w:val="48621D83"/>
    <w:rsid w:val="488E4926"/>
    <w:rsid w:val="48934639"/>
    <w:rsid w:val="48CA61B5"/>
    <w:rsid w:val="48EC3D42"/>
    <w:rsid w:val="48EE565D"/>
    <w:rsid w:val="49245802"/>
    <w:rsid w:val="49591CBF"/>
    <w:rsid w:val="4964174A"/>
    <w:rsid w:val="49777AB0"/>
    <w:rsid w:val="497F0713"/>
    <w:rsid w:val="499B7691"/>
    <w:rsid w:val="49BC1AC3"/>
    <w:rsid w:val="49C37BB9"/>
    <w:rsid w:val="49EA6966"/>
    <w:rsid w:val="49ED7D72"/>
    <w:rsid w:val="4A273284"/>
    <w:rsid w:val="4ABA40F8"/>
    <w:rsid w:val="4AC960E9"/>
    <w:rsid w:val="4ACC5BD9"/>
    <w:rsid w:val="4ACD7C7A"/>
    <w:rsid w:val="4ACF6FC9"/>
    <w:rsid w:val="4AF86D17"/>
    <w:rsid w:val="4B103D18"/>
    <w:rsid w:val="4B19322D"/>
    <w:rsid w:val="4B8913FE"/>
    <w:rsid w:val="4BAF3FE0"/>
    <w:rsid w:val="4BDA0271"/>
    <w:rsid w:val="4BE86A7D"/>
    <w:rsid w:val="4BE96795"/>
    <w:rsid w:val="4BEE2565"/>
    <w:rsid w:val="4BF076A6"/>
    <w:rsid w:val="4C082C41"/>
    <w:rsid w:val="4C126731"/>
    <w:rsid w:val="4C892CA6"/>
    <w:rsid w:val="4CB05A24"/>
    <w:rsid w:val="4CB6269D"/>
    <w:rsid w:val="4CEC1239"/>
    <w:rsid w:val="4CF3173C"/>
    <w:rsid w:val="4D326056"/>
    <w:rsid w:val="4D474A0D"/>
    <w:rsid w:val="4D4D6C26"/>
    <w:rsid w:val="4D6B16DA"/>
    <w:rsid w:val="4D6E025B"/>
    <w:rsid w:val="4D7627AE"/>
    <w:rsid w:val="4D86480B"/>
    <w:rsid w:val="4DCE1C69"/>
    <w:rsid w:val="4DDD266E"/>
    <w:rsid w:val="4DF73320"/>
    <w:rsid w:val="4E214EED"/>
    <w:rsid w:val="4E4B3BC6"/>
    <w:rsid w:val="4E503C30"/>
    <w:rsid w:val="4EDD6DF3"/>
    <w:rsid w:val="4EF36140"/>
    <w:rsid w:val="4F3E1449"/>
    <w:rsid w:val="4F5A7C58"/>
    <w:rsid w:val="4F75548E"/>
    <w:rsid w:val="4FB20FD2"/>
    <w:rsid w:val="4FBA61EF"/>
    <w:rsid w:val="4FE25169"/>
    <w:rsid w:val="4FF10000"/>
    <w:rsid w:val="50000F6E"/>
    <w:rsid w:val="5046798C"/>
    <w:rsid w:val="508B3E41"/>
    <w:rsid w:val="508E5482"/>
    <w:rsid w:val="50AB540A"/>
    <w:rsid w:val="50CF01D2"/>
    <w:rsid w:val="50D2381E"/>
    <w:rsid w:val="511947C5"/>
    <w:rsid w:val="511C4931"/>
    <w:rsid w:val="5161268E"/>
    <w:rsid w:val="51671427"/>
    <w:rsid w:val="51695F30"/>
    <w:rsid w:val="518F0F33"/>
    <w:rsid w:val="51E66B19"/>
    <w:rsid w:val="520040DE"/>
    <w:rsid w:val="523E73BD"/>
    <w:rsid w:val="52546BE0"/>
    <w:rsid w:val="5257222D"/>
    <w:rsid w:val="528C45CC"/>
    <w:rsid w:val="52CF6267"/>
    <w:rsid w:val="52E15F9A"/>
    <w:rsid w:val="52E84717"/>
    <w:rsid w:val="532C2AC3"/>
    <w:rsid w:val="534327B1"/>
    <w:rsid w:val="536C30C9"/>
    <w:rsid w:val="53915C12"/>
    <w:rsid w:val="539A5141"/>
    <w:rsid w:val="541254E0"/>
    <w:rsid w:val="54134A99"/>
    <w:rsid w:val="545309D2"/>
    <w:rsid w:val="54607829"/>
    <w:rsid w:val="546E1AAF"/>
    <w:rsid w:val="54784632"/>
    <w:rsid w:val="54B64C6E"/>
    <w:rsid w:val="54CD4A28"/>
    <w:rsid w:val="54E83A99"/>
    <w:rsid w:val="54F31FD7"/>
    <w:rsid w:val="55727B3F"/>
    <w:rsid w:val="5579695E"/>
    <w:rsid w:val="55801A9A"/>
    <w:rsid w:val="5583158B"/>
    <w:rsid w:val="55A17CFD"/>
    <w:rsid w:val="5644397F"/>
    <w:rsid w:val="566C52A4"/>
    <w:rsid w:val="56791F36"/>
    <w:rsid w:val="569D0344"/>
    <w:rsid w:val="56D8599E"/>
    <w:rsid w:val="56FA587C"/>
    <w:rsid w:val="57202BE7"/>
    <w:rsid w:val="5746661C"/>
    <w:rsid w:val="575B456D"/>
    <w:rsid w:val="575B4970"/>
    <w:rsid w:val="576D42A0"/>
    <w:rsid w:val="57853398"/>
    <w:rsid w:val="57A33439"/>
    <w:rsid w:val="57E427B4"/>
    <w:rsid w:val="580619A4"/>
    <w:rsid w:val="5818245E"/>
    <w:rsid w:val="584D65AC"/>
    <w:rsid w:val="58900246"/>
    <w:rsid w:val="589C75F5"/>
    <w:rsid w:val="58DE0E74"/>
    <w:rsid w:val="58E31BE9"/>
    <w:rsid w:val="59445639"/>
    <w:rsid w:val="59554FEC"/>
    <w:rsid w:val="596A023E"/>
    <w:rsid w:val="596B480F"/>
    <w:rsid w:val="599E6993"/>
    <w:rsid w:val="59CF4D14"/>
    <w:rsid w:val="59DD37F0"/>
    <w:rsid w:val="59E80C4C"/>
    <w:rsid w:val="59EE791A"/>
    <w:rsid w:val="5A213326"/>
    <w:rsid w:val="5A225816"/>
    <w:rsid w:val="5AB3646E"/>
    <w:rsid w:val="5B034BDE"/>
    <w:rsid w:val="5B49241D"/>
    <w:rsid w:val="5B4E26A5"/>
    <w:rsid w:val="5B9B13DC"/>
    <w:rsid w:val="5BAD54FC"/>
    <w:rsid w:val="5BCB750F"/>
    <w:rsid w:val="5BDB7A2A"/>
    <w:rsid w:val="5BE32D83"/>
    <w:rsid w:val="5BE85205"/>
    <w:rsid w:val="5BEA2E4C"/>
    <w:rsid w:val="5C1D4AF5"/>
    <w:rsid w:val="5C207BC4"/>
    <w:rsid w:val="5C2A2760"/>
    <w:rsid w:val="5C566E68"/>
    <w:rsid w:val="5C62014C"/>
    <w:rsid w:val="5C742DD2"/>
    <w:rsid w:val="5C9A78E6"/>
    <w:rsid w:val="5CD80A69"/>
    <w:rsid w:val="5D14180F"/>
    <w:rsid w:val="5D2D17EA"/>
    <w:rsid w:val="5D2F7CA9"/>
    <w:rsid w:val="5D3F4519"/>
    <w:rsid w:val="5D47180E"/>
    <w:rsid w:val="5D51217F"/>
    <w:rsid w:val="5D69550A"/>
    <w:rsid w:val="5D6E6D98"/>
    <w:rsid w:val="5D795EFE"/>
    <w:rsid w:val="5D7B0CC0"/>
    <w:rsid w:val="5D8D744A"/>
    <w:rsid w:val="5DBA42CC"/>
    <w:rsid w:val="5DCF3B8B"/>
    <w:rsid w:val="5DD4565E"/>
    <w:rsid w:val="5DEE0640"/>
    <w:rsid w:val="5DF43025"/>
    <w:rsid w:val="5DF47E0F"/>
    <w:rsid w:val="5E0A0A9B"/>
    <w:rsid w:val="5E136313"/>
    <w:rsid w:val="5E56192D"/>
    <w:rsid w:val="5E622685"/>
    <w:rsid w:val="5E7A79CF"/>
    <w:rsid w:val="5E8E1C6D"/>
    <w:rsid w:val="5EA05EA1"/>
    <w:rsid w:val="5EA74B28"/>
    <w:rsid w:val="5EBD78BB"/>
    <w:rsid w:val="5EC151B3"/>
    <w:rsid w:val="5EC76EBC"/>
    <w:rsid w:val="5ECC3737"/>
    <w:rsid w:val="5ECC7AFE"/>
    <w:rsid w:val="5EDC2437"/>
    <w:rsid w:val="5EDF4A13"/>
    <w:rsid w:val="5F3E6C4E"/>
    <w:rsid w:val="5F48187B"/>
    <w:rsid w:val="5FB30CA1"/>
    <w:rsid w:val="602A3124"/>
    <w:rsid w:val="60365498"/>
    <w:rsid w:val="605B253F"/>
    <w:rsid w:val="60623A34"/>
    <w:rsid w:val="60DA1F55"/>
    <w:rsid w:val="60E2226A"/>
    <w:rsid w:val="60F4563A"/>
    <w:rsid w:val="610C0686"/>
    <w:rsid w:val="613025C6"/>
    <w:rsid w:val="613634C6"/>
    <w:rsid w:val="613A51F3"/>
    <w:rsid w:val="615F2EAC"/>
    <w:rsid w:val="61644C9B"/>
    <w:rsid w:val="618172C6"/>
    <w:rsid w:val="61A67CF6"/>
    <w:rsid w:val="61C07EF0"/>
    <w:rsid w:val="61FB0E26"/>
    <w:rsid w:val="620B1345"/>
    <w:rsid w:val="62233F15"/>
    <w:rsid w:val="623956FD"/>
    <w:rsid w:val="62461EB9"/>
    <w:rsid w:val="626F369E"/>
    <w:rsid w:val="628308FB"/>
    <w:rsid w:val="629C1102"/>
    <w:rsid w:val="62B2513E"/>
    <w:rsid w:val="62CF4061"/>
    <w:rsid w:val="62DB5585"/>
    <w:rsid w:val="62F958AC"/>
    <w:rsid w:val="63075FE4"/>
    <w:rsid w:val="63224191"/>
    <w:rsid w:val="632443AD"/>
    <w:rsid w:val="635835FF"/>
    <w:rsid w:val="6362003E"/>
    <w:rsid w:val="63721EBB"/>
    <w:rsid w:val="637C367C"/>
    <w:rsid w:val="63957502"/>
    <w:rsid w:val="63C81B5F"/>
    <w:rsid w:val="640308ED"/>
    <w:rsid w:val="64064131"/>
    <w:rsid w:val="641451FA"/>
    <w:rsid w:val="644C515F"/>
    <w:rsid w:val="64654DEB"/>
    <w:rsid w:val="647F2ED4"/>
    <w:rsid w:val="64D42453"/>
    <w:rsid w:val="64E22B50"/>
    <w:rsid w:val="64FB3A69"/>
    <w:rsid w:val="65102150"/>
    <w:rsid w:val="651238D3"/>
    <w:rsid w:val="654E03AE"/>
    <w:rsid w:val="65556026"/>
    <w:rsid w:val="656211BC"/>
    <w:rsid w:val="65984564"/>
    <w:rsid w:val="65C14BAB"/>
    <w:rsid w:val="65DE4CE7"/>
    <w:rsid w:val="6608317E"/>
    <w:rsid w:val="662C0ABA"/>
    <w:rsid w:val="667B32D7"/>
    <w:rsid w:val="66824FCA"/>
    <w:rsid w:val="668A2164"/>
    <w:rsid w:val="669C06FE"/>
    <w:rsid w:val="66ED0F5A"/>
    <w:rsid w:val="66F47D30"/>
    <w:rsid w:val="66F52974"/>
    <w:rsid w:val="66FE3B5D"/>
    <w:rsid w:val="672C50B4"/>
    <w:rsid w:val="67575255"/>
    <w:rsid w:val="67627252"/>
    <w:rsid w:val="67955C0D"/>
    <w:rsid w:val="6796514D"/>
    <w:rsid w:val="67DF34E4"/>
    <w:rsid w:val="67F768F0"/>
    <w:rsid w:val="683C7AA3"/>
    <w:rsid w:val="686974C1"/>
    <w:rsid w:val="68752623"/>
    <w:rsid w:val="68862EE1"/>
    <w:rsid w:val="68AC4D0C"/>
    <w:rsid w:val="68C27158"/>
    <w:rsid w:val="68DF1D45"/>
    <w:rsid w:val="68E84E17"/>
    <w:rsid w:val="692A3F84"/>
    <w:rsid w:val="69391E5C"/>
    <w:rsid w:val="694829C0"/>
    <w:rsid w:val="6954706E"/>
    <w:rsid w:val="698369D2"/>
    <w:rsid w:val="69EB7CC6"/>
    <w:rsid w:val="6A022F6E"/>
    <w:rsid w:val="6A0779D8"/>
    <w:rsid w:val="6A6A700A"/>
    <w:rsid w:val="6A7B5DE7"/>
    <w:rsid w:val="6A9737B1"/>
    <w:rsid w:val="6AF04B38"/>
    <w:rsid w:val="6AF52A3D"/>
    <w:rsid w:val="6AFC79BD"/>
    <w:rsid w:val="6B192E75"/>
    <w:rsid w:val="6B6C0145"/>
    <w:rsid w:val="6BC93D43"/>
    <w:rsid w:val="6BD44496"/>
    <w:rsid w:val="6C557385"/>
    <w:rsid w:val="6C7C0A1C"/>
    <w:rsid w:val="6C8D4D71"/>
    <w:rsid w:val="6C9C2097"/>
    <w:rsid w:val="6CAB3449"/>
    <w:rsid w:val="6CB03EAD"/>
    <w:rsid w:val="6D077A62"/>
    <w:rsid w:val="6D2D4989"/>
    <w:rsid w:val="6D3163D6"/>
    <w:rsid w:val="6D4B2564"/>
    <w:rsid w:val="6D4C219F"/>
    <w:rsid w:val="6D602ADB"/>
    <w:rsid w:val="6D8D4598"/>
    <w:rsid w:val="6D91263F"/>
    <w:rsid w:val="6DF0265A"/>
    <w:rsid w:val="6DFE038D"/>
    <w:rsid w:val="6E015EDC"/>
    <w:rsid w:val="6E387310"/>
    <w:rsid w:val="6E421B8B"/>
    <w:rsid w:val="6E640C3A"/>
    <w:rsid w:val="6E6D4BA6"/>
    <w:rsid w:val="6EB917E0"/>
    <w:rsid w:val="6EBE0B4D"/>
    <w:rsid w:val="6EC8327B"/>
    <w:rsid w:val="6EE45C9F"/>
    <w:rsid w:val="6EFF5436"/>
    <w:rsid w:val="6F1F6036"/>
    <w:rsid w:val="6F6F69B0"/>
    <w:rsid w:val="6F8F53E1"/>
    <w:rsid w:val="6F97029C"/>
    <w:rsid w:val="6FE97BA5"/>
    <w:rsid w:val="6FF661BE"/>
    <w:rsid w:val="7018714F"/>
    <w:rsid w:val="701A124D"/>
    <w:rsid w:val="701B2159"/>
    <w:rsid w:val="703419A7"/>
    <w:rsid w:val="704158C2"/>
    <w:rsid w:val="704936A5"/>
    <w:rsid w:val="70914EC9"/>
    <w:rsid w:val="70AB5F9E"/>
    <w:rsid w:val="70AD6439"/>
    <w:rsid w:val="70DA42FD"/>
    <w:rsid w:val="70F5731A"/>
    <w:rsid w:val="70FD6883"/>
    <w:rsid w:val="713734FD"/>
    <w:rsid w:val="714D0F73"/>
    <w:rsid w:val="718A7AD1"/>
    <w:rsid w:val="71C31664"/>
    <w:rsid w:val="71FC4BC8"/>
    <w:rsid w:val="72417682"/>
    <w:rsid w:val="7245773D"/>
    <w:rsid w:val="728C7F6A"/>
    <w:rsid w:val="72DD1ABC"/>
    <w:rsid w:val="72EB27F1"/>
    <w:rsid w:val="730833A3"/>
    <w:rsid w:val="736F2051"/>
    <w:rsid w:val="73B334C1"/>
    <w:rsid w:val="73C1654E"/>
    <w:rsid w:val="740A2783"/>
    <w:rsid w:val="741E6204"/>
    <w:rsid w:val="746D7C6A"/>
    <w:rsid w:val="74720851"/>
    <w:rsid w:val="747E6EFF"/>
    <w:rsid w:val="74A375D0"/>
    <w:rsid w:val="750F7BEE"/>
    <w:rsid w:val="751C14C7"/>
    <w:rsid w:val="75732923"/>
    <w:rsid w:val="75866801"/>
    <w:rsid w:val="75890554"/>
    <w:rsid w:val="758E60DA"/>
    <w:rsid w:val="759D629E"/>
    <w:rsid w:val="75A675E6"/>
    <w:rsid w:val="75C80C26"/>
    <w:rsid w:val="75C94940"/>
    <w:rsid w:val="75E151FB"/>
    <w:rsid w:val="76120095"/>
    <w:rsid w:val="764D731F"/>
    <w:rsid w:val="766B7B83"/>
    <w:rsid w:val="7671300D"/>
    <w:rsid w:val="76CC5467"/>
    <w:rsid w:val="76CC5558"/>
    <w:rsid w:val="76EC740F"/>
    <w:rsid w:val="76EF6C71"/>
    <w:rsid w:val="76FF4FF8"/>
    <w:rsid w:val="773E1717"/>
    <w:rsid w:val="77404207"/>
    <w:rsid w:val="77707769"/>
    <w:rsid w:val="777F4B4F"/>
    <w:rsid w:val="778601D1"/>
    <w:rsid w:val="779D2186"/>
    <w:rsid w:val="77A6318B"/>
    <w:rsid w:val="77A71672"/>
    <w:rsid w:val="77E43CB3"/>
    <w:rsid w:val="77EF301B"/>
    <w:rsid w:val="780A4CC7"/>
    <w:rsid w:val="78216835"/>
    <w:rsid w:val="78450E1C"/>
    <w:rsid w:val="785A1755"/>
    <w:rsid w:val="786F2638"/>
    <w:rsid w:val="787225AD"/>
    <w:rsid w:val="788B01D8"/>
    <w:rsid w:val="78A91128"/>
    <w:rsid w:val="78C25DA2"/>
    <w:rsid w:val="7931117A"/>
    <w:rsid w:val="79464C25"/>
    <w:rsid w:val="794E5888"/>
    <w:rsid w:val="79584959"/>
    <w:rsid w:val="795C1802"/>
    <w:rsid w:val="797F524E"/>
    <w:rsid w:val="79960FDD"/>
    <w:rsid w:val="79A177D4"/>
    <w:rsid w:val="79DC10E6"/>
    <w:rsid w:val="79F052A1"/>
    <w:rsid w:val="79F17243"/>
    <w:rsid w:val="79FE29D3"/>
    <w:rsid w:val="7A014843"/>
    <w:rsid w:val="7A543053"/>
    <w:rsid w:val="7A6A40CD"/>
    <w:rsid w:val="7A7632E8"/>
    <w:rsid w:val="7A8363CF"/>
    <w:rsid w:val="7AC11B9D"/>
    <w:rsid w:val="7AC4352C"/>
    <w:rsid w:val="7B072192"/>
    <w:rsid w:val="7B0C00A5"/>
    <w:rsid w:val="7B1D19B6"/>
    <w:rsid w:val="7B2B3C0B"/>
    <w:rsid w:val="7B58269F"/>
    <w:rsid w:val="7B7517F2"/>
    <w:rsid w:val="7B7535A0"/>
    <w:rsid w:val="7B8D07F3"/>
    <w:rsid w:val="7B902188"/>
    <w:rsid w:val="7BA66491"/>
    <w:rsid w:val="7BA93B26"/>
    <w:rsid w:val="7C36441A"/>
    <w:rsid w:val="7C3B7382"/>
    <w:rsid w:val="7C493C80"/>
    <w:rsid w:val="7C817D22"/>
    <w:rsid w:val="7C835849"/>
    <w:rsid w:val="7C943EFA"/>
    <w:rsid w:val="7CDB7433"/>
    <w:rsid w:val="7CF404F4"/>
    <w:rsid w:val="7D6065E3"/>
    <w:rsid w:val="7D827CD7"/>
    <w:rsid w:val="7DAE683F"/>
    <w:rsid w:val="7DFA7D8C"/>
    <w:rsid w:val="7E755665"/>
    <w:rsid w:val="7E973746"/>
    <w:rsid w:val="7EC3302F"/>
    <w:rsid w:val="7ECA0A63"/>
    <w:rsid w:val="7F5A06FB"/>
    <w:rsid w:val="7F6846AF"/>
    <w:rsid w:val="7F792E5F"/>
    <w:rsid w:val="7F82628B"/>
    <w:rsid w:val="7F8C2C66"/>
    <w:rsid w:val="7FA459F6"/>
    <w:rsid w:val="7FCC39AA"/>
    <w:rsid w:val="7FEB2083"/>
    <w:rsid w:val="7FEC5DFB"/>
    <w:rsid w:val="7FF69B65"/>
    <w:rsid w:val="7FFC4290"/>
    <w:rsid w:val="865F5C53"/>
    <w:rsid w:val="97BF26F5"/>
    <w:rsid w:val="DDF6A28A"/>
    <w:rsid w:val="F6F7EF4D"/>
    <w:rsid w:val="FFDCB857"/>
  </w:rsids>
  <m:mathPr>
    <m:mathFont m:val="Cambria Math"/>
    <m:brkBin m:val="before"/>
    <m:brkBinSub m:val="--"/>
    <m:smallFrac m:val="0"/>
    <m:dispDef/>
    <m:lMargin m:val="0"/>
    <m:rMargin m:val="0"/>
    <m:defJc m:val="centerGroup"/>
    <m:wrapRight m:val="1"/>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qFormat="1" w:unhideWhenUsed="0" w:uiPriority="0" w:semiHidden="0" w:name="endnote text"/>
    <w:lsdException w:qFormat="1" w:unhideWhenUsed="0" w:uiPriority="0" w:semiHidden="0"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qFormat="1" w:unhideWhenUsed="0" w:uiPriority="0" w:semiHidden="0" w:name="List Bullet 3"/>
    <w:lsdException w:uiPriority="99" w:name="List Bullet 4"/>
    <w:lsdException w:uiPriority="99" w:name="List Bullet 5"/>
    <w:lsdException w:qFormat="1" w:unhideWhenUsed="0" w:uiPriority="0" w:semiHidden="0" w:name="List Number 2"/>
    <w:lsdException w:uiPriority="99" w:name="List Number 3"/>
    <w:lsdException w:qFormat="1" w:unhideWhenUsed="0" w:uiPriority="0" w:semiHidden="0"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99"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qFormat="1"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Calibri" w:hAnsi="Calibri" w:eastAsia="宋体" w:cs="Times New Roman"/>
      <w:sz w:val="22"/>
      <w:szCs w:val="22"/>
      <w:lang w:val="en-US" w:eastAsia="en-US" w:bidi="ar-SA"/>
    </w:rPr>
  </w:style>
  <w:style w:type="paragraph" w:styleId="2">
    <w:name w:val="heading 1"/>
    <w:basedOn w:val="1"/>
    <w:next w:val="1"/>
    <w:link w:val="89"/>
    <w:qFormat/>
    <w:uiPriority w:val="0"/>
    <w:pPr>
      <w:ind w:left="3"/>
      <w:outlineLvl w:val="0"/>
    </w:pPr>
    <w:rPr>
      <w:rFonts w:ascii="Microsoft JhengHei" w:hAnsi="Microsoft JhengHei" w:eastAsia="Microsoft JhengHei"/>
      <w:b/>
      <w:bCs/>
      <w:sz w:val="44"/>
      <w:szCs w:val="44"/>
    </w:rPr>
  </w:style>
  <w:style w:type="paragraph" w:styleId="3">
    <w:name w:val="heading 2"/>
    <w:basedOn w:val="1"/>
    <w:next w:val="1"/>
    <w:link w:val="685"/>
    <w:qFormat/>
    <w:uiPriority w:val="0"/>
    <w:pPr>
      <w:spacing w:before="120" w:after="120"/>
      <w:ind w:left="3"/>
      <w:jc w:val="center"/>
      <w:outlineLvl w:val="1"/>
    </w:pPr>
    <w:rPr>
      <w:rFonts w:ascii="宋体" w:hAnsi="宋体"/>
      <w:b/>
      <w:sz w:val="44"/>
      <w:szCs w:val="44"/>
    </w:rPr>
  </w:style>
  <w:style w:type="paragraph" w:styleId="4">
    <w:name w:val="heading 3"/>
    <w:basedOn w:val="1"/>
    <w:next w:val="1"/>
    <w:link w:val="91"/>
    <w:qFormat/>
    <w:uiPriority w:val="9"/>
    <w:pPr>
      <w:ind w:left="100"/>
      <w:outlineLvl w:val="2"/>
    </w:pPr>
    <w:rPr>
      <w:rFonts w:ascii="Microsoft JhengHei" w:hAnsi="Microsoft JhengHei"/>
      <w:b/>
      <w:bCs/>
      <w:sz w:val="30"/>
      <w:szCs w:val="32"/>
    </w:rPr>
  </w:style>
  <w:style w:type="paragraph" w:styleId="5">
    <w:name w:val="heading 4"/>
    <w:basedOn w:val="1"/>
    <w:next w:val="1"/>
    <w:link w:val="92"/>
    <w:qFormat/>
    <w:uiPriority w:val="0"/>
    <w:pPr>
      <w:ind w:left="237"/>
      <w:outlineLvl w:val="3"/>
    </w:pPr>
    <w:rPr>
      <w:rFonts w:ascii="宋体" w:hAnsi="宋体"/>
      <w:sz w:val="28"/>
      <w:szCs w:val="28"/>
    </w:rPr>
  </w:style>
  <w:style w:type="paragraph" w:styleId="6">
    <w:name w:val="heading 5"/>
    <w:basedOn w:val="1"/>
    <w:next w:val="1"/>
    <w:link w:val="93"/>
    <w:qFormat/>
    <w:uiPriority w:val="0"/>
    <w:pPr>
      <w:ind w:left="522"/>
      <w:outlineLvl w:val="4"/>
    </w:pPr>
    <w:rPr>
      <w:rFonts w:ascii="Times New Roman" w:hAnsi="Times New Roman" w:eastAsia="Times New Roman"/>
      <w:b/>
      <w:bCs/>
      <w:sz w:val="21"/>
      <w:szCs w:val="21"/>
    </w:rPr>
  </w:style>
  <w:style w:type="paragraph" w:styleId="7">
    <w:name w:val="heading 6"/>
    <w:basedOn w:val="1"/>
    <w:next w:val="1"/>
    <w:link w:val="94"/>
    <w:qFormat/>
    <w:uiPriority w:val="0"/>
    <w:pPr>
      <w:widowControl/>
      <w:tabs>
        <w:tab w:val="left" w:pos="567"/>
        <w:tab w:val="left" w:pos="1418"/>
        <w:tab w:val="left" w:pos="2268"/>
        <w:tab w:val="left" w:pos="3402"/>
        <w:tab w:val="left" w:pos="4536"/>
        <w:tab w:val="left" w:pos="5954"/>
      </w:tabs>
      <w:overflowPunct w:val="0"/>
      <w:autoSpaceDE w:val="0"/>
      <w:autoSpaceDN w:val="0"/>
      <w:adjustRightInd w:val="0"/>
      <w:ind w:left="200" w:leftChars="200" w:right="100" w:rightChars="100"/>
      <w:jc w:val="both"/>
      <w:textAlignment w:val="baseline"/>
      <w:outlineLvl w:val="5"/>
    </w:pPr>
    <w:rPr>
      <w:rFonts w:ascii="Helvetica" w:hAnsi="Helvetica"/>
      <w:position w:val="-6"/>
      <w:szCs w:val="20"/>
      <w:lang w:val="en-GB" w:eastAsia="zh-CN"/>
    </w:rPr>
  </w:style>
  <w:style w:type="paragraph" w:styleId="8">
    <w:name w:val="heading 7"/>
    <w:basedOn w:val="1"/>
    <w:next w:val="1"/>
    <w:link w:val="95"/>
    <w:qFormat/>
    <w:uiPriority w:val="0"/>
    <w:pPr>
      <w:widowControl/>
      <w:numPr>
        <w:ilvl w:val="6"/>
        <w:numId w:val="1"/>
      </w:numPr>
      <w:overflowPunct w:val="0"/>
      <w:autoSpaceDE w:val="0"/>
      <w:autoSpaceDN w:val="0"/>
      <w:adjustRightInd w:val="0"/>
      <w:jc w:val="both"/>
      <w:textAlignment w:val="baseline"/>
      <w:outlineLvl w:val="6"/>
    </w:pPr>
    <w:rPr>
      <w:rFonts w:ascii="Times New Roman" w:hAnsi="Times New Roman"/>
      <w:i/>
      <w:position w:val="-6"/>
      <w:szCs w:val="20"/>
      <w:lang w:val="en-GB" w:eastAsia="zh-CN"/>
    </w:rPr>
  </w:style>
  <w:style w:type="paragraph" w:styleId="9">
    <w:name w:val="heading 8"/>
    <w:basedOn w:val="1"/>
    <w:next w:val="1"/>
    <w:link w:val="96"/>
    <w:qFormat/>
    <w:uiPriority w:val="0"/>
    <w:pPr>
      <w:widowControl/>
      <w:numPr>
        <w:ilvl w:val="7"/>
        <w:numId w:val="1"/>
      </w:numPr>
      <w:overflowPunct w:val="0"/>
      <w:autoSpaceDE w:val="0"/>
      <w:autoSpaceDN w:val="0"/>
      <w:adjustRightInd w:val="0"/>
      <w:jc w:val="both"/>
      <w:textAlignment w:val="baseline"/>
      <w:outlineLvl w:val="7"/>
    </w:pPr>
    <w:rPr>
      <w:rFonts w:ascii="Times New Roman" w:hAnsi="Times New Roman"/>
      <w:i/>
      <w:position w:val="-6"/>
      <w:szCs w:val="20"/>
      <w:lang w:val="en-GB" w:eastAsia="zh-CN"/>
    </w:rPr>
  </w:style>
  <w:style w:type="paragraph" w:styleId="10">
    <w:name w:val="heading 9"/>
    <w:basedOn w:val="1"/>
    <w:next w:val="1"/>
    <w:link w:val="97"/>
    <w:qFormat/>
    <w:uiPriority w:val="0"/>
    <w:pPr>
      <w:widowControl/>
      <w:numPr>
        <w:ilvl w:val="8"/>
        <w:numId w:val="1"/>
      </w:numPr>
      <w:overflowPunct w:val="0"/>
      <w:autoSpaceDE w:val="0"/>
      <w:autoSpaceDN w:val="0"/>
      <w:adjustRightInd w:val="0"/>
      <w:jc w:val="both"/>
      <w:textAlignment w:val="baseline"/>
      <w:outlineLvl w:val="8"/>
    </w:pPr>
    <w:rPr>
      <w:rFonts w:ascii="Times New Roman" w:hAnsi="Times New Roman"/>
      <w:i/>
      <w:position w:val="-6"/>
      <w:szCs w:val="20"/>
      <w:lang w:val="en-GB" w:eastAsia="zh-CN"/>
    </w:rPr>
  </w:style>
  <w:style w:type="character" w:default="1" w:styleId="71">
    <w:name w:val="Default Paragraph Font"/>
    <w:unhideWhenUsed/>
    <w:qFormat/>
    <w:uiPriority w:val="1"/>
  </w:style>
  <w:style w:type="table" w:default="1" w:styleId="67">
    <w:name w:val="Normal Table"/>
    <w:unhideWhenUsed/>
    <w:qFormat/>
    <w:uiPriority w:val="99"/>
    <w:tblPr>
      <w:tblCellMar>
        <w:top w:w="0" w:type="dxa"/>
        <w:left w:w="108" w:type="dxa"/>
        <w:bottom w:w="0" w:type="dxa"/>
        <w:right w:w="108" w:type="dxa"/>
      </w:tblCellMar>
    </w:tblPr>
  </w:style>
  <w:style w:type="paragraph" w:styleId="11">
    <w:name w:val="List 3"/>
    <w:basedOn w:val="1"/>
    <w:qFormat/>
    <w:uiPriority w:val="0"/>
    <w:pPr>
      <w:adjustRightInd w:val="0"/>
      <w:spacing w:line="312" w:lineRule="atLeast"/>
      <w:ind w:left="1260" w:hanging="420"/>
      <w:jc w:val="both"/>
      <w:textAlignment w:val="baseline"/>
    </w:pPr>
    <w:rPr>
      <w:rFonts w:ascii="Times New Roman" w:hAnsi="Times New Roman"/>
      <w:sz w:val="21"/>
      <w:szCs w:val="20"/>
      <w:lang w:eastAsia="zh-CN"/>
    </w:rPr>
  </w:style>
  <w:style w:type="paragraph" w:styleId="12">
    <w:name w:val="toc 7"/>
    <w:basedOn w:val="1"/>
    <w:next w:val="1"/>
    <w:qFormat/>
    <w:uiPriority w:val="39"/>
    <w:pPr>
      <w:widowControl/>
      <w:ind w:left="1200"/>
    </w:pPr>
    <w:rPr>
      <w:rFonts w:ascii="Times New Roman" w:hAnsi="Times New Roman"/>
      <w:sz w:val="20"/>
      <w:szCs w:val="21"/>
      <w:lang w:eastAsia="zh-CN"/>
    </w:rPr>
  </w:style>
  <w:style w:type="paragraph" w:styleId="13">
    <w:name w:val="List Number 2"/>
    <w:basedOn w:val="1"/>
    <w:qFormat/>
    <w:uiPriority w:val="0"/>
    <w:pPr>
      <w:tabs>
        <w:tab w:val="left" w:pos="360"/>
        <w:tab w:val="left" w:pos="1200"/>
      </w:tabs>
    </w:pPr>
    <w:rPr>
      <w:rFonts w:ascii="Times New Roman" w:hAnsi="Times New Roman" w:cs="Arial"/>
      <w:kern w:val="2"/>
      <w:sz w:val="28"/>
      <w:szCs w:val="20"/>
      <w:lang w:eastAsia="zh-CN"/>
    </w:rPr>
  </w:style>
  <w:style w:type="paragraph" w:styleId="14">
    <w:name w:val="table of authorities"/>
    <w:basedOn w:val="1"/>
    <w:next w:val="1"/>
    <w:qFormat/>
    <w:uiPriority w:val="0"/>
    <w:pPr>
      <w:ind w:left="420" w:leftChars="200"/>
      <w:jc w:val="both"/>
    </w:pPr>
    <w:rPr>
      <w:rFonts w:ascii="Times New Roman" w:hAnsi="Times New Roman"/>
      <w:kern w:val="2"/>
      <w:sz w:val="21"/>
      <w:szCs w:val="24"/>
      <w:lang w:eastAsia="zh-CN"/>
    </w:rPr>
  </w:style>
  <w:style w:type="paragraph" w:styleId="15">
    <w:name w:val="index 8"/>
    <w:basedOn w:val="1"/>
    <w:next w:val="1"/>
    <w:qFormat/>
    <w:uiPriority w:val="0"/>
    <w:pPr>
      <w:spacing w:line="440" w:lineRule="exact"/>
      <w:ind w:left="1400" w:leftChars="1400" w:firstLine="300" w:firstLineChars="300"/>
    </w:pPr>
    <w:rPr>
      <w:rFonts w:ascii="华文细黑" w:hAnsi="华文细黑" w:cs="Arial"/>
      <w:sz w:val="21"/>
      <w:szCs w:val="21"/>
      <w:lang w:eastAsia="zh-CN"/>
    </w:rPr>
  </w:style>
  <w:style w:type="paragraph" w:styleId="16">
    <w:name w:val="List Number"/>
    <w:basedOn w:val="1"/>
    <w:qFormat/>
    <w:uiPriority w:val="0"/>
    <w:pPr>
      <w:widowControl/>
      <w:overflowPunct w:val="0"/>
      <w:autoSpaceDE w:val="0"/>
      <w:autoSpaceDN w:val="0"/>
      <w:adjustRightInd w:val="0"/>
      <w:ind w:left="425" w:hanging="425"/>
      <w:jc w:val="both"/>
      <w:textAlignment w:val="baseline"/>
    </w:pPr>
    <w:rPr>
      <w:rFonts w:ascii="Times New Roman" w:hAnsi="Arial"/>
      <w:sz w:val="28"/>
      <w:szCs w:val="28"/>
      <w:lang w:eastAsia="zh-CN"/>
    </w:rPr>
  </w:style>
  <w:style w:type="paragraph" w:styleId="17">
    <w:name w:val="Normal Indent"/>
    <w:basedOn w:val="1"/>
    <w:next w:val="1"/>
    <w:link w:val="98"/>
    <w:qFormat/>
    <w:uiPriority w:val="0"/>
    <w:pPr>
      <w:ind w:firstLine="420" w:firstLineChars="200"/>
      <w:jc w:val="both"/>
    </w:pPr>
    <w:rPr>
      <w:kern w:val="2"/>
      <w:sz w:val="21"/>
      <w:szCs w:val="24"/>
    </w:rPr>
  </w:style>
  <w:style w:type="paragraph" w:styleId="18">
    <w:name w:val="caption"/>
    <w:basedOn w:val="1"/>
    <w:next w:val="1"/>
    <w:qFormat/>
    <w:uiPriority w:val="0"/>
    <w:pPr>
      <w:tabs>
        <w:tab w:val="left" w:pos="1050"/>
      </w:tabs>
      <w:spacing w:line="400" w:lineRule="exact"/>
      <w:ind w:firstLine="100"/>
      <w:jc w:val="both"/>
    </w:pPr>
    <w:rPr>
      <w:rFonts w:ascii="Times New Roman" w:hAnsi="Times New Roman"/>
      <w:kern w:val="2"/>
      <w:sz w:val="28"/>
      <w:szCs w:val="24"/>
      <w:lang w:eastAsia="zh-CN"/>
    </w:rPr>
  </w:style>
  <w:style w:type="paragraph" w:styleId="19">
    <w:name w:val="index 5"/>
    <w:basedOn w:val="1"/>
    <w:next w:val="1"/>
    <w:qFormat/>
    <w:uiPriority w:val="0"/>
    <w:pPr>
      <w:spacing w:line="440" w:lineRule="exact"/>
      <w:ind w:left="800" w:leftChars="800" w:firstLine="300" w:firstLineChars="300"/>
    </w:pPr>
    <w:rPr>
      <w:rFonts w:ascii="华文细黑" w:hAnsi="华文细黑" w:cs="Arial"/>
      <w:sz w:val="21"/>
      <w:szCs w:val="21"/>
      <w:lang w:eastAsia="zh-CN"/>
    </w:rPr>
  </w:style>
  <w:style w:type="paragraph" w:styleId="20">
    <w:name w:val="List Bullet"/>
    <w:basedOn w:val="1"/>
    <w:qFormat/>
    <w:uiPriority w:val="0"/>
    <w:pPr>
      <w:numPr>
        <w:ilvl w:val="0"/>
        <w:numId w:val="2"/>
      </w:numPr>
      <w:tabs>
        <w:tab w:val="left" w:pos="284"/>
        <w:tab w:val="clear" w:pos="860"/>
      </w:tabs>
      <w:jc w:val="both"/>
    </w:pPr>
    <w:rPr>
      <w:rFonts w:ascii="Times New Roman" w:hAnsi="Times New Roman"/>
      <w:kern w:val="2"/>
      <w:sz w:val="21"/>
      <w:szCs w:val="20"/>
      <w:lang w:eastAsia="zh-CN"/>
    </w:rPr>
  </w:style>
  <w:style w:type="paragraph" w:styleId="21">
    <w:name w:val="Document Map"/>
    <w:basedOn w:val="1"/>
    <w:link w:val="99"/>
    <w:qFormat/>
    <w:uiPriority w:val="0"/>
    <w:pPr>
      <w:widowControl/>
      <w:shd w:val="clear" w:color="auto" w:fill="000080"/>
      <w:tabs>
        <w:tab w:val="left" w:pos="851"/>
      </w:tabs>
      <w:autoSpaceDE w:val="0"/>
      <w:autoSpaceDN w:val="0"/>
      <w:snapToGrid w:val="0"/>
      <w:spacing w:after="120" w:line="360" w:lineRule="auto"/>
      <w:ind w:left="-4" w:leftChars="-4" w:hanging="11" w:hangingChars="4"/>
      <w:jc w:val="both"/>
      <w:textAlignment w:val="bottom"/>
    </w:pPr>
    <w:rPr>
      <w:rFonts w:ascii="宋体" w:hAnsi="宋体"/>
      <w:bCs/>
      <w:spacing w:val="20"/>
      <w:kern w:val="21"/>
      <w:sz w:val="24"/>
      <w:lang w:eastAsia="zh-CN"/>
    </w:rPr>
  </w:style>
  <w:style w:type="paragraph" w:styleId="22">
    <w:name w:val="toa heading"/>
    <w:basedOn w:val="1"/>
    <w:next w:val="1"/>
    <w:qFormat/>
    <w:uiPriority w:val="0"/>
    <w:pPr>
      <w:spacing w:before="120"/>
      <w:jc w:val="both"/>
    </w:pPr>
    <w:rPr>
      <w:rFonts w:ascii="Arial" w:hAnsi="Arial" w:cs="Arial"/>
      <w:kern w:val="2"/>
      <w:sz w:val="24"/>
      <w:szCs w:val="24"/>
      <w:lang w:eastAsia="zh-CN"/>
    </w:rPr>
  </w:style>
  <w:style w:type="paragraph" w:styleId="23">
    <w:name w:val="annotation text"/>
    <w:basedOn w:val="1"/>
    <w:link w:val="100"/>
    <w:qFormat/>
    <w:uiPriority w:val="0"/>
  </w:style>
  <w:style w:type="paragraph" w:styleId="24">
    <w:name w:val="index 6"/>
    <w:basedOn w:val="1"/>
    <w:next w:val="1"/>
    <w:qFormat/>
    <w:uiPriority w:val="0"/>
    <w:pPr>
      <w:spacing w:line="440" w:lineRule="exact"/>
      <w:ind w:left="1000" w:leftChars="1000" w:firstLine="300" w:firstLineChars="300"/>
    </w:pPr>
    <w:rPr>
      <w:rFonts w:ascii="华文细黑" w:hAnsi="华文细黑" w:cs="Arial"/>
      <w:sz w:val="21"/>
      <w:szCs w:val="21"/>
      <w:lang w:eastAsia="zh-CN"/>
    </w:rPr>
  </w:style>
  <w:style w:type="paragraph" w:styleId="25">
    <w:name w:val="Salutation"/>
    <w:basedOn w:val="1"/>
    <w:next w:val="1"/>
    <w:link w:val="101"/>
    <w:qFormat/>
    <w:uiPriority w:val="0"/>
    <w:pPr>
      <w:ind w:firstLine="630" w:firstLineChars="300"/>
    </w:pPr>
    <w:rPr>
      <w:rFonts w:ascii="Times New Roman" w:hAnsi="Times New Roman" w:cs="Arial"/>
      <w:kern w:val="2"/>
      <w:sz w:val="28"/>
      <w:szCs w:val="20"/>
      <w:lang w:eastAsia="zh-CN"/>
    </w:rPr>
  </w:style>
  <w:style w:type="paragraph" w:styleId="26">
    <w:name w:val="Body Text 3"/>
    <w:basedOn w:val="1"/>
    <w:link w:val="102"/>
    <w:qFormat/>
    <w:uiPriority w:val="0"/>
    <w:pPr>
      <w:widowControl/>
    </w:pPr>
    <w:rPr>
      <w:rFonts w:ascii="宋体"/>
      <w:b/>
      <w:bCs/>
      <w:sz w:val="21"/>
      <w:lang w:eastAsia="zh-CN"/>
    </w:rPr>
  </w:style>
  <w:style w:type="paragraph" w:styleId="27">
    <w:name w:val="List Bullet 3"/>
    <w:basedOn w:val="1"/>
    <w:qFormat/>
    <w:uiPriority w:val="0"/>
    <w:pPr>
      <w:widowControl/>
      <w:tabs>
        <w:tab w:val="left" w:pos="1200"/>
      </w:tabs>
      <w:spacing w:after="120" w:line="360" w:lineRule="auto"/>
      <w:ind w:left="1200" w:hanging="360"/>
    </w:pPr>
    <w:rPr>
      <w:rFonts w:ascii="Times New Roman" w:hAnsi="Times New Roman" w:cs="Arial"/>
      <w:sz w:val="20"/>
      <w:szCs w:val="20"/>
      <w:lang w:eastAsia="zh-CN"/>
    </w:rPr>
  </w:style>
  <w:style w:type="paragraph" w:styleId="28">
    <w:name w:val="Body Text"/>
    <w:basedOn w:val="1"/>
    <w:next w:val="1"/>
    <w:link w:val="88"/>
    <w:qFormat/>
    <w:uiPriority w:val="0"/>
    <w:pPr>
      <w:ind w:left="100"/>
    </w:pPr>
    <w:rPr>
      <w:rFonts w:ascii="宋体" w:hAnsi="宋体"/>
      <w:sz w:val="21"/>
      <w:szCs w:val="21"/>
    </w:rPr>
  </w:style>
  <w:style w:type="paragraph" w:styleId="29">
    <w:name w:val="Body Text Indent"/>
    <w:basedOn w:val="1"/>
    <w:next w:val="1"/>
    <w:link w:val="103"/>
    <w:qFormat/>
    <w:uiPriority w:val="0"/>
    <w:pPr>
      <w:widowControl/>
      <w:tabs>
        <w:tab w:val="left" w:pos="993"/>
      </w:tabs>
      <w:spacing w:line="360" w:lineRule="auto"/>
      <w:ind w:left="4099" w:leftChars="949" w:hanging="2201" w:hangingChars="687"/>
      <w:jc w:val="both"/>
    </w:pPr>
    <w:rPr>
      <w:rFonts w:ascii="Arial" w:hAnsi="Arial" w:eastAsia="幼圆"/>
      <w:b/>
      <w:sz w:val="32"/>
      <w:lang w:eastAsia="zh-CN"/>
    </w:rPr>
  </w:style>
  <w:style w:type="paragraph" w:styleId="30">
    <w:name w:val="List 2"/>
    <w:basedOn w:val="1"/>
    <w:qFormat/>
    <w:uiPriority w:val="0"/>
    <w:pPr>
      <w:ind w:left="100" w:hanging="200"/>
      <w:jc w:val="both"/>
    </w:pPr>
    <w:rPr>
      <w:rFonts w:ascii="宋体" w:hAnsi="Times New Roman"/>
      <w:kern w:val="2"/>
      <w:sz w:val="24"/>
      <w:szCs w:val="24"/>
      <w:lang w:eastAsia="zh-CN"/>
    </w:rPr>
  </w:style>
  <w:style w:type="paragraph" w:styleId="31">
    <w:name w:val="Block Text"/>
    <w:basedOn w:val="1"/>
    <w:qFormat/>
    <w:uiPriority w:val="0"/>
    <w:pPr>
      <w:widowControl/>
      <w:spacing w:line="360" w:lineRule="auto"/>
      <w:ind w:left="3828" w:right="1410" w:hanging="258"/>
      <w:jc w:val="both"/>
    </w:pPr>
    <w:rPr>
      <w:rFonts w:ascii="Arial" w:hAnsi="Arial" w:eastAsia="幼圆"/>
      <w:b/>
      <w:sz w:val="32"/>
      <w:szCs w:val="20"/>
      <w:lang w:eastAsia="zh-CN"/>
    </w:rPr>
  </w:style>
  <w:style w:type="paragraph" w:styleId="32">
    <w:name w:val="index 4"/>
    <w:basedOn w:val="1"/>
    <w:next w:val="1"/>
    <w:qFormat/>
    <w:uiPriority w:val="0"/>
    <w:pPr>
      <w:spacing w:line="440" w:lineRule="exact"/>
      <w:ind w:left="600" w:leftChars="600" w:firstLine="300" w:firstLineChars="300"/>
    </w:pPr>
    <w:rPr>
      <w:rFonts w:ascii="华文细黑" w:hAnsi="华文细黑" w:cs="Arial"/>
      <w:sz w:val="21"/>
      <w:szCs w:val="21"/>
      <w:lang w:eastAsia="zh-CN"/>
    </w:rPr>
  </w:style>
  <w:style w:type="paragraph" w:styleId="33">
    <w:name w:val="toc 5"/>
    <w:basedOn w:val="1"/>
    <w:next w:val="1"/>
    <w:qFormat/>
    <w:uiPriority w:val="39"/>
    <w:pPr>
      <w:widowControl/>
      <w:ind w:left="800"/>
    </w:pPr>
    <w:rPr>
      <w:rFonts w:ascii="Times New Roman" w:hAnsi="Times New Roman"/>
      <w:sz w:val="20"/>
      <w:szCs w:val="21"/>
      <w:lang w:eastAsia="zh-CN"/>
    </w:rPr>
  </w:style>
  <w:style w:type="paragraph" w:styleId="34">
    <w:name w:val="toc 3"/>
    <w:basedOn w:val="1"/>
    <w:next w:val="1"/>
    <w:qFormat/>
    <w:uiPriority w:val="39"/>
    <w:pPr>
      <w:ind w:left="520"/>
    </w:pPr>
    <w:rPr>
      <w:rFonts w:ascii="宋体" w:hAnsi="宋体"/>
      <w:sz w:val="21"/>
      <w:szCs w:val="21"/>
    </w:rPr>
  </w:style>
  <w:style w:type="paragraph" w:styleId="35">
    <w:name w:val="Plain Text"/>
    <w:basedOn w:val="1"/>
    <w:next w:val="1"/>
    <w:link w:val="104"/>
    <w:qFormat/>
    <w:uiPriority w:val="0"/>
    <w:pPr>
      <w:jc w:val="both"/>
    </w:pPr>
    <w:rPr>
      <w:rFonts w:ascii="宋体"/>
      <w:kern w:val="2"/>
      <w:sz w:val="21"/>
      <w:lang w:eastAsia="zh-CN"/>
    </w:rPr>
  </w:style>
  <w:style w:type="paragraph" w:styleId="36">
    <w:name w:val="List Number 4"/>
    <w:basedOn w:val="1"/>
    <w:qFormat/>
    <w:uiPriority w:val="0"/>
    <w:pPr>
      <w:widowControl/>
      <w:numPr>
        <w:ilvl w:val="0"/>
        <w:numId w:val="3"/>
      </w:numPr>
      <w:tabs>
        <w:tab w:val="left" w:pos="1209"/>
        <w:tab w:val="left" w:pos="1260"/>
        <w:tab w:val="left" w:pos="1418"/>
        <w:tab w:val="left" w:pos="1728"/>
        <w:tab w:val="left" w:pos="2160"/>
        <w:tab w:val="left" w:pos="6521"/>
        <w:tab w:val="clear" w:pos="900"/>
      </w:tabs>
      <w:ind w:left="1209"/>
      <w:jc w:val="both"/>
    </w:pPr>
    <w:rPr>
      <w:rFonts w:ascii="Arial" w:hAnsi="Arial"/>
      <w:szCs w:val="20"/>
      <w:lang w:val="en-GB" w:eastAsia="zh-CN"/>
    </w:rPr>
  </w:style>
  <w:style w:type="paragraph" w:styleId="37">
    <w:name w:val="toc 8"/>
    <w:basedOn w:val="1"/>
    <w:next w:val="1"/>
    <w:qFormat/>
    <w:uiPriority w:val="39"/>
    <w:pPr>
      <w:widowControl/>
      <w:ind w:left="1400"/>
    </w:pPr>
    <w:rPr>
      <w:rFonts w:ascii="Times New Roman" w:hAnsi="Times New Roman"/>
      <w:sz w:val="20"/>
      <w:szCs w:val="21"/>
      <w:lang w:eastAsia="zh-CN"/>
    </w:rPr>
  </w:style>
  <w:style w:type="paragraph" w:styleId="38">
    <w:name w:val="index 3"/>
    <w:basedOn w:val="1"/>
    <w:next w:val="1"/>
    <w:qFormat/>
    <w:uiPriority w:val="0"/>
    <w:pPr>
      <w:spacing w:line="440" w:lineRule="exact"/>
      <w:ind w:left="400" w:leftChars="400" w:firstLine="300" w:firstLineChars="300"/>
    </w:pPr>
    <w:rPr>
      <w:rFonts w:ascii="华文细黑" w:hAnsi="华文细黑" w:cs="Arial"/>
      <w:sz w:val="21"/>
      <w:szCs w:val="21"/>
      <w:lang w:eastAsia="zh-CN"/>
    </w:rPr>
  </w:style>
  <w:style w:type="paragraph" w:styleId="39">
    <w:name w:val="Date"/>
    <w:basedOn w:val="1"/>
    <w:next w:val="1"/>
    <w:link w:val="105"/>
    <w:qFormat/>
    <w:uiPriority w:val="0"/>
    <w:pPr>
      <w:spacing w:line="360" w:lineRule="auto"/>
      <w:ind w:left="100" w:leftChars="2500"/>
      <w:jc w:val="both"/>
    </w:pPr>
    <w:rPr>
      <w:kern w:val="2"/>
      <w:sz w:val="28"/>
      <w:lang w:eastAsia="zh-CN"/>
    </w:rPr>
  </w:style>
  <w:style w:type="paragraph" w:styleId="40">
    <w:name w:val="Body Text Indent 2"/>
    <w:basedOn w:val="1"/>
    <w:link w:val="106"/>
    <w:qFormat/>
    <w:uiPriority w:val="0"/>
    <w:pPr>
      <w:adjustRightInd w:val="0"/>
      <w:spacing w:line="360" w:lineRule="auto"/>
      <w:ind w:firstLine="425"/>
      <w:jc w:val="both"/>
      <w:textAlignment w:val="baseline"/>
    </w:pPr>
    <w:rPr>
      <w:rFonts w:ascii="仿宋_GB2312" w:hAnsi="Arial" w:eastAsia="仿宋_GB2312"/>
      <w:sz w:val="24"/>
      <w:szCs w:val="20"/>
      <w:lang w:eastAsia="zh-CN"/>
    </w:rPr>
  </w:style>
  <w:style w:type="paragraph" w:styleId="41">
    <w:name w:val="endnote text"/>
    <w:basedOn w:val="1"/>
    <w:link w:val="107"/>
    <w:qFormat/>
    <w:uiPriority w:val="0"/>
    <w:pPr>
      <w:widowControl/>
      <w:tabs>
        <w:tab w:val="left" w:pos="432"/>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before="240" w:after="240"/>
      <w:jc w:val="both"/>
    </w:pPr>
    <w:rPr>
      <w:rFonts w:ascii="Times New Roman" w:hAnsi="Times New Roman"/>
      <w:sz w:val="24"/>
      <w:szCs w:val="20"/>
      <w:lang w:eastAsia="zh-CN"/>
    </w:rPr>
  </w:style>
  <w:style w:type="paragraph" w:styleId="42">
    <w:name w:val="Balloon Text"/>
    <w:basedOn w:val="1"/>
    <w:link w:val="108"/>
    <w:qFormat/>
    <w:uiPriority w:val="0"/>
    <w:rPr>
      <w:sz w:val="18"/>
      <w:szCs w:val="18"/>
    </w:rPr>
  </w:style>
  <w:style w:type="paragraph" w:styleId="43">
    <w:name w:val="footer"/>
    <w:basedOn w:val="1"/>
    <w:link w:val="109"/>
    <w:qFormat/>
    <w:uiPriority w:val="99"/>
    <w:pPr>
      <w:tabs>
        <w:tab w:val="center" w:pos="4153"/>
        <w:tab w:val="right" w:pos="8306"/>
      </w:tabs>
      <w:snapToGrid w:val="0"/>
    </w:pPr>
    <w:rPr>
      <w:sz w:val="18"/>
      <w:szCs w:val="18"/>
    </w:rPr>
  </w:style>
  <w:style w:type="paragraph" w:styleId="44">
    <w:name w:val="envelope return"/>
    <w:basedOn w:val="1"/>
    <w:qFormat/>
    <w:uiPriority w:val="0"/>
    <w:pPr>
      <w:snapToGrid w:val="0"/>
    </w:pPr>
    <w:rPr>
      <w:rFonts w:ascii="Arial" w:hAnsi="Arial"/>
    </w:rPr>
  </w:style>
  <w:style w:type="paragraph" w:styleId="45">
    <w:name w:val="header"/>
    <w:basedOn w:val="1"/>
    <w:link w:val="110"/>
    <w:qFormat/>
    <w:uiPriority w:val="0"/>
    <w:pPr>
      <w:pBdr>
        <w:bottom w:val="single" w:color="auto" w:sz="6" w:space="1"/>
      </w:pBdr>
      <w:tabs>
        <w:tab w:val="center" w:pos="4153"/>
        <w:tab w:val="right" w:pos="8306"/>
      </w:tabs>
      <w:snapToGrid w:val="0"/>
      <w:jc w:val="center"/>
    </w:pPr>
    <w:rPr>
      <w:sz w:val="18"/>
      <w:szCs w:val="18"/>
    </w:rPr>
  </w:style>
  <w:style w:type="paragraph" w:styleId="46">
    <w:name w:val="toc 1"/>
    <w:basedOn w:val="1"/>
    <w:next w:val="1"/>
    <w:qFormat/>
    <w:uiPriority w:val="39"/>
    <w:rPr>
      <w:rFonts w:ascii="宋体" w:hAnsi="宋体"/>
      <w:sz w:val="21"/>
      <w:szCs w:val="21"/>
    </w:rPr>
  </w:style>
  <w:style w:type="paragraph" w:styleId="47">
    <w:name w:val="toc 4"/>
    <w:basedOn w:val="1"/>
    <w:next w:val="1"/>
    <w:qFormat/>
    <w:uiPriority w:val="39"/>
    <w:pPr>
      <w:ind w:left="940"/>
    </w:pPr>
    <w:rPr>
      <w:rFonts w:ascii="宋体" w:hAnsi="宋体"/>
      <w:sz w:val="21"/>
      <w:szCs w:val="21"/>
    </w:rPr>
  </w:style>
  <w:style w:type="paragraph" w:styleId="48">
    <w:name w:val="index heading"/>
    <w:basedOn w:val="1"/>
    <w:next w:val="49"/>
    <w:qFormat/>
    <w:uiPriority w:val="0"/>
    <w:pPr>
      <w:spacing w:line="440" w:lineRule="exact"/>
      <w:ind w:firstLine="630" w:firstLineChars="300"/>
    </w:pPr>
    <w:rPr>
      <w:rFonts w:ascii="华文细黑" w:hAnsi="华文细黑" w:cs="Arial"/>
      <w:sz w:val="21"/>
      <w:szCs w:val="21"/>
      <w:lang w:eastAsia="zh-CN"/>
    </w:rPr>
  </w:style>
  <w:style w:type="paragraph" w:styleId="49">
    <w:name w:val="index 1"/>
    <w:basedOn w:val="1"/>
    <w:next w:val="1"/>
    <w:qFormat/>
    <w:uiPriority w:val="0"/>
    <w:pPr>
      <w:spacing w:before="60" w:after="60" w:line="240" w:lineRule="atLeast"/>
      <w:jc w:val="center"/>
    </w:pPr>
    <w:rPr>
      <w:rFonts w:ascii="Times New Roman" w:hAnsi="Times New Roman"/>
      <w:kern w:val="2"/>
      <w:sz w:val="21"/>
      <w:szCs w:val="24"/>
      <w:lang w:eastAsia="zh-CN"/>
    </w:rPr>
  </w:style>
  <w:style w:type="paragraph" w:styleId="50">
    <w:name w:val="List"/>
    <w:basedOn w:val="1"/>
    <w:qFormat/>
    <w:uiPriority w:val="0"/>
    <w:pPr>
      <w:ind w:left="200" w:hanging="200" w:hangingChars="200"/>
      <w:jc w:val="both"/>
    </w:pPr>
    <w:rPr>
      <w:rFonts w:ascii="Times New Roman" w:hAnsi="Times New Roman"/>
      <w:kern w:val="2"/>
      <w:sz w:val="21"/>
      <w:szCs w:val="20"/>
      <w:lang w:eastAsia="zh-CN"/>
    </w:rPr>
  </w:style>
  <w:style w:type="paragraph" w:styleId="51">
    <w:name w:val="footnote text"/>
    <w:basedOn w:val="1"/>
    <w:link w:val="111"/>
    <w:qFormat/>
    <w:uiPriority w:val="0"/>
    <w:pPr>
      <w:adjustRightInd w:val="0"/>
      <w:spacing w:line="315" w:lineRule="atLeast"/>
      <w:jc w:val="both"/>
      <w:textAlignment w:val="baseline"/>
    </w:pPr>
    <w:rPr>
      <w:rFonts w:ascii="宋体" w:hAnsi="Times New Roman"/>
      <w:sz w:val="24"/>
      <w:szCs w:val="20"/>
      <w:lang w:eastAsia="zh-CN"/>
    </w:rPr>
  </w:style>
  <w:style w:type="paragraph" w:styleId="52">
    <w:name w:val="toc 6"/>
    <w:basedOn w:val="1"/>
    <w:next w:val="1"/>
    <w:qFormat/>
    <w:uiPriority w:val="39"/>
    <w:pPr>
      <w:widowControl/>
      <w:ind w:left="1000"/>
    </w:pPr>
    <w:rPr>
      <w:rFonts w:ascii="Times New Roman" w:hAnsi="Times New Roman"/>
      <w:sz w:val="20"/>
      <w:szCs w:val="21"/>
      <w:lang w:eastAsia="zh-CN"/>
    </w:rPr>
  </w:style>
  <w:style w:type="paragraph" w:styleId="53">
    <w:name w:val="Body Text Indent 3"/>
    <w:basedOn w:val="1"/>
    <w:link w:val="112"/>
    <w:qFormat/>
    <w:uiPriority w:val="0"/>
    <w:pPr>
      <w:widowControl/>
      <w:spacing w:line="360" w:lineRule="auto"/>
      <w:ind w:left="506"/>
    </w:pPr>
    <w:rPr>
      <w:rFonts w:ascii="Arial Narrow" w:hAnsi="Arial Narrow" w:eastAsia="幼圆"/>
      <w:sz w:val="24"/>
      <w:szCs w:val="20"/>
      <w:lang w:eastAsia="zh-CN"/>
    </w:rPr>
  </w:style>
  <w:style w:type="paragraph" w:styleId="54">
    <w:name w:val="index 7"/>
    <w:basedOn w:val="1"/>
    <w:next w:val="1"/>
    <w:qFormat/>
    <w:uiPriority w:val="0"/>
    <w:pPr>
      <w:spacing w:line="440" w:lineRule="exact"/>
      <w:ind w:left="1200" w:leftChars="1200" w:firstLine="300" w:firstLineChars="300"/>
    </w:pPr>
    <w:rPr>
      <w:rFonts w:ascii="华文细黑" w:hAnsi="华文细黑" w:cs="Arial"/>
      <w:sz w:val="21"/>
      <w:szCs w:val="21"/>
      <w:lang w:eastAsia="zh-CN"/>
    </w:rPr>
  </w:style>
  <w:style w:type="paragraph" w:styleId="55">
    <w:name w:val="index 9"/>
    <w:basedOn w:val="1"/>
    <w:next w:val="1"/>
    <w:qFormat/>
    <w:uiPriority w:val="0"/>
    <w:pPr>
      <w:spacing w:line="440" w:lineRule="exact"/>
      <w:ind w:left="1600" w:leftChars="1600" w:firstLine="300" w:firstLineChars="300"/>
    </w:pPr>
    <w:rPr>
      <w:rFonts w:ascii="华文细黑" w:hAnsi="华文细黑" w:cs="Arial"/>
      <w:sz w:val="21"/>
      <w:szCs w:val="21"/>
      <w:lang w:eastAsia="zh-CN"/>
    </w:rPr>
  </w:style>
  <w:style w:type="paragraph" w:styleId="56">
    <w:name w:val="toc 2"/>
    <w:basedOn w:val="1"/>
    <w:next w:val="1"/>
    <w:qFormat/>
    <w:uiPriority w:val="39"/>
    <w:pPr>
      <w:ind w:left="100"/>
    </w:pPr>
    <w:rPr>
      <w:rFonts w:ascii="宋体" w:hAnsi="宋体"/>
      <w:sz w:val="21"/>
      <w:szCs w:val="21"/>
    </w:rPr>
  </w:style>
  <w:style w:type="paragraph" w:styleId="57">
    <w:name w:val="toc 9"/>
    <w:basedOn w:val="1"/>
    <w:next w:val="1"/>
    <w:qFormat/>
    <w:uiPriority w:val="39"/>
    <w:pPr>
      <w:widowControl/>
      <w:ind w:left="1600"/>
    </w:pPr>
    <w:rPr>
      <w:rFonts w:ascii="Times New Roman" w:hAnsi="Times New Roman"/>
      <w:sz w:val="20"/>
      <w:szCs w:val="21"/>
      <w:lang w:eastAsia="zh-CN"/>
    </w:rPr>
  </w:style>
  <w:style w:type="paragraph" w:styleId="58">
    <w:name w:val="Body Text 2"/>
    <w:basedOn w:val="1"/>
    <w:link w:val="113"/>
    <w:qFormat/>
    <w:uiPriority w:val="0"/>
    <w:pPr>
      <w:widowControl/>
      <w:tabs>
        <w:tab w:val="left" w:pos="210"/>
      </w:tabs>
    </w:pPr>
    <w:rPr>
      <w:rFonts w:ascii="宋体" w:hAnsi="宋体"/>
      <w:sz w:val="24"/>
      <w:szCs w:val="20"/>
      <w:lang w:eastAsia="zh-CN"/>
    </w:rPr>
  </w:style>
  <w:style w:type="paragraph" w:styleId="59">
    <w:name w:val="List Continue 2"/>
    <w:basedOn w:val="1"/>
    <w:qFormat/>
    <w:uiPriority w:val="0"/>
    <w:pPr>
      <w:spacing w:after="120"/>
      <w:ind w:left="840" w:leftChars="400"/>
    </w:pPr>
    <w:rPr>
      <w:rFonts w:ascii="Times New Roman" w:hAnsi="Times New Roman" w:cs="Arial"/>
      <w:kern w:val="2"/>
      <w:sz w:val="21"/>
      <w:szCs w:val="21"/>
      <w:lang w:eastAsia="zh-CN"/>
    </w:rPr>
  </w:style>
  <w:style w:type="paragraph" w:styleId="60">
    <w:name w:val="HTML Preformatted"/>
    <w:basedOn w:val="1"/>
    <w:link w:val="11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cs="Arial"/>
      <w:sz w:val="21"/>
      <w:szCs w:val="21"/>
    </w:rPr>
  </w:style>
  <w:style w:type="paragraph" w:styleId="61">
    <w:name w:val="Normal (Web)"/>
    <w:basedOn w:val="1"/>
    <w:link w:val="115"/>
    <w:qFormat/>
    <w:uiPriority w:val="0"/>
    <w:pPr>
      <w:widowControl/>
      <w:spacing w:before="100" w:beforeAutospacing="1" w:after="100" w:afterAutospacing="1"/>
    </w:pPr>
    <w:rPr>
      <w:rFonts w:ascii="宋体" w:hAnsi="宋体" w:cs="宋体"/>
      <w:sz w:val="24"/>
      <w:szCs w:val="24"/>
      <w:lang w:eastAsia="zh-CN"/>
    </w:rPr>
  </w:style>
  <w:style w:type="paragraph" w:styleId="62">
    <w:name w:val="index 2"/>
    <w:basedOn w:val="1"/>
    <w:next w:val="1"/>
    <w:qFormat/>
    <w:uiPriority w:val="0"/>
    <w:pPr>
      <w:spacing w:line="440" w:lineRule="exact"/>
      <w:ind w:left="200" w:leftChars="200" w:firstLine="300" w:firstLineChars="300"/>
    </w:pPr>
    <w:rPr>
      <w:rFonts w:ascii="华文细黑" w:hAnsi="华文细黑" w:cs="Arial"/>
      <w:sz w:val="21"/>
      <w:szCs w:val="21"/>
      <w:lang w:eastAsia="zh-CN"/>
    </w:rPr>
  </w:style>
  <w:style w:type="paragraph" w:styleId="63">
    <w:name w:val="Title"/>
    <w:basedOn w:val="1"/>
    <w:next w:val="1"/>
    <w:link w:val="116"/>
    <w:qFormat/>
    <w:uiPriority w:val="0"/>
    <w:pPr>
      <w:autoSpaceDE w:val="0"/>
      <w:autoSpaceDN w:val="0"/>
      <w:adjustRightInd w:val="0"/>
      <w:spacing w:beforeLines="50" w:after="60" w:line="360" w:lineRule="auto"/>
      <w:jc w:val="center"/>
      <w:textAlignment w:val="baseline"/>
      <w:outlineLvl w:val="0"/>
    </w:pPr>
    <w:rPr>
      <w:rFonts w:ascii="Arial" w:hAnsi="Arial" w:cs="Arial"/>
      <w:b/>
      <w:bCs/>
      <w:sz w:val="32"/>
      <w:szCs w:val="32"/>
      <w:lang w:eastAsia="zh-CN"/>
    </w:rPr>
  </w:style>
  <w:style w:type="paragraph" w:styleId="64">
    <w:name w:val="annotation subject"/>
    <w:basedOn w:val="23"/>
    <w:next w:val="23"/>
    <w:link w:val="117"/>
    <w:qFormat/>
    <w:uiPriority w:val="0"/>
    <w:rPr>
      <w:b/>
      <w:bCs/>
    </w:rPr>
  </w:style>
  <w:style w:type="paragraph" w:styleId="65">
    <w:name w:val="Body Text First Indent"/>
    <w:basedOn w:val="28"/>
    <w:link w:val="118"/>
    <w:qFormat/>
    <w:uiPriority w:val="0"/>
    <w:pPr>
      <w:spacing w:after="120"/>
      <w:ind w:left="0" w:firstLine="420" w:firstLineChars="100"/>
      <w:jc w:val="both"/>
    </w:pPr>
    <w:rPr>
      <w:rFonts w:ascii="Times New Roman" w:hAnsi="Times New Roman"/>
      <w:kern w:val="2"/>
      <w:szCs w:val="24"/>
      <w:lang w:eastAsia="zh-CN"/>
    </w:rPr>
  </w:style>
  <w:style w:type="paragraph" w:styleId="66">
    <w:name w:val="Body Text First Indent 2"/>
    <w:basedOn w:val="29"/>
    <w:link w:val="119"/>
    <w:qFormat/>
    <w:uiPriority w:val="0"/>
    <w:pPr>
      <w:widowControl w:val="0"/>
      <w:spacing w:after="120" w:line="240" w:lineRule="auto"/>
      <w:ind w:left="420" w:leftChars="200" w:firstLine="420" w:firstLineChars="200"/>
    </w:pPr>
    <w:rPr>
      <w:rFonts w:ascii="Times New Roman" w:hAnsi="Times New Roman" w:eastAsia="宋体"/>
      <w:b w:val="0"/>
      <w:kern w:val="2"/>
      <w:sz w:val="21"/>
      <w:szCs w:val="24"/>
    </w:rPr>
  </w:style>
  <w:style w:type="table" w:styleId="68">
    <w:name w:val="Table Grid"/>
    <w:basedOn w:val="67"/>
    <w:qFormat/>
    <w:uiPriority w:val="0"/>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9">
    <w:name w:val="Table Theme"/>
    <w:basedOn w:val="67"/>
    <w:qFormat/>
    <w:uiPriority w:val="0"/>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70">
    <w:name w:val="Table Elegant"/>
    <w:basedOn w:val="67"/>
    <w:qFormat/>
    <w:uiPriority w:val="0"/>
    <w:pPr>
      <w:jc w:val="both"/>
    </w:pPr>
    <w:tblPr>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character" w:styleId="72">
    <w:name w:val="Strong"/>
    <w:basedOn w:val="71"/>
    <w:qFormat/>
    <w:uiPriority w:val="0"/>
    <w:rPr>
      <w:rFonts w:ascii="Calibri" w:hAnsi="Calibri" w:eastAsia="宋体" w:cs="Times New Roman"/>
      <w:b/>
      <w:bCs/>
    </w:rPr>
  </w:style>
  <w:style w:type="character" w:styleId="73">
    <w:name w:val="page number"/>
    <w:qFormat/>
    <w:uiPriority w:val="0"/>
    <w:rPr>
      <w:rFonts w:ascii="Calibri" w:hAnsi="Calibri" w:eastAsia="宋体" w:cs="Times New Roman"/>
    </w:rPr>
  </w:style>
  <w:style w:type="character" w:styleId="74">
    <w:name w:val="FollowedHyperlink"/>
    <w:qFormat/>
    <w:uiPriority w:val="99"/>
    <w:rPr>
      <w:rFonts w:ascii="Calibri" w:hAnsi="Calibri" w:eastAsia="宋体" w:cs="Times New Roman"/>
      <w:color w:val="800080"/>
      <w:u w:val="single"/>
    </w:rPr>
  </w:style>
  <w:style w:type="character" w:styleId="75">
    <w:name w:val="Emphasis"/>
    <w:basedOn w:val="71"/>
    <w:qFormat/>
    <w:uiPriority w:val="0"/>
    <w:rPr>
      <w:rFonts w:ascii="Calibri" w:hAnsi="Calibri" w:eastAsia="宋体" w:cs="Times New Roman"/>
      <w:i/>
      <w:iCs/>
    </w:rPr>
  </w:style>
  <w:style w:type="character" w:styleId="76">
    <w:name w:val="HTML Definition"/>
    <w:qFormat/>
    <w:uiPriority w:val="0"/>
    <w:rPr>
      <w:rFonts w:ascii="Calibri" w:hAnsi="Calibri" w:eastAsia="宋体" w:cs="Times New Roman"/>
      <w:color w:val="000000"/>
      <w:kern w:val="0"/>
    </w:rPr>
  </w:style>
  <w:style w:type="character" w:styleId="77">
    <w:name w:val="HTML Variable"/>
    <w:qFormat/>
    <w:uiPriority w:val="0"/>
    <w:rPr>
      <w:rFonts w:ascii="Calibri" w:hAnsi="Calibri" w:eastAsia="宋体" w:cs="Times New Roman"/>
      <w:color w:val="000000"/>
      <w:kern w:val="0"/>
    </w:rPr>
  </w:style>
  <w:style w:type="character" w:styleId="78">
    <w:name w:val="Hyperlink"/>
    <w:basedOn w:val="71"/>
    <w:qFormat/>
    <w:uiPriority w:val="99"/>
    <w:rPr>
      <w:rFonts w:ascii="Calibri" w:hAnsi="Calibri" w:eastAsia="宋体" w:cs="Times New Roman"/>
      <w:color w:val="0000FF"/>
      <w:u w:val="single"/>
    </w:rPr>
  </w:style>
  <w:style w:type="character" w:styleId="79">
    <w:name w:val="HTML Code"/>
    <w:qFormat/>
    <w:uiPriority w:val="0"/>
    <w:rPr>
      <w:rFonts w:ascii="Courier New" w:hAnsi="Courier New" w:eastAsia="Courier New" w:cs="Courier New"/>
      <w:color w:val="000000"/>
      <w:kern w:val="0"/>
      <w:sz w:val="20"/>
    </w:rPr>
  </w:style>
  <w:style w:type="character" w:styleId="80">
    <w:name w:val="annotation reference"/>
    <w:qFormat/>
    <w:uiPriority w:val="0"/>
    <w:rPr>
      <w:rFonts w:ascii="Calibri" w:hAnsi="Calibri" w:eastAsia="宋体" w:cs="Times New Roman"/>
      <w:sz w:val="21"/>
      <w:szCs w:val="21"/>
    </w:rPr>
  </w:style>
  <w:style w:type="character" w:styleId="81">
    <w:name w:val="HTML Cite"/>
    <w:qFormat/>
    <w:uiPriority w:val="0"/>
    <w:rPr>
      <w:rFonts w:ascii="Calibri" w:hAnsi="Calibri" w:eastAsia="宋体" w:cs="Times New Roman"/>
      <w:color w:val="000000"/>
      <w:kern w:val="0"/>
    </w:rPr>
  </w:style>
  <w:style w:type="character" w:styleId="82">
    <w:name w:val="HTML Keyboard"/>
    <w:qFormat/>
    <w:uiPriority w:val="0"/>
    <w:rPr>
      <w:rFonts w:ascii="Courier New" w:hAnsi="Courier New" w:eastAsia="Courier New" w:cs="Courier New"/>
      <w:color w:val="000000"/>
      <w:kern w:val="0"/>
      <w:sz w:val="20"/>
    </w:rPr>
  </w:style>
  <w:style w:type="character" w:styleId="83">
    <w:name w:val="HTML Sample"/>
    <w:qFormat/>
    <w:uiPriority w:val="0"/>
    <w:rPr>
      <w:rFonts w:ascii="Courier New" w:hAnsi="Courier New" w:eastAsia="Courier New" w:cs="Courier New"/>
      <w:color w:val="000000"/>
      <w:kern w:val="0"/>
    </w:rPr>
  </w:style>
  <w:style w:type="paragraph" w:customStyle="1" w:styleId="84">
    <w:name w:val="Default"/>
    <w:link w:val="137"/>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85">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8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87">
    <w:name w:val="段"/>
    <w:next w:val="1"/>
    <w:qFormat/>
    <w:uiPriority w:val="0"/>
    <w:pPr>
      <w:autoSpaceDE w:val="0"/>
      <w:autoSpaceDN w:val="0"/>
      <w:adjustRightInd w:val="0"/>
      <w:snapToGrid w:val="0"/>
      <w:spacing w:line="360" w:lineRule="auto"/>
      <w:ind w:firstLine="200" w:firstLineChars="200"/>
      <w:jc w:val="both"/>
    </w:pPr>
    <w:rPr>
      <w:rFonts w:ascii="宋体" w:hAnsi="Calibri" w:eastAsia="宋体" w:cs="Times New Roman"/>
      <w:sz w:val="24"/>
      <w:szCs w:val="22"/>
      <w:lang w:val="en-US" w:eastAsia="zh-CN" w:bidi="ar-SA"/>
    </w:rPr>
  </w:style>
  <w:style w:type="character" w:customStyle="1" w:styleId="88">
    <w:name w:val="正文文本 字符"/>
    <w:link w:val="28"/>
    <w:qFormat/>
    <w:uiPriority w:val="0"/>
    <w:rPr>
      <w:rFonts w:ascii="宋体" w:hAnsi="宋体" w:eastAsia="宋体" w:cs="Times New Roman"/>
      <w:sz w:val="21"/>
      <w:szCs w:val="21"/>
    </w:rPr>
  </w:style>
  <w:style w:type="character" w:customStyle="1" w:styleId="89">
    <w:name w:val="标题 1 字符"/>
    <w:link w:val="2"/>
    <w:qFormat/>
    <w:uiPriority w:val="0"/>
    <w:rPr>
      <w:rFonts w:ascii="Microsoft JhengHei" w:hAnsi="Microsoft JhengHei" w:eastAsia="Microsoft JhengHei" w:cs="Times New Roman"/>
      <w:b/>
      <w:bCs/>
      <w:sz w:val="44"/>
      <w:szCs w:val="44"/>
    </w:rPr>
  </w:style>
  <w:style w:type="character" w:customStyle="1" w:styleId="90">
    <w:name w:val="标题 2 字符"/>
    <w:link w:val="3"/>
    <w:qFormat/>
    <w:uiPriority w:val="0"/>
    <w:rPr>
      <w:rFonts w:ascii="宋体" w:hAnsi="宋体" w:eastAsia="宋体" w:cs="Times New Roman"/>
      <w:b/>
      <w:sz w:val="44"/>
      <w:szCs w:val="44"/>
    </w:rPr>
  </w:style>
  <w:style w:type="character" w:customStyle="1" w:styleId="91">
    <w:name w:val="标题 3 字符"/>
    <w:link w:val="4"/>
    <w:qFormat/>
    <w:uiPriority w:val="9"/>
    <w:rPr>
      <w:rFonts w:ascii="Microsoft JhengHei" w:hAnsi="Microsoft JhengHei" w:eastAsia="宋体" w:cs="Times New Roman"/>
      <w:b/>
      <w:bCs/>
      <w:sz w:val="30"/>
      <w:szCs w:val="32"/>
    </w:rPr>
  </w:style>
  <w:style w:type="character" w:customStyle="1" w:styleId="92">
    <w:name w:val="标题 4 字符"/>
    <w:link w:val="5"/>
    <w:qFormat/>
    <w:uiPriority w:val="0"/>
    <w:rPr>
      <w:rFonts w:ascii="宋体" w:hAnsi="宋体" w:eastAsia="宋体" w:cs="Times New Roman"/>
      <w:sz w:val="28"/>
      <w:szCs w:val="28"/>
    </w:rPr>
  </w:style>
  <w:style w:type="character" w:customStyle="1" w:styleId="93">
    <w:name w:val="标题 5 字符"/>
    <w:link w:val="6"/>
    <w:qFormat/>
    <w:uiPriority w:val="0"/>
    <w:rPr>
      <w:rFonts w:ascii="Times New Roman" w:hAnsi="Times New Roman" w:eastAsia="Times New Roman" w:cs="Times New Roman"/>
      <w:b/>
      <w:bCs/>
      <w:sz w:val="21"/>
      <w:szCs w:val="21"/>
    </w:rPr>
  </w:style>
  <w:style w:type="character" w:customStyle="1" w:styleId="94">
    <w:name w:val="标题 6 字符1"/>
    <w:link w:val="7"/>
    <w:qFormat/>
    <w:uiPriority w:val="0"/>
    <w:rPr>
      <w:rFonts w:ascii="Helvetica" w:hAnsi="Helvetica" w:eastAsia="宋体" w:cs="Times New Roman"/>
      <w:position w:val="-6"/>
      <w:szCs w:val="20"/>
      <w:lang w:val="en-GB" w:eastAsia="zh-CN"/>
    </w:rPr>
  </w:style>
  <w:style w:type="character" w:customStyle="1" w:styleId="95">
    <w:name w:val="标题 7 字符1"/>
    <w:link w:val="8"/>
    <w:qFormat/>
    <w:uiPriority w:val="0"/>
    <w:rPr>
      <w:rFonts w:ascii="Times New Roman" w:hAnsi="Times New Roman" w:eastAsia="宋体" w:cs="Times New Roman"/>
      <w:i/>
      <w:position w:val="-6"/>
      <w:szCs w:val="20"/>
      <w:lang w:val="en-GB" w:eastAsia="zh-CN"/>
    </w:rPr>
  </w:style>
  <w:style w:type="character" w:customStyle="1" w:styleId="96">
    <w:name w:val="标题 8 字符1"/>
    <w:link w:val="9"/>
    <w:qFormat/>
    <w:uiPriority w:val="0"/>
    <w:rPr>
      <w:rFonts w:ascii="Times New Roman" w:hAnsi="Times New Roman" w:eastAsia="宋体" w:cs="Times New Roman"/>
      <w:i/>
      <w:position w:val="-6"/>
      <w:szCs w:val="20"/>
      <w:lang w:val="en-GB" w:eastAsia="zh-CN"/>
    </w:rPr>
  </w:style>
  <w:style w:type="character" w:customStyle="1" w:styleId="97">
    <w:name w:val="标题 9 字符1"/>
    <w:link w:val="10"/>
    <w:qFormat/>
    <w:uiPriority w:val="0"/>
    <w:rPr>
      <w:rFonts w:ascii="Times New Roman" w:hAnsi="Times New Roman" w:eastAsia="宋体" w:cs="Times New Roman"/>
      <w:i/>
      <w:position w:val="-6"/>
      <w:szCs w:val="20"/>
      <w:lang w:val="en-GB" w:eastAsia="zh-CN"/>
    </w:rPr>
  </w:style>
  <w:style w:type="character" w:customStyle="1" w:styleId="98">
    <w:name w:val="正文缩进 字符"/>
    <w:link w:val="17"/>
    <w:qFormat/>
    <w:uiPriority w:val="0"/>
    <w:rPr>
      <w:rFonts w:ascii="Calibri" w:hAnsi="Calibri" w:eastAsia="宋体" w:cs="Times New Roman"/>
      <w:kern w:val="2"/>
      <w:sz w:val="21"/>
      <w:szCs w:val="24"/>
    </w:rPr>
  </w:style>
  <w:style w:type="character" w:customStyle="1" w:styleId="99">
    <w:name w:val="文档结构图 字符"/>
    <w:link w:val="21"/>
    <w:qFormat/>
    <w:uiPriority w:val="0"/>
    <w:rPr>
      <w:rFonts w:ascii="宋体" w:hAnsi="宋体" w:eastAsia="宋体" w:cs="Times New Roman"/>
      <w:bCs/>
      <w:spacing w:val="20"/>
      <w:kern w:val="21"/>
      <w:sz w:val="24"/>
      <w:shd w:val="clear" w:color="auto" w:fill="000080"/>
      <w:lang w:eastAsia="zh-CN"/>
    </w:rPr>
  </w:style>
  <w:style w:type="character" w:customStyle="1" w:styleId="100">
    <w:name w:val="批注文字 字符1"/>
    <w:link w:val="23"/>
    <w:qFormat/>
    <w:uiPriority w:val="0"/>
    <w:rPr>
      <w:rFonts w:ascii="Calibri" w:hAnsi="Calibri" w:eastAsia="宋体" w:cs="Times New Roman"/>
    </w:rPr>
  </w:style>
  <w:style w:type="character" w:customStyle="1" w:styleId="101">
    <w:name w:val="称呼 字符"/>
    <w:link w:val="25"/>
    <w:qFormat/>
    <w:uiPriority w:val="0"/>
    <w:rPr>
      <w:rFonts w:ascii="Times New Roman" w:hAnsi="Times New Roman" w:eastAsia="宋体" w:cs="Arial"/>
      <w:kern w:val="2"/>
      <w:sz w:val="28"/>
      <w:szCs w:val="20"/>
      <w:lang w:eastAsia="zh-CN"/>
    </w:rPr>
  </w:style>
  <w:style w:type="character" w:customStyle="1" w:styleId="102">
    <w:name w:val="正文文本 3 字符1"/>
    <w:link w:val="26"/>
    <w:qFormat/>
    <w:uiPriority w:val="0"/>
    <w:rPr>
      <w:rFonts w:ascii="宋体" w:hAnsi="Calibri" w:eastAsia="宋体" w:cs="Times New Roman"/>
      <w:b/>
      <w:bCs/>
      <w:sz w:val="21"/>
      <w:lang w:eastAsia="zh-CN"/>
    </w:rPr>
  </w:style>
  <w:style w:type="character" w:customStyle="1" w:styleId="103">
    <w:name w:val="正文文本缩进 字符1"/>
    <w:link w:val="29"/>
    <w:qFormat/>
    <w:uiPriority w:val="0"/>
    <w:rPr>
      <w:rFonts w:ascii="Arial" w:hAnsi="Arial" w:eastAsia="幼圆" w:cs="Times New Roman"/>
      <w:b/>
      <w:sz w:val="32"/>
      <w:lang w:eastAsia="zh-CN"/>
    </w:rPr>
  </w:style>
  <w:style w:type="character" w:customStyle="1" w:styleId="104">
    <w:name w:val="纯文本 字符1"/>
    <w:link w:val="35"/>
    <w:qFormat/>
    <w:uiPriority w:val="0"/>
    <w:rPr>
      <w:rFonts w:ascii="宋体" w:hAnsi="Calibri" w:eastAsia="宋体" w:cs="Times New Roman"/>
      <w:kern w:val="2"/>
      <w:sz w:val="21"/>
      <w:lang w:eastAsia="zh-CN"/>
    </w:rPr>
  </w:style>
  <w:style w:type="character" w:customStyle="1" w:styleId="105">
    <w:name w:val="日期 字符1"/>
    <w:link w:val="39"/>
    <w:qFormat/>
    <w:uiPriority w:val="0"/>
    <w:rPr>
      <w:rFonts w:ascii="Calibri" w:hAnsi="Calibri" w:eastAsia="宋体" w:cs="Times New Roman"/>
      <w:kern w:val="2"/>
      <w:sz w:val="28"/>
      <w:lang w:eastAsia="zh-CN"/>
    </w:rPr>
  </w:style>
  <w:style w:type="character" w:customStyle="1" w:styleId="106">
    <w:name w:val="正文文本缩进 2 字符"/>
    <w:link w:val="40"/>
    <w:qFormat/>
    <w:uiPriority w:val="0"/>
    <w:rPr>
      <w:rFonts w:ascii="仿宋_GB2312" w:hAnsi="Arial" w:eastAsia="仿宋_GB2312" w:cs="Times New Roman"/>
      <w:sz w:val="24"/>
      <w:szCs w:val="20"/>
      <w:lang w:eastAsia="zh-CN"/>
    </w:rPr>
  </w:style>
  <w:style w:type="character" w:customStyle="1" w:styleId="107">
    <w:name w:val="尾注文本 字符"/>
    <w:link w:val="41"/>
    <w:qFormat/>
    <w:uiPriority w:val="0"/>
    <w:rPr>
      <w:rFonts w:ascii="Times New Roman" w:hAnsi="Times New Roman" w:eastAsia="宋体" w:cs="Times New Roman"/>
      <w:sz w:val="24"/>
      <w:szCs w:val="20"/>
      <w:lang w:eastAsia="zh-CN"/>
    </w:rPr>
  </w:style>
  <w:style w:type="character" w:customStyle="1" w:styleId="108">
    <w:name w:val="批注框文本 字符1"/>
    <w:link w:val="42"/>
    <w:qFormat/>
    <w:uiPriority w:val="0"/>
    <w:rPr>
      <w:rFonts w:ascii="Calibri" w:hAnsi="Calibri" w:eastAsia="宋体" w:cs="Times New Roman"/>
      <w:sz w:val="18"/>
      <w:szCs w:val="18"/>
    </w:rPr>
  </w:style>
  <w:style w:type="character" w:customStyle="1" w:styleId="109">
    <w:name w:val="页脚 字符"/>
    <w:link w:val="43"/>
    <w:qFormat/>
    <w:uiPriority w:val="99"/>
    <w:rPr>
      <w:rFonts w:ascii="Calibri" w:hAnsi="Calibri" w:eastAsia="宋体" w:cs="Times New Roman"/>
      <w:sz w:val="18"/>
      <w:szCs w:val="18"/>
    </w:rPr>
  </w:style>
  <w:style w:type="character" w:customStyle="1" w:styleId="110">
    <w:name w:val="页眉 字符"/>
    <w:link w:val="45"/>
    <w:qFormat/>
    <w:uiPriority w:val="0"/>
    <w:rPr>
      <w:rFonts w:ascii="Calibri" w:hAnsi="Calibri" w:eastAsia="宋体" w:cs="Times New Roman"/>
      <w:sz w:val="18"/>
      <w:szCs w:val="18"/>
    </w:rPr>
  </w:style>
  <w:style w:type="character" w:customStyle="1" w:styleId="111">
    <w:name w:val="脚注文本 字符"/>
    <w:link w:val="51"/>
    <w:qFormat/>
    <w:uiPriority w:val="0"/>
    <w:rPr>
      <w:rFonts w:ascii="宋体" w:hAnsi="Times New Roman" w:eastAsia="宋体" w:cs="Times New Roman"/>
      <w:sz w:val="24"/>
      <w:szCs w:val="20"/>
      <w:lang w:eastAsia="zh-CN"/>
    </w:rPr>
  </w:style>
  <w:style w:type="character" w:customStyle="1" w:styleId="112">
    <w:name w:val="正文文本缩进 3 字符"/>
    <w:link w:val="53"/>
    <w:qFormat/>
    <w:uiPriority w:val="0"/>
    <w:rPr>
      <w:rFonts w:ascii="Arial Narrow" w:hAnsi="Arial Narrow" w:eastAsia="幼圆" w:cs="Times New Roman"/>
      <w:sz w:val="24"/>
      <w:szCs w:val="20"/>
      <w:lang w:eastAsia="zh-CN"/>
    </w:rPr>
  </w:style>
  <w:style w:type="character" w:customStyle="1" w:styleId="113">
    <w:name w:val="正文文本 2 字符"/>
    <w:link w:val="58"/>
    <w:qFormat/>
    <w:uiPriority w:val="0"/>
    <w:rPr>
      <w:rFonts w:ascii="宋体" w:hAnsi="宋体" w:eastAsia="宋体" w:cs="Times New Roman"/>
      <w:sz w:val="24"/>
      <w:szCs w:val="20"/>
      <w:lang w:eastAsia="zh-CN"/>
    </w:rPr>
  </w:style>
  <w:style w:type="character" w:customStyle="1" w:styleId="114">
    <w:name w:val="HTML 预设格式 字符1"/>
    <w:link w:val="60"/>
    <w:qFormat/>
    <w:uiPriority w:val="0"/>
    <w:rPr>
      <w:rFonts w:ascii="Arial" w:hAnsi="Arial" w:eastAsia="宋体" w:cs="Arial"/>
      <w:sz w:val="21"/>
      <w:szCs w:val="21"/>
    </w:rPr>
  </w:style>
  <w:style w:type="character" w:customStyle="1" w:styleId="115">
    <w:name w:val="普通(网站) 字符"/>
    <w:link w:val="61"/>
    <w:qFormat/>
    <w:uiPriority w:val="0"/>
    <w:rPr>
      <w:rFonts w:ascii="宋体" w:hAnsi="宋体" w:eastAsia="宋体" w:cs="宋体"/>
      <w:sz w:val="24"/>
      <w:szCs w:val="24"/>
    </w:rPr>
  </w:style>
  <w:style w:type="character" w:customStyle="1" w:styleId="116">
    <w:name w:val="标题 字符"/>
    <w:link w:val="63"/>
    <w:qFormat/>
    <w:uiPriority w:val="0"/>
    <w:rPr>
      <w:rFonts w:ascii="Arial" w:hAnsi="Arial" w:eastAsia="宋体" w:cs="Arial"/>
      <w:b/>
      <w:bCs/>
      <w:sz w:val="32"/>
      <w:szCs w:val="32"/>
      <w:lang w:eastAsia="zh-CN"/>
    </w:rPr>
  </w:style>
  <w:style w:type="character" w:customStyle="1" w:styleId="117">
    <w:name w:val="批注主题 字符"/>
    <w:link w:val="64"/>
    <w:qFormat/>
    <w:uiPriority w:val="0"/>
    <w:rPr>
      <w:rFonts w:ascii="Calibri" w:hAnsi="Calibri" w:eastAsia="宋体" w:cs="Times New Roman"/>
      <w:b/>
      <w:bCs/>
    </w:rPr>
  </w:style>
  <w:style w:type="character" w:customStyle="1" w:styleId="118">
    <w:name w:val="正文文本首行缩进 字符"/>
    <w:link w:val="65"/>
    <w:qFormat/>
    <w:uiPriority w:val="0"/>
    <w:rPr>
      <w:rFonts w:ascii="Times New Roman" w:hAnsi="Times New Roman" w:eastAsia="宋体" w:cs="Times New Roman"/>
      <w:kern w:val="2"/>
      <w:sz w:val="21"/>
      <w:szCs w:val="24"/>
      <w:lang w:eastAsia="zh-CN"/>
    </w:rPr>
  </w:style>
  <w:style w:type="character" w:customStyle="1" w:styleId="119">
    <w:name w:val="正文文本首行缩进 2 字符"/>
    <w:link w:val="66"/>
    <w:qFormat/>
    <w:uiPriority w:val="0"/>
    <w:rPr>
      <w:rFonts w:ascii="Times New Roman" w:hAnsi="Times New Roman" w:eastAsia="宋体" w:cs="Times New Roman"/>
      <w:kern w:val="2"/>
      <w:sz w:val="21"/>
      <w:szCs w:val="24"/>
      <w:lang w:eastAsia="zh-CN"/>
    </w:rPr>
  </w:style>
  <w:style w:type="character" w:customStyle="1" w:styleId="120">
    <w:name w:val="批注文字 Char1"/>
    <w:qFormat/>
    <w:uiPriority w:val="0"/>
    <w:rPr>
      <w:rFonts w:ascii="Calibri" w:hAnsi="Calibri" w:eastAsia="宋体" w:cs="Times New Roman"/>
      <w:bCs/>
      <w:spacing w:val="20"/>
      <w:kern w:val="21"/>
      <w:sz w:val="24"/>
      <w:lang w:val="en-US" w:eastAsia="zh-CN" w:bidi="ar-SA"/>
    </w:rPr>
  </w:style>
  <w:style w:type="character" w:customStyle="1" w:styleId="121">
    <w:name w:val="批注框文本 字符"/>
    <w:qFormat/>
    <w:uiPriority w:val="0"/>
    <w:rPr>
      <w:rFonts w:ascii="Calibri" w:hAnsi="Calibri" w:eastAsia="宋体" w:cs="Times New Roman"/>
      <w:sz w:val="18"/>
      <w:szCs w:val="18"/>
    </w:rPr>
  </w:style>
  <w:style w:type="character" w:customStyle="1" w:styleId="122">
    <w:name w:val="sidecatalog-index2"/>
    <w:qFormat/>
    <w:uiPriority w:val="0"/>
    <w:rPr>
      <w:rFonts w:ascii="Arail" w:hAnsi="Arail" w:eastAsia="Arail" w:cs="Arail"/>
      <w:color w:val="999999"/>
      <w:kern w:val="0"/>
      <w:sz w:val="21"/>
      <w:szCs w:val="21"/>
    </w:rPr>
  </w:style>
  <w:style w:type="character" w:customStyle="1" w:styleId="123">
    <w:name w:val="标题 7 字符"/>
    <w:qFormat/>
    <w:uiPriority w:val="0"/>
    <w:rPr>
      <w:rFonts w:ascii="Calibri" w:hAnsi="Calibri" w:eastAsia="宋体" w:cs="Times New Roman"/>
      <w:b/>
      <w:bCs/>
      <w:sz w:val="24"/>
      <w:szCs w:val="24"/>
    </w:rPr>
  </w:style>
  <w:style w:type="character" w:customStyle="1" w:styleId="124">
    <w:name w:val="H6 Char2"/>
    <w:qFormat/>
    <w:uiPriority w:val="0"/>
    <w:rPr>
      <w:rFonts w:ascii="Helvetica" w:hAnsi="Helvetica" w:eastAsia="宋体" w:cs="Times New Roman"/>
      <w:b/>
      <w:i/>
      <w:position w:val="-6"/>
      <w:sz w:val="22"/>
      <w:lang w:val="en-GB"/>
    </w:rPr>
  </w:style>
  <w:style w:type="character" w:customStyle="1" w:styleId="125">
    <w:name w:val="页脚 Char1"/>
    <w:qFormat/>
    <w:uiPriority w:val="0"/>
    <w:rPr>
      <w:rFonts w:ascii="Calibri" w:hAnsi="Calibri" w:eastAsia="宋体" w:cs="Times New Roman"/>
      <w:sz w:val="18"/>
      <w:szCs w:val="18"/>
    </w:rPr>
  </w:style>
  <w:style w:type="character" w:customStyle="1" w:styleId="126">
    <w:name w:val="polysemyred"/>
    <w:qFormat/>
    <w:uiPriority w:val="0"/>
    <w:rPr>
      <w:rFonts w:ascii="Calibri" w:hAnsi="Calibri" w:eastAsia="宋体" w:cs="Times New Roman"/>
      <w:color w:val="FF6666"/>
      <w:kern w:val="0"/>
      <w:sz w:val="18"/>
      <w:szCs w:val="18"/>
    </w:rPr>
  </w:style>
  <w:style w:type="character" w:customStyle="1" w:styleId="127">
    <w:name w:val="正文文本 3 字符"/>
    <w:qFormat/>
    <w:uiPriority w:val="0"/>
    <w:rPr>
      <w:rFonts w:ascii="Calibri" w:hAnsi="Calibri" w:eastAsia="宋体" w:cs="Times New Roman"/>
      <w:sz w:val="16"/>
      <w:szCs w:val="16"/>
    </w:rPr>
  </w:style>
  <w:style w:type="character" w:customStyle="1" w:styleId="128">
    <w:name w:val="Char Char14"/>
    <w:qFormat/>
    <w:uiPriority w:val="0"/>
    <w:rPr>
      <w:rFonts w:ascii="Arial" w:hAnsi="Arial" w:eastAsia="黑体" w:cs="Times New Roman"/>
      <w:b/>
      <w:bCs/>
      <w:kern w:val="2"/>
      <w:sz w:val="32"/>
      <w:szCs w:val="32"/>
      <w:lang w:val="en-US" w:eastAsia="zh-CN" w:bidi="ar-SA"/>
    </w:rPr>
  </w:style>
  <w:style w:type="character" w:customStyle="1" w:styleId="129">
    <w:name w:val="Char Char7"/>
    <w:qFormat/>
    <w:uiPriority w:val="0"/>
    <w:rPr>
      <w:rFonts w:ascii="Calibri" w:hAnsi="Calibri" w:eastAsia="宋体" w:cs="Times New Roman"/>
      <w:kern w:val="2"/>
      <w:sz w:val="18"/>
      <w:szCs w:val="18"/>
      <w:lang w:val="en-US" w:eastAsia="zh-CN" w:bidi="ar-SA"/>
    </w:rPr>
  </w:style>
  <w:style w:type="character" w:customStyle="1" w:styleId="130">
    <w:name w:val="页脚 Char2"/>
    <w:qFormat/>
    <w:uiPriority w:val="0"/>
    <w:rPr>
      <w:rFonts w:ascii="Calibri" w:hAnsi="Calibri" w:eastAsia="宋体" w:cs="Times New Roman"/>
      <w:sz w:val="18"/>
      <w:szCs w:val="18"/>
    </w:rPr>
  </w:style>
  <w:style w:type="character" w:customStyle="1" w:styleId="131">
    <w:name w:val="未处理的提及2"/>
    <w:qFormat/>
    <w:uiPriority w:val="0"/>
    <w:rPr>
      <w:rFonts w:ascii="Calibri" w:hAnsi="Calibri" w:eastAsia="宋体" w:cs="Times New Roman"/>
      <w:color w:val="808080"/>
      <w:shd w:val="clear" w:color="auto" w:fill="E6E6E6"/>
    </w:rPr>
  </w:style>
  <w:style w:type="character" w:customStyle="1" w:styleId="132">
    <w:name w:val="PIM 6 Char"/>
    <w:qFormat/>
    <w:uiPriority w:val="0"/>
    <w:rPr>
      <w:rFonts w:ascii="Arial" w:hAnsi="Arial" w:eastAsia="黑体" w:cs="Times New Roman"/>
      <w:b/>
      <w:bCs/>
      <w:sz w:val="24"/>
      <w:szCs w:val="24"/>
    </w:rPr>
  </w:style>
  <w:style w:type="character" w:customStyle="1" w:styleId="133">
    <w:name w:val="标题 3 Char"/>
    <w:qFormat/>
    <w:uiPriority w:val="0"/>
    <w:rPr>
      <w:rFonts w:ascii="Calibri" w:hAnsi="Calibri" w:eastAsia="宋体" w:cs="Times New Roman"/>
      <w:b/>
      <w:bCs/>
      <w:kern w:val="2"/>
      <w:sz w:val="32"/>
      <w:szCs w:val="32"/>
    </w:rPr>
  </w:style>
  <w:style w:type="character" w:customStyle="1" w:styleId="134">
    <w:name w:val="grame"/>
    <w:qFormat/>
    <w:uiPriority w:val="0"/>
    <w:rPr>
      <w:rFonts w:cs="Times New Roman"/>
    </w:rPr>
  </w:style>
  <w:style w:type="character" w:customStyle="1" w:styleId="135">
    <w:name w:val="表格 Char"/>
    <w:link w:val="136"/>
    <w:qFormat/>
    <w:uiPriority w:val="0"/>
    <w:rPr>
      <w:rFonts w:ascii="宋体" w:hAnsi="Times New Roman" w:eastAsia="宋体" w:cs="Times New Roman"/>
      <w:kern w:val="2"/>
      <w:sz w:val="24"/>
      <w:szCs w:val="18"/>
      <w:lang w:eastAsia="zh-CN"/>
    </w:rPr>
  </w:style>
  <w:style w:type="paragraph" w:customStyle="1" w:styleId="136">
    <w:name w:val="表格"/>
    <w:basedOn w:val="1"/>
    <w:link w:val="135"/>
    <w:qFormat/>
    <w:uiPriority w:val="0"/>
    <w:pPr>
      <w:tabs>
        <w:tab w:val="left" w:pos="1200"/>
      </w:tabs>
      <w:spacing w:line="500" w:lineRule="exact"/>
      <w:jc w:val="center"/>
    </w:pPr>
    <w:rPr>
      <w:rFonts w:ascii="宋体" w:hAnsi="Times New Roman"/>
      <w:kern w:val="2"/>
      <w:sz w:val="24"/>
      <w:szCs w:val="18"/>
      <w:lang w:eastAsia="zh-CN"/>
    </w:rPr>
  </w:style>
  <w:style w:type="character" w:customStyle="1" w:styleId="137">
    <w:name w:val="Default Char"/>
    <w:link w:val="84"/>
    <w:qFormat/>
    <w:uiPriority w:val="0"/>
    <w:rPr>
      <w:rFonts w:ascii="宋体" w:hAnsi="Calibri" w:eastAsia="宋体" w:cs="宋体"/>
      <w:color w:val="000000"/>
      <w:sz w:val="24"/>
      <w:szCs w:val="24"/>
      <w:lang w:eastAsia="zh-CN"/>
    </w:rPr>
  </w:style>
  <w:style w:type="character" w:customStyle="1" w:styleId="138">
    <w:name w:val="desc12"/>
    <w:qFormat/>
    <w:uiPriority w:val="0"/>
    <w:rPr>
      <w:rFonts w:ascii="Calibri" w:hAnsi="Calibri" w:eastAsia="宋体" w:cs="Times New Roman"/>
      <w:color w:val="000000"/>
      <w:kern w:val="0"/>
      <w:sz w:val="18"/>
      <w:szCs w:val="18"/>
    </w:rPr>
  </w:style>
  <w:style w:type="character" w:customStyle="1" w:styleId="139">
    <w:name w:val="批注主题 Char"/>
    <w:qFormat/>
    <w:uiPriority w:val="0"/>
    <w:rPr>
      <w:rFonts w:ascii="Calibri" w:hAnsi="Calibri" w:eastAsia="宋体" w:cs="Times New Roman"/>
      <w:b/>
      <w:bCs/>
      <w:kern w:val="2"/>
      <w:sz w:val="21"/>
      <w:szCs w:val="24"/>
    </w:rPr>
  </w:style>
  <w:style w:type="character" w:customStyle="1" w:styleId="140">
    <w:name w:val="页脚 Char"/>
    <w:qFormat/>
    <w:uiPriority w:val="99"/>
    <w:rPr>
      <w:rFonts w:ascii="Calibri" w:hAnsi="Calibri" w:eastAsia="宋体" w:cs="Times New Roman"/>
      <w:kern w:val="2"/>
      <w:sz w:val="18"/>
      <w:szCs w:val="18"/>
    </w:rPr>
  </w:style>
  <w:style w:type="character" w:customStyle="1" w:styleId="141">
    <w:name w:val="纯文本 字符"/>
    <w:qFormat/>
    <w:uiPriority w:val="0"/>
    <w:rPr>
      <w:rFonts w:ascii="宋体" w:hAnsi="Courier New" w:eastAsia="宋体" w:cs="Courier New"/>
    </w:rPr>
  </w:style>
  <w:style w:type="character" w:customStyle="1" w:styleId="142">
    <w:name w:val="bds_nopic2"/>
    <w:qFormat/>
    <w:uiPriority w:val="0"/>
    <w:rPr>
      <w:rFonts w:ascii="Calibri" w:hAnsi="Calibri" w:eastAsia="宋体" w:cs="Times New Roman"/>
      <w:color w:val="000000"/>
      <w:kern w:val="0"/>
    </w:rPr>
  </w:style>
  <w:style w:type="character" w:customStyle="1" w:styleId="143">
    <w:name w:val="未处理的提及4"/>
    <w:unhideWhenUsed/>
    <w:qFormat/>
    <w:uiPriority w:val="99"/>
    <w:rPr>
      <w:color w:val="605E5C"/>
      <w:shd w:val="clear" w:color="auto" w:fill="E1DFDD"/>
    </w:rPr>
  </w:style>
  <w:style w:type="character" w:customStyle="1" w:styleId="144">
    <w:name w:val="中等深浅网格 2 Char"/>
    <w:link w:val="145"/>
    <w:qFormat/>
    <w:uiPriority w:val="0"/>
    <w:rPr>
      <w:rFonts w:ascii="Calibri" w:hAnsi="Calibri" w:eastAsia="宋体" w:cs="Times New Roman"/>
      <w:lang w:eastAsia="zh-CN"/>
    </w:rPr>
  </w:style>
  <w:style w:type="paragraph" w:customStyle="1" w:styleId="145">
    <w:name w:val="中等深浅网格 21"/>
    <w:link w:val="144"/>
    <w:qFormat/>
    <w:uiPriority w:val="0"/>
    <w:rPr>
      <w:rFonts w:ascii="Calibri" w:hAnsi="Calibri" w:eastAsia="宋体" w:cs="Times New Roman"/>
      <w:sz w:val="22"/>
      <w:szCs w:val="22"/>
      <w:lang w:val="en-US" w:eastAsia="zh-CN" w:bidi="ar-SA"/>
    </w:rPr>
  </w:style>
  <w:style w:type="character" w:customStyle="1" w:styleId="146">
    <w:name w:val="日期 字符"/>
    <w:qFormat/>
    <w:uiPriority w:val="0"/>
    <w:rPr>
      <w:rFonts w:ascii="Calibri" w:hAnsi="Calibri" w:eastAsia="宋体" w:cs="Times New Roman"/>
    </w:rPr>
  </w:style>
  <w:style w:type="character" w:customStyle="1" w:styleId="147">
    <w:name w:val="morelink-item"/>
    <w:qFormat/>
    <w:uiPriority w:val="0"/>
    <w:rPr>
      <w:rFonts w:ascii="Calibri" w:hAnsi="Calibri" w:eastAsia="宋体" w:cs="Times New Roman"/>
      <w:color w:val="000000"/>
      <w:kern w:val="0"/>
    </w:rPr>
  </w:style>
  <w:style w:type="character" w:customStyle="1" w:styleId="148">
    <w:name w:val="Char Char9"/>
    <w:qFormat/>
    <w:uiPriority w:val="0"/>
    <w:rPr>
      <w:rFonts w:ascii="宋体" w:hAnsi="宋体" w:eastAsia="宋体" w:cs="Times New Roman"/>
      <w:bCs/>
      <w:spacing w:val="20"/>
      <w:kern w:val="21"/>
      <w:sz w:val="24"/>
      <w:lang w:val="en-US" w:eastAsia="zh-CN" w:bidi="ar-SA"/>
    </w:rPr>
  </w:style>
  <w:style w:type="character" w:customStyle="1" w:styleId="149">
    <w:name w:val="Char Char Char Char Char Char Char Char Char Char Char Char Char Char Char Char Char"/>
    <w:link w:val="150"/>
    <w:qFormat/>
    <w:uiPriority w:val="0"/>
    <w:rPr>
      <w:rFonts w:ascii="Verdana" w:hAnsi="Verdana" w:eastAsia="仿宋_GB2312" w:cs="Times New Roman"/>
      <w:sz w:val="24"/>
    </w:rPr>
  </w:style>
  <w:style w:type="paragraph" w:customStyle="1" w:styleId="150">
    <w:name w:val="Char Char Char Char Char Char Char Char Char Char Char Char Char Char Char Char1"/>
    <w:basedOn w:val="1"/>
    <w:link w:val="149"/>
    <w:qFormat/>
    <w:uiPriority w:val="0"/>
    <w:pPr>
      <w:widowControl/>
      <w:spacing w:after="160" w:line="240" w:lineRule="exact"/>
    </w:pPr>
    <w:rPr>
      <w:rFonts w:ascii="Verdana" w:hAnsi="Verdana" w:eastAsia="仿宋_GB2312"/>
      <w:sz w:val="24"/>
    </w:rPr>
  </w:style>
  <w:style w:type="character" w:customStyle="1" w:styleId="151">
    <w:name w:val="未处理的提及1"/>
    <w:qFormat/>
    <w:uiPriority w:val="0"/>
    <w:rPr>
      <w:rFonts w:ascii="Calibri" w:hAnsi="Calibri" w:eastAsia="宋体" w:cs="Times New Roman"/>
      <w:color w:val="808080"/>
      <w:shd w:val="clear" w:color="auto" w:fill="E6E6E6"/>
    </w:rPr>
  </w:style>
  <w:style w:type="character" w:customStyle="1" w:styleId="152">
    <w:name w:val="bds_more10"/>
    <w:qFormat/>
    <w:uiPriority w:val="0"/>
    <w:rPr>
      <w:rFonts w:ascii="Calibri" w:hAnsi="Calibri" w:eastAsia="宋体" w:cs="Times New Roman"/>
      <w:color w:val="000000"/>
      <w:kern w:val="0"/>
    </w:rPr>
  </w:style>
  <w:style w:type="character" w:customStyle="1" w:styleId="153">
    <w:name w:val="font01"/>
    <w:qFormat/>
    <w:uiPriority w:val="0"/>
    <w:rPr>
      <w:rFonts w:hint="eastAsia" w:ascii="宋体" w:hAnsi="宋体" w:eastAsia="宋体" w:cs="宋体"/>
      <w:color w:val="000000"/>
      <w:sz w:val="24"/>
      <w:szCs w:val="24"/>
      <w:u w:val="none"/>
    </w:rPr>
  </w:style>
  <w:style w:type="character" w:customStyle="1" w:styleId="154">
    <w:name w:val="lemmatitleh12"/>
    <w:qFormat/>
    <w:uiPriority w:val="0"/>
    <w:rPr>
      <w:rFonts w:ascii="Calibri" w:hAnsi="Calibri" w:eastAsia="宋体" w:cs="Times New Roman"/>
      <w:color w:val="000000"/>
      <w:kern w:val="0"/>
    </w:rPr>
  </w:style>
  <w:style w:type="character" w:customStyle="1" w:styleId="155">
    <w:name w:val="Char Char16"/>
    <w:qFormat/>
    <w:uiPriority w:val="0"/>
    <w:rPr>
      <w:rFonts w:ascii="Times New Roman" w:hAnsi="Times New Roman" w:eastAsia="宋体" w:cs="Times New Roman"/>
      <w:kern w:val="0"/>
      <w:sz w:val="24"/>
      <w:szCs w:val="20"/>
    </w:rPr>
  </w:style>
  <w:style w:type="character" w:customStyle="1" w:styleId="156">
    <w:name w:val="标题 1 Char"/>
    <w:qFormat/>
    <w:uiPriority w:val="0"/>
    <w:rPr>
      <w:rFonts w:ascii="Calibri" w:hAnsi="Calibri" w:eastAsia="宋体" w:cs="Times New Roman"/>
      <w:b/>
      <w:bCs/>
      <w:kern w:val="44"/>
      <w:sz w:val="44"/>
      <w:szCs w:val="44"/>
    </w:rPr>
  </w:style>
  <w:style w:type="character" w:customStyle="1" w:styleId="157">
    <w:name w:val="页眉 Char2"/>
    <w:qFormat/>
    <w:uiPriority w:val="0"/>
    <w:rPr>
      <w:rFonts w:ascii="Calibri" w:hAnsi="Calibri" w:eastAsia="宋体" w:cs="Times New Roman"/>
      <w:sz w:val="18"/>
      <w:szCs w:val="18"/>
    </w:rPr>
  </w:style>
  <w:style w:type="character" w:customStyle="1" w:styleId="158">
    <w:name w:val="纯文本 Char1"/>
    <w:qFormat/>
    <w:uiPriority w:val="0"/>
    <w:rPr>
      <w:rFonts w:ascii="宋体" w:hAnsi="Courier New" w:eastAsia="宋体" w:cs="Courier New"/>
      <w:sz w:val="21"/>
      <w:szCs w:val="21"/>
    </w:rPr>
  </w:style>
  <w:style w:type="character" w:customStyle="1" w:styleId="159">
    <w:name w:val="不明显强调1"/>
    <w:qFormat/>
    <w:uiPriority w:val="0"/>
    <w:rPr>
      <w:rFonts w:hint="eastAsia" w:ascii="仿宋_GB2312" w:hAnsi="Calibri" w:eastAsia="仿宋_GB2312" w:cs="Times New Roman"/>
      <w:iCs/>
      <w:color w:val="auto"/>
      <w:sz w:val="24"/>
    </w:rPr>
  </w:style>
  <w:style w:type="character" w:customStyle="1" w:styleId="160">
    <w:name w:val="标题 Char1"/>
    <w:qFormat/>
    <w:uiPriority w:val="0"/>
    <w:rPr>
      <w:rFonts w:hint="default" w:ascii="Cambria" w:hAnsi="Cambria" w:eastAsia="宋体" w:cs="Times New Roman"/>
      <w:b/>
      <w:bCs/>
      <w:kern w:val="2"/>
      <w:sz w:val="32"/>
      <w:szCs w:val="32"/>
    </w:rPr>
  </w:style>
  <w:style w:type="character" w:customStyle="1" w:styleId="161">
    <w:name w:val="普通文字 Char Char"/>
    <w:qFormat/>
    <w:uiPriority w:val="0"/>
    <w:rPr>
      <w:rFonts w:ascii="宋体" w:hAnsi="Calibri" w:eastAsia="宋体" w:cs="Times New Roman"/>
      <w:kern w:val="2"/>
      <w:sz w:val="21"/>
      <w:lang w:val="en-US" w:eastAsia="zh-CN" w:bidi="ar-SA"/>
    </w:rPr>
  </w:style>
  <w:style w:type="character" w:customStyle="1" w:styleId="162">
    <w:name w:val="font31"/>
    <w:basedOn w:val="71"/>
    <w:qFormat/>
    <w:uiPriority w:val="0"/>
    <w:rPr>
      <w:rFonts w:hint="eastAsia" w:ascii="宋体" w:hAnsi="宋体" w:eastAsia="宋体" w:cs="宋体"/>
      <w:b/>
      <w:bCs/>
      <w:color w:val="000000"/>
      <w:sz w:val="20"/>
      <w:szCs w:val="20"/>
      <w:u w:val="none"/>
    </w:rPr>
  </w:style>
  <w:style w:type="character" w:customStyle="1" w:styleId="163">
    <w:name w:val="px141"/>
    <w:qFormat/>
    <w:uiPriority w:val="0"/>
    <w:rPr>
      <w:rFonts w:hint="default" w:ascii="ˎ̥" w:hAnsi="ˎ̥" w:eastAsia="宋体" w:cs="Times New Roman"/>
      <w:sz w:val="21"/>
      <w:szCs w:val="21"/>
    </w:rPr>
  </w:style>
  <w:style w:type="character" w:customStyle="1" w:styleId="164">
    <w:name w:val="标题 9 字符"/>
    <w:qFormat/>
    <w:uiPriority w:val="0"/>
    <w:rPr>
      <w:rFonts w:ascii="Cambria" w:hAnsi="Cambria" w:eastAsia="宋体" w:cs="Times New Roman"/>
      <w:sz w:val="21"/>
      <w:szCs w:val="21"/>
    </w:rPr>
  </w:style>
  <w:style w:type="character" w:customStyle="1" w:styleId="165">
    <w:name w:val="g Char Char1"/>
    <w:qFormat/>
    <w:uiPriority w:val="0"/>
    <w:rPr>
      <w:rFonts w:ascii="Calibri" w:hAnsi="Calibri" w:eastAsia="宋体" w:cs="Times New Roman"/>
      <w:kern w:val="2"/>
      <w:sz w:val="18"/>
      <w:lang w:val="en-US" w:eastAsia="zh-CN" w:bidi="ar-SA"/>
    </w:rPr>
  </w:style>
  <w:style w:type="character" w:customStyle="1" w:styleId="166">
    <w:name w:val="HTML 预设格式 Char1"/>
    <w:qFormat/>
    <w:uiPriority w:val="0"/>
    <w:rPr>
      <w:rFonts w:ascii="Courier New" w:hAnsi="Courier New" w:eastAsia="宋体" w:cs="Courier New"/>
      <w:sz w:val="20"/>
      <w:szCs w:val="20"/>
    </w:rPr>
  </w:style>
  <w:style w:type="character" w:customStyle="1" w:styleId="167">
    <w:name w:val="HTML 预设格式 字符"/>
    <w:qFormat/>
    <w:uiPriority w:val="0"/>
    <w:rPr>
      <w:rFonts w:ascii="Courier New" w:hAnsi="Courier New" w:eastAsia="宋体" w:cs="Courier New"/>
      <w:sz w:val="20"/>
      <w:szCs w:val="20"/>
    </w:rPr>
  </w:style>
  <w:style w:type="character" w:customStyle="1" w:styleId="168">
    <w:name w:val="Char Char13"/>
    <w:qFormat/>
    <w:uiPriority w:val="0"/>
    <w:rPr>
      <w:rFonts w:ascii="Calibri" w:hAnsi="Calibri" w:eastAsia="宋体" w:cs="Times New Roman"/>
      <w:b/>
      <w:bCs/>
      <w:sz w:val="32"/>
      <w:szCs w:val="32"/>
      <w:lang w:val="en-US" w:eastAsia="zh-CN" w:bidi="ar-SA"/>
    </w:rPr>
  </w:style>
  <w:style w:type="character" w:customStyle="1" w:styleId="169">
    <w:name w:val="Char Char151"/>
    <w:qFormat/>
    <w:uiPriority w:val="0"/>
    <w:rPr>
      <w:rFonts w:ascii="Arial Narrow" w:hAnsi="Arial Narrow" w:eastAsia="宋体" w:cs="Times New Roman"/>
      <w:b/>
      <w:bCs/>
      <w:snapToGrid/>
      <w:sz w:val="28"/>
      <w:szCs w:val="44"/>
      <w:lang w:val="en-US" w:eastAsia="zh-CN" w:bidi="ar-SA"/>
    </w:rPr>
  </w:style>
  <w:style w:type="character" w:customStyle="1" w:styleId="170">
    <w:name w:val="标题 1.1 Char Char"/>
    <w:qFormat/>
    <w:uiPriority w:val="0"/>
    <w:rPr>
      <w:rFonts w:ascii="Arial" w:hAnsi="Arial" w:eastAsia="黑体" w:cs="Times New Roman"/>
      <w:b/>
      <w:bCs/>
      <w:kern w:val="2"/>
      <w:sz w:val="28"/>
      <w:szCs w:val="32"/>
      <w:lang w:val="en-US" w:eastAsia="zh-CN" w:bidi="ar-SA"/>
    </w:rPr>
  </w:style>
  <w:style w:type="character" w:customStyle="1" w:styleId="171">
    <w:name w:val="文档结构图 Char"/>
    <w:qFormat/>
    <w:uiPriority w:val="0"/>
    <w:rPr>
      <w:rFonts w:ascii="Calibri" w:hAnsi="Calibri" w:eastAsia="宋体" w:cs="Times New Roman"/>
      <w:kern w:val="2"/>
      <w:sz w:val="21"/>
      <w:szCs w:val="24"/>
      <w:shd w:val="clear" w:color="auto" w:fill="000080"/>
    </w:rPr>
  </w:style>
  <w:style w:type="character" w:customStyle="1" w:styleId="172">
    <w:name w:val="条标题1.1.1 Char"/>
    <w:qFormat/>
    <w:uiPriority w:val="0"/>
    <w:rPr>
      <w:rFonts w:ascii="Times New Roman" w:hAnsi="Times New Roman" w:eastAsia="宋体" w:cs="Times New Roman"/>
      <w:b/>
      <w:bCs/>
      <w:kern w:val="0"/>
      <w:sz w:val="32"/>
      <w:szCs w:val="32"/>
    </w:rPr>
  </w:style>
  <w:style w:type="character" w:customStyle="1" w:styleId="173">
    <w:name w:val="Char Char3"/>
    <w:qFormat/>
    <w:uiPriority w:val="0"/>
    <w:rPr>
      <w:rFonts w:ascii="宋体" w:hAnsi="Courier New" w:eastAsia="宋体" w:cs="Courier New"/>
      <w:kern w:val="2"/>
      <w:sz w:val="21"/>
      <w:szCs w:val="21"/>
      <w:lang w:val="en-US" w:eastAsia="zh-CN" w:bidi="ar-SA"/>
    </w:rPr>
  </w:style>
  <w:style w:type="character" w:customStyle="1" w:styleId="174">
    <w:name w:val="批注文字 字符"/>
    <w:qFormat/>
    <w:uiPriority w:val="0"/>
    <w:rPr>
      <w:rFonts w:ascii="Calibri" w:hAnsi="Calibri" w:eastAsia="宋体" w:cs="Times New Roman"/>
    </w:rPr>
  </w:style>
  <w:style w:type="character" w:customStyle="1" w:styleId="175">
    <w:name w:val="标题 6 字符"/>
    <w:qFormat/>
    <w:uiPriority w:val="0"/>
    <w:rPr>
      <w:rFonts w:ascii="Cambria" w:hAnsi="Cambria" w:eastAsia="宋体" w:cs="Times New Roman"/>
      <w:b/>
      <w:bCs/>
      <w:sz w:val="24"/>
      <w:szCs w:val="24"/>
    </w:rPr>
  </w:style>
  <w:style w:type="character" w:customStyle="1" w:styleId="176">
    <w:name w:val="bds_more7"/>
    <w:qFormat/>
    <w:uiPriority w:val="0"/>
    <w:rPr>
      <w:rFonts w:hint="eastAsia" w:ascii="宋体" w:hAnsi="宋体" w:eastAsia="宋体" w:cs="宋体"/>
      <w:color w:val="000000"/>
      <w:kern w:val="0"/>
    </w:rPr>
  </w:style>
  <w:style w:type="character" w:customStyle="1" w:styleId="177">
    <w:name w:val="sort1"/>
    <w:qFormat/>
    <w:uiPriority w:val="0"/>
    <w:rPr>
      <w:rFonts w:ascii="Calibri" w:hAnsi="Calibri" w:eastAsia="宋体" w:cs="Times New Roman"/>
      <w:color w:val="000000"/>
      <w:kern w:val="0"/>
    </w:rPr>
  </w:style>
  <w:style w:type="character" w:customStyle="1" w:styleId="178">
    <w:name w:val="g Char Char"/>
    <w:qFormat/>
    <w:uiPriority w:val="0"/>
    <w:rPr>
      <w:rFonts w:ascii="Calibri" w:hAnsi="Calibri" w:eastAsia="宋体" w:cs="Times New Roman"/>
      <w:kern w:val="2"/>
      <w:sz w:val="18"/>
      <w:szCs w:val="18"/>
      <w:lang w:val="en-US" w:eastAsia="zh-CN" w:bidi="ar-SA"/>
    </w:rPr>
  </w:style>
  <w:style w:type="character" w:customStyle="1" w:styleId="179">
    <w:name w:val="font41"/>
    <w:qFormat/>
    <w:uiPriority w:val="0"/>
    <w:rPr>
      <w:rFonts w:hint="eastAsia" w:ascii="宋体" w:hAnsi="宋体" w:eastAsia="宋体" w:cs="宋体"/>
      <w:color w:val="000000"/>
      <w:sz w:val="21"/>
      <w:szCs w:val="21"/>
      <w:u w:val="none"/>
    </w:rPr>
  </w:style>
  <w:style w:type="character" w:customStyle="1" w:styleId="180">
    <w:name w:val="批注文字 Char"/>
    <w:qFormat/>
    <w:uiPriority w:val="0"/>
    <w:rPr>
      <w:rFonts w:ascii="Calibri" w:hAnsi="Calibri" w:eastAsia="宋体" w:cs="Times New Roman"/>
      <w:kern w:val="2"/>
      <w:sz w:val="21"/>
      <w:szCs w:val="24"/>
    </w:rPr>
  </w:style>
  <w:style w:type="character" w:customStyle="1" w:styleId="181">
    <w:name w:val="未处理的提及3"/>
    <w:unhideWhenUsed/>
    <w:qFormat/>
    <w:uiPriority w:val="99"/>
    <w:rPr>
      <w:color w:val="605E5C"/>
      <w:shd w:val="clear" w:color="auto" w:fill="E1DFDD"/>
    </w:rPr>
  </w:style>
  <w:style w:type="character" w:customStyle="1" w:styleId="182">
    <w:name w:val="XW封面－日期 Char Char"/>
    <w:qFormat/>
    <w:uiPriority w:val="0"/>
    <w:rPr>
      <w:rFonts w:ascii="Arial" w:hAnsi="Arial" w:eastAsia="幼圆" w:cs="Times New Roman"/>
      <w:b/>
      <w:kern w:val="0"/>
      <w:sz w:val="32"/>
      <w:szCs w:val="20"/>
    </w:rPr>
  </w:style>
  <w:style w:type="character" w:customStyle="1" w:styleId="183">
    <w:name w:val="sidecatalog-dot"/>
    <w:qFormat/>
    <w:uiPriority w:val="0"/>
    <w:rPr>
      <w:rFonts w:ascii="Calibri" w:hAnsi="Calibri" w:eastAsia="宋体" w:cs="Times New Roman"/>
      <w:color w:val="000000"/>
      <w:kern w:val="0"/>
    </w:rPr>
  </w:style>
  <w:style w:type="character" w:customStyle="1" w:styleId="184">
    <w:name w:val="标题 Char"/>
    <w:qFormat/>
    <w:uiPriority w:val="0"/>
    <w:rPr>
      <w:rFonts w:ascii="Calibri" w:hAnsi="Calibri" w:eastAsia="宋体" w:cs="Times New Roman"/>
      <w:b/>
      <w:kern w:val="2"/>
      <w:sz w:val="28"/>
      <w:szCs w:val="24"/>
      <w:lang w:val="en-US" w:eastAsia="zh-CN" w:bidi="ar-SA"/>
    </w:rPr>
  </w:style>
  <w:style w:type="character" w:customStyle="1" w:styleId="185">
    <w:name w:val="H4 Char1"/>
    <w:qFormat/>
    <w:uiPriority w:val="0"/>
    <w:rPr>
      <w:rFonts w:ascii="宋体" w:hAnsi="Arial" w:eastAsia="宋体" w:cs="Times New Roman"/>
      <w:szCs w:val="20"/>
    </w:rPr>
  </w:style>
  <w:style w:type="character" w:customStyle="1" w:styleId="186">
    <w:name w:val="批注主题 Char1"/>
    <w:qFormat/>
    <w:uiPriority w:val="0"/>
    <w:rPr>
      <w:rFonts w:ascii="Calibri" w:hAnsi="Calibri" w:eastAsia="宋体" w:cs="Times New Roman"/>
      <w:b/>
      <w:bCs/>
      <w:spacing w:val="20"/>
      <w:kern w:val="2"/>
      <w:sz w:val="21"/>
      <w:szCs w:val="24"/>
      <w:lang w:val="en-US" w:eastAsia="zh-CN" w:bidi="ar-SA"/>
    </w:rPr>
  </w:style>
  <w:style w:type="character" w:customStyle="1" w:styleId="187">
    <w:name w:val="文档结构图 Char2"/>
    <w:qFormat/>
    <w:uiPriority w:val="0"/>
    <w:rPr>
      <w:rFonts w:ascii="Calibri" w:hAnsi="Calibri" w:eastAsia="宋体" w:cs="Times New Roman"/>
      <w:kern w:val="2"/>
      <w:sz w:val="21"/>
      <w:szCs w:val="24"/>
      <w:lang w:val="en-US" w:eastAsia="zh-CN" w:bidi="ar-SA"/>
    </w:rPr>
  </w:style>
  <w:style w:type="character" w:customStyle="1" w:styleId="188">
    <w:name w:val="无间隔 字符"/>
    <w:link w:val="189"/>
    <w:qFormat/>
    <w:uiPriority w:val="0"/>
    <w:rPr>
      <w:rFonts w:ascii="Calibri" w:hAnsi="Calibri" w:eastAsia="宋体" w:cs="Times New Roman"/>
      <w:sz w:val="22"/>
      <w:szCs w:val="22"/>
      <w:lang w:val="en-US" w:eastAsia="zh-CN" w:bidi="ar-SA"/>
    </w:rPr>
  </w:style>
  <w:style w:type="paragraph" w:customStyle="1" w:styleId="189">
    <w:name w:val="No Spacing"/>
    <w:link w:val="188"/>
    <w:qFormat/>
    <w:uiPriority w:val="0"/>
    <w:pPr>
      <w:widowControl w:val="0"/>
    </w:pPr>
    <w:rPr>
      <w:rFonts w:ascii="Calibri" w:hAnsi="Calibri" w:eastAsia="宋体" w:cs="Times New Roman"/>
      <w:sz w:val="22"/>
      <w:szCs w:val="22"/>
      <w:lang w:val="en-US" w:eastAsia="zh-CN" w:bidi="ar-SA"/>
    </w:rPr>
  </w:style>
  <w:style w:type="character" w:customStyle="1" w:styleId="190">
    <w:name w:val="日期 Char"/>
    <w:qFormat/>
    <w:uiPriority w:val="0"/>
    <w:rPr>
      <w:rFonts w:ascii="Calibri" w:hAnsi="Calibri" w:eastAsia="宋体" w:cs="Times New Roman"/>
      <w:kern w:val="2"/>
      <w:sz w:val="21"/>
      <w:szCs w:val="24"/>
    </w:rPr>
  </w:style>
  <w:style w:type="character" w:customStyle="1" w:styleId="191">
    <w:name w:val="标题 字符1"/>
    <w:qFormat/>
    <w:uiPriority w:val="0"/>
    <w:rPr>
      <w:rFonts w:hint="eastAsia" w:ascii="等线 Light" w:hAnsi="等线 Light" w:eastAsia="等线 Light" w:cs="Times New Roman"/>
      <w:b/>
      <w:bCs/>
      <w:kern w:val="2"/>
      <w:sz w:val="32"/>
      <w:szCs w:val="32"/>
    </w:rPr>
  </w:style>
  <w:style w:type="character" w:customStyle="1" w:styleId="192">
    <w:name w:val="bds_more8"/>
    <w:qFormat/>
    <w:uiPriority w:val="0"/>
    <w:rPr>
      <w:rFonts w:ascii="Calibri" w:hAnsi="Calibri" w:eastAsia="宋体" w:cs="Times New Roman"/>
      <w:color w:val="000000"/>
      <w:kern w:val="0"/>
    </w:rPr>
  </w:style>
  <w:style w:type="character" w:customStyle="1" w:styleId="193">
    <w:name w:val="MB1 Char"/>
    <w:qFormat/>
    <w:uiPriority w:val="0"/>
    <w:rPr>
      <w:rFonts w:ascii="Arial Narrow" w:hAnsi="Arial Narrow" w:eastAsia="宋体" w:cs="Times New Roman"/>
      <w:b/>
      <w:bCs/>
      <w:snapToGrid/>
      <w:sz w:val="36"/>
      <w:szCs w:val="36"/>
      <w:lang w:val="en-US" w:eastAsia="zh-CN" w:bidi="ar-SA"/>
    </w:rPr>
  </w:style>
  <w:style w:type="character" w:customStyle="1" w:styleId="194">
    <w:name w:val="Char Char8"/>
    <w:qFormat/>
    <w:uiPriority w:val="0"/>
    <w:rPr>
      <w:rFonts w:ascii="宋体" w:hAnsi="Calibri" w:eastAsia="宋体" w:cs="Times New Roman"/>
      <w:b/>
      <w:bCs/>
      <w:sz w:val="21"/>
      <w:lang w:val="en-US" w:eastAsia="zh-CN" w:bidi="ar-SA"/>
    </w:rPr>
  </w:style>
  <w:style w:type="character" w:customStyle="1" w:styleId="195">
    <w:name w:val="H4 Char2"/>
    <w:qFormat/>
    <w:uiPriority w:val="0"/>
    <w:rPr>
      <w:rFonts w:ascii="宋体" w:hAnsi="Arial" w:eastAsia="宋体" w:cs="Times New Roman"/>
      <w:szCs w:val="20"/>
    </w:rPr>
  </w:style>
  <w:style w:type="character" w:customStyle="1" w:styleId="196">
    <w:name w:val="MB5 Char1"/>
    <w:qFormat/>
    <w:uiPriority w:val="0"/>
    <w:rPr>
      <w:rFonts w:ascii="Times New Roman" w:hAnsi="Times New Roman" w:eastAsia="宋体" w:cs="Times New Roman"/>
      <w:position w:val="-6"/>
      <w:sz w:val="24"/>
      <w:lang w:val="en-GB"/>
    </w:rPr>
  </w:style>
  <w:style w:type="character" w:customStyle="1" w:styleId="197">
    <w:name w:val="apple-converted-space"/>
    <w:qFormat/>
    <w:uiPriority w:val="0"/>
    <w:rPr>
      <w:rFonts w:ascii="Calibri" w:hAnsi="Calibri" w:eastAsia="宋体" w:cs="Times New Roman"/>
    </w:rPr>
  </w:style>
  <w:style w:type="character" w:customStyle="1" w:styleId="198">
    <w:name w:val="标题 8 字符"/>
    <w:qFormat/>
    <w:uiPriority w:val="0"/>
    <w:rPr>
      <w:rFonts w:ascii="Cambria" w:hAnsi="Cambria" w:eastAsia="宋体" w:cs="Times New Roman"/>
      <w:sz w:val="24"/>
      <w:szCs w:val="24"/>
    </w:rPr>
  </w:style>
  <w:style w:type="character" w:customStyle="1" w:styleId="199">
    <w:name w:val="孙普文字 Char"/>
    <w:qFormat/>
    <w:uiPriority w:val="0"/>
    <w:rPr>
      <w:rFonts w:ascii="宋体" w:hAnsi="Courier New" w:eastAsia="宋体" w:cs="Times New Roman"/>
      <w:szCs w:val="20"/>
    </w:rPr>
  </w:style>
  <w:style w:type="character" w:customStyle="1" w:styleId="200">
    <w:name w:val="Char Char20"/>
    <w:qFormat/>
    <w:uiPriority w:val="0"/>
    <w:rPr>
      <w:rFonts w:ascii="楷体_GB2312" w:hAnsi="Calibri" w:eastAsia="楷体_GB2312" w:cs="Times New Roman"/>
      <w:b/>
      <w:kern w:val="2"/>
      <w:sz w:val="28"/>
      <w:lang w:val="en-US" w:eastAsia="zh-CN" w:bidi="ar-SA"/>
    </w:rPr>
  </w:style>
  <w:style w:type="character" w:customStyle="1" w:styleId="201">
    <w:name w:val="bds_nopic"/>
    <w:qFormat/>
    <w:uiPriority w:val="0"/>
    <w:rPr>
      <w:rFonts w:ascii="Calibri" w:hAnsi="Calibri" w:eastAsia="宋体" w:cs="Times New Roman"/>
      <w:color w:val="000000"/>
      <w:kern w:val="0"/>
    </w:rPr>
  </w:style>
  <w:style w:type="character" w:customStyle="1" w:styleId="202">
    <w:name w:val="正文缩进 Char"/>
    <w:qFormat/>
    <w:uiPriority w:val="0"/>
    <w:rPr>
      <w:rFonts w:ascii="Calibri" w:hAnsi="Calibri" w:eastAsia="宋体" w:cs="Times New Roman"/>
      <w:kern w:val="2"/>
      <w:sz w:val="21"/>
    </w:rPr>
  </w:style>
  <w:style w:type="character" w:customStyle="1" w:styleId="203">
    <w:name w:val="H6 Char1"/>
    <w:qFormat/>
    <w:uiPriority w:val="0"/>
    <w:rPr>
      <w:rFonts w:ascii="Helvetica" w:hAnsi="Helvetica" w:eastAsia="宋体" w:cs="Times New Roman"/>
      <w:b/>
      <w:i/>
      <w:position w:val="-6"/>
      <w:sz w:val="22"/>
      <w:lang w:val="en-GB" w:eastAsia="zh-CN" w:bidi="ar-SA"/>
    </w:rPr>
  </w:style>
  <w:style w:type="character" w:customStyle="1" w:styleId="204">
    <w:name w:val="正文缩进 Char2"/>
    <w:qFormat/>
    <w:uiPriority w:val="0"/>
    <w:rPr>
      <w:rFonts w:ascii="Calibri" w:hAnsi="Calibri" w:eastAsia="宋体" w:cs="Times New Roman"/>
      <w:kern w:val="2"/>
      <w:sz w:val="21"/>
    </w:rPr>
  </w:style>
  <w:style w:type="character" w:customStyle="1" w:styleId="205">
    <w:name w:val="Char Char10"/>
    <w:qFormat/>
    <w:uiPriority w:val="0"/>
    <w:rPr>
      <w:rFonts w:ascii="Helvetica" w:hAnsi="Helvetica" w:eastAsia="宋体" w:cs="Times New Roman"/>
      <w:b/>
      <w:i/>
      <w:position w:val="-6"/>
      <w:sz w:val="22"/>
      <w:lang w:val="en-GB" w:eastAsia="zh-CN" w:bidi="ar-SA"/>
    </w:rPr>
  </w:style>
  <w:style w:type="character" w:customStyle="1" w:styleId="206">
    <w:name w:val="XW封面－日期 Char Char1"/>
    <w:qFormat/>
    <w:uiPriority w:val="0"/>
    <w:rPr>
      <w:rFonts w:ascii="Times New Roman" w:hAnsi="Times New Roman" w:eastAsia="宋体" w:cs="Times New Roman"/>
      <w:sz w:val="28"/>
      <w:szCs w:val="20"/>
    </w:rPr>
  </w:style>
  <w:style w:type="character" w:customStyle="1" w:styleId="207">
    <w:name w:val="列表段落 字符"/>
    <w:link w:val="208"/>
    <w:qFormat/>
    <w:uiPriority w:val="34"/>
    <w:rPr>
      <w:rFonts w:ascii="Calibri" w:hAnsi="Calibri" w:eastAsia="宋体" w:cs="Times New Roman"/>
      <w:sz w:val="22"/>
      <w:szCs w:val="22"/>
      <w:lang w:eastAsia="en-US"/>
    </w:rPr>
  </w:style>
  <w:style w:type="paragraph" w:customStyle="1" w:styleId="208">
    <w:name w:val="List Paragraph"/>
    <w:basedOn w:val="1"/>
    <w:link w:val="207"/>
    <w:qFormat/>
    <w:uiPriority w:val="34"/>
  </w:style>
  <w:style w:type="character" w:customStyle="1" w:styleId="209">
    <w:name w:val="bds_more6"/>
    <w:qFormat/>
    <w:uiPriority w:val="0"/>
    <w:rPr>
      <w:rFonts w:ascii="Calibri" w:hAnsi="Calibri" w:eastAsia="宋体" w:cs="Times New Roman"/>
      <w:color w:val="000000"/>
      <w:kern w:val="0"/>
    </w:rPr>
  </w:style>
  <w:style w:type="character" w:customStyle="1" w:styleId="210">
    <w:name w:val="Char Char141"/>
    <w:qFormat/>
    <w:uiPriority w:val="0"/>
    <w:rPr>
      <w:rFonts w:ascii="Arial" w:hAnsi="Arial" w:eastAsia="黑体" w:cs="Times New Roman"/>
      <w:b/>
      <w:bCs/>
      <w:kern w:val="2"/>
      <w:sz w:val="32"/>
      <w:szCs w:val="32"/>
      <w:lang w:val="en-US" w:eastAsia="zh-CN" w:bidi="ar-SA"/>
    </w:rPr>
  </w:style>
  <w:style w:type="character" w:customStyle="1" w:styleId="211">
    <w:name w:val="批注框文本 Char"/>
    <w:qFormat/>
    <w:uiPriority w:val="0"/>
    <w:rPr>
      <w:rFonts w:ascii="Calibri" w:hAnsi="Calibri" w:eastAsia="宋体" w:cs="Times New Roman"/>
      <w:kern w:val="2"/>
      <w:sz w:val="18"/>
      <w:szCs w:val="18"/>
    </w:rPr>
  </w:style>
  <w:style w:type="character" w:customStyle="1" w:styleId="212">
    <w:name w:val="Char Char2"/>
    <w:qFormat/>
    <w:uiPriority w:val="0"/>
    <w:rPr>
      <w:rFonts w:ascii="宋体" w:hAnsi="宋体" w:eastAsia="宋体" w:cs="Times New Roman"/>
      <w:kern w:val="2"/>
      <w:sz w:val="28"/>
      <w:lang w:val="en-US" w:eastAsia="zh-CN" w:bidi="ar-SA"/>
    </w:rPr>
  </w:style>
  <w:style w:type="character" w:customStyle="1" w:styleId="213">
    <w:name w:val="Char Char15"/>
    <w:qFormat/>
    <w:uiPriority w:val="0"/>
    <w:rPr>
      <w:rFonts w:ascii="Arial Narrow" w:hAnsi="Arial Narrow" w:eastAsia="宋体" w:cs="Times New Roman"/>
      <w:b/>
      <w:bCs/>
      <w:snapToGrid/>
      <w:sz w:val="28"/>
      <w:szCs w:val="44"/>
      <w:lang w:val="en-US" w:eastAsia="zh-CN" w:bidi="ar-SA"/>
    </w:rPr>
  </w:style>
  <w:style w:type="character" w:customStyle="1" w:styleId="214">
    <w:name w:val="标题 1.1 Char"/>
    <w:qFormat/>
    <w:uiPriority w:val="0"/>
    <w:rPr>
      <w:rFonts w:ascii="Arial" w:hAnsi="Arial" w:eastAsia="黑体" w:cs="Times New Roman"/>
      <w:b/>
      <w:bCs/>
      <w:kern w:val="2"/>
      <w:sz w:val="28"/>
      <w:szCs w:val="32"/>
      <w:lang w:val="en-US" w:eastAsia="zh-CN" w:bidi="ar-SA"/>
    </w:rPr>
  </w:style>
  <w:style w:type="character" w:customStyle="1" w:styleId="215">
    <w:name w:val="sort"/>
    <w:qFormat/>
    <w:uiPriority w:val="0"/>
    <w:rPr>
      <w:rFonts w:ascii="Calibri" w:hAnsi="Calibri" w:eastAsia="宋体" w:cs="Times New Roman"/>
      <w:color w:val="FFFFFF"/>
      <w:kern w:val="0"/>
      <w:bdr w:val="single" w:color="auto" w:sz="24" w:space="0"/>
    </w:rPr>
  </w:style>
  <w:style w:type="character" w:customStyle="1" w:styleId="216">
    <w:name w:val="正文文本缩进 字符"/>
    <w:qFormat/>
    <w:uiPriority w:val="0"/>
    <w:rPr>
      <w:rFonts w:ascii="Calibri" w:hAnsi="Calibri" w:eastAsia="宋体" w:cs="Times New Roman"/>
    </w:rPr>
  </w:style>
  <w:style w:type="character" w:customStyle="1" w:styleId="217">
    <w:name w:val="页眉 Char1"/>
    <w:qFormat/>
    <w:uiPriority w:val="0"/>
    <w:rPr>
      <w:rFonts w:ascii="Calibri" w:hAnsi="Calibri" w:eastAsia="宋体" w:cs="Times New Roman"/>
      <w:sz w:val="18"/>
      <w:lang w:val="en-US" w:eastAsia="zh-CN" w:bidi="ar-SA"/>
    </w:rPr>
  </w:style>
  <w:style w:type="character" w:customStyle="1" w:styleId="218">
    <w:name w:val="正文文本缩进 Char1"/>
    <w:qFormat/>
    <w:uiPriority w:val="0"/>
    <w:rPr>
      <w:rFonts w:ascii="Calibri" w:hAnsi="Calibri" w:eastAsia="宋体" w:cs="Times New Roman"/>
    </w:rPr>
  </w:style>
  <w:style w:type="character" w:customStyle="1" w:styleId="219">
    <w:name w:val="批注框文本 Char1"/>
    <w:qFormat/>
    <w:uiPriority w:val="0"/>
    <w:rPr>
      <w:rFonts w:ascii="Calibri" w:hAnsi="Calibri" w:eastAsia="宋体" w:cs="Times New Roman"/>
      <w:sz w:val="18"/>
      <w:szCs w:val="18"/>
      <w:lang w:val="en-US" w:eastAsia="zh-CN" w:bidi="ar-SA"/>
    </w:rPr>
  </w:style>
  <w:style w:type="character" w:customStyle="1" w:styleId="220">
    <w:name w:val="Char Char12"/>
    <w:qFormat/>
    <w:uiPriority w:val="0"/>
    <w:rPr>
      <w:rFonts w:ascii="宋体" w:hAnsi="Arial" w:eastAsia="宋体" w:cs="Times New Roman"/>
      <w:kern w:val="2"/>
      <w:sz w:val="21"/>
      <w:lang w:val="en-US" w:eastAsia="zh-CN" w:bidi="ar-SA"/>
    </w:rPr>
  </w:style>
  <w:style w:type="character" w:customStyle="1" w:styleId="221">
    <w:name w:val="p121"/>
    <w:qFormat/>
    <w:uiPriority w:val="0"/>
    <w:rPr>
      <w:rFonts w:hint="default" w:ascii="Calibri" w:hAnsi="Calibri" w:eastAsia="宋体" w:cs="Times New Roman"/>
      <w:sz w:val="24"/>
      <w:szCs w:val="24"/>
      <w:u w:val="none"/>
    </w:rPr>
  </w:style>
  <w:style w:type="character" w:customStyle="1" w:styleId="222">
    <w:name w:val="H3 Char"/>
    <w:qFormat/>
    <w:uiPriority w:val="0"/>
    <w:rPr>
      <w:rFonts w:ascii="黑体" w:hAnsi="宋体" w:eastAsia="黑体" w:cs="Arial"/>
      <w:color w:val="000000"/>
      <w:kern w:val="24"/>
      <w:sz w:val="28"/>
      <w:szCs w:val="28"/>
      <w:lang w:val="sv-SE"/>
    </w:rPr>
  </w:style>
  <w:style w:type="character" w:customStyle="1" w:styleId="223">
    <w:name w:val="文档结构图 Char1"/>
    <w:qFormat/>
    <w:uiPriority w:val="0"/>
    <w:rPr>
      <w:rFonts w:ascii="宋体" w:hAnsi="Calibri" w:eastAsia="宋体" w:cs="Times New Roman"/>
      <w:sz w:val="18"/>
      <w:szCs w:val="18"/>
    </w:rPr>
  </w:style>
  <w:style w:type="character" w:customStyle="1" w:styleId="224">
    <w:name w:val="普通文字 Char Char2"/>
    <w:qFormat/>
    <w:uiPriority w:val="0"/>
    <w:rPr>
      <w:rFonts w:ascii="宋体" w:hAnsi="Courier New" w:eastAsia="宋体" w:cs="Courier New"/>
      <w:kern w:val="0"/>
      <w:szCs w:val="21"/>
    </w:rPr>
  </w:style>
  <w:style w:type="character" w:customStyle="1" w:styleId="225">
    <w:name w:val="公式 Char Char Char"/>
    <w:qFormat/>
    <w:uiPriority w:val="0"/>
    <w:rPr>
      <w:rFonts w:ascii="华文细黑" w:hAnsi="华文细黑" w:eastAsia="华文细黑" w:cs="Arial"/>
      <w:color w:val="000000"/>
      <w:sz w:val="30"/>
      <w:szCs w:val="28"/>
      <w:lang w:val="en-US" w:eastAsia="zh-CN" w:bidi="ar-SA"/>
    </w:rPr>
  </w:style>
  <w:style w:type="character" w:customStyle="1" w:styleId="226">
    <w:name w:val="编号  ww Char"/>
    <w:qFormat/>
    <w:uiPriority w:val="0"/>
    <w:rPr>
      <w:rFonts w:ascii="Arial" w:hAnsi="Arial" w:eastAsia="黑体" w:cs="Times New Roman"/>
      <w:b/>
      <w:bCs/>
      <w:sz w:val="28"/>
      <w:szCs w:val="28"/>
    </w:rPr>
  </w:style>
  <w:style w:type="character" w:customStyle="1" w:styleId="227">
    <w:name w:val="Char Char Char Char Char Char Char Char Char Char Char Char Char Char Char Char Char1"/>
    <w:qFormat/>
    <w:uiPriority w:val="0"/>
    <w:rPr>
      <w:rFonts w:ascii="Verdana" w:hAnsi="Verdana" w:eastAsia="仿宋_GB2312" w:cs="Times New Roman"/>
      <w:sz w:val="24"/>
      <w:lang w:eastAsia="en-US"/>
    </w:rPr>
  </w:style>
  <w:style w:type="character" w:customStyle="1" w:styleId="228">
    <w:name w:val="MB5 Char"/>
    <w:qFormat/>
    <w:uiPriority w:val="0"/>
    <w:rPr>
      <w:rFonts w:ascii="Calibri" w:hAnsi="Calibri" w:eastAsia="宋体" w:cs="Times New Roman"/>
      <w:position w:val="-6"/>
      <w:sz w:val="24"/>
      <w:lang w:val="en-GB" w:eastAsia="zh-CN" w:bidi="ar-SA"/>
    </w:rPr>
  </w:style>
  <w:style w:type="character" w:customStyle="1" w:styleId="229">
    <w:name w:val="bds_nopic1"/>
    <w:qFormat/>
    <w:uiPriority w:val="0"/>
    <w:rPr>
      <w:rFonts w:ascii="Calibri" w:hAnsi="Calibri" w:eastAsia="宋体" w:cs="Times New Roman"/>
      <w:color w:val="000000"/>
      <w:kern w:val="0"/>
    </w:rPr>
  </w:style>
  <w:style w:type="character" w:customStyle="1" w:styleId="230">
    <w:name w:val="GEDI正文样式 Char"/>
    <w:link w:val="231"/>
    <w:qFormat/>
    <w:uiPriority w:val="0"/>
    <w:rPr>
      <w:rFonts w:ascii="Times New Roman" w:hAnsi="Times New Roman" w:eastAsia="宋体" w:cs="Times New Roman"/>
      <w:kern w:val="2"/>
      <w:sz w:val="21"/>
      <w:szCs w:val="24"/>
      <w:lang w:eastAsia="zh-CN"/>
    </w:rPr>
  </w:style>
  <w:style w:type="paragraph" w:customStyle="1" w:styleId="231">
    <w:name w:val="GEDI正文样式"/>
    <w:basedOn w:val="1"/>
    <w:link w:val="230"/>
    <w:qFormat/>
    <w:uiPriority w:val="0"/>
    <w:pPr>
      <w:adjustRightInd w:val="0"/>
      <w:snapToGrid w:val="0"/>
      <w:spacing w:line="480" w:lineRule="atLeast"/>
      <w:ind w:firstLine="480" w:firstLineChars="200"/>
      <w:jc w:val="both"/>
    </w:pPr>
    <w:rPr>
      <w:rFonts w:ascii="Times New Roman" w:hAnsi="Times New Roman"/>
      <w:kern w:val="2"/>
      <w:sz w:val="21"/>
      <w:szCs w:val="24"/>
      <w:lang w:eastAsia="zh-CN"/>
    </w:rPr>
  </w:style>
  <w:style w:type="character" w:customStyle="1" w:styleId="232">
    <w:name w:val="图表名 Char"/>
    <w:link w:val="233"/>
    <w:qFormat/>
    <w:uiPriority w:val="0"/>
    <w:rPr>
      <w:rFonts w:ascii="宋体" w:hAnsi="宋体" w:eastAsia="宋体" w:cs="Times New Roman"/>
      <w:sz w:val="28"/>
      <w:szCs w:val="28"/>
    </w:rPr>
  </w:style>
  <w:style w:type="paragraph" w:customStyle="1" w:styleId="233">
    <w:name w:val="图表名"/>
    <w:basedOn w:val="1"/>
    <w:next w:val="1"/>
    <w:link w:val="232"/>
    <w:qFormat/>
    <w:uiPriority w:val="0"/>
    <w:pPr>
      <w:tabs>
        <w:tab w:val="left" w:pos="770"/>
        <w:tab w:val="left" w:pos="4660"/>
      </w:tabs>
      <w:adjustRightInd w:val="0"/>
      <w:snapToGrid w:val="0"/>
      <w:spacing w:line="360" w:lineRule="auto"/>
      <w:jc w:val="center"/>
    </w:pPr>
    <w:rPr>
      <w:rFonts w:ascii="宋体" w:hAnsi="宋体"/>
      <w:sz w:val="28"/>
      <w:szCs w:val="28"/>
    </w:rPr>
  </w:style>
  <w:style w:type="character" w:customStyle="1" w:styleId="234">
    <w:name w:val="样式 标题 1TITRE1章节合同标题H1h1Section Head1st levell1H11H12H... Char"/>
    <w:link w:val="235"/>
    <w:qFormat/>
    <w:uiPriority w:val="0"/>
    <w:rPr>
      <w:rFonts w:ascii="Arial" w:hAnsi="Arial" w:eastAsia="宋体" w:cs="Times New Roman"/>
      <w:b/>
      <w:bCs/>
      <w:kern w:val="44"/>
      <w:sz w:val="30"/>
      <w:szCs w:val="44"/>
      <w:lang w:eastAsia="zh-CN"/>
    </w:rPr>
  </w:style>
  <w:style w:type="paragraph" w:customStyle="1" w:styleId="235">
    <w:name w:val="样式 标题 1TITRE1章节合同标题H1h1Section Head1st levell1H11H12H..."/>
    <w:basedOn w:val="2"/>
    <w:link w:val="234"/>
    <w:qFormat/>
    <w:uiPriority w:val="0"/>
    <w:pPr>
      <w:keepNext/>
      <w:keepLines/>
      <w:spacing w:before="340" w:after="330" w:line="576" w:lineRule="auto"/>
      <w:ind w:left="0"/>
      <w:jc w:val="both"/>
    </w:pPr>
    <w:rPr>
      <w:rFonts w:ascii="Arial" w:hAnsi="Arial" w:eastAsia="宋体"/>
      <w:kern w:val="44"/>
      <w:sz w:val="30"/>
      <w:lang w:eastAsia="zh-CN"/>
    </w:rPr>
  </w:style>
  <w:style w:type="character" w:customStyle="1" w:styleId="236">
    <w:name w:val="正文文本 Char"/>
    <w:qFormat/>
    <w:uiPriority w:val="0"/>
    <w:rPr>
      <w:rFonts w:ascii="Calibri" w:hAnsi="Calibri" w:eastAsia="宋体" w:cs="Times New Roman"/>
      <w:kern w:val="2"/>
      <w:sz w:val="21"/>
      <w:szCs w:val="24"/>
    </w:rPr>
  </w:style>
  <w:style w:type="character" w:customStyle="1" w:styleId="237">
    <w:name w:val="sidecatalog-index1"/>
    <w:qFormat/>
    <w:uiPriority w:val="0"/>
    <w:rPr>
      <w:rFonts w:ascii="Arial" w:hAnsi="Arial" w:eastAsia="宋体" w:cs="Arial"/>
      <w:b/>
      <w:color w:val="999999"/>
      <w:kern w:val="0"/>
      <w:sz w:val="21"/>
      <w:szCs w:val="21"/>
    </w:rPr>
  </w:style>
  <w:style w:type="character" w:customStyle="1" w:styleId="238">
    <w:name w:val="正文文本缩进 Char"/>
    <w:qFormat/>
    <w:uiPriority w:val="0"/>
    <w:rPr>
      <w:rFonts w:ascii="Calibri" w:hAnsi="Calibri" w:eastAsia="宋体" w:cs="Times New Roman"/>
      <w:kern w:val="2"/>
      <w:sz w:val="28"/>
      <w:szCs w:val="24"/>
    </w:rPr>
  </w:style>
  <w:style w:type="character" w:customStyle="1" w:styleId="239">
    <w:name w:val="H5 Char"/>
    <w:qFormat/>
    <w:uiPriority w:val="0"/>
    <w:rPr>
      <w:rFonts w:ascii="Times New Roman" w:hAnsi="Times New Roman" w:eastAsia="宋体" w:cs="Times New Roman"/>
      <w:b/>
      <w:bCs/>
      <w:sz w:val="28"/>
      <w:szCs w:val="28"/>
    </w:rPr>
  </w:style>
  <w:style w:type="character" w:customStyle="1" w:styleId="240">
    <w:name w:val="black1"/>
    <w:qFormat/>
    <w:uiPriority w:val="0"/>
    <w:rPr>
      <w:rFonts w:hint="default" w:ascii="ˎ̥" w:hAnsi="ˎ̥" w:eastAsia="宋体" w:cs="Times New Roman"/>
      <w:color w:val="333333"/>
      <w:sz w:val="18"/>
      <w:szCs w:val="18"/>
      <w:u w:val="none"/>
    </w:rPr>
  </w:style>
  <w:style w:type="character" w:customStyle="1" w:styleId="241">
    <w:name w:val="polysemyexp"/>
    <w:qFormat/>
    <w:uiPriority w:val="0"/>
    <w:rPr>
      <w:rFonts w:ascii="Calibri" w:hAnsi="Calibri" w:eastAsia="宋体" w:cs="Times New Roman"/>
      <w:color w:val="AAAAAA"/>
      <w:kern w:val="0"/>
      <w:sz w:val="18"/>
      <w:szCs w:val="18"/>
    </w:rPr>
  </w:style>
  <w:style w:type="character" w:customStyle="1" w:styleId="242">
    <w:name w:val="Char Char17"/>
    <w:qFormat/>
    <w:uiPriority w:val="0"/>
    <w:rPr>
      <w:rFonts w:ascii="Times New Roman" w:hAnsi="Times New Roman" w:eastAsia="宋体" w:cs="Times New Roman"/>
      <w:kern w:val="0"/>
      <w:sz w:val="18"/>
      <w:szCs w:val="20"/>
    </w:rPr>
  </w:style>
  <w:style w:type="character" w:customStyle="1" w:styleId="243">
    <w:name w:val="正文文本 Char1"/>
    <w:qFormat/>
    <w:uiPriority w:val="0"/>
    <w:rPr>
      <w:rFonts w:ascii="Calibri" w:hAnsi="Calibri" w:eastAsia="宋体" w:cs="Times New Roman"/>
      <w:kern w:val="2"/>
      <w:sz w:val="21"/>
      <w:szCs w:val="24"/>
    </w:rPr>
  </w:style>
  <w:style w:type="character" w:customStyle="1" w:styleId="244">
    <w:name w:val="sidecatalog-dot1"/>
    <w:qFormat/>
    <w:uiPriority w:val="0"/>
    <w:rPr>
      <w:rFonts w:ascii="Calibri" w:hAnsi="Calibri" w:eastAsia="宋体" w:cs="Times New Roman"/>
      <w:color w:val="000000"/>
      <w:kern w:val="0"/>
    </w:rPr>
  </w:style>
  <w:style w:type="character" w:customStyle="1" w:styleId="245">
    <w:name w:val="页眉 Char"/>
    <w:qFormat/>
    <w:uiPriority w:val="99"/>
    <w:rPr>
      <w:rFonts w:ascii="Calibri" w:hAnsi="Calibri" w:eastAsia="宋体" w:cs="Times New Roman"/>
      <w:kern w:val="2"/>
      <w:sz w:val="18"/>
      <w:szCs w:val="18"/>
    </w:rPr>
  </w:style>
  <w:style w:type="character" w:customStyle="1" w:styleId="246">
    <w:name w:val="纯文本 Char"/>
    <w:qFormat/>
    <w:uiPriority w:val="0"/>
    <w:rPr>
      <w:rFonts w:ascii="宋体" w:hAnsi="Courier New" w:eastAsia="宋体" w:cs="Times New Roman"/>
      <w:kern w:val="2"/>
      <w:sz w:val="21"/>
    </w:rPr>
  </w:style>
  <w:style w:type="character" w:customStyle="1" w:styleId="247">
    <w:name w:val="bds_more9"/>
    <w:qFormat/>
    <w:uiPriority w:val="0"/>
    <w:rPr>
      <w:rFonts w:ascii="Calibri" w:hAnsi="Calibri" w:eastAsia="宋体" w:cs="Times New Roman"/>
      <w:color w:val="000000"/>
      <w:kern w:val="0"/>
    </w:rPr>
  </w:style>
  <w:style w:type="character" w:customStyle="1" w:styleId="248">
    <w:name w:val="日期 Char1"/>
    <w:qFormat/>
    <w:uiPriority w:val="0"/>
    <w:rPr>
      <w:rFonts w:ascii="Calibri" w:hAnsi="Calibri" w:eastAsia="宋体" w:cs="Times New Roman"/>
    </w:rPr>
  </w:style>
  <w:style w:type="character" w:customStyle="1" w:styleId="249">
    <w:name w:val="正文文本 3 Char1"/>
    <w:qFormat/>
    <w:uiPriority w:val="0"/>
    <w:rPr>
      <w:rFonts w:ascii="Calibri" w:hAnsi="Calibri" w:eastAsia="宋体" w:cs="Times New Roman"/>
      <w:sz w:val="16"/>
      <w:szCs w:val="16"/>
    </w:rPr>
  </w:style>
  <w:style w:type="character" w:customStyle="1" w:styleId="250">
    <w:name w:val="标题 2 Char"/>
    <w:link w:val="3"/>
    <w:qFormat/>
    <w:uiPriority w:val="0"/>
    <w:rPr>
      <w:rFonts w:ascii="Arial" w:hAnsi="Arial" w:eastAsia="黑体" w:cs="Times New Roman"/>
      <w:b/>
      <w:bCs/>
      <w:kern w:val="2"/>
      <w:sz w:val="32"/>
      <w:szCs w:val="32"/>
    </w:rPr>
  </w:style>
  <w:style w:type="character" w:customStyle="1" w:styleId="251">
    <w:name w:val="Char Char11"/>
    <w:qFormat/>
    <w:uiPriority w:val="0"/>
    <w:rPr>
      <w:rFonts w:ascii="Calibri" w:hAnsi="Calibri" w:eastAsia="宋体" w:cs="Times New Roman"/>
      <w:position w:val="-6"/>
      <w:sz w:val="24"/>
      <w:lang w:val="en-GB" w:eastAsia="zh-CN" w:bidi="ar-SA"/>
    </w:rPr>
  </w:style>
  <w:style w:type="character" w:customStyle="1" w:styleId="252">
    <w:name w:val="plus"/>
    <w:qFormat/>
    <w:uiPriority w:val="0"/>
    <w:rPr>
      <w:rFonts w:ascii="Calibri" w:hAnsi="Calibri" w:eastAsia="宋体" w:cs="Times New Roman"/>
      <w:b/>
      <w:vanish/>
      <w:color w:val="1F8DEF"/>
      <w:kern w:val="0"/>
      <w:sz w:val="24"/>
      <w:szCs w:val="24"/>
    </w:rPr>
  </w:style>
  <w:style w:type="character" w:customStyle="1" w:styleId="253">
    <w:name w:val="标题 3 Char1"/>
    <w:qFormat/>
    <w:uiPriority w:val="0"/>
    <w:rPr>
      <w:rFonts w:hint="eastAsia" w:ascii="Microsoft JhengHei" w:hAnsi="Microsoft JhengHei" w:eastAsia="Microsoft JhengHei" w:cs="Microsoft JhengHei"/>
      <w:b/>
      <w:sz w:val="30"/>
      <w:szCs w:val="32"/>
      <w:lang w:eastAsia="en-US"/>
    </w:rPr>
  </w:style>
  <w:style w:type="character" w:customStyle="1" w:styleId="254">
    <w:name w:val="font101"/>
    <w:qFormat/>
    <w:uiPriority w:val="0"/>
    <w:rPr>
      <w:rFonts w:hint="eastAsia" w:ascii="宋体" w:hAnsi="宋体" w:eastAsia="宋体" w:cs="宋体"/>
      <w:color w:val="000000"/>
      <w:sz w:val="22"/>
      <w:szCs w:val="22"/>
      <w:u w:val="none"/>
    </w:rPr>
  </w:style>
  <w:style w:type="character" w:customStyle="1" w:styleId="255">
    <w:name w:val="font131"/>
    <w:qFormat/>
    <w:uiPriority w:val="0"/>
    <w:rPr>
      <w:rFonts w:hint="default" w:ascii="Times New Roman" w:hAnsi="Times New Roman" w:cs="Times New Roman"/>
      <w:color w:val="000000"/>
      <w:sz w:val="22"/>
      <w:szCs w:val="22"/>
      <w:u w:val="none"/>
    </w:rPr>
  </w:style>
  <w:style w:type="character" w:customStyle="1" w:styleId="256">
    <w:name w:val="未处理的提及41"/>
    <w:unhideWhenUsed/>
    <w:qFormat/>
    <w:uiPriority w:val="99"/>
    <w:rPr>
      <w:color w:val="605E5C"/>
      <w:shd w:val="clear" w:color="auto" w:fill="E1DFDD"/>
    </w:rPr>
  </w:style>
  <w:style w:type="character" w:customStyle="1" w:styleId="257">
    <w:name w:val="font21"/>
    <w:qFormat/>
    <w:uiPriority w:val="0"/>
    <w:rPr>
      <w:rFonts w:hint="eastAsia" w:ascii="微软雅黑" w:hAnsi="微软雅黑" w:eastAsia="微软雅黑" w:cs="微软雅黑"/>
      <w:color w:val="000000"/>
      <w:sz w:val="24"/>
      <w:szCs w:val="24"/>
      <w:u w:val="none"/>
    </w:rPr>
  </w:style>
  <w:style w:type="character" w:customStyle="1" w:styleId="258">
    <w:name w:val="未处理的提及5"/>
    <w:unhideWhenUsed/>
    <w:qFormat/>
    <w:uiPriority w:val="99"/>
    <w:rPr>
      <w:color w:val="605E5C"/>
      <w:shd w:val="clear" w:color="auto" w:fill="E1DFDD"/>
    </w:rPr>
  </w:style>
  <w:style w:type="paragraph" w:customStyle="1" w:styleId="259">
    <w:name w:val="CM34"/>
    <w:basedOn w:val="84"/>
    <w:next w:val="84"/>
    <w:qFormat/>
    <w:uiPriority w:val="0"/>
    <w:pPr>
      <w:spacing w:line="398" w:lineRule="atLeast"/>
    </w:pPr>
    <w:rPr>
      <w:rFonts w:ascii="Calibri" w:cs="Times New Roman"/>
      <w:color w:val="auto"/>
    </w:rPr>
  </w:style>
  <w:style w:type="paragraph" w:customStyle="1" w:styleId="260">
    <w:name w:val="正文部分"/>
    <w:basedOn w:val="1"/>
    <w:qFormat/>
    <w:uiPriority w:val="0"/>
    <w:pPr>
      <w:spacing w:line="500" w:lineRule="exact"/>
      <w:ind w:firstLine="480" w:firstLineChars="200"/>
      <w:textAlignment w:val="center"/>
    </w:pPr>
    <w:rPr>
      <w:rFonts w:ascii="华文细黑" w:hAnsi="华文细黑"/>
      <w:kern w:val="2"/>
      <w:sz w:val="24"/>
      <w:szCs w:val="20"/>
      <w:lang w:eastAsia="zh-CN"/>
    </w:rPr>
  </w:style>
  <w:style w:type="paragraph" w:customStyle="1" w:styleId="261">
    <w:name w:val="CM19"/>
    <w:basedOn w:val="84"/>
    <w:next w:val="84"/>
    <w:qFormat/>
    <w:uiPriority w:val="0"/>
    <w:pPr>
      <w:spacing w:line="398" w:lineRule="atLeast"/>
    </w:pPr>
    <w:rPr>
      <w:rFonts w:ascii="Calibri" w:cs="Times New Roman"/>
      <w:color w:val="auto"/>
    </w:rPr>
  </w:style>
  <w:style w:type="paragraph" w:customStyle="1" w:styleId="262">
    <w:name w:val="font8"/>
    <w:basedOn w:val="1"/>
    <w:qFormat/>
    <w:uiPriority w:val="0"/>
    <w:pPr>
      <w:widowControl/>
      <w:spacing w:before="100" w:beforeAutospacing="1" w:after="100" w:afterAutospacing="1"/>
    </w:pPr>
    <w:rPr>
      <w:rFonts w:hint="eastAsia" w:ascii="宋体" w:hAnsi="宋体"/>
      <w:lang w:eastAsia="zh-CN"/>
    </w:rPr>
  </w:style>
  <w:style w:type="paragraph" w:customStyle="1" w:styleId="263">
    <w:name w:val="legal 2"/>
    <w:basedOn w:val="84"/>
    <w:next w:val="84"/>
    <w:qFormat/>
    <w:uiPriority w:val="0"/>
    <w:pPr>
      <w:spacing w:after="120"/>
    </w:pPr>
    <w:rPr>
      <w:rFonts w:ascii="Calibri" w:cs="Times New Roman"/>
      <w:color w:val="auto"/>
    </w:rPr>
  </w:style>
  <w:style w:type="paragraph" w:customStyle="1" w:styleId="264">
    <w:name w:val="CM7"/>
    <w:basedOn w:val="84"/>
    <w:next w:val="84"/>
    <w:qFormat/>
    <w:uiPriority w:val="0"/>
    <w:pPr>
      <w:spacing w:line="191" w:lineRule="atLeast"/>
    </w:pPr>
    <w:rPr>
      <w:rFonts w:ascii="Times New Roman" w:hAnsi="Times New Roman" w:cs="Times New Roman"/>
      <w:color w:val="auto"/>
    </w:rPr>
  </w:style>
  <w:style w:type="paragraph" w:customStyle="1" w:styleId="265">
    <w:name w:val="标题11"/>
    <w:basedOn w:val="1"/>
    <w:qFormat/>
    <w:uiPriority w:val="0"/>
    <w:pPr>
      <w:numPr>
        <w:ilvl w:val="0"/>
        <w:numId w:val="4"/>
      </w:numPr>
      <w:tabs>
        <w:tab w:val="left" w:pos="284"/>
        <w:tab w:val="clear" w:pos="900"/>
      </w:tabs>
      <w:spacing w:line="360" w:lineRule="auto"/>
      <w:ind w:left="722" w:firstLine="116" w:firstLineChars="48"/>
      <w:jc w:val="both"/>
      <w:textAlignment w:val="bottom"/>
    </w:pPr>
    <w:rPr>
      <w:rFonts w:ascii="宋体" w:hAnsi="宋体"/>
      <w:b/>
      <w:sz w:val="24"/>
      <w:szCs w:val="24"/>
      <w:lang w:eastAsia="zh-CN"/>
    </w:rPr>
  </w:style>
  <w:style w:type="paragraph" w:customStyle="1" w:styleId="266">
    <w:name w:val="Char Char Char Char Char Char Char Char Char Char Char Char Char Char Char Char"/>
    <w:basedOn w:val="1"/>
    <w:qFormat/>
    <w:uiPriority w:val="0"/>
    <w:pPr>
      <w:widowControl/>
      <w:spacing w:after="160" w:line="240" w:lineRule="exact"/>
    </w:pPr>
    <w:rPr>
      <w:rFonts w:ascii="Verdana" w:hAnsi="Verdana" w:eastAsia="仿宋_GB2312"/>
      <w:sz w:val="24"/>
      <w:szCs w:val="20"/>
    </w:rPr>
  </w:style>
  <w:style w:type="paragraph" w:customStyle="1" w:styleId="267">
    <w:name w:val="xl89"/>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pPr>
    <w:rPr>
      <w:rFonts w:ascii="宋体" w:hAnsi="宋体"/>
      <w:b/>
      <w:bCs/>
      <w:lang w:eastAsia="zh-CN"/>
    </w:rPr>
  </w:style>
  <w:style w:type="paragraph" w:customStyle="1" w:styleId="268">
    <w:name w:val="标题 1+ 黑体"/>
    <w:basedOn w:val="63"/>
    <w:qFormat/>
    <w:uiPriority w:val="0"/>
    <w:pPr>
      <w:autoSpaceDE/>
      <w:autoSpaceDN/>
      <w:adjustRightInd/>
      <w:spacing w:beforeLines="0" w:line="240" w:lineRule="auto"/>
      <w:textAlignment w:val="auto"/>
    </w:pPr>
    <w:rPr>
      <w:rFonts w:ascii="黑体" w:hAnsi="Calibri" w:eastAsia="黑体" w:cs="Times New Roman"/>
      <w:kern w:val="2"/>
    </w:rPr>
  </w:style>
  <w:style w:type="paragraph" w:customStyle="1" w:styleId="269">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right"/>
    </w:pPr>
    <w:rPr>
      <w:rFonts w:ascii="宋体" w:hAnsi="宋体"/>
      <w:b/>
      <w:bCs/>
      <w:lang w:eastAsia="zh-CN"/>
    </w:rPr>
  </w:style>
  <w:style w:type="paragraph" w:customStyle="1" w:styleId="270">
    <w:name w:val="Table Paragraph"/>
    <w:basedOn w:val="1"/>
    <w:qFormat/>
    <w:uiPriority w:val="0"/>
  </w:style>
  <w:style w:type="paragraph" w:customStyle="1" w:styleId="271">
    <w:name w:val="CM31"/>
    <w:basedOn w:val="84"/>
    <w:next w:val="84"/>
    <w:qFormat/>
    <w:uiPriority w:val="0"/>
    <w:pPr>
      <w:spacing w:line="400" w:lineRule="atLeast"/>
    </w:pPr>
    <w:rPr>
      <w:rFonts w:ascii="Calibri" w:cs="Times New Roman"/>
      <w:color w:val="auto"/>
    </w:rPr>
  </w:style>
  <w:style w:type="paragraph" w:customStyle="1" w:styleId="272">
    <w:name w:val="CM15"/>
    <w:basedOn w:val="84"/>
    <w:next w:val="84"/>
    <w:qFormat/>
    <w:uiPriority w:val="0"/>
    <w:pPr>
      <w:spacing w:line="313" w:lineRule="atLeast"/>
    </w:pPr>
    <w:rPr>
      <w:rFonts w:ascii="Calibri" w:cs="Times New Roman"/>
      <w:color w:val="auto"/>
    </w:rPr>
  </w:style>
  <w:style w:type="paragraph" w:customStyle="1" w:styleId="273">
    <w:name w:val="设备规范标题2"/>
    <w:next w:val="1"/>
    <w:qFormat/>
    <w:uiPriority w:val="0"/>
    <w:pPr>
      <w:tabs>
        <w:tab w:val="left" w:pos="425"/>
        <w:tab w:val="left" w:pos="720"/>
        <w:tab w:val="left" w:pos="840"/>
      </w:tabs>
      <w:spacing w:beforeLines="100" w:afterLines="50"/>
      <w:ind w:hanging="425"/>
    </w:pPr>
    <w:rPr>
      <w:rFonts w:ascii="Times New Roman" w:hAnsi="Times New Roman" w:eastAsia="楷体_GB2312" w:cs="Times New Roman"/>
      <w:b/>
      <w:bCs/>
      <w:sz w:val="24"/>
      <w:lang w:val="en-US" w:eastAsia="zh-CN" w:bidi="ar-SA"/>
    </w:rPr>
  </w:style>
  <w:style w:type="paragraph" w:customStyle="1" w:styleId="274">
    <w:name w:val="CM98"/>
    <w:basedOn w:val="84"/>
    <w:next w:val="84"/>
    <w:qFormat/>
    <w:uiPriority w:val="0"/>
    <w:pPr>
      <w:spacing w:after="570"/>
    </w:pPr>
    <w:rPr>
      <w:rFonts w:ascii="Calibri" w:cs="Times New Roman"/>
      <w:color w:val="auto"/>
    </w:rPr>
  </w:style>
  <w:style w:type="paragraph" w:customStyle="1" w:styleId="275">
    <w:name w:val="xl15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276">
    <w:name w:val="Char Char Char"/>
    <w:basedOn w:val="1"/>
    <w:qFormat/>
    <w:uiPriority w:val="0"/>
    <w:pPr>
      <w:spacing w:line="360" w:lineRule="auto"/>
      <w:jc w:val="both"/>
    </w:pPr>
    <w:rPr>
      <w:rFonts w:ascii="Tahoma" w:hAnsi="Tahoma"/>
      <w:kern w:val="2"/>
      <w:sz w:val="24"/>
      <w:szCs w:val="20"/>
      <w:lang w:eastAsia="zh-CN"/>
    </w:rPr>
  </w:style>
  <w:style w:type="paragraph" w:customStyle="1" w:styleId="277">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278">
    <w:name w:val="xl123"/>
    <w:basedOn w:val="1"/>
    <w:qFormat/>
    <w:uiPriority w:val="0"/>
    <w:pPr>
      <w:widowControl/>
      <w:pBdr>
        <w:top w:val="single" w:color="auto" w:sz="4" w:space="0"/>
        <w:bottom w:val="single" w:color="auto" w:sz="4" w:space="0"/>
        <w:right w:val="single" w:color="auto" w:sz="8" w:space="0"/>
      </w:pBdr>
      <w:shd w:val="clear" w:color="auto" w:fill="FFFF99"/>
      <w:spacing w:before="100" w:beforeAutospacing="1" w:after="100" w:afterAutospacing="1"/>
      <w:jc w:val="center"/>
    </w:pPr>
    <w:rPr>
      <w:rFonts w:ascii="Arial" w:hAnsi="Arial" w:eastAsia="Arial Unicode MS" w:cs="Arial"/>
      <w:b/>
      <w:bCs/>
      <w:sz w:val="24"/>
      <w:szCs w:val="24"/>
      <w:lang w:eastAsia="zh-CN"/>
    </w:rPr>
  </w:style>
  <w:style w:type="paragraph" w:customStyle="1" w:styleId="279">
    <w:name w:val="封面样式1"/>
    <w:basedOn w:val="1"/>
    <w:qFormat/>
    <w:uiPriority w:val="0"/>
    <w:pPr>
      <w:spacing w:line="440" w:lineRule="exact"/>
      <w:ind w:firstLine="630" w:firstLineChars="300"/>
    </w:pPr>
    <w:rPr>
      <w:rFonts w:ascii="华文细黑" w:hAnsi="华文细黑" w:cs="Arial"/>
      <w:sz w:val="21"/>
      <w:szCs w:val="21"/>
      <w:lang w:eastAsia="zh-CN"/>
    </w:rPr>
  </w:style>
  <w:style w:type="paragraph" w:customStyle="1" w:styleId="280">
    <w:name w:val="font12"/>
    <w:basedOn w:val="1"/>
    <w:qFormat/>
    <w:uiPriority w:val="0"/>
    <w:pPr>
      <w:widowControl/>
      <w:spacing w:before="100" w:beforeAutospacing="1" w:after="100" w:afterAutospacing="1"/>
    </w:pPr>
    <w:rPr>
      <w:rFonts w:ascii="Times New Roman" w:hAnsi="Times New Roman"/>
      <w:sz w:val="20"/>
      <w:szCs w:val="20"/>
      <w:lang w:eastAsia="zh-CN"/>
    </w:rPr>
  </w:style>
  <w:style w:type="paragraph" w:customStyle="1" w:styleId="281">
    <w:name w:val="Table"/>
    <w:basedOn w:val="1"/>
    <w:qFormat/>
    <w:uiPriority w:val="0"/>
    <w:pPr>
      <w:widowControl/>
    </w:pPr>
    <w:rPr>
      <w:rFonts w:ascii="宋体" w:hAnsi="宋体"/>
      <w:sz w:val="24"/>
      <w:szCs w:val="24"/>
      <w:lang w:val="en-GB"/>
    </w:rPr>
  </w:style>
  <w:style w:type="paragraph" w:customStyle="1" w:styleId="282">
    <w:name w:val="xl140"/>
    <w:basedOn w:val="1"/>
    <w:qFormat/>
    <w:uiPriority w:val="0"/>
    <w:pPr>
      <w:widowControl/>
      <w:spacing w:before="100" w:beforeAutospacing="1" w:after="100" w:afterAutospacing="1"/>
    </w:pPr>
    <w:rPr>
      <w:rFonts w:hint="eastAsia" w:ascii="宋体" w:hAnsi="宋体" w:cs="Arial Unicode MS"/>
      <w:sz w:val="24"/>
      <w:szCs w:val="24"/>
      <w:lang w:eastAsia="zh-CN"/>
    </w:rPr>
  </w:style>
  <w:style w:type="paragraph" w:customStyle="1" w:styleId="283">
    <w:name w:val="xl174"/>
    <w:basedOn w:val="1"/>
    <w:qFormat/>
    <w:uiPriority w:val="0"/>
    <w:pPr>
      <w:widowControl/>
      <w:pBdr>
        <w:top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284">
    <w:name w:val="xl95"/>
    <w:basedOn w:val="1"/>
    <w:qFormat/>
    <w:uiPriority w:val="0"/>
    <w:pPr>
      <w:widowControl/>
      <w:pBdr>
        <w:top w:val="single" w:color="auto" w:sz="4" w:space="0"/>
        <w:left w:val="single" w:color="auto" w:sz="8" w:space="0"/>
        <w:bottom w:val="single" w:color="auto" w:sz="4" w:space="0"/>
      </w:pBdr>
      <w:shd w:val="clear" w:color="auto" w:fill="FFFFFF"/>
      <w:spacing w:before="100" w:beforeAutospacing="1" w:after="100" w:afterAutospacing="1"/>
      <w:jc w:val="center"/>
    </w:pPr>
    <w:rPr>
      <w:rFonts w:ascii="宋体" w:hAnsi="宋体"/>
      <w:b/>
      <w:bCs/>
      <w:sz w:val="24"/>
      <w:szCs w:val="24"/>
      <w:lang w:eastAsia="zh-CN"/>
    </w:rPr>
  </w:style>
  <w:style w:type="paragraph" w:customStyle="1" w:styleId="285">
    <w:name w:val="xl194"/>
    <w:basedOn w:val="1"/>
    <w:qFormat/>
    <w:uiPriority w:val="0"/>
    <w:pPr>
      <w:widowControl/>
      <w:pBdr>
        <w:bottom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286">
    <w:name w:val="CM39"/>
    <w:basedOn w:val="84"/>
    <w:next w:val="84"/>
    <w:qFormat/>
    <w:uiPriority w:val="0"/>
    <w:pPr>
      <w:spacing w:line="400" w:lineRule="atLeast"/>
    </w:pPr>
    <w:rPr>
      <w:rFonts w:ascii="Calibri" w:cs="Times New Roman"/>
      <w:color w:val="auto"/>
    </w:rPr>
  </w:style>
  <w:style w:type="paragraph" w:customStyle="1" w:styleId="287">
    <w:name w:val="附件"/>
    <w:basedOn w:val="1"/>
    <w:qFormat/>
    <w:uiPriority w:val="0"/>
    <w:pPr>
      <w:numPr>
        <w:ilvl w:val="0"/>
        <w:numId w:val="5"/>
      </w:numPr>
      <w:tabs>
        <w:tab w:val="left" w:pos="420"/>
      </w:tabs>
      <w:spacing w:beforeLines="50" w:line="360" w:lineRule="auto"/>
      <w:jc w:val="both"/>
    </w:pPr>
    <w:rPr>
      <w:rFonts w:ascii="宋体" w:hAnsi="Times New Roman"/>
      <w:b/>
      <w:kern w:val="2"/>
      <w:sz w:val="28"/>
      <w:szCs w:val="24"/>
      <w:lang w:eastAsia="zh-CN"/>
    </w:rPr>
  </w:style>
  <w:style w:type="paragraph" w:customStyle="1" w:styleId="288">
    <w:name w:val="xl132"/>
    <w:basedOn w:val="1"/>
    <w:qFormat/>
    <w:uiPriority w:val="0"/>
    <w:pPr>
      <w:widowControl/>
      <w:pBdr>
        <w:top w:val="single" w:color="auto" w:sz="4" w:space="0"/>
        <w:left w:val="single" w:color="auto" w:sz="4" w:space="0"/>
        <w:bottom w:val="single" w:color="auto" w:sz="4" w:space="0"/>
      </w:pBdr>
      <w:shd w:val="clear" w:color="auto" w:fill="FFFF99"/>
      <w:spacing w:before="100" w:beforeAutospacing="1" w:after="100" w:afterAutospacing="1"/>
      <w:jc w:val="center"/>
    </w:pPr>
    <w:rPr>
      <w:rFonts w:ascii="Arial" w:hAnsi="Arial" w:eastAsia="Arial Unicode MS" w:cs="Arial"/>
      <w:b/>
      <w:bCs/>
      <w:sz w:val="24"/>
      <w:szCs w:val="24"/>
      <w:lang w:eastAsia="zh-CN"/>
    </w:rPr>
  </w:style>
  <w:style w:type="paragraph" w:customStyle="1" w:styleId="289">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b/>
      <w:bCs/>
      <w:color w:val="FF0000"/>
      <w:lang w:eastAsia="zh-CN"/>
    </w:rPr>
  </w:style>
  <w:style w:type="paragraph" w:customStyle="1" w:styleId="290">
    <w:name w:val="font10"/>
    <w:basedOn w:val="1"/>
    <w:qFormat/>
    <w:uiPriority w:val="0"/>
    <w:pPr>
      <w:widowControl/>
      <w:spacing w:before="100" w:beforeAutospacing="1" w:after="100" w:afterAutospacing="1"/>
    </w:pPr>
    <w:rPr>
      <w:rFonts w:ascii="Times New Roman" w:hAnsi="Times New Roman"/>
      <w:b/>
      <w:bCs/>
      <w:sz w:val="20"/>
      <w:szCs w:val="20"/>
      <w:lang w:eastAsia="zh-CN"/>
    </w:rPr>
  </w:style>
  <w:style w:type="paragraph" w:customStyle="1" w:styleId="291">
    <w:name w:val="xl128"/>
    <w:basedOn w:val="1"/>
    <w:qFormat/>
    <w:uiPriority w:val="0"/>
    <w:pPr>
      <w:widowControl/>
      <w:pBdr>
        <w:top w:val="single" w:color="auto" w:sz="4" w:space="0"/>
        <w:left w:val="single" w:color="auto" w:sz="4" w:space="0"/>
        <w:bottom w:val="single" w:color="auto" w:sz="4" w:space="0"/>
        <w:right w:val="single" w:color="auto" w:sz="4" w:space="0"/>
      </w:pBdr>
      <w:shd w:val="clear" w:color="auto" w:fill="FFFF99"/>
      <w:spacing w:before="100" w:beforeAutospacing="1" w:after="100" w:afterAutospacing="1"/>
      <w:jc w:val="center"/>
    </w:pPr>
    <w:rPr>
      <w:rFonts w:ascii="Arial" w:hAnsi="Arial" w:eastAsia="Arial Unicode MS" w:cs="Arial"/>
      <w:b/>
      <w:bCs/>
      <w:sz w:val="24"/>
      <w:szCs w:val="24"/>
      <w:lang w:eastAsia="zh-CN"/>
    </w:rPr>
  </w:style>
  <w:style w:type="paragraph" w:customStyle="1" w:styleId="292">
    <w:name w:val="xl175"/>
    <w:basedOn w:val="1"/>
    <w:qFormat/>
    <w:uiPriority w:val="0"/>
    <w:pPr>
      <w:widowControl/>
      <w:pBdr>
        <w:top w:val="single" w:color="auto" w:sz="8"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293">
    <w:name w:val="xl5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宋体" w:hAnsi="宋体"/>
      <w:color w:val="FF0000"/>
      <w:lang w:eastAsia="zh-CN"/>
    </w:rPr>
  </w:style>
  <w:style w:type="paragraph" w:customStyle="1" w:styleId="294">
    <w:name w:val="xl166"/>
    <w:basedOn w:val="1"/>
    <w:qFormat/>
    <w:uiPriority w:val="0"/>
    <w:pPr>
      <w:widowControl/>
      <w:pBdr>
        <w:left w:val="single" w:color="auto" w:sz="4"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295">
    <w:name w:val="自定义标题3"/>
    <w:basedOn w:val="1"/>
    <w:next w:val="1"/>
    <w:qFormat/>
    <w:uiPriority w:val="0"/>
    <w:pPr>
      <w:adjustRightInd w:val="0"/>
      <w:spacing w:before="100" w:after="120" w:line="320" w:lineRule="exact"/>
      <w:jc w:val="both"/>
      <w:textAlignment w:val="baseline"/>
    </w:pPr>
    <w:rPr>
      <w:rFonts w:ascii="Arial" w:hAnsi="Arial"/>
      <w:color w:val="0000FF"/>
      <w:sz w:val="24"/>
      <w:szCs w:val="20"/>
      <w:lang w:eastAsia="zh-CN"/>
    </w:rPr>
  </w:style>
  <w:style w:type="paragraph" w:customStyle="1" w:styleId="296">
    <w:name w:val="xl129"/>
    <w:basedOn w:val="1"/>
    <w:qFormat/>
    <w:uiPriority w:val="0"/>
    <w:pPr>
      <w:widowControl/>
      <w:pBdr>
        <w:top w:val="single" w:color="auto" w:sz="4" w:space="0"/>
        <w:left w:val="single" w:color="auto" w:sz="4" w:space="0"/>
        <w:bottom w:val="single" w:color="auto" w:sz="4" w:space="0"/>
        <w:right w:val="single" w:color="auto" w:sz="8" w:space="0"/>
      </w:pBdr>
      <w:shd w:val="clear" w:color="auto" w:fill="FFFF99"/>
      <w:spacing w:before="100" w:beforeAutospacing="1" w:after="100" w:afterAutospacing="1"/>
      <w:jc w:val="center"/>
    </w:pPr>
    <w:rPr>
      <w:rFonts w:ascii="Arial" w:hAnsi="Arial" w:eastAsia="Arial Unicode MS" w:cs="Arial"/>
      <w:b/>
      <w:bCs/>
      <w:sz w:val="24"/>
      <w:szCs w:val="24"/>
      <w:lang w:eastAsia="zh-CN"/>
    </w:rPr>
  </w:style>
  <w:style w:type="paragraph" w:customStyle="1" w:styleId="297">
    <w:name w:val="正文1"/>
    <w:basedOn w:val="1"/>
    <w:qFormat/>
    <w:uiPriority w:val="0"/>
    <w:pPr>
      <w:adjustRightInd w:val="0"/>
      <w:spacing w:line="360" w:lineRule="atLeast"/>
      <w:textAlignment w:val="baseline"/>
    </w:pPr>
    <w:rPr>
      <w:rFonts w:ascii="宋体" w:hAnsi="Times New Roman"/>
      <w:sz w:val="24"/>
      <w:szCs w:val="20"/>
      <w:lang w:eastAsia="zh-CN"/>
    </w:rPr>
  </w:style>
  <w:style w:type="paragraph" w:customStyle="1" w:styleId="298">
    <w:name w:val="默认段落字体 Para Char Char Char Char"/>
    <w:basedOn w:val="1"/>
    <w:qFormat/>
    <w:uiPriority w:val="0"/>
    <w:pPr>
      <w:jc w:val="both"/>
    </w:pPr>
    <w:rPr>
      <w:rFonts w:ascii="Times New Roman" w:hAnsi="Times New Roman"/>
      <w:kern w:val="2"/>
      <w:sz w:val="21"/>
      <w:szCs w:val="24"/>
      <w:lang w:eastAsia="zh-CN"/>
    </w:rPr>
  </w:style>
  <w:style w:type="paragraph" w:customStyle="1" w:styleId="299">
    <w:name w:val="xl88"/>
    <w:basedOn w:val="1"/>
    <w:qFormat/>
    <w:uiPriority w:val="0"/>
    <w:pPr>
      <w:widowControl/>
      <w:pBdr>
        <w:top w:val="single" w:color="auto" w:sz="4" w:space="0"/>
        <w:left w:val="single" w:color="auto" w:sz="8" w:space="0"/>
        <w:right w:val="single" w:color="auto" w:sz="4" w:space="0"/>
      </w:pBdr>
      <w:shd w:val="clear" w:color="auto" w:fill="FFFFFF"/>
      <w:spacing w:before="100" w:beforeAutospacing="1" w:after="100" w:afterAutospacing="1"/>
      <w:jc w:val="center"/>
    </w:pPr>
    <w:rPr>
      <w:rFonts w:ascii="宋体" w:hAnsi="宋体"/>
      <w:b/>
      <w:bCs/>
      <w:lang w:eastAsia="zh-CN"/>
    </w:rPr>
  </w:style>
  <w:style w:type="paragraph" w:customStyle="1" w:styleId="300">
    <w:name w:val="Head 2"/>
    <w:basedOn w:val="10"/>
    <w:qFormat/>
    <w:uiPriority w:val="0"/>
    <w:pPr>
      <w:keepNext/>
      <w:widowControl w:val="0"/>
      <w:numPr>
        <w:ilvl w:val="0"/>
        <w:numId w:val="0"/>
      </w:numPr>
      <w:suppressAutoHyphens/>
      <w:overflowPunct/>
      <w:autoSpaceDE/>
      <w:autoSpaceDN/>
      <w:adjustRightInd/>
      <w:spacing w:line="360" w:lineRule="auto"/>
      <w:textAlignment w:val="auto"/>
      <w:outlineLvl w:val="9"/>
    </w:pPr>
    <w:rPr>
      <w:rFonts w:ascii="Times New Roman Bold" w:hAnsi="Times New Roman Bold"/>
      <w:i w:val="0"/>
      <w:spacing w:val="-4"/>
      <w:position w:val="0"/>
      <w:sz w:val="32"/>
      <w:lang w:val="en-US" w:eastAsia="en-US"/>
    </w:rPr>
  </w:style>
  <w:style w:type="paragraph" w:customStyle="1" w:styleId="301">
    <w:name w:val="样式2"/>
    <w:basedOn w:val="1"/>
    <w:qFormat/>
    <w:uiPriority w:val="0"/>
    <w:pPr>
      <w:adjustRightInd w:val="0"/>
      <w:spacing w:line="410" w:lineRule="atLeast"/>
      <w:jc w:val="both"/>
      <w:textAlignment w:val="baseline"/>
    </w:pPr>
    <w:rPr>
      <w:rFonts w:ascii="Times New Roman" w:hAnsi="Times New Roman"/>
      <w:sz w:val="24"/>
      <w:szCs w:val="20"/>
      <w:lang w:eastAsia="zh-CN"/>
    </w:rPr>
  </w:style>
  <w:style w:type="paragraph" w:customStyle="1" w:styleId="302">
    <w:name w:val="CM69"/>
    <w:basedOn w:val="84"/>
    <w:next w:val="84"/>
    <w:qFormat/>
    <w:uiPriority w:val="0"/>
    <w:pPr>
      <w:spacing w:line="400" w:lineRule="atLeast"/>
    </w:pPr>
    <w:rPr>
      <w:rFonts w:ascii="Calibri" w:cs="Times New Roman"/>
      <w:color w:val="auto"/>
    </w:rPr>
  </w:style>
  <w:style w:type="paragraph" w:customStyle="1" w:styleId="303">
    <w:name w:val="Normal1"/>
    <w:next w:val="1"/>
    <w:qFormat/>
    <w:uiPriority w:val="0"/>
    <w:pPr>
      <w:overflowPunct w:val="0"/>
      <w:autoSpaceDE w:val="0"/>
      <w:autoSpaceDN w:val="0"/>
      <w:adjustRightInd w:val="0"/>
      <w:textAlignment w:val="baseline"/>
    </w:pPr>
    <w:rPr>
      <w:rFonts w:ascii="Times" w:hAnsi="Times" w:eastAsia="宋体" w:cs="Times New Roman"/>
      <w:sz w:val="24"/>
      <w:lang w:val="fr-FR" w:eastAsia="zh-CN" w:bidi="ar-SA"/>
    </w:rPr>
  </w:style>
  <w:style w:type="paragraph" w:customStyle="1" w:styleId="304">
    <w:name w:val="xl92"/>
    <w:basedOn w:val="1"/>
    <w:qFormat/>
    <w:uiPriority w:val="0"/>
    <w:pPr>
      <w:widowControl/>
      <w:pBdr>
        <w:top w:val="single" w:color="auto" w:sz="4" w:space="0"/>
        <w:left w:val="single" w:color="auto" w:sz="4" w:space="0"/>
        <w:right w:val="single" w:color="auto" w:sz="4" w:space="0"/>
      </w:pBdr>
      <w:spacing w:before="100" w:beforeAutospacing="1" w:after="100" w:afterAutospacing="1"/>
    </w:pPr>
    <w:rPr>
      <w:rFonts w:ascii="宋体" w:hAnsi="宋体"/>
      <w:lang w:eastAsia="zh-CN"/>
    </w:rPr>
  </w:style>
  <w:style w:type="paragraph" w:customStyle="1" w:styleId="305">
    <w:name w:val="封面字体1"/>
    <w:basedOn w:val="279"/>
    <w:qFormat/>
    <w:uiPriority w:val="0"/>
    <w:pPr>
      <w:spacing w:line="240" w:lineRule="atLeast"/>
      <w:ind w:firstLine="0" w:firstLineChars="0"/>
    </w:pPr>
    <w:rPr>
      <w:rFonts w:ascii="Calibri" w:hAnsi="Calibri" w:cs="Times New Roman"/>
      <w:b/>
      <w:bCs/>
      <w:spacing w:val="100"/>
      <w:sz w:val="44"/>
    </w:rPr>
  </w:style>
  <w:style w:type="paragraph" w:customStyle="1" w:styleId="306">
    <w:name w:val="正文五号"/>
    <w:basedOn w:val="1"/>
    <w:qFormat/>
    <w:uiPriority w:val="0"/>
    <w:pPr>
      <w:jc w:val="both"/>
    </w:pPr>
    <w:rPr>
      <w:rFonts w:ascii="宋体" w:eastAsia="仿宋_GB2312"/>
      <w:kern w:val="2"/>
      <w:sz w:val="21"/>
      <w:szCs w:val="20"/>
      <w:lang w:eastAsia="zh-CN"/>
    </w:rPr>
  </w:style>
  <w:style w:type="paragraph" w:customStyle="1" w:styleId="307">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pPr>
    <w:rPr>
      <w:rFonts w:ascii="Times New Roman" w:hAnsi="Times New Roman"/>
      <w:lang w:eastAsia="zh-CN"/>
    </w:rPr>
  </w:style>
  <w:style w:type="paragraph" w:customStyle="1" w:styleId="308">
    <w:name w:val="xl183"/>
    <w:basedOn w:val="1"/>
    <w:qFormat/>
    <w:uiPriority w:val="0"/>
    <w:pPr>
      <w:widowControl/>
      <w:pBdr>
        <w:left w:val="single" w:color="auto" w:sz="8" w:space="0"/>
        <w:bottom w:val="single" w:color="auto" w:sz="8" w:space="0"/>
      </w:pBdr>
      <w:spacing w:before="100" w:beforeAutospacing="1" w:after="100" w:afterAutospacing="1"/>
      <w:jc w:val="center"/>
    </w:pPr>
    <w:rPr>
      <w:rFonts w:hint="eastAsia" w:ascii="宋体" w:hAnsi="宋体" w:cs="Arial Unicode MS"/>
      <w:b/>
      <w:bCs/>
      <w:sz w:val="32"/>
      <w:szCs w:val="32"/>
      <w:lang w:eastAsia="zh-CN"/>
    </w:rPr>
  </w:style>
  <w:style w:type="paragraph" w:customStyle="1" w:styleId="309">
    <w:name w:val="Char Char Char Char Char Char Char Char1"/>
    <w:basedOn w:val="1"/>
    <w:qFormat/>
    <w:uiPriority w:val="0"/>
    <w:pPr>
      <w:widowControl/>
      <w:spacing w:after="160" w:line="240" w:lineRule="exact"/>
    </w:pPr>
    <w:rPr>
      <w:rFonts w:ascii="Verdana" w:hAnsi="Verdana"/>
      <w:sz w:val="20"/>
      <w:szCs w:val="20"/>
    </w:rPr>
  </w:style>
  <w:style w:type="paragraph" w:customStyle="1" w:styleId="310">
    <w:name w:val="CM36"/>
    <w:basedOn w:val="84"/>
    <w:next w:val="84"/>
    <w:qFormat/>
    <w:uiPriority w:val="0"/>
    <w:pPr>
      <w:spacing w:line="400" w:lineRule="atLeast"/>
    </w:pPr>
    <w:rPr>
      <w:rFonts w:ascii="Calibri" w:cs="Times New Roman"/>
      <w:color w:val="auto"/>
    </w:rPr>
  </w:style>
  <w:style w:type="paragraph" w:customStyle="1" w:styleId="311">
    <w:name w:val="p12"/>
    <w:basedOn w:val="1"/>
    <w:qFormat/>
    <w:uiPriority w:val="0"/>
    <w:pPr>
      <w:widowControl/>
      <w:spacing w:before="100" w:beforeAutospacing="1" w:after="100" w:afterAutospacing="1"/>
    </w:pPr>
    <w:rPr>
      <w:color w:val="000000"/>
      <w:sz w:val="24"/>
      <w:szCs w:val="24"/>
      <w:lang w:eastAsia="zh-CN"/>
    </w:rPr>
  </w:style>
  <w:style w:type="paragraph" w:customStyle="1" w:styleId="312">
    <w:name w:val="大标题"/>
    <w:qFormat/>
    <w:uiPriority w:val="0"/>
    <w:pPr>
      <w:jc w:val="center"/>
    </w:pPr>
    <w:rPr>
      <w:rFonts w:ascii="Times New Roman" w:hAnsi="Times New Roman" w:eastAsia="楷体_GB2312" w:cs="Times New Roman"/>
      <w:b/>
      <w:sz w:val="48"/>
      <w:lang w:val="en-US" w:eastAsia="zh-CN" w:bidi="ar-SA"/>
    </w:rPr>
  </w:style>
  <w:style w:type="paragraph" w:customStyle="1" w:styleId="313">
    <w:name w:val="封面样式2"/>
    <w:basedOn w:val="1"/>
    <w:qFormat/>
    <w:uiPriority w:val="0"/>
    <w:pPr>
      <w:spacing w:line="440" w:lineRule="exact"/>
      <w:ind w:firstLine="630" w:firstLineChars="300"/>
    </w:pPr>
    <w:rPr>
      <w:rFonts w:ascii="华文细黑" w:hAnsi="华文细黑" w:cs="Arial"/>
      <w:sz w:val="21"/>
      <w:szCs w:val="21"/>
      <w:lang w:eastAsia="zh-CN"/>
    </w:rPr>
  </w:style>
  <w:style w:type="paragraph" w:customStyle="1" w:styleId="314">
    <w:name w:val="xl148"/>
    <w:basedOn w:val="1"/>
    <w:qFormat/>
    <w:uiPriority w:val="0"/>
    <w:pPr>
      <w:widowControl/>
      <w:pBdr>
        <w:left w:val="single" w:color="auto" w:sz="4" w:space="0"/>
        <w:bottom w:val="single" w:color="auto" w:sz="8" w:space="0"/>
        <w:right w:val="single" w:color="auto" w:sz="4"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315">
    <w:name w:val="列表编号 2A"/>
    <w:basedOn w:val="1"/>
    <w:qFormat/>
    <w:uiPriority w:val="0"/>
    <w:pPr>
      <w:numPr>
        <w:ilvl w:val="0"/>
        <w:numId w:val="6"/>
      </w:numPr>
      <w:tabs>
        <w:tab w:val="left" w:pos="845"/>
        <w:tab w:val="left" w:pos="1260"/>
        <w:tab w:val="clear" w:pos="420"/>
      </w:tabs>
      <w:ind w:firstLine="630" w:firstLineChars="300"/>
    </w:pPr>
    <w:rPr>
      <w:rFonts w:ascii="Times New Roman" w:hAnsi="Times New Roman" w:cs="Arial"/>
      <w:kern w:val="2"/>
      <w:sz w:val="28"/>
      <w:szCs w:val="20"/>
      <w:lang w:eastAsia="zh-CN"/>
    </w:rPr>
  </w:style>
  <w:style w:type="paragraph" w:customStyle="1" w:styleId="316">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317">
    <w:name w:val="xl42"/>
    <w:basedOn w:val="1"/>
    <w:qFormat/>
    <w:uiPriority w:val="0"/>
    <w:pPr>
      <w:widowControl/>
      <w:pBdr>
        <w:left w:val="single" w:color="auto" w:sz="8" w:space="0"/>
        <w:bottom w:val="single" w:color="auto" w:sz="4" w:space="0"/>
        <w:right w:val="single" w:color="auto" w:sz="4" w:space="0"/>
      </w:pBdr>
      <w:shd w:val="clear" w:color="auto" w:fill="FFFFFF"/>
      <w:spacing w:before="100" w:beforeAutospacing="1" w:after="100" w:afterAutospacing="1"/>
      <w:jc w:val="center"/>
    </w:pPr>
    <w:rPr>
      <w:rFonts w:ascii="宋体" w:hAnsi="宋体"/>
      <w:lang w:eastAsia="zh-CN"/>
    </w:rPr>
  </w:style>
  <w:style w:type="paragraph" w:customStyle="1" w:styleId="318">
    <w:name w:val="CM60"/>
    <w:basedOn w:val="84"/>
    <w:next w:val="84"/>
    <w:qFormat/>
    <w:uiPriority w:val="0"/>
    <w:rPr>
      <w:rFonts w:ascii="Times New Roman" w:hAnsi="Times New Roman" w:cs="Times New Roman"/>
      <w:color w:val="auto"/>
    </w:rPr>
  </w:style>
  <w:style w:type="paragraph" w:customStyle="1" w:styleId="319">
    <w:name w:val="CM85"/>
    <w:basedOn w:val="84"/>
    <w:next w:val="84"/>
    <w:qFormat/>
    <w:uiPriority w:val="0"/>
    <w:pPr>
      <w:spacing w:line="443" w:lineRule="atLeast"/>
    </w:pPr>
    <w:rPr>
      <w:rFonts w:ascii="Calibri" w:cs="Times New Roman"/>
      <w:color w:val="auto"/>
    </w:rPr>
  </w:style>
  <w:style w:type="paragraph" w:customStyle="1" w:styleId="320">
    <w:name w:val="CM103"/>
    <w:basedOn w:val="84"/>
    <w:next w:val="84"/>
    <w:qFormat/>
    <w:uiPriority w:val="0"/>
    <w:pPr>
      <w:spacing w:after="1508"/>
    </w:pPr>
    <w:rPr>
      <w:rFonts w:ascii="Calibri" w:cs="Times New Roman"/>
      <w:color w:val="auto"/>
    </w:rPr>
  </w:style>
  <w:style w:type="paragraph" w:customStyle="1" w:styleId="321">
    <w:name w:val="xl44"/>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pPr>
    <w:rPr>
      <w:rFonts w:ascii="宋体" w:hAnsi="宋体"/>
      <w:lang w:eastAsia="zh-CN"/>
    </w:rPr>
  </w:style>
  <w:style w:type="paragraph" w:customStyle="1" w:styleId="322">
    <w:name w:val="xl124"/>
    <w:basedOn w:val="1"/>
    <w:qFormat/>
    <w:uiPriority w:val="0"/>
    <w:pPr>
      <w:widowControl/>
      <w:pBdr>
        <w:top w:val="single" w:color="auto" w:sz="4" w:space="0"/>
        <w:bottom w:val="single" w:color="auto" w:sz="4" w:space="0"/>
        <w:right w:val="single" w:color="auto" w:sz="4" w:space="0"/>
      </w:pBdr>
      <w:shd w:val="clear" w:color="auto" w:fill="FFFF99"/>
      <w:spacing w:before="100" w:beforeAutospacing="1" w:after="100" w:afterAutospacing="1"/>
      <w:jc w:val="center"/>
    </w:pPr>
    <w:rPr>
      <w:rFonts w:ascii="Arial" w:hAnsi="Arial" w:eastAsia="Arial Unicode MS" w:cs="Arial"/>
      <w:b/>
      <w:bCs/>
      <w:sz w:val="24"/>
      <w:szCs w:val="24"/>
      <w:lang w:eastAsia="zh-CN"/>
    </w:rPr>
  </w:style>
  <w:style w:type="paragraph" w:customStyle="1" w:styleId="323">
    <w:name w:val="opening2"/>
    <w:basedOn w:val="1"/>
    <w:qFormat/>
    <w:uiPriority w:val="0"/>
    <w:pPr>
      <w:widowControl/>
      <w:spacing w:before="100" w:beforeAutospacing="1" w:after="100" w:afterAutospacing="1" w:line="360" w:lineRule="auto"/>
    </w:pPr>
    <w:rPr>
      <w:rFonts w:ascii="宋体" w:hAnsi="宋体"/>
      <w:color w:val="000000"/>
      <w:sz w:val="23"/>
      <w:szCs w:val="23"/>
      <w:lang w:eastAsia="zh-CN"/>
    </w:rPr>
  </w:style>
  <w:style w:type="paragraph" w:customStyle="1" w:styleId="324">
    <w:name w:val="xl189"/>
    <w:basedOn w:val="1"/>
    <w:qFormat/>
    <w:uiPriority w:val="0"/>
    <w:pPr>
      <w:widowControl/>
      <w:pBdr>
        <w:top w:val="single" w:color="auto" w:sz="8" w:space="0"/>
        <w:left w:val="single" w:color="auto" w:sz="4"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25">
    <w:name w:val="xl162"/>
    <w:basedOn w:val="1"/>
    <w:qFormat/>
    <w:uiPriority w:val="0"/>
    <w:pPr>
      <w:widowControl/>
      <w:pBdr>
        <w:left w:val="single" w:color="auto" w:sz="4" w:space="0"/>
        <w:bottom w:val="single" w:color="auto" w:sz="8" w:space="0"/>
      </w:pBdr>
      <w:spacing w:before="100" w:beforeAutospacing="1" w:after="100" w:afterAutospacing="1"/>
      <w:jc w:val="center"/>
    </w:pPr>
    <w:rPr>
      <w:rFonts w:ascii="Arial Unicode MS" w:hAnsi="Arial Unicode MS" w:eastAsia="Arial Unicode MS" w:cs="Arial Unicode MS"/>
      <w:sz w:val="24"/>
      <w:szCs w:val="24"/>
      <w:lang w:eastAsia="zh-CN"/>
    </w:rPr>
  </w:style>
  <w:style w:type="paragraph" w:customStyle="1" w:styleId="326">
    <w:name w:val="CM56"/>
    <w:basedOn w:val="84"/>
    <w:next w:val="84"/>
    <w:qFormat/>
    <w:uiPriority w:val="0"/>
    <w:rPr>
      <w:rFonts w:ascii="Calibri" w:cs="Times New Roman"/>
      <w:color w:val="auto"/>
    </w:rPr>
  </w:style>
  <w:style w:type="paragraph" w:customStyle="1" w:styleId="327">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lang w:eastAsia="zh-CN"/>
    </w:rPr>
  </w:style>
  <w:style w:type="paragraph" w:customStyle="1" w:styleId="328">
    <w:name w:val="Body"/>
    <w:qFormat/>
    <w:uiPriority w:val="0"/>
    <w:pPr>
      <w:spacing w:after="120"/>
      <w:ind w:left="1418"/>
    </w:pPr>
    <w:rPr>
      <w:rFonts w:ascii="Arial" w:hAnsi="Arial" w:eastAsia="宋体" w:cs="Times New Roman"/>
      <w:sz w:val="22"/>
      <w:lang w:val="en-US" w:eastAsia="en-US" w:bidi="ar-SA"/>
    </w:rPr>
  </w:style>
  <w:style w:type="paragraph" w:customStyle="1" w:styleId="329">
    <w:name w:val="xl131"/>
    <w:basedOn w:val="1"/>
    <w:qFormat/>
    <w:uiPriority w:val="0"/>
    <w:pPr>
      <w:widowControl/>
      <w:pBdr>
        <w:top w:val="single" w:color="auto" w:sz="4" w:space="0"/>
        <w:left w:val="single" w:color="auto" w:sz="4" w:space="0"/>
        <w:bottom w:val="single" w:color="auto" w:sz="4" w:space="0"/>
        <w:right w:val="single" w:color="auto" w:sz="4" w:space="0"/>
      </w:pBdr>
      <w:shd w:val="clear" w:color="auto" w:fill="FFFF99"/>
      <w:spacing w:before="100" w:beforeAutospacing="1" w:after="100" w:afterAutospacing="1"/>
      <w:jc w:val="center"/>
    </w:pPr>
    <w:rPr>
      <w:rFonts w:ascii="Arial" w:hAnsi="Arial" w:eastAsia="Arial Unicode MS" w:cs="Arial"/>
      <w:b/>
      <w:bCs/>
      <w:sz w:val="24"/>
      <w:szCs w:val="24"/>
      <w:lang w:eastAsia="zh-CN"/>
    </w:rPr>
  </w:style>
  <w:style w:type="paragraph" w:customStyle="1" w:styleId="330">
    <w:name w:val="xl188"/>
    <w:basedOn w:val="1"/>
    <w:qFormat/>
    <w:uiPriority w:val="0"/>
    <w:pPr>
      <w:widowControl/>
      <w:pBdr>
        <w:left w:val="single" w:color="auto" w:sz="4" w:space="0"/>
        <w:bottom w:val="single" w:color="auto" w:sz="8"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31">
    <w:name w:val="默认段落字体 Para Char Char Char Char Char Char Char"/>
    <w:basedOn w:val="1"/>
    <w:qFormat/>
    <w:uiPriority w:val="0"/>
    <w:pPr>
      <w:jc w:val="both"/>
    </w:pPr>
    <w:rPr>
      <w:rFonts w:ascii="Tahoma" w:hAnsi="Tahoma"/>
      <w:kern w:val="2"/>
      <w:sz w:val="24"/>
      <w:szCs w:val="20"/>
      <w:lang w:eastAsia="zh-CN"/>
    </w:rPr>
  </w:style>
  <w:style w:type="paragraph" w:customStyle="1" w:styleId="332">
    <w:name w:val="CB&amp;I 1.1"/>
    <w:basedOn w:val="1"/>
    <w:qFormat/>
    <w:uiPriority w:val="0"/>
    <w:pPr>
      <w:numPr>
        <w:ilvl w:val="1"/>
        <w:numId w:val="7"/>
      </w:numPr>
      <w:adjustRightInd w:val="0"/>
      <w:spacing w:after="180" w:line="320" w:lineRule="exact"/>
      <w:jc w:val="both"/>
      <w:textAlignment w:val="baseline"/>
    </w:pPr>
    <w:rPr>
      <w:rFonts w:ascii="Arial" w:hAnsi="Arial"/>
      <w:sz w:val="24"/>
      <w:szCs w:val="20"/>
      <w:lang w:eastAsia="zh-CN"/>
    </w:rPr>
  </w:style>
  <w:style w:type="paragraph" w:customStyle="1" w:styleId="333">
    <w:name w:val="强调文字"/>
    <w:basedOn w:val="1"/>
    <w:qFormat/>
    <w:uiPriority w:val="0"/>
    <w:pPr>
      <w:spacing w:line="440" w:lineRule="exact"/>
      <w:ind w:firstLine="480" w:firstLineChars="200"/>
      <w:jc w:val="both"/>
    </w:pPr>
    <w:rPr>
      <w:rFonts w:ascii="华文细黑" w:hAnsi="华文细黑" w:eastAsia="黑体" w:cs="Arial"/>
      <w:sz w:val="24"/>
      <w:szCs w:val="28"/>
      <w:lang w:eastAsia="zh-CN"/>
    </w:rPr>
  </w:style>
  <w:style w:type="paragraph" w:customStyle="1" w:styleId="334">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335">
    <w:name w:val="Char1"/>
    <w:basedOn w:val="1"/>
    <w:qFormat/>
    <w:uiPriority w:val="0"/>
    <w:pPr>
      <w:spacing w:line="360" w:lineRule="auto"/>
      <w:jc w:val="both"/>
    </w:pPr>
    <w:rPr>
      <w:rFonts w:ascii="Times New Roman" w:hAnsi="Times New Roman"/>
      <w:kern w:val="2"/>
      <w:sz w:val="24"/>
      <w:szCs w:val="24"/>
      <w:lang w:eastAsia="zh-CN"/>
    </w:rPr>
  </w:style>
  <w:style w:type="paragraph" w:customStyle="1" w:styleId="336">
    <w:name w:val="Char Char"/>
    <w:basedOn w:val="21"/>
    <w:qFormat/>
    <w:uiPriority w:val="0"/>
    <w:pPr>
      <w:widowControl w:val="0"/>
      <w:tabs>
        <w:tab w:val="clear" w:pos="851"/>
      </w:tabs>
      <w:autoSpaceDE/>
      <w:autoSpaceDN/>
      <w:snapToGrid/>
      <w:spacing w:after="0" w:line="240" w:lineRule="auto"/>
      <w:textAlignment w:val="auto"/>
    </w:pPr>
    <w:rPr>
      <w:rFonts w:ascii="Times New Roman" w:hAnsi="Times New Roman"/>
      <w:bCs w:val="0"/>
      <w:spacing w:val="0"/>
      <w:kern w:val="2"/>
      <w:sz w:val="21"/>
      <w:szCs w:val="24"/>
    </w:rPr>
  </w:style>
  <w:style w:type="paragraph" w:customStyle="1" w:styleId="337">
    <w:name w:val="font7"/>
    <w:basedOn w:val="1"/>
    <w:qFormat/>
    <w:uiPriority w:val="0"/>
    <w:pPr>
      <w:widowControl/>
      <w:spacing w:before="100" w:beforeAutospacing="1" w:after="100" w:afterAutospacing="1"/>
    </w:pPr>
    <w:rPr>
      <w:rFonts w:hint="eastAsia" w:ascii="宋体" w:hAnsi="宋体"/>
      <w:lang w:eastAsia="zh-CN"/>
    </w:rPr>
  </w:style>
  <w:style w:type="paragraph" w:customStyle="1" w:styleId="338">
    <w:name w:val="xl185"/>
    <w:basedOn w:val="1"/>
    <w:qFormat/>
    <w:uiPriority w:val="0"/>
    <w:pPr>
      <w:widowControl/>
      <w:pBdr>
        <w:top w:val="single" w:color="auto" w:sz="8" w:space="0"/>
        <w:left w:val="single" w:color="auto" w:sz="8"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39">
    <w:name w:val="xl149"/>
    <w:basedOn w:val="1"/>
    <w:qFormat/>
    <w:uiPriority w:val="0"/>
    <w:pPr>
      <w:widowControl/>
      <w:pBdr>
        <w:top w:val="single" w:color="auto" w:sz="4" w:space="0"/>
        <w:left w:val="single" w:color="auto" w:sz="4" w:space="0"/>
        <w:right w:val="single" w:color="auto" w:sz="8"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340">
    <w:name w:val="样式 正文"/>
    <w:basedOn w:val="1"/>
    <w:qFormat/>
    <w:uiPriority w:val="0"/>
    <w:pPr>
      <w:adjustRightInd w:val="0"/>
      <w:spacing w:line="360" w:lineRule="auto"/>
      <w:jc w:val="both"/>
      <w:textAlignment w:val="baseline"/>
    </w:pPr>
    <w:rPr>
      <w:rFonts w:ascii="Arial" w:hAnsi="宋体" w:cs="Arial"/>
      <w:sz w:val="24"/>
      <w:szCs w:val="24"/>
      <w:lang w:eastAsia="zh-CN"/>
    </w:rPr>
  </w:style>
  <w:style w:type="paragraph" w:customStyle="1" w:styleId="341">
    <w:name w:val="CM23"/>
    <w:basedOn w:val="84"/>
    <w:next w:val="84"/>
    <w:qFormat/>
    <w:uiPriority w:val="0"/>
    <w:pPr>
      <w:spacing w:line="398" w:lineRule="atLeast"/>
    </w:pPr>
    <w:rPr>
      <w:rFonts w:ascii="Calibri" w:cs="Times New Roman"/>
      <w:color w:val="auto"/>
    </w:rPr>
  </w:style>
  <w:style w:type="paragraph" w:customStyle="1" w:styleId="342">
    <w:name w:val="xl57"/>
    <w:basedOn w:val="1"/>
    <w:qFormat/>
    <w:uiPriority w:val="0"/>
    <w:pPr>
      <w:widowControl/>
      <w:pBdr>
        <w:top w:val="single" w:color="auto" w:sz="8"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b/>
      <w:bCs/>
      <w:color w:val="FF0000"/>
      <w:lang w:eastAsia="zh-CN"/>
    </w:rPr>
  </w:style>
  <w:style w:type="paragraph" w:customStyle="1" w:styleId="343">
    <w:name w:val="样式3"/>
    <w:basedOn w:val="63"/>
    <w:qFormat/>
    <w:uiPriority w:val="0"/>
    <w:pPr>
      <w:autoSpaceDE/>
      <w:autoSpaceDN/>
      <w:adjustRightInd/>
      <w:spacing w:beforeLines="0" w:line="240" w:lineRule="auto"/>
      <w:textAlignment w:val="auto"/>
    </w:pPr>
    <w:rPr>
      <w:rFonts w:ascii="Calibri" w:hAnsi="Calibri" w:cs="Times New Roman"/>
      <w:kern w:val="2"/>
    </w:rPr>
  </w:style>
  <w:style w:type="paragraph" w:customStyle="1" w:styleId="344">
    <w:name w:val="xl172"/>
    <w:basedOn w:val="1"/>
    <w:qFormat/>
    <w:uiPriority w:val="0"/>
    <w:pPr>
      <w:widowControl/>
      <w:pBdr>
        <w:left w:val="single" w:color="auto" w:sz="8" w:space="0"/>
        <w:bottom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45">
    <w:name w:val="xl134"/>
    <w:basedOn w:val="1"/>
    <w:qFormat/>
    <w:uiPriority w:val="0"/>
    <w:pPr>
      <w:widowControl/>
      <w:pBdr>
        <w:top w:val="single" w:color="auto" w:sz="4" w:space="0"/>
        <w:left w:val="single" w:color="auto" w:sz="8" w:space="0"/>
        <w:bottom w:val="single" w:color="auto" w:sz="4" w:space="0"/>
        <w:right w:val="single" w:color="auto" w:sz="8" w:space="0"/>
      </w:pBdr>
      <w:spacing w:before="100" w:beforeAutospacing="1" w:after="100" w:afterAutospacing="1"/>
    </w:pPr>
    <w:rPr>
      <w:rFonts w:ascii="Arial" w:hAnsi="Arial" w:eastAsia="Arial Unicode MS" w:cs="Arial"/>
      <w:b/>
      <w:bCs/>
      <w:sz w:val="24"/>
      <w:szCs w:val="24"/>
      <w:lang w:eastAsia="zh-CN"/>
    </w:rPr>
  </w:style>
  <w:style w:type="paragraph" w:customStyle="1" w:styleId="346">
    <w:name w:val="xl51"/>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pPr>
    <w:rPr>
      <w:rFonts w:ascii="宋体" w:hAnsi="宋体"/>
      <w:lang w:eastAsia="zh-CN"/>
    </w:rPr>
  </w:style>
  <w:style w:type="paragraph" w:customStyle="1" w:styleId="347">
    <w:name w:val="Absatz2AL"/>
    <w:basedOn w:val="28"/>
    <w:next w:val="1"/>
    <w:qFormat/>
    <w:uiPriority w:val="0"/>
    <w:pPr>
      <w:widowControl/>
      <w:overflowPunct w:val="0"/>
      <w:autoSpaceDE w:val="0"/>
      <w:autoSpaceDN w:val="0"/>
      <w:adjustRightInd w:val="0"/>
      <w:ind w:left="0"/>
      <w:jc w:val="both"/>
      <w:textAlignment w:val="baseline"/>
    </w:pPr>
    <w:rPr>
      <w:rFonts w:ascii="Times New Roman" w:hAnsi="Times New Roman" w:eastAsia="楷体_GB2312"/>
      <w:sz w:val="24"/>
      <w:szCs w:val="20"/>
      <w:lang w:val="de-DE" w:eastAsia="zh-CN"/>
    </w:rPr>
  </w:style>
  <w:style w:type="paragraph" w:customStyle="1" w:styleId="348">
    <w:name w:val="封面标题"/>
    <w:qFormat/>
    <w:uiPriority w:val="0"/>
    <w:pPr>
      <w:jc w:val="center"/>
    </w:pPr>
    <w:rPr>
      <w:rFonts w:ascii="Times New Roman" w:hAnsi="Times New Roman" w:eastAsia="隶书" w:cs="Times New Roman"/>
      <w:b/>
      <w:sz w:val="52"/>
      <w:lang w:val="en-US" w:eastAsia="zh-CN" w:bidi="ar-SA"/>
    </w:rPr>
  </w:style>
  <w:style w:type="paragraph" w:customStyle="1" w:styleId="349">
    <w:name w:val="节标题"/>
    <w:basedOn w:val="1"/>
    <w:qFormat/>
    <w:uiPriority w:val="0"/>
    <w:pPr>
      <w:widowControl/>
      <w:spacing w:line="289" w:lineRule="atLeast"/>
      <w:jc w:val="center"/>
      <w:textAlignment w:val="baseline"/>
    </w:pPr>
    <w:rPr>
      <w:rFonts w:ascii="Times New Roman" w:hAnsi="Times New Roman"/>
      <w:color w:val="000000"/>
      <w:sz w:val="28"/>
      <w:szCs w:val="20"/>
      <w:lang w:eastAsia="zh-CN"/>
    </w:rPr>
  </w:style>
  <w:style w:type="paragraph" w:customStyle="1" w:styleId="350">
    <w:name w:val="CM72"/>
    <w:basedOn w:val="84"/>
    <w:next w:val="84"/>
    <w:qFormat/>
    <w:uiPriority w:val="0"/>
    <w:rPr>
      <w:rFonts w:ascii="Calibri" w:cs="Times New Roman"/>
      <w:color w:val="auto"/>
    </w:rPr>
  </w:style>
  <w:style w:type="paragraph" w:customStyle="1" w:styleId="351">
    <w:name w:val="Hdr 2"/>
    <w:basedOn w:val="1"/>
    <w:qFormat/>
    <w:uiPriority w:val="0"/>
    <w:pPr>
      <w:widowControl/>
      <w:spacing w:before="60" w:after="60"/>
    </w:pPr>
    <w:rPr>
      <w:rFonts w:ascii="Times New Roman" w:hAnsi="Times New Roman"/>
      <w:sz w:val="28"/>
      <w:szCs w:val="24"/>
      <w:lang w:eastAsia="zh-CN"/>
    </w:rPr>
  </w:style>
  <w:style w:type="paragraph" w:customStyle="1" w:styleId="352">
    <w:name w:val="设备规范标题1"/>
    <w:next w:val="273"/>
    <w:qFormat/>
    <w:uiPriority w:val="0"/>
    <w:pPr>
      <w:keepNext/>
      <w:numPr>
        <w:ilvl w:val="0"/>
        <w:numId w:val="8"/>
      </w:numPr>
      <w:tabs>
        <w:tab w:val="left" w:pos="284"/>
      </w:tabs>
      <w:spacing w:beforeLines="100" w:afterLines="50"/>
    </w:pPr>
    <w:rPr>
      <w:rFonts w:ascii="Times New Roman" w:hAnsi="Times New Roman" w:eastAsia="楷体_GB2312" w:cs="Times New Roman"/>
      <w:b/>
      <w:sz w:val="24"/>
      <w:lang w:val="en-US" w:eastAsia="zh-CN" w:bidi="ar-SA"/>
    </w:rPr>
  </w:style>
  <w:style w:type="paragraph" w:customStyle="1" w:styleId="353">
    <w:name w:val="xl6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Times New Roman" w:hAnsi="Times New Roman"/>
      <w:color w:val="FF0000"/>
      <w:lang w:eastAsia="zh-CN"/>
    </w:rPr>
  </w:style>
  <w:style w:type="paragraph" w:customStyle="1" w:styleId="354">
    <w:name w:val="CM95"/>
    <w:basedOn w:val="84"/>
    <w:next w:val="84"/>
    <w:qFormat/>
    <w:uiPriority w:val="0"/>
    <w:pPr>
      <w:spacing w:after="115"/>
    </w:pPr>
    <w:rPr>
      <w:rFonts w:ascii="Calibri" w:cs="Times New Roman"/>
      <w:color w:val="auto"/>
    </w:rPr>
  </w:style>
  <w:style w:type="paragraph" w:customStyle="1" w:styleId="355">
    <w:name w:val="正文-zy"/>
    <w:basedOn w:val="1"/>
    <w:qFormat/>
    <w:uiPriority w:val="0"/>
    <w:pPr>
      <w:widowControl/>
      <w:spacing w:line="360" w:lineRule="auto"/>
      <w:ind w:firstLine="480" w:firstLineChars="200"/>
    </w:pPr>
  </w:style>
  <w:style w:type="paragraph" w:customStyle="1" w:styleId="356">
    <w:name w:val="CM26"/>
    <w:basedOn w:val="84"/>
    <w:next w:val="84"/>
    <w:qFormat/>
    <w:uiPriority w:val="0"/>
    <w:pPr>
      <w:spacing w:line="400" w:lineRule="atLeast"/>
    </w:pPr>
    <w:rPr>
      <w:rFonts w:ascii="Calibri" w:cs="Times New Roman"/>
      <w:color w:val="auto"/>
    </w:rPr>
  </w:style>
  <w:style w:type="paragraph" w:customStyle="1" w:styleId="357">
    <w:name w:val="CM96"/>
    <w:basedOn w:val="84"/>
    <w:next w:val="84"/>
    <w:qFormat/>
    <w:uiPriority w:val="0"/>
    <w:pPr>
      <w:spacing w:after="298"/>
    </w:pPr>
    <w:rPr>
      <w:rFonts w:ascii="Calibri" w:cs="Times New Roman"/>
      <w:color w:val="auto"/>
    </w:rPr>
  </w:style>
  <w:style w:type="paragraph" w:customStyle="1" w:styleId="358">
    <w:name w:val="正文再缩近"/>
    <w:basedOn w:val="1"/>
    <w:qFormat/>
    <w:uiPriority w:val="0"/>
    <w:pPr>
      <w:spacing w:line="440" w:lineRule="exact"/>
      <w:ind w:firstLine="400" w:firstLineChars="400"/>
      <w:jc w:val="both"/>
    </w:pPr>
    <w:rPr>
      <w:rFonts w:ascii="华文细黑" w:hAnsi="华文细黑" w:cs="Arial"/>
      <w:color w:val="FF0000"/>
      <w:sz w:val="21"/>
      <w:szCs w:val="21"/>
      <w:lang w:eastAsia="zh-CN"/>
    </w:rPr>
  </w:style>
  <w:style w:type="paragraph" w:customStyle="1" w:styleId="359">
    <w:name w:val="正文文本缩进 31"/>
    <w:basedOn w:val="1"/>
    <w:qFormat/>
    <w:uiPriority w:val="0"/>
    <w:pPr>
      <w:adjustRightInd w:val="0"/>
      <w:spacing w:line="360" w:lineRule="auto"/>
      <w:ind w:firstLine="430"/>
      <w:jc w:val="both"/>
      <w:textAlignment w:val="baseline"/>
    </w:pPr>
    <w:rPr>
      <w:rFonts w:ascii="Times New Roman" w:hAnsi="Times New Roman"/>
      <w:kern w:val="2"/>
      <w:sz w:val="24"/>
      <w:szCs w:val="20"/>
      <w:lang w:eastAsia="zh-CN"/>
    </w:rPr>
  </w:style>
  <w:style w:type="paragraph" w:customStyle="1" w:styleId="360">
    <w:name w:val="xl147"/>
    <w:basedOn w:val="1"/>
    <w:qFormat/>
    <w:uiPriority w:val="0"/>
    <w:pPr>
      <w:widowControl/>
      <w:pBdr>
        <w:left w:val="single" w:color="auto" w:sz="4" w:space="0"/>
        <w:right w:val="single" w:color="auto" w:sz="4"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361">
    <w:name w:val="xl193"/>
    <w:basedOn w:val="1"/>
    <w:qFormat/>
    <w:uiPriority w:val="0"/>
    <w:pPr>
      <w:widowControl/>
      <w:pBdr>
        <w:left w:val="single" w:color="auto" w:sz="8" w:space="0"/>
        <w:bottom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62">
    <w:name w:val="xl138"/>
    <w:basedOn w:val="1"/>
    <w:qFormat/>
    <w:uiPriority w:val="0"/>
    <w:pPr>
      <w:widowControl/>
      <w:pBdr>
        <w:left w:val="single" w:color="auto" w:sz="4" w:space="0"/>
        <w:bottom w:val="single" w:color="auto" w:sz="8"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63">
    <w:name w:val="xl34"/>
    <w:basedOn w:val="1"/>
    <w:qFormat/>
    <w:uiPriority w:val="0"/>
    <w:pPr>
      <w:widowControl/>
      <w:pBdr>
        <w:top w:val="single" w:color="auto" w:sz="4" w:space="0"/>
        <w:left w:val="single" w:color="auto" w:sz="4" w:space="0"/>
        <w:right w:val="single" w:color="auto" w:sz="4" w:space="0"/>
      </w:pBdr>
      <w:spacing w:before="100" w:beforeAutospacing="1" w:after="100" w:afterAutospacing="1"/>
    </w:pPr>
    <w:rPr>
      <w:rFonts w:ascii="宋体" w:hAnsi="宋体"/>
      <w:lang w:eastAsia="zh-CN"/>
    </w:rPr>
  </w:style>
  <w:style w:type="paragraph" w:customStyle="1" w:styleId="364">
    <w:name w:val="CB&amp;I 1.1.1.1"/>
    <w:basedOn w:val="1"/>
    <w:qFormat/>
    <w:uiPriority w:val="0"/>
    <w:pPr>
      <w:numPr>
        <w:ilvl w:val="3"/>
        <w:numId w:val="7"/>
      </w:numPr>
      <w:adjustRightInd w:val="0"/>
      <w:spacing w:after="180" w:line="320" w:lineRule="exact"/>
      <w:jc w:val="both"/>
      <w:textAlignment w:val="baseline"/>
    </w:pPr>
    <w:rPr>
      <w:rFonts w:ascii="Arial" w:hAnsi="Arial"/>
      <w:sz w:val="24"/>
      <w:szCs w:val="20"/>
      <w:lang w:eastAsia="zh-CN"/>
    </w:rPr>
  </w:style>
  <w:style w:type="paragraph" w:customStyle="1" w:styleId="365">
    <w:name w:val="列表段落1"/>
    <w:basedOn w:val="1"/>
    <w:qFormat/>
    <w:uiPriority w:val="0"/>
    <w:pPr>
      <w:ind w:firstLine="420" w:firstLineChars="200"/>
      <w:jc w:val="both"/>
    </w:pPr>
    <w:rPr>
      <w:kern w:val="2"/>
      <w:sz w:val="21"/>
      <w:lang w:eastAsia="zh-CN"/>
    </w:rPr>
  </w:style>
  <w:style w:type="paragraph" w:customStyle="1" w:styleId="366">
    <w:name w:val="xl14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367">
    <w:name w:val="xl100"/>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368">
    <w:name w:val="强调文字(用于标题)"/>
    <w:basedOn w:val="2"/>
    <w:qFormat/>
    <w:uiPriority w:val="0"/>
    <w:pPr>
      <w:keepNext/>
      <w:keepLines/>
      <w:tabs>
        <w:tab w:val="left" w:pos="432"/>
      </w:tabs>
      <w:spacing w:beforeLines="100" w:afterLines="100" w:line="440" w:lineRule="exact"/>
      <w:ind w:left="432" w:hanging="432"/>
      <w:jc w:val="center"/>
      <w:outlineLvl w:val="9"/>
    </w:pPr>
    <w:rPr>
      <w:rFonts w:ascii="黑体" w:hAnsi="华文细黑" w:eastAsia="黑体" w:cs="Arial"/>
      <w:b w:val="0"/>
      <w:color w:val="000000"/>
      <w:sz w:val="24"/>
      <w:szCs w:val="36"/>
      <w:lang w:eastAsia="zh-CN"/>
    </w:rPr>
  </w:style>
  <w:style w:type="paragraph" w:customStyle="1" w:styleId="369">
    <w:name w:val="样式1"/>
    <w:basedOn w:val="1"/>
    <w:qFormat/>
    <w:uiPriority w:val="0"/>
    <w:pPr>
      <w:adjustRightInd w:val="0"/>
      <w:spacing w:line="420" w:lineRule="auto"/>
      <w:jc w:val="center"/>
      <w:textAlignment w:val="baseline"/>
    </w:pPr>
    <w:rPr>
      <w:rFonts w:ascii="宋体" w:hAnsi="Times New Roman"/>
      <w:sz w:val="24"/>
      <w:szCs w:val="20"/>
      <w:lang w:eastAsia="zh-CN"/>
    </w:rPr>
  </w:style>
  <w:style w:type="paragraph" w:customStyle="1" w:styleId="370">
    <w:name w:val="正文_12"/>
    <w:qFormat/>
    <w:uiPriority w:val="0"/>
    <w:pPr>
      <w:widowControl w:val="0"/>
      <w:jc w:val="both"/>
    </w:pPr>
    <w:rPr>
      <w:rFonts w:ascii="Calibri" w:hAnsi="Calibri" w:eastAsia="宋体" w:cs="Times New Roman"/>
      <w:kern w:val="2"/>
      <w:sz w:val="21"/>
      <w:szCs w:val="22"/>
      <w:lang w:val="en-US" w:eastAsia="zh-CN" w:bidi="ar-SA"/>
    </w:rPr>
  </w:style>
  <w:style w:type="paragraph" w:customStyle="1" w:styleId="371">
    <w:name w:val="xl156"/>
    <w:basedOn w:val="1"/>
    <w:qFormat/>
    <w:uiPriority w:val="0"/>
    <w:pPr>
      <w:widowControl/>
      <w:pBdr>
        <w:left w:val="single" w:color="auto" w:sz="4"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72">
    <w:name w:val="xl160"/>
    <w:basedOn w:val="1"/>
    <w:qFormat/>
    <w:uiPriority w:val="0"/>
    <w:pPr>
      <w:widowControl/>
      <w:pBdr>
        <w:left w:val="single" w:color="auto" w:sz="4" w:space="0"/>
        <w:bottom w:val="single" w:color="auto" w:sz="8"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73">
    <w:name w:val="xl171"/>
    <w:basedOn w:val="1"/>
    <w:qFormat/>
    <w:uiPriority w:val="0"/>
    <w:pPr>
      <w:widowControl/>
      <w:pBdr>
        <w:lef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74">
    <w:name w:val="xl173"/>
    <w:basedOn w:val="1"/>
    <w:qFormat/>
    <w:uiPriority w:val="0"/>
    <w:pPr>
      <w:widowControl/>
      <w:pBdr>
        <w:top w:val="single" w:color="auto" w:sz="8" w:space="0"/>
        <w:lef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75">
    <w:name w:val="样式 标题 1 + 段前: 5 磅 段后: 3.6 磅"/>
    <w:basedOn w:val="2"/>
    <w:qFormat/>
    <w:uiPriority w:val="0"/>
    <w:pPr>
      <w:keepNext/>
      <w:keepLines/>
      <w:widowControl/>
      <w:tabs>
        <w:tab w:val="left" w:pos="3780"/>
      </w:tabs>
      <w:spacing w:beforeLines="50" w:afterLines="50" w:line="360" w:lineRule="auto"/>
      <w:ind w:left="719" w:hanging="719" w:hangingChars="341"/>
      <w:outlineLvl w:val="1"/>
    </w:pPr>
    <w:rPr>
      <w:rFonts w:ascii="Arial" w:hAnsi="Arial" w:eastAsia="新宋体" w:cs="宋体"/>
      <w:color w:val="000000"/>
      <w:kern w:val="44"/>
      <w:sz w:val="21"/>
      <w:szCs w:val="24"/>
      <w:lang w:eastAsia="zh-CN"/>
    </w:rPr>
  </w:style>
  <w:style w:type="paragraph" w:customStyle="1" w:styleId="376">
    <w:name w:val="字元 字元11"/>
    <w:basedOn w:val="1"/>
    <w:qFormat/>
    <w:uiPriority w:val="0"/>
    <w:pPr>
      <w:jc w:val="both"/>
    </w:pPr>
    <w:rPr>
      <w:rFonts w:ascii="Times New Roman" w:hAnsi="Times New Roman"/>
      <w:kern w:val="2"/>
      <w:sz w:val="21"/>
      <w:szCs w:val="24"/>
      <w:lang w:eastAsia="zh-CN"/>
    </w:rPr>
  </w:style>
  <w:style w:type="paragraph" w:customStyle="1" w:styleId="377">
    <w:name w:val="公式 Char Char"/>
    <w:basedOn w:val="1"/>
    <w:next w:val="1"/>
    <w:qFormat/>
    <w:uiPriority w:val="0"/>
    <w:pPr>
      <w:spacing w:line="440" w:lineRule="exact"/>
      <w:ind w:firstLine="630" w:firstLineChars="300"/>
    </w:pPr>
    <w:rPr>
      <w:rFonts w:ascii="华文细黑" w:hAnsi="华文细黑" w:eastAsia="华文细黑" w:cs="Arial"/>
      <w:sz w:val="30"/>
      <w:szCs w:val="21"/>
      <w:lang w:eastAsia="zh-CN"/>
    </w:rPr>
  </w:style>
  <w:style w:type="paragraph" w:customStyle="1" w:styleId="378">
    <w:name w:val="Char Char Char Char Char Char1 Char Char11"/>
    <w:basedOn w:val="1"/>
    <w:qFormat/>
    <w:uiPriority w:val="0"/>
    <w:pPr>
      <w:jc w:val="both"/>
    </w:pPr>
    <w:rPr>
      <w:rFonts w:ascii="Times New Roman" w:hAnsi="Times New Roman"/>
      <w:kern w:val="2"/>
      <w:sz w:val="21"/>
      <w:szCs w:val="24"/>
      <w:lang w:eastAsia="zh-CN"/>
    </w:rPr>
  </w:style>
  <w:style w:type="paragraph" w:customStyle="1" w:styleId="379">
    <w:name w:val="Char2"/>
    <w:basedOn w:val="1"/>
    <w:qFormat/>
    <w:uiPriority w:val="0"/>
    <w:pPr>
      <w:jc w:val="both"/>
    </w:pPr>
    <w:rPr>
      <w:rFonts w:ascii="Tahoma" w:hAnsi="Tahoma"/>
      <w:kern w:val="2"/>
      <w:sz w:val="24"/>
      <w:szCs w:val="20"/>
      <w:lang w:eastAsia="zh-CN"/>
    </w:rPr>
  </w:style>
  <w:style w:type="paragraph" w:customStyle="1" w:styleId="380">
    <w:name w:val="落款"/>
    <w:basedOn w:val="1"/>
    <w:qFormat/>
    <w:uiPriority w:val="0"/>
    <w:pPr>
      <w:spacing w:line="440" w:lineRule="exact"/>
      <w:ind w:firstLine="630" w:firstLineChars="300"/>
    </w:pPr>
    <w:rPr>
      <w:rFonts w:ascii="华文细黑" w:hAnsi="华文细黑" w:cs="Arial"/>
      <w:sz w:val="21"/>
      <w:szCs w:val="21"/>
      <w:lang w:eastAsia="zh-CN"/>
    </w:rPr>
  </w:style>
  <w:style w:type="paragraph" w:customStyle="1" w:styleId="381">
    <w:name w:val="xl177"/>
    <w:basedOn w:val="1"/>
    <w:qFormat/>
    <w:uiPriority w:val="0"/>
    <w:pPr>
      <w:widowControl/>
      <w:pBdr>
        <w:top w:val="single" w:color="auto" w:sz="8" w:space="0"/>
        <w:bottom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82">
    <w:name w:val="CM99"/>
    <w:basedOn w:val="84"/>
    <w:next w:val="84"/>
    <w:qFormat/>
    <w:uiPriority w:val="0"/>
    <w:pPr>
      <w:spacing w:after="443"/>
    </w:pPr>
    <w:rPr>
      <w:rFonts w:ascii="Calibri" w:cs="Times New Roman"/>
      <w:color w:val="auto"/>
    </w:rPr>
  </w:style>
  <w:style w:type="paragraph" w:customStyle="1" w:styleId="383">
    <w:name w:val="CM25"/>
    <w:basedOn w:val="84"/>
    <w:next w:val="84"/>
    <w:qFormat/>
    <w:uiPriority w:val="0"/>
    <w:pPr>
      <w:spacing w:line="440" w:lineRule="atLeast"/>
    </w:pPr>
    <w:rPr>
      <w:rFonts w:ascii="Calibri" w:cs="Times New Roman"/>
      <w:color w:val="auto"/>
    </w:rPr>
  </w:style>
  <w:style w:type="paragraph" w:customStyle="1" w:styleId="384">
    <w:name w:val="小标题"/>
    <w:basedOn w:val="4"/>
    <w:qFormat/>
    <w:uiPriority w:val="0"/>
    <w:pPr>
      <w:keepNext/>
      <w:tabs>
        <w:tab w:val="left" w:pos="1080"/>
      </w:tabs>
      <w:ind w:left="1080" w:hanging="1080"/>
      <w:jc w:val="both"/>
    </w:pPr>
    <w:rPr>
      <w:rFonts w:ascii="宋体" w:hAnsi="宋体"/>
      <w:kern w:val="2"/>
      <w:sz w:val="44"/>
      <w:szCs w:val="20"/>
      <w:lang w:eastAsia="zh-CN"/>
    </w:rPr>
  </w:style>
  <w:style w:type="paragraph" w:customStyle="1" w:styleId="385">
    <w:name w:val="小节标题"/>
    <w:basedOn w:val="1"/>
    <w:next w:val="1"/>
    <w:qFormat/>
    <w:uiPriority w:val="0"/>
    <w:pPr>
      <w:widowControl/>
      <w:spacing w:before="175" w:after="102" w:line="351" w:lineRule="atLeast"/>
      <w:jc w:val="both"/>
      <w:textAlignment w:val="baseline"/>
    </w:pPr>
    <w:rPr>
      <w:rFonts w:ascii="Times New Roman" w:hAnsi="Times New Roman" w:eastAsia="黑体"/>
      <w:color w:val="000000"/>
      <w:sz w:val="21"/>
      <w:szCs w:val="20"/>
      <w:lang w:eastAsia="zh-CN"/>
    </w:rPr>
  </w:style>
  <w:style w:type="paragraph" w:customStyle="1" w:styleId="386">
    <w:name w:val="xl103"/>
    <w:basedOn w:val="1"/>
    <w:qFormat/>
    <w:uiPriority w:val="0"/>
    <w:pPr>
      <w:widowControl/>
      <w:pBdr>
        <w:bottom w:val="single" w:color="auto" w:sz="4" w:space="0"/>
        <w:right w:val="single" w:color="auto" w:sz="8" w:space="0"/>
      </w:pBdr>
      <w:spacing w:before="100" w:beforeAutospacing="1" w:after="100" w:afterAutospacing="1"/>
      <w:jc w:val="center"/>
    </w:pPr>
    <w:rPr>
      <w:rFonts w:ascii="Arial" w:hAnsi="Arial" w:eastAsia="Arial Unicode MS" w:cs="Arial"/>
      <w:sz w:val="24"/>
      <w:szCs w:val="24"/>
      <w:lang w:eastAsia="zh-CN"/>
    </w:rPr>
  </w:style>
  <w:style w:type="paragraph" w:customStyle="1" w:styleId="387">
    <w:name w:val="font1"/>
    <w:basedOn w:val="1"/>
    <w:qFormat/>
    <w:uiPriority w:val="0"/>
    <w:pPr>
      <w:widowControl/>
      <w:spacing w:before="100" w:beforeAutospacing="1" w:after="100" w:afterAutospacing="1"/>
    </w:pPr>
    <w:rPr>
      <w:rFonts w:hint="eastAsia" w:ascii="宋体" w:hAnsi="宋体"/>
      <w:b/>
      <w:bCs/>
      <w:sz w:val="24"/>
      <w:szCs w:val="24"/>
      <w:lang w:eastAsia="zh-CN"/>
    </w:rPr>
  </w:style>
  <w:style w:type="paragraph" w:customStyle="1" w:styleId="388">
    <w:name w:val="Char Char1 Char"/>
    <w:basedOn w:val="21"/>
    <w:qFormat/>
    <w:uiPriority w:val="0"/>
    <w:pPr>
      <w:widowControl w:val="0"/>
      <w:autoSpaceDE/>
      <w:autoSpaceDN/>
      <w:snapToGrid/>
      <w:spacing w:after="0"/>
      <w:ind w:left="0" w:leftChars="0" w:firstLine="0" w:firstLineChars="0"/>
      <w:textAlignment w:val="auto"/>
    </w:pPr>
    <w:rPr>
      <w:rFonts w:ascii="Tahoma" w:hAnsi="Tahoma"/>
      <w:bCs w:val="0"/>
      <w:spacing w:val="0"/>
      <w:kern w:val="2"/>
      <w:szCs w:val="24"/>
    </w:rPr>
  </w:style>
  <w:style w:type="paragraph" w:customStyle="1" w:styleId="389">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lang w:eastAsia="zh-CN"/>
    </w:rPr>
  </w:style>
  <w:style w:type="paragraph" w:customStyle="1" w:styleId="390">
    <w:name w:val="xl164"/>
    <w:basedOn w:val="1"/>
    <w:qFormat/>
    <w:uiPriority w:val="0"/>
    <w:pPr>
      <w:widowControl/>
      <w:pBdr>
        <w:left w:val="single" w:color="auto" w:sz="4" w:space="0"/>
        <w:right w:val="single" w:color="auto" w:sz="4" w:space="0"/>
      </w:pBdr>
      <w:spacing w:before="100" w:beforeAutospacing="1" w:after="100" w:afterAutospacing="1"/>
      <w:jc w:val="center"/>
    </w:pPr>
    <w:rPr>
      <w:rFonts w:ascii="Arial Unicode MS" w:hAnsi="Arial Unicode MS" w:eastAsia="Arial Unicode MS" w:cs="Arial Unicode MS"/>
      <w:sz w:val="24"/>
      <w:szCs w:val="24"/>
      <w:lang w:eastAsia="zh-CN"/>
    </w:rPr>
  </w:style>
  <w:style w:type="paragraph" w:customStyle="1" w:styleId="391">
    <w:name w:val="正文_19"/>
    <w:qFormat/>
    <w:uiPriority w:val="0"/>
    <w:pPr>
      <w:widowControl w:val="0"/>
      <w:jc w:val="both"/>
    </w:pPr>
    <w:rPr>
      <w:rFonts w:ascii="Calibri" w:hAnsi="Calibri" w:eastAsia="宋体" w:cs="Times New Roman"/>
      <w:kern w:val="2"/>
      <w:sz w:val="21"/>
      <w:szCs w:val="22"/>
      <w:lang w:val="en-US" w:eastAsia="zh-CN" w:bidi="ar-SA"/>
    </w:rPr>
  </w:style>
  <w:style w:type="paragraph" w:customStyle="1" w:styleId="392">
    <w:name w:val="xl101"/>
    <w:basedOn w:val="1"/>
    <w:qFormat/>
    <w:uiPriority w:val="0"/>
    <w:pPr>
      <w:widowControl/>
      <w:pBdr>
        <w:top w:val="single" w:color="auto" w:sz="4" w:space="0"/>
        <w:left w:val="single" w:color="auto" w:sz="8" w:space="0"/>
        <w:bottom w:val="single" w:color="auto" w:sz="4" w:space="0"/>
      </w:pBdr>
      <w:spacing w:before="100" w:beforeAutospacing="1" w:after="100" w:afterAutospacing="1"/>
      <w:jc w:val="right"/>
    </w:pPr>
    <w:rPr>
      <w:rFonts w:ascii="Arial" w:hAnsi="Arial" w:eastAsia="Arial Unicode MS" w:cs="Arial"/>
      <w:b/>
      <w:bCs/>
      <w:sz w:val="24"/>
      <w:szCs w:val="24"/>
      <w:lang w:eastAsia="zh-CN"/>
    </w:rPr>
  </w:style>
  <w:style w:type="paragraph" w:customStyle="1" w:styleId="393">
    <w:name w:val="日期1"/>
    <w:basedOn w:val="1"/>
    <w:next w:val="1"/>
    <w:qFormat/>
    <w:uiPriority w:val="0"/>
    <w:pPr>
      <w:adjustRightInd w:val="0"/>
      <w:spacing w:line="360" w:lineRule="atLeast"/>
      <w:jc w:val="both"/>
      <w:textAlignment w:val="baseline"/>
    </w:pPr>
    <w:rPr>
      <w:rFonts w:ascii="宋体" w:hAnsi="Times New Roman"/>
      <w:sz w:val="28"/>
      <w:szCs w:val="20"/>
      <w:lang w:eastAsia="zh-CN"/>
    </w:rPr>
  </w:style>
  <w:style w:type="paragraph" w:customStyle="1" w:styleId="394">
    <w:name w:val="font0"/>
    <w:basedOn w:val="1"/>
    <w:qFormat/>
    <w:uiPriority w:val="0"/>
    <w:pPr>
      <w:widowControl/>
      <w:spacing w:before="100" w:beforeAutospacing="1" w:after="100" w:afterAutospacing="1"/>
    </w:pPr>
    <w:rPr>
      <w:rFonts w:hint="eastAsia" w:ascii="宋体" w:hAnsi="宋体"/>
      <w:sz w:val="24"/>
      <w:szCs w:val="24"/>
      <w:lang w:eastAsia="zh-CN"/>
    </w:rPr>
  </w:style>
  <w:style w:type="paragraph" w:customStyle="1" w:styleId="395">
    <w:name w:val="正文(齐头)"/>
    <w:basedOn w:val="1"/>
    <w:qFormat/>
    <w:uiPriority w:val="0"/>
    <w:pPr>
      <w:adjustRightInd w:val="0"/>
      <w:spacing w:after="180" w:line="320" w:lineRule="exact"/>
      <w:ind w:left="1009" w:hanging="1009"/>
      <w:jc w:val="both"/>
      <w:textAlignment w:val="bottom"/>
    </w:pPr>
    <w:rPr>
      <w:rFonts w:ascii="Arial" w:hAnsi="Arial"/>
      <w:sz w:val="24"/>
      <w:szCs w:val="20"/>
      <w:lang w:eastAsia="zh-CN"/>
    </w:rPr>
  </w:style>
  <w:style w:type="paragraph" w:customStyle="1" w:styleId="396">
    <w:name w:val="xl11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397">
    <w:name w:val="无间隔1"/>
    <w:qFormat/>
    <w:uiPriority w:val="1"/>
    <w:pPr>
      <w:widowControl w:val="0"/>
      <w:spacing w:line="360" w:lineRule="auto"/>
      <w:jc w:val="both"/>
    </w:pPr>
    <w:rPr>
      <w:rFonts w:ascii="Times New Roman" w:hAnsi="Times New Roman" w:eastAsia="宋体" w:cs="Times New Roman"/>
      <w:sz w:val="24"/>
      <w:lang w:val="en-US" w:eastAsia="zh-CN" w:bidi="ar-SA"/>
    </w:rPr>
  </w:style>
  <w:style w:type="paragraph" w:customStyle="1" w:styleId="398">
    <w:name w:val="标题 0"/>
    <w:basedOn w:val="2"/>
    <w:qFormat/>
    <w:uiPriority w:val="0"/>
    <w:pPr>
      <w:tabs>
        <w:tab w:val="left" w:pos="3780"/>
      </w:tabs>
      <w:spacing w:line="360" w:lineRule="auto"/>
      <w:ind w:left="0"/>
    </w:pPr>
    <w:rPr>
      <w:rFonts w:ascii="Times New Roman" w:hAnsi="Times New Roman" w:eastAsia="宋体"/>
      <w:bCs w:val="0"/>
      <w:color w:val="000000"/>
      <w:kern w:val="2"/>
      <w:sz w:val="30"/>
      <w:szCs w:val="20"/>
      <w:lang w:eastAsia="zh-CN"/>
    </w:rPr>
  </w:style>
  <w:style w:type="paragraph" w:customStyle="1" w:styleId="399">
    <w:name w:val="xl145"/>
    <w:basedOn w:val="1"/>
    <w:qFormat/>
    <w:uiPriority w:val="0"/>
    <w:pPr>
      <w:widowControl/>
      <w:pBdr>
        <w:left w:val="single" w:color="auto" w:sz="8" w:space="0"/>
        <w:bottom w:val="single" w:color="auto" w:sz="8" w:space="0"/>
        <w:right w:val="single" w:color="auto" w:sz="4"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400">
    <w:name w:val="xl192"/>
    <w:basedOn w:val="1"/>
    <w:qFormat/>
    <w:uiPriority w:val="0"/>
    <w:pPr>
      <w:widowControl/>
      <w:spacing w:before="100" w:beforeAutospacing="1" w:after="100" w:afterAutospacing="1"/>
      <w:jc w:val="center"/>
    </w:pPr>
    <w:rPr>
      <w:rFonts w:hint="eastAsia" w:ascii="宋体" w:hAnsi="宋体" w:cs="Arial Unicode MS"/>
      <w:b/>
      <w:bCs/>
      <w:sz w:val="24"/>
      <w:szCs w:val="24"/>
      <w:lang w:eastAsia="zh-CN"/>
    </w:rPr>
  </w:style>
  <w:style w:type="paragraph" w:customStyle="1" w:styleId="401">
    <w:name w:val="修订2"/>
    <w:qFormat/>
    <w:uiPriority w:val="0"/>
    <w:rPr>
      <w:rFonts w:ascii="Calibri" w:hAnsi="Calibri" w:eastAsia="宋体" w:cs="Times New Roman"/>
      <w:sz w:val="22"/>
      <w:szCs w:val="22"/>
      <w:lang w:val="en-US" w:eastAsia="en-US" w:bidi="ar-SA"/>
    </w:rPr>
  </w:style>
  <w:style w:type="paragraph" w:customStyle="1" w:styleId="402">
    <w:name w:val="CM35"/>
    <w:basedOn w:val="84"/>
    <w:next w:val="84"/>
    <w:qFormat/>
    <w:uiPriority w:val="0"/>
    <w:pPr>
      <w:spacing w:line="400" w:lineRule="atLeast"/>
    </w:pPr>
    <w:rPr>
      <w:rFonts w:ascii="Calibri" w:cs="Times New Roman"/>
      <w:color w:val="auto"/>
    </w:rPr>
  </w:style>
  <w:style w:type="paragraph" w:customStyle="1" w:styleId="403">
    <w:name w:val="Char Char Char Char Char Char Char Char Char Char1"/>
    <w:basedOn w:val="1"/>
    <w:qFormat/>
    <w:uiPriority w:val="0"/>
    <w:pPr>
      <w:jc w:val="both"/>
    </w:pPr>
    <w:rPr>
      <w:rFonts w:ascii="Times New Roman" w:hAnsi="Times New Roman"/>
      <w:kern w:val="2"/>
      <w:sz w:val="21"/>
      <w:szCs w:val="20"/>
      <w:lang w:eastAsia="zh-CN"/>
    </w:rPr>
  </w:style>
  <w:style w:type="paragraph" w:customStyle="1" w:styleId="404">
    <w:name w:val="xl4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olor w:val="FF0000"/>
      <w:lang w:eastAsia="zh-CN"/>
    </w:rPr>
  </w:style>
  <w:style w:type="paragraph" w:customStyle="1" w:styleId="405">
    <w:name w:val="xl109"/>
    <w:basedOn w:val="1"/>
    <w:qFormat/>
    <w:uiPriority w:val="0"/>
    <w:pPr>
      <w:widowControl/>
      <w:pBdr>
        <w:left w:val="single" w:color="auto" w:sz="4" w:space="0"/>
        <w:bottom w:val="single" w:color="auto" w:sz="4" w:space="0"/>
        <w:right w:val="single" w:color="auto" w:sz="8" w:space="0"/>
      </w:pBdr>
      <w:spacing w:before="100" w:beforeAutospacing="1" w:after="100" w:afterAutospacing="1"/>
      <w:jc w:val="center"/>
    </w:pPr>
    <w:rPr>
      <w:rFonts w:ascii="Arial" w:hAnsi="Arial" w:eastAsia="Arial Unicode MS" w:cs="Arial"/>
      <w:sz w:val="24"/>
      <w:szCs w:val="24"/>
      <w:lang w:eastAsia="zh-CN"/>
    </w:rPr>
  </w:style>
  <w:style w:type="paragraph" w:customStyle="1" w:styleId="406">
    <w:name w:val="xl35"/>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宋体" w:hAnsi="宋体"/>
      <w:b/>
      <w:bCs/>
      <w:lang w:eastAsia="zh-CN"/>
    </w:rPr>
  </w:style>
  <w:style w:type="paragraph" w:customStyle="1" w:styleId="407">
    <w:name w:val="Char12"/>
    <w:basedOn w:val="1"/>
    <w:qFormat/>
    <w:uiPriority w:val="0"/>
    <w:pPr>
      <w:jc w:val="both"/>
    </w:pPr>
    <w:rPr>
      <w:rFonts w:ascii="Times New Roman" w:hAnsi="Times New Roman"/>
      <w:kern w:val="2"/>
      <w:sz w:val="21"/>
      <w:szCs w:val="24"/>
      <w:lang w:eastAsia="zh-CN"/>
    </w:rPr>
  </w:style>
  <w:style w:type="paragraph" w:customStyle="1" w:styleId="408">
    <w:name w:val="表格1"/>
    <w:basedOn w:val="1"/>
    <w:qFormat/>
    <w:uiPriority w:val="0"/>
    <w:pPr>
      <w:tabs>
        <w:tab w:val="left" w:pos="203"/>
      </w:tabs>
      <w:spacing w:before="40" w:after="40"/>
      <w:jc w:val="center"/>
    </w:pPr>
    <w:rPr>
      <w:rFonts w:ascii="Times New Roman" w:hAnsi="Times New Roman"/>
      <w:b/>
      <w:bCs/>
      <w:kern w:val="2"/>
      <w:sz w:val="28"/>
      <w:szCs w:val="20"/>
      <w:lang w:eastAsia="zh-CN"/>
    </w:rPr>
  </w:style>
  <w:style w:type="paragraph" w:customStyle="1" w:styleId="409">
    <w:name w:val="默认段落字体 Para Char"/>
    <w:basedOn w:val="66"/>
    <w:qFormat/>
    <w:uiPriority w:val="0"/>
    <w:pPr>
      <w:autoSpaceDE w:val="0"/>
      <w:autoSpaceDN w:val="0"/>
      <w:adjustRightInd w:val="0"/>
      <w:snapToGrid w:val="0"/>
      <w:spacing w:after="0" w:line="360" w:lineRule="auto"/>
      <w:ind w:left="0" w:leftChars="0" w:firstLine="0" w:firstLineChars="0"/>
      <w:jc w:val="left"/>
      <w:textAlignment w:val="baseline"/>
    </w:pPr>
    <w:rPr>
      <w:rFonts w:ascii="宋体" w:hAnsi="Calibri"/>
      <w:kern w:val="0"/>
      <w:sz w:val="28"/>
      <w:szCs w:val="20"/>
    </w:rPr>
  </w:style>
  <w:style w:type="paragraph" w:customStyle="1" w:styleId="410">
    <w:name w:val="xl7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宋体" w:hAnsi="宋体"/>
      <w:lang w:eastAsia="zh-CN"/>
    </w:rPr>
  </w:style>
  <w:style w:type="paragraph" w:customStyle="1" w:styleId="411">
    <w:name w:val="xl26"/>
    <w:basedOn w:val="1"/>
    <w:qFormat/>
    <w:uiPriority w:val="0"/>
    <w:pPr>
      <w:widowControl/>
      <w:pBdr>
        <w:top w:val="single" w:color="auto" w:sz="4" w:space="0"/>
        <w:left w:val="single" w:color="auto" w:sz="8" w:space="0"/>
        <w:bottom w:val="single" w:color="auto" w:sz="4" w:space="0"/>
        <w:right w:val="single" w:color="auto" w:sz="4" w:space="0"/>
      </w:pBdr>
      <w:shd w:val="clear" w:color="auto" w:fill="FFFFFF"/>
      <w:spacing w:before="100" w:beforeAutospacing="1" w:after="100" w:afterAutospacing="1"/>
      <w:jc w:val="center"/>
    </w:pPr>
    <w:rPr>
      <w:rFonts w:ascii="宋体" w:hAnsi="宋体"/>
      <w:b/>
      <w:bCs/>
      <w:lang w:eastAsia="zh-CN"/>
    </w:rPr>
  </w:style>
  <w:style w:type="paragraph" w:customStyle="1" w:styleId="412">
    <w:name w:val="xl136"/>
    <w:basedOn w:val="1"/>
    <w:qFormat/>
    <w:uiPriority w:val="0"/>
    <w:pPr>
      <w:widowControl/>
      <w:pBdr>
        <w:top w:val="single" w:color="auto" w:sz="4" w:space="0"/>
        <w:left w:val="single" w:color="auto" w:sz="8" w:space="0"/>
        <w:bottom w:val="single" w:color="auto" w:sz="4" w:space="0"/>
        <w:right w:val="single" w:color="auto" w:sz="8" w:space="0"/>
      </w:pBdr>
      <w:shd w:val="clear" w:color="auto" w:fill="FFFF99"/>
      <w:spacing w:before="100" w:beforeAutospacing="1" w:after="100" w:afterAutospacing="1"/>
    </w:pPr>
    <w:rPr>
      <w:rFonts w:hint="eastAsia" w:ascii="宋体" w:hAnsi="宋体" w:cs="Arial Unicode MS"/>
      <w:b/>
      <w:bCs/>
      <w:sz w:val="24"/>
      <w:szCs w:val="24"/>
      <w:lang w:eastAsia="zh-CN"/>
    </w:rPr>
  </w:style>
  <w:style w:type="paragraph" w:customStyle="1" w:styleId="413">
    <w:name w:val="表格文字"/>
    <w:next w:val="28"/>
    <w:qFormat/>
    <w:uiPriority w:val="0"/>
    <w:pPr>
      <w:jc w:val="center"/>
    </w:pPr>
    <w:rPr>
      <w:rFonts w:ascii="Times New Roman" w:hAnsi="Times New Roman" w:eastAsia="楷体_GB2312" w:cs="Times New Roman"/>
      <w:sz w:val="24"/>
      <w:lang w:val="en-US" w:eastAsia="zh-CN" w:bidi="ar-SA"/>
    </w:rPr>
  </w:style>
  <w:style w:type="paragraph" w:customStyle="1" w:styleId="414">
    <w:name w:val="CM76"/>
    <w:basedOn w:val="84"/>
    <w:next w:val="84"/>
    <w:qFormat/>
    <w:uiPriority w:val="0"/>
    <w:pPr>
      <w:spacing w:line="400" w:lineRule="atLeast"/>
    </w:pPr>
    <w:rPr>
      <w:rFonts w:ascii="Calibri" w:cs="Times New Roman"/>
      <w:color w:val="auto"/>
    </w:rPr>
  </w:style>
  <w:style w:type="paragraph" w:customStyle="1" w:styleId="415">
    <w:name w:val="xl29"/>
    <w:basedOn w:val="1"/>
    <w:qFormat/>
    <w:uiPriority w:val="0"/>
    <w:pPr>
      <w:widowControl/>
      <w:pBdr>
        <w:left w:val="single" w:color="auto" w:sz="4" w:space="0"/>
        <w:bottom w:val="single" w:color="auto" w:sz="4" w:space="0"/>
        <w:right w:val="single" w:color="auto" w:sz="4" w:space="0"/>
      </w:pBdr>
      <w:spacing w:before="100" w:after="100"/>
      <w:jc w:val="center"/>
      <w:textAlignment w:val="center"/>
    </w:pPr>
    <w:rPr>
      <w:rFonts w:ascii="Arial Unicode MS" w:hAnsi="Arial Unicode MS" w:eastAsia="Arial Unicode MS"/>
      <w:sz w:val="24"/>
      <w:szCs w:val="20"/>
      <w:lang w:eastAsia="zh-CN"/>
    </w:rPr>
  </w:style>
  <w:style w:type="paragraph" w:customStyle="1" w:styleId="416">
    <w:name w:val="xl167"/>
    <w:basedOn w:val="1"/>
    <w:qFormat/>
    <w:uiPriority w:val="0"/>
    <w:pPr>
      <w:widowControl/>
      <w:spacing w:before="100" w:beforeAutospacing="1" w:after="100" w:afterAutospacing="1"/>
    </w:pPr>
    <w:rPr>
      <w:rFonts w:ascii="Arial" w:hAnsi="Arial" w:eastAsia="Arial Unicode MS" w:cs="Arial"/>
      <w:b/>
      <w:bCs/>
      <w:sz w:val="24"/>
      <w:szCs w:val="24"/>
      <w:lang w:eastAsia="zh-CN"/>
    </w:rPr>
  </w:style>
  <w:style w:type="paragraph" w:customStyle="1" w:styleId="417">
    <w:name w:val="xl10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418">
    <w:name w:val="Char1 Char Char Char Char Char Char Char Char Char Char Char Char1"/>
    <w:basedOn w:val="1"/>
    <w:qFormat/>
    <w:uiPriority w:val="0"/>
    <w:pPr>
      <w:widowControl/>
      <w:spacing w:after="160" w:line="240" w:lineRule="exact"/>
    </w:pPr>
    <w:rPr>
      <w:rFonts w:ascii="Verdana" w:hAnsi="Verdana" w:eastAsia="仿宋_GB2312"/>
      <w:sz w:val="24"/>
      <w:szCs w:val="20"/>
    </w:rPr>
  </w:style>
  <w:style w:type="paragraph" w:customStyle="1" w:styleId="419">
    <w:name w:val="CM46"/>
    <w:basedOn w:val="84"/>
    <w:next w:val="84"/>
    <w:qFormat/>
    <w:uiPriority w:val="0"/>
    <w:rPr>
      <w:rFonts w:ascii="Calibri" w:cs="Times New Roman"/>
      <w:color w:val="auto"/>
    </w:rPr>
  </w:style>
  <w:style w:type="paragraph" w:customStyle="1" w:styleId="420">
    <w:name w:val="修订3"/>
    <w:semiHidden/>
    <w:qFormat/>
    <w:uiPriority w:val="99"/>
    <w:rPr>
      <w:rFonts w:ascii="Calibri" w:hAnsi="Calibri" w:eastAsia="宋体" w:cs="Times New Roman"/>
      <w:sz w:val="22"/>
      <w:szCs w:val="22"/>
      <w:lang w:val="en-US" w:eastAsia="en-US" w:bidi="ar-SA"/>
    </w:rPr>
  </w:style>
  <w:style w:type="paragraph" w:customStyle="1" w:styleId="421">
    <w:name w:val="CM101"/>
    <w:basedOn w:val="84"/>
    <w:next w:val="84"/>
    <w:qFormat/>
    <w:uiPriority w:val="0"/>
    <w:pPr>
      <w:spacing w:after="800"/>
    </w:pPr>
    <w:rPr>
      <w:rFonts w:ascii="Calibri" w:cs="Times New Roman"/>
      <w:color w:val="auto"/>
    </w:rPr>
  </w:style>
  <w:style w:type="paragraph" w:customStyle="1" w:styleId="422">
    <w:name w:val="CM20"/>
    <w:basedOn w:val="84"/>
    <w:next w:val="84"/>
    <w:qFormat/>
    <w:uiPriority w:val="0"/>
    <w:pPr>
      <w:spacing w:line="400" w:lineRule="atLeast"/>
    </w:pPr>
    <w:rPr>
      <w:rFonts w:ascii="Calibri" w:cs="Times New Roman"/>
      <w:color w:val="auto"/>
    </w:rPr>
  </w:style>
  <w:style w:type="paragraph" w:customStyle="1" w:styleId="423">
    <w:name w:val="xl184"/>
    <w:basedOn w:val="1"/>
    <w:qFormat/>
    <w:uiPriority w:val="0"/>
    <w:pPr>
      <w:widowControl/>
      <w:pBdr>
        <w:bottom w:val="single" w:color="auto" w:sz="8" w:space="0"/>
      </w:pBdr>
      <w:spacing w:before="100" w:beforeAutospacing="1" w:after="100" w:afterAutospacing="1"/>
      <w:jc w:val="center"/>
    </w:pPr>
    <w:rPr>
      <w:rFonts w:hint="eastAsia" w:ascii="宋体" w:hAnsi="宋体" w:cs="Arial Unicode MS"/>
      <w:b/>
      <w:bCs/>
      <w:sz w:val="32"/>
      <w:szCs w:val="32"/>
      <w:lang w:eastAsia="zh-CN"/>
    </w:rPr>
  </w:style>
  <w:style w:type="paragraph" w:customStyle="1" w:styleId="424">
    <w:name w:val="Знак Знак Знак"/>
    <w:basedOn w:val="28"/>
    <w:next w:val="28"/>
    <w:qFormat/>
    <w:uiPriority w:val="0"/>
    <w:pPr>
      <w:widowControl/>
      <w:spacing w:before="60" w:after="160"/>
      <w:ind w:left="794"/>
      <w:jc w:val="both"/>
    </w:pPr>
    <w:rPr>
      <w:rFonts w:ascii="Arial" w:hAnsi="Arial" w:cs="Verdana"/>
      <w:color w:val="000000"/>
      <w:sz w:val="22"/>
      <w:szCs w:val="24"/>
      <w:lang w:val="en-GB" w:eastAsia="zh-CN"/>
    </w:rPr>
  </w:style>
  <w:style w:type="paragraph" w:customStyle="1" w:styleId="425">
    <w:name w:val="xl56"/>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pPr>
    <w:rPr>
      <w:rFonts w:ascii="宋体" w:hAnsi="宋体"/>
      <w:lang w:eastAsia="zh-CN"/>
    </w:rPr>
  </w:style>
  <w:style w:type="paragraph" w:customStyle="1" w:styleId="426">
    <w:name w:val="CM62"/>
    <w:basedOn w:val="84"/>
    <w:next w:val="84"/>
    <w:qFormat/>
    <w:uiPriority w:val="0"/>
    <w:pPr>
      <w:spacing w:line="400" w:lineRule="atLeast"/>
    </w:pPr>
    <w:rPr>
      <w:rFonts w:ascii="Calibri" w:cs="Times New Roman"/>
      <w:color w:val="auto"/>
    </w:rPr>
  </w:style>
  <w:style w:type="paragraph" w:customStyle="1" w:styleId="427">
    <w:name w:val="抬头"/>
    <w:basedOn w:val="1"/>
    <w:qFormat/>
    <w:uiPriority w:val="0"/>
    <w:pPr>
      <w:spacing w:beforeLines="50" w:line="360" w:lineRule="auto"/>
      <w:jc w:val="both"/>
    </w:pPr>
    <w:rPr>
      <w:rFonts w:ascii="宋体" w:hAnsi="Times New Roman"/>
      <w:kern w:val="2"/>
      <w:sz w:val="24"/>
      <w:szCs w:val="24"/>
      <w:lang w:eastAsia="zh-CN"/>
    </w:rPr>
  </w:style>
  <w:style w:type="paragraph" w:customStyle="1" w:styleId="428">
    <w:name w:val="CM44"/>
    <w:basedOn w:val="84"/>
    <w:next w:val="84"/>
    <w:qFormat/>
    <w:uiPriority w:val="0"/>
    <w:pPr>
      <w:spacing w:line="440" w:lineRule="atLeast"/>
    </w:pPr>
    <w:rPr>
      <w:rFonts w:ascii="Calibri" w:cs="Times New Roman"/>
      <w:color w:val="auto"/>
    </w:rPr>
  </w:style>
  <w:style w:type="paragraph" w:customStyle="1" w:styleId="429">
    <w:name w:val="xl141"/>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430">
    <w:name w:val="xl40"/>
    <w:basedOn w:val="1"/>
    <w:qFormat/>
    <w:uiPriority w:val="0"/>
    <w:pPr>
      <w:widowControl/>
      <w:pBdr>
        <w:left w:val="single" w:color="auto" w:sz="8" w:space="0"/>
        <w:right w:val="single" w:color="auto" w:sz="4" w:space="0"/>
      </w:pBdr>
      <w:shd w:val="clear" w:color="auto" w:fill="FFFFFF"/>
      <w:spacing w:before="100" w:beforeAutospacing="1" w:after="100" w:afterAutospacing="1"/>
      <w:jc w:val="center"/>
    </w:pPr>
    <w:rPr>
      <w:rFonts w:ascii="宋体" w:hAnsi="宋体"/>
      <w:lang w:eastAsia="zh-CN"/>
    </w:rPr>
  </w:style>
  <w:style w:type="paragraph" w:customStyle="1" w:styleId="431">
    <w:name w:val="封面样式4"/>
    <w:basedOn w:val="1"/>
    <w:qFormat/>
    <w:uiPriority w:val="0"/>
    <w:pPr>
      <w:spacing w:line="440" w:lineRule="exact"/>
      <w:ind w:firstLine="630" w:firstLineChars="300"/>
    </w:pPr>
    <w:rPr>
      <w:rFonts w:ascii="华文细黑" w:hAnsi="华文细黑" w:cs="Arial"/>
      <w:sz w:val="21"/>
      <w:szCs w:val="21"/>
      <w:lang w:eastAsia="zh-CN"/>
    </w:rPr>
  </w:style>
  <w:style w:type="paragraph" w:customStyle="1" w:styleId="432">
    <w:name w:val="Char1 Char Char Char"/>
    <w:basedOn w:val="1"/>
    <w:qFormat/>
    <w:uiPriority w:val="0"/>
    <w:pPr>
      <w:jc w:val="both"/>
    </w:pPr>
    <w:rPr>
      <w:rFonts w:ascii="Times New Roman" w:hAnsi="Times New Roman"/>
      <w:kern w:val="2"/>
      <w:sz w:val="21"/>
      <w:szCs w:val="24"/>
      <w:lang w:eastAsia="zh-CN"/>
    </w:rPr>
  </w:style>
  <w:style w:type="paragraph" w:customStyle="1" w:styleId="433">
    <w:name w:val="p2"/>
    <w:basedOn w:val="1"/>
    <w:qFormat/>
    <w:uiPriority w:val="0"/>
    <w:pPr>
      <w:widowControl/>
      <w:spacing w:line="480" w:lineRule="auto"/>
      <w:ind w:firstLine="420"/>
    </w:pPr>
    <w:rPr>
      <w:rFonts w:ascii="宋体" w:hAnsi="宋体" w:cs="宋体"/>
      <w:sz w:val="21"/>
      <w:szCs w:val="21"/>
      <w:lang w:eastAsia="zh-CN"/>
    </w:rPr>
  </w:style>
  <w:style w:type="paragraph" w:customStyle="1" w:styleId="434">
    <w:name w:val="CM47"/>
    <w:basedOn w:val="84"/>
    <w:next w:val="84"/>
    <w:qFormat/>
    <w:uiPriority w:val="0"/>
    <w:pPr>
      <w:spacing w:line="440" w:lineRule="atLeast"/>
    </w:pPr>
    <w:rPr>
      <w:rFonts w:ascii="Calibri" w:cs="Times New Roman"/>
      <w:color w:val="auto"/>
    </w:rPr>
  </w:style>
  <w:style w:type="paragraph" w:customStyle="1" w:styleId="435">
    <w:name w:val="不缩进"/>
    <w:basedOn w:val="1"/>
    <w:qFormat/>
    <w:uiPriority w:val="0"/>
    <w:pPr>
      <w:jc w:val="center"/>
    </w:pPr>
    <w:rPr>
      <w:rFonts w:ascii="楷体_GB2312" w:hAnsi="Times New Roman" w:eastAsia="楷体_GB2312"/>
      <w:spacing w:val="-8"/>
      <w:kern w:val="2"/>
      <w:sz w:val="24"/>
      <w:szCs w:val="20"/>
      <w:lang w:eastAsia="zh-CN"/>
    </w:rPr>
  </w:style>
  <w:style w:type="paragraph" w:customStyle="1" w:styleId="436">
    <w:name w:val="xl106"/>
    <w:basedOn w:val="1"/>
    <w:qFormat/>
    <w:uiPriority w:val="0"/>
    <w:pPr>
      <w:widowControl/>
      <w:pBdr>
        <w:left w:val="single" w:color="auto" w:sz="4" w:space="0"/>
        <w:bottom w:val="single" w:color="auto" w:sz="4" w:space="0"/>
        <w:right w:val="single" w:color="auto" w:sz="8" w:space="0"/>
      </w:pBdr>
      <w:spacing w:before="100" w:beforeAutospacing="1" w:after="100" w:afterAutospacing="1"/>
      <w:jc w:val="center"/>
    </w:pPr>
    <w:rPr>
      <w:rFonts w:ascii="Arial" w:hAnsi="Arial" w:eastAsia="Arial Unicode MS" w:cs="Arial"/>
      <w:sz w:val="24"/>
      <w:szCs w:val="24"/>
      <w:lang w:eastAsia="zh-CN"/>
    </w:rPr>
  </w:style>
  <w:style w:type="paragraph" w:customStyle="1" w:styleId="437">
    <w:name w:val="n"/>
    <w:basedOn w:val="1"/>
    <w:qFormat/>
    <w:uiPriority w:val="0"/>
    <w:pPr>
      <w:autoSpaceDE w:val="0"/>
      <w:autoSpaceDN w:val="0"/>
      <w:adjustRightInd w:val="0"/>
      <w:spacing w:line="400" w:lineRule="atLeast"/>
      <w:jc w:val="both"/>
      <w:textAlignment w:val="baseline"/>
    </w:pPr>
    <w:rPr>
      <w:rFonts w:ascii="宋体" w:hAnsi="Times New Roman"/>
      <w:sz w:val="24"/>
      <w:szCs w:val="20"/>
      <w:lang w:eastAsia="zh-CN"/>
    </w:rPr>
  </w:style>
  <w:style w:type="paragraph" w:customStyle="1" w:styleId="438">
    <w:name w:val="带编号的正文"/>
    <w:basedOn w:val="1"/>
    <w:qFormat/>
    <w:uiPriority w:val="0"/>
    <w:pPr>
      <w:tabs>
        <w:tab w:val="left" w:pos="180"/>
        <w:tab w:val="left" w:pos="425"/>
      </w:tabs>
      <w:spacing w:line="360" w:lineRule="auto"/>
      <w:ind w:left="200" w:leftChars="200" w:hanging="425"/>
      <w:jc w:val="both"/>
      <w:textAlignment w:val="bottom"/>
    </w:pPr>
    <w:rPr>
      <w:rFonts w:ascii="宋体" w:hAnsi="宋体" w:eastAsia="楷体_GB2312"/>
      <w:sz w:val="24"/>
      <w:szCs w:val="20"/>
      <w:lang w:eastAsia="zh-CN"/>
    </w:rPr>
  </w:style>
  <w:style w:type="paragraph" w:customStyle="1" w:styleId="439">
    <w:name w:val="xl163"/>
    <w:basedOn w:val="1"/>
    <w:qFormat/>
    <w:uiPriority w:val="0"/>
    <w:pPr>
      <w:widowControl/>
      <w:pBdr>
        <w:top w:val="single" w:color="auto" w:sz="8" w:space="0"/>
        <w:left w:val="single" w:color="auto" w:sz="4"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440">
    <w:name w:val="7 正文"/>
    <w:basedOn w:val="17"/>
    <w:qFormat/>
    <w:uiPriority w:val="0"/>
    <w:pPr>
      <w:spacing w:before="100" w:beforeAutospacing="1" w:after="100" w:afterAutospacing="1" w:line="300" w:lineRule="auto"/>
      <w:ind w:firstLine="200"/>
      <w:jc w:val="left"/>
    </w:pPr>
    <w:rPr>
      <w:rFonts w:ascii="Arial" w:hAnsi="Arial" w:eastAsia="等线"/>
      <w:sz w:val="24"/>
      <w:szCs w:val="20"/>
      <w:lang w:eastAsia="zh-CN"/>
    </w:rPr>
  </w:style>
  <w:style w:type="paragraph" w:customStyle="1" w:styleId="441">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hint="eastAsia" w:ascii="宋体" w:hAnsi="宋体" w:cs="Arial Unicode MS"/>
      <w:sz w:val="24"/>
      <w:szCs w:val="24"/>
      <w:lang w:eastAsia="zh-CN"/>
    </w:rPr>
  </w:style>
  <w:style w:type="paragraph" w:customStyle="1" w:styleId="442">
    <w:name w:val="Document 1"/>
    <w:qFormat/>
    <w:uiPriority w:val="0"/>
    <w:pPr>
      <w:keepNext/>
      <w:keepLines/>
      <w:tabs>
        <w:tab w:val="left" w:pos="-720"/>
      </w:tabs>
      <w:suppressAutoHyphens/>
    </w:pPr>
    <w:rPr>
      <w:rFonts w:ascii="Courier New" w:hAnsi="Courier New" w:eastAsia="宋体" w:cs="Times New Roman"/>
      <w:lang w:val="en-US" w:eastAsia="en-US" w:bidi="ar-SA"/>
    </w:rPr>
  </w:style>
  <w:style w:type="paragraph" w:customStyle="1" w:styleId="443">
    <w:name w:val="CM33"/>
    <w:basedOn w:val="84"/>
    <w:next w:val="84"/>
    <w:qFormat/>
    <w:uiPriority w:val="0"/>
    <w:rPr>
      <w:rFonts w:ascii="Calibri" w:cs="Times New Roman"/>
      <w:color w:val="auto"/>
    </w:rPr>
  </w:style>
  <w:style w:type="paragraph" w:customStyle="1" w:styleId="444">
    <w:name w:val="List Paragraph1"/>
    <w:basedOn w:val="1"/>
    <w:qFormat/>
    <w:uiPriority w:val="0"/>
    <w:pPr>
      <w:ind w:firstLine="420" w:firstLineChars="200"/>
      <w:jc w:val="both"/>
    </w:pPr>
    <w:rPr>
      <w:kern w:val="2"/>
      <w:sz w:val="21"/>
      <w:szCs w:val="24"/>
      <w:lang w:eastAsia="zh-CN"/>
    </w:rPr>
  </w:style>
  <w:style w:type="paragraph" w:customStyle="1" w:styleId="445">
    <w:name w:val="图形"/>
    <w:basedOn w:val="1"/>
    <w:qFormat/>
    <w:uiPriority w:val="0"/>
    <w:pPr>
      <w:spacing w:line="240" w:lineRule="atLeast"/>
    </w:pPr>
    <w:rPr>
      <w:rFonts w:ascii="华文细黑" w:hAnsi="华文细黑" w:cs="Arial"/>
      <w:sz w:val="21"/>
      <w:szCs w:val="21"/>
      <w:lang w:eastAsia="zh-CN"/>
    </w:rPr>
  </w:style>
  <w:style w:type="paragraph" w:customStyle="1" w:styleId="446">
    <w:name w:val="xl75"/>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pPr>
    <w:rPr>
      <w:rFonts w:ascii="宋体" w:hAnsi="宋体"/>
      <w:lang w:eastAsia="zh-CN"/>
    </w:rPr>
  </w:style>
  <w:style w:type="paragraph" w:customStyle="1" w:styleId="447">
    <w:name w:val="xl102"/>
    <w:basedOn w:val="1"/>
    <w:qFormat/>
    <w:uiPriority w:val="0"/>
    <w:pPr>
      <w:widowControl/>
      <w:pBdr>
        <w:left w:val="single" w:color="auto" w:sz="4" w:space="0"/>
        <w:bottom w:val="single" w:color="auto" w:sz="4" w:space="0"/>
        <w:right w:val="single" w:color="auto" w:sz="4" w:space="0"/>
      </w:pBdr>
      <w:spacing w:before="100" w:beforeAutospacing="1" w:after="100" w:afterAutospacing="1"/>
    </w:pPr>
    <w:rPr>
      <w:rFonts w:hint="eastAsia" w:ascii="宋体" w:hAnsi="宋体" w:cs="Arial Unicode MS"/>
      <w:sz w:val="24"/>
      <w:szCs w:val="24"/>
      <w:lang w:eastAsia="zh-CN"/>
    </w:rPr>
  </w:style>
  <w:style w:type="paragraph" w:customStyle="1" w:styleId="448">
    <w:name w:val="xl87"/>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b/>
      <w:bCs/>
      <w:lang w:eastAsia="zh-CN"/>
    </w:rPr>
  </w:style>
  <w:style w:type="paragraph" w:customStyle="1" w:styleId="449">
    <w:name w:val="CM65"/>
    <w:basedOn w:val="84"/>
    <w:next w:val="84"/>
    <w:qFormat/>
    <w:uiPriority w:val="0"/>
    <w:rPr>
      <w:rFonts w:ascii="Calibri" w:cs="Times New Roman"/>
      <w:color w:val="auto"/>
    </w:rPr>
  </w:style>
  <w:style w:type="paragraph" w:customStyle="1" w:styleId="450">
    <w:name w:val="封面字体2"/>
    <w:basedOn w:val="305"/>
    <w:qFormat/>
    <w:uiPriority w:val="0"/>
  </w:style>
  <w:style w:type="paragraph" w:customStyle="1" w:styleId="451">
    <w:name w:val="xl6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olor w:val="FF0000"/>
      <w:lang w:eastAsia="zh-CN"/>
    </w:rPr>
  </w:style>
  <w:style w:type="paragraph" w:customStyle="1" w:styleId="452">
    <w:name w:val="第四行"/>
    <w:basedOn w:val="1"/>
    <w:qFormat/>
    <w:uiPriority w:val="0"/>
    <w:pPr>
      <w:tabs>
        <w:tab w:val="left" w:pos="1200"/>
      </w:tabs>
      <w:spacing w:line="360" w:lineRule="auto"/>
      <w:jc w:val="center"/>
    </w:pPr>
    <w:rPr>
      <w:rFonts w:ascii="宋体" w:hAnsi="Arial Narrow"/>
      <w:b/>
      <w:bCs/>
      <w:spacing w:val="40"/>
      <w:kern w:val="2"/>
      <w:sz w:val="28"/>
      <w:szCs w:val="28"/>
      <w:lang w:eastAsia="zh-CN"/>
    </w:rPr>
  </w:style>
  <w:style w:type="paragraph" w:customStyle="1" w:styleId="453">
    <w:name w:val="General"/>
    <w:basedOn w:val="29"/>
    <w:qFormat/>
    <w:uiPriority w:val="0"/>
    <w:pPr>
      <w:widowControl w:val="0"/>
      <w:tabs>
        <w:tab w:val="left" w:pos="1418"/>
        <w:tab w:val="clear" w:pos="993"/>
      </w:tabs>
      <w:adjustRightInd w:val="0"/>
      <w:spacing w:line="320" w:lineRule="atLeast"/>
      <w:ind w:left="1416" w:leftChars="0" w:hanging="1416" w:hangingChars="590"/>
      <w:textAlignment w:val="baseline"/>
    </w:pPr>
    <w:rPr>
      <w:rFonts w:ascii="Calibri" w:hAnsi="Calibri" w:eastAsia="Mincho"/>
      <w:b w:val="0"/>
      <w:sz w:val="24"/>
      <w:szCs w:val="24"/>
      <w:lang w:eastAsia="ja-JP"/>
    </w:rPr>
  </w:style>
  <w:style w:type="paragraph" w:customStyle="1" w:styleId="454">
    <w:name w:val="xl62"/>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right"/>
    </w:pPr>
    <w:rPr>
      <w:rFonts w:ascii="宋体" w:hAnsi="宋体"/>
      <w:color w:val="FF0000"/>
      <w:lang w:eastAsia="zh-CN"/>
    </w:rPr>
  </w:style>
  <w:style w:type="paragraph" w:customStyle="1" w:styleId="455">
    <w:name w:val="0C - PS Ceda"/>
    <w:basedOn w:val="1"/>
    <w:qFormat/>
    <w:uiPriority w:val="0"/>
    <w:pPr>
      <w:widowControl/>
      <w:tabs>
        <w:tab w:val="left" w:pos="1418"/>
        <w:tab w:val="left" w:pos="6521"/>
      </w:tabs>
      <w:jc w:val="both"/>
    </w:pPr>
    <w:rPr>
      <w:rFonts w:ascii="Arial" w:hAnsi="Arial"/>
      <w:szCs w:val="20"/>
      <w:lang w:val="en-GB" w:eastAsia="zh-CN"/>
    </w:rPr>
  </w:style>
  <w:style w:type="paragraph" w:customStyle="1" w:styleId="456">
    <w:name w:val="xl52"/>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pPr>
    <w:rPr>
      <w:rFonts w:ascii="宋体" w:hAnsi="宋体"/>
      <w:lang w:eastAsia="zh-CN"/>
    </w:rPr>
  </w:style>
  <w:style w:type="paragraph" w:customStyle="1" w:styleId="457">
    <w:name w:val="xl60"/>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right"/>
    </w:pPr>
    <w:rPr>
      <w:rFonts w:ascii="宋体" w:hAnsi="宋体"/>
      <w:color w:val="FF0000"/>
      <w:lang w:eastAsia="zh-CN"/>
    </w:rPr>
  </w:style>
  <w:style w:type="paragraph" w:customStyle="1" w:styleId="458">
    <w:name w:val="标题A"/>
    <w:basedOn w:val="1"/>
    <w:qFormat/>
    <w:uiPriority w:val="0"/>
    <w:pPr>
      <w:autoSpaceDE w:val="0"/>
      <w:autoSpaceDN w:val="0"/>
      <w:ind w:left="720" w:right="-866"/>
    </w:pPr>
    <w:rPr>
      <w:rFonts w:hAnsi="Arial" w:eastAsia="黑体"/>
      <w:i/>
      <w:iCs/>
      <w:kern w:val="2"/>
      <w:sz w:val="28"/>
      <w:szCs w:val="28"/>
      <w:lang w:eastAsia="zh-CN"/>
    </w:rPr>
  </w:style>
  <w:style w:type="paragraph" w:customStyle="1" w:styleId="459">
    <w:name w:val="_Style 429"/>
    <w:qFormat/>
    <w:uiPriority w:val="0"/>
    <w:pPr>
      <w:widowControl w:val="0"/>
    </w:pPr>
    <w:rPr>
      <w:rFonts w:ascii="Calibri" w:hAnsi="Calibri" w:eastAsia="宋体" w:cs="Times New Roman"/>
      <w:sz w:val="22"/>
      <w:szCs w:val="22"/>
      <w:lang w:val="en-US" w:eastAsia="en-US" w:bidi="ar-SA"/>
    </w:rPr>
  </w:style>
  <w:style w:type="paragraph" w:customStyle="1" w:styleId="460">
    <w:name w:val="CM53"/>
    <w:basedOn w:val="84"/>
    <w:next w:val="84"/>
    <w:qFormat/>
    <w:uiPriority w:val="0"/>
    <w:pPr>
      <w:spacing w:line="400" w:lineRule="atLeast"/>
    </w:pPr>
    <w:rPr>
      <w:rFonts w:ascii="Calibri" w:cs="Times New Roman"/>
      <w:color w:val="auto"/>
    </w:rPr>
  </w:style>
  <w:style w:type="paragraph" w:customStyle="1" w:styleId="461">
    <w:name w:val="字元 字元1"/>
    <w:basedOn w:val="1"/>
    <w:qFormat/>
    <w:uiPriority w:val="0"/>
    <w:pPr>
      <w:jc w:val="both"/>
    </w:pPr>
    <w:rPr>
      <w:rFonts w:ascii="Times New Roman" w:hAnsi="Times New Roman"/>
      <w:kern w:val="2"/>
      <w:sz w:val="21"/>
      <w:szCs w:val="24"/>
      <w:lang w:eastAsia="zh-CN"/>
    </w:rPr>
  </w:style>
  <w:style w:type="paragraph" w:customStyle="1" w:styleId="462">
    <w:name w:val="BankNormal"/>
    <w:qFormat/>
    <w:uiPriority w:val="0"/>
    <w:pPr>
      <w:tabs>
        <w:tab w:val="left" w:pos="-720"/>
      </w:tabs>
      <w:suppressAutoHyphens/>
    </w:pPr>
    <w:rPr>
      <w:rFonts w:ascii="CG Times" w:hAnsi="CG Times" w:eastAsia="宋体" w:cs="Times New Roman"/>
      <w:sz w:val="22"/>
      <w:lang w:val="en-US" w:eastAsia="zh-CN" w:bidi="ar-SA"/>
    </w:rPr>
  </w:style>
  <w:style w:type="paragraph" w:customStyle="1" w:styleId="463">
    <w:name w:val="xl195"/>
    <w:basedOn w:val="1"/>
    <w:qFormat/>
    <w:uiPriority w:val="0"/>
    <w:pPr>
      <w:widowControl/>
      <w:pBdr>
        <w:bottom w:val="single" w:color="auto" w:sz="8"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464">
    <w:name w:val="Char3"/>
    <w:basedOn w:val="1"/>
    <w:qFormat/>
    <w:uiPriority w:val="0"/>
    <w:pPr>
      <w:jc w:val="both"/>
    </w:pPr>
    <w:rPr>
      <w:rFonts w:ascii="Tahoma" w:hAnsi="Tahoma"/>
      <w:kern w:val="2"/>
      <w:sz w:val="24"/>
      <w:szCs w:val="20"/>
      <w:lang w:eastAsia="zh-CN"/>
    </w:rPr>
  </w:style>
  <w:style w:type="paragraph" w:customStyle="1" w:styleId="465">
    <w:name w:val="xl153"/>
    <w:basedOn w:val="1"/>
    <w:qFormat/>
    <w:uiPriority w:val="0"/>
    <w:pPr>
      <w:widowControl/>
      <w:pBdr>
        <w:left w:val="single" w:color="auto" w:sz="8"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466">
    <w:name w:val="Char Char Char Char Char Char Char Char Char Char Char Char Char Char Char Char Char Char"/>
    <w:basedOn w:val="1"/>
    <w:qFormat/>
    <w:uiPriority w:val="0"/>
    <w:pPr>
      <w:widowControl/>
      <w:spacing w:after="160" w:line="240" w:lineRule="exact"/>
    </w:pPr>
    <w:rPr>
      <w:rFonts w:ascii="Verdana" w:hAnsi="Verdana" w:eastAsia="仿宋_GB2312" w:cs="Verdana"/>
      <w:sz w:val="24"/>
      <w:szCs w:val="24"/>
    </w:rPr>
  </w:style>
  <w:style w:type="paragraph" w:customStyle="1" w:styleId="467">
    <w:name w:val="xl135"/>
    <w:basedOn w:val="1"/>
    <w:qFormat/>
    <w:uiPriority w:val="0"/>
    <w:pPr>
      <w:widowControl/>
      <w:pBdr>
        <w:top w:val="single" w:color="auto" w:sz="4" w:space="0"/>
        <w:left w:val="single" w:color="auto" w:sz="8" w:space="0"/>
        <w:bottom w:val="single" w:color="auto" w:sz="4" w:space="0"/>
        <w:right w:val="single" w:color="auto" w:sz="8" w:space="0"/>
      </w:pBdr>
      <w:spacing w:before="100" w:beforeAutospacing="1" w:after="100" w:afterAutospacing="1"/>
    </w:pPr>
    <w:rPr>
      <w:rFonts w:ascii="Arial" w:hAnsi="Arial" w:eastAsia="Arial Unicode MS" w:cs="Arial"/>
      <w:sz w:val="24"/>
      <w:szCs w:val="24"/>
      <w:lang w:eastAsia="zh-CN"/>
    </w:rPr>
  </w:style>
  <w:style w:type="paragraph" w:customStyle="1" w:styleId="468">
    <w:name w:val="xl151"/>
    <w:basedOn w:val="1"/>
    <w:qFormat/>
    <w:uiPriority w:val="0"/>
    <w:pPr>
      <w:widowControl/>
      <w:pBdr>
        <w:left w:val="single" w:color="auto" w:sz="4" w:space="0"/>
        <w:bottom w:val="single" w:color="auto" w:sz="8" w:space="0"/>
        <w:right w:val="single" w:color="auto" w:sz="8"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469">
    <w:name w:val="CM81"/>
    <w:basedOn w:val="84"/>
    <w:next w:val="84"/>
    <w:qFormat/>
    <w:uiPriority w:val="0"/>
    <w:pPr>
      <w:spacing w:line="440" w:lineRule="atLeast"/>
    </w:pPr>
    <w:rPr>
      <w:rFonts w:ascii="Calibri" w:cs="Times New Roman"/>
      <w:color w:val="auto"/>
    </w:rPr>
  </w:style>
  <w:style w:type="paragraph" w:customStyle="1" w:styleId="470">
    <w:name w:val="xl168"/>
    <w:basedOn w:val="1"/>
    <w:qFormat/>
    <w:uiPriority w:val="0"/>
    <w:pPr>
      <w:widowControl/>
      <w:pBdr>
        <w:left w:val="single" w:color="auto" w:sz="4"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471">
    <w:name w:val="CM6"/>
    <w:basedOn w:val="84"/>
    <w:next w:val="84"/>
    <w:qFormat/>
    <w:uiPriority w:val="0"/>
    <w:pPr>
      <w:spacing w:line="318" w:lineRule="atLeast"/>
    </w:pPr>
    <w:rPr>
      <w:rFonts w:ascii="Calibri" w:cs="Times New Roman"/>
      <w:color w:val="auto"/>
    </w:rPr>
  </w:style>
  <w:style w:type="paragraph" w:customStyle="1" w:styleId="472">
    <w:name w:val="xl165"/>
    <w:basedOn w:val="1"/>
    <w:qFormat/>
    <w:uiPriority w:val="0"/>
    <w:pPr>
      <w:widowControl/>
      <w:pBdr>
        <w:top w:val="single" w:color="auto" w:sz="8" w:space="0"/>
        <w:left w:val="single" w:color="auto" w:sz="4"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473">
    <w:name w:val="xl121"/>
    <w:basedOn w:val="1"/>
    <w:qFormat/>
    <w:uiPriority w:val="0"/>
    <w:pPr>
      <w:widowControl/>
      <w:pBdr>
        <w:top w:val="single" w:color="auto" w:sz="4" w:space="0"/>
        <w:left w:val="single" w:color="auto" w:sz="8" w:space="0"/>
        <w:bottom w:val="single" w:color="auto" w:sz="4" w:space="0"/>
      </w:pBdr>
      <w:shd w:val="clear" w:color="auto" w:fill="FFFF99"/>
      <w:spacing w:before="100" w:beforeAutospacing="1" w:after="100" w:afterAutospacing="1"/>
      <w:jc w:val="right"/>
    </w:pPr>
    <w:rPr>
      <w:rFonts w:ascii="Arial" w:hAnsi="Arial" w:eastAsia="Arial Unicode MS" w:cs="Arial"/>
      <w:b/>
      <w:bCs/>
      <w:sz w:val="24"/>
      <w:szCs w:val="24"/>
      <w:lang w:eastAsia="zh-CN"/>
    </w:rPr>
  </w:style>
  <w:style w:type="paragraph" w:customStyle="1" w:styleId="474">
    <w:name w:val="xl3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b/>
      <w:bCs/>
      <w:lang w:eastAsia="zh-CN"/>
    </w:rPr>
  </w:style>
  <w:style w:type="paragraph" w:customStyle="1" w:styleId="475">
    <w:name w:val="xl158"/>
    <w:basedOn w:val="1"/>
    <w:qFormat/>
    <w:uiPriority w:val="0"/>
    <w:pPr>
      <w:widowControl/>
      <w:pBdr>
        <w:top w:val="single" w:color="auto" w:sz="4" w:space="0"/>
        <w:bottom w:val="single" w:color="auto" w:sz="4"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476">
    <w:name w:val="正文31"/>
    <w:qFormat/>
    <w:uiPriority w:val="0"/>
    <w:pPr>
      <w:widowControl w:val="0"/>
      <w:adjustRightInd w:val="0"/>
      <w:spacing w:line="240" w:lineRule="atLeast"/>
      <w:jc w:val="both"/>
      <w:textAlignment w:val="baseline"/>
    </w:pPr>
    <w:rPr>
      <w:rFonts w:ascii="宋体" w:hAnsi="Times New Roman" w:eastAsia="宋体" w:cs="Times New Roman"/>
      <w:sz w:val="34"/>
      <w:lang w:val="en-US" w:eastAsia="zh-CN" w:bidi="ar-SA"/>
    </w:rPr>
  </w:style>
  <w:style w:type="paragraph" w:customStyle="1" w:styleId="477">
    <w:name w:val="xl24"/>
    <w:basedOn w:val="1"/>
    <w:qFormat/>
    <w:uiPriority w:val="0"/>
    <w:pPr>
      <w:widowControl/>
      <w:pBdr>
        <w:top w:val="single" w:color="auto" w:sz="8" w:space="0"/>
        <w:left w:val="single" w:color="auto" w:sz="8" w:space="0"/>
        <w:bottom w:val="single" w:color="auto" w:sz="4" w:space="0"/>
        <w:right w:val="single" w:color="auto" w:sz="4" w:space="0"/>
      </w:pBdr>
      <w:shd w:val="clear" w:color="auto" w:fill="FFFFFF"/>
      <w:spacing w:before="100" w:beforeAutospacing="1" w:after="100" w:afterAutospacing="1"/>
      <w:jc w:val="center"/>
    </w:pPr>
    <w:rPr>
      <w:rFonts w:ascii="宋体" w:hAnsi="宋体"/>
      <w:b/>
      <w:bCs/>
      <w:lang w:eastAsia="zh-CN"/>
    </w:rPr>
  </w:style>
  <w:style w:type="paragraph" w:customStyle="1" w:styleId="478">
    <w:name w:val="xl190"/>
    <w:basedOn w:val="1"/>
    <w:qFormat/>
    <w:uiPriority w:val="0"/>
    <w:pPr>
      <w:widowControl/>
      <w:pBdr>
        <w:left w:val="single" w:color="auto" w:sz="4" w:space="0"/>
        <w:bottom w:val="single" w:color="auto" w:sz="8"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479">
    <w:name w:val="xl25"/>
    <w:basedOn w:val="1"/>
    <w:qFormat/>
    <w:uiPriority w:val="0"/>
    <w:pPr>
      <w:widowControl/>
      <w:pBdr>
        <w:top w:val="single" w:color="auto" w:sz="8"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b/>
      <w:bCs/>
      <w:lang w:eastAsia="zh-CN"/>
    </w:rPr>
  </w:style>
  <w:style w:type="paragraph" w:customStyle="1" w:styleId="480">
    <w:name w:val="Legal 3"/>
    <w:basedOn w:val="1"/>
    <w:qFormat/>
    <w:uiPriority w:val="0"/>
    <w:pPr>
      <w:tabs>
        <w:tab w:val="left" w:pos="1620"/>
      </w:tabs>
      <w:spacing w:after="120"/>
      <w:jc w:val="both"/>
      <w:outlineLvl w:val="2"/>
    </w:pPr>
    <w:rPr>
      <w:rFonts w:ascii="Times New Roman" w:hAnsi="Times New Roman"/>
      <w:szCs w:val="20"/>
    </w:rPr>
  </w:style>
  <w:style w:type="paragraph" w:customStyle="1" w:styleId="481">
    <w:name w:val="封面样式3"/>
    <w:basedOn w:val="1"/>
    <w:qFormat/>
    <w:uiPriority w:val="0"/>
    <w:pPr>
      <w:spacing w:line="440" w:lineRule="exact"/>
      <w:ind w:firstLine="630" w:firstLineChars="300"/>
    </w:pPr>
    <w:rPr>
      <w:rFonts w:ascii="华文细黑" w:hAnsi="华文细黑" w:cs="Arial"/>
      <w:sz w:val="21"/>
      <w:szCs w:val="21"/>
      <w:lang w:eastAsia="zh-CN"/>
    </w:rPr>
  </w:style>
  <w:style w:type="paragraph" w:customStyle="1" w:styleId="482">
    <w:name w:val="Char Char Char Char Char Char Char Char Char Char"/>
    <w:basedOn w:val="1"/>
    <w:qFormat/>
    <w:uiPriority w:val="0"/>
    <w:pPr>
      <w:jc w:val="both"/>
    </w:pPr>
    <w:rPr>
      <w:rFonts w:ascii="Tahoma" w:hAnsi="Tahoma"/>
      <w:kern w:val="2"/>
      <w:sz w:val="24"/>
      <w:szCs w:val="20"/>
      <w:lang w:eastAsia="zh-CN"/>
    </w:rPr>
  </w:style>
  <w:style w:type="paragraph" w:customStyle="1" w:styleId="483">
    <w:name w:val="font11"/>
    <w:basedOn w:val="1"/>
    <w:qFormat/>
    <w:uiPriority w:val="0"/>
    <w:pPr>
      <w:widowControl/>
      <w:spacing w:before="100" w:beforeAutospacing="1" w:after="100" w:afterAutospacing="1"/>
    </w:pPr>
    <w:rPr>
      <w:rFonts w:ascii="Times New Roman" w:hAnsi="Times New Roman"/>
      <w:b/>
      <w:bCs/>
      <w:sz w:val="24"/>
      <w:szCs w:val="24"/>
      <w:lang w:eastAsia="zh-CN"/>
    </w:rPr>
  </w:style>
  <w:style w:type="paragraph" w:customStyle="1" w:styleId="484">
    <w:name w:val="CM29"/>
    <w:basedOn w:val="84"/>
    <w:next w:val="84"/>
    <w:qFormat/>
    <w:uiPriority w:val="0"/>
    <w:pPr>
      <w:spacing w:line="400" w:lineRule="atLeast"/>
    </w:pPr>
    <w:rPr>
      <w:rFonts w:ascii="Calibri" w:cs="Times New Roman"/>
      <w:color w:val="auto"/>
    </w:rPr>
  </w:style>
  <w:style w:type="paragraph" w:customStyle="1" w:styleId="485">
    <w:name w:val="xl127"/>
    <w:basedOn w:val="1"/>
    <w:qFormat/>
    <w:uiPriority w:val="0"/>
    <w:pPr>
      <w:widowControl/>
      <w:pBdr>
        <w:top w:val="single" w:color="auto" w:sz="4" w:space="0"/>
        <w:bottom w:val="single" w:color="auto" w:sz="4" w:space="0"/>
        <w:right w:val="single" w:color="auto" w:sz="4" w:space="0"/>
      </w:pBdr>
      <w:shd w:val="clear" w:color="auto" w:fill="FFFF99"/>
      <w:spacing w:before="100" w:beforeAutospacing="1" w:after="100" w:afterAutospacing="1"/>
      <w:jc w:val="center"/>
    </w:pPr>
    <w:rPr>
      <w:rFonts w:ascii="Arial" w:hAnsi="Arial" w:eastAsia="Arial Unicode MS" w:cs="Arial"/>
      <w:b/>
      <w:bCs/>
      <w:sz w:val="24"/>
      <w:szCs w:val="24"/>
      <w:lang w:eastAsia="zh-CN"/>
    </w:rPr>
  </w:style>
  <w:style w:type="paragraph" w:customStyle="1" w:styleId="486">
    <w:name w:val="CM5"/>
    <w:basedOn w:val="84"/>
    <w:next w:val="84"/>
    <w:qFormat/>
    <w:uiPriority w:val="0"/>
    <w:pPr>
      <w:spacing w:line="180" w:lineRule="atLeast"/>
    </w:pPr>
    <w:rPr>
      <w:rFonts w:ascii="Times New Roman" w:hAnsi="Times New Roman" w:cs="Times New Roman"/>
      <w:color w:val="auto"/>
    </w:rPr>
  </w:style>
  <w:style w:type="paragraph" w:customStyle="1" w:styleId="487">
    <w:name w:val="日期11"/>
    <w:basedOn w:val="1"/>
    <w:next w:val="1"/>
    <w:qFormat/>
    <w:uiPriority w:val="0"/>
    <w:pPr>
      <w:adjustRightInd w:val="0"/>
      <w:spacing w:line="360" w:lineRule="atLeast"/>
      <w:jc w:val="both"/>
      <w:textAlignment w:val="baseline"/>
    </w:pPr>
    <w:rPr>
      <w:rFonts w:ascii="宋体" w:hAnsi="Times New Roman"/>
      <w:sz w:val="28"/>
      <w:szCs w:val="20"/>
      <w:lang w:eastAsia="zh-CN"/>
    </w:rPr>
  </w:style>
  <w:style w:type="paragraph" w:customStyle="1" w:styleId="488">
    <w:name w:val="xl79"/>
    <w:basedOn w:val="1"/>
    <w:qFormat/>
    <w:uiPriority w:val="0"/>
    <w:pPr>
      <w:widowControl/>
      <w:spacing w:before="100" w:beforeAutospacing="1" w:after="100" w:afterAutospacing="1"/>
    </w:pPr>
    <w:rPr>
      <w:rFonts w:ascii="宋体" w:hAnsi="宋体"/>
      <w:sz w:val="18"/>
      <w:szCs w:val="18"/>
      <w:lang w:eastAsia="zh-CN"/>
    </w:rPr>
  </w:style>
  <w:style w:type="paragraph" w:customStyle="1" w:styleId="489">
    <w:name w:val="Char Char Char Char Char Char Char1"/>
    <w:basedOn w:val="1"/>
    <w:qFormat/>
    <w:uiPriority w:val="0"/>
    <w:pPr>
      <w:jc w:val="both"/>
    </w:pPr>
    <w:rPr>
      <w:rFonts w:ascii="Times New Roman" w:hAnsi="Times New Roman"/>
      <w:kern w:val="2"/>
      <w:sz w:val="21"/>
      <w:szCs w:val="30"/>
      <w:lang w:eastAsia="zh-CN"/>
    </w:rPr>
  </w:style>
  <w:style w:type="paragraph" w:customStyle="1" w:styleId="490">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Times New Roman" w:hAnsi="Times New Roman"/>
      <w:b/>
      <w:bCs/>
      <w:color w:val="FF0000"/>
      <w:lang w:eastAsia="zh-CN"/>
    </w:rPr>
  </w:style>
  <w:style w:type="paragraph" w:customStyle="1" w:styleId="491">
    <w:name w:val="Identation 2"/>
    <w:qFormat/>
    <w:uiPriority w:val="0"/>
    <w:pPr>
      <w:overflowPunct w:val="0"/>
      <w:autoSpaceDE w:val="0"/>
      <w:autoSpaceDN w:val="0"/>
      <w:adjustRightInd w:val="0"/>
      <w:spacing w:before="120" w:after="60" w:line="288" w:lineRule="auto"/>
      <w:ind w:left="432"/>
      <w:jc w:val="both"/>
      <w:textAlignment w:val="baseline"/>
    </w:pPr>
    <w:rPr>
      <w:rFonts w:ascii="Times New Roman" w:hAnsi="Times New Roman" w:eastAsia="楷体_GB2312" w:cs="Times New Roman"/>
      <w:color w:val="000000"/>
      <w:sz w:val="24"/>
      <w:lang w:val="en-US" w:eastAsia="zh-CN" w:bidi="ar-SA"/>
    </w:rPr>
  </w:style>
  <w:style w:type="paragraph" w:customStyle="1" w:styleId="492">
    <w:name w:val="xl6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Times New Roman" w:hAnsi="Times New Roman"/>
      <w:b/>
      <w:bCs/>
      <w:color w:val="FF0000"/>
      <w:lang w:eastAsia="zh-CN"/>
    </w:rPr>
  </w:style>
  <w:style w:type="paragraph" w:customStyle="1" w:styleId="493">
    <w:name w:val="CM57"/>
    <w:basedOn w:val="84"/>
    <w:next w:val="84"/>
    <w:qFormat/>
    <w:uiPriority w:val="0"/>
    <w:pPr>
      <w:spacing w:line="400" w:lineRule="atLeast"/>
    </w:pPr>
    <w:rPr>
      <w:rFonts w:ascii="Calibri" w:cs="Times New Roman"/>
      <w:color w:val="auto"/>
    </w:rPr>
  </w:style>
  <w:style w:type="paragraph" w:customStyle="1" w:styleId="494">
    <w:name w:val="样式 首行缩进:  2 字符"/>
    <w:basedOn w:val="1"/>
    <w:qFormat/>
    <w:uiPriority w:val="0"/>
    <w:pPr>
      <w:tabs>
        <w:tab w:val="left" w:pos="770"/>
        <w:tab w:val="left" w:pos="4660"/>
      </w:tabs>
      <w:adjustRightInd w:val="0"/>
      <w:snapToGrid w:val="0"/>
      <w:spacing w:line="360" w:lineRule="auto"/>
      <w:ind w:firstLine="560" w:firstLineChars="200"/>
    </w:pPr>
    <w:rPr>
      <w:rFonts w:ascii="宋体" w:hAnsi="宋体" w:cs="宋体"/>
      <w:kern w:val="2"/>
      <w:sz w:val="28"/>
      <w:szCs w:val="20"/>
      <w:lang w:eastAsia="zh-CN"/>
    </w:rPr>
  </w:style>
  <w:style w:type="paragraph" w:customStyle="1" w:styleId="495">
    <w:name w:val="Char Char Char Char Char Char1 Char Char"/>
    <w:basedOn w:val="1"/>
    <w:qFormat/>
    <w:uiPriority w:val="0"/>
    <w:pPr>
      <w:jc w:val="both"/>
    </w:pPr>
    <w:rPr>
      <w:rFonts w:ascii="Times New Roman" w:hAnsi="Times New Roman"/>
      <w:kern w:val="2"/>
      <w:sz w:val="21"/>
      <w:szCs w:val="24"/>
      <w:lang w:eastAsia="zh-CN"/>
    </w:rPr>
  </w:style>
  <w:style w:type="paragraph" w:customStyle="1" w:styleId="496">
    <w:name w:val="xl78"/>
    <w:basedOn w:val="1"/>
    <w:qFormat/>
    <w:uiPriority w:val="0"/>
    <w:pPr>
      <w:widowControl/>
      <w:spacing w:before="100" w:beforeAutospacing="1" w:after="100" w:afterAutospacing="1"/>
    </w:pPr>
    <w:rPr>
      <w:rFonts w:ascii="Times New Roman" w:hAnsi="Times New Roman"/>
      <w:b/>
      <w:bCs/>
      <w:lang w:eastAsia="zh-CN"/>
    </w:rPr>
  </w:style>
  <w:style w:type="paragraph" w:customStyle="1" w:styleId="497">
    <w:name w:val="xl93"/>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right"/>
    </w:pPr>
    <w:rPr>
      <w:rFonts w:ascii="宋体" w:hAnsi="宋体"/>
      <w:b/>
      <w:bCs/>
      <w:lang w:eastAsia="zh-CN"/>
    </w:rPr>
  </w:style>
  <w:style w:type="paragraph" w:customStyle="1" w:styleId="498">
    <w:name w:val="xl126"/>
    <w:basedOn w:val="1"/>
    <w:qFormat/>
    <w:uiPriority w:val="0"/>
    <w:pPr>
      <w:widowControl/>
      <w:pBdr>
        <w:top w:val="single" w:color="auto" w:sz="4" w:space="0"/>
        <w:left w:val="single" w:color="auto" w:sz="4" w:space="0"/>
        <w:bottom w:val="single" w:color="auto" w:sz="4" w:space="0"/>
        <w:right w:val="single" w:color="auto" w:sz="8" w:space="0"/>
      </w:pBdr>
      <w:shd w:val="clear" w:color="auto" w:fill="FFFF99"/>
      <w:spacing w:before="100" w:beforeAutospacing="1" w:after="100" w:afterAutospacing="1"/>
      <w:jc w:val="center"/>
    </w:pPr>
    <w:rPr>
      <w:rFonts w:ascii="Arial" w:hAnsi="Arial" w:eastAsia="Arial Unicode MS" w:cs="Arial"/>
      <w:b/>
      <w:bCs/>
      <w:sz w:val="24"/>
      <w:szCs w:val="24"/>
      <w:lang w:eastAsia="zh-CN"/>
    </w:rPr>
  </w:style>
  <w:style w:type="paragraph" w:customStyle="1" w:styleId="499">
    <w:name w:val="CM80"/>
    <w:basedOn w:val="84"/>
    <w:next w:val="84"/>
    <w:qFormat/>
    <w:uiPriority w:val="0"/>
    <w:pPr>
      <w:spacing w:line="440" w:lineRule="atLeast"/>
    </w:pPr>
    <w:rPr>
      <w:rFonts w:ascii="Calibri" w:cs="Times New Roman"/>
      <w:color w:val="auto"/>
    </w:rPr>
  </w:style>
  <w:style w:type="paragraph" w:customStyle="1" w:styleId="500">
    <w:name w:val="CM4"/>
    <w:basedOn w:val="84"/>
    <w:next w:val="84"/>
    <w:qFormat/>
    <w:uiPriority w:val="0"/>
    <w:rPr>
      <w:rFonts w:ascii="Calibri" w:cs="Times New Roman"/>
      <w:color w:val="auto"/>
    </w:rPr>
  </w:style>
  <w:style w:type="paragraph" w:customStyle="1" w:styleId="501">
    <w:name w:val="CM24"/>
    <w:basedOn w:val="84"/>
    <w:next w:val="84"/>
    <w:qFormat/>
    <w:uiPriority w:val="0"/>
    <w:pPr>
      <w:spacing w:line="440" w:lineRule="atLeast"/>
    </w:pPr>
    <w:rPr>
      <w:rFonts w:ascii="Calibri" w:cs="Times New Roman"/>
      <w:color w:val="auto"/>
    </w:rPr>
  </w:style>
  <w:style w:type="paragraph" w:customStyle="1" w:styleId="502">
    <w:name w:val="xl23"/>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lang w:eastAsia="zh-CN"/>
    </w:rPr>
  </w:style>
  <w:style w:type="paragraph" w:customStyle="1" w:styleId="503">
    <w:name w:val="字元 字元12"/>
    <w:basedOn w:val="1"/>
    <w:qFormat/>
    <w:uiPriority w:val="0"/>
    <w:pPr>
      <w:jc w:val="both"/>
    </w:pPr>
    <w:rPr>
      <w:rFonts w:ascii="Times New Roman" w:hAnsi="Times New Roman"/>
      <w:kern w:val="2"/>
      <w:sz w:val="21"/>
      <w:szCs w:val="24"/>
      <w:lang w:eastAsia="zh-CN"/>
    </w:rPr>
  </w:style>
  <w:style w:type="paragraph" w:customStyle="1" w:styleId="504">
    <w:name w:val="font9"/>
    <w:basedOn w:val="1"/>
    <w:qFormat/>
    <w:uiPriority w:val="0"/>
    <w:pPr>
      <w:widowControl/>
      <w:spacing w:before="100" w:beforeAutospacing="1" w:after="100" w:afterAutospacing="1"/>
    </w:pPr>
    <w:rPr>
      <w:rFonts w:ascii="Times New Roman" w:hAnsi="Times New Roman"/>
      <w:lang w:eastAsia="zh-CN"/>
    </w:rPr>
  </w:style>
  <w:style w:type="paragraph" w:customStyle="1" w:styleId="505">
    <w:name w:val="Char Char Char Char Char Char1 Char Char1"/>
    <w:basedOn w:val="1"/>
    <w:qFormat/>
    <w:uiPriority w:val="0"/>
    <w:pPr>
      <w:jc w:val="both"/>
    </w:pPr>
    <w:rPr>
      <w:rFonts w:ascii="Times New Roman" w:hAnsi="Times New Roman"/>
      <w:kern w:val="2"/>
      <w:sz w:val="21"/>
      <w:szCs w:val="24"/>
      <w:lang w:eastAsia="zh-CN"/>
    </w:rPr>
  </w:style>
  <w:style w:type="paragraph" w:customStyle="1" w:styleId="506">
    <w:name w:val="xl98"/>
    <w:basedOn w:val="1"/>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b/>
      <w:bCs/>
      <w:lang w:eastAsia="zh-CN"/>
    </w:rPr>
  </w:style>
  <w:style w:type="paragraph" w:customStyle="1" w:styleId="507">
    <w:name w:val="xl77"/>
    <w:basedOn w:val="1"/>
    <w:qFormat/>
    <w:uiPriority w:val="0"/>
    <w:pPr>
      <w:widowControl/>
      <w:spacing w:before="100" w:beforeAutospacing="1" w:after="100" w:afterAutospacing="1"/>
    </w:pPr>
    <w:rPr>
      <w:rFonts w:ascii="Times New Roman" w:hAnsi="Times New Roman"/>
      <w:b/>
      <w:bCs/>
      <w:sz w:val="18"/>
      <w:szCs w:val="18"/>
      <w:lang w:eastAsia="zh-CN"/>
    </w:rPr>
  </w:style>
  <w:style w:type="paragraph" w:customStyle="1" w:styleId="508">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Times New Roman" w:hAnsi="Times New Roman"/>
      <w:b/>
      <w:bCs/>
      <w:color w:val="FF0000"/>
      <w:lang w:eastAsia="zh-CN"/>
    </w:rPr>
  </w:style>
  <w:style w:type="paragraph" w:customStyle="1" w:styleId="509">
    <w:name w:val="xl170"/>
    <w:basedOn w:val="1"/>
    <w:qFormat/>
    <w:uiPriority w:val="0"/>
    <w:pPr>
      <w:widowControl/>
      <w:pBdr>
        <w:top w:val="single" w:color="auto" w:sz="8" w:space="0"/>
        <w:lef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510">
    <w:name w:val="xl11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511">
    <w:name w:val="Char41"/>
    <w:basedOn w:val="1"/>
    <w:qFormat/>
    <w:uiPriority w:val="0"/>
    <w:pPr>
      <w:jc w:val="both"/>
    </w:pPr>
    <w:rPr>
      <w:rFonts w:ascii="Tahoma" w:hAnsi="Tahoma"/>
      <w:kern w:val="2"/>
      <w:sz w:val="24"/>
      <w:szCs w:val="20"/>
      <w:lang w:eastAsia="zh-CN"/>
    </w:rPr>
  </w:style>
  <w:style w:type="paragraph" w:customStyle="1" w:styleId="512">
    <w:name w:val="修订1"/>
    <w:qFormat/>
    <w:uiPriority w:val="0"/>
    <w:rPr>
      <w:rFonts w:ascii="Times New Roman" w:hAnsi="Times New Roman" w:eastAsia="宋体" w:cs="Times New Roman"/>
      <w:lang w:val="en-US" w:eastAsia="zh-CN" w:bidi="ar-SA"/>
    </w:rPr>
  </w:style>
  <w:style w:type="paragraph" w:customStyle="1" w:styleId="513">
    <w:name w:val="xl2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pPr>
    <w:rPr>
      <w:rFonts w:ascii="宋体" w:hAnsi="宋体"/>
      <w:b/>
      <w:bCs/>
      <w:lang w:eastAsia="zh-CN"/>
    </w:rPr>
  </w:style>
  <w:style w:type="paragraph" w:customStyle="1" w:styleId="514">
    <w:name w:val="样式 正文缩进 + 首行缩进:  2 字符"/>
    <w:basedOn w:val="17"/>
    <w:qFormat/>
    <w:uiPriority w:val="0"/>
    <w:pPr>
      <w:spacing w:line="360" w:lineRule="auto"/>
      <w:ind w:firstLine="200"/>
    </w:pPr>
    <w:rPr>
      <w:rFonts w:ascii="宋体" w:hAnsi="宋体" w:cs="宋体"/>
      <w:sz w:val="24"/>
      <w:szCs w:val="22"/>
      <w:lang w:eastAsia="zh-CN"/>
    </w:rPr>
  </w:style>
  <w:style w:type="paragraph" w:customStyle="1" w:styleId="515">
    <w:name w:val="Legal 5"/>
    <w:basedOn w:val="84"/>
    <w:next w:val="84"/>
    <w:qFormat/>
    <w:uiPriority w:val="0"/>
    <w:pPr>
      <w:spacing w:after="120"/>
    </w:pPr>
    <w:rPr>
      <w:rFonts w:ascii="Calibri" w:cs="Times New Roman"/>
      <w:color w:val="auto"/>
    </w:rPr>
  </w:style>
  <w:style w:type="paragraph" w:customStyle="1" w:styleId="516">
    <w:name w:val="样式 标题 2"/>
    <w:basedOn w:val="1"/>
    <w:next w:val="4"/>
    <w:qFormat/>
    <w:uiPriority w:val="0"/>
    <w:pPr>
      <w:snapToGrid w:val="0"/>
      <w:spacing w:line="360" w:lineRule="auto"/>
      <w:ind w:firstLine="200" w:firstLineChars="200"/>
      <w:jc w:val="both"/>
    </w:pPr>
    <w:rPr>
      <w:rFonts w:ascii="Times New Roman" w:hAnsi="Times New Roman" w:eastAsia="仿宋_GB2312"/>
      <w:kern w:val="2"/>
      <w:sz w:val="32"/>
      <w:szCs w:val="32"/>
      <w:lang w:eastAsia="zh-CN"/>
    </w:rPr>
  </w:style>
  <w:style w:type="paragraph" w:customStyle="1" w:styleId="517">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olor w:val="800000"/>
      <w:lang w:eastAsia="zh-CN"/>
    </w:rPr>
  </w:style>
  <w:style w:type="paragraph" w:customStyle="1" w:styleId="518">
    <w:name w:val="xl186"/>
    <w:basedOn w:val="1"/>
    <w:qFormat/>
    <w:uiPriority w:val="0"/>
    <w:pPr>
      <w:widowControl/>
      <w:pBdr>
        <w:left w:val="single" w:color="auto" w:sz="8"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519">
    <w:name w:val="CM1"/>
    <w:basedOn w:val="84"/>
    <w:next w:val="84"/>
    <w:qFormat/>
    <w:uiPriority w:val="0"/>
    <w:rPr>
      <w:rFonts w:ascii="Calibri" w:cs="Times New Roman"/>
      <w:color w:val="auto"/>
    </w:rPr>
  </w:style>
  <w:style w:type="paragraph" w:customStyle="1" w:styleId="520">
    <w:name w:val="TOC 标题2"/>
    <w:basedOn w:val="2"/>
    <w:next w:val="1"/>
    <w:qFormat/>
    <w:uiPriority w:val="0"/>
    <w:pPr>
      <w:keepNext/>
      <w:keepLines/>
      <w:widowControl/>
      <w:spacing w:before="480" w:line="276" w:lineRule="auto"/>
      <w:ind w:left="171" w:hanging="171" w:hangingChars="171"/>
      <w:outlineLvl w:val="9"/>
    </w:pPr>
    <w:rPr>
      <w:rFonts w:ascii="Cambria" w:hAnsi="Cambria" w:eastAsia="宋体"/>
      <w:color w:val="365F91"/>
      <w:sz w:val="28"/>
      <w:szCs w:val="28"/>
      <w:lang w:eastAsia="zh-CN"/>
    </w:rPr>
  </w:style>
  <w:style w:type="paragraph" w:customStyle="1" w:styleId="521">
    <w:name w:val="Char Char Char Char Char Char Char11"/>
    <w:basedOn w:val="1"/>
    <w:qFormat/>
    <w:uiPriority w:val="0"/>
    <w:pPr>
      <w:jc w:val="both"/>
    </w:pPr>
    <w:rPr>
      <w:rFonts w:ascii="Times New Roman" w:hAnsi="Times New Roman"/>
      <w:kern w:val="2"/>
      <w:sz w:val="21"/>
      <w:szCs w:val="24"/>
      <w:lang w:eastAsia="zh-CN"/>
    </w:rPr>
  </w:style>
  <w:style w:type="paragraph" w:customStyle="1" w:styleId="522">
    <w:name w:val="1"/>
    <w:basedOn w:val="1"/>
    <w:next w:val="35"/>
    <w:qFormat/>
    <w:uiPriority w:val="0"/>
    <w:pPr>
      <w:jc w:val="both"/>
    </w:pPr>
    <w:rPr>
      <w:rFonts w:ascii="宋体" w:hAnsi="Courier New"/>
      <w:kern w:val="2"/>
      <w:sz w:val="21"/>
      <w:szCs w:val="20"/>
      <w:lang w:eastAsia="zh-CN"/>
    </w:rPr>
  </w:style>
  <w:style w:type="paragraph" w:customStyle="1" w:styleId="523">
    <w:name w:val="TOC 标题1"/>
    <w:basedOn w:val="2"/>
    <w:next w:val="1"/>
    <w:qFormat/>
    <w:uiPriority w:val="0"/>
    <w:pPr>
      <w:keepNext/>
      <w:keepLines/>
      <w:widowControl/>
      <w:spacing w:before="480" w:line="276" w:lineRule="auto"/>
      <w:ind w:left="171" w:hanging="171" w:hangingChars="171"/>
      <w:outlineLvl w:val="9"/>
    </w:pPr>
    <w:rPr>
      <w:rFonts w:ascii="Cambria" w:hAnsi="Cambria" w:eastAsia="黑体"/>
      <w:bCs w:val="0"/>
      <w:color w:val="365F91"/>
      <w:kern w:val="2"/>
      <w:sz w:val="28"/>
      <w:szCs w:val="28"/>
      <w:lang w:eastAsia="zh-CN"/>
    </w:rPr>
  </w:style>
  <w:style w:type="paragraph" w:customStyle="1" w:styleId="524">
    <w:name w:val="Char"/>
    <w:basedOn w:val="1"/>
    <w:qFormat/>
    <w:uiPriority w:val="0"/>
    <w:pPr>
      <w:widowControl/>
      <w:spacing w:after="160" w:line="240" w:lineRule="exact"/>
    </w:pPr>
    <w:rPr>
      <w:rFonts w:ascii="Verdana" w:hAnsi="Verdana" w:eastAsia="仿宋_GB2312"/>
      <w:sz w:val="24"/>
      <w:szCs w:val="20"/>
    </w:rPr>
  </w:style>
  <w:style w:type="paragraph" w:customStyle="1" w:styleId="525">
    <w:name w:val="xl176"/>
    <w:basedOn w:val="1"/>
    <w:qFormat/>
    <w:uiPriority w:val="0"/>
    <w:pPr>
      <w:widowControl/>
      <w:pBdr>
        <w:top w:val="single" w:color="auto" w:sz="8" w:space="0"/>
        <w:left w:val="single" w:color="auto" w:sz="8" w:space="0"/>
        <w:bottom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526">
    <w:name w:val="xl32"/>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lang w:eastAsia="zh-CN"/>
    </w:rPr>
  </w:style>
  <w:style w:type="paragraph" w:customStyle="1" w:styleId="527">
    <w:name w:val="xl191"/>
    <w:basedOn w:val="1"/>
    <w:qFormat/>
    <w:uiPriority w:val="0"/>
    <w:pPr>
      <w:widowControl/>
      <w:pBdr>
        <w:lef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528">
    <w:name w:val="列出段落111"/>
    <w:basedOn w:val="1"/>
    <w:qFormat/>
    <w:uiPriority w:val="34"/>
    <w:pPr>
      <w:widowControl/>
      <w:ind w:firstLine="420" w:firstLineChars="200"/>
    </w:pPr>
    <w:rPr>
      <w:rFonts w:cs="Calibri"/>
      <w:kern w:val="2"/>
      <w:sz w:val="21"/>
      <w:szCs w:val="24"/>
      <w:lang w:bidi="en-US"/>
    </w:rPr>
  </w:style>
  <w:style w:type="paragraph" w:customStyle="1" w:styleId="529">
    <w:name w:val="xl130"/>
    <w:basedOn w:val="1"/>
    <w:qFormat/>
    <w:uiPriority w:val="0"/>
    <w:pPr>
      <w:widowControl/>
      <w:pBdr>
        <w:top w:val="single" w:color="auto" w:sz="4" w:space="0"/>
        <w:bottom w:val="single" w:color="auto" w:sz="4" w:space="0"/>
      </w:pBdr>
      <w:shd w:val="clear" w:color="auto" w:fill="FFFF99"/>
      <w:spacing w:before="100" w:beforeAutospacing="1" w:after="100" w:afterAutospacing="1"/>
      <w:jc w:val="center"/>
    </w:pPr>
    <w:rPr>
      <w:rFonts w:ascii="Arial" w:hAnsi="Arial" w:eastAsia="Arial Unicode MS" w:cs="Arial"/>
      <w:b/>
      <w:bCs/>
      <w:sz w:val="24"/>
      <w:szCs w:val="24"/>
      <w:lang w:eastAsia="zh-CN"/>
    </w:rPr>
  </w:style>
  <w:style w:type="paragraph" w:customStyle="1" w:styleId="530">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lang w:eastAsia="zh-CN"/>
    </w:rPr>
  </w:style>
  <w:style w:type="paragraph" w:customStyle="1" w:styleId="531">
    <w:name w:val="font6"/>
    <w:basedOn w:val="1"/>
    <w:qFormat/>
    <w:uiPriority w:val="0"/>
    <w:pPr>
      <w:widowControl/>
      <w:spacing w:before="100" w:beforeAutospacing="1" w:after="100" w:afterAutospacing="1"/>
    </w:pPr>
    <w:rPr>
      <w:rFonts w:ascii="Times New Roman" w:hAnsi="Times New Roman"/>
      <w:lang w:eastAsia="zh-CN"/>
    </w:rPr>
  </w:style>
  <w:style w:type="paragraph" w:customStyle="1" w:styleId="532">
    <w:name w:val="CM102"/>
    <w:basedOn w:val="84"/>
    <w:next w:val="84"/>
    <w:qFormat/>
    <w:uiPriority w:val="0"/>
    <w:pPr>
      <w:spacing w:after="878"/>
    </w:pPr>
    <w:rPr>
      <w:rFonts w:ascii="Calibri" w:cs="Times New Roman"/>
      <w:color w:val="auto"/>
    </w:rPr>
  </w:style>
  <w:style w:type="paragraph" w:customStyle="1" w:styleId="533">
    <w:name w:val="xl91"/>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right"/>
    </w:pPr>
    <w:rPr>
      <w:rFonts w:ascii="宋体" w:hAnsi="宋体"/>
      <w:b/>
      <w:bCs/>
      <w:color w:val="FF0000"/>
      <w:lang w:eastAsia="zh-CN"/>
    </w:rPr>
  </w:style>
  <w:style w:type="paragraph" w:customStyle="1" w:styleId="534">
    <w:name w:val="xl33"/>
    <w:basedOn w:val="1"/>
    <w:qFormat/>
    <w:uiPriority w:val="0"/>
    <w:pPr>
      <w:widowControl/>
      <w:pBdr>
        <w:top w:val="single" w:color="auto" w:sz="4" w:space="0"/>
        <w:left w:val="single" w:color="auto" w:sz="4" w:space="0"/>
        <w:bottom w:val="single" w:color="auto" w:sz="4" w:space="0"/>
        <w:right w:val="single" w:color="auto" w:sz="8" w:space="0"/>
      </w:pBdr>
      <w:shd w:val="clear" w:color="auto" w:fill="FFFFFF"/>
      <w:spacing w:before="100" w:beforeAutospacing="1" w:after="100" w:afterAutospacing="1"/>
    </w:pPr>
    <w:rPr>
      <w:rFonts w:ascii="宋体" w:hAnsi="宋体"/>
      <w:lang w:eastAsia="zh-CN"/>
    </w:rPr>
  </w:style>
  <w:style w:type="paragraph" w:customStyle="1" w:styleId="535">
    <w:name w:val="xl169"/>
    <w:basedOn w:val="1"/>
    <w:qFormat/>
    <w:uiPriority w:val="0"/>
    <w:pPr>
      <w:widowControl/>
      <w:pBdr>
        <w:left w:val="single" w:color="auto" w:sz="4" w:space="0"/>
        <w:bottom w:val="single" w:color="auto" w:sz="8"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536">
    <w:name w:val="三级标题1"/>
    <w:basedOn w:val="1"/>
    <w:qFormat/>
    <w:uiPriority w:val="0"/>
    <w:pPr>
      <w:spacing w:before="60"/>
      <w:ind w:left="2279" w:hanging="720" w:hangingChars="252"/>
      <w:outlineLvl w:val="2"/>
    </w:pPr>
    <w:rPr>
      <w:rFonts w:ascii="Microsoft JhengHei" w:hAnsi="Microsoft JhengHei"/>
      <w:b/>
      <w:bCs/>
      <w:sz w:val="30"/>
      <w:szCs w:val="32"/>
    </w:rPr>
  </w:style>
  <w:style w:type="paragraph" w:customStyle="1" w:styleId="537">
    <w:name w:val="xl36"/>
    <w:basedOn w:val="1"/>
    <w:qFormat/>
    <w:uiPriority w:val="0"/>
    <w:pPr>
      <w:widowControl/>
      <w:pBdr>
        <w:top w:val="single" w:color="auto" w:sz="4" w:space="0"/>
        <w:left w:val="single" w:color="auto" w:sz="8" w:space="0"/>
        <w:bottom w:val="single" w:color="auto" w:sz="4" w:space="0"/>
        <w:right w:val="single" w:color="auto" w:sz="4" w:space="0"/>
      </w:pBdr>
      <w:shd w:val="clear" w:color="auto" w:fill="FFFFFF"/>
      <w:spacing w:before="100" w:beforeAutospacing="1" w:after="100" w:afterAutospacing="1"/>
      <w:jc w:val="center"/>
    </w:pPr>
    <w:rPr>
      <w:rFonts w:ascii="宋体" w:hAnsi="宋体"/>
      <w:lang w:eastAsia="zh-CN"/>
    </w:rPr>
  </w:style>
  <w:style w:type="paragraph" w:customStyle="1" w:styleId="538">
    <w:name w:val="font14"/>
    <w:basedOn w:val="1"/>
    <w:qFormat/>
    <w:uiPriority w:val="0"/>
    <w:pPr>
      <w:widowControl/>
      <w:spacing w:before="100" w:beforeAutospacing="1" w:after="100" w:afterAutospacing="1"/>
    </w:pPr>
    <w:rPr>
      <w:rFonts w:ascii="Times New Roman" w:hAnsi="Times New Roman" w:eastAsia="Arial Unicode MS"/>
      <w:b/>
      <w:bCs/>
      <w:lang w:eastAsia="zh-CN"/>
    </w:rPr>
  </w:style>
  <w:style w:type="paragraph" w:customStyle="1" w:styleId="539">
    <w:name w:val="xl180"/>
    <w:basedOn w:val="1"/>
    <w:qFormat/>
    <w:uiPriority w:val="0"/>
    <w:pPr>
      <w:widowControl/>
      <w:pBdr>
        <w:top w:val="single" w:color="auto" w:sz="8" w:space="0"/>
      </w:pBdr>
      <w:spacing w:before="100" w:beforeAutospacing="1" w:after="100" w:afterAutospacing="1"/>
      <w:jc w:val="center"/>
    </w:pPr>
    <w:rPr>
      <w:rFonts w:hint="eastAsia" w:ascii="宋体" w:hAnsi="宋体" w:cs="Arial Unicode MS"/>
      <w:b/>
      <w:bCs/>
      <w:sz w:val="32"/>
      <w:szCs w:val="32"/>
      <w:lang w:eastAsia="zh-CN"/>
    </w:rPr>
  </w:style>
  <w:style w:type="paragraph" w:customStyle="1" w:styleId="540">
    <w:name w:val="CM104"/>
    <w:basedOn w:val="84"/>
    <w:next w:val="84"/>
    <w:qFormat/>
    <w:uiPriority w:val="0"/>
    <w:pPr>
      <w:spacing w:after="1318"/>
    </w:pPr>
    <w:rPr>
      <w:rFonts w:ascii="Calibri" w:cs="Times New Roman"/>
      <w:color w:val="auto"/>
    </w:rPr>
  </w:style>
  <w:style w:type="paragraph" w:customStyle="1" w:styleId="541">
    <w:name w:val="xl2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pPr>
    <w:rPr>
      <w:rFonts w:ascii="宋体" w:hAnsi="宋体"/>
      <w:b/>
      <w:bCs/>
      <w:lang w:eastAsia="zh-CN"/>
    </w:rPr>
  </w:style>
  <w:style w:type="paragraph" w:customStyle="1" w:styleId="542">
    <w:name w:val="bg1"/>
    <w:basedOn w:val="543"/>
    <w:qFormat/>
    <w:uiPriority w:val="0"/>
    <w:pPr>
      <w:numPr>
        <w:numId w:val="9"/>
      </w:numPr>
      <w:tabs>
        <w:tab w:val="left" w:pos="360"/>
        <w:tab w:val="left" w:pos="425"/>
        <w:tab w:val="left" w:pos="525"/>
      </w:tabs>
      <w:ind w:left="1080" w:hanging="1080"/>
      <w:jc w:val="both"/>
    </w:pPr>
    <w:rPr>
      <w:rFonts w:ascii="Arial Bold" w:hAnsi="Arial Bold" w:eastAsia="宋体"/>
      <w:lang w:eastAsia="zh-CN"/>
    </w:rPr>
  </w:style>
  <w:style w:type="paragraph" w:customStyle="1" w:styleId="543">
    <w:name w:val="Report Level 1"/>
    <w:basedOn w:val="1"/>
    <w:next w:val="544"/>
    <w:qFormat/>
    <w:uiPriority w:val="0"/>
    <w:pPr>
      <w:keepNext/>
      <w:widowControl/>
      <w:numPr>
        <w:ilvl w:val="0"/>
        <w:numId w:val="10"/>
      </w:numPr>
      <w:tabs>
        <w:tab w:val="left" w:pos="360"/>
        <w:tab w:val="clear" w:pos="420"/>
      </w:tabs>
      <w:autoSpaceDE w:val="0"/>
      <w:autoSpaceDN w:val="0"/>
      <w:adjustRightInd w:val="0"/>
      <w:spacing w:before="240" w:after="120"/>
      <w:outlineLvl w:val="0"/>
    </w:pPr>
    <w:rPr>
      <w:rFonts w:ascii="Arial" w:hAnsi="Arial" w:eastAsia="PMingLiU"/>
      <w:b/>
      <w:caps/>
      <w:sz w:val="21"/>
      <w:szCs w:val="20"/>
      <w:lang w:val="en-GB"/>
    </w:rPr>
  </w:style>
  <w:style w:type="paragraph" w:customStyle="1" w:styleId="544">
    <w:name w:val="Report Text"/>
    <w:basedOn w:val="1"/>
    <w:qFormat/>
    <w:uiPriority w:val="0"/>
    <w:pPr>
      <w:widowControl/>
      <w:autoSpaceDE w:val="0"/>
      <w:autoSpaceDN w:val="0"/>
      <w:adjustRightInd w:val="0"/>
      <w:spacing w:after="138"/>
      <w:ind w:left="1080"/>
    </w:pPr>
    <w:rPr>
      <w:rFonts w:ascii="Times New Roman" w:hAnsi="Times New Roman"/>
      <w:szCs w:val="20"/>
      <w:lang w:val="en-GB"/>
    </w:rPr>
  </w:style>
  <w:style w:type="paragraph" w:customStyle="1" w:styleId="545">
    <w:name w:val="7"/>
    <w:qFormat/>
    <w:uiPriority w:val="0"/>
    <w:rPr>
      <w:rFonts w:ascii="Times New Roman" w:hAnsi="Times New Roman" w:eastAsia="宋体" w:cs="Times New Roman"/>
      <w:lang w:val="en-US" w:eastAsia="zh-CN" w:bidi="ar-SA"/>
    </w:rPr>
  </w:style>
  <w:style w:type="paragraph" w:customStyle="1" w:styleId="546">
    <w:name w:val="CM89"/>
    <w:basedOn w:val="84"/>
    <w:next w:val="84"/>
    <w:qFormat/>
    <w:uiPriority w:val="0"/>
    <w:pPr>
      <w:spacing w:line="440" w:lineRule="atLeast"/>
    </w:pPr>
    <w:rPr>
      <w:rFonts w:ascii="Calibri" w:cs="Times New Roman"/>
      <w:color w:val="auto"/>
    </w:rPr>
  </w:style>
  <w:style w:type="paragraph" w:customStyle="1" w:styleId="547">
    <w:name w:val="编号"/>
    <w:basedOn w:val="1"/>
    <w:next w:val="1"/>
    <w:qFormat/>
    <w:uiPriority w:val="0"/>
    <w:pPr>
      <w:tabs>
        <w:tab w:val="left" w:pos="480"/>
      </w:tabs>
      <w:spacing w:line="360" w:lineRule="auto"/>
      <w:ind w:left="200" w:hanging="200" w:hangingChars="200"/>
      <w:jc w:val="both"/>
    </w:pPr>
    <w:rPr>
      <w:rFonts w:ascii="宋体" w:hAnsi="Times New Roman"/>
      <w:kern w:val="2"/>
      <w:sz w:val="24"/>
      <w:szCs w:val="24"/>
      <w:lang w:eastAsia="zh-CN"/>
    </w:rPr>
  </w:style>
  <w:style w:type="paragraph" w:customStyle="1" w:styleId="548">
    <w:name w:val="修订4"/>
    <w:semiHidden/>
    <w:qFormat/>
    <w:uiPriority w:val="99"/>
    <w:rPr>
      <w:rFonts w:ascii="Calibri" w:hAnsi="Calibri" w:eastAsia="宋体" w:cs="Times New Roman"/>
      <w:sz w:val="22"/>
      <w:szCs w:val="22"/>
      <w:lang w:val="en-US" w:eastAsia="en-US" w:bidi="ar-SA"/>
    </w:rPr>
  </w:style>
  <w:style w:type="paragraph" w:customStyle="1" w:styleId="549">
    <w:name w:val="xl133"/>
    <w:basedOn w:val="1"/>
    <w:qFormat/>
    <w:uiPriority w:val="0"/>
    <w:pPr>
      <w:widowControl/>
      <w:spacing w:before="100" w:beforeAutospacing="1" w:after="100" w:afterAutospacing="1"/>
      <w:jc w:val="right"/>
    </w:pPr>
    <w:rPr>
      <w:rFonts w:hint="eastAsia" w:ascii="宋体" w:hAnsi="宋体" w:cs="Arial Unicode MS"/>
      <w:b/>
      <w:bCs/>
      <w:sz w:val="24"/>
      <w:szCs w:val="24"/>
      <w:lang w:eastAsia="zh-CN"/>
    </w:rPr>
  </w:style>
  <w:style w:type="paragraph" w:customStyle="1" w:styleId="550">
    <w:name w:val="样式6"/>
    <w:basedOn w:val="1"/>
    <w:qFormat/>
    <w:uiPriority w:val="0"/>
    <w:pPr>
      <w:jc w:val="center"/>
    </w:pPr>
    <w:rPr>
      <w:rFonts w:ascii="宋体" w:hAnsi="宋体" w:cs="Arial"/>
      <w:sz w:val="21"/>
      <w:szCs w:val="21"/>
      <w:lang w:eastAsia="zh-CN"/>
    </w:rPr>
  </w:style>
  <w:style w:type="paragraph" w:customStyle="1" w:styleId="551">
    <w:name w:val="CM92"/>
    <w:basedOn w:val="84"/>
    <w:next w:val="84"/>
    <w:qFormat/>
    <w:uiPriority w:val="0"/>
    <w:pPr>
      <w:spacing w:after="530"/>
    </w:pPr>
    <w:rPr>
      <w:rFonts w:ascii="Calibri" w:cs="Times New Roman"/>
      <w:color w:val="auto"/>
    </w:rPr>
  </w:style>
  <w:style w:type="paragraph" w:customStyle="1" w:styleId="552">
    <w:name w:val="设备规范样式2"/>
    <w:basedOn w:val="1"/>
    <w:qFormat/>
    <w:uiPriority w:val="0"/>
    <w:pPr>
      <w:numPr>
        <w:ilvl w:val="1"/>
        <w:numId w:val="11"/>
      </w:numPr>
      <w:tabs>
        <w:tab w:val="left" w:pos="1260"/>
      </w:tabs>
      <w:spacing w:line="360" w:lineRule="auto"/>
      <w:jc w:val="both"/>
      <w:textAlignment w:val="bottom"/>
    </w:pPr>
    <w:rPr>
      <w:rFonts w:ascii="Times New Roman" w:hAnsi="Times New Roman" w:eastAsia="楷体_GB2312"/>
      <w:sz w:val="24"/>
      <w:szCs w:val="24"/>
      <w:lang w:eastAsia="zh-CN"/>
    </w:rPr>
  </w:style>
  <w:style w:type="paragraph" w:customStyle="1" w:styleId="553">
    <w:name w:val="标题10"/>
    <w:basedOn w:val="8"/>
    <w:qFormat/>
    <w:uiPriority w:val="0"/>
    <w:pPr>
      <w:keepNext/>
      <w:keepLines/>
      <w:widowControl w:val="0"/>
      <w:numPr>
        <w:ilvl w:val="0"/>
        <w:numId w:val="12"/>
      </w:numPr>
      <w:tabs>
        <w:tab w:val="left" w:pos="720"/>
        <w:tab w:val="left" w:pos="840"/>
      </w:tabs>
      <w:overflowPunct/>
      <w:autoSpaceDE/>
      <w:autoSpaceDN/>
      <w:spacing w:before="240" w:after="64" w:line="320" w:lineRule="atLeast"/>
      <w:ind w:left="901" w:leftChars="300" w:hanging="181"/>
    </w:pPr>
    <w:rPr>
      <w:rFonts w:ascii="Calibri" w:hAnsi="Calibri" w:eastAsia="楷体_GB2312"/>
      <w:b/>
      <w:i w:val="0"/>
      <w:position w:val="0"/>
      <w:sz w:val="24"/>
      <w:szCs w:val="24"/>
      <w:lang w:val="en-US"/>
    </w:rPr>
  </w:style>
  <w:style w:type="paragraph" w:customStyle="1" w:styleId="554">
    <w:name w:val="xl86"/>
    <w:basedOn w:val="1"/>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pPr>
    <w:rPr>
      <w:rFonts w:ascii="宋体" w:hAnsi="宋体"/>
      <w:lang w:eastAsia="zh-CN"/>
    </w:rPr>
  </w:style>
  <w:style w:type="paragraph" w:customStyle="1" w:styleId="555">
    <w:name w:val="xl9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lang w:eastAsia="zh-CN"/>
    </w:rPr>
  </w:style>
  <w:style w:type="paragraph" w:customStyle="1" w:styleId="556">
    <w:name w:val="CM50"/>
    <w:basedOn w:val="84"/>
    <w:next w:val="84"/>
    <w:qFormat/>
    <w:uiPriority w:val="0"/>
    <w:pPr>
      <w:spacing w:line="1020" w:lineRule="atLeast"/>
    </w:pPr>
    <w:rPr>
      <w:rFonts w:ascii="Calibri" w:cs="Times New Roman"/>
      <w:color w:val="auto"/>
    </w:rPr>
  </w:style>
  <w:style w:type="paragraph" w:customStyle="1" w:styleId="557">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lang w:eastAsia="zh-CN"/>
    </w:rPr>
  </w:style>
  <w:style w:type="paragraph" w:customStyle="1" w:styleId="558">
    <w:name w:val="xl157"/>
    <w:basedOn w:val="1"/>
    <w:qFormat/>
    <w:uiPriority w:val="0"/>
    <w:pPr>
      <w:widowControl/>
      <w:pBdr>
        <w:top w:val="single" w:color="auto" w:sz="4" w:space="0"/>
        <w:bottom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559">
    <w:name w:val="Indent 12"/>
    <w:basedOn w:val="1"/>
    <w:qFormat/>
    <w:uiPriority w:val="0"/>
    <w:pPr>
      <w:widowControl/>
      <w:ind w:left="1304"/>
    </w:pPr>
    <w:rPr>
      <w:rFonts w:ascii="Arial" w:hAnsi="Arial"/>
      <w:sz w:val="24"/>
      <w:szCs w:val="20"/>
    </w:rPr>
  </w:style>
  <w:style w:type="paragraph" w:customStyle="1" w:styleId="560">
    <w:name w:val="注1"/>
    <w:basedOn w:val="1"/>
    <w:qFormat/>
    <w:uiPriority w:val="0"/>
    <w:pPr>
      <w:spacing w:line="360" w:lineRule="auto"/>
      <w:ind w:left="400" w:leftChars="200" w:hanging="200" w:hangingChars="200"/>
      <w:jc w:val="both"/>
    </w:pPr>
    <w:rPr>
      <w:rFonts w:ascii="宋体" w:hAnsi="Times New Roman"/>
      <w:b/>
      <w:kern w:val="2"/>
      <w:sz w:val="21"/>
      <w:szCs w:val="24"/>
      <w:lang w:eastAsia="zh-CN"/>
    </w:rPr>
  </w:style>
  <w:style w:type="paragraph" w:customStyle="1" w:styleId="561">
    <w:name w:val="xl5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lang w:eastAsia="zh-CN"/>
    </w:rPr>
  </w:style>
  <w:style w:type="paragraph" w:customStyle="1" w:styleId="562">
    <w:name w:val="Char Char Char Char Char Char1 Char Char2"/>
    <w:basedOn w:val="1"/>
    <w:qFormat/>
    <w:uiPriority w:val="0"/>
    <w:pPr>
      <w:jc w:val="both"/>
    </w:pPr>
    <w:rPr>
      <w:rFonts w:ascii="Times New Roman" w:hAnsi="Times New Roman"/>
      <w:kern w:val="2"/>
      <w:sz w:val="21"/>
      <w:szCs w:val="24"/>
      <w:lang w:eastAsia="zh-CN"/>
    </w:rPr>
  </w:style>
  <w:style w:type="paragraph" w:customStyle="1" w:styleId="563">
    <w:name w:val="xl53"/>
    <w:basedOn w:val="1"/>
    <w:qFormat/>
    <w:uiPriority w:val="0"/>
    <w:pPr>
      <w:widowControl/>
      <w:pBdr>
        <w:top w:val="single" w:color="auto" w:sz="4" w:space="0"/>
        <w:left w:val="single" w:color="auto" w:sz="4" w:space="0"/>
        <w:right w:val="single" w:color="auto" w:sz="8" w:space="0"/>
      </w:pBdr>
      <w:shd w:val="clear" w:color="auto" w:fill="FFFFFF"/>
      <w:spacing w:before="100" w:beforeAutospacing="1" w:after="100" w:afterAutospacing="1"/>
    </w:pPr>
    <w:rPr>
      <w:rFonts w:ascii="宋体" w:hAnsi="宋体"/>
      <w:lang w:eastAsia="zh-CN"/>
    </w:rPr>
  </w:style>
  <w:style w:type="paragraph" w:customStyle="1" w:styleId="564">
    <w:name w:val="xl73"/>
    <w:basedOn w:val="1"/>
    <w:qFormat/>
    <w:uiPriority w:val="0"/>
    <w:pPr>
      <w:widowControl/>
      <w:pBdr>
        <w:top w:val="single" w:color="auto" w:sz="8" w:space="0"/>
        <w:left w:val="single" w:color="auto" w:sz="4" w:space="0"/>
        <w:bottom w:val="single" w:color="auto" w:sz="4" w:space="0"/>
        <w:right w:val="single" w:color="auto" w:sz="8" w:space="0"/>
      </w:pBdr>
      <w:shd w:val="clear" w:color="auto" w:fill="FFFFFF"/>
      <w:spacing w:before="100" w:beforeAutospacing="1" w:after="100" w:afterAutospacing="1"/>
      <w:jc w:val="center"/>
    </w:pPr>
    <w:rPr>
      <w:rFonts w:ascii="宋体" w:hAnsi="宋体"/>
      <w:b/>
      <w:bCs/>
      <w:lang w:eastAsia="zh-CN"/>
    </w:rPr>
  </w:style>
  <w:style w:type="paragraph" w:customStyle="1" w:styleId="565">
    <w:name w:val="Char Char Char Char1"/>
    <w:basedOn w:val="1"/>
    <w:qFormat/>
    <w:uiPriority w:val="0"/>
    <w:pPr>
      <w:jc w:val="both"/>
    </w:pPr>
    <w:rPr>
      <w:rFonts w:ascii="Tahoma" w:hAnsi="Tahoma"/>
      <w:kern w:val="2"/>
      <w:sz w:val="24"/>
      <w:szCs w:val="20"/>
      <w:lang w:eastAsia="zh-CN"/>
    </w:rPr>
  </w:style>
  <w:style w:type="paragraph" w:customStyle="1" w:styleId="566">
    <w:name w:val="封面字体3"/>
    <w:basedOn w:val="450"/>
    <w:qFormat/>
    <w:uiPriority w:val="0"/>
    <w:rPr>
      <w:rFonts w:eastAsia="黑体"/>
    </w:rPr>
  </w:style>
  <w:style w:type="paragraph" w:customStyle="1" w:styleId="567">
    <w:name w:val="xl116"/>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Arial" w:hAnsi="Arial" w:eastAsia="Arial Unicode MS" w:cs="Arial"/>
      <w:sz w:val="24"/>
      <w:szCs w:val="24"/>
      <w:lang w:eastAsia="zh-CN"/>
    </w:rPr>
  </w:style>
  <w:style w:type="paragraph" w:customStyle="1" w:styleId="568">
    <w:name w:val="CM90"/>
    <w:basedOn w:val="84"/>
    <w:next w:val="84"/>
    <w:qFormat/>
    <w:uiPriority w:val="0"/>
    <w:rPr>
      <w:rFonts w:ascii="Calibri" w:cs="Times New Roman"/>
      <w:color w:val="auto"/>
    </w:rPr>
  </w:style>
  <w:style w:type="paragraph" w:customStyle="1" w:styleId="569">
    <w:name w:val="列出段落1"/>
    <w:basedOn w:val="1"/>
    <w:qFormat/>
    <w:uiPriority w:val="34"/>
    <w:pPr>
      <w:ind w:firstLine="420" w:firstLineChars="200"/>
      <w:jc w:val="both"/>
    </w:pPr>
    <w:rPr>
      <w:kern w:val="2"/>
      <w:sz w:val="21"/>
      <w:szCs w:val="24"/>
      <w:lang w:eastAsia="zh-CN"/>
    </w:rPr>
  </w:style>
  <w:style w:type="paragraph" w:customStyle="1" w:styleId="570">
    <w:name w:val="xl80"/>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pPr>
    <w:rPr>
      <w:rFonts w:ascii="Times New Roman" w:hAnsi="Times New Roman"/>
      <w:lang w:eastAsia="zh-CN"/>
    </w:rPr>
  </w:style>
  <w:style w:type="paragraph" w:customStyle="1" w:styleId="571">
    <w:name w:val="_标题2"/>
    <w:basedOn w:val="1"/>
    <w:next w:val="1"/>
    <w:qFormat/>
    <w:uiPriority w:val="0"/>
    <w:pPr>
      <w:keepNext/>
      <w:numPr>
        <w:ilvl w:val="1"/>
        <w:numId w:val="13"/>
      </w:numPr>
      <w:spacing w:before="50" w:beforeLines="50" w:after="50" w:afterLines="50" w:line="360" w:lineRule="auto"/>
      <w:outlineLvl w:val="1"/>
    </w:pPr>
    <w:rPr>
      <w:rFonts w:ascii="等线" w:hAnsi="等线" w:eastAsia="微软雅黑"/>
      <w:b/>
      <w:kern w:val="2"/>
      <w:sz w:val="32"/>
      <w:szCs w:val="21"/>
      <w:lang w:eastAsia="zh-CN"/>
    </w:rPr>
  </w:style>
  <w:style w:type="paragraph" w:customStyle="1" w:styleId="572">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b/>
      <w:bCs/>
      <w:lang w:eastAsia="zh-CN"/>
    </w:rPr>
  </w:style>
  <w:style w:type="paragraph" w:customStyle="1" w:styleId="573">
    <w:name w:val="xl179"/>
    <w:basedOn w:val="1"/>
    <w:qFormat/>
    <w:uiPriority w:val="0"/>
    <w:pPr>
      <w:widowControl/>
      <w:pBdr>
        <w:top w:val="single" w:color="auto" w:sz="8" w:space="0"/>
        <w:left w:val="single" w:color="auto" w:sz="8" w:space="0"/>
      </w:pBdr>
      <w:spacing w:before="100" w:beforeAutospacing="1" w:after="100" w:afterAutospacing="1"/>
      <w:jc w:val="center"/>
    </w:pPr>
    <w:rPr>
      <w:rFonts w:hint="eastAsia" w:ascii="宋体" w:hAnsi="宋体" w:cs="Arial Unicode MS"/>
      <w:b/>
      <w:bCs/>
      <w:sz w:val="32"/>
      <w:szCs w:val="32"/>
      <w:lang w:eastAsia="zh-CN"/>
    </w:rPr>
  </w:style>
  <w:style w:type="paragraph" w:customStyle="1" w:styleId="574">
    <w:name w:val="xl161"/>
    <w:basedOn w:val="1"/>
    <w:qFormat/>
    <w:uiPriority w:val="0"/>
    <w:pPr>
      <w:widowControl/>
      <w:pBdr>
        <w:top w:val="single" w:color="auto" w:sz="4" w:space="0"/>
        <w:lef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575">
    <w:name w:val="xl150"/>
    <w:basedOn w:val="1"/>
    <w:qFormat/>
    <w:uiPriority w:val="0"/>
    <w:pPr>
      <w:widowControl/>
      <w:pBdr>
        <w:left w:val="single" w:color="auto" w:sz="4" w:space="0"/>
        <w:right w:val="single" w:color="auto" w:sz="8"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576">
    <w:name w:val="xl81"/>
    <w:basedOn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pPr>
    <w:rPr>
      <w:rFonts w:ascii="宋体" w:hAnsi="宋体"/>
      <w:lang w:eastAsia="zh-CN"/>
    </w:rPr>
  </w:style>
  <w:style w:type="paragraph" w:customStyle="1" w:styleId="577">
    <w:name w:val="CM97"/>
    <w:basedOn w:val="84"/>
    <w:next w:val="84"/>
    <w:qFormat/>
    <w:uiPriority w:val="0"/>
    <w:pPr>
      <w:spacing w:after="373"/>
    </w:pPr>
    <w:rPr>
      <w:rFonts w:ascii="Calibri" w:cs="Times New Roman"/>
      <w:color w:val="auto"/>
    </w:rPr>
  </w:style>
  <w:style w:type="paragraph" w:customStyle="1" w:styleId="578">
    <w:name w:val="xl97"/>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宋体" w:hAnsi="宋体"/>
      <w:b/>
      <w:bCs/>
      <w:lang w:eastAsia="zh-CN"/>
    </w:rPr>
  </w:style>
  <w:style w:type="paragraph" w:customStyle="1" w:styleId="579">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b/>
      <w:bCs/>
      <w:lang w:eastAsia="zh-CN"/>
    </w:rPr>
  </w:style>
  <w:style w:type="paragraph" w:customStyle="1" w:styleId="580">
    <w:name w:val="xl143"/>
    <w:basedOn w:val="1"/>
    <w:qFormat/>
    <w:uiPriority w:val="0"/>
    <w:pPr>
      <w:widowControl/>
      <w:pBdr>
        <w:top w:val="single" w:color="auto" w:sz="4" w:space="0"/>
        <w:left w:val="single" w:color="auto" w:sz="8" w:space="0"/>
        <w:right w:val="single" w:color="auto" w:sz="4"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581">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582">
    <w:name w:val="Jazzy"/>
    <w:qFormat/>
    <w:uiPriority w:val="0"/>
    <w:pPr>
      <w:overflowPunct w:val="0"/>
      <w:autoSpaceDE w:val="0"/>
      <w:autoSpaceDN w:val="0"/>
      <w:adjustRightInd w:val="0"/>
      <w:jc w:val="center"/>
      <w:textAlignment w:val="baseline"/>
    </w:pPr>
    <w:rPr>
      <w:rFonts w:ascii="Times New Roman" w:hAnsi="Times New Roman" w:eastAsia="宋体" w:cs="Times New Roman"/>
      <w:b/>
      <w:sz w:val="24"/>
      <w:lang w:val="en-US" w:eastAsia="zh-CN" w:bidi="ar-SA"/>
    </w:rPr>
  </w:style>
  <w:style w:type="paragraph" w:customStyle="1" w:styleId="583">
    <w:name w:val="xl152"/>
    <w:basedOn w:val="1"/>
    <w:qFormat/>
    <w:uiPriority w:val="0"/>
    <w:pPr>
      <w:widowControl/>
      <w:pBdr>
        <w:top w:val="single" w:color="auto" w:sz="4" w:space="0"/>
        <w:left w:val="single" w:color="auto" w:sz="8"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584">
    <w:name w:val="xl82"/>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pPr>
    <w:rPr>
      <w:rFonts w:ascii="宋体" w:hAnsi="宋体"/>
      <w:lang w:eastAsia="zh-CN"/>
    </w:rPr>
  </w:style>
  <w:style w:type="paragraph" w:customStyle="1" w:styleId="585">
    <w:name w:val="xl3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pPr>
    <w:rPr>
      <w:rFonts w:ascii="宋体" w:hAnsi="宋体"/>
      <w:lang w:eastAsia="zh-CN"/>
    </w:rPr>
  </w:style>
  <w:style w:type="paragraph" w:customStyle="1" w:styleId="586">
    <w:name w:val="ÑùÊ½2"/>
    <w:basedOn w:val="1"/>
    <w:qFormat/>
    <w:uiPriority w:val="0"/>
    <w:pPr>
      <w:overflowPunct w:val="0"/>
      <w:autoSpaceDE w:val="0"/>
      <w:autoSpaceDN w:val="0"/>
      <w:adjustRightInd w:val="0"/>
      <w:spacing w:line="410" w:lineRule="atLeast"/>
      <w:ind w:left="480" w:leftChars="200"/>
      <w:jc w:val="both"/>
    </w:pPr>
    <w:rPr>
      <w:rFonts w:ascii="宋体" w:hAnsi="宋体" w:eastAsia="楷体_GB2312"/>
      <w:sz w:val="24"/>
      <w:szCs w:val="20"/>
      <w:lang w:eastAsia="zh-CN"/>
    </w:rPr>
  </w:style>
  <w:style w:type="paragraph" w:customStyle="1" w:styleId="587">
    <w:name w:val="xl104"/>
    <w:basedOn w:val="1"/>
    <w:qFormat/>
    <w:uiPriority w:val="0"/>
    <w:pPr>
      <w:widowControl/>
      <w:pBdr>
        <w:bottom w:val="single" w:color="auto" w:sz="4" w:space="0"/>
        <w:right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588">
    <w:name w:val="横表格"/>
    <w:basedOn w:val="1"/>
    <w:qFormat/>
    <w:uiPriority w:val="0"/>
    <w:pPr>
      <w:tabs>
        <w:tab w:val="left" w:pos="1200"/>
      </w:tabs>
      <w:spacing w:line="360" w:lineRule="exact"/>
      <w:ind w:right="-41" w:rightChars="-41"/>
      <w:jc w:val="center"/>
    </w:pPr>
    <w:rPr>
      <w:rFonts w:ascii="宋体" w:hAnsi="Times New Roman"/>
      <w:kern w:val="2"/>
      <w:sz w:val="24"/>
      <w:szCs w:val="20"/>
      <w:lang w:eastAsia="zh-CN"/>
    </w:rPr>
  </w:style>
  <w:style w:type="paragraph" w:customStyle="1" w:styleId="589">
    <w:name w:val="Char Char Char Char Char Char Char Char"/>
    <w:basedOn w:val="1"/>
    <w:qFormat/>
    <w:uiPriority w:val="0"/>
    <w:pPr>
      <w:widowControl/>
      <w:spacing w:after="160" w:line="240" w:lineRule="exact"/>
    </w:pPr>
    <w:rPr>
      <w:rFonts w:ascii="Verdana" w:hAnsi="Verdana"/>
      <w:sz w:val="20"/>
      <w:szCs w:val="20"/>
    </w:rPr>
  </w:style>
  <w:style w:type="paragraph" w:customStyle="1" w:styleId="590">
    <w:name w:val="项目1"/>
    <w:basedOn w:val="17"/>
    <w:next w:val="17"/>
    <w:qFormat/>
    <w:uiPriority w:val="0"/>
    <w:pPr>
      <w:widowControl/>
      <w:numPr>
        <w:ilvl w:val="0"/>
        <w:numId w:val="14"/>
      </w:numPr>
      <w:snapToGrid w:val="0"/>
      <w:spacing w:line="360" w:lineRule="auto"/>
      <w:ind w:right="-210" w:rightChars="-100" w:firstLine="0" w:firstLineChars="0"/>
      <w:jc w:val="left"/>
    </w:pPr>
    <w:rPr>
      <w:rFonts w:ascii="宋体" w:hAnsi="宋体"/>
      <w:bCs/>
      <w:sz w:val="24"/>
      <w:szCs w:val="21"/>
      <w:lang w:eastAsia="zh-CN"/>
    </w:rPr>
  </w:style>
  <w:style w:type="paragraph" w:customStyle="1" w:styleId="591">
    <w:name w:val="_Style 37"/>
    <w:basedOn w:val="1"/>
    <w:next w:val="208"/>
    <w:qFormat/>
    <w:uiPriority w:val="0"/>
    <w:pPr>
      <w:ind w:firstLine="420" w:firstLineChars="200"/>
      <w:jc w:val="both"/>
    </w:pPr>
    <w:rPr>
      <w:sz w:val="20"/>
      <w:szCs w:val="20"/>
      <w:lang w:eastAsia="zh-CN"/>
    </w:rPr>
  </w:style>
  <w:style w:type="paragraph" w:customStyle="1" w:styleId="592">
    <w:name w:val="Subtitle 2"/>
    <w:basedOn w:val="43"/>
    <w:qFormat/>
    <w:uiPriority w:val="0"/>
    <w:pPr>
      <w:widowControl/>
      <w:tabs>
        <w:tab w:val="center" w:pos="4752"/>
        <w:tab w:val="right" w:pos="9864"/>
        <w:tab w:val="clear" w:pos="4153"/>
        <w:tab w:val="clear" w:pos="8306"/>
      </w:tabs>
      <w:snapToGrid/>
      <w:spacing w:before="240" w:after="240"/>
      <w:ind w:firstLine="200" w:firstLineChars="200"/>
      <w:jc w:val="center"/>
      <w:outlineLvl w:val="1"/>
    </w:pPr>
    <w:rPr>
      <w:rFonts w:ascii="Arial" w:hAnsi="Arial"/>
      <w:b/>
      <w:sz w:val="32"/>
      <w:szCs w:val="20"/>
    </w:rPr>
  </w:style>
  <w:style w:type="paragraph" w:customStyle="1" w:styleId="593">
    <w:name w:val="xl49"/>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pPr>
    <w:rPr>
      <w:rFonts w:ascii="宋体" w:hAnsi="宋体"/>
      <w:lang w:eastAsia="zh-CN"/>
    </w:rPr>
  </w:style>
  <w:style w:type="paragraph" w:customStyle="1" w:styleId="594">
    <w:name w:val="plane"/>
    <w:basedOn w:val="1"/>
    <w:qFormat/>
    <w:uiPriority w:val="0"/>
    <w:pPr>
      <w:widowControl/>
      <w:suppressAutoHyphens/>
      <w:jc w:val="both"/>
    </w:pPr>
    <w:rPr>
      <w:rFonts w:ascii="Tms Rmn" w:hAnsi="Tms Rmn"/>
      <w:sz w:val="24"/>
      <w:szCs w:val="20"/>
      <w:lang w:eastAsia="zh-CN"/>
    </w:rPr>
  </w:style>
  <w:style w:type="paragraph" w:customStyle="1" w:styleId="595">
    <w:name w:val="Legal 4"/>
    <w:basedOn w:val="84"/>
    <w:next w:val="84"/>
    <w:qFormat/>
    <w:uiPriority w:val="0"/>
    <w:pPr>
      <w:spacing w:after="120"/>
    </w:pPr>
    <w:rPr>
      <w:rFonts w:ascii="Calibri" w:cs="Times New Roman"/>
      <w:color w:val="auto"/>
    </w:rPr>
  </w:style>
  <w:style w:type="paragraph" w:customStyle="1" w:styleId="596">
    <w:name w:val="封面字体4"/>
    <w:basedOn w:val="450"/>
    <w:qFormat/>
    <w:uiPriority w:val="0"/>
  </w:style>
  <w:style w:type="paragraph" w:customStyle="1" w:styleId="597">
    <w:name w:val="智业正文"/>
    <w:basedOn w:val="65"/>
    <w:qFormat/>
    <w:uiPriority w:val="0"/>
    <w:pPr>
      <w:spacing w:after="0" w:line="360" w:lineRule="auto"/>
      <w:ind w:firstLine="200" w:firstLineChars="200"/>
    </w:pPr>
    <w:rPr>
      <w:rFonts w:ascii="宋体" w:hAnsi="宋体"/>
    </w:rPr>
  </w:style>
  <w:style w:type="paragraph" w:customStyle="1" w:styleId="598">
    <w:name w:val="Char Char Char Char Char Char1"/>
    <w:basedOn w:val="1"/>
    <w:qFormat/>
    <w:uiPriority w:val="0"/>
    <w:pPr>
      <w:jc w:val="both"/>
    </w:pPr>
    <w:rPr>
      <w:rFonts w:ascii="Times New Roman" w:hAnsi="Times New Roman"/>
      <w:kern w:val="2"/>
      <w:sz w:val="21"/>
      <w:szCs w:val="24"/>
      <w:lang w:eastAsia="zh-CN"/>
    </w:rPr>
  </w:style>
  <w:style w:type="paragraph" w:customStyle="1" w:styleId="599">
    <w:name w:val="xl187"/>
    <w:basedOn w:val="1"/>
    <w:qFormat/>
    <w:uiPriority w:val="0"/>
    <w:pPr>
      <w:widowControl/>
      <w:pBdr>
        <w:top w:val="single" w:color="auto" w:sz="8" w:space="0"/>
        <w:left w:val="single" w:color="auto" w:sz="4"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600">
    <w:name w:val="CB&amp;I 1.1.1"/>
    <w:basedOn w:val="1"/>
    <w:qFormat/>
    <w:uiPriority w:val="0"/>
    <w:pPr>
      <w:numPr>
        <w:ilvl w:val="2"/>
        <w:numId w:val="7"/>
      </w:numPr>
      <w:adjustRightInd w:val="0"/>
      <w:spacing w:after="180" w:line="320" w:lineRule="exact"/>
      <w:jc w:val="both"/>
      <w:textAlignment w:val="baseline"/>
    </w:pPr>
    <w:rPr>
      <w:rFonts w:ascii="Arial" w:hAnsi="Arial"/>
      <w:sz w:val="24"/>
      <w:szCs w:val="20"/>
      <w:lang w:eastAsia="zh-CN"/>
    </w:rPr>
  </w:style>
  <w:style w:type="paragraph" w:customStyle="1" w:styleId="601">
    <w:name w:val="xl110"/>
    <w:basedOn w:val="1"/>
    <w:qFormat/>
    <w:uiPriority w:val="0"/>
    <w:pPr>
      <w:widowControl/>
      <w:pBdr>
        <w:bottom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602">
    <w:name w:val="Char Char1 Char1"/>
    <w:basedOn w:val="21"/>
    <w:qFormat/>
    <w:uiPriority w:val="0"/>
    <w:pPr>
      <w:widowControl w:val="0"/>
      <w:tabs>
        <w:tab w:val="clear" w:pos="851"/>
      </w:tabs>
      <w:autoSpaceDE/>
      <w:autoSpaceDN/>
      <w:snapToGrid/>
      <w:spacing w:after="0"/>
      <w:textAlignment w:val="auto"/>
    </w:pPr>
    <w:rPr>
      <w:rFonts w:ascii="Tahoma" w:hAnsi="Tahoma"/>
      <w:bCs w:val="0"/>
      <w:spacing w:val="0"/>
      <w:kern w:val="2"/>
      <w:szCs w:val="24"/>
    </w:rPr>
  </w:style>
  <w:style w:type="paragraph" w:customStyle="1" w:styleId="603">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right"/>
    </w:pPr>
    <w:rPr>
      <w:rFonts w:ascii="宋体" w:hAnsi="宋体"/>
      <w:lang w:eastAsia="zh-CN"/>
    </w:rPr>
  </w:style>
  <w:style w:type="paragraph" w:customStyle="1" w:styleId="604">
    <w:name w:val="xl5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宋体" w:hAnsi="宋体"/>
      <w:b/>
      <w:bCs/>
      <w:color w:val="FF0000"/>
      <w:lang w:eastAsia="zh-CN"/>
    </w:rPr>
  </w:style>
  <w:style w:type="paragraph" w:customStyle="1" w:styleId="605">
    <w:name w:val="Legal 2"/>
    <w:basedOn w:val="1"/>
    <w:qFormat/>
    <w:uiPriority w:val="0"/>
    <w:pPr>
      <w:keepNext/>
      <w:tabs>
        <w:tab w:val="left" w:pos="810"/>
      </w:tabs>
      <w:spacing w:after="120"/>
      <w:ind w:left="810" w:hanging="810"/>
      <w:jc w:val="both"/>
      <w:outlineLvl w:val="1"/>
    </w:pPr>
    <w:rPr>
      <w:rFonts w:ascii="Times New Roman" w:hAnsi="Times New Roman"/>
      <w:sz w:val="24"/>
      <w:szCs w:val="20"/>
    </w:rPr>
  </w:style>
  <w:style w:type="paragraph" w:customStyle="1" w:styleId="606">
    <w:name w:val="xl74"/>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lang w:eastAsia="zh-CN"/>
    </w:rPr>
  </w:style>
  <w:style w:type="paragraph" w:customStyle="1" w:styleId="607">
    <w:name w:val="xl76"/>
    <w:basedOn w:val="1"/>
    <w:qFormat/>
    <w:uiPriority w:val="0"/>
    <w:pPr>
      <w:widowControl/>
      <w:spacing w:before="100" w:beforeAutospacing="1" w:after="100" w:afterAutospacing="1"/>
    </w:pPr>
    <w:rPr>
      <w:rFonts w:ascii="Times New Roman" w:hAnsi="Times New Roman"/>
      <w:sz w:val="18"/>
      <w:szCs w:val="18"/>
      <w:lang w:eastAsia="zh-CN"/>
    </w:rPr>
  </w:style>
  <w:style w:type="paragraph" w:customStyle="1" w:styleId="608">
    <w:name w:val="Char Char Char Char"/>
    <w:basedOn w:val="1"/>
    <w:qFormat/>
    <w:uiPriority w:val="0"/>
    <w:pPr>
      <w:jc w:val="both"/>
    </w:pPr>
    <w:rPr>
      <w:rFonts w:ascii="Tahoma" w:hAnsi="Tahoma"/>
      <w:kern w:val="2"/>
      <w:sz w:val="24"/>
      <w:szCs w:val="20"/>
      <w:lang w:eastAsia="zh-CN"/>
    </w:rPr>
  </w:style>
  <w:style w:type="paragraph" w:customStyle="1" w:styleId="609">
    <w:name w:val="Char Char Char Char2"/>
    <w:basedOn w:val="1"/>
    <w:qFormat/>
    <w:uiPriority w:val="0"/>
    <w:pPr>
      <w:jc w:val="both"/>
    </w:pPr>
    <w:rPr>
      <w:rFonts w:ascii="Tahoma" w:hAnsi="Tahoma"/>
      <w:kern w:val="2"/>
      <w:sz w:val="24"/>
      <w:szCs w:val="20"/>
      <w:lang w:eastAsia="zh-CN"/>
    </w:rPr>
  </w:style>
  <w:style w:type="paragraph" w:customStyle="1" w:styleId="610">
    <w:name w:val="explanatory_notes"/>
    <w:basedOn w:val="1"/>
    <w:qFormat/>
    <w:uiPriority w:val="0"/>
    <w:pPr>
      <w:widowControl/>
      <w:suppressAutoHyphens/>
      <w:spacing w:after="240" w:line="360" w:lineRule="exact"/>
      <w:jc w:val="both"/>
    </w:pPr>
    <w:rPr>
      <w:rFonts w:ascii="Arial" w:hAnsi="Arial"/>
      <w:sz w:val="24"/>
      <w:szCs w:val="20"/>
      <w:lang w:eastAsia="zh-CN"/>
    </w:rPr>
  </w:style>
  <w:style w:type="paragraph" w:customStyle="1" w:styleId="611">
    <w:name w:val="CM105"/>
    <w:basedOn w:val="84"/>
    <w:next w:val="84"/>
    <w:qFormat/>
    <w:uiPriority w:val="0"/>
    <w:pPr>
      <w:spacing w:after="1040"/>
    </w:pPr>
    <w:rPr>
      <w:rFonts w:ascii="Calibri" w:cs="Times New Roman"/>
      <w:color w:val="auto"/>
    </w:rPr>
  </w:style>
  <w:style w:type="paragraph" w:customStyle="1" w:styleId="612">
    <w:name w:val="CM3"/>
    <w:basedOn w:val="84"/>
    <w:next w:val="84"/>
    <w:qFormat/>
    <w:uiPriority w:val="0"/>
    <w:pPr>
      <w:spacing w:line="500" w:lineRule="atLeast"/>
    </w:pPr>
    <w:rPr>
      <w:rFonts w:ascii="Calibri" w:cs="Times New Roman"/>
      <w:color w:val="auto"/>
    </w:rPr>
  </w:style>
  <w:style w:type="paragraph" w:customStyle="1" w:styleId="613">
    <w:name w:val="xl107"/>
    <w:basedOn w:val="1"/>
    <w:qFormat/>
    <w:uiPriority w:val="0"/>
    <w:pPr>
      <w:widowControl/>
      <w:pBdr>
        <w:bottom w:val="single" w:color="auto" w:sz="4" w:space="0"/>
        <w:right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614">
    <w:name w:val="xl139"/>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615">
    <w:name w:val="AutoCorrect"/>
    <w:qFormat/>
    <w:uiPriority w:val="0"/>
    <w:pPr>
      <w:widowControl w:val="0"/>
    </w:pPr>
    <w:rPr>
      <w:rFonts w:ascii="Times New Roman" w:hAnsi="Times New Roman" w:eastAsia="PMingLiU" w:cs="Times New Roman"/>
      <w:kern w:val="2"/>
      <w:sz w:val="24"/>
      <w:lang w:val="en-US" w:eastAsia="zh-TW" w:bidi="ar-SA"/>
    </w:rPr>
  </w:style>
  <w:style w:type="paragraph" w:customStyle="1" w:styleId="616">
    <w:name w:val="注：（正文）"/>
    <w:basedOn w:val="1"/>
    <w:next w:val="1"/>
    <w:qFormat/>
    <w:uiPriority w:val="0"/>
    <w:pPr>
      <w:tabs>
        <w:tab w:val="left" w:pos="510"/>
      </w:tabs>
      <w:autoSpaceDE w:val="0"/>
      <w:autoSpaceDN w:val="0"/>
      <w:ind w:left="510" w:hanging="510"/>
      <w:jc w:val="both"/>
    </w:pPr>
    <w:rPr>
      <w:rFonts w:ascii="宋体" w:hAnsi="Times New Roman"/>
      <w:sz w:val="18"/>
      <w:szCs w:val="18"/>
      <w:lang w:eastAsia="zh-CN"/>
    </w:rPr>
  </w:style>
  <w:style w:type="paragraph" w:customStyle="1" w:styleId="617">
    <w:name w:val="CM48"/>
    <w:basedOn w:val="84"/>
    <w:next w:val="84"/>
    <w:qFormat/>
    <w:uiPriority w:val="0"/>
    <w:pPr>
      <w:spacing w:line="540" w:lineRule="atLeast"/>
    </w:pPr>
    <w:rPr>
      <w:rFonts w:ascii="Calibri" w:cs="Times New Roman"/>
      <w:color w:val="auto"/>
    </w:rPr>
  </w:style>
  <w:style w:type="paragraph" w:customStyle="1" w:styleId="618">
    <w:name w:val="列表延续"/>
    <w:basedOn w:val="1"/>
    <w:qFormat/>
    <w:uiPriority w:val="0"/>
    <w:pPr>
      <w:tabs>
        <w:tab w:val="left" w:pos="420"/>
        <w:tab w:val="left" w:pos="4140"/>
      </w:tabs>
      <w:adjustRightInd w:val="0"/>
      <w:spacing w:line="360" w:lineRule="auto"/>
      <w:ind w:left="420" w:hanging="420"/>
      <w:jc w:val="both"/>
      <w:textAlignment w:val="baseline"/>
    </w:pPr>
    <w:rPr>
      <w:rFonts w:ascii="Times New Roman" w:hAnsi="Tms Rmn" w:eastAsia="楷体_GB2312"/>
      <w:kern w:val="28"/>
      <w:sz w:val="28"/>
      <w:szCs w:val="20"/>
      <w:lang w:eastAsia="zh-CN"/>
    </w:rPr>
  </w:style>
  <w:style w:type="paragraph" w:customStyle="1" w:styleId="619">
    <w:name w:val="CM63"/>
    <w:basedOn w:val="1"/>
    <w:next w:val="1"/>
    <w:qFormat/>
    <w:uiPriority w:val="0"/>
    <w:pPr>
      <w:autoSpaceDE w:val="0"/>
      <w:autoSpaceDN w:val="0"/>
      <w:adjustRightInd w:val="0"/>
      <w:spacing w:after="143"/>
    </w:pPr>
    <w:rPr>
      <w:rFonts w:ascii="宋体"/>
      <w:sz w:val="24"/>
      <w:szCs w:val="24"/>
      <w:lang w:eastAsia="zh-CN"/>
    </w:rPr>
  </w:style>
  <w:style w:type="paragraph" w:customStyle="1" w:styleId="620">
    <w:name w:val="CM91"/>
    <w:basedOn w:val="84"/>
    <w:next w:val="84"/>
    <w:qFormat/>
    <w:uiPriority w:val="0"/>
    <w:pPr>
      <w:spacing w:after="160"/>
    </w:pPr>
    <w:rPr>
      <w:rFonts w:ascii="Calibri" w:cs="Times New Roman"/>
      <w:color w:val="auto"/>
    </w:rPr>
  </w:style>
  <w:style w:type="paragraph" w:customStyle="1" w:styleId="621">
    <w:name w:val="2"/>
    <w:qFormat/>
    <w:uiPriority w:val="0"/>
    <w:pPr>
      <w:widowControl w:val="0"/>
    </w:pPr>
    <w:rPr>
      <w:rFonts w:ascii="Calibri" w:hAnsi="Calibri" w:eastAsia="宋体" w:cs="Times New Roman"/>
      <w:sz w:val="22"/>
      <w:szCs w:val="22"/>
      <w:lang w:val="en-US" w:eastAsia="en-US" w:bidi="ar-SA"/>
    </w:rPr>
  </w:style>
  <w:style w:type="paragraph" w:customStyle="1" w:styleId="622">
    <w:name w:val="Style2"/>
    <w:basedOn w:val="84"/>
    <w:next w:val="84"/>
    <w:qFormat/>
    <w:uiPriority w:val="0"/>
    <w:rPr>
      <w:rFonts w:ascii="Calibri" w:cs="Calibri"/>
      <w:color w:val="auto"/>
    </w:rPr>
  </w:style>
  <w:style w:type="paragraph" w:customStyle="1" w:styleId="623">
    <w:name w:val="Char1 Char Char Char1"/>
    <w:basedOn w:val="1"/>
    <w:qFormat/>
    <w:uiPriority w:val="0"/>
    <w:pPr>
      <w:jc w:val="both"/>
    </w:pPr>
    <w:rPr>
      <w:rFonts w:ascii="Times New Roman" w:hAnsi="Times New Roman"/>
      <w:kern w:val="2"/>
      <w:sz w:val="21"/>
      <w:szCs w:val="24"/>
      <w:lang w:eastAsia="zh-CN"/>
    </w:rPr>
  </w:style>
  <w:style w:type="paragraph" w:customStyle="1" w:styleId="624">
    <w:name w:val="xl137"/>
    <w:basedOn w:val="1"/>
    <w:qFormat/>
    <w:uiPriority w:val="0"/>
    <w:pPr>
      <w:widowControl/>
      <w:pBdr>
        <w:top w:val="single" w:color="auto" w:sz="4" w:space="0"/>
        <w:left w:val="single" w:color="auto" w:sz="8" w:space="0"/>
        <w:bottom w:val="single" w:color="auto" w:sz="4" w:space="0"/>
        <w:right w:val="single" w:color="auto" w:sz="8" w:space="0"/>
      </w:pBdr>
      <w:spacing w:before="100" w:beforeAutospacing="1" w:after="100" w:afterAutospacing="1"/>
    </w:pPr>
    <w:rPr>
      <w:rFonts w:hint="eastAsia" w:ascii="宋体" w:hAnsi="宋体" w:cs="Arial Unicode MS"/>
      <w:sz w:val="24"/>
      <w:szCs w:val="24"/>
      <w:lang w:eastAsia="zh-CN"/>
    </w:rPr>
  </w:style>
  <w:style w:type="paragraph" w:customStyle="1" w:styleId="625">
    <w:name w:val="Char Char Char Char Char Char"/>
    <w:basedOn w:val="1"/>
    <w:qFormat/>
    <w:uiPriority w:val="0"/>
    <w:pPr>
      <w:jc w:val="both"/>
    </w:pPr>
    <w:rPr>
      <w:rFonts w:ascii="Times New Roman" w:hAnsi="Times New Roman"/>
      <w:kern w:val="2"/>
      <w:sz w:val="21"/>
      <w:szCs w:val="24"/>
      <w:lang w:eastAsia="zh-CN"/>
    </w:rPr>
  </w:style>
  <w:style w:type="paragraph" w:customStyle="1" w:styleId="626">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b/>
      <w:bCs/>
      <w:lang w:eastAsia="zh-CN"/>
    </w:rPr>
  </w:style>
  <w:style w:type="paragraph" w:customStyle="1" w:styleId="627">
    <w:name w:val="xl83"/>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pPr>
    <w:rPr>
      <w:rFonts w:ascii="宋体" w:hAnsi="宋体"/>
      <w:color w:val="FF0000"/>
      <w:lang w:eastAsia="zh-CN"/>
    </w:rPr>
  </w:style>
  <w:style w:type="paragraph" w:customStyle="1" w:styleId="628">
    <w:name w:val="CM94"/>
    <w:basedOn w:val="84"/>
    <w:next w:val="84"/>
    <w:qFormat/>
    <w:uiPriority w:val="0"/>
    <w:pPr>
      <w:spacing w:after="63"/>
    </w:pPr>
    <w:rPr>
      <w:rFonts w:ascii="Calibri" w:cs="Times New Roman"/>
      <w:color w:val="auto"/>
    </w:rPr>
  </w:style>
  <w:style w:type="paragraph" w:customStyle="1" w:styleId="629">
    <w:name w:val="xl119"/>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Arial" w:hAnsi="Arial" w:eastAsia="Arial Unicode MS" w:cs="Arial"/>
      <w:sz w:val="24"/>
      <w:szCs w:val="24"/>
      <w:lang w:eastAsia="zh-CN"/>
    </w:rPr>
  </w:style>
  <w:style w:type="paragraph" w:customStyle="1" w:styleId="630">
    <w:name w:val="xl85"/>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pPr>
    <w:rPr>
      <w:rFonts w:ascii="宋体" w:hAnsi="宋体"/>
      <w:color w:val="800000"/>
      <w:lang w:eastAsia="zh-CN"/>
    </w:rPr>
  </w:style>
  <w:style w:type="paragraph" w:customStyle="1" w:styleId="631">
    <w:name w:val="Char1 Char Char Char Char Char Char Char Char Char Char Char Char"/>
    <w:basedOn w:val="1"/>
    <w:qFormat/>
    <w:uiPriority w:val="0"/>
    <w:pPr>
      <w:widowControl/>
      <w:spacing w:after="160" w:line="240" w:lineRule="exact"/>
    </w:pPr>
    <w:rPr>
      <w:rFonts w:ascii="Verdana" w:hAnsi="Verdana" w:eastAsia="仿宋_GB2312"/>
      <w:sz w:val="24"/>
      <w:szCs w:val="20"/>
    </w:rPr>
  </w:style>
  <w:style w:type="paragraph" w:customStyle="1" w:styleId="632">
    <w:name w:val="CM77"/>
    <w:basedOn w:val="84"/>
    <w:next w:val="84"/>
    <w:qFormat/>
    <w:uiPriority w:val="0"/>
    <w:pPr>
      <w:spacing w:line="400" w:lineRule="atLeast"/>
    </w:pPr>
    <w:rPr>
      <w:rFonts w:ascii="Calibri" w:cs="Times New Roman"/>
      <w:color w:val="auto"/>
    </w:rPr>
  </w:style>
  <w:style w:type="paragraph" w:customStyle="1" w:styleId="633">
    <w:name w:val="样式 TimesNewRoman 小四 左"/>
    <w:basedOn w:val="1"/>
    <w:qFormat/>
    <w:uiPriority w:val="0"/>
    <w:pPr>
      <w:spacing w:after="120"/>
    </w:pPr>
    <w:rPr>
      <w:rFonts w:ascii="TimesNewRoman" w:hAnsi="TimesNewRoman"/>
      <w:sz w:val="24"/>
      <w:szCs w:val="20"/>
      <w:lang w:eastAsia="zh-CN"/>
    </w:rPr>
  </w:style>
  <w:style w:type="paragraph" w:customStyle="1" w:styleId="634">
    <w:name w:val="xl96"/>
    <w:basedOn w:val="1"/>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b/>
      <w:bCs/>
      <w:sz w:val="24"/>
      <w:szCs w:val="24"/>
      <w:lang w:eastAsia="zh-CN"/>
    </w:rPr>
  </w:style>
  <w:style w:type="paragraph" w:customStyle="1" w:styleId="635">
    <w:name w:val="xl84"/>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pPr>
    <w:rPr>
      <w:rFonts w:ascii="宋体" w:hAnsi="宋体"/>
      <w:b/>
      <w:bCs/>
      <w:color w:val="FF0000"/>
      <w:lang w:eastAsia="zh-CN"/>
    </w:rPr>
  </w:style>
  <w:style w:type="paragraph" w:customStyle="1" w:styleId="636">
    <w:name w:val="合同落款"/>
    <w:basedOn w:val="1"/>
    <w:qFormat/>
    <w:uiPriority w:val="0"/>
    <w:pPr>
      <w:spacing w:line="240" w:lineRule="atLeast"/>
      <w:jc w:val="both"/>
    </w:pPr>
    <w:rPr>
      <w:rFonts w:ascii="华文细黑" w:hAnsi="华文细黑" w:eastAsia="楷体_GB2312" w:cs="Arial"/>
      <w:spacing w:val="-18"/>
      <w:sz w:val="32"/>
      <w:szCs w:val="32"/>
      <w:lang w:eastAsia="zh-CN"/>
    </w:rPr>
  </w:style>
  <w:style w:type="paragraph" w:customStyle="1" w:styleId="637">
    <w:name w:val="SP箇条書き"/>
    <w:basedOn w:val="1"/>
    <w:qFormat/>
    <w:uiPriority w:val="0"/>
    <w:pPr>
      <w:tabs>
        <w:tab w:val="left" w:pos="284"/>
        <w:tab w:val="left" w:pos="567"/>
        <w:tab w:val="left" w:pos="851"/>
        <w:tab w:val="left" w:pos="1134"/>
        <w:tab w:val="left" w:pos="1701"/>
        <w:tab w:val="left" w:pos="2835"/>
        <w:tab w:val="left" w:pos="3969"/>
      </w:tabs>
      <w:autoSpaceDE w:val="0"/>
      <w:autoSpaceDN w:val="0"/>
      <w:adjustRightInd w:val="0"/>
      <w:spacing w:line="300" w:lineRule="exact"/>
    </w:pPr>
    <w:rPr>
      <w:rFonts w:ascii="MS PGothic" w:hAnsi="Arial" w:eastAsia="MS PGothic"/>
      <w:color w:val="000000"/>
      <w:sz w:val="21"/>
      <w:szCs w:val="20"/>
      <w:lang w:eastAsia="ja-JP"/>
    </w:rPr>
  </w:style>
  <w:style w:type="paragraph" w:customStyle="1" w:styleId="638">
    <w:name w:val="正文首行缩进3"/>
    <w:basedOn w:val="1"/>
    <w:qFormat/>
    <w:uiPriority w:val="0"/>
    <w:pPr>
      <w:numPr>
        <w:ilvl w:val="0"/>
        <w:numId w:val="15"/>
      </w:numPr>
      <w:tabs>
        <w:tab w:val="left" w:pos="0"/>
        <w:tab w:val="clear" w:pos="425"/>
      </w:tabs>
      <w:spacing w:line="360" w:lineRule="auto"/>
      <w:jc w:val="both"/>
      <w:textAlignment w:val="bottom"/>
    </w:pPr>
    <w:rPr>
      <w:rFonts w:ascii="宋体" w:hAnsi="宋体"/>
      <w:color w:val="000000"/>
      <w:sz w:val="24"/>
      <w:szCs w:val="24"/>
      <w:lang w:eastAsia="zh-CN"/>
    </w:rPr>
  </w:style>
  <w:style w:type="paragraph" w:customStyle="1" w:styleId="639">
    <w:name w:val="项标题"/>
    <w:basedOn w:val="2"/>
    <w:qFormat/>
    <w:uiPriority w:val="0"/>
    <w:pPr>
      <w:keepNext/>
      <w:tabs>
        <w:tab w:val="left" w:pos="432"/>
      </w:tabs>
      <w:adjustRightInd w:val="0"/>
      <w:snapToGrid w:val="0"/>
      <w:spacing w:before="240" w:after="240" w:line="360" w:lineRule="auto"/>
      <w:ind w:left="432" w:hanging="432"/>
      <w:jc w:val="center"/>
    </w:pPr>
    <w:rPr>
      <w:rFonts w:ascii="Times New Roman" w:hAnsi="Times New Roman" w:eastAsia="宋体"/>
      <w:color w:val="000000"/>
      <w:szCs w:val="36"/>
      <w:lang w:eastAsia="zh-CN"/>
    </w:rPr>
  </w:style>
  <w:style w:type="paragraph" w:customStyle="1" w:styleId="640">
    <w:name w:val="xl7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宋体" w:hAnsi="宋体"/>
      <w:b/>
      <w:bCs/>
      <w:lang w:eastAsia="zh-CN"/>
    </w:rPr>
  </w:style>
  <w:style w:type="paragraph" w:customStyle="1" w:styleId="641">
    <w:name w:val="xl122"/>
    <w:basedOn w:val="1"/>
    <w:qFormat/>
    <w:uiPriority w:val="0"/>
    <w:pPr>
      <w:widowControl/>
      <w:pBdr>
        <w:top w:val="single" w:color="auto" w:sz="4" w:space="0"/>
        <w:left w:val="single" w:color="auto" w:sz="4" w:space="0"/>
        <w:bottom w:val="single" w:color="auto" w:sz="4" w:space="0"/>
        <w:right w:val="single" w:color="auto" w:sz="4" w:space="0"/>
      </w:pBdr>
      <w:shd w:val="clear" w:color="auto" w:fill="FFFF99"/>
      <w:spacing w:before="100" w:beforeAutospacing="1" w:after="100" w:afterAutospacing="1"/>
      <w:jc w:val="center"/>
    </w:pPr>
    <w:rPr>
      <w:rFonts w:hint="eastAsia" w:ascii="宋体" w:hAnsi="宋体" w:cs="Arial Unicode MS"/>
      <w:b/>
      <w:bCs/>
      <w:sz w:val="24"/>
      <w:szCs w:val="24"/>
      <w:lang w:eastAsia="zh-CN"/>
    </w:rPr>
  </w:style>
  <w:style w:type="paragraph" w:customStyle="1" w:styleId="642">
    <w:name w:val="正文2"/>
    <w:qFormat/>
    <w:uiPriority w:val="0"/>
    <w:pPr>
      <w:widowControl w:val="0"/>
      <w:adjustRightInd w:val="0"/>
      <w:spacing w:line="240" w:lineRule="atLeast"/>
      <w:jc w:val="both"/>
      <w:textAlignment w:val="baseline"/>
    </w:pPr>
    <w:rPr>
      <w:rFonts w:ascii="宋体" w:hAnsi="Times New Roman" w:eastAsia="宋体" w:cs="Times New Roman"/>
      <w:sz w:val="34"/>
      <w:lang w:val="en-US" w:eastAsia="zh-CN" w:bidi="ar-SA"/>
    </w:rPr>
  </w:style>
  <w:style w:type="paragraph" w:customStyle="1" w:styleId="643">
    <w:name w:val="Char11"/>
    <w:basedOn w:val="1"/>
    <w:qFormat/>
    <w:uiPriority w:val="0"/>
    <w:pPr>
      <w:jc w:val="both"/>
    </w:pPr>
    <w:rPr>
      <w:rFonts w:ascii="Times New Roman" w:hAnsi="Times New Roman"/>
      <w:kern w:val="2"/>
      <w:sz w:val="21"/>
      <w:szCs w:val="24"/>
      <w:lang w:eastAsia="zh-CN"/>
    </w:rPr>
  </w:style>
  <w:style w:type="paragraph" w:customStyle="1" w:styleId="644">
    <w:name w:val="CM37"/>
    <w:basedOn w:val="84"/>
    <w:next w:val="84"/>
    <w:qFormat/>
    <w:uiPriority w:val="0"/>
    <w:rPr>
      <w:rFonts w:ascii="Times New Roman" w:hAnsi="Times New Roman" w:cs="Times New Roman"/>
      <w:color w:val="auto"/>
    </w:rPr>
  </w:style>
  <w:style w:type="paragraph" w:customStyle="1" w:styleId="645">
    <w:name w:val="CM49"/>
    <w:basedOn w:val="84"/>
    <w:next w:val="84"/>
    <w:qFormat/>
    <w:uiPriority w:val="0"/>
    <w:pPr>
      <w:spacing w:line="440" w:lineRule="atLeast"/>
    </w:pPr>
    <w:rPr>
      <w:rFonts w:ascii="Calibri" w:cs="Times New Roman"/>
      <w:color w:val="auto"/>
    </w:rPr>
  </w:style>
  <w:style w:type="paragraph" w:customStyle="1" w:styleId="646">
    <w:name w:val="xl154"/>
    <w:basedOn w:val="1"/>
    <w:qFormat/>
    <w:uiPriority w:val="0"/>
    <w:pPr>
      <w:widowControl/>
      <w:pBdr>
        <w:left w:val="single" w:color="auto" w:sz="8" w:space="0"/>
        <w:bottom w:val="single" w:color="auto" w:sz="8"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647">
    <w:name w:val="CM2"/>
    <w:basedOn w:val="84"/>
    <w:next w:val="84"/>
    <w:qFormat/>
    <w:uiPriority w:val="0"/>
    <w:pPr>
      <w:spacing w:line="500" w:lineRule="atLeast"/>
    </w:pPr>
    <w:rPr>
      <w:rFonts w:ascii="Calibri" w:cs="Times New Roman"/>
      <w:color w:val="auto"/>
    </w:rPr>
  </w:style>
  <w:style w:type="paragraph" w:customStyle="1" w:styleId="648">
    <w:name w:val="CM83"/>
    <w:basedOn w:val="84"/>
    <w:next w:val="84"/>
    <w:qFormat/>
    <w:uiPriority w:val="0"/>
    <w:pPr>
      <w:spacing w:line="440" w:lineRule="atLeast"/>
    </w:pPr>
    <w:rPr>
      <w:rFonts w:ascii="Calibri" w:cs="Times New Roman"/>
      <w:color w:val="auto"/>
    </w:rPr>
  </w:style>
  <w:style w:type="paragraph" w:customStyle="1" w:styleId="649">
    <w:name w:val="xl144"/>
    <w:basedOn w:val="1"/>
    <w:qFormat/>
    <w:uiPriority w:val="0"/>
    <w:pPr>
      <w:widowControl/>
      <w:pBdr>
        <w:left w:val="single" w:color="auto" w:sz="8" w:space="0"/>
        <w:right w:val="single" w:color="auto" w:sz="4"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650">
    <w:name w:val="xl94"/>
    <w:basedOn w:val="1"/>
    <w:qFormat/>
    <w:uiPriority w:val="0"/>
    <w:pPr>
      <w:widowControl/>
      <w:pBdr>
        <w:bottom w:val="single" w:color="auto" w:sz="8" w:space="0"/>
      </w:pBdr>
      <w:spacing w:before="100" w:beforeAutospacing="1" w:after="100" w:afterAutospacing="1"/>
    </w:pPr>
    <w:rPr>
      <w:rFonts w:ascii="宋体" w:hAnsi="宋体"/>
      <w:sz w:val="18"/>
      <w:szCs w:val="18"/>
      <w:lang w:eastAsia="zh-CN"/>
    </w:rPr>
  </w:style>
  <w:style w:type="paragraph" w:customStyle="1" w:styleId="651">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olor w:val="FF0000"/>
      <w:lang w:eastAsia="zh-CN"/>
    </w:rPr>
  </w:style>
  <w:style w:type="paragraph" w:customStyle="1" w:styleId="652">
    <w:name w:val="CM18"/>
    <w:basedOn w:val="84"/>
    <w:next w:val="84"/>
    <w:qFormat/>
    <w:uiPriority w:val="0"/>
    <w:pPr>
      <w:spacing w:line="313" w:lineRule="atLeast"/>
    </w:pPr>
    <w:rPr>
      <w:rFonts w:ascii="Calibri" w:cs="Times New Roman"/>
      <w:color w:val="auto"/>
    </w:rPr>
  </w:style>
  <w:style w:type="paragraph" w:customStyle="1" w:styleId="653">
    <w:name w:val="Char Char Char Char Char Char Char"/>
    <w:basedOn w:val="1"/>
    <w:qFormat/>
    <w:uiPriority w:val="0"/>
    <w:pPr>
      <w:jc w:val="both"/>
    </w:pPr>
    <w:rPr>
      <w:rFonts w:ascii="Times New Roman" w:hAnsi="Times New Roman"/>
      <w:kern w:val="2"/>
      <w:sz w:val="21"/>
      <w:szCs w:val="30"/>
      <w:lang w:eastAsia="zh-CN"/>
    </w:rPr>
  </w:style>
  <w:style w:type="paragraph" w:customStyle="1" w:styleId="654">
    <w:name w:val="p0"/>
    <w:basedOn w:val="1"/>
    <w:qFormat/>
    <w:uiPriority w:val="0"/>
    <w:pPr>
      <w:widowControl/>
      <w:jc w:val="both"/>
    </w:pPr>
    <w:rPr>
      <w:rFonts w:ascii="Times New Roman" w:hAnsi="Times New Roman"/>
      <w:sz w:val="21"/>
      <w:szCs w:val="21"/>
      <w:lang w:eastAsia="zh-CN"/>
    </w:rPr>
  </w:style>
  <w:style w:type="paragraph" w:customStyle="1" w:styleId="655">
    <w:name w:val="CM28"/>
    <w:basedOn w:val="84"/>
    <w:next w:val="84"/>
    <w:qFormat/>
    <w:uiPriority w:val="0"/>
    <w:rPr>
      <w:rFonts w:ascii="Calibri" w:cs="Times New Roman"/>
      <w:color w:val="auto"/>
    </w:rPr>
  </w:style>
  <w:style w:type="paragraph" w:customStyle="1" w:styleId="656">
    <w:name w:val="CM93"/>
    <w:basedOn w:val="84"/>
    <w:next w:val="84"/>
    <w:qFormat/>
    <w:uiPriority w:val="0"/>
    <w:pPr>
      <w:spacing w:after="628"/>
    </w:pPr>
    <w:rPr>
      <w:rFonts w:ascii="Calibri" w:cs="Times New Roman"/>
      <w:color w:val="auto"/>
    </w:rPr>
  </w:style>
  <w:style w:type="paragraph" w:customStyle="1" w:styleId="657">
    <w:name w:val="xl178"/>
    <w:basedOn w:val="1"/>
    <w:qFormat/>
    <w:uiPriority w:val="0"/>
    <w:pPr>
      <w:widowControl/>
      <w:pBdr>
        <w:top w:val="single" w:color="auto" w:sz="8" w:space="0"/>
        <w:bottom w:val="single" w:color="auto" w:sz="4"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658">
    <w:name w:val="xl182"/>
    <w:basedOn w:val="1"/>
    <w:qFormat/>
    <w:uiPriority w:val="0"/>
    <w:pPr>
      <w:widowControl/>
      <w:spacing w:before="100" w:beforeAutospacing="1" w:after="100" w:afterAutospacing="1"/>
      <w:jc w:val="center"/>
    </w:pPr>
    <w:rPr>
      <w:rFonts w:hint="eastAsia" w:ascii="宋体" w:hAnsi="宋体" w:cs="Arial Unicode MS"/>
      <w:b/>
      <w:bCs/>
      <w:sz w:val="32"/>
      <w:szCs w:val="32"/>
      <w:lang w:eastAsia="zh-CN"/>
    </w:rPr>
  </w:style>
  <w:style w:type="paragraph" w:customStyle="1" w:styleId="659">
    <w:name w:val="xl15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660">
    <w:name w:val="xl125"/>
    <w:basedOn w:val="1"/>
    <w:qFormat/>
    <w:uiPriority w:val="0"/>
    <w:pPr>
      <w:widowControl/>
      <w:pBdr>
        <w:top w:val="single" w:color="auto" w:sz="4" w:space="0"/>
        <w:left w:val="single" w:color="auto" w:sz="4" w:space="0"/>
        <w:bottom w:val="single" w:color="auto" w:sz="4" w:space="0"/>
        <w:right w:val="single" w:color="auto" w:sz="4" w:space="0"/>
      </w:pBdr>
      <w:shd w:val="clear" w:color="auto" w:fill="FFFF99"/>
      <w:spacing w:before="100" w:beforeAutospacing="1" w:after="100" w:afterAutospacing="1"/>
      <w:jc w:val="center"/>
    </w:pPr>
    <w:rPr>
      <w:rFonts w:ascii="Arial" w:hAnsi="Arial" w:eastAsia="Arial Unicode MS" w:cs="Arial"/>
      <w:b/>
      <w:bCs/>
      <w:sz w:val="24"/>
      <w:szCs w:val="24"/>
      <w:lang w:eastAsia="zh-CN"/>
    </w:rPr>
  </w:style>
  <w:style w:type="paragraph" w:customStyle="1" w:styleId="661">
    <w:name w:val="xl39"/>
    <w:basedOn w:val="1"/>
    <w:qFormat/>
    <w:uiPriority w:val="0"/>
    <w:pPr>
      <w:widowControl/>
      <w:pBdr>
        <w:top w:val="single" w:color="auto" w:sz="4" w:space="0"/>
        <w:left w:val="single" w:color="auto" w:sz="8" w:space="0"/>
        <w:right w:val="single" w:color="auto" w:sz="4" w:space="0"/>
      </w:pBdr>
      <w:shd w:val="clear" w:color="auto" w:fill="FFFFFF"/>
      <w:spacing w:before="100" w:beforeAutospacing="1" w:after="100" w:afterAutospacing="1"/>
      <w:jc w:val="center"/>
    </w:pPr>
    <w:rPr>
      <w:rFonts w:ascii="宋体" w:hAnsi="宋体"/>
      <w:lang w:eastAsia="zh-CN"/>
    </w:rPr>
  </w:style>
  <w:style w:type="paragraph" w:customStyle="1" w:styleId="662">
    <w:name w:val="Char4"/>
    <w:basedOn w:val="1"/>
    <w:qFormat/>
    <w:uiPriority w:val="0"/>
    <w:pPr>
      <w:jc w:val="both"/>
    </w:pPr>
    <w:rPr>
      <w:rFonts w:ascii="Tahoma" w:hAnsi="Tahoma"/>
      <w:kern w:val="2"/>
      <w:sz w:val="24"/>
      <w:szCs w:val="20"/>
      <w:lang w:eastAsia="zh-CN"/>
    </w:rPr>
  </w:style>
  <w:style w:type="paragraph" w:customStyle="1" w:styleId="663">
    <w:name w:val="Outline"/>
    <w:basedOn w:val="1"/>
    <w:qFormat/>
    <w:uiPriority w:val="0"/>
    <w:pPr>
      <w:widowControl/>
      <w:spacing w:before="240" w:line="360" w:lineRule="auto"/>
      <w:ind w:firstLine="200" w:firstLineChars="200"/>
    </w:pPr>
    <w:rPr>
      <w:rFonts w:ascii="Arial" w:hAnsi="Arial"/>
      <w:kern w:val="28"/>
      <w:sz w:val="20"/>
      <w:szCs w:val="20"/>
      <w:lang w:eastAsia="zh-CN"/>
    </w:rPr>
  </w:style>
  <w:style w:type="paragraph" w:customStyle="1" w:styleId="664">
    <w:name w:val="(1)"/>
    <w:basedOn w:val="1"/>
    <w:qFormat/>
    <w:uiPriority w:val="0"/>
    <w:pPr>
      <w:tabs>
        <w:tab w:val="left" w:pos="573"/>
      </w:tabs>
      <w:adjustRightInd w:val="0"/>
      <w:snapToGrid w:val="0"/>
      <w:spacing w:before="80" w:after="100" w:line="240" w:lineRule="atLeast"/>
      <w:jc w:val="both"/>
      <w:textAlignment w:val="baseline"/>
    </w:pPr>
    <w:rPr>
      <w:rFonts w:ascii="Arial" w:hAnsi="Arial"/>
      <w:kern w:val="44"/>
      <w:sz w:val="24"/>
      <w:szCs w:val="24"/>
      <w:lang w:eastAsia="zh-CN"/>
    </w:rPr>
  </w:style>
  <w:style w:type="paragraph" w:customStyle="1" w:styleId="665">
    <w:name w:val="(i)"/>
    <w:basedOn w:val="1"/>
    <w:qFormat/>
    <w:uiPriority w:val="0"/>
    <w:pPr>
      <w:widowControl/>
      <w:suppressAutoHyphens/>
      <w:spacing w:line="360" w:lineRule="auto"/>
      <w:ind w:firstLine="200" w:firstLineChars="200"/>
      <w:jc w:val="both"/>
    </w:pPr>
    <w:rPr>
      <w:rFonts w:ascii="Tms Rmn" w:hAnsi="Tms Rmn"/>
      <w:sz w:val="20"/>
      <w:szCs w:val="20"/>
    </w:rPr>
  </w:style>
  <w:style w:type="paragraph" w:customStyle="1" w:styleId="666">
    <w:name w:val="font13"/>
    <w:basedOn w:val="1"/>
    <w:qFormat/>
    <w:uiPriority w:val="0"/>
    <w:pPr>
      <w:widowControl/>
      <w:spacing w:before="100" w:beforeAutospacing="1" w:after="100" w:afterAutospacing="1"/>
    </w:pPr>
    <w:rPr>
      <w:rFonts w:ascii="Times New Roman" w:hAnsi="Times New Roman" w:eastAsia="Arial Unicode MS"/>
      <w:b/>
      <w:bCs/>
      <w:sz w:val="20"/>
      <w:szCs w:val="20"/>
      <w:lang w:eastAsia="zh-CN"/>
    </w:rPr>
  </w:style>
  <w:style w:type="paragraph" w:customStyle="1" w:styleId="667">
    <w:name w:val="xl112"/>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668">
    <w:name w:val="xl181"/>
    <w:basedOn w:val="1"/>
    <w:qFormat/>
    <w:uiPriority w:val="0"/>
    <w:pPr>
      <w:widowControl/>
      <w:pBdr>
        <w:left w:val="single" w:color="auto" w:sz="8" w:space="0"/>
      </w:pBdr>
      <w:spacing w:before="100" w:beforeAutospacing="1" w:after="100" w:afterAutospacing="1"/>
      <w:jc w:val="center"/>
    </w:pPr>
    <w:rPr>
      <w:rFonts w:hint="eastAsia" w:ascii="宋体" w:hAnsi="宋体" w:cs="Arial Unicode MS"/>
      <w:b/>
      <w:bCs/>
      <w:sz w:val="32"/>
      <w:szCs w:val="32"/>
      <w:lang w:eastAsia="zh-CN"/>
    </w:rPr>
  </w:style>
  <w:style w:type="paragraph" w:customStyle="1" w:styleId="669">
    <w:name w:val="xl10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670">
    <w:name w:val="正文4"/>
    <w:basedOn w:val="1"/>
    <w:qFormat/>
    <w:uiPriority w:val="0"/>
    <w:pPr>
      <w:spacing w:line="360" w:lineRule="auto"/>
      <w:ind w:left="400" w:leftChars="400"/>
      <w:jc w:val="both"/>
    </w:pPr>
    <w:rPr>
      <w:rFonts w:ascii="宋体" w:hAnsi="Times New Roman"/>
      <w:kern w:val="2"/>
      <w:sz w:val="24"/>
      <w:szCs w:val="24"/>
      <w:lang w:eastAsia="zh-CN"/>
    </w:rPr>
  </w:style>
  <w:style w:type="paragraph" w:customStyle="1" w:styleId="671">
    <w:name w:val="正文3"/>
    <w:qFormat/>
    <w:uiPriority w:val="0"/>
    <w:pPr>
      <w:widowControl w:val="0"/>
      <w:adjustRightInd w:val="0"/>
      <w:spacing w:line="240" w:lineRule="atLeast"/>
      <w:jc w:val="both"/>
      <w:textAlignment w:val="baseline"/>
    </w:pPr>
    <w:rPr>
      <w:rFonts w:ascii="宋体" w:hAnsi="Times New Roman" w:eastAsia="宋体" w:cs="Times New Roman"/>
      <w:sz w:val="34"/>
      <w:lang w:val="en-US" w:eastAsia="zh-CN" w:bidi="ar-SA"/>
    </w:rPr>
  </w:style>
  <w:style w:type="paragraph" w:customStyle="1" w:styleId="672">
    <w:name w:val="Style"/>
    <w:basedOn w:val="1"/>
    <w:next w:val="53"/>
    <w:qFormat/>
    <w:uiPriority w:val="0"/>
    <w:pPr>
      <w:tabs>
        <w:tab w:val="left" w:pos="1050"/>
      </w:tabs>
      <w:spacing w:line="400" w:lineRule="exact"/>
      <w:ind w:left="1050"/>
      <w:jc w:val="both"/>
    </w:pPr>
    <w:rPr>
      <w:rFonts w:ascii="宋体" w:hAnsi="Times New Roman"/>
      <w:kern w:val="2"/>
      <w:sz w:val="28"/>
      <w:szCs w:val="28"/>
      <w:lang w:eastAsia="zh-CN"/>
    </w:rPr>
  </w:style>
  <w:style w:type="paragraph" w:customStyle="1" w:styleId="673">
    <w:name w:val="招标号"/>
    <w:qFormat/>
    <w:uiPriority w:val="0"/>
    <w:pPr>
      <w:jc w:val="center"/>
    </w:pPr>
    <w:rPr>
      <w:rFonts w:ascii="Times New Roman" w:hAnsi="Times New Roman" w:eastAsia="隶书" w:cs="Times New Roman"/>
      <w:b/>
      <w:bCs/>
      <w:sz w:val="28"/>
      <w:lang w:val="en-US" w:eastAsia="zh-CN" w:bidi="ar-SA"/>
    </w:rPr>
  </w:style>
  <w:style w:type="paragraph" w:customStyle="1" w:styleId="674">
    <w:name w:val="Char Char Char Char Char Char Char Char Char Char Char Char Char Char Char Char2"/>
    <w:basedOn w:val="1"/>
    <w:qFormat/>
    <w:uiPriority w:val="0"/>
    <w:pPr>
      <w:widowControl/>
      <w:spacing w:after="160" w:line="240" w:lineRule="exact"/>
    </w:pPr>
    <w:rPr>
      <w:rFonts w:ascii="Verdana" w:hAnsi="Verdana" w:eastAsia="仿宋_GB2312"/>
      <w:sz w:val="24"/>
      <w:szCs w:val="20"/>
    </w:rPr>
  </w:style>
  <w:style w:type="paragraph" w:customStyle="1" w:styleId="675">
    <w:name w:val="CM54"/>
    <w:basedOn w:val="84"/>
    <w:next w:val="84"/>
    <w:qFormat/>
    <w:uiPriority w:val="0"/>
    <w:pPr>
      <w:spacing w:line="398" w:lineRule="atLeast"/>
    </w:pPr>
    <w:rPr>
      <w:rFonts w:ascii="Calibri" w:cs="Times New Roman"/>
      <w:color w:val="auto"/>
    </w:rPr>
  </w:style>
  <w:style w:type="paragraph" w:customStyle="1" w:styleId="676">
    <w:name w:val="xl120"/>
    <w:basedOn w:val="1"/>
    <w:qFormat/>
    <w:uiPriority w:val="0"/>
    <w:pPr>
      <w:widowControl/>
      <w:pBdr>
        <w:top w:val="single" w:color="auto" w:sz="4" w:space="0"/>
        <w:bottom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677">
    <w:name w:val="font5"/>
    <w:basedOn w:val="1"/>
    <w:qFormat/>
    <w:uiPriority w:val="0"/>
    <w:pPr>
      <w:widowControl/>
      <w:spacing w:before="100" w:beforeAutospacing="1" w:after="100" w:afterAutospacing="1"/>
    </w:pPr>
    <w:rPr>
      <w:rFonts w:hint="eastAsia" w:ascii="宋体" w:hAnsi="宋体"/>
      <w:sz w:val="18"/>
      <w:szCs w:val="18"/>
      <w:lang w:eastAsia="zh-CN"/>
    </w:rPr>
  </w:style>
  <w:style w:type="paragraph" w:customStyle="1" w:styleId="678">
    <w:name w:val="xl142"/>
    <w:basedOn w:val="1"/>
    <w:qFormat/>
    <w:uiPriority w:val="0"/>
    <w:pPr>
      <w:widowControl/>
      <w:pBdr>
        <w:left w:val="single" w:color="auto" w:sz="8"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table" w:customStyle="1" w:styleId="679">
    <w:name w:val="Table Normal_0"/>
    <w:qFormat/>
    <w:uiPriority w:val="0"/>
    <w:pPr>
      <w:widowControl w:val="0"/>
    </w:pPr>
    <w:rPr>
      <w:sz w:val="22"/>
      <w:szCs w:val="22"/>
      <w:lang w:eastAsia="en-US"/>
    </w:rPr>
    <w:tblPr>
      <w:tblCellMar>
        <w:top w:w="0" w:type="dxa"/>
        <w:left w:w="0" w:type="dxa"/>
        <w:bottom w:w="0" w:type="dxa"/>
        <w:right w:w="0" w:type="dxa"/>
      </w:tblCellMar>
    </w:tblPr>
  </w:style>
  <w:style w:type="table" w:customStyle="1" w:styleId="680">
    <w:name w:val="表格样式1"/>
    <w:basedOn w:val="68"/>
    <w:qFormat/>
    <w:uiPriority w:val="0"/>
    <w:rPr>
      <w:rFonts w:ascii="Calibri" w:hAnsi="Calibri"/>
    </w:rPr>
  </w:style>
  <w:style w:type="paragraph" w:customStyle="1" w:styleId="681">
    <w:name w:val="Revision"/>
    <w:unhideWhenUsed/>
    <w:qFormat/>
    <w:uiPriority w:val="99"/>
    <w:rPr>
      <w:rFonts w:ascii="Calibri" w:hAnsi="Calibri" w:eastAsia="宋体" w:cs="Times New Roman"/>
      <w:sz w:val="22"/>
      <w:szCs w:val="22"/>
      <w:lang w:val="en-US" w:eastAsia="en-US" w:bidi="ar-SA"/>
    </w:rPr>
  </w:style>
  <w:style w:type="character" w:customStyle="1" w:styleId="682">
    <w:name w:val="Unresolved Mention"/>
    <w:unhideWhenUsed/>
    <w:qFormat/>
    <w:uiPriority w:val="99"/>
    <w:rPr>
      <w:color w:val="605E5C"/>
      <w:shd w:val="clear" w:color="auto" w:fill="E1DFDD"/>
    </w:rPr>
  </w:style>
  <w:style w:type="paragraph" w:customStyle="1" w:styleId="683">
    <w:name w:val="Normal_1"/>
    <w:qFormat/>
    <w:uiPriority w:val="0"/>
    <w:pPr>
      <w:widowControl w:val="0"/>
      <w:spacing w:after="200" w:line="276" w:lineRule="auto"/>
      <w:jc w:val="both"/>
    </w:pPr>
    <w:rPr>
      <w:rFonts w:ascii="Calibri" w:hAnsi="Calibri" w:eastAsia="Calibri" w:cs="Times New Roman"/>
      <w:kern w:val="2"/>
      <w:sz w:val="21"/>
      <w:lang w:val="en-US" w:eastAsia="zh-CN" w:bidi="ar-SA"/>
    </w:rPr>
  </w:style>
  <w:style w:type="paragraph" w:customStyle="1" w:styleId="684">
    <w:name w:val="标准中文版式_正文"/>
    <w:basedOn w:val="1"/>
    <w:qFormat/>
    <w:uiPriority w:val="0"/>
    <w:pPr>
      <w:spacing w:before="30" w:beforeLines="0" w:line="360" w:lineRule="auto"/>
      <w:ind w:firstLineChars="200"/>
    </w:pPr>
    <w:rPr>
      <w:rFonts w:ascii="Arial" w:hAnsi="Arial"/>
      <w:sz w:val="24"/>
    </w:rPr>
  </w:style>
  <w:style w:type="character" w:customStyle="1" w:styleId="685">
    <w:name w:val="标题 2 Char1"/>
    <w:link w:val="3"/>
    <w:qFormat/>
    <w:uiPriority w:val="0"/>
    <w:rPr>
      <w:rFonts w:ascii="Arial" w:hAnsi="Arial" w:eastAsia="宋体"/>
      <w:b/>
      <w:bCs/>
      <w:kern w:val="2"/>
      <w:sz w:val="24"/>
      <w:szCs w:val="32"/>
      <w:lang w:val="en-US" w:eastAsia="zh-CN" w:bidi="ar-SA"/>
    </w:rPr>
  </w:style>
  <w:style w:type="table" w:customStyle="1" w:styleId="686">
    <w:name w:val="Table Normal_1"/>
    <w:unhideWhenUsed/>
    <w:qFormat/>
    <w:uiPriority w:val="0"/>
    <w:tblPr>
      <w:tblCellMar>
        <w:top w:w="0" w:type="dxa"/>
        <w:left w:w="0" w:type="dxa"/>
        <w:bottom w:w="0" w:type="dxa"/>
        <w:right w:w="0" w:type="dxa"/>
      </w:tblCellMar>
    </w:tblPr>
  </w:style>
  <w:style w:type="character" w:customStyle="1" w:styleId="687">
    <w:name w:val="old"/>
    <w:basedOn w:val="71"/>
    <w:qFormat/>
    <w:uiPriority w:val="0"/>
    <w:rPr>
      <w:color w:val="999999"/>
    </w:rPr>
  </w:style>
  <w:style w:type="character" w:customStyle="1" w:styleId="688">
    <w:name w:val="hour_am"/>
    <w:basedOn w:val="71"/>
    <w:qFormat/>
    <w:uiPriority w:val="0"/>
  </w:style>
  <w:style w:type="character" w:customStyle="1" w:styleId="689">
    <w:name w:val="indent"/>
    <w:basedOn w:val="71"/>
    <w:qFormat/>
    <w:uiPriority w:val="0"/>
  </w:style>
  <w:style w:type="character" w:customStyle="1" w:styleId="690">
    <w:name w:val="hover1"/>
    <w:basedOn w:val="71"/>
    <w:qFormat/>
    <w:uiPriority w:val="0"/>
    <w:rPr>
      <w:shd w:val="clear" w:fill="EEEEEE"/>
    </w:rPr>
  </w:style>
  <w:style w:type="character" w:customStyle="1" w:styleId="691">
    <w:name w:val="glyphicon6"/>
    <w:basedOn w:val="71"/>
    <w:qFormat/>
    <w:uiPriority w:val="0"/>
  </w:style>
  <w:style w:type="character" w:customStyle="1" w:styleId="692">
    <w:name w:val="hour_pm"/>
    <w:basedOn w:val="71"/>
    <w:qFormat/>
    <w:uiPriority w:val="0"/>
  </w:style>
  <w:style w:type="character" w:customStyle="1" w:styleId="693">
    <w:name w:val="icon"/>
    <w:basedOn w:val="71"/>
    <w:qFormat/>
    <w:uiPriority w:val="0"/>
  </w:style>
  <w:style w:type="table" w:customStyle="1" w:styleId="694">
    <w:name w:val="Table Normal"/>
    <w:unhideWhenUsed/>
    <w:qFormat/>
    <w:uiPriority w:val="0"/>
    <w:tblPr>
      <w:tblCellMar>
        <w:top w:w="0" w:type="dxa"/>
        <w:left w:w="0" w:type="dxa"/>
        <w:bottom w:w="0" w:type="dxa"/>
        <w:right w:w="0" w:type="dxa"/>
      </w:tblCellMar>
    </w:tblPr>
  </w:style>
  <w:style w:type="paragraph" w:customStyle="1" w:styleId="695">
    <w:name w:val="null3"/>
    <w:hidden/>
    <w:qFormat/>
    <w:uiPriority w:val="0"/>
    <w:rPr>
      <w:rFonts w:hint="eastAsia" w:asciiTheme="minorHAnsi" w:hAnsiTheme="minorHAnsi" w:eastAsiaTheme="minorEastAsia" w:cstheme="minorBidi"/>
      <w:lang w:val="en-US" w:eastAsia="zh-Hans"/>
    </w:rPr>
  </w:style>
  <w:style w:type="paragraph" w:customStyle="1" w:styleId="696">
    <w:name w:val="WPSOffice手动目录 1"/>
    <w:qFormat/>
    <w:uiPriority w:val="0"/>
    <w:pPr>
      <w:ind w:leftChars="0"/>
    </w:pPr>
    <w:rPr>
      <w:rFonts w:ascii="Times New Roman" w:hAnsi="Times New Roman" w:eastAsia="宋体" w:cs="Times New Roman"/>
      <w:sz w:val="20"/>
      <w:szCs w:val="20"/>
    </w:rPr>
  </w:style>
  <w:style w:type="paragraph" w:customStyle="1" w:styleId="697">
    <w:name w:val="WPSOffice手动目录 2"/>
    <w:qFormat/>
    <w:uiPriority w:val="0"/>
    <w:pPr>
      <w:ind w:leftChars="200"/>
    </w:pPr>
    <w:rPr>
      <w:rFonts w:ascii="Times New Roman" w:hAnsi="Times New Roman" w:eastAsia="宋体" w:cs="Times New Roman"/>
      <w:sz w:val="20"/>
      <w:szCs w:val="20"/>
    </w:rPr>
  </w:style>
  <w:style w:type="paragraph" w:customStyle="1" w:styleId="698">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png"/><Relationship Id="rId10" Type="http://schemas.openxmlformats.org/officeDocument/2006/relationships/image" Target="media/image1.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ed3374e0-a8c8-4568-97d9-80bd499ed06a</errorID>
      <errorWord>2026年05月</errorWord>
      <group>L1_Knowledge</group>
      <groupName>知识性问题</groupName>
      <ability>L2_Time</ability>
      <abilityName>日期时间</abilityName>
      <candidateList>
        <item>2026年5月</item>
      </candidateList>
      <explain>根据日常书写习惯，月份一般会省略前导零。</explain>
      <paraID>6D4C29FD</paraID>
      <start>74</start>
      <end>82</end>
      <status>unmodified</status>
      <modifiedWord/>
      <trackRevisions>false</trackRevisions>
    </reviewItem>
    <reviewItem>
      <errorID>f0340f3b-dd14-4166-b12b-c54ab46fc424</errorID>
      <errorWord>2026年04月</errorWord>
      <group>L1_Knowledge</group>
      <groupName>知识性问题</groupName>
      <ability>L2_Time</ability>
      <abilityName>日期时间</abilityName>
      <candidateList>
        <item>2026年4月</item>
      </candidateList>
      <explain>根据日常书写习惯，月份一般会省略前导零。</explain>
      <paraID>7D23BF29</paraID>
      <start>5</start>
      <end>13</end>
      <status>unmodified</status>
      <modifiedWord/>
      <trackRevisions>false</trackRevisions>
    </reviewItem>
    <reviewItem>
      <errorID>3da4091f-8fba-420b-aa2b-5abc461b6ac0</errorID>
      <errorWord>2025年05月</errorWord>
      <group>L1_Knowledge</group>
      <groupName>知识性问题</groupName>
      <ability>L2_Time</ability>
      <abilityName>日期时间</abilityName>
      <candidateList>
        <item>2025年5月</item>
      </candidateList>
      <explain>根据日常书写习惯，月份一般会省略前导零。</explain>
      <paraID>7D23BF29</paraID>
      <start>23</start>
      <end>31</end>
      <status>unmodified</status>
      <modifiedWord/>
      <trackRevisions>false</trackRevisions>
    </reviewItem>
    <reviewItem>
      <errorID>3e7f58e9-2f15-4b4d-b81e-3136e352da32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70A6C496</paraID>
      <start>29</start>
      <end>32</end>
      <status>unmodified</status>
      <modifiedWord/>
      <trackRevisions>false</trackRevisions>
    </reviewItem>
    <reviewItem>
      <errorID>c0cf41cf-c2cb-4daa-a65f-0387e31f2984</errorID>
      <errorWord>前应</errorWord>
      <group>L1_Word</group>
      <groupName>字词问题</groupName>
      <ability>L2_Typo</ability>
      <abilityName>字词错误</abilityName>
      <candidateList>
        <item>前</item>
      </candidateList>
      <explain>❶〈名〉方位词。在正面的（指空间，跟“后”相对）：～门｜村～村后。❷往前走：勇往直～｜畏缩不～。❸〈名〉方位词。次序靠近头里的（跟“后”相对）：～排｜他的成绩在班里总是～三名。❹〈名〉方位词。过去的；较早的（指时间，跟“后”相对）：～天｜从～｜～几年｜～功尽弃｜～所未有｜～无古人，后无来者。❺〈名〉方位词。</explain>
      <paraID>70A6C496</paraID>
      <start>108</start>
      <end>110</end>
      <status>unmodified</status>
      <modifiedWord/>
      <trackRevisions>false</trackRevisions>
    </reviewItem>
    <reviewItem>
      <errorID>b7cb821b-c158-4c86-863f-909445354834</errorID>
      <errorWord>目</errorWord>
      <group>L1_Word</group>
      <groupName>字词问题</groupName>
      <ability>L2_Typo</ability>
      <abilityName>字词错误</abilityName>
      <candidateList>
        <item>目是</item>
      </candidateList>
      <explain/>
      <paraID>3B0B0300</paraID>
      <start>5</start>
      <end>6</end>
      <status>unmodified</status>
      <modifiedWord/>
      <trackRevisions>false</trackRevisions>
    </reviewItem>
    <reviewItem>
      <errorID>98ed5e43-d390-422a-9e05-4d094d880215</errorID>
      <errorWord>作</errorWord>
      <group>L1_Word</group>
      <groupName>字词问题</groupName>
      <ability>L2_Typo</ability>
      <abilityName>字词错误</abilityName>
      <candidateList>
        <item>做</item>
      </candidateList>
      <explain>存在发音相同字词的误用。</explain>
      <paraID>41BFDEEE</paraID>
      <start>66</start>
      <end>67</end>
      <status>unmodified</status>
      <modifiedWord/>
      <trackRevisions>false</trackRevisions>
    </reviewItem>
    <reviewItem>
      <errorID>ed527842-a348-46b4-9d27-81a5a2aaee6f</errorID>
      <errorWord>签证</errorWord>
      <group>L1_Word</group>
      <groupName>字词问题</groupName>
      <ability>L2_Typo</ability>
      <abilityName>字词错误</abilityName>
      <candidateList>
        <item>验证</item>
      </candidateList>
      <explain>存在字形相近字词的误用。</explain>
      <paraID>41BFDEEE</paraID>
      <start>70</start>
      <end>72</end>
      <status>unmodified</status>
      <modifiedWord/>
      <trackRevisions>false</trackRevisions>
    </reviewItem>
    <reviewItem>
      <errorID>4f896bbb-a4e9-4cdb-b81a-c3dea56f21f2</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539252F2</paraID>
      <start>0</start>
      <end>2</end>
      <status>unmodified</status>
      <modifiedWord/>
      <trackRevisions>false</trackRevisions>
    </reviewItem>
    <reviewItem>
      <errorID>35240cdd-9729-4a23-be66-187fc7ef967f</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1A167032</paraID>
      <start>0</start>
      <end>2</end>
      <status>unmodified</status>
      <modifiedWord/>
      <trackRevisions>false</trackRevisions>
    </reviewItem>
    <reviewItem>
      <errorID>6557e969-3615-475e-b8e8-f4856ee90af3</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486FF471</paraID>
      <start>0</start>
      <end>2</end>
      <status>unmodified</status>
      <modifiedWord/>
      <trackRevisions>false</trackRevisions>
    </reviewItem>
    <reviewItem>
      <errorID>b250d749-876e-44ff-8266-3be52b3bffbb</errorID>
      <errorWord>网</errorWord>
      <group>L1_Word</group>
      <groupName>字词问题</groupName>
      <ability>L2_Typo</ability>
      <abilityName>字词错误</abilityName>
      <candidateList>
        <item>网站</item>
      </candidateList>
      <explain/>
      <paraID>34FB642C</paraID>
      <start>94</start>
      <end>95</end>
      <status>unmodified</status>
      <modifiedWord/>
      <trackRevisions>false</trackRevisions>
    </reviewItem>
    <reviewItem>
      <errorID>a1a31429-94a4-4e3c-814f-5abeddaf184c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6AC033E9</paraID>
      <start>48</start>
      <end>49</end>
      <status>unmodified</status>
      <modifiedWord/>
      <trackRevisions>false</trackRevisions>
    </reviewItem>
    <reviewItem>
      <errorID>c690751d-cfbd-4b77-b632-19b23a3429f3</errorID>
      <errorWord>：/</errorWord>
      <group>L1_Punc</group>
      <groupName>标点问题</groupName>
      <ability>L2_Punc</ability>
      <abilityName>标点符号检查</abilityName>
      <candidateList>
        <item>：</item>
      </candidateList>
      <explain/>
      <paraID>619B38C7</paraID>
      <start>10</start>
      <end>12</end>
      <status>unmodified</status>
      <modifiedWord/>
      <trackRevisions>false</trackRevisions>
    </reviewItem>
    <reviewItem>
      <errorID>911a0f81-b013-4d0b-835f-150b4697465b</errorID>
      <errorWord>：/</errorWord>
      <group>L1_Punc</group>
      <groupName>标点问题</groupName>
      <ability>L2_Punc</ability>
      <abilityName>标点符号检查</abilityName>
      <candidateList>
        <item>：</item>
      </candidateList>
      <explain/>
      <paraID>44090470</paraID>
      <start>6</start>
      <end>8</end>
      <status>unmodified</status>
      <modifiedWord/>
      <trackRevisions>false</trackRevisions>
    </reviewItem>
    <reviewItem>
      <errorID>899582ae-e51c-452b-8153-7f7555b46a05</errorID>
      <errorWord>：/</errorWord>
      <group>L1_Punc</group>
      <groupName>标点问题</groupName>
      <ability>L2_Punc</ability>
      <abilityName>标点符号检查</abilityName>
      <candidateList>
        <item>：</item>
      </candidateList>
      <explain/>
      <paraID>54177F4D</paraID>
      <start>9</start>
      <end>11</end>
      <status>unmodified</status>
      <modifiedWord/>
      <trackRevisions>false</trackRevisions>
    </reviewItem>
    <reviewItem>
      <errorID>c4842e2d-e601-439c-904f-2c95a69396fc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66EC1305</paraID>
      <start>0</start>
      <end>2</end>
      <status>unmodified</status>
      <modifiedWord/>
      <trackRevisions>false</trackRevisions>
    </reviewItem>
    <reviewItem>
      <errorID>198f8ba3-8bc9-4881-b1cc-885493767aa5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58282563</paraID>
      <start>0</start>
      <end>2</end>
      <status>unmodified</status>
      <modifiedWord/>
      <trackRevisions>false</trackRevisions>
    </reviewItem>
    <reviewItem>
      <errorID>18c5f7c5-5abc-4760-b54c-1f8a19bd0b9f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64473365</paraID>
      <start>0</start>
      <end>2</end>
      <status>unmodified</status>
      <modifiedWord/>
      <trackRevisions>false</trackRevisions>
    </reviewItem>
    <reviewItem>
      <errorID>22fae157-026f-4d37-8b35-bbbd001f7cc1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774F05E</paraID>
      <start>0</start>
      <end>2</end>
      <status>unmodified</status>
      <modifiedWord/>
      <trackRevisions>false</trackRevisions>
    </reviewItem>
    <reviewItem>
      <errorID>3b83b5a6-7854-460a-86cf-301f856282f9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33F1D2F</paraID>
      <start>0</start>
      <end>2</end>
      <status>unmodified</status>
      <modifiedWord/>
      <trackRevisions>false</trackRevisions>
    </reviewItem>
    <reviewItem>
      <errorID>4ba3b817-c48d-4c5b-a738-913c99974f75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7FF9162A</paraID>
      <start>0</start>
      <end>2</end>
      <status>unmodified</status>
      <modifiedWord/>
      <trackRevisions>false</trackRevisions>
    </reviewItem>
    <reviewItem>
      <errorID>d620ab68-943e-44c6-8b45-41c08eaaa5af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35CF31D4</paraID>
      <start>0</start>
      <end>2</end>
      <status>unmodified</status>
      <modifiedWord/>
      <trackRevisions>false</trackRevisions>
    </reviewItem>
    <reviewItem>
      <errorID>8dc4be1d-aca6-4db3-b050-e907ba78b2bb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75493576</paraID>
      <start>0</start>
      <end>2</end>
      <status>unmodified</status>
      <modifiedWord/>
      <trackRevisions>false</trackRevisions>
    </reviewItem>
    <reviewItem>
      <errorID>c507318c-6521-4007-b8e1-46d4a4c2e158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3A63D091</paraID>
      <start>0</start>
      <end>2</end>
      <status>unmodified</status>
      <modifiedWord/>
      <trackRevisions>false</trackRevisions>
    </reviewItem>
    <reviewItem>
      <errorID>6c36e83e-215c-4155-adf8-427175896fa4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969C9EA</paraID>
      <start>0</start>
      <end>2</end>
      <status>unmodified</status>
      <modifiedWord/>
      <trackRevisions>false</trackRevisions>
    </reviewItem>
    <reviewItem>
      <errorID>38599738-ad7d-472d-8e08-356d7217c13f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4D29BFBB</paraID>
      <start>0</start>
      <end>2</end>
      <status>unmodified</status>
      <modifiedWord/>
      <trackRevisions>false</trackRevisions>
    </reviewItem>
    <reviewItem>
      <errorID>945125ad-9961-48ca-87eb-5a26b63b3720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1E5D7AAB</paraID>
      <start>0</start>
      <end>2</end>
      <status>unmodified</status>
      <modifiedWord/>
      <trackRevisions>false</trackRevisions>
    </reviewItem>
    <reviewItem>
      <errorID>12aea9b6-ea6f-4089-a51a-e5d722300553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2033B9EA</paraID>
      <start>0</start>
      <end>2</end>
      <status>unmodified</status>
      <modifiedWord/>
      <trackRevisions>false</trackRevisions>
    </reviewItem>
    <reviewItem>
      <errorID>db6d0652-4d57-405e-86c0-920b1397022e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4CE36F3E</paraID>
      <start>0</start>
      <end>2</end>
      <status>unmodified</status>
      <modifiedWord/>
      <trackRevisions>false</trackRevisions>
    </reviewItem>
    <reviewItem>
      <errorID>4b151c80-115d-4870-ba56-e80aa06a1673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36F8D51B</paraID>
      <start>0</start>
      <end>2</end>
      <status>unmodified</status>
      <modifiedWord/>
      <trackRevisions>false</trackRevisions>
    </reviewItem>
    <reviewItem>
      <errorID>95db2a07-c36c-4ab4-bfd3-918a7788bbf9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56DFC291</paraID>
      <start>0</start>
      <end>2</end>
      <status>unmodified</status>
      <modifiedWord/>
      <trackRevisions>false</trackRevisions>
    </reviewItem>
    <reviewItem>
      <errorID>d9bc7ff8-5941-43e1-a1e6-48634a15d44d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CDC4850</paraID>
      <start>0</start>
      <end>2</end>
      <status>unmodified</status>
      <modifiedWord/>
      <trackRevisions>false</trackRevisions>
    </reviewItem>
    <reviewItem>
      <errorID>6f2376b1-a5d3-4039-8c4e-d55dc6e3c928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DFC7375</paraID>
      <start>0</start>
      <end>2</end>
      <status>unmodified</status>
      <modifiedWord/>
      <trackRevisions>false</trackRevisions>
    </reviewItem>
    <reviewItem>
      <errorID>1aa9fceb-9789-4c2d-be03-ac6da8a38fdc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1DE96286</paraID>
      <start>0</start>
      <end>2</end>
      <status>unmodified</status>
      <modifiedWord/>
      <trackRevisions>false</trackRevisions>
    </reviewItem>
    <reviewItem>
      <errorID>a5b3aad8-cd4a-4a10-988b-8ec48fec2265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88784D4</paraID>
      <start>0</start>
      <end>2</end>
      <status>unmodified</status>
      <modifiedWord/>
      <trackRevisions>false</trackRevisions>
    </reviewItem>
    <reviewItem>
      <errorID>ce90298e-d464-4d30-af86-c65fca2c4481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62EAE464</paraID>
      <start>0</start>
      <end>2</end>
      <status>unmodified</status>
      <modifiedWord/>
      <trackRevisions>false</trackRevisions>
    </reviewItem>
    <reviewItem>
      <errorID>040524f5-c2d6-439c-b671-85d1eb7eeff7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647AA163</paraID>
      <start>0</start>
      <end>2</end>
      <status>unmodified</status>
      <modifiedWord/>
      <trackRevisions>false</trackRevisions>
    </reviewItem>
    <reviewItem>
      <errorID>f5781826-94de-4661-9f0c-c694ca6924f7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684CBF8C</paraID>
      <start>0</start>
      <end>2</end>
      <status>unmodified</status>
      <modifiedWord/>
      <trackRevisions>false</trackRevisions>
    </reviewItem>
    <reviewItem>
      <errorID>da006efc-68e3-45ee-8a3c-606291f2e7ef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40F85B82</paraID>
      <start>0</start>
      <end>2</end>
      <status>unmodified</status>
      <modifiedWord/>
      <trackRevisions>false</trackRevisions>
    </reviewItem>
    <reviewItem>
      <errorID>6ba19f2c-a92d-4e96-8861-83805b5c2cc3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561B3A61</paraID>
      <start>0</start>
      <end>2</end>
      <status>unmodified</status>
      <modifiedWord/>
      <trackRevisions>false</trackRevisions>
    </reviewItem>
    <reviewItem>
      <errorID>95abc1c0-5ba4-4f7d-8a8b-d20a6e97bcdb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4C0E04F4</paraID>
      <start>0</start>
      <end>2</end>
      <status>unmodified</status>
      <modifiedWord/>
      <trackRevisions>false</trackRevisions>
    </reviewItem>
    <reviewItem>
      <errorID>959c69a8-b2a1-4d93-b521-8aa64dc823d6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14612E5</paraID>
      <start>0</start>
      <end>2</end>
      <status>unmodified</status>
      <modifiedWord/>
      <trackRevisions>false</trackRevisions>
    </reviewItem>
    <reviewItem>
      <errorID>065defe4-6f41-4bd3-9bdd-19449f85e8b4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12779341</paraID>
      <start>0</start>
      <end>2</end>
      <status>unmodified</status>
      <modifiedWord/>
      <trackRevisions>false</trackRevisions>
    </reviewItem>
    <reviewItem>
      <errorID>92e1cebf-721b-4d09-bacd-3a4e126e0bf2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2C37CE95</paraID>
      <start>0</start>
      <end>2</end>
      <status>unmodified</status>
      <modifiedWord/>
      <trackRevisions>false</trackRevisions>
    </reviewItem>
    <reviewItem>
      <errorID>5ee748e3-ae8b-46eb-b42e-8c739428116f</errorID>
      <errorWord>人</errorWord>
      <group>L1_Word</group>
      <groupName>字词问题</groupName>
      <ability>L2_Typo</ability>
      <abilityName>字词错误</abilityName>
      <candidateList>
        <item>人在</item>
      </candidateList>
      <explain/>
      <paraID>46DAA9B9</paraID>
      <start>18</start>
      <end>19</end>
      <status>unmodified</status>
      <modifiedWord/>
      <trackRevisions>false</trackRevisions>
    </reviewItem>
    <reviewItem>
      <errorID>10632962-48fe-4828-8398-48de07f10ae0</errorID>
      <errorWord>位</errorWord>
      <group>L1_Word</group>
      <groupName>字词问题</groupName>
      <ability>L2_Typo</ability>
      <abilityName>字词错误</abilityName>
      <candidateList>
        <item>位公</item>
      </candidateList>
      <explain/>
      <paraID>3515722F</paraID>
      <start>31</start>
      <end>32</end>
      <status>unmodified</status>
      <modifiedWord/>
      <trackRevisions>false</trackRevisions>
    </reviewItem>
    <reviewItem>
      <errorID>04f856f2-b303-4fc7-b7e6-6c6b64dd37c1</errorID>
      <errorWord>位</errorWord>
      <group>L1_Word</group>
      <groupName>字词问题</groupName>
      <ability>L2_Typo</ability>
      <abilityName>字词错误</abilityName>
      <candidateList>
        <item>位公</item>
      </candidateList>
      <explain/>
      <paraID>4FAD105D</paraID>
      <start>42</start>
      <end>43</end>
      <status>unmodified</status>
      <modifiedWord/>
      <trackRevisions>false</trackRevisions>
    </reviewItem>
    <reviewItem>
      <errorID>e8c38ef0-51fa-4a6e-9c04-07d79d80a137</errorID>
      <errorWord>操作合</errorWord>
      <group>L1_Word</group>
      <groupName>字词问题</groupName>
      <ability>L2_Typo</ability>
      <abilityName>字词错误</abilityName>
      <candidateList>
        <item>操作台</item>
      </candidateList>
      <explain/>
      <paraID>68574C2F</paraID>
      <start>10</start>
      <end>13</end>
      <status>unmodified</status>
      <modifiedWord/>
      <trackRevisions>false</trackRevisions>
    </reviewItem>
    <reviewItem>
      <errorID>3784a934-dbec-4818-8bb8-481f6f259c82</errorID>
      <errorWord>异义</errorWord>
      <group>L1_Word</group>
      <groupName>字词问题</groupName>
      <ability>L2_Typo</ability>
      <abilityName>字词错误</abilityName>
      <candidateList>
        <item>异议</item>
      </candidateList>
      <explain/>
      <paraID>2FBC6F1B</paraID>
      <start>19</start>
      <end>21</end>
      <status>unmodified</status>
      <modifiedWord/>
      <trackRevisions>false</trackRevisions>
    </reviewItem>
    <reviewItem>
      <errorID>84bf15c2-188e-45b6-ade8-d484ce19ca8e</errorID>
      <errorWord>接受</errorWord>
      <group>L1_Word</group>
      <groupName>字词问题</groupName>
      <ability>L2_Typo</ability>
      <abilityName>字词错误</abilityName>
      <candidateList>
        <item>接收</item>
      </candidateList>
      <explain>存在发音相同字词的误用。</explain>
      <paraID>29E665CD</paraID>
      <start>8</start>
      <end>10</end>
      <status>unmodified</status>
      <modifiedWord/>
      <trackRevisions>false</trackRevisions>
    </reviewItem>
    <reviewItem>
      <errorID>f762367d-2566-4993-8ac6-5ce018d0fed9</errorID>
      <errorWord>如若</errorWord>
      <group>L1_Word</group>
      <groupName>字词问题</groupName>
      <ability>L2_Typo</ability>
      <abilityName>字词错误</abilityName>
      <candidateList>
        <item>若</item>
      </candidateList>
      <explain/>
      <paraID>11DBDCE2</paraID>
      <start>85</start>
      <end>87</end>
      <status>unmodified</status>
      <modifiedWord/>
      <trackRevisions>false</trackRevisions>
    </reviewItem>
    <reviewItem>
      <errorID>490bb441-72fb-4897-9ec4-a641d9e647fe</errorID>
      <errorWord>。｝</errorWord>
      <group>L1_Punc</group>
      <groupName>标点问题</groupName>
      <ability>L2_Punc</ability>
      <abilityName>标点符号检查</abilityName>
      <candidateList>
        <item>｝</item>
      </candidateList>
      <explain/>
      <paraID>17E6EEF0</paraID>
      <start>258</start>
      <end>260</end>
      <status>unmodified</status>
      <modifiedWord/>
      <trackRevisions>false</trackRevisions>
    </reviewItem>
    <reviewItem>
      <errorID>0013958d-6fa6-4fe9-acd3-ac1b6cc23e1a</errorID>
      <errorWord>(</errorWord>
      <group>L1_Format</group>
      <groupName>格式问题</groupName>
      <ability>L2_HalfPunc</ability>
      <abilityName>全半角检查</abilityName>
      <candidateList>
        <item>（</item>
      </candidateList>
      <explain>文本全半角错误。</explain>
      <paraID>6DF21C22</paraID>
      <start>15</start>
      <end>16</end>
      <status>unmodified</status>
      <modifiedWord/>
      <trackRevisions>false</trackRevisions>
    </reviewItem>
    <reviewItem>
      <errorID>3e5226e2-0f11-470e-ac74-b047f92aa27e</errorID>
      <errorWord>)</errorWord>
      <group>L1_Format</group>
      <groupName>格式问题</groupName>
      <ability>L2_HalfPunc</ability>
      <abilityName>全半角检查</abilityName>
      <candidateList>
        <item>）</item>
      </candidateList>
      <explain>文本全半角错误。</explain>
      <paraID>6DF21C22</paraID>
      <start>18</start>
      <end>19</end>
      <status>unmodified</status>
      <modifiedWord/>
      <trackRevisions>false</trackRevisions>
    </reviewItem>
    <reviewItem>
      <errorID>9b5ecfcb-1d29-4e79-9edb-6d19a4192ea4</errorID>
      <errorWord>:</errorWord>
      <group>L1_Format</group>
      <groupName>格式问题</groupName>
      <ability>L2_HalfPunc</ability>
      <abilityName>全半角检查</abilityName>
      <candidateList>
        <item>：</item>
      </candidateList>
      <explain>文本全半角错误。</explain>
      <paraID>34CC6A6D</paraID>
      <start>4</start>
      <end>5</end>
      <status>unmodified</status>
      <modifiedWord/>
      <trackRevisions>false</trackRevisions>
    </reviewItem>
    <reviewItem>
      <errorID>5b8fbffa-911f-449d-b905-8aa789afcc44</errorID>
      <errorWord>,</errorWord>
      <group>L1_Format</group>
      <groupName>格式问题</groupName>
      <ability>L2_HalfPunc</ability>
      <abilityName>全半角检查</abilityName>
      <candidateList>
        <item>，</item>
      </candidateList>
      <explain>文本全半角错误。</explain>
      <paraID>5A6DA6EA</paraID>
      <start>16</start>
      <end>17</end>
      <status>unmodified</status>
      <modifiedWord/>
      <trackRevisions>false</trackRevisions>
    </reviewItem>
    <reviewItem>
      <errorID>b3a0ad44-bcfb-410a-addf-377e278b4e64</errorID>
      <errorWord>:</errorWord>
      <group>L1_Format</group>
      <groupName>格式问题</groupName>
      <ability>L2_HalfPunc</ability>
      <abilityName>全半角检查</abilityName>
      <candidateList>
        <item>：</item>
      </candidateList>
      <explain>文本全半角错误。</explain>
      <paraID>5A6DA6EA</paraID>
      <start>23</start>
      <end>24</end>
      <status>unmodified</status>
      <modifiedWord/>
      <trackRevisions>false</trackRevisions>
    </reviewItem>
    <reviewItem>
      <errorID>322c2562-e0ad-4753-ba52-69493c1a74b2</errorID>
      <errorWord>:</errorWord>
      <group>L1_Format</group>
      <groupName>格式问题</groupName>
      <ability>L2_HalfPunc</ability>
      <abilityName>全半角检查</abilityName>
      <candidateList>
        <item>：</item>
      </candidateList>
      <explain>文本全半角错误。</explain>
      <paraID>686E7DF3</paraID>
      <start>4</start>
      <end>5</end>
      <status>unmodified</status>
      <modifiedWord/>
      <trackRevisions>false</trackRevisions>
    </reviewItem>
    <reviewItem>
      <errorID>b943800f-828d-4544-a6b3-7fa3bbb09b20</errorID>
      <errorWord>在</errorWord>
      <group>L1_Word</group>
      <groupName>字词问题</groupName>
      <ability>L2_Typo</ability>
      <abilityName>字词错误</abilityName>
      <candidateList>
        <item>有</item>
      </candidateList>
      <explain>存在字形相近字词的误用。</explain>
      <paraID>686E7DF3</paraID>
      <start>43</start>
      <end>44</end>
      <status>unmodified</status>
      <modifiedWord/>
      <trackRevisions>false</trackRevisions>
    </reviewItem>
    <reviewItem>
      <errorID>1c1de375-ed22-4b2f-93c3-a1d734615a41</errorID>
      <errorWord>,</errorWord>
      <group>L1_Format</group>
      <groupName>格式问题</groupName>
      <ability>L2_HalfPunc</ability>
      <abilityName>全半角检查</abilityName>
      <candidateList>
        <item>，</item>
      </candidateList>
      <explain>文本全半角错误。</explain>
      <paraID>48CC62A4</paraID>
      <start>20</start>
      <end>21</end>
      <status>unmodified</status>
      <modifiedWord/>
      <trackRevisions>false</trackRevisions>
    </reviewItem>
    <reviewItem>
      <errorID>904ac631-2ef2-4c6a-a185-388229d6fea6</errorID>
      <errorWord>:</errorWord>
      <group>L1_Format</group>
      <groupName>格式问题</groupName>
      <ability>L2_HalfPunc</ability>
      <abilityName>全半角检查</abilityName>
      <candidateList>
        <item>：</item>
      </candidateList>
      <explain>文本全半角错误。</explain>
      <paraID>48CC62A4</paraID>
      <start>27</start>
      <end>28</end>
      <status>unmodified</status>
      <modifiedWord/>
      <trackRevisions>false</trackRevisions>
    </reviewItem>
    <reviewItem>
      <errorID>d3559af4-4fd4-4c01-945b-394c3ba5975b</errorID>
      <errorWord>:</errorWord>
      <group>L1_Format</group>
      <groupName>格式问题</groupName>
      <ability>L2_HalfPunc</ability>
      <abilityName>全半角检查</abilityName>
      <candidateList>
        <item>：</item>
      </candidateList>
      <explain>文本全半角错误。</explain>
      <paraID> 1233E9A</paraID>
      <start>4</start>
      <end>5</end>
      <status>unmodified</status>
      <modifiedWord/>
      <trackRevisions>false</trackRevisions>
    </reviewItem>
    <reviewItem>
      <errorID>29123871-d6f4-4828-a2f1-c683ea179baa</errorID>
      <errorWord>在</errorWord>
      <group>L1_Word</group>
      <groupName>字词问题</groupName>
      <ability>L2_Typo</ability>
      <abilityName>字词错误</abilityName>
      <candidateList>
        <item>有</item>
      </candidateList>
      <explain>存在字形相近字词的误用。</explain>
      <paraID> 1233E9A</paraID>
      <start>43</start>
      <end>44</end>
      <status>unmodified</status>
      <modifiedWord/>
      <trackRevisions>false</trackRevisions>
    </reviewItem>
    <reviewItem>
      <errorID>18ab1ccb-6a30-4bbb-ae5a-4e12f82109d9</errorID>
      <errorWord>程</errorWord>
      <group>L1_Word</group>
      <groupName>字词问题</groupName>
      <ability>L2_Typo</ability>
      <abilityName>字词错误</abilityName>
      <candidateList>
        <item>程中</item>
      </candidateList>
      <explain/>
      <paraID>76711C26</paraID>
      <start>20</start>
      <end>21</end>
      <status>unmodified</status>
      <modifiedWord/>
      <trackRevisions>false</trackRevisions>
    </reviewItem>
    <reviewItem>
      <errorID>e47216a5-b5c6-4935-a5b8-bcfda066367c</errorID>
      <errorWord>,</errorWord>
      <group>L1_Format</group>
      <groupName>格式问题</groupName>
      <ability>L2_HalfPunc</ability>
      <abilityName>全半角检查</abilityName>
      <candidateList>
        <item>，</item>
      </candidateList>
      <explain>文本全半角错误。</explain>
      <paraID>76711C26</paraID>
      <start>40</start>
      <end>41</end>
      <status>unmodified</status>
      <modifiedWord/>
      <trackRevisions>false</trackRevisions>
    </reviewItem>
    <reviewItem>
      <errorID>1c7a2dcf-1259-4b65-adcb-6302b3b64830</errorID>
      <errorWord>:</errorWord>
      <group>L1_Format</group>
      <groupName>格式问题</groupName>
      <ability>L2_HalfPunc</ability>
      <abilityName>全半角检查</abilityName>
      <candidateList>
        <item>：</item>
      </candidateList>
      <explain>文本全半角错误。</explain>
      <paraID>1B001433</paraID>
      <start>4</start>
      <end>5</end>
      <status>unmodified</status>
      <modifiedWord/>
      <trackRevisions>false</trackRevisions>
    </reviewItem>
    <reviewItem>
      <errorID>b84f0f80-a472-44c8-8836-9e8213f28754</errorID>
      <errorWord>在</errorWord>
      <group>L1_Word</group>
      <groupName>字词问题</groupName>
      <ability>L2_Typo</ability>
      <abilityName>字词错误</abilityName>
      <candidateList>
        <item>有</item>
      </candidateList>
      <explain>存在字形相近字词的误用。</explain>
      <paraID>1B001433</paraID>
      <start>42</start>
      <end>43</end>
      <status>unmodified</status>
      <modifiedWord/>
      <trackRevisions>false</trackRevisions>
    </reviewItem>
    <reviewItem>
      <errorID>6d8913c4-a986-4bd8-baa0-ff774a679cf5</errorID>
      <errorWord>:</errorWord>
      <group>L1_Format</group>
      <groupName>格式问题</groupName>
      <ability>L2_HalfPunc</ability>
      <abilityName>全半角检查</abilityName>
      <candidateList>
        <item>：</item>
      </candidateList>
      <explain>文本全半角错误。</explain>
      <paraID>3BAF1E67</paraID>
      <start>4</start>
      <end>5</end>
      <status>unmodified</status>
      <modifiedWord/>
      <trackRevisions>false</trackRevisions>
    </reviewItem>
    <reviewItem>
      <errorID>87f2a60d-686a-4514-b0bc-62e47ae84197</errorID>
      <errorWord>:</errorWord>
      <group>L1_Format</group>
      <groupName>格式问题</groupName>
      <ability>L2_HalfPunc</ability>
      <abilityName>全半角检查</abilityName>
      <candidateList>
        <item>：</item>
      </candidateList>
      <explain>文本全半角错误。</explain>
      <paraID>7452ADD8</paraID>
      <start>4</start>
      <end>5</end>
      <status>unmodified</status>
      <modifiedWord/>
      <trackRevisions>false</trackRevisions>
    </reviewItem>
    <reviewItem>
      <errorID>ee614808-94a5-46f3-8c20-df656d755a4c</errorID>
      <errorWord>在</errorWord>
      <group>L1_Word</group>
      <groupName>字词问题</groupName>
      <ability>L2_Typo</ability>
      <abilityName>字词错误</abilityName>
      <candidateList>
        <item>有</item>
      </candidateList>
      <explain>存在字形相近字词的误用。</explain>
      <paraID>7452ADD8</paraID>
      <start>43</start>
      <end>44</end>
      <status>unmodified</status>
      <modifiedWord/>
      <trackRevisions>false</trackRevisions>
    </reviewItem>
    <reviewItem>
      <errorID>0130defb-6a58-4f5d-8017-cdba1835d94e</errorID>
      <errorWord>,</errorWord>
      <group>L1_Format</group>
      <groupName>格式问题</groupName>
      <ability>L2_HalfPunc</ability>
      <abilityName>全半角检查</abilityName>
      <candidateList>
        <item>，</item>
      </candidateList>
      <explain>文本全半角错误。</explain>
      <paraID> 683B41B</paraID>
      <start>15</start>
      <end>16</end>
      <status>unmodified</status>
      <modifiedWord/>
      <trackRevisions>false</trackRevisions>
    </reviewItem>
    <reviewItem>
      <errorID>ccaa23ea-ca4b-4d71-b54d-efe517e649f9</errorID>
      <errorWord>,</errorWord>
      <group>L1_Format</group>
      <groupName>格式问题</groupName>
      <ability>L2_HalfPunc</ability>
      <abilityName>全半角检查</abilityName>
      <candidateList>
        <item>，</item>
      </candidateList>
      <explain>文本全半角错误。</explain>
      <paraID> 683B41B</paraID>
      <start>54</start>
      <end>55</end>
      <status>unmodified</status>
      <modifiedWord/>
      <trackRevisions>false</trackRevisions>
    </reviewItem>
    <reviewItem>
      <errorID>dadacb60-7afd-4ca8-b4e2-445a368dfe53</errorID>
      <errorWord>,</errorWord>
      <group>L1_Format</group>
      <groupName>格式问题</groupName>
      <ability>L2_HalfPunc</ability>
      <abilityName>全半角检查</abilityName>
      <candidateList>
        <item>，</item>
      </candidateList>
      <explain>文本全半角错误。</explain>
      <paraID> 683B41B</paraID>
      <start>69</start>
      <end>70</end>
      <status>unmodified</status>
      <modifiedWord/>
      <trackRevisions>false</trackRevisions>
    </reviewItem>
    <reviewItem>
      <errorID>4d4c462f-4a3a-43b7-b312-4542b8a29cbb</errorID>
      <errorWord>,</errorWord>
      <group>L1_Format</group>
      <groupName>格式问题</groupName>
      <ability>L2_HalfPunc</ability>
      <abilityName>全半角检查</abilityName>
      <candidateList>
        <item>，</item>
      </candidateList>
      <explain>文本全半角错误。</explain>
      <paraID>12A5AFF2</paraID>
      <start>24</start>
      <end>25</end>
      <status>unmodified</status>
      <modifiedWord/>
      <trackRevisions>false</trackRevisions>
    </reviewItem>
    <reviewItem>
      <errorID>aa55ec7a-45ba-4324-bf50-0a9d6f55df39</errorID>
      <errorWord>(</errorWord>
      <group>L1_Format</group>
      <groupName>格式问题</groupName>
      <ability>L2_HalfPunc</ability>
      <abilityName>全半角检查</abilityName>
      <candidateList>
        <item>（</item>
      </candidateList>
      <explain>文本全半角错误。</explain>
      <paraID>5D7E8EAC</paraID>
      <start>19</start>
      <end>20</end>
      <status>unmodified</status>
      <modifiedWord/>
      <trackRevisions>false</trackRevisions>
    </reviewItem>
    <reviewItem>
      <errorID>64ce9ec5-447c-45e7-b24d-5e91a12b6c9d</errorID>
      <errorWord>赠与</errorWord>
      <group>L1_Word</group>
      <groupName>字词问题</groupName>
      <ability>L2_Alias</ability>
      <abilityName>也作/曾用词</abilityName>
      <candidateList>
        <item>赠予</item>
      </candidateList>
      <explain>词汇[赠与]为不规范表述或旧称，其规范书面表述为[赠予]。</explain>
      <paraID>5D7E8EAC</paraID>
      <start>28</start>
      <end>30</end>
      <status>unmodified</status>
      <modifiedWord/>
      <trackRevisions>false</trackRevisions>
    </reviewItem>
    <reviewItem>
      <errorID>7e52f11b-0522-4211-a0a0-aace109892dd</errorID>
      <errorWord>)</errorWord>
      <group>L1_Format</group>
      <groupName>格式问题</groupName>
      <ability>L2_HalfPunc</ability>
      <abilityName>全半角检查</abilityName>
      <candidateList>
        <item>）</item>
      </candidateList>
      <explain>文本全半角错误。</explain>
      <paraID>5D7E8EAC</paraID>
      <start>30</start>
      <end>31</end>
      <status>unmodified</status>
      <modifiedWord/>
      <trackRevisions>false</trackRevisions>
    </reviewItem>
    <reviewItem>
      <errorID>acd5aabb-b913-420a-a5c0-58b4a71f5c76</errorID>
      <errorWord>&lt;</errorWord>
      <group>L1_Format</group>
      <groupName>格式问题</groupName>
      <ability>L2_HalfPunc</ability>
      <abilityName>全半角检查</abilityName>
      <candidateList>
        <item>〈</item>
      </candidateList>
      <explain>文本全半角错误。</explain>
      <paraID>21AD1D8F</paraID>
      <start>49</start>
      <end>50</end>
      <status>unmodified</status>
      <modifiedWord/>
      <trackRevisions>false</trackRevisions>
    </reviewItem>
    <reviewItem>
      <errorID>dd6f5d8f-28d6-4c14-999c-59510db635db</errorID>
      <errorWord>&lt;</errorWord>
      <group>L1_Format</group>
      <groupName>格式问题</groupName>
      <ability>L2_HalfPunc</ability>
      <abilityName>全半角检查</abilityName>
      <candidateList>
        <item>〈</item>
      </candidateList>
      <explain>文本全半角错误。</explain>
      <paraID>67489B5E</paraID>
      <start>49</start>
      <end>50</end>
      <status>unmodified</status>
      <modifiedWord/>
      <trackRevisions>false</trackRevisions>
    </reviewItem>
    <reviewItem>
      <errorID>0b7ebb22-ceb7-4ea0-9399-83aae8468d3d</errorID>
      <errorWord>&lt;</errorWord>
      <group>L1_Format</group>
      <groupName>格式问题</groupName>
      <ability>L2_HalfPunc</ability>
      <abilityName>全半角检查</abilityName>
      <candidateList>
        <item>〈</item>
      </candidateList>
      <explain>文本全半角错误。</explain>
      <paraID>66B86ECB</paraID>
      <start>34</start>
      <end>35</end>
      <status>unmodified</status>
      <modifiedWord/>
      <trackRevisions>false</trackRevisions>
    </reviewItem>
    <reviewItem>
      <errorID>36d8f032-270b-4199-9c1f-94ead3291327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216BD872</paraID>
      <start>0</start>
      <end>2</end>
      <status>unmodified</status>
      <modifiedWord/>
      <trackRevisions>false</trackRevisions>
    </reviewItem>
    <reviewItem>
      <errorID>b2014a95-0fd6-4032-9bed-64270e6cacbd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2F6309C0</paraID>
      <start>0</start>
      <end>2</end>
      <status>unmodified</status>
      <modifiedWord/>
      <trackRevisions>false</trackRevisions>
    </reviewItem>
    <reviewItem>
      <errorID>daaeae10-68c7-4a7a-a048-15840361ab2d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78668386</paraID>
      <start>0</start>
      <end>2</end>
      <status>unmodified</status>
      <modifiedWord/>
      <trackRevisions>false</trackRevisions>
    </reviewItem>
    <reviewItem>
      <errorID>915042d8-af38-4b00-bf75-dfe3e25889ac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38330046</paraID>
      <start>0</start>
      <end>2</end>
      <status>unmodified</status>
      <modifiedWord/>
      <trackRevisions>false</trackRevisions>
    </reviewItem>
    <reviewItem>
      <errorID>9667d550-4560-4b23-a72c-bdebe99e29e9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7BB354F5</paraID>
      <start>0</start>
      <end>2</end>
      <status>unmodified</status>
      <modifiedWord/>
      <trackRevisions>false</trackRevisions>
    </reviewItem>
    <reviewItem>
      <errorID>19c24cac-b61d-4417-a329-103c4598c7b1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2B286F67</paraID>
      <start>0</start>
      <end>2</end>
      <status>unmodified</status>
      <modifiedWord/>
      <trackRevisions>false</trackRevisions>
    </reviewItem>
    <reviewItem>
      <errorID>c75ce68d-3ff9-439d-ad78-be9d7e556729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1A1BC2E8</paraID>
      <start>0</start>
      <end>2</end>
      <status>unmodified</status>
      <modifiedWord/>
      <trackRevisions>false</trackRevisions>
    </reviewItem>
    <reviewItem>
      <errorID>ceeaef1b-409f-489f-9540-da9476a26a11</errorID>
      <errorWord>做</errorWord>
      <group>L1_Word</group>
      <groupName>字词问题</groupName>
      <ability>L2_Typo</ability>
      <abilityName>字词错误</abilityName>
      <candidateList>
        <item>作</item>
      </candidateList>
      <explain>存在发音相同字词的误用。</explain>
      <paraID>1A1BC2E8</paraID>
      <start>49</start>
      <end>50</end>
      <status>unmodified</status>
      <modifiedWord/>
      <trackRevisions>false</trackRevisions>
    </reviewItem>
    <reviewItem>
      <errorID>9d558a29-e984-4edd-af82-8d2364948d7c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3E3A83BD</paraID>
      <start>0</start>
      <end>2</end>
      <status>unmodified</status>
      <modifiedWord/>
      <trackRevisions>false</trackRevisions>
    </reviewItem>
    <reviewItem>
      <errorID>c321d221-709d-4deb-8d19-3b86ef760704</errorID>
      <errorWord>(</errorWord>
      <group>L1_Format</group>
      <groupName>格式问题</groupName>
      <ability>L2_HalfPunc</ability>
      <abilityName>全半角检查</abilityName>
      <candidateList>
        <item>（</item>
      </candidateList>
      <explain>文本全半角错误。</explain>
      <paraID> 907AD13</paraID>
      <start>7</start>
      <end>8</end>
      <status>unmodified</status>
      <modifiedWord/>
      <trackRevisions>false</trackRevisions>
    </reviewItem>
    <reviewItem>
      <errorID>969a0534-4c5d-41d0-83d1-a126aaa7e74b</errorID>
      <errorWord>(</errorWord>
      <group>L1_Format</group>
      <groupName>格式问题</groupName>
      <ability>L2_HalfPunc</ability>
      <abilityName>全半角检查</abilityName>
      <candidateList>
        <item>（</item>
      </candidateList>
      <explain>文本全半角错误。</explain>
      <paraID>4D97A226</paraID>
      <start>7</start>
      <end>8</end>
      <status>unmodified</status>
      <modifiedWord/>
      <trackRevisions>false</trackRevisions>
    </reviewItem>
    <reviewItem>
      <errorID>f926c432-6394-4a61-b1b9-c11c65b9721d</errorID>
      <errorWord>笔试</errorWord>
      <group>L1_Word</group>
      <groupName>字词问题</groupName>
      <ability>L2_Typo</ability>
      <abilityName>字词错误</abilityName>
      <candidateList>
        <item>笔式</item>
      </candidateList>
      <explain>存在发音相同字词的误用。</explain>
      <paraID> 22D1083</paraID>
      <start>2</start>
      <end>4</end>
      <status>unmodified</status>
      <modifiedWord/>
      <trackRevisions>false</trackRevisions>
    </reviewItem>
    <reviewItem>
      <errorID>aa59ae15-7cf3-4cd3-8e53-b1dfdac3af7d</errorID>
      <errorWord>）</errorWord>
      <group>L1_Format</group>
      <groupName>格式问题</groupName>
      <ability>L2_HalfPunc</ability>
      <abilityName>全半角检查</abilityName>
      <candidateList>
        <item>)</item>
      </candidateList>
      <explain>文本全半角错误。</explain>
      <paraID>561EA623</paraID>
      <start>18</start>
      <end>19</end>
      <status>unmodified</status>
      <modifiedWord/>
      <trackRevisions>false</trackRevisions>
    </reviewItem>
    <reviewItem>
      <errorID>a41defac-0646-4523-9e8d-d2a8a6160dfc</errorID>
      <errorWord>(</errorWord>
      <group>L1_Format</group>
      <groupName>格式问题</groupName>
      <ability>L2_HalfPunc</ability>
      <abilityName>全半角检查</abilityName>
      <candidateList>
        <item>（</item>
      </candidateList>
      <explain>文本全半角错误。</explain>
      <paraID>73B33E39</paraID>
      <start>5</start>
      <end>6</end>
      <status>unmodified</status>
      <modifiedWord/>
      <trackRevisions>false</trackRevisions>
    </reviewItem>
    <reviewItem>
      <errorID>5fb6af6f-623f-4573-b7d6-37a114c57105</errorID>
      <errorWord>(</errorWord>
      <group>L1_Format</group>
      <groupName>格式问题</groupName>
      <ability>L2_HalfPunc</ability>
      <abilityName>全半角检查</abilityName>
      <candidateList>
        <item>（</item>
      </candidateList>
      <explain>文本全半角错误。</explain>
      <paraID>2148B6A8</paraID>
      <start>9</start>
      <end>10</end>
      <status>unmodified</status>
      <modifiedWord/>
      <trackRevisions>false</trackRevisions>
    </reviewItem>
    <reviewItem>
      <errorID>92720b9a-4773-4e7e-9eec-e30386c647d6</errorID>
      <errorWord>)</errorWord>
      <group>L1_Format</group>
      <groupName>格式问题</groupName>
      <ability>L2_HalfPunc</ability>
      <abilityName>全半角检查</abilityName>
      <candidateList>
        <item>）</item>
      </candidateList>
      <explain>文本全半角错误。</explain>
      <paraID>2148B6A8</paraID>
      <start>15</start>
      <end>16</end>
      <status>unmodified</status>
      <modifiedWord/>
      <trackRevisions>false</trackRevisions>
    </reviewItem>
    <reviewItem>
      <errorID>6f906ee0-acc9-4425-855c-76dd133e50cd</errorID>
      <errorWord>盒</errorWord>
      <group>L1_Word</group>
      <groupName>字词问题</groupName>
      <ability>L2_Typo</ability>
      <abilityName>字词错误</abilityName>
      <candidateList>
        <item>和</item>
      </candidateList>
      <explain>〈量〉用于洗东西换水的次数或一剂药煎的次数：衣裳已经洗了三～｜二～药。</explain>
      <paraID>3542CC53</paraID>
      <start>2</start>
      <end>3</end>
      <status>unmodified</status>
      <modifiedWord/>
      <trackRevisions>false</trackRevisions>
    </reviewItem>
    <reviewItem>
      <errorID>12dcf365-b0fb-4357-88ea-990cf774792f</errorID>
      <errorWord>盒</errorWord>
      <group>L1_Word</group>
      <groupName>字词问题</groupName>
      <ability>L2_Typo</ability>
      <abilityName>字词错误</abilityName>
      <candidateList>
        <item>和</item>
      </candidateList>
      <explain>〈量〉用于洗东西换水的次数或一剂药煎的次数：衣裳已经洗了三～｜二～药。</explain>
      <paraID>2E91A23A</paraID>
      <start>2</start>
      <end>3</end>
      <status>unmodified</status>
      <modifiedWord/>
      <trackRevisions>false</trackRevisions>
    </reviewItem>
    <reviewItem>
      <errorID>680dd562-3517-414f-9d86-fa3e3a75d54a</errorID>
      <errorWord>盒</errorWord>
      <group>L1_Word</group>
      <groupName>字词问题</groupName>
      <ability>L2_Typo</ability>
      <abilityName>字词错误</abilityName>
      <candidateList>
        <item>和</item>
      </candidateList>
      <explain>〈量〉用于洗东西换水的次数或一剂药煎的次数：衣裳已经洗了三～｜二～药。</explain>
      <paraID>1309369D</paraID>
      <start>2</start>
      <end>3</end>
      <status>unmodified</status>
      <modifiedWord/>
      <trackRevisions>false</trackRevisions>
    </reviewItem>
    <reviewItem>
      <errorID>5e440071-1cd9-4330-9781-582255ec68a8</errorID>
      <errorWord>(</errorWord>
      <group>L1_Format</group>
      <groupName>格式问题</groupName>
      <ability>L2_HalfPunc</ability>
      <abilityName>全半角检查</abilityName>
      <candidateList>
        <item>（</item>
      </candidateList>
      <explain>文本全半角错误。</explain>
      <paraID>32B0B877</paraID>
      <start>6</start>
      <end>7</end>
      <status>unmodified</status>
      <modifiedWord/>
      <trackRevisions>false</trackRevisions>
    </reviewItem>
    <reviewItem>
      <errorID>cfae02c5-862c-454b-a22a-ffb657ca94f3</errorID>
      <errorWord>)</errorWord>
      <group>L1_Format</group>
      <groupName>格式问题</groupName>
      <ability>L2_HalfPunc</ability>
      <abilityName>全半角检查</abilityName>
      <candidateList>
        <item>）</item>
      </candidateList>
      <explain>文本全半角错误。</explain>
      <paraID>32B0B877</paraID>
      <start>17</start>
      <end>18</end>
      <status>unmodified</status>
      <modifiedWord/>
      <trackRevisions>false</trackRevisions>
    </reviewItem>
    <reviewItem>
      <errorID>1eef3f7e-1f74-4f79-89c2-5f4ec5ce68ce</errorID>
      <errorWord>(</errorWord>
      <group>L1_Format</group>
      <groupName>格式问题</groupName>
      <ability>L2_HalfPunc</ability>
      <abilityName>全半角检查</abilityName>
      <candidateList>
        <item>（</item>
      </candidateList>
      <explain>文本全半角错误。</explain>
      <paraID> 529E48E</paraID>
      <start>3</start>
      <end>4</end>
      <status>unmodified</status>
      <modifiedWord/>
      <trackRevisions>false</trackRevisions>
    </reviewItem>
    <reviewItem>
      <errorID>d274a5a8-9a40-41f8-8f0e-1bf885dad032</errorID>
      <errorWord>)</errorWord>
      <group>L1_Format</group>
      <groupName>格式问题</groupName>
      <ability>L2_HalfPunc</ability>
      <abilityName>全半角检查</abilityName>
      <candidateList>
        <item>）</item>
      </candidateList>
      <explain>文本全半角错误。</explain>
      <paraID>5FF887EF</paraID>
      <start>13</start>
      <end>14</end>
      <status>unmodified</status>
      <modifiedWord/>
      <trackRevisions>false</trackRevisions>
    </reviewItem>
    <reviewItem>
      <errorID>a59980d6-89c4-40ca-b80d-ad9d2de21d60</errorID>
      <errorWord>(</errorWord>
      <group>L1_Format</group>
      <groupName>格式问题</groupName>
      <ability>L2_HalfPunc</ability>
      <abilityName>全半角检查</abilityName>
      <candidateList>
        <item>（</item>
      </candidateList>
      <explain>文本全半角错误。</explain>
      <paraID>4DBA77E5</paraID>
      <start>4</start>
      <end>5</end>
      <status>unmodified</status>
      <modifiedWord/>
      <trackRevisions>false</trackRevisions>
    </reviewItem>
    <reviewItem>
      <errorID>41d0c07b-fe2e-434f-a0a2-954beeb3cfae</errorID>
      <errorWord>(</errorWord>
      <group>L1_Format</group>
      <groupName>格式问题</groupName>
      <ability>L2_HalfPunc</ability>
      <abilityName>全半角检查</abilityName>
      <candidateList>
        <item>（</item>
      </candidateList>
      <explain>文本全半角错误。</explain>
      <paraID>53B033B1</paraID>
      <start>4</start>
      <end>5</end>
      <status>unmodified</status>
      <modifiedWord/>
      <trackRevisions>false</trackRevisions>
    </reviewItem>
    <reviewItem>
      <errorID>044166db-2a2c-4d07-aa5a-7e793ee06300</errorID>
      <errorWord>(</errorWord>
      <group>L1_Format</group>
      <groupName>格式问题</groupName>
      <ability>L2_HalfPunc</ability>
      <abilityName>全半角检查</abilityName>
      <candidateList>
        <item>（</item>
      </candidateList>
      <explain>文本全半角错误。</explain>
      <paraID>130167A6</paraID>
      <start>4</start>
      <end>5</end>
      <status>unmodified</status>
      <modifiedWord/>
      <trackRevisions>false</trackRevisions>
    </reviewItem>
    <reviewItem>
      <errorID>f8f9b9f4-c072-4913-b4af-b936d0d1871c</errorID>
      <errorWord>(</errorWord>
      <group>L1_Format</group>
      <groupName>格式问题</groupName>
      <ability>L2_HalfPunc</ability>
      <abilityName>全半角检查</abilityName>
      <candidateList>
        <item>（</item>
      </candidateList>
      <explain>文本全半角错误。</explain>
      <paraID>6AC2DCEB</paraID>
      <start>2</start>
      <end>3</end>
      <status>unmodified</status>
      <modifiedWord/>
      <trackRevisions>false</trackRevisions>
    </reviewItem>
    <reviewItem>
      <errorID>dc2c2533-2969-430e-93b6-393542d4ae9e</errorID>
      <errorWord>(</errorWord>
      <group>L1_Format</group>
      <groupName>格式问题</groupName>
      <ability>L2_HalfPunc</ability>
      <abilityName>全半角检查</abilityName>
      <candidateList>
        <item>（</item>
      </candidateList>
      <explain>文本全半角错误。</explain>
      <paraID>2FD37BBD</paraID>
      <start>2</start>
      <end>3</end>
      <status>unmodified</status>
      <modifiedWord/>
      <trackRevisions>false</trackRevisions>
    </reviewItem>
    <reviewItem>
      <errorID>d6842ce2-d535-4739-a789-85884d8a223e</errorID>
      <errorWord>(</errorWord>
      <group>L1_Format</group>
      <groupName>格式问题</groupName>
      <ability>L2_HalfPunc</ability>
      <abilityName>全半角检查</abilityName>
      <candidateList>
        <item>（</item>
      </candidateList>
      <explain>文本全半角错误。</explain>
      <paraID>5E28600E</paraID>
      <start>3</start>
      <end>4</end>
      <status>unmodified</status>
      <modifiedWord/>
      <trackRevisions>false</trackRevisions>
    </reviewItem>
    <reviewItem>
      <errorID>50ac13bd-551a-42f6-8fb7-4a5c3324d267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2E4E0275</paraID>
      <start>1</start>
      <end>2</end>
      <status>unmodified</status>
      <modifiedWord/>
      <trackRevisions>false</trackRevisions>
    </reviewItem>
    <reviewItem>
      <errorID>ed220cb4-5179-439d-aa8e-b6da4e0ae29a</errorID>
      <errorWord>(</errorWord>
      <group>L1_Format</group>
      <groupName>格式问题</groupName>
      <ability>L2_HalfPunc</ability>
      <abilityName>全半角检查</abilityName>
      <candidateList>
        <item>（</item>
      </candidateList>
      <explain>文本全半角错误。</explain>
      <paraID>31D0D352</paraID>
      <start>4</start>
      <end>5</end>
      <status>unmodified</status>
      <modifiedWord/>
      <trackRevisions>false</trackRevisions>
    </reviewItem>
    <reviewItem>
      <errorID>7cd78130-4ab7-427b-922d-79136e3c2bc5</errorID>
      <errorWord>(</errorWord>
      <group>L1_Format</group>
      <groupName>格式问题</groupName>
      <ability>L2_HalfPunc</ability>
      <abilityName>全半角检查</abilityName>
      <candidateList>
        <item>（</item>
      </candidateList>
      <explain>文本全半角错误。</explain>
      <paraID>2D223140</paraID>
      <start>4</start>
      <end>5</end>
      <status>unmodified</status>
      <modifiedWord/>
      <trackRevisions>false</trackRevisions>
    </reviewItem>
    <reviewItem>
      <errorID>bfc2d260-85ca-446e-9818-33a0847baddf</errorID>
      <errorWord>(</errorWord>
      <group>L1_Format</group>
      <groupName>格式问题</groupName>
      <ability>L2_HalfPunc</ability>
      <abilityName>全半角检查</abilityName>
      <candidateList>
        <item>（</item>
      </candidateList>
      <explain>文本全半角错误。</explain>
      <paraID>25BCF841</paraID>
      <start>4</start>
      <end>5</end>
      <status>unmodified</status>
      <modifiedWord/>
      <trackRevisions>false</trackRevisions>
    </reviewItem>
    <reviewItem>
      <errorID>ed9dd849-5a6a-4284-845d-e83f403ef02a</errorID>
      <errorWord>)</errorWord>
      <group>L1_Format</group>
      <groupName>格式问题</groupName>
      <ability>L2_HalfPunc</ability>
      <abilityName>全半角检查</abilityName>
      <candidateList>
        <item>）</item>
      </candidateList>
      <explain>文本全半角错误。</explain>
      <paraID>71EEA1A0</paraID>
      <start>7</start>
      <end>8</end>
      <status>unmodified</status>
      <modifiedWord/>
      <trackRevisions>false</trackRevisions>
    </reviewItem>
    <reviewItem>
      <errorID>9a592bdb-ca5d-4b13-a0bd-8ba04a0c9743</errorID>
      <errorWord>纸萝</errorWord>
      <group>L1_Word</group>
      <groupName>字词问题</groupName>
      <ability>L2_Typo</ability>
      <abilityName>字词错误</abilityName>
      <candidateList>
        <item>纸篓</item>
      </candidateList>
      <explain/>
      <paraID> 680C7A6</paraID>
      <start>2</start>
      <end>4</end>
      <status>unmodified</status>
      <modifiedWord/>
      <trackRevisions>false</trackRevisions>
    </reviewItem>
    <reviewItem>
      <errorID>14cbce83-a040-48e3-9fb9-32e34048faa3</errorID>
      <errorWord>(</errorWord>
      <group>L1_Format</group>
      <groupName>格式问题</groupName>
      <ability>L2_HalfPunc</ability>
      <abilityName>全半角检查</abilityName>
      <candidateList>
        <item>（</item>
      </candidateList>
      <explain>文本全半角错误。</explain>
      <paraID>33C0E21B</paraID>
      <start>5</start>
      <end>6</end>
      <status>unmodified</status>
      <modifiedWord/>
      <trackRevisions>false</trackRevisions>
    </reviewItem>
    <reviewItem>
      <errorID>df2b09bb-8dad-43dd-be64-ce63fb650ac3</errorID>
      <errorWord>纸萝</errorWord>
      <group>L1_Word</group>
      <groupName>字词问题</groupName>
      <ability>L2_Typo</ability>
      <abilityName>字词错误</abilityName>
      <candidateList>
        <item>纸篓</item>
      </candidateList>
      <explain/>
      <paraID>222C0158</paraID>
      <start>2</start>
      <end>4</end>
      <status>unmodified</status>
      <modifiedWord/>
      <trackRevisions>false</trackRevisions>
    </reviewItem>
    <reviewItem>
      <errorID>374257c1-f91a-4237-855b-9a81725035d9</errorID>
      <errorWord>)</errorWord>
      <group>L1_Format</group>
      <groupName>格式问题</groupName>
      <ability>L2_HalfPunc</ability>
      <abilityName>全半角检查</abilityName>
      <candidateList>
        <item>）</item>
      </candidateList>
      <explain>文本全半角错误。</explain>
      <paraID> 61D89B0</paraID>
      <start>6</start>
      <end>7</end>
      <status>unmodified</status>
      <modifiedWord/>
      <trackRevisions>false</trackRevisions>
    </reviewItem>
    <reviewItem>
      <errorID>9063405b-5434-4ede-8051-fe34ccb36e1f</errorID>
      <errorWord>(</errorWord>
      <group>L1_Format</group>
      <groupName>格式问题</groupName>
      <ability>L2_HalfPunc</ability>
      <abilityName>全半角检查</abilityName>
      <candidateList>
        <item>（</item>
      </candidateList>
      <explain>文本全半角错误。</explain>
      <paraID>2B9B4988</paraID>
      <start>7</start>
      <end>8</end>
      <status>unmodified</status>
      <modifiedWord/>
      <trackRevisions>false</trackRevisions>
    </reviewItem>
    <reviewItem>
      <errorID>09be98ad-464c-4bfe-bfee-4612d97fa114</errorID>
      <errorWord>(</errorWord>
      <group>L1_Format</group>
      <groupName>格式问题</groupName>
      <ability>L2_HalfPunc</ability>
      <abilityName>全半角检查</abilityName>
      <candidateList>
        <item>（</item>
      </candidateList>
      <explain>文本全半角错误。</explain>
      <paraID>174B77B3</paraID>
      <start>7</start>
      <end>8</end>
      <status>unmodified</status>
      <modifiedWord/>
      <trackRevisions>false</trackRevisions>
    </reviewItem>
    <reviewItem>
      <errorID>a80af231-959d-4997-a514-f56b858cf5df</errorID>
      <errorWord>(</errorWord>
      <group>L1_Format</group>
      <groupName>格式问题</groupName>
      <ability>L2_HalfPunc</ability>
      <abilityName>全半角检查</abilityName>
      <candidateList>
        <item>（</item>
      </candidateList>
      <explain>文本全半角错误。</explain>
      <paraID> 82AA50B</paraID>
      <start>7</start>
      <end>8</end>
      <status>unmodified</status>
      <modifiedWord/>
      <trackRevisions>false</trackRevisions>
    </reviewItem>
    <reviewItem>
      <errorID>4f717669-896c-4e0f-8845-547c4c4e1533</errorID>
      <errorWord>)</errorWord>
      <group>L1_Format</group>
      <groupName>格式问题</groupName>
      <ability>L2_HalfPunc</ability>
      <abilityName>全半角检查</abilityName>
      <candidateList>
        <item>）</item>
      </candidateList>
      <explain>文本全半角错误。</explain>
      <paraID>215044D2</paraID>
      <start>15</start>
      <end>16</end>
      <status>unmodified</status>
      <modifiedWord/>
      <trackRevisions>false</trackRevisions>
    </reviewItem>
    <reviewItem>
      <errorID>e60e8bbf-0a59-4bfb-b176-31a00373bd09</errorID>
      <errorWord>(</errorWord>
      <group>L1_Format</group>
      <groupName>格式问题</groupName>
      <ability>L2_HalfPunc</ability>
      <abilityName>全半角检查</abilityName>
      <candidateList>
        <item>（</item>
      </candidateList>
      <explain>文本全半角错误。</explain>
      <paraID>458D39A1</paraID>
      <start>3</start>
      <end>4</end>
      <status>unmodified</status>
      <modifiedWord/>
      <trackRevisions>false</trackRevisions>
    </reviewItem>
    <reviewItem>
      <errorID>7219372c-5fc2-4918-84e4-2b948551e688</errorID>
      <errorWord>(</errorWord>
      <group>L1_Format</group>
      <groupName>格式问题</groupName>
      <ability>L2_HalfPunc</ability>
      <abilityName>全半角检查</abilityName>
      <candidateList>
        <item>（</item>
      </candidateList>
      <explain>文本全半角错误。</explain>
      <paraID>    A627</paraID>
      <start>4</start>
      <end>5</end>
      <status>unmodified</status>
      <modifiedWord/>
      <trackRevisions>false</trackRevisions>
    </reviewItem>
    <reviewItem>
      <errorID>78d60fac-9802-487c-80ea-cd9595d84d24</errorID>
      <errorWord>(</errorWord>
      <group>L1_Format</group>
      <groupName>格式问题</groupName>
      <ability>L2_HalfPunc</ability>
      <abilityName>全半角检查</abilityName>
      <candidateList>
        <item>（</item>
      </candidateList>
      <explain>文本全半角错误。</explain>
      <paraID> F8939D3</paraID>
      <start>4</start>
      <end>5</end>
      <status>unmodified</status>
      <modifiedWord/>
      <trackRevisions>false</trackRevisions>
    </reviewItem>
    <reviewItem>
      <errorID>cd0fe187-3d91-4b04-9468-85b14587c39c</errorID>
      <errorWord>(</errorWord>
      <group>L1_Format</group>
      <groupName>格式问题</groupName>
      <ability>L2_HalfPunc</ability>
      <abilityName>全半角检查</abilityName>
      <candidateList>
        <item>（</item>
      </candidateList>
      <explain>文本全半角错误。</explain>
      <paraID>3DB5B365</paraID>
      <start>7</start>
      <end>8</end>
      <status>unmodified</status>
      <modifiedWord/>
      <trackRevisions>false</trackRevisions>
    </reviewItem>
    <reviewItem>
      <errorID>0fada787-a625-4983-a50b-ce64939b4fb3</errorID>
      <errorWord>(</errorWord>
      <group>L1_Format</group>
      <groupName>格式问题</groupName>
      <ability>L2_HalfPunc</ability>
      <abilityName>全半角检查</abilityName>
      <candidateList>
        <item>（</item>
      </candidateList>
      <explain>文本全半角错误。</explain>
      <paraID>768FC06C</paraID>
      <start>8</start>
      <end>9</end>
      <status>unmodified</status>
      <modifiedWord/>
      <trackRevisions>false</trackRevisions>
    </reviewItem>
    <reviewItem>
      <errorID>8ff5c29b-de17-4703-928f-3b1d9c352a2b</errorID>
      <errorWord>(</errorWord>
      <group>L1_Format</group>
      <groupName>格式问题</groupName>
      <ability>L2_HalfPunc</ability>
      <abilityName>全半角检查</abilityName>
      <candidateList>
        <item>（</item>
      </candidateList>
      <explain>文本全半角错误。</explain>
      <paraID>6D6B5C29</paraID>
      <start>4</start>
      <end>5</end>
      <status>unmodified</status>
      <modifiedWord/>
      <trackRevisions>false</trackRevisions>
    </reviewItem>
    <reviewItem>
      <errorID>45ae786c-5e92-45ba-9a4b-6227b469ef31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1B9D858A</paraID>
      <start>0</start>
      <end>2</end>
      <status>unmodified</status>
      <modifiedWord/>
      <trackRevisions>false</trackRevisions>
    </reviewItem>
    <reviewItem>
      <errorID>7974bf8a-6bb2-4f0d-a182-1c7556cf16f5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5DE9CCA0</paraID>
      <start>0</start>
      <end>2</end>
      <status>unmodified</status>
      <modifiedWord/>
      <trackRevisions>false</trackRevisions>
    </reviewItem>
    <reviewItem>
      <errorID>c9e2f243-3188-4b7b-bc5c-fb1103038d9b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80073ED</paraID>
      <start>0</start>
      <end>2</end>
      <status>unmodified</status>
      <modifiedWord/>
      <trackRevisions>false</trackRevisions>
    </reviewItem>
    <reviewItem>
      <errorID>115b96ce-823a-42fd-aa54-bc64af53b6e4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2422CA8E</paraID>
      <start>0</start>
      <end>2</end>
      <status>unmodified</status>
      <modifiedWord/>
      <trackRevisions>false</trackRevisions>
    </reviewItem>
    <reviewItem>
      <errorID>ee0152de-310f-4773-99a5-e0e17ba8acc7</errorID>
      <errorWord>其它</errorWord>
      <group>L1_Word</group>
      <groupName>字词问题</groupName>
      <ability>L2_Alias</ability>
      <abilityName>也作/曾用词</abilityName>
      <candidateList>
        <item>其他</item>
      </candidateList>
      <explain>词汇[其它]为不规范表述或旧称，其规范书面表述为[其他]。</explain>
      <paraID>5D9F835E</paraID>
      <start>0</start>
      <end>2</end>
      <status>unmodified</status>
      <modifiedWord/>
      <trackRevisions>false</trackRevisions>
    </reviewItem>
    <reviewItem>
      <errorID>a45ecc4d-e668-43b8-b5b1-b9180b5a0064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37F3289A</paraID>
      <start>0</start>
      <end>2</end>
      <status>unmodified</status>
      <modifiedWord/>
      <trackRevisions>false</trackRevisions>
    </reviewItem>
    <reviewItem>
      <errorID>2fbe9199-b372-444a-9f56-64279fb4b266</errorID>
      <errorWord>涉及到</errorWord>
      <group>L1_Grammar</group>
      <groupName>语法问题</groupName>
      <ability>L2_Grammar</ability>
      <abilityName>语法错误</abilityName>
      <candidateList>
        <item>涉及</item>
      </candidateList>
      <explain>〈动〉牵涉到；关联到：案子～好几个人｜这个问题～面很广。</explain>
      <paraID>37F3289A</paraID>
      <start>9</start>
      <end>12</end>
      <status>unmodified</status>
      <modifiedWord/>
      <trackRevisions>false</trackRevisions>
    </reviewItem>
    <reviewItem>
      <errorID>150e0871-0bb5-4533-ad18-2d28ebb08022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3303D150</paraID>
      <start>0</start>
      <end>2</end>
      <status>unmodified</status>
      <modifiedWord/>
      <trackRevisions>false</trackRevisions>
    </reviewItem>
    <reviewItem>
      <errorID>cec8d3ed-9f03-4440-8af0-a9ae97550ae2</errorID>
      <errorWord>从响应采购人需求为出发点</errorWord>
      <group>L1_Grammar</group>
      <groupName>语法问题</groupName>
      <ability>L2_Grammar</ability>
      <abilityName>语法错误</abilityName>
      <candidateList>
        <item>响应采购人需求为出发点</item>
      </candidateList>
      <explain/>
      <paraID>3303D150</paraID>
      <start>9</start>
      <end>21</end>
      <status>unmodified</status>
      <modifiedWord/>
      <trackRevisions>false</trackRevisions>
    </reviewItem>
    <reviewItem>
      <errorID>21c9f63e-3b7a-49e2-aa5e-d339fc763590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5B68E68E</paraID>
      <start>0</start>
      <end>2</end>
      <status>unmodified</status>
      <modifiedWord/>
      <trackRevisions>false</trackRevisions>
    </reviewItem>
    <reviewItem>
      <errorID>9536b629-828b-421d-b229-1b4f2fe4c4e8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10BCF231</paraID>
      <start>0</start>
      <end>2</end>
      <status>unmodified</status>
      <modifiedWord/>
      <trackRevisions>false</trackRevisions>
    </reviewItem>
    <reviewItem>
      <errorID>1e2b9035-2b18-4cf8-b03d-13301bd6a91b</errorID>
      <errorWord>其它</errorWord>
      <group>L1_Word</group>
      <groupName>字词问题</groupName>
      <ability>L2_Alias</ability>
      <abilityName>也作/曾用词</abilityName>
      <candidateList>
        <item>其他</item>
      </candidateList>
      <explain>词汇[其它]为不规范表述或旧称，其规范书面表述为[其他]。</explain>
      <paraID>10BCF231</paraID>
      <start>59</start>
      <end>61</end>
      <status>unmodified</status>
      <modifiedWord/>
      <trackRevisions>false</trackRevisions>
    </reviewItem>
    <reviewItem>
      <errorID>21ba1ea8-4d24-4351-bf77-a114d245c3b5</errorID>
      <errorWord>受</errorWord>
      <group>L1_Word</group>
      <groupName>字词问题</groupName>
      <ability>L2_Typo</ability>
      <abilityName>字词错误</abilityName>
      <candidateList>
        <item>受到</item>
      </candidateList>
      <explain/>
      <paraID>2545A6E7</paraID>
      <start>52</start>
      <end>53</end>
      <status>unmodified</status>
      <modifiedWord/>
      <trackRevisions>false</trackRevisions>
    </reviewItem>
    <reviewItem>
      <errorID>dc613481-d015-4a2a-a457-2a3897c42ccd</errorID>
      <errorWord>》</errorWord>
      <group>L1_Word</group>
      <groupName>字词问题</groupName>
      <ability>L2_Typo</ability>
      <abilityName>字词错误</abilityName>
      <candidateList>
        <item>》和</item>
      </candidateList>
      <explain/>
      <paraID>4F1BF458</paraID>
      <start>38</start>
      <end>39</end>
      <status>unmodified</status>
      <modifiedWord/>
      <trackRevisions>false</trackRevisions>
    </reviewItem>
    <reviewItem>
      <errorID>dc1c1efe-1131-4ec8-aeb4-176ee75aa8b3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6CCE5DA9</paraID>
      <start>76</start>
      <end>77</end>
      <status>unmodified</status>
      <modifiedWord/>
      <trackRevisions>false</trackRevisions>
    </reviewItem>
    <reviewItem>
      <errorID>a73472a3-8a59-49fa-aa48-b68476f82df5</errorID>
      <errorWord>下</errorWord>
      <group>L1_Word</group>
      <groupName>字词问题</groupName>
      <ability>L2_Typo</ability>
      <abilityName>字词错误</abilityName>
      <candidateList>
        <item>下简</item>
      </candidateList>
      <explain/>
      <paraID>2AFECDE3</paraID>
      <start>8</start>
      <end>9</end>
      <status>unmodified</status>
      <modifiedWord/>
      <trackRevisions>false</trackRevisions>
    </reviewItem>
    <reviewItem>
      <errorID>46fefebd-bcc5-4515-b2b1-706c9ed8a4d3</errorID>
      <errorWord>下</errorWord>
      <group>L1_Word</group>
      <groupName>字词问题</groupName>
      <ability>L2_Typo</ability>
      <abilityName>字词错误</abilityName>
      <candidateList>
        <item>下简</item>
      </candidateList>
      <explain/>
      <paraID>6424D3CB</paraID>
      <start>8</start>
      <end>9</end>
      <status>unmodified</status>
      <modifiedWord/>
      <trackRevisions>false</trackRevisions>
    </reviewItem>
    <reviewItem>
      <errorID>ca9034bf-c95d-4613-b875-5e6f79274aa1</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4FC2839E</paraID>
      <start>57</start>
      <end>58</end>
      <status>unmodified</status>
      <modifiedWord/>
      <trackRevisions>false</trackRevisions>
    </reviewItem>
    <reviewItem>
      <errorID>f319dd11-d45a-48aa-9e6c-95c8c815a4f1</errorID>
      <errorWord>应</errorWord>
      <group>L1_Word</group>
      <groupName>字词问题</groupName>
      <ability>L2_Typo</ability>
      <abilityName>字词错误</abilityName>
      <candidateList>
        <item>应当</item>
      </candidateList>
      <explain/>
      <paraID>43BE7477</paraID>
      <start>34</start>
      <end>35</end>
      <status>unmodified</status>
      <modifiedWord/>
      <trackRevisions>false</trackRevisions>
    </reviewItem>
    <reviewItem>
      <errorID>9bf50574-de73-4238-aad1-7dfc1150269b</errorID>
      <errorWord>受</errorWord>
      <group>L1_Word</group>
      <groupName>字词问题</groupName>
      <ability>L2_Typo</ability>
      <abilityName>字词错误</abilityName>
      <candidateList>
        <item>受到</item>
      </candidateList>
      <explain/>
      <paraID>6A6990E6</paraID>
      <start>48</start>
      <end>49</end>
      <status>unmodified</status>
      <modifiedWord/>
      <trackRevisions>false</trackRevisions>
    </reviewItem>
    <reviewItem>
      <errorID>f474ca9c-c783-4711-8e20-eac82dee7580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42E4E867</paraID>
      <start>0</start>
      <end>2</end>
      <status>unmodified</status>
      <modifiedWord/>
      <trackRevisions>false</trackRevisions>
    </reviewItem>
    <reviewItem>
      <errorID>28822c79-61b5-42a6-96b5-1fb41292a60a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7F4B41C2</paraID>
      <start>0</start>
      <end>2</end>
      <status>unmodified</status>
      <modifiedWord/>
      <trackRevisions>false</trackRevisions>
    </reviewItem>
    <reviewItem>
      <errorID>0549939d-d1a4-4a9d-ab54-5de96db03d0a</errorID>
      <errorWord>响应</errorWord>
      <group>L1_Word</group>
      <groupName>字词问题</groupName>
      <ability>L2_Typo</ability>
      <abilityName>字词错误</abilityName>
      <candidateList>
        <item>相应</item>
      </candidateList>
      <explain>存在发音相同字词的误用。</explain>
      <paraID>374CE416</paraID>
      <start>36</start>
      <end>38</end>
      <status>unmodified</status>
      <modifiedWord/>
      <trackRevisions>false</trackRevisions>
    </reviewItem>
    <reviewItem>
      <errorID>ed01e4a2-04ee-4a57-8fdf-e68fd16b533b</errorID>
      <errorWord>》</errorWord>
      <group>L1_Word</group>
      <groupName>字词问题</groupName>
      <ability>L2_Typo</ability>
      <abilityName>字词错误</abilityName>
      <candidateList>
        <item>》和</item>
      </candidateList>
      <explain/>
      <paraID>228EF8EE</paraID>
      <start>15</start>
      <end>16</end>
      <status>unmodified</status>
      <modifiedWord/>
      <trackRevisions>false</trackRevisions>
    </reviewItem>
    <reviewItem>
      <errorID>606a867a-e495-45b4-872b-896a6c0056d5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2460E4C1</paraID>
      <start>0</start>
      <end>2</end>
      <status>unmodified</status>
      <modifiedWord/>
      <trackRevisions>false</trackRevisions>
    </reviewItem>
    <reviewItem>
      <errorID>0ee47de8-b847-48a9-be85-dcbc62bc270f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3196494C</paraID>
      <start>0</start>
      <end>2</end>
      <status>unmodified</status>
      <modifiedWord/>
      <trackRevisions>false</trackRevisions>
    </reviewItem>
    <reviewItem>
      <errorID>ee3366ac-36ee-4a0c-950c-d6f0b644953d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A78224B</paraID>
      <start>0</start>
      <end>2</end>
      <status>unmodified</status>
      <modifiedWord/>
      <trackRevisions>false</trackRevisions>
    </reviewItem>
    <reviewItem>
      <errorID>c6d797fe-05a9-426a-9dc3-6c0a3e55bdc7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41DF8C01</paraID>
      <start>0</start>
      <end>2</end>
      <status>unmodified</status>
      <modifiedWord/>
      <trackRevisions>false</trackRevisions>
    </reviewItem>
    <reviewItem>
      <errorID>238fba33-6914-42cf-9e68-5826daf7af31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4CC8F30F</paraID>
      <start>0</start>
      <end>2</end>
      <status>unmodified</status>
      <modifiedWord/>
      <trackRevisions>false</trackRevisions>
    </reviewItem>
    <reviewItem>
      <errorID>64f9cab8-ce81-424c-b10f-797c86efa581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124D6262</paraID>
      <start>0</start>
      <end>2</end>
      <status>unmodified</status>
      <modifiedWord/>
      <trackRevisions>false</trackRevisions>
    </reviewItem>
    <reviewItem>
      <errorID>80db05a2-3065-4bc4-8172-736fcf638fa8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438D696A</paraID>
      <start>0</start>
      <end>2</end>
      <status>unmodified</status>
      <modifiedWord/>
      <trackRevisions>false</trackRevisions>
    </reviewItem>
    <reviewItem>
      <errorID>94c721b2-0128-4d96-8bb5-fad0aab8d689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6A37BB0E</paraID>
      <start>0</start>
      <end>2</end>
      <status>unmodified</status>
      <modifiedWord/>
      <trackRevisions>false</trackRevisions>
    </reviewItem>
    <reviewItem>
      <errorID>6e9626db-beae-4f34-b505-d940449fb83a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5EA98746</paraID>
      <start>0</start>
      <end>2</end>
      <status>unmodified</status>
      <modifiedWord/>
      <trackRevisions>false</trackRevisions>
    </reviewItem>
    <reviewItem>
      <errorID>00d31010-e880-43df-98c2-e2b9a64b810b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31AB5096</paraID>
      <start>0</start>
      <end>2</end>
      <status>unmodified</status>
      <modifiedWord/>
      <trackRevisions>false</trackRevisions>
    </reviewItem>
    <reviewItem>
      <errorID>e3b6e397-f7cc-4922-ba62-c53300231394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730A16AE</paraID>
      <start>0</start>
      <end>2</end>
      <status>unmodified</status>
      <modifiedWord/>
      <trackRevisions>false</trackRevisions>
    </reviewItem>
    <reviewItem>
      <errorID>fdc5369c-e400-48ea-a90c-771554d8dd93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3C1596FE</paraID>
      <start>0</start>
      <end>2</end>
      <status>unmodified</status>
      <modifiedWord/>
      <trackRevisions>false</trackRevisions>
    </reviewItem>
    <reviewItem>
      <errorID>00682f17-e80d-4050-85c0-30fa126ad450</errorID>
      <errorWord>泄漏</errorWord>
      <group>L1_Word</group>
      <groupName>字词问题</groupName>
      <ability>L2_Typo</ability>
      <abilityName>字词错误</abilityName>
      <candidateList>
        <item>泄露</item>
      </candidateList>
      <explain/>
      <paraID>352C4557</paraID>
      <start>75</start>
      <end>77</end>
      <status>unmodified</status>
      <modifiedWord/>
      <trackRevisions>false</trackRevisions>
    </reviewItem>
    <reviewItem>
      <errorID>8cad2e65-77fd-4054-940f-e5db2135b6f8</errorID>
      <errorWord>属</errorWord>
      <group>L1_Word</group>
      <groupName>字词问题</groupName>
      <ability>L2_Typo</ability>
      <abilityName>字词错误</abilityName>
      <candidateList>
        <item>属于</item>
      </candidateList>
      <explain/>
      <paraID>2D5D7639</paraID>
      <start>61</start>
      <end>62</end>
      <status>unmodified</status>
      <modifiedWord/>
      <trackRevisions>false</trackRevisions>
    </reviewItem>
    <reviewItem>
      <errorID>1519152c-2d25-46e6-ab7e-dd20c48ea782</errorID>
      <errorWord>谋利</errorWord>
      <group>L1_Word</group>
      <groupName>字词问题</groupName>
      <ability>L2_Typo</ability>
      <abilityName>字词错误</abilityName>
      <candidateList>
        <item>牟利</item>
      </candidateList>
      <explain>存在发音相同字词的误用。</explain>
      <paraID>30DA6444</paraID>
      <start>44</start>
      <end>46</end>
      <status>unmodified</status>
      <modifiedWord/>
      <trackRevisions>false</trackRevisions>
    </reviewItem>
    <reviewItem>
      <errorID>9c271822-c7d1-497d-96e0-957502251836</errorID>
      <errorWord>或为</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30DA6444</paraID>
      <start>46</start>
      <end>48</end>
      <status>unmodified</status>
      <modifiedWord/>
      <trackRevisions>false</trackRevisions>
    </reviewItem>
    <reviewItem>
      <errorID>94b476d7-1c1e-447b-99aa-61b97e7a6836</errorID>
      <errorWord>，</errorWord>
      <group>L1_Word</group>
      <groupName>字词问题</groupName>
      <ability>L2_Typo</ability>
      <abilityName>字词错误</abilityName>
      <candidateList>
        <item>，接</item>
      </candidateList>
      <explain/>
      <paraID>266FEE4F</paraID>
      <start>25</start>
      <end>26</end>
      <status>unmodified</status>
      <modifiedWord/>
      <trackRevisions>false</trackRevisions>
    </reviewItem>
    <reviewItem>
      <errorID>2fcd7a68-264c-4ca2-b0fc-c0f0e64ac548</errorID>
      <errorWord>定</errorWord>
      <group>L1_Word</group>
      <groupName>字词问题</groupName>
      <ability>L2_Typo</ability>
      <abilityName>字词错误</abilityName>
      <candidateList>
        <item>定在</item>
      </candidateList>
      <explain/>
      <paraID>207078BF</paraID>
      <start>48</start>
      <end>49</end>
      <status>unmodified</status>
      <modifiedWord/>
      <trackRevisions>false</trackRevisions>
    </reviewItem>
    <reviewItem>
      <errorID>501890d0-9e3f-42bc-b86c-f34c762b6af2</errorID>
      <errorWord>。｝</errorWord>
      <group>L1_Punc</group>
      <groupName>标点问题</groupName>
      <ability>L2_Punc</ability>
      <abilityName>标点符号检查</abilityName>
      <candidateList>
        <item>｝</item>
      </candidateList>
      <explain/>
      <paraID>6199E650</paraID>
      <start>258</start>
      <end>260</end>
      <status>unmodified</status>
      <modifiedWord/>
      <trackRevisions>false</trackRevisions>
    </reviewItem>
    <reviewItem>
      <errorID>818caa2a-86d3-4b15-a8c1-a74455c3a39b</errorID>
      <errorWord>。</errorWord>
      <group>L1_Punc</group>
      <groupName>标点问题</groupName>
      <ability>L2_Punc</ability>
      <abilityName>标点符号检查</abilityName>
      <candidateList/>
      <explain/>
      <paraID>533F3380</paraID>
      <start>63</start>
      <end>64</end>
      <status>unmodified</status>
      <modifiedWord/>
      <trackRevisions>false</trackRevisions>
    </reviewItem>
    <reviewItem>
      <errorID>074576d4-5b6b-4f34-8bdf-e7d12e9b3bb9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5FA2EC0A</paraID>
      <start>0</start>
      <end>2</end>
      <status>unmodified</status>
      <modifiedWord/>
      <trackRevisions>false</trackRevisions>
    </reviewItem>
    <reviewItem>
      <errorID>3bb335f9-18cc-48c3-a4a0-d0adce13af06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72B5524C</paraID>
      <start>0</start>
      <end>2</end>
      <status>unmodified</status>
      <modifiedWord/>
      <trackRevisions>false</trackRevisions>
    </reviewItem>
    <reviewItem>
      <errorID>993e3f21-705a-4a34-b168-b13c88e52781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66D498CF</paraID>
      <start>0</start>
      <end>2</end>
      <status>unmodified</status>
      <modifiedWord/>
      <trackRevisions>false</trackRevisions>
    </reviewItem>
    <reviewItem>
      <errorID>1d3c8e13-50ae-4500-947d-2c8da24d2c44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507FEA45</paraID>
      <start>0</start>
      <end>2</end>
      <status>unmodified</status>
      <modifiedWord/>
      <trackRevisions>false</trackRevisions>
    </reviewItem>
    <reviewItem>
      <errorID>52937dae-6aab-4e05-8e39-e77651bf6bc2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12266776</paraID>
      <start>0</start>
      <end>2</end>
      <status>unmodified</status>
      <modifiedWord/>
      <trackRevisions>false</trackRevisions>
    </reviewItem>
    <reviewItem>
      <errorID>85a656ec-a105-4407-a3a4-0a52dcdc7ead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346B7B39</paraID>
      <start>0</start>
      <end>2</end>
      <status>unmodified</status>
      <modifiedWord/>
      <trackRevisions>false</trackRevisions>
    </reviewItem>
    <reviewItem>
      <errorID>32d3c654-87e6-465c-96cc-b3cfd478d57f</errorID>
      <errorWord>股东大会</errorWord>
      <group>L1_Word</group>
      <groupName>字词问题</groupName>
      <ability>L2_Typo</ability>
      <abilityName>字词错误</abilityName>
      <candidateList>
        <item>股东会</item>
      </candidateList>
      <explain/>
      <paraID>346B7B39</paraID>
      <start>129</start>
      <end>133</end>
      <status>unmodified</status>
      <modifiedWord/>
      <trackRevisions>false</trackRevisions>
    </reviewItem>
    <reviewItem>
      <errorID>c289fa80-3197-4db4-9352-8a7c1e1e8c88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21B76215</paraID>
      <start>0</start>
      <end>2</end>
      <status>unmodified</status>
      <modifiedWord/>
      <trackRevisions>false</trackRevisions>
    </reviewItem>
    <reviewItem>
      <errorID>0eb50275-b6d7-422d-bd78-ede2347295ea</errorID>
      <errorWord>[2014]</errorWord>
      <group>L1_Punc</group>
      <groupName>标点问题</groupName>
      <ability>L2_Punc</ability>
      <abilityName>标点符号检查</abilityName>
      <candidateList>
        <item>〔2014〕</item>
      </candidateList>
      <explain/>
      <paraID>150B6440</paraID>
      <start>36</start>
      <end>42</end>
      <status>unmodified</status>
      <modifiedWord/>
      <trackRevisions>false</trackRevisions>
    </reviewItem>
    <reviewItem>
      <errorID>6ec1fae0-80e6-4e5b-9aa6-2b22e247ea16</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168BB4DF</paraID>
      <start>41</start>
      <end>42</end>
      <status>unmodified</status>
      <modifiedWord/>
      <trackRevisions>false</trackRevisions>
    </reviewItem>
    <reviewItem>
      <errorID>b73bd4c8-f6ea-4620-a94e-a5af37bc39f0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74355FE9</paraID>
      <start>0</start>
      <end>2</end>
      <status>unmodified</status>
      <modifiedWord/>
      <trackRevisions>false</trackRevisions>
    </reviewItem>
    <reviewItem>
      <errorID>54ca655c-1f58-432f-8664-49ddad0d365c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3A256125</paraID>
      <start>0</start>
      <end>2</end>
      <status>unmodified</status>
      <modifiedWord/>
      <trackRevisions>false</trackRevisions>
    </reviewItem>
    <reviewItem>
      <errorID>9f4c3cc2-4685-4813-a018-1355bb104e3c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1B4180B1</paraID>
      <start>0</start>
      <end>2</end>
      <status>unmodified</status>
      <modifiedWord/>
      <trackRevisions>false</trackRevisions>
    </reviewItem>
    <reviewItem>
      <errorID>3c1e6814-80b5-4df8-8f1b-3fbf75fe56f8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45C6FE02</paraID>
      <start>0</start>
      <end>2</end>
      <status>unmodified</status>
      <modifiedWord/>
      <trackRevisions>false</trackRevisions>
    </reviewItem>
    <reviewItem>
      <errorID>c4fb3fbe-fde9-4313-9008-d64eb349229d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5389CD64</paraID>
      <start>0</start>
      <end>2</end>
      <status>unmodified</status>
      <modifiedWord/>
      <trackRevisions>false</trackRevisions>
    </reviewItem>
    <reviewItem>
      <errorID>773254d8-3a2a-4fcc-855c-04c97a5f505e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18760F23</paraID>
      <start>0</start>
      <end>2</end>
      <status>unmodified</status>
      <modifiedWord/>
      <trackRevisions>false</trackRevisions>
    </reviewItem>
    <reviewItem>
      <errorID>c166330f-ee53-47ac-a783-9eaffd20705d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548BD7A1</paraID>
      <start>0</start>
      <end>2</end>
      <status>unmodified</status>
      <modifiedWord/>
      <trackRevisions>false</trackRevisions>
    </reviewItem>
    <reviewItem>
      <errorID>2bd8f412-3b5a-4f3b-b8b5-398d42c8d035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DF3D7E0</paraID>
      <start>0</start>
      <end>2</end>
      <status>unmodified</status>
      <modifiedWord/>
      <trackRevisions>false</trackRevisions>
    </reviewItem>
    <reviewItem>
      <errorID>51046c63-5e75-4bcc-acc1-9ff5d1837f82</errorID>
      <errorWord>（</errorWord>
      <group>L1_Punc</group>
      <groupName>标点问题</groupName>
      <ability>L2_Punc</ability>
      <abilityName>标点符号检查</abilityName>
      <candidateList/>
      <explain>同一形式括号套用。</explain>
      <paraID>4FCC4BC7</paraID>
      <start>20</start>
      <end>21</end>
      <status>unmodified</status>
      <modifiedWord/>
      <trackRevisions>false</trackRevisions>
    </reviewItem>
    <reviewItem>
      <errorID>dfdd2a80-1cc8-439c-b9e7-defa92cfa88c</errorID>
      <errorWord>）</errorWord>
      <group>L1_Punc</group>
      <groupName>标点问题</groupName>
      <ability>L2_Punc</ability>
      <abilityName>标点符号检查</abilityName>
      <candidateList/>
      <explain>同一形式括号套用。</explain>
      <paraID>4FCC4BC7</paraID>
      <start>23</start>
      <end>24</end>
      <status>unmodified</status>
      <modifiedWord/>
      <trackRevisions>false</trackRevisions>
    </reviewItem>
    <reviewItem>
      <errorID>b9892cbd-b36e-45fa-98cc-1f55cbb34249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5C554DC6</paraID>
      <start>22</start>
      <end>23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72276dd-d5a5-4048-b3ac-b1d356d583a8}">
  <ds:schemaRefs/>
</ds:datastoreItem>
</file>

<file path=docProps/app.xml><?xml version="1.0" encoding="utf-8"?>
<Properties xmlns="http://schemas.openxmlformats.org/officeDocument/2006/extended-properties" xmlns:vt="http://schemas.openxmlformats.org/officeDocument/2006/docPropsVTypes">
  <Template>Normal</Template>
  <Pages>120</Pages>
  <Words>29569</Words>
  <Characters>31750</Characters>
  <Lines>380</Lines>
  <Paragraphs>107</Paragraphs>
  <TotalTime>23</TotalTime>
  <ScaleCrop>false</ScaleCrop>
  <LinksUpToDate>false</LinksUpToDate>
  <CharactersWithSpaces>32173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2023-09-11T06:45:00Z</dcterms:created>
  <dc:creator>dave Z.J</dc:creator>
  <cp:lastModifiedBy>马子洲</cp:lastModifiedBy>
  <cp:lastPrinted>2024-11-29T02:38:00Z</cp:lastPrinted>
  <dcterms:modified xsi:type="dcterms:W3CDTF">2026-05-06T05:24:33Z</dcterms:modified>
  <dc:title>招标文件</dc:title>
  <cp:revision>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2017-09-04T16:00:00Z</vt:filetime>
  </property>
  <property fmtid="{D5CDD505-2E9C-101B-9397-08002B2CF9AE}" pid="3" name="Creator">
    <vt:lpwstr>Microsoft® Word 2013</vt:lpwstr>
  </property>
  <property fmtid="{D5CDD505-2E9C-101B-9397-08002B2CF9AE}" pid="4" name="ICV">
    <vt:lpwstr>FD89C608CB1E4B0A914763E865967743_13</vt:lpwstr>
  </property>
  <property fmtid="{D5CDD505-2E9C-101B-9397-08002B2CF9AE}" pid="5" name="KSOProductBuildVer">
    <vt:lpwstr>2052-12.1.0.25865</vt:lpwstr>
  </property>
  <property fmtid="{D5CDD505-2E9C-101B-9397-08002B2CF9AE}" pid="6" name="LastSaved">
    <vt:filetime>2017-09-17T16:00:00Z</vt:filetime>
  </property>
  <property fmtid="{D5CDD505-2E9C-101B-9397-08002B2CF9AE}" pid="7" name="KSOTemplateDocerSaveRecord">
    <vt:lpwstr>eyJoZGlkIjoiYjJjOTQxYzhjODMyMDAzZmE0MDJkMWFkNmJlNDkwYTUiLCJ1c2VySWQiOiI1MzU0MzM0NjIifQ==</vt:lpwstr>
  </property>
</Properties>
</file>