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版本号：N511902202500009120251106001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（工程类）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农村公路安全生命防护工程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N5119022025000091</w:t>
      </w:r>
    </w:p>
    <w:p>
      <w:pPr>
        <w:pStyle w:val="null3"/>
        <w:jc w:val="left"/>
        <w:outlineLvl w:val="2"/>
      </w:pPr>
      <w:r>
        <w:rPr>
          <w:rFonts w:ascii="仿宋_GB2312" w:hAnsi="仿宋_GB2312" w:cs="仿宋_GB2312" w:eastAsia="仿宋_GB2312"/>
          <w:sz w:val="28"/>
          <w:b/>
        </w:rPr>
        <w:t>巴中市巴州区玉堂街道办事处</w:t>
      </w:r>
    </w:p>
    <w:p>
      <w:pPr>
        <w:pStyle w:val="null3"/>
        <w:jc w:val="center"/>
        <w:outlineLvl w:val="2"/>
      </w:pPr>
      <w:r>
        <w:rPr>
          <w:rFonts w:ascii="仿宋_GB2312" w:hAnsi="仿宋_GB2312" w:cs="仿宋_GB2312" w:eastAsia="仿宋_GB2312"/>
          <w:sz w:val="28"/>
          <w:b/>
        </w:rPr>
        <w:t>巴中市巴州区政府采购中心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2025年11月06日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巴中市巴州区政府采购中心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巴中市巴州区玉堂街道办事处</w:t>
      </w:r>
      <w:r>
        <w:rPr>
          <w:rFonts w:ascii="仿宋_GB2312" w:hAnsi="仿宋_GB2312" w:cs="仿宋_GB2312" w:eastAsia="仿宋_GB2312"/>
        </w:rPr>
        <w:t xml:space="preserve"> 委托，拟对 </w:t>
      </w:r>
      <w:r>
        <w:rPr>
          <w:rFonts w:ascii="仿宋_GB2312" w:hAnsi="仿宋_GB2312" w:cs="仿宋_GB2312" w:eastAsia="仿宋_GB2312"/>
        </w:rPr>
        <w:t>农村公路安全生命防护工程</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巴中市巴州区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N5119022025000091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农村公路安全生命防护工程</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本项目安装波形梁护栏(C级)12132米，新增标志标牌3套，凸面镜6套,完善各项附属工程及相关附属设施，具体详见工程量清单及图纸。</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本项目以供应商库随机抽取方式邀请供应商参加谈判。</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符合工程管理规定的建筑业企业资质、安全生产许可证。（描述：供应商应当具备行业主管部门颁发的且在有效期内的安全生产许可证；供应商应当具备行业主管部门颁发的且在有效期内的公路交通工程公路安全设施专业承包二级或以上、安全生产许可证；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pPr>
      <w:r>
        <w:rPr>
          <w:rFonts w:ascii="仿宋_GB2312" w:hAnsi="仿宋_GB2312" w:cs="仿宋_GB2312" w:eastAsia="仿宋_GB2312"/>
        </w:rPr>
        <w:t>2、项目配备人员要求：项目经理具备行业主管部门颁发的且在有效期内的公路工程二级建造师及以上建造师注册证书，并具备行业主管部门颁发的且在有效期内的公路水运工程安全生产考核合格证书 (B证)（描述：提供项目经理的行业主管部门颁发的且在有效期内的公路工程二级建造师及以上建造师注册证书和有效期内的公路水运工程安全生产考核合格证书(B证)原件的扫描件。）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详见邀请书</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巴中市巴州区玉堂街道办事处</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巴中市巴州区北龛大道东段1号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636600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15182798997</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巴中市巴州区政府采购中心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四川省巴中市巴州区广场街67号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636600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交易受理股（0827-8668810）、文件编制股（0827-8668879）</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交易组织股（0827-8668811）、现场监督股（0827-8668812）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采购包1：2,052,754.00元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质量保证金★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巴中市巴州区玉堂街道办事处</w:t>
      </w:r>
      <w:r>
        <w:rPr>
          <w:rFonts w:ascii="仿宋_GB2312" w:hAnsi="仿宋_GB2312" w:cs="仿宋_GB2312" w:eastAsia="仿宋_GB2312"/>
        </w:rPr>
        <w:t xml:space="preserve"> 和 </w:t>
      </w:r>
      <w:r>
        <w:rPr>
          <w:rFonts w:ascii="仿宋_GB2312" w:hAnsi="仿宋_GB2312" w:cs="仿宋_GB2312" w:eastAsia="仿宋_GB2312"/>
        </w:rPr>
        <w:t>巴中市巴州区政府采购中心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巴中市巴州区玉堂街道办事处</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巴中市巴州区政府采购中心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一、供应商应认真核实本项目的工程量清单。</w:t>
      </w:r>
    </w:p>
    <w:p>
      <w:pPr>
        <w:pStyle w:val="null3"/>
        <w:ind w:firstLine="480"/>
        <w:jc w:val="left"/>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3"/>
        <w:ind w:firstLine="480"/>
        <w:jc w:val="left"/>
      </w:pPr>
      <w:r>
        <w:rPr>
          <w:rFonts w:ascii="仿宋_GB2312" w:hAnsi="仿宋_GB2312" w:cs="仿宋_GB2312" w:eastAsia="仿宋_GB2312"/>
        </w:rPr>
        <w:t>三、本项目报价形式为：总价</w:t>
      </w:r>
    </w:p>
    <w:p>
      <w:pPr>
        <w:pStyle w:val="null3"/>
        <w:ind w:firstLine="480"/>
        <w:jc w:val="left"/>
      </w:pPr>
      <w:r>
        <w:rPr>
          <w:rFonts w:ascii="仿宋_GB2312" w:hAnsi="仿宋_GB2312" w:cs="仿宋_GB2312" w:eastAsia="仿宋_GB2312"/>
        </w:rPr>
        <w:t>供应商编制的已标价工程量清单的汇总价格，作为响应文件中的报价，即首次报价。供应商应按谈判文件及工程量清单编制要求，编制已标价工程量清单，作为响应文件响应报价的组成明细。已标价工程量清单的扉页(仅指投标总价扉页)应由注册或登记在本单位的造价人员签字并盖执业印章。供应商委托工程造价咨询企业编制已标价工程量清单的，应在施工响应文件中附工程造价咨询委托合同，由注册或登记在工程造价咨询企业的造价人员签字并盖执业印章。</w:t>
      </w:r>
    </w:p>
    <w:p>
      <w:pPr>
        <w:pStyle w:val="null3"/>
        <w:ind w:firstLine="480"/>
        <w:jc w:val="left"/>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rFonts w:ascii="仿宋_GB2312" w:hAnsi="仿宋_GB2312" w:cs="仿宋_GB2312" w:eastAsia="仿宋_GB2312"/>
        </w:rPr>
        <w:t>（一）供应商对工程量清单中的分部分项工程量清单项目（说明：根据建筑、水利、交通等确定具体表述）的单价未填报或填报为零的；</w:t>
      </w:r>
    </w:p>
    <w:p>
      <w:pPr>
        <w:pStyle w:val="null3"/>
        <w:ind w:firstLine="480"/>
        <w:jc w:val="left"/>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rFonts w:ascii="仿宋_GB2312" w:hAnsi="仿宋_GB2312" w:cs="仿宋_GB2312" w:eastAsia="仿宋_GB2312"/>
        </w:rPr>
        <w:t>（三）谈判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rFonts w:ascii="仿宋_GB2312" w:hAnsi="仿宋_GB2312" w:cs="仿宋_GB2312" w:eastAsia="仿宋_GB2312"/>
        </w:rPr>
        <w:t>（四）谈判文件已明确各单位工程规费金额并要求按此金额填报而供应商填报错误或未填报的，或供应商未按相关计价规定计取规费的；</w:t>
      </w:r>
    </w:p>
    <w:p>
      <w:pPr>
        <w:pStyle w:val="null3"/>
        <w:ind w:firstLine="480"/>
        <w:jc w:val="left"/>
      </w:pPr>
      <w:r>
        <w:rPr>
          <w:rFonts w:ascii="仿宋_GB2312" w:hAnsi="仿宋_GB2312" w:cs="仿宋_GB2312" w:eastAsia="仿宋_GB2312"/>
        </w:rPr>
        <w:t>（五）谈判文件若已明确创优质工程奖补偿奖励费金额并要求按此金额填报而供应商填报错误或未填报的；</w:t>
      </w:r>
    </w:p>
    <w:p>
      <w:pPr>
        <w:pStyle w:val="null3"/>
        <w:ind w:firstLine="480"/>
        <w:jc w:val="left"/>
      </w:pPr>
      <w:r>
        <w:rPr>
          <w:rFonts w:ascii="仿宋_GB2312" w:hAnsi="仿宋_GB2312" w:cs="仿宋_GB2312" w:eastAsia="仿宋_GB2312"/>
        </w:rPr>
        <w:t>（六）已标价工程量清单中暂列金额未按工程量清单中列明的金额填报的；</w:t>
      </w:r>
    </w:p>
    <w:p>
      <w:pPr>
        <w:pStyle w:val="null3"/>
        <w:ind w:firstLine="480"/>
        <w:jc w:val="left"/>
      </w:pPr>
      <w:r>
        <w:rPr>
          <w:rFonts w:ascii="仿宋_GB2312" w:hAnsi="仿宋_GB2312" w:cs="仿宋_GB2312" w:eastAsia="仿宋_GB2312"/>
        </w:rPr>
        <w:t>（七）已标价工程量清单中材料、工程设备暂估价未按工程量清单中列出的单价计入综合单价的；</w:t>
      </w:r>
    </w:p>
    <w:p>
      <w:pPr>
        <w:pStyle w:val="null3"/>
        <w:ind w:firstLine="480"/>
        <w:jc w:val="left"/>
      </w:pPr>
      <w:r>
        <w:rPr>
          <w:rFonts w:ascii="仿宋_GB2312" w:hAnsi="仿宋_GB2312" w:cs="仿宋_GB2312" w:eastAsia="仿宋_GB2312"/>
        </w:rPr>
        <w:t>（八）已标价工程量清单中专业工程暂估价未按工程量清单中列明的金额填写的；</w:t>
      </w:r>
    </w:p>
    <w:p>
      <w:pPr>
        <w:pStyle w:val="null3"/>
        <w:ind w:firstLine="480"/>
        <w:jc w:val="left"/>
      </w:pPr>
      <w:r>
        <w:rPr>
          <w:rFonts w:ascii="仿宋_GB2312" w:hAnsi="仿宋_GB2312" w:cs="仿宋_GB2312" w:eastAsia="仿宋_GB2312"/>
        </w:rPr>
        <w:t>（九）已标价工程量清单中计日工未按工程量清单中列明的数量进行报价的；</w:t>
      </w:r>
    </w:p>
    <w:p>
      <w:pPr>
        <w:pStyle w:val="null3"/>
        <w:ind w:firstLine="480"/>
        <w:jc w:val="left"/>
      </w:pPr>
      <w:r>
        <w:rPr>
          <w:rFonts w:ascii="仿宋_GB2312" w:hAnsi="仿宋_GB2312" w:cs="仿宋_GB2312" w:eastAsia="仿宋_GB2312"/>
        </w:rPr>
        <w:t>（十）单价、合价或总价，不论其大写金额或小写金额均只能有一个，否则作无效处理。</w:t>
      </w:r>
    </w:p>
    <w:p>
      <w:pPr>
        <w:pStyle w:val="null3"/>
        <w:ind w:firstLine="480"/>
        <w:jc w:val="left"/>
      </w:pPr>
      <w:r>
        <w:rPr>
          <w:rFonts w:ascii="仿宋_GB2312" w:hAnsi="仿宋_GB2312" w:cs="仿宋_GB2312" w:eastAsia="仿宋_GB2312"/>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rFonts w:ascii="仿宋_GB2312" w:hAnsi="仿宋_GB2312" w:cs="仿宋_GB2312" w:eastAsia="仿宋_GB2312"/>
        </w:rPr>
        <w:t>四、按照谈判文件第五章谈判办法规定进行价格修正的，修正后的报价经供应商加盖电子印章确认后产生约束力。未在规定时间内确认的，视同供应商不确认，作无效响应处理。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ind w:firstLine="480"/>
        <w:jc w:val="left"/>
      </w:pPr>
      <w:r>
        <w:rPr>
          <w:rFonts w:ascii="仿宋_GB2312" w:hAnsi="仿宋_GB2312" w:cs="仿宋_GB2312" w:eastAsia="仿宋_GB2312"/>
        </w:rPr>
        <w:t xml:space="preserve"> 三、合同履行过程中，供应商因特殊原因需要更换项目负责人的，应当事前经采购人同意并按规定报建设工程行业主管部门备案；更换后的项目负责人应当符合项目资格条件，且在确认参与该项目随机抽取时已是供应商依法聘用并符合相应资质要求的项目负责人。</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按采购文件、响应文件及合同内容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按采购文件、响应文件及合同内容</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采购需求和履约验收管理的指导意见》的通知（财库〔2016〕205号）及《政府采购需求管理办法》（财库〔2021〕22号）的要求、采购文件规定的要求和响应文件及合同承诺的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工程竣工经验收合格后，方可交付使用；未经验收或者验收不合格的，不得交付使用。</w:t>
      </w:r>
    </w:p>
    <w:p>
      <w:pPr>
        <w:pStyle w:val="null3"/>
        <w:ind w:firstLine="480"/>
        <w:jc w:val="left"/>
      </w:pPr>
      <w:r>
        <w:rPr>
          <w:rFonts w:ascii="仿宋_GB2312" w:hAnsi="仿宋_GB2312" w:cs="仿宋_GB2312" w:eastAsia="仿宋_GB2312"/>
        </w:rPr>
        <w:t>2.验收结果合格的，采购人应向成交供应商出具履约验收报告，成交供应商凭验收报告办理相关手续。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巴中市巴州区玉堂街道办事处</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巴中市巴州区政府采购中心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巴中市巴州区政府采购中心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联系人：李先生</w:t>
      </w:r>
    </w:p>
    <w:p>
      <w:pPr>
        <w:pStyle w:val="null3"/>
        <w:jc w:val="left"/>
      </w:pPr>
      <w:r>
        <w:rPr>
          <w:rFonts w:ascii="仿宋_GB2312" w:hAnsi="仿宋_GB2312" w:cs="仿宋_GB2312" w:eastAsia="仿宋_GB2312"/>
        </w:rPr>
        <w:t>联系电话：15182798997</w:t>
      </w:r>
    </w:p>
    <w:p>
      <w:pPr>
        <w:pStyle w:val="null3"/>
        <w:jc w:val="left"/>
      </w:pPr>
      <w:r>
        <w:rPr>
          <w:rFonts w:ascii="仿宋_GB2312" w:hAnsi="仿宋_GB2312" w:cs="仿宋_GB2312" w:eastAsia="仿宋_GB2312"/>
        </w:rPr>
        <w:t>地址：巴中市巴州区北龛大道东段1号</w:t>
      </w:r>
    </w:p>
    <w:p>
      <w:pPr>
        <w:pStyle w:val="null3"/>
        <w:jc w:val="left"/>
      </w:pPr>
      <w:r>
        <w:rPr>
          <w:rFonts w:ascii="仿宋_GB2312" w:hAnsi="仿宋_GB2312" w:cs="仿宋_GB2312" w:eastAsia="仿宋_GB2312"/>
        </w:rPr>
        <w:t>邮编：636600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联系人：现场监督股</w:t>
      </w:r>
    </w:p>
    <w:p>
      <w:pPr>
        <w:pStyle w:val="null3"/>
        <w:jc w:val="left"/>
      </w:pPr>
      <w:r>
        <w:rPr>
          <w:rFonts w:ascii="仿宋_GB2312" w:hAnsi="仿宋_GB2312" w:cs="仿宋_GB2312" w:eastAsia="仿宋_GB2312"/>
        </w:rPr>
        <w:t>联系电话：0827-8668812</w:t>
      </w:r>
    </w:p>
    <w:p>
      <w:pPr>
        <w:pStyle w:val="null3"/>
        <w:jc w:val="left"/>
      </w:pPr>
      <w:r>
        <w:rPr>
          <w:rFonts w:ascii="仿宋_GB2312" w:hAnsi="仿宋_GB2312" w:cs="仿宋_GB2312" w:eastAsia="仿宋_GB2312"/>
        </w:rPr>
        <w:t>地址：巴中市巴州区广场街67号</w:t>
      </w:r>
    </w:p>
    <w:p>
      <w:pPr>
        <w:pStyle w:val="null3"/>
        <w:jc w:val="left"/>
      </w:pPr>
      <w:r>
        <w:rPr>
          <w:rFonts w:ascii="仿宋_GB2312" w:hAnsi="仿宋_GB2312" w:cs="仿宋_GB2312" w:eastAsia="仿宋_GB2312"/>
        </w:rPr>
        <w:t>邮编：636000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2,052,754.00</w:t>
      </w:r>
    </w:p>
    <w:p>
      <w:pPr>
        <w:pStyle w:val="null3"/>
        <w:jc w:val="left"/>
      </w:pPr>
      <w:r>
        <w:rPr>
          <w:rFonts w:ascii="仿宋_GB2312" w:hAnsi="仿宋_GB2312" w:cs="仿宋_GB2312" w:eastAsia="仿宋_GB2312"/>
        </w:rPr>
        <w:t>采购包最高限价（元）: 2,052,754.00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B02020000 公路工程施工</w:t>
            </w:r>
          </w:p>
        </w:tc>
        <w:tc>
          <w:tcPr>
            <w:tcW w:type="dxa" w:w="821"/>
          </w:tcPr>
          <w:p>
            <w:pPr>
              <w:pStyle w:val="null3"/>
              <w:jc w:val="left"/>
            </w:pPr>
            <w:r>
              <w:rPr>
                <w:rFonts w:ascii="仿宋_GB2312" w:hAnsi="仿宋_GB2312" w:cs="仿宋_GB2312" w:eastAsia="仿宋_GB2312"/>
              </w:rPr>
              <w:t>农村公路安全生命防护工程（玉堂街道）</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2,052,754.00</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农村公路安全生命防护工程（玉堂街道）</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2,052,754.00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B02020000 公路工程施工</w:t>
            </w:r>
          </w:p>
        </w:tc>
        <w:tc>
          <w:tcPr>
            <w:tcW w:type="dxa" w:w="2492"/>
          </w:tcPr>
          <w:p>
            <w:pPr>
              <w:pStyle w:val="null3"/>
              <w:jc w:val="left"/>
            </w:pPr>
            <w:r>
              <w:rPr>
                <w:rFonts w:ascii="仿宋_GB2312" w:hAnsi="仿宋_GB2312" w:cs="仿宋_GB2312" w:eastAsia="仿宋_GB2312"/>
              </w:rPr>
              <w:t>农村公路安全生命防护工程（玉堂街道）</w:t>
            </w:r>
          </w:p>
        </w:tc>
        <w:tc>
          <w:tcPr>
            <w:tcW w:type="dxa" w:w="2492"/>
          </w:tcPr>
          <w:p>
            <w:pPr>
              <w:pStyle w:val="null3"/>
              <w:jc w:val="left"/>
            </w:pPr>
            <w:r>
              <w:rPr>
                <w:rFonts w:ascii="仿宋_GB2312" w:hAnsi="仿宋_GB2312" w:cs="仿宋_GB2312" w:eastAsia="仿宋_GB2312"/>
              </w:rPr>
              <w:t>混凝土、水泥</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标的名称：农村公路安全生命防护工程（玉堂街道）</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项目技术负责人</w:t>
            </w:r>
          </w:p>
        </w:tc>
        <w:tc>
          <w:tcPr>
            <w:tcW w:type="dxa" w:w="5814"/>
          </w:tcPr>
          <w:p>
            <w:pPr>
              <w:pStyle w:val="null3"/>
              <w:jc w:val="left"/>
            </w:pPr>
            <w:r>
              <w:rPr>
                <w:rFonts w:ascii="仿宋_GB2312" w:hAnsi="仿宋_GB2312" w:cs="仿宋_GB2312" w:eastAsia="仿宋_GB2312"/>
                <w:sz w:val="21"/>
                <w:color w:val="000000"/>
              </w:rPr>
              <w:t>具备</w:t>
            </w:r>
            <w:r>
              <w:rPr>
                <w:rFonts w:ascii="仿宋_GB2312" w:hAnsi="仿宋_GB2312" w:cs="仿宋_GB2312" w:eastAsia="仿宋_GB2312"/>
                <w:sz w:val="21"/>
                <w:color w:val="000000"/>
                <w:u w:val="single"/>
              </w:rPr>
              <w:t xml:space="preserve"> 公路工程 </w:t>
            </w:r>
            <w:r>
              <w:rPr>
                <w:rFonts w:ascii="仿宋_GB2312" w:hAnsi="仿宋_GB2312" w:cs="仿宋_GB2312" w:eastAsia="仿宋_GB2312"/>
                <w:sz w:val="21"/>
                <w:color w:val="000000"/>
              </w:rPr>
              <w:t xml:space="preserve"> 相关专业中级或以上技术职称。（提供相关证明文件）</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施工范围</w:t>
            </w:r>
          </w:p>
        </w:tc>
        <w:tc>
          <w:tcPr>
            <w:tcW w:type="dxa" w:w="5814"/>
          </w:tcPr>
          <w:p>
            <w:pPr>
              <w:pStyle w:val="null3"/>
              <w:jc w:val="both"/>
            </w:pPr>
            <w:r>
              <w:rPr>
                <w:rFonts w:ascii="仿宋_GB2312" w:hAnsi="仿宋_GB2312" w:cs="仿宋_GB2312" w:eastAsia="仿宋_GB2312"/>
                <w:sz w:val="21"/>
                <w:color w:val="000000"/>
              </w:rPr>
              <w:t>（1）主要工程内容有：工程量清单及施工图所示全部内容；</w:t>
            </w:r>
          </w:p>
          <w:p>
            <w:pPr>
              <w:pStyle w:val="null3"/>
              <w:jc w:val="both"/>
            </w:pPr>
            <w:r>
              <w:rPr>
                <w:rFonts w:ascii="仿宋_GB2312" w:hAnsi="仿宋_GB2312" w:cs="仿宋_GB2312" w:eastAsia="仿宋_GB2312"/>
                <w:sz w:val="21"/>
                <w:color w:val="000000"/>
              </w:rPr>
              <w:t>（2）工程量清单应与采购文件、设计图纸及施工现场等一起理解适用；</w:t>
            </w:r>
          </w:p>
          <w:p>
            <w:pPr>
              <w:pStyle w:val="null3"/>
              <w:jc w:val="both"/>
            </w:pPr>
            <w:r>
              <w:rPr>
                <w:rFonts w:ascii="仿宋_GB2312" w:hAnsi="仿宋_GB2312" w:cs="仿宋_GB2312" w:eastAsia="仿宋_GB2312"/>
                <w:sz w:val="21"/>
                <w:color w:val="000000"/>
              </w:rPr>
              <w:t>（3）工程量清单中不明确的以设计图纸及现场实际为准。</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材料质量 要求</w:t>
            </w:r>
          </w:p>
        </w:tc>
        <w:tc>
          <w:tcPr>
            <w:tcW w:type="dxa" w:w="5814"/>
          </w:tcPr>
          <w:p>
            <w:pPr>
              <w:pStyle w:val="null3"/>
              <w:jc w:val="both"/>
            </w:pPr>
            <w:r>
              <w:rPr>
                <w:rFonts w:ascii="仿宋_GB2312" w:hAnsi="仿宋_GB2312" w:cs="仿宋_GB2312" w:eastAsia="仿宋_GB2312"/>
                <w:sz w:val="21"/>
                <w:color w:val="000000"/>
              </w:rPr>
              <w:t>材料、设备选用要满足设计和国家现行相关质量标准的要求，材料进场应当得到采购人或本项目监理人员验收合格后方可投入使用。</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安全责任</w:t>
            </w:r>
          </w:p>
        </w:tc>
        <w:tc>
          <w:tcPr>
            <w:tcW w:type="dxa" w:w="5814"/>
          </w:tcPr>
          <w:p>
            <w:pPr>
              <w:pStyle w:val="null3"/>
              <w:jc w:val="left"/>
            </w:pPr>
            <w:r>
              <w:rPr>
                <w:rFonts w:ascii="仿宋_GB2312" w:hAnsi="仿宋_GB2312" w:cs="仿宋_GB2312" w:eastAsia="仿宋_GB2312"/>
                <w:sz w:val="21"/>
                <w:color w:val="000000"/>
              </w:rPr>
              <w:t>在本项目实施过程中的安全责任全部由成交供应商负责，采购人不承担任何责任。</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C级护栏</w:t>
            </w:r>
          </w:p>
        </w:tc>
        <w:tc>
          <w:tcPr>
            <w:tcW w:type="dxa" w:w="5814"/>
          </w:tcPr>
          <w:p>
            <w:pPr>
              <w:pStyle w:val="null3"/>
              <w:jc w:val="both"/>
            </w:pPr>
            <w:r>
              <w:rPr>
                <w:rFonts w:ascii="仿宋_GB2312" w:hAnsi="仿宋_GB2312" w:cs="仿宋_GB2312" w:eastAsia="仿宋_GB2312"/>
                <w:sz w:val="21"/>
                <w:color w:val="000000"/>
              </w:rPr>
              <w:t>1、波形梁板基底金属厚度2.5mm。</w:t>
            </w:r>
          </w:p>
          <w:p>
            <w:pPr>
              <w:pStyle w:val="null3"/>
              <w:jc w:val="both"/>
            </w:pPr>
            <w:r>
              <w:rPr>
                <w:rFonts w:ascii="仿宋_GB2312" w:hAnsi="仿宋_GB2312" w:cs="仿宋_GB2312" w:eastAsia="仿宋_GB2312"/>
                <w:sz w:val="21"/>
                <w:color w:val="000000"/>
              </w:rPr>
              <w:t>2、立柱基底金属厚度4.5mm，立柱长2.1m。立柱埋入深度1.4m。</w:t>
            </w:r>
          </w:p>
          <w:p>
            <w:pPr>
              <w:pStyle w:val="null3"/>
              <w:jc w:val="both"/>
            </w:pPr>
            <w:r>
              <w:rPr>
                <w:rFonts w:ascii="仿宋_GB2312" w:hAnsi="仿宋_GB2312" w:cs="仿宋_GB2312" w:eastAsia="仿宋_GB2312"/>
                <w:sz w:val="21"/>
                <w:color w:val="000000"/>
              </w:rPr>
              <w:t>3、横梁中心高度600mm。</w:t>
            </w:r>
          </w:p>
          <w:p>
            <w:pPr>
              <w:pStyle w:val="null3"/>
              <w:jc w:val="both"/>
            </w:pPr>
            <w:r>
              <w:rPr>
                <w:rFonts w:ascii="仿宋_GB2312" w:hAnsi="仿宋_GB2312" w:cs="仿宋_GB2312" w:eastAsia="仿宋_GB2312"/>
                <w:sz w:val="21"/>
                <w:color w:val="000000"/>
              </w:rPr>
              <w:t>4、板的展开宽度481mm。板宽</w:t>
            </w:r>
            <w:r>
              <w:rPr>
                <w:rFonts w:ascii="仿宋_GB2312" w:hAnsi="仿宋_GB2312" w:cs="仿宋_GB2312" w:eastAsia="仿宋_GB2312"/>
                <w:sz w:val="21"/>
              </w:rPr>
              <w:t>310mm。</w:t>
            </w:r>
          </w:p>
          <w:p>
            <w:pPr>
              <w:pStyle w:val="null3"/>
              <w:jc w:val="both"/>
            </w:pPr>
            <w:r>
              <w:rPr>
                <w:rFonts w:ascii="仿宋_GB2312" w:hAnsi="仿宋_GB2312" w:cs="仿宋_GB2312" w:eastAsia="仿宋_GB2312"/>
                <w:sz w:val="21"/>
                <w:color w:val="000000"/>
              </w:rPr>
              <w:t>5、立柱的内壁防腐质量要求应不低于外壁防腐质量要求。</w:t>
            </w:r>
          </w:p>
          <w:p>
            <w:pPr>
              <w:pStyle w:val="null3"/>
              <w:jc w:val="both"/>
            </w:pPr>
            <w:r>
              <w:rPr>
                <w:rFonts w:ascii="仿宋_GB2312" w:hAnsi="仿宋_GB2312" w:cs="仿宋_GB2312" w:eastAsia="仿宋_GB2312"/>
                <w:sz w:val="21"/>
                <w:color w:val="000000"/>
              </w:rPr>
              <w:t>6、喷塑层厚度≥76μm， 锌层厚度≥39μm，防腐层平均总厚度不低于116μm</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波形梁护栏镀锌层厚度标准</w:t>
            </w:r>
          </w:p>
        </w:tc>
        <w:tc>
          <w:tcPr>
            <w:tcW w:type="dxa" w:w="5814"/>
          </w:tcPr>
          <w:p>
            <w:pPr>
              <w:pStyle w:val="null3"/>
              <w:ind w:firstLine="480"/>
              <w:jc w:val="both"/>
            </w:pPr>
            <w:r>
              <w:rPr>
                <w:rFonts w:ascii="仿宋_GB2312" w:hAnsi="仿宋_GB2312" w:cs="仿宋_GB2312" w:eastAsia="仿宋_GB2312"/>
                <w:sz w:val="21"/>
                <w:color w:val="000000"/>
              </w:rPr>
              <w:t>1. 材料厚度:</w:t>
            </w:r>
          </w:p>
          <w:p>
            <w:pPr>
              <w:pStyle w:val="null3"/>
              <w:ind w:firstLine="480"/>
              <w:jc w:val="both"/>
            </w:pPr>
            <w:r>
              <w:rPr>
                <w:rFonts w:ascii="仿宋_GB2312" w:hAnsi="仿宋_GB2312" w:cs="仿宋_GB2312" w:eastAsia="仿宋_GB2312"/>
                <w:sz w:val="21"/>
                <w:color w:val="000000"/>
              </w:rPr>
              <w:t>波形梁板的黑件厚度不小于3.0 mm和4.0mm,</w:t>
            </w:r>
            <w:r>
              <w:rPr>
                <w:rFonts w:ascii="仿宋_GB2312" w:hAnsi="仿宋_GB2312" w:cs="仿宋_GB2312" w:eastAsia="仿宋_GB2312"/>
                <w:sz w:val="21"/>
                <w:color w:val="000000"/>
              </w:rPr>
              <w:t>防腐处理后成型护栏板基板的实测最小厚度应分别不小于2.95 mm和3.95 mm,平均厚度应分别不小于3.0mm和4.0 mm。</w:t>
            </w:r>
          </w:p>
          <w:p>
            <w:pPr>
              <w:pStyle w:val="null3"/>
              <w:ind w:firstLine="480"/>
              <w:jc w:val="both"/>
            </w:pPr>
            <w:r>
              <w:rPr>
                <w:rFonts w:ascii="仿宋_GB2312" w:hAnsi="仿宋_GB2312" w:cs="仿宋_GB2312" w:eastAsia="仿宋_GB2312"/>
                <w:sz w:val="21"/>
                <w:color w:val="000000"/>
              </w:rPr>
              <w:t>立柱单根钢管立柱壁厚最小值为4.25mm,防腐处理后多根立柱基底壁厚实测平均值应不小于4.5mm。立柱定尺长度应符合JTG/T D81规定或按设计图确定。</w:t>
            </w:r>
          </w:p>
          <w:p>
            <w:pPr>
              <w:pStyle w:val="null3"/>
              <w:ind w:firstLine="480"/>
              <w:jc w:val="both"/>
            </w:pPr>
            <w:r>
              <w:rPr>
                <w:rFonts w:ascii="仿宋_GB2312" w:hAnsi="仿宋_GB2312" w:cs="仿宋_GB2312" w:eastAsia="仿宋_GB2312"/>
                <w:sz w:val="21"/>
                <w:color w:val="000000"/>
              </w:rPr>
              <w:t>2.材质要求:波形梁板、立柱、端头、防阻块、托架、横隔梁、加强板等所用基底金属材质应为碳素结构钢,其力学性能及化学成分指标应不低于GB/T700规定的Q235牌号钢的要求，</w:t>
            </w:r>
          </w:p>
          <w:p>
            <w:pPr>
              <w:pStyle w:val="null3"/>
              <w:ind w:firstLine="480"/>
              <w:jc w:val="both"/>
            </w:pPr>
            <w:r>
              <w:rPr>
                <w:rFonts w:ascii="仿宋_GB2312" w:hAnsi="仿宋_GB2312" w:cs="仿宋_GB2312" w:eastAsia="仿宋_GB2312"/>
                <w:sz w:val="21"/>
                <w:color w:val="000000"/>
              </w:rPr>
              <w:t>3.不同工艺的防腐层要求:</w:t>
            </w:r>
          </w:p>
          <w:p>
            <w:pPr>
              <w:pStyle w:val="null3"/>
              <w:ind w:firstLine="480"/>
              <w:jc w:val="both"/>
            </w:pPr>
            <w:r>
              <w:rPr>
                <w:rFonts w:ascii="仿宋_GB2312" w:hAnsi="仿宋_GB2312" w:cs="仿宋_GB2312" w:eastAsia="仿宋_GB2312"/>
                <w:sz w:val="21"/>
                <w:color w:val="000000"/>
              </w:rPr>
              <w:t>热浸镀锌涂层*(热镀锌)</w:t>
            </w:r>
          </w:p>
          <w:p>
            <w:pPr>
              <w:pStyle w:val="null3"/>
              <w:ind w:firstLine="480"/>
              <w:jc w:val="both"/>
            </w:pPr>
            <w:r>
              <w:rPr>
                <w:rFonts w:ascii="仿宋_GB2312" w:hAnsi="仿宋_GB2312" w:cs="仿宋_GB2312" w:eastAsia="仿宋_GB2312"/>
                <w:sz w:val="21"/>
                <w:color w:val="000000"/>
              </w:rPr>
              <w:t>钢板和立柱:平均镀锌层附着量≥600g/㎡，平均镀锌层厚度≥84μm;</w:t>
            </w:r>
          </w:p>
          <w:p>
            <w:pPr>
              <w:pStyle w:val="null3"/>
              <w:jc w:val="both"/>
            </w:pPr>
            <w:r>
              <w:rPr>
                <w:rFonts w:ascii="仿宋_GB2312" w:hAnsi="仿宋_GB2312" w:cs="仿宋_GB2312" w:eastAsia="仿宋_GB2312"/>
                <w:sz w:val="21"/>
                <w:color w:val="000000"/>
              </w:rPr>
              <w:t xml:space="preserve">   连接件/紧固件:平均镀锌层附着量≥350g/㎡，平均镀锌层厚度≥49μm。</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工程质量、材料、施工等的特殊要求</w:t>
            </w:r>
          </w:p>
        </w:tc>
        <w:tc>
          <w:tcPr>
            <w:tcW w:type="dxa" w:w="5814"/>
          </w:tcPr>
          <w:p>
            <w:pPr>
              <w:pStyle w:val="null3"/>
              <w:ind w:firstLine="480"/>
              <w:jc w:val="both"/>
            </w:pPr>
            <w:r>
              <w:rPr>
                <w:rFonts w:ascii="仿宋_GB2312" w:hAnsi="仿宋_GB2312" w:cs="仿宋_GB2312" w:eastAsia="仿宋_GB2312"/>
                <w:sz w:val="21"/>
                <w:color w:val="000000"/>
              </w:rPr>
              <w:t>一、工程质量及材料应达到国家、省现行验收标准，材料品质、规格必须符合设计要求，施工时必须按响应文件的施工组织设计进行施工，并符合施工规范及验收标准。</w:t>
            </w:r>
          </w:p>
          <w:p>
            <w:pPr>
              <w:pStyle w:val="null3"/>
              <w:jc w:val="both"/>
            </w:pPr>
            <w:r>
              <w:rPr>
                <w:rFonts w:ascii="仿宋_GB2312" w:hAnsi="仿宋_GB2312" w:cs="仿宋_GB2312" w:eastAsia="仿宋_GB2312"/>
                <w:sz w:val="21"/>
                <w:color w:val="000000"/>
              </w:rPr>
              <w:t xml:space="preserve">   二、供应商针对本项目的施工，必须达到国家及行业现行技术规范和标准，符合中华人民共和国交通部《公路工程技术标准》(JTGB01-2014)、中华人民共和国工程建设标准强制性条文(公路工程部分)、中华人民共和国国家标准《道路交通标志和标线》、中华人民共和国交通部《公路交通安全设施施工技术规范》(JTG/T3671-2021)、《公路安全生命防护工程实施技术指南(试行)》(交办公路(2015)26号)、《公路工程质量检验评定标准》(JTG F80/1-2017)及其他与本工程相关的行业现行标准及规范。</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缺陷责任期</w:t>
            </w:r>
          </w:p>
        </w:tc>
        <w:tc>
          <w:tcPr>
            <w:tcW w:type="dxa" w:w="5814"/>
          </w:tcPr>
          <w:p>
            <w:pPr>
              <w:pStyle w:val="null3"/>
              <w:jc w:val="left"/>
            </w:pPr>
            <w:r>
              <w:rPr>
                <w:rFonts w:ascii="仿宋_GB2312" w:hAnsi="仿宋_GB2312" w:cs="仿宋_GB2312" w:eastAsia="仿宋_GB2312"/>
                <w:sz w:val="24"/>
                <w:color w:val="000000"/>
              </w:rPr>
              <w:t>自本项目验收合格之日起计</w:t>
            </w:r>
            <w:r>
              <w:rPr>
                <w:rFonts w:ascii="仿宋_GB2312" w:hAnsi="仿宋_GB2312" w:cs="仿宋_GB2312" w:eastAsia="仿宋_GB2312"/>
                <w:sz w:val="24"/>
                <w:color w:val="000000"/>
              </w:rPr>
              <w:t>24个月。</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售后服务</w:t>
            </w:r>
          </w:p>
        </w:tc>
        <w:tc>
          <w:tcPr>
            <w:tcW w:type="dxa" w:w="5814"/>
          </w:tcPr>
          <w:p>
            <w:pPr>
              <w:pStyle w:val="null3"/>
              <w:jc w:val="left"/>
            </w:pPr>
            <w:r>
              <w:rPr>
                <w:rFonts w:ascii="仿宋_GB2312" w:hAnsi="仿宋_GB2312" w:cs="仿宋_GB2312" w:eastAsia="仿宋_GB2312"/>
                <w:sz w:val="24"/>
                <w:color w:val="000000"/>
              </w:rPr>
              <w:t>在质保期内，如果工程或设备出现质量问题，供应商在接到用户报修电话，</w:t>
            </w:r>
            <w:r>
              <w:rPr>
                <w:rFonts w:ascii="仿宋_GB2312" w:hAnsi="仿宋_GB2312" w:cs="仿宋_GB2312" w:eastAsia="仿宋_GB2312"/>
                <w:sz w:val="24"/>
                <w:color w:val="000000"/>
              </w:rPr>
              <w:t>30分钟内电话响应，24小时内解决问题；如经2次处理均不能解决问题，应当重新施工或更换同品牌同型号新设备，且一切费用由供应商承担。</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施工工期</w:t>
            </w:r>
          </w:p>
        </w:tc>
        <w:tc>
          <w:tcPr>
            <w:tcW w:type="dxa" w:w="5814"/>
          </w:tcPr>
          <w:p>
            <w:pPr>
              <w:pStyle w:val="null3"/>
              <w:jc w:val="left"/>
            </w:pPr>
            <w:r>
              <w:rPr>
                <w:rFonts w:ascii="仿宋_GB2312" w:hAnsi="仿宋_GB2312" w:cs="仿宋_GB2312" w:eastAsia="仿宋_GB2312"/>
              </w:rPr>
              <w:t>（1）工期总日历天数：合同签订生效之后 90 个日历天内完成； （2）本项目除人力不可抗拒因素外（如地震、战争等），工期不得延误，延期完工，供应商支付采购人1000元/天的违约金。</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施工地点</w:t>
            </w:r>
          </w:p>
        </w:tc>
        <w:tc>
          <w:tcPr>
            <w:tcW w:type="dxa" w:w="5814"/>
          </w:tcPr>
          <w:p>
            <w:pPr>
              <w:pStyle w:val="null3"/>
              <w:jc w:val="left"/>
            </w:pPr>
            <w:r>
              <w:rPr>
                <w:rFonts w:ascii="仿宋_GB2312" w:hAnsi="仿宋_GB2312" w:cs="仿宋_GB2312" w:eastAsia="仿宋_GB2312"/>
              </w:rPr>
              <w:t>巴中市巴州区玉堂街道</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1、预付款，签订合同后， 项目发布开工令后，达到付款条件起7日内，支付合同总金额的40.00%</w:t>
            </w:r>
          </w:p>
          <w:p>
            <w:pPr>
              <w:pStyle w:val="null3"/>
              <w:jc w:val="left"/>
            </w:pPr>
            <w:r>
              <w:rPr>
                <w:rFonts w:ascii="仿宋_GB2312" w:hAnsi="仿宋_GB2312" w:cs="仿宋_GB2312" w:eastAsia="仿宋_GB2312"/>
              </w:rPr>
              <w:t>2、进度款，项目完工结算后并出具交工证书，达到付款条件起7日内，支付合同总金额的40.00%</w:t>
            </w:r>
          </w:p>
          <w:p>
            <w:pPr>
              <w:pStyle w:val="null3"/>
              <w:jc w:val="left"/>
            </w:pPr>
            <w:r>
              <w:rPr>
                <w:rFonts w:ascii="仿宋_GB2312" w:hAnsi="仿宋_GB2312" w:cs="仿宋_GB2312" w:eastAsia="仿宋_GB2312"/>
              </w:rPr>
              <w:t>3、进度款，项目完成结算审计后，达到付款条件起7日内，支付合同总金额的17.00%</w:t>
            </w:r>
          </w:p>
          <w:p>
            <w:pPr>
              <w:pStyle w:val="null3"/>
              <w:jc w:val="left"/>
            </w:pPr>
            <w:r>
              <w:rPr>
                <w:rFonts w:ascii="仿宋_GB2312" w:hAnsi="仿宋_GB2312" w:cs="仿宋_GB2312" w:eastAsia="仿宋_GB2312"/>
              </w:rPr>
              <w:t>4、尾款，缺陷责任期满经竣工验收合格办理竣工验收证书后，达到付款条件起7日内，支付合同总金额的3.00%</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财政部关于进一步加强采购需求和履约验收管理的指导意见》的通知（财库〔2016〕205号）及《政府采购需求管理办法》（财库〔2021〕22号）的要求、采购文件规定的要求和响应文件及合同承诺的内容进行验收</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无</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漏项工程处理</w:t>
            </w:r>
          </w:p>
        </w:tc>
        <w:tc>
          <w:tcPr>
            <w:tcW w:type="dxa" w:w="5814"/>
          </w:tcPr>
          <w:p>
            <w:pPr>
              <w:pStyle w:val="null3"/>
              <w:jc w:val="left"/>
            </w:pPr>
            <w:r>
              <w:rPr>
                <w:rFonts w:ascii="仿宋_GB2312" w:hAnsi="仿宋_GB2312" w:cs="仿宋_GB2312" w:eastAsia="仿宋_GB2312"/>
              </w:rPr>
              <w:t>施工过程中，发现工程量清单存在漏项工程的，该漏项工程作为本项目本章采购需求的组成部分，采购人和供应商可以按照《中华人民共和国政府采购法》的规定签订不超过成交金额10%的补充合同。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详见第三章“技术、服务及其他要求”中“3.2.技术要求”，“3.3.服务要求”。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详见第七章“拟签订采购合同文本”。</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ind w:firstLine="480"/>
        <w:jc w:val="left"/>
      </w:pPr>
      <w:r>
        <w:rPr>
          <w:rFonts w:ascii="仿宋_GB2312" w:hAnsi="仿宋_GB2312" w:cs="仿宋_GB2312" w:eastAsia="仿宋_GB2312"/>
        </w:rPr>
        <w:t>注：工程量清单不属于谈判过程中可以实质性变动的内容。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 xml:space="preserve"> 六、谈判文件规定的供应商资格条件与随机抽取设置的或邀请书中载明的供应商资格条件不一致的；</w:t>
      </w:r>
    </w:p>
    <w:p>
      <w:pPr>
        <w:pStyle w:val="null3"/>
        <w:jc w:val="left"/>
      </w:pPr>
      <w:r>
        <w:rPr>
          <w:rFonts w:ascii="仿宋_GB2312" w:hAnsi="仿宋_GB2312" w:cs="仿宋_GB2312" w:eastAsia="仿宋_GB2312"/>
        </w:rPr>
        <w:t xml:space="preserve"> 七、谈判文件有违反国家其他有关强制性规定的情形。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 供应商注册时间截至响应文件提交截止之日前不足一年的，也可提供在相关主管部门备案的公司章程等证明材料。</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投标（响应）函,项目负责人信息表</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具有符合工程管理规定的建筑业企业资质、安全生产许可证。</w:t>
            </w:r>
          </w:p>
        </w:tc>
        <w:tc>
          <w:tcPr>
            <w:tcW w:type="dxa" w:w="3322"/>
          </w:tcPr>
          <w:p>
            <w:pPr>
              <w:pStyle w:val="null3"/>
              <w:jc w:val="left"/>
            </w:pPr>
            <w:r>
              <w:rPr>
                <w:rFonts w:ascii="仿宋_GB2312" w:hAnsi="仿宋_GB2312" w:cs="仿宋_GB2312" w:eastAsia="仿宋_GB2312"/>
              </w:rPr>
              <w:t>供应商应当具备行业主管部门颁发的且在有效期内的安全生产许可证；供应商应当具备行业主管部门颁发的且在有效期内的公路交通工程公路安全设施专业承包二级或以上、安全生产许可证；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910"/>
          </w:tcPr>
          <w:p>
            <w:pPr>
              <w:pStyle w:val="null3"/>
              <w:jc w:val="left"/>
            </w:pPr>
            <w:r>
              <w:rPr>
                <w:rFonts w:ascii="仿宋_GB2312" w:hAnsi="仿宋_GB2312" w:cs="仿宋_GB2312" w:eastAsia="仿宋_GB2312"/>
              </w:rPr>
              <w:t>供应商应提交的相关证明材料,投标（响应）函,企业资质信息表</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项目配备人员要求：项目经理具备行业主管部门颁发的且在有效期内的公路工程二级建造师及以上建造师注册证书，并具备行业主管部门颁发的且在有效期内的公路水运工程安全生产考核合格证书 (B证)</w:t>
            </w:r>
          </w:p>
        </w:tc>
        <w:tc>
          <w:tcPr>
            <w:tcW w:type="dxa" w:w="3322"/>
          </w:tcPr>
          <w:p>
            <w:pPr>
              <w:pStyle w:val="null3"/>
              <w:jc w:val="left"/>
            </w:pPr>
            <w:r>
              <w:rPr>
                <w:rFonts w:ascii="仿宋_GB2312" w:hAnsi="仿宋_GB2312" w:cs="仿宋_GB2312" w:eastAsia="仿宋_GB2312"/>
              </w:rPr>
              <w:t>提供项目经理的行业主管部门颁发的且在有效期内的公路工程二级建造师及以上建造师注册证书和有效期内的公路水运工程安全生产考核合格证书(B证)原件的扫描件。</w:t>
            </w:r>
          </w:p>
        </w:tc>
        <w:tc>
          <w:tcPr>
            <w:tcW w:type="dxa" w:w="1910"/>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一、谈判小组依据本谈判文件的符合性审查要求，对符合资格要求供应商的响应文件有效性、完整性和响应程度进行审查。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二、谈判小组应对供应商已标价工程量清单进行算术性复核，如果出现下列不一致的，按以下原则进行修正：</w:t>
      </w:r>
    </w:p>
    <w:p>
      <w:pPr>
        <w:pStyle w:val="null3"/>
        <w:ind w:firstLine="480"/>
        <w:jc w:val="left"/>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3"/>
        <w:ind w:firstLine="480"/>
        <w:jc w:val="left"/>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3"/>
        <w:ind w:firstLine="480"/>
        <w:jc w:val="left"/>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谈判小组不得未经书面形式要求供应商确认，直接将供应商响应文件作为无效处理。</w:t>
      </w:r>
    </w:p>
    <w:p>
      <w:pPr>
        <w:pStyle w:val="null3"/>
        <w:ind w:firstLine="480"/>
        <w:jc w:val="left"/>
      </w:pPr>
      <w:r>
        <w:rPr>
          <w:rFonts w:ascii="仿宋_GB2312" w:hAnsi="仿宋_GB2312" w:cs="仿宋_GB2312" w:eastAsia="仿宋_GB2312"/>
        </w:rPr>
        <w:t>三、在符合性审查过程中，如果出现谈判小组成员意见不一致的情况，按照少数服从多数的原则确定，但不得违反政府采购基本原则和谈判文件规定。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 ）。</w:t>
            </w:r>
          </w:p>
        </w:tc>
        <w:tc>
          <w:tcPr>
            <w:tcW w:type="dxa" w:w="3322"/>
          </w:tcPr>
          <w:p>
            <w:pPr>
              <w:pStyle w:val="null3"/>
              <w:jc w:val="left"/>
            </w:pPr>
            <w:r>
              <w:rPr>
                <w:rFonts w:ascii="仿宋_GB2312" w:hAnsi="仿宋_GB2312" w:cs="仿宋_GB2312" w:eastAsia="仿宋_GB2312"/>
              </w:rPr>
              <w:t>在谈判过程中，谈判小组认为供应商的报价明 显低于其他通过符合性审查供应商的报价，有 可能影响产品质量或者不能诚信履约的，谈判 小组应当要求其在合理的时间内在项目电子化 交易系统中上传说明材料，必要时提交相关证 明材料。供应商提交的相关证明材料，应当加 盖供应商（法定名称）电子印章，在谈判小组 要求的时间内通过项目电子化交易系统进行提 交，否则提交的相关证明材料无效。供应商不 能证明其报价合理性的，谈判小组应当将其响 应文件作为无效处理</w:t>
            </w:r>
          </w:p>
        </w:tc>
        <w:tc>
          <w:tcPr>
            <w:tcW w:type="dxa" w:w="1910"/>
          </w:tcPr>
          <w:p>
            <w:pPr>
              <w:pStyle w:val="null3"/>
              <w:jc w:val="left"/>
            </w:pPr>
            <w:r>
              <w:rPr>
                <w:rFonts w:ascii="仿宋_GB2312" w:hAnsi="仿宋_GB2312" w:cs="仿宋_GB2312" w:eastAsia="仿宋_GB2312"/>
              </w:rPr>
              <w:t>供应商应提交的相关证明材料,报价表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符合文件的其他实质性要求。</w:t>
            </w:r>
          </w:p>
        </w:tc>
        <w:tc>
          <w:tcPr>
            <w:tcW w:type="dxa" w:w="3322"/>
          </w:tcPr>
          <w:p>
            <w:pPr>
              <w:pStyle w:val="null3"/>
              <w:jc w:val="left"/>
            </w:pPr>
            <w:r>
              <w:rPr>
                <w:rFonts w:ascii="仿宋_GB2312" w:hAnsi="仿宋_GB2312" w:cs="仿宋_GB2312" w:eastAsia="仿宋_GB2312"/>
              </w:rPr>
              <w:t>符合文件要求。</w:t>
            </w:r>
          </w:p>
        </w:tc>
        <w:tc>
          <w:tcPr>
            <w:tcW w:type="dxa" w:w="1910"/>
          </w:tcPr>
          <w:p>
            <w:pPr>
              <w:pStyle w:val="null3"/>
              <w:jc w:val="left"/>
            </w:pPr>
            <w:r>
              <w:rPr>
                <w:rFonts w:ascii="仿宋_GB2312" w:hAnsi="仿宋_GB2312" w:cs="仿宋_GB2312" w:eastAsia="仿宋_GB2312"/>
              </w:rPr>
              <w:t>供应商应提交的相关证明材料,投标（响应）函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谈判小组认为供应商响应报价明显低于其他通过符合性审查供应商的响应报价，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注：供应商报价低于最高限价85%或者低于其他有效供应商报价算术平均价90%的，谈判小组可以认为该供应商“报价明显低于其他实质性响应的供应商报价”。）</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承诺提供的优先采购产品认证证书数量由多到少顺序排列；最后报价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已标价工程量清单,报价表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强制、优先采购产品承诺函,供应商应提交的相关证明材料</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一、评审结束后，代理机构在评审结束后2个工作日内将谈判报告及有关资料送交采购人确定成交供应商。</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三、根据采购人确定的成交供应商，代理机构在四川政府采购网发布成交结果公告，同时向成交供应商发出成交通知书。</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详见附件：已标价工程量清单</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详见附件：项目负责人信息表</w:t>
      </w:r>
    </w:p>
    <w:p>
      <w:pPr>
        <w:pStyle w:val="null3"/>
        <w:ind w:firstLine="960"/>
        <w:jc w:val="left"/>
      </w:pPr>
      <w:r>
        <w:rPr>
          <w:rFonts w:ascii="仿宋_GB2312" w:hAnsi="仿宋_GB2312" w:cs="仿宋_GB2312" w:eastAsia="仿宋_GB2312"/>
        </w:rPr>
        <w:t>详见附件：强制、优先采购产品承诺函</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详见附件：企业资质信息表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（工程类）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根据《中华人民共和国政府采购法》、《中华人民共和国民法典》、《中华人民共和国建筑法》及</w:t>
      </w:r>
      <w:r>
        <w:rPr>
          <w:rFonts w:ascii="仿宋_GB2312" w:hAnsi="仿宋_GB2312" w:cs="仿宋_GB2312" w:eastAsia="仿宋_GB2312"/>
        </w:rPr>
        <w:t>________</w:t>
      </w:r>
      <w:r>
        <w:rPr>
          <w:rFonts w:ascii="仿宋_GB2312" w:hAnsi="仿宋_GB2312" w:cs="仿宋_GB2312" w:eastAsia="仿宋_GB2312"/>
        </w:rPr>
        <w:t>采购项目（项目编号：</w:t>
      </w:r>
      <w:r>
        <w:rPr>
          <w:rFonts w:ascii="仿宋_GB2312" w:hAnsi="仿宋_GB2312" w:cs="仿宋_GB2312" w:eastAsia="仿宋_GB2312"/>
        </w:rPr>
        <w:t>________</w:t>
      </w:r>
      <w:r>
        <w:rPr>
          <w:rFonts w:ascii="仿宋_GB2312" w:hAnsi="仿宋_GB2312" w:cs="仿宋_GB2312" w:eastAsia="仿宋_GB2312"/>
        </w:rPr>
        <w:t>）的</w:t>
      </w:r>
      <w:r>
        <w:rPr>
          <w:rFonts w:ascii="仿宋_GB2312" w:hAnsi="仿宋_GB2312" w:cs="仿宋_GB2312" w:eastAsia="仿宋_GB2312"/>
        </w:rPr>
        <w:t>《谈判文件》</w:t>
      </w:r>
      <w:r>
        <w:rPr>
          <w:rFonts w:ascii="仿宋_GB2312" w:hAnsi="仿宋_GB2312" w:cs="仿宋_GB2312" w:eastAsia="仿宋_GB2312"/>
        </w:rPr>
        <w:t>、乙方的响应文件及成交通知书，甲、乙双方同意签订本合同。</w:t>
      </w:r>
    </w:p>
    <w:p>
      <w:pPr>
        <w:pStyle w:val="null3"/>
        <w:jc w:val="left"/>
        <w:outlineLvl w:val="2"/>
      </w:pPr>
      <w:r>
        <w:rPr>
          <w:rFonts w:ascii="仿宋_GB2312" w:hAnsi="仿宋_GB2312" w:cs="仿宋_GB2312" w:eastAsia="仿宋_GB2312"/>
          <w:sz w:val="28"/>
          <w:b/>
        </w:rPr>
        <w:t xml:space="preserve"> 一、工程概况</w:t>
      </w:r>
    </w:p>
    <w:p>
      <w:pPr>
        <w:pStyle w:val="null3"/>
        <w:jc w:val="left"/>
      </w:pPr>
      <w:r>
        <w:rPr>
          <w:rFonts w:ascii="仿宋_GB2312" w:hAnsi="仿宋_GB2312" w:cs="仿宋_GB2312" w:eastAsia="仿宋_GB2312"/>
        </w:rPr>
        <w:t xml:space="preserve"> 1.工程名称：</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2.工程地点：</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3.项目编号：</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4.工程内容、规模及承包范围</w:t>
      </w:r>
    </w:p>
    <w:p>
      <w:pPr>
        <w:pStyle w:val="null3"/>
        <w:jc w:val="left"/>
      </w:pPr>
      <w:r>
        <w:br/>
      </w:r>
    </w:p>
    <w:p>
      <w:pPr>
        <w:pStyle w:val="null3"/>
        <w:jc w:val="left"/>
        <w:outlineLvl w:val="2"/>
      </w:pPr>
      <w:r>
        <w:rPr>
          <w:rFonts w:ascii="仿宋_GB2312" w:hAnsi="仿宋_GB2312" w:cs="仿宋_GB2312" w:eastAsia="仿宋_GB2312"/>
          <w:sz w:val="28"/>
          <w:b/>
        </w:rPr>
        <w:t xml:space="preserve"> 二、合同工期</w:t>
      </w:r>
    </w:p>
    <w:p>
      <w:pPr>
        <w:pStyle w:val="null3"/>
        <w:jc w:val="left"/>
      </w:pPr>
      <w:r>
        <w:rPr>
          <w:rFonts w:ascii="仿宋_GB2312" w:hAnsi="仿宋_GB2312" w:cs="仿宋_GB2312" w:eastAsia="仿宋_GB2312"/>
        </w:rPr>
        <w:t>计划开工日期：年 月 日</w:t>
      </w:r>
    </w:p>
    <w:p>
      <w:pPr>
        <w:pStyle w:val="null3"/>
        <w:jc w:val="left"/>
      </w:pPr>
      <w:r>
        <w:rPr>
          <w:rFonts w:ascii="仿宋_GB2312" w:hAnsi="仿宋_GB2312" w:cs="仿宋_GB2312" w:eastAsia="仿宋_GB2312"/>
        </w:rPr>
        <w:t>计划竣工日期：年 月 日</w:t>
      </w:r>
    </w:p>
    <w:p>
      <w:pPr>
        <w:pStyle w:val="null3"/>
        <w:jc w:val="left"/>
      </w:pPr>
      <w:r>
        <w:rPr>
          <w:rFonts w:ascii="仿宋_GB2312" w:hAnsi="仿宋_GB2312" w:cs="仿宋_GB2312" w:eastAsia="仿宋_GB2312"/>
        </w:rPr>
        <w:t>工期总日历天数： 天。工期总日历天数与根据前述计划开竣工日期计算的工期天数不一致的，以工期总日历天数为准</w:t>
      </w:r>
    </w:p>
    <w:p>
      <w:pPr>
        <w:pStyle w:val="null3"/>
        <w:jc w:val="left"/>
        <w:outlineLvl w:val="2"/>
      </w:pPr>
      <w:r>
        <w:rPr>
          <w:rFonts w:ascii="仿宋_GB2312" w:hAnsi="仿宋_GB2312" w:cs="仿宋_GB2312" w:eastAsia="仿宋_GB2312"/>
          <w:sz w:val="28"/>
          <w:b/>
        </w:rPr>
        <w:t xml:space="preserve"> 三、质量标准和规范</w:t>
      </w:r>
    </w:p>
    <w:p>
      <w:pPr>
        <w:pStyle w:val="null3"/>
        <w:jc w:val="left"/>
      </w:pPr>
      <w:r>
        <w:rPr>
          <w:rFonts w:ascii="仿宋_GB2312" w:hAnsi="仿宋_GB2312" w:cs="仿宋_GB2312" w:eastAsia="仿宋_GB2312"/>
        </w:rPr>
        <w:t>1.该工程质量符合标准：</w:t>
      </w:r>
    </w:p>
    <w:p>
      <w:pPr>
        <w:pStyle w:val="null3"/>
        <w:jc w:val="left"/>
      </w:pPr>
      <w:r>
        <w:rPr>
          <w:rFonts w:ascii="仿宋_GB2312" w:hAnsi="仿宋_GB2312" w:cs="仿宋_GB2312" w:eastAsia="仿宋_GB2312"/>
        </w:rPr>
        <w:t>2.采购人对工程的技术标准和功能要求的特殊要求：</w:t>
      </w:r>
    </w:p>
    <w:p>
      <w:pPr>
        <w:pStyle w:val="null3"/>
        <w:jc w:val="left"/>
        <w:outlineLvl w:val="2"/>
      </w:pPr>
      <w:r>
        <w:rPr>
          <w:rFonts w:ascii="仿宋_GB2312" w:hAnsi="仿宋_GB2312" w:cs="仿宋_GB2312" w:eastAsia="仿宋_GB2312"/>
          <w:sz w:val="28"/>
          <w:b/>
        </w:rPr>
        <w:t xml:space="preserve"> 四、签约合同价与合同价格形式</w:t>
      </w:r>
    </w:p>
    <w:p>
      <w:pPr>
        <w:pStyle w:val="null3"/>
        <w:jc w:val="left"/>
      </w:pPr>
      <w:r>
        <w:rPr>
          <w:rFonts w:ascii="仿宋_GB2312" w:hAnsi="仿宋_GB2312" w:cs="仿宋_GB2312" w:eastAsia="仿宋_GB2312"/>
        </w:rPr>
        <w:t>1.签约合同价为人民币（大写）</w:t>
      </w:r>
      <w:r>
        <w:rPr>
          <w:rFonts w:ascii="仿宋_GB2312" w:hAnsi="仿宋_GB2312" w:cs="仿宋_GB2312" w:eastAsia="仿宋_GB2312"/>
        </w:rPr>
        <w:t>________</w:t>
      </w:r>
      <w:r>
        <w:rPr>
          <w:rFonts w:ascii="仿宋_GB2312" w:hAnsi="仿宋_GB2312" w:cs="仿宋_GB2312" w:eastAsia="仿宋_GB2312"/>
        </w:rPr>
        <w:t>（小写金额：</w:t>
      </w:r>
      <w:r>
        <w:rPr>
          <w:rFonts w:ascii="仿宋_GB2312" w:hAnsi="仿宋_GB2312" w:cs="仿宋_GB2312" w:eastAsia="仿宋_GB2312"/>
        </w:rPr>
        <w:t>________</w:t>
      </w:r>
      <w:r>
        <w:rPr>
          <w:rFonts w:ascii="仿宋_GB2312" w:hAnsi="仿宋_GB2312" w:cs="仿宋_GB2312" w:eastAsia="仿宋_GB2312"/>
        </w:rPr>
        <w:t>元）；</w:t>
      </w:r>
    </w:p>
    <w:p>
      <w:pPr>
        <w:pStyle w:val="null3"/>
        <w:jc w:val="left"/>
      </w:pPr>
      <w:r>
        <w:rPr>
          <w:rFonts w:ascii="仿宋_GB2312" w:hAnsi="仿宋_GB2312" w:cs="仿宋_GB2312" w:eastAsia="仿宋_GB2312"/>
        </w:rPr>
        <w:t>其中：</w:t>
      </w:r>
    </w:p>
    <w:p>
      <w:pPr>
        <w:pStyle w:val="null3"/>
        <w:jc w:val="left"/>
      </w:pPr>
      <w:r>
        <w:rPr>
          <w:rFonts w:ascii="仿宋_GB2312" w:hAnsi="仿宋_GB2312" w:cs="仿宋_GB2312" w:eastAsia="仿宋_GB2312"/>
        </w:rPr>
        <w:t>（1）安全文明施工费：</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（2）材料和工程设备暂估价金额：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（3）专业工程暂估价金额：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（4）暂列金额：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2.合同定价方式：</w:t>
      </w:r>
    </w:p>
    <w:p>
      <w:pPr>
        <w:pStyle w:val="null3"/>
        <w:jc w:val="left"/>
      </w:pPr>
      <w:r>
        <w:rPr>
          <w:rFonts w:ascii="仿宋_GB2312" w:hAnsi="仿宋_GB2312" w:cs="仿宋_GB2312" w:eastAsia="仿宋_GB2312"/>
        </w:rPr>
        <w:t>3.付款进度安排及资金支付方式：</w:t>
      </w:r>
    </w:p>
    <w:p>
      <w:pPr>
        <w:pStyle w:val="null3"/>
        <w:jc w:val="left"/>
      </w:pPr>
      <w:r>
        <w:br/>
      </w:r>
    </w:p>
    <w:p>
      <w:pPr>
        <w:pStyle w:val="null3"/>
        <w:jc w:val="left"/>
        <w:outlineLvl w:val="2"/>
      </w:pPr>
      <w:r>
        <w:rPr>
          <w:rFonts w:ascii="仿宋_GB2312" w:hAnsi="仿宋_GB2312" w:cs="仿宋_GB2312" w:eastAsia="仿宋_GB2312"/>
          <w:sz w:val="28"/>
          <w:b/>
        </w:rPr>
        <w:t xml:space="preserve"> 五、项目经理</w:t>
      </w:r>
    </w:p>
    <w:p>
      <w:pPr>
        <w:pStyle w:val="null3"/>
        <w:jc w:val="left"/>
      </w:pPr>
      <w:r>
        <w:rPr>
          <w:rFonts w:ascii="仿宋_GB2312" w:hAnsi="仿宋_GB2312" w:cs="仿宋_GB2312" w:eastAsia="仿宋_GB2312"/>
        </w:rPr>
        <w:t>姓名：</w:t>
      </w:r>
    </w:p>
    <w:p>
      <w:pPr>
        <w:pStyle w:val="null3"/>
        <w:jc w:val="left"/>
      </w:pPr>
      <w:r>
        <w:rPr>
          <w:rFonts w:ascii="仿宋_GB2312" w:hAnsi="仿宋_GB2312" w:cs="仿宋_GB2312" w:eastAsia="仿宋_GB2312"/>
        </w:rPr>
        <w:t>证书名称：</w:t>
      </w:r>
    </w:p>
    <w:p>
      <w:pPr>
        <w:pStyle w:val="null3"/>
        <w:jc w:val="left"/>
      </w:pPr>
      <w:r>
        <w:rPr>
          <w:rFonts w:ascii="仿宋_GB2312" w:hAnsi="仿宋_GB2312" w:cs="仿宋_GB2312" w:eastAsia="仿宋_GB2312"/>
        </w:rPr>
        <w:t>证书编号：</w:t>
      </w:r>
    </w:p>
    <w:p>
      <w:pPr>
        <w:pStyle w:val="null3"/>
        <w:jc w:val="left"/>
      </w:pPr>
      <w:r>
        <w:rPr>
          <w:rFonts w:ascii="仿宋_GB2312" w:hAnsi="仿宋_GB2312" w:cs="仿宋_GB2312" w:eastAsia="仿宋_GB2312"/>
        </w:rPr>
        <w:t>证书专业：</w:t>
      </w:r>
    </w:p>
    <w:p>
      <w:pPr>
        <w:pStyle w:val="null3"/>
        <w:jc w:val="left"/>
        <w:outlineLvl w:val="2"/>
      </w:pPr>
      <w:r>
        <w:rPr>
          <w:rFonts w:ascii="仿宋_GB2312" w:hAnsi="仿宋_GB2312" w:cs="仿宋_GB2312" w:eastAsia="仿宋_GB2312"/>
          <w:sz w:val="28"/>
          <w:b/>
        </w:rPr>
        <w:t xml:space="preserve"> 六、合同文件构成</w:t>
      </w:r>
    </w:p>
    <w:p>
      <w:pPr>
        <w:pStyle w:val="null3"/>
        <w:jc w:val="left"/>
      </w:pPr>
      <w:r>
        <w:rPr>
          <w:rFonts w:ascii="仿宋_GB2312" w:hAnsi="仿宋_GB2312" w:cs="仿宋_GB2312" w:eastAsia="仿宋_GB2312"/>
        </w:rPr>
        <w:t>本协议书与下列文件一起构成合同文件：</w:t>
      </w:r>
    </w:p>
    <w:p>
      <w:pPr>
        <w:pStyle w:val="null3"/>
        <w:jc w:val="left"/>
      </w:pPr>
      <w:r>
        <w:rPr>
          <w:rFonts w:ascii="仿宋_GB2312" w:hAnsi="仿宋_GB2312" w:cs="仿宋_GB2312" w:eastAsia="仿宋_GB2312"/>
        </w:rPr>
        <w:t>（1）中标(成交)通知书；</w:t>
      </w:r>
    </w:p>
    <w:p>
      <w:pPr>
        <w:pStyle w:val="null3"/>
        <w:jc w:val="left"/>
      </w:pPr>
      <w:r>
        <w:rPr>
          <w:rFonts w:ascii="仿宋_GB2312" w:hAnsi="仿宋_GB2312" w:cs="仿宋_GB2312" w:eastAsia="仿宋_GB2312"/>
        </w:rPr>
        <w:t>（2）材料和工程设备暂估价金额：</w:t>
      </w:r>
    </w:p>
    <w:p>
      <w:pPr>
        <w:pStyle w:val="null3"/>
        <w:jc w:val="left"/>
      </w:pPr>
      <w:r>
        <w:rPr>
          <w:rFonts w:ascii="仿宋_GB2312" w:hAnsi="仿宋_GB2312" w:cs="仿宋_GB2312" w:eastAsia="仿宋_GB2312"/>
        </w:rPr>
        <w:t>（3）通用合同条款；</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（6）暂列金额：</w:t>
      </w:r>
    </w:p>
    <w:p>
      <w:pPr>
        <w:pStyle w:val="null3"/>
        <w:jc w:val="left"/>
      </w:pPr>
      <w:r>
        <w:rPr>
          <w:rFonts w:ascii="仿宋_GB2312" w:hAnsi="仿宋_GB2312" w:cs="仿宋_GB2312" w:eastAsia="仿宋_GB2312"/>
        </w:rPr>
        <w:t>（7）评审报告；</w:t>
      </w:r>
    </w:p>
    <w:p>
      <w:pPr>
        <w:pStyle w:val="null3"/>
        <w:jc w:val="left"/>
      </w:pPr>
      <w:r>
        <w:rPr>
          <w:rFonts w:ascii="仿宋_GB2312" w:hAnsi="仿宋_GB2312" w:cs="仿宋_GB2312" w:eastAsia="仿宋_GB2312"/>
        </w:rPr>
        <w:t>（8）技术标准和要求；</w:t>
      </w:r>
    </w:p>
    <w:p>
      <w:pPr>
        <w:pStyle w:val="null3"/>
        <w:jc w:val="left"/>
      </w:pPr>
      <w:r>
        <w:rPr>
          <w:rFonts w:ascii="仿宋_GB2312" w:hAnsi="仿宋_GB2312" w:cs="仿宋_GB2312" w:eastAsia="仿宋_GB2312"/>
        </w:rPr>
        <w:t>（9）图纸；</w:t>
      </w:r>
    </w:p>
    <w:p>
      <w:pPr>
        <w:pStyle w:val="null3"/>
        <w:jc w:val="left"/>
      </w:pPr>
      <w:r>
        <w:rPr>
          <w:rFonts w:ascii="仿宋_GB2312" w:hAnsi="仿宋_GB2312" w:cs="仿宋_GB2312" w:eastAsia="仿宋_GB2312"/>
        </w:rPr>
        <w:t>（10）已标价工程量清单或预算书；</w:t>
      </w:r>
    </w:p>
    <w:p>
      <w:pPr>
        <w:pStyle w:val="null3"/>
        <w:jc w:val="left"/>
      </w:pPr>
      <w:r>
        <w:rPr>
          <w:rFonts w:ascii="仿宋_GB2312" w:hAnsi="仿宋_GB2312" w:cs="仿宋_GB2312" w:eastAsia="仿宋_GB2312"/>
        </w:rPr>
        <w:t>（11）其他合同文件。</w:t>
      </w:r>
    </w:p>
    <w:p>
      <w:pPr>
        <w:pStyle w:val="null3"/>
        <w:jc w:val="left"/>
      </w:pPr>
      <w:r>
        <w:rPr>
          <w:rFonts w:ascii="仿宋_GB2312" w:hAnsi="仿宋_GB2312" w:cs="仿宋_GB2312" w:eastAsia="仿宋_GB2312"/>
        </w:rPr>
        <w:t>在合同订立及履行过程中形成的与合同有关的文件均构成合同文件组成部分。</w:t>
      </w:r>
    </w:p>
    <w:p>
      <w:pPr>
        <w:pStyle w:val="null3"/>
        <w:jc w:val="left"/>
      </w:pPr>
      <w:r>
        <w:rPr>
          <w:rFonts w:ascii="仿宋_GB2312" w:hAnsi="仿宋_GB2312" w:cs="仿宋_GB2312" w:eastAsia="仿宋_GB2312"/>
        </w:rPr>
        <w:t>上述各项合同文件包括合同当事人就该项合同文件所作出的补充和修改，属于同一类内容的文件，应以最新签署的为准。专用合同条款及其附件须经合同当事人签字或盖章。</w:t>
      </w:r>
    </w:p>
    <w:p>
      <w:pPr>
        <w:pStyle w:val="null3"/>
        <w:jc w:val="left"/>
        <w:outlineLvl w:val="2"/>
      </w:pPr>
      <w:r>
        <w:rPr>
          <w:rFonts w:ascii="仿宋_GB2312" w:hAnsi="仿宋_GB2312" w:cs="仿宋_GB2312" w:eastAsia="仿宋_GB2312"/>
          <w:sz w:val="28"/>
          <w:b/>
        </w:rPr>
        <w:t xml:space="preserve"> 七、承诺</w:t>
      </w:r>
    </w:p>
    <w:p>
      <w:pPr>
        <w:pStyle w:val="null3"/>
        <w:jc w:val="left"/>
      </w:pPr>
      <w:r>
        <w:rPr>
          <w:rFonts w:ascii="仿宋_GB2312" w:hAnsi="仿宋_GB2312" w:cs="仿宋_GB2312" w:eastAsia="仿宋_GB2312"/>
        </w:rPr>
        <w:t>1.甲方承诺按照法律规定履行项目审批手续、筹集工程建设资金并按照合同约定的期限和方式支付合同价款。</w:t>
      </w:r>
    </w:p>
    <w:p>
      <w:pPr>
        <w:pStyle w:val="null3"/>
        <w:jc w:val="left"/>
      </w:pPr>
      <w:r>
        <w:rPr>
          <w:rFonts w:ascii="仿宋_GB2312" w:hAnsi="仿宋_GB2312" w:cs="仿宋_GB2312" w:eastAsia="仿宋_GB2312"/>
        </w:rPr>
        <w:t>2.乙方承诺按照法律规定及合同约定组织完成工程施工，确保工程质量和安全，不进行转包及违法分包，并在缺陷责任期及保修期内承担相应的工程维修责任。</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 xml:space="preserve"> 八、验收、交付标准和方法</w:t>
      </w:r>
    </w:p>
    <w:p>
      <w:pPr>
        <w:pStyle w:val="null3"/>
        <w:jc w:val="left"/>
      </w:pPr>
      <w:r>
        <w:br/>
      </w:r>
    </w:p>
    <w:p>
      <w:pPr>
        <w:pStyle w:val="null3"/>
        <w:jc w:val="left"/>
        <w:outlineLvl w:val="2"/>
      </w:pPr>
      <w:r>
        <w:rPr>
          <w:rFonts w:ascii="仿宋_GB2312" w:hAnsi="仿宋_GB2312" w:cs="仿宋_GB2312" w:eastAsia="仿宋_GB2312"/>
          <w:sz w:val="28"/>
          <w:b/>
        </w:rPr>
        <w:t xml:space="preserve"> 九、质量保修范围和保修期</w:t>
      </w:r>
    </w:p>
    <w:p>
      <w:pPr>
        <w:pStyle w:val="null3"/>
        <w:jc w:val="left"/>
      </w:pPr>
      <w:r>
        <w:br/>
      </w:r>
    </w:p>
    <w:p>
      <w:pPr>
        <w:pStyle w:val="null3"/>
        <w:jc w:val="left"/>
        <w:outlineLvl w:val="2"/>
      </w:pPr>
      <w:r>
        <w:rPr>
          <w:rFonts w:ascii="仿宋_GB2312" w:hAnsi="仿宋_GB2312" w:cs="仿宋_GB2312" w:eastAsia="仿宋_GB2312"/>
          <w:sz w:val="28"/>
          <w:b/>
        </w:rPr>
        <w:t xml:space="preserve"> 十、违约责任</w:t>
      </w:r>
    </w:p>
    <w:p>
      <w:pPr>
        <w:pStyle w:val="null3"/>
        <w:jc w:val="left"/>
      </w:pPr>
      <w:r>
        <w:br/>
      </w:r>
    </w:p>
    <w:p>
      <w:pPr>
        <w:pStyle w:val="null3"/>
        <w:jc w:val="left"/>
        <w:outlineLvl w:val="2"/>
      </w:pPr>
      <w:r>
        <w:rPr>
          <w:rFonts w:ascii="仿宋_GB2312" w:hAnsi="仿宋_GB2312" w:cs="仿宋_GB2312" w:eastAsia="仿宋_GB2312"/>
          <w:sz w:val="28"/>
          <w:b/>
        </w:rPr>
        <w:t xml:space="preserve"> 十一、解决争议的方法</w:t>
      </w:r>
    </w:p>
    <w:p>
      <w:pPr>
        <w:pStyle w:val="null3"/>
        <w:jc w:val="left"/>
      </w:pPr>
      <w:r>
        <w:br/>
      </w:r>
    </w:p>
    <w:p>
      <w:pPr>
        <w:pStyle w:val="null3"/>
        <w:jc w:val="left"/>
        <w:outlineLvl w:val="2"/>
      </w:pPr>
      <w:r>
        <w:rPr>
          <w:rFonts w:ascii="仿宋_GB2312" w:hAnsi="仿宋_GB2312" w:cs="仿宋_GB2312" w:eastAsia="仿宋_GB2312"/>
          <w:sz w:val="28"/>
          <w:b/>
        </w:rPr>
        <w:t xml:space="preserve"> 十二、签订时间</w:t>
      </w:r>
    </w:p>
    <w:p>
      <w:pPr>
        <w:pStyle w:val="null3"/>
        <w:jc w:val="left"/>
      </w:pPr>
      <w:r>
        <w:rPr>
          <w:rFonts w:ascii="仿宋_GB2312" w:hAnsi="仿宋_GB2312" w:cs="仿宋_GB2312" w:eastAsia="仿宋_GB2312"/>
        </w:rPr>
        <w:t>本合同于</w:t>
      </w:r>
      <w:r>
        <w:rPr>
          <w:rFonts w:ascii="仿宋_GB2312" w:hAnsi="仿宋_GB2312" w:cs="仿宋_GB2312" w:eastAsia="仿宋_GB2312"/>
        </w:rPr>
        <w:t>20___年___月___日</w:t>
      </w:r>
      <w:r>
        <w:rPr>
          <w:rFonts w:ascii="仿宋_GB2312" w:hAnsi="仿宋_GB2312" w:cs="仿宋_GB2312" w:eastAsia="仿宋_GB2312"/>
        </w:rPr>
        <w:t>签订。</w:t>
      </w:r>
    </w:p>
    <w:p>
      <w:pPr>
        <w:pStyle w:val="null3"/>
        <w:jc w:val="left"/>
        <w:outlineLvl w:val="2"/>
      </w:pPr>
      <w:r>
        <w:rPr>
          <w:rFonts w:ascii="仿宋_GB2312" w:hAnsi="仿宋_GB2312" w:cs="仿宋_GB2312" w:eastAsia="仿宋_GB2312"/>
          <w:sz w:val="28"/>
          <w:b/>
        </w:rPr>
        <w:t xml:space="preserve"> 十三、签订地点</w:t>
      </w:r>
    </w:p>
    <w:p>
      <w:pPr>
        <w:pStyle w:val="null3"/>
        <w:jc w:val="left"/>
      </w:pPr>
      <w:r>
        <w:rPr>
          <w:rFonts w:ascii="仿宋_GB2312" w:hAnsi="仿宋_GB2312" w:cs="仿宋_GB2312" w:eastAsia="仿宋_GB2312"/>
        </w:rPr>
        <w:t>本合同在</w:t>
      </w:r>
      <w:r>
        <w:rPr>
          <w:rFonts w:ascii="仿宋_GB2312" w:hAnsi="仿宋_GB2312" w:cs="仿宋_GB2312" w:eastAsia="仿宋_GB2312"/>
        </w:rPr>
        <w:t>_________</w:t>
      </w:r>
      <w:r>
        <w:rPr>
          <w:rFonts w:ascii="仿宋_GB2312" w:hAnsi="仿宋_GB2312" w:cs="仿宋_GB2312" w:eastAsia="仿宋_GB2312"/>
        </w:rPr>
        <w:t>签订。</w:t>
      </w:r>
    </w:p>
    <w:p>
      <w:pPr>
        <w:pStyle w:val="null3"/>
        <w:jc w:val="left"/>
        <w:outlineLvl w:val="2"/>
      </w:pPr>
      <w:r>
        <w:rPr>
          <w:rFonts w:ascii="仿宋_GB2312" w:hAnsi="仿宋_GB2312" w:cs="仿宋_GB2312" w:eastAsia="仿宋_GB2312"/>
          <w:sz w:val="28"/>
          <w:b/>
        </w:rPr>
        <w:t xml:space="preserve"> 十四、补充协议</w:t>
      </w:r>
    </w:p>
    <w:p>
      <w:pPr>
        <w:pStyle w:val="null3"/>
        <w:jc w:val="left"/>
      </w:pPr>
      <w:r>
        <w:rPr>
          <w:rFonts w:ascii="仿宋_GB2312" w:hAnsi="仿宋_GB2312" w:cs="仿宋_GB2312" w:eastAsia="仿宋_GB2312"/>
        </w:rPr>
        <w:t>合同未尽事宜，合同当事人另行签订补充协议，补充协议是合同的组成部分。</w:t>
      </w:r>
    </w:p>
    <w:p>
      <w:pPr>
        <w:pStyle w:val="null3"/>
        <w:jc w:val="left"/>
        <w:outlineLvl w:val="2"/>
      </w:pPr>
      <w:r>
        <w:rPr>
          <w:rFonts w:ascii="仿宋_GB2312" w:hAnsi="仿宋_GB2312" w:cs="仿宋_GB2312" w:eastAsia="仿宋_GB2312"/>
          <w:sz w:val="28"/>
          <w:b/>
        </w:rPr>
        <w:t xml:space="preserve"> 十五、合同生效</w:t>
      </w:r>
    </w:p>
    <w:p>
      <w:pPr>
        <w:pStyle w:val="null3"/>
        <w:jc w:val="left"/>
      </w:pPr>
      <w:r>
        <w:rPr>
          <w:rFonts w:ascii="仿宋_GB2312" w:hAnsi="仿宋_GB2312" w:cs="仿宋_GB2312" w:eastAsia="仿宋_GB2312"/>
        </w:rPr>
        <w:t>本合同自_______生效。</w:t>
      </w:r>
    </w:p>
    <w:p>
      <w:pPr>
        <w:pStyle w:val="null3"/>
        <w:jc w:val="left"/>
        <w:outlineLvl w:val="2"/>
      </w:pPr>
      <w:r>
        <w:rPr>
          <w:rFonts w:ascii="仿宋_GB2312" w:hAnsi="仿宋_GB2312" w:cs="仿宋_GB2312" w:eastAsia="仿宋_GB2312"/>
          <w:sz w:val="28"/>
          <w:b/>
        </w:rPr>
        <w:t xml:space="preserve"> 十六、合同份数</w:t>
      </w:r>
    </w:p>
    <w:p>
      <w:pPr>
        <w:pStyle w:val="null3"/>
        <w:jc w:val="left"/>
      </w:pPr>
      <w:r>
        <w:rPr>
          <w:rFonts w:ascii="仿宋_GB2312" w:hAnsi="仿宋_GB2312" w:cs="仿宋_GB2312" w:eastAsia="仿宋_GB2312"/>
        </w:rPr>
        <w:t>本合同一式___份，均具有同等法律效力，甲方执___份，乙方执___份。</w:t>
      </w: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