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公路交通情况调查站点设备采购项目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呼伦贝尔市交通运输事业发展中心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圣弘建设股份有限公司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HSZCS-G-H-250009</w:t>
      </w:r>
    </w:p>
    <w:p>
      <w:pPr>
        <w:pStyle w:val="null5"/>
        <w:jc w:val="center"/>
      </w:pPr>
      <w:r>
        <w:rPr>
          <w:rFonts w:ascii="仿宋_GB2312" w:hAnsi="仿宋_GB2312" w:cs="仿宋_GB2312" w:eastAsia="仿宋_GB2312"/>
        </w:rPr>
        <w:t>2025年01月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圣弘建设股份有限公司</w:t>
      </w:r>
      <w:r>
        <w:rPr>
          <w:rFonts w:ascii="仿宋_GB2312" w:hAnsi="仿宋_GB2312" w:cs="仿宋_GB2312" w:eastAsia="仿宋_GB2312"/>
        </w:rPr>
        <w:t xml:space="preserve"> 受 </w:t>
      </w:r>
      <w:r>
        <w:rPr>
          <w:rFonts w:ascii="仿宋_GB2312" w:hAnsi="仿宋_GB2312" w:cs="仿宋_GB2312" w:eastAsia="仿宋_GB2312"/>
        </w:rPr>
        <w:t>呼伦贝尔市交通运输事业发展中心</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公路交通情况调查站点设备采购项目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公路交通情况调查站点设备采购项目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HSZCS-G-H-250009</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呼政采计划[2025]00026</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4,500,000.00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公路交通情况调查站点设备采购项目</w:t>
            </w:r>
          </w:p>
        </w:tc>
        <w:tc>
          <w:tcPr>
            <w:tcW w:type="dxa" w:w="831"/>
          </w:tcPr>
          <w:p>
            <w:pPr>
              <w:pStyle w:val="null5"/>
              <w:jc w:val="right"/>
            </w:pPr>
            <w:r>
              <w:rPr>
                <w:rFonts w:ascii="仿宋_GB2312" w:hAnsi="仿宋_GB2312" w:cs="仿宋_GB2312" w:eastAsia="仿宋_GB2312"/>
              </w:rPr>
              <w:t>25.00</w:t>
            </w:r>
          </w:p>
        </w:tc>
        <w:tc>
          <w:tcPr>
            <w:tcW w:type="dxa" w:w="831"/>
          </w:tcPr>
          <w:p>
            <w:pPr>
              <w:pStyle w:val="null5"/>
              <w:jc w:val="right"/>
            </w:pPr>
            <w:r>
              <w:rPr>
                <w:rFonts w:ascii="仿宋_GB2312" w:hAnsi="仿宋_GB2312" w:cs="仿宋_GB2312" w:eastAsia="仿宋_GB2312"/>
              </w:rPr>
              <w:t>4,500,000.00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圣弘建设股份有限公司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内蒙古自治区呼伦贝尔市海拉尔区依山美苑16号楼101门市</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021000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杨赫</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15647063118</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呼伦贝尔市交通运输事业发展中心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海拉尔区诺敏路3号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021000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初文博</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18147033188</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代理服务费收费标准：参照《内蒙古自治区工程建设招标代理服务收费指导意见》（内工建协【2022】34号文件）执行</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采购包1保证金金额：45,000.00元</w:t>
            </w:r>
          </w:p>
          <w:p>
            <w:pPr>
              <w:pStyle w:val="null5"/>
              <w:jc w:val="left"/>
            </w:pPr>
            <w:r>
              <w:rPr>
                <w:rFonts w:ascii="仿宋_GB2312" w:hAnsi="仿宋_GB2312" w:cs="仿宋_GB2312" w:eastAsia="仿宋_GB2312"/>
              </w:rPr>
              <w:t>缴交渠道：虚拟保证金,电子保函</w:t>
            </w:r>
          </w:p>
          <w:p>
            <w:pPr>
              <w:pStyle w:val="null5"/>
              <w:jc w:val="left"/>
            </w:pPr>
            <w:r>
              <w:rPr>
                <w:rFonts w:ascii="仿宋_GB2312" w:hAnsi="仿宋_GB2312" w:cs="仿宋_GB2312" w:eastAsia="仿宋_GB2312"/>
              </w:rPr>
              <w:t xml:space="preserve"> 其他说明：</w:t>
            </w:r>
          </w:p>
          <w:p>
            <w:pPr>
              <w:pStyle w:val="null5"/>
              <w:jc w:val="left"/>
            </w:pPr>
            <w:r>
              <w:rPr>
                <w:rFonts w:ascii="仿宋_GB2312" w:hAnsi="仿宋_GB2312" w:cs="仿宋_GB2312" w:eastAsia="仿宋_GB2312"/>
              </w:rPr>
              <w:t xml:space="preserve"> 1、缴纳截止时间为本项目投标（报价）截止时间，以保证金账户实际收款为准；</w:t>
            </w:r>
          </w:p>
          <w:p>
            <w:pPr>
              <w:pStyle w:val="null5"/>
              <w:jc w:val="left"/>
            </w:pPr>
            <w:r>
              <w:rPr>
                <w:rFonts w:ascii="仿宋_GB2312" w:hAnsi="仿宋_GB2312" w:cs="仿宋_GB2312" w:eastAsia="仿宋_GB2312"/>
              </w:rPr>
              <w:t xml:space="preserve"> 2、采用线下缴纳的，投标单位必须通过基本账户转账至保证金账户，在汇款时要在备注信息中注明本项目的编号及用途（如“项目编号，投标保证金”）。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呼伦贝尔市交通运输事业发展中心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圣弘建设股份有限公司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公路交通情况调查站点设备采购25台</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自签订合同之日起90日历天内完成供货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呼伦贝尔市</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1、签订合同后付20%，达到付款条件起15日，支付合同总金额的20.00%</w:t>
            </w:r>
          </w:p>
          <w:p>
            <w:pPr>
              <w:pStyle w:val="null5"/>
              <w:jc w:val="left"/>
            </w:pPr>
            <w:r>
              <w:rPr>
                <w:rFonts w:ascii="仿宋_GB2312" w:hAnsi="仿宋_GB2312" w:cs="仿宋_GB2312" w:eastAsia="仿宋_GB2312"/>
              </w:rPr>
              <w:t>2、验收合格后付77%，达到付款条件起15日，支付合同总金额的77.00%</w:t>
            </w:r>
          </w:p>
          <w:p>
            <w:pPr>
              <w:pStyle w:val="null5"/>
              <w:jc w:val="left"/>
            </w:pPr>
            <w:r>
              <w:rPr>
                <w:rFonts w:ascii="仿宋_GB2312" w:hAnsi="仿宋_GB2312" w:cs="仿宋_GB2312" w:eastAsia="仿宋_GB2312"/>
              </w:rPr>
              <w:t>3、设备使用满一年后付3%，达到付款条件起15日，支付合同总金额的3.00%</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标的名称：公路交通情况调查站点设备采购项目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具体详见附件</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技术部分38.00分</w:t>
            </w:r>
          </w:p>
          <w:p>
            <w:pPr>
              <w:pStyle w:val="null5"/>
              <w:jc w:val="left"/>
            </w:pPr>
            <w:r>
              <w:rPr>
                <w:rFonts w:ascii="仿宋_GB2312" w:hAnsi="仿宋_GB2312" w:cs="仿宋_GB2312" w:eastAsia="仿宋_GB2312"/>
              </w:rPr>
              <w:t>商务部分32.00分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技术参数的响应程度</w:t>
            </w:r>
          </w:p>
        </w:tc>
        <w:tc>
          <w:tcPr>
            <w:tcW w:type="dxa" w:w="3115"/>
          </w:tcPr>
          <w:p>
            <w:pPr>
              <w:pStyle w:val="null5"/>
              <w:jc w:val="left"/>
            </w:pPr>
            <w:r>
              <w:rPr>
                <w:rFonts w:ascii="仿宋_GB2312" w:hAnsi="仿宋_GB2312" w:cs="仿宋_GB2312" w:eastAsia="仿宋_GB2312"/>
              </w:rPr>
              <w:t>打“★”号条款为实质性条款，若有任何一条负偏离或不满足则导致投标无效。一般技术参数（非标★项）全部满足或优于得10分，每有一项不满足或负偏离的减0.15分，如负偏离超过10项，该项（技术水平及性能）记为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整体项目技术方案</w:t>
            </w:r>
          </w:p>
        </w:tc>
        <w:tc>
          <w:tcPr>
            <w:tcW w:type="dxa" w:w="3115"/>
          </w:tcPr>
          <w:p>
            <w:pPr>
              <w:pStyle w:val="null5"/>
              <w:jc w:val="left"/>
            </w:pPr>
            <w:r>
              <w:rPr>
                <w:rFonts w:ascii="仿宋_GB2312" w:hAnsi="仿宋_GB2312" w:cs="仿宋_GB2312" w:eastAsia="仿宋_GB2312"/>
              </w:rPr>
              <w:t>整体项目实施方案包括但不限于：①项目执行整体方案②项目实施组织机构③项目安全应急预案④项目质量保障方案⑤项目进度安排。符合本项目要求得10分，以上5项中每缺少一项的扣2分，每项中内容存在缺陷或不足扣1分，每项中内容不完整或不符合项目实际情况的最多扣1.5分，不提供不得分。注:（1）内容存在缺陷或不足是指内容不满足项目要求或与项目无关的或与项目不匹配或项目名称、实施地点、涉及的规范、技术服务标准要求与本项目不一致或逻辑不通等情形。（2）以评标小组结合招标文件要求及响应文件内容独立评审为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运输、安装及调试验收方案</w:t>
            </w:r>
          </w:p>
        </w:tc>
        <w:tc>
          <w:tcPr>
            <w:tcW w:type="dxa" w:w="3115"/>
          </w:tcPr>
          <w:p>
            <w:pPr>
              <w:pStyle w:val="null5"/>
              <w:jc w:val="left"/>
            </w:pPr>
            <w:r>
              <w:rPr>
                <w:rFonts w:ascii="仿宋_GB2312" w:hAnsi="仿宋_GB2312" w:cs="仿宋_GB2312" w:eastAsia="仿宋_GB2312"/>
              </w:rPr>
              <w:t>评标委员会根据投标人投标文件中货物运输、安装及调试验收方案，进行评分，内容应包含但不限于: ①运输计划及措施；②安装计划及措施；③配送队伍分工及运输工具；④调试措施。内容完整，逻辑清晰，符合本项目要求得10分，以上4项中每缺少一项的扣2.5分，每项中内容存在缺陷或不足扣1.5分，每项中内容不完整或不符合项目实际情况的最多扣2分，不提供不得分。注:（1）内容存在缺陷或不足是指内容不满足项目要求或与项目无关的或与项目不匹配或项目名称、实施地点、涉及的规范、技术服务标准要求与本项目不一致或逻辑不通等情形。（2）以评标小组结合招标文件要求及响应文件内容独立评审为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根据供应商针对本项目提供的培训方案进行评审，内容包含但不限于：①培训时间②培训项目③培训人员配备④培训目标等；符合本项要求得8分。每缺少一项内容扣2分，每项中有一处存在缺陷或不足、内容不完整或不符合项目实际情况的最多扣1分，不提供不得分。 注：缺陷或不足是指内容逻 辑混乱，不符合相关的国家、行业标准。不完整指内容具有明显缺陷，前 后内容无法连贯；不符合项目实际情况指内容 脱离了实际情况，不利于采 购人实施</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类似业绩</w:t>
            </w:r>
          </w:p>
        </w:tc>
        <w:tc>
          <w:tcPr>
            <w:tcW w:type="dxa" w:w="3115"/>
          </w:tcPr>
          <w:p>
            <w:pPr>
              <w:pStyle w:val="null5"/>
              <w:jc w:val="left"/>
            </w:pPr>
            <w:r>
              <w:rPr>
                <w:rFonts w:ascii="仿宋_GB2312" w:hAnsi="仿宋_GB2312" w:cs="仿宋_GB2312" w:eastAsia="仿宋_GB2312"/>
              </w:rPr>
              <w:t>投标人近三年（2021年-至今）同类项目业绩及对应项目的巡检报告（交通量情况调查站点建设项目或维护服务），每提供1份业绩及对应项目的巡检报告得2分，最多得8分。（类似业绩以中标通知书或合同为准） 注：①业绩须同时提供合同关键页(关键信息包括但不仅限于合同双方的单位名称、合同金额、服务内容、签订日期、双方签署页和盖章页，激光类、激光组合类建设项目需提供合同清单)，公开招投标网站招标公告及中标（成交）公告截图及网址，中标通知书的复印件，并加盖投标人公章作为证明材料，不提供或提供不完整不得分。 ②巡检报告须提供交通公路系统用户单位盖章得巡检报告复印件并加盖供应商公章。</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拟派项目负责人</w:t>
            </w:r>
          </w:p>
        </w:tc>
        <w:tc>
          <w:tcPr>
            <w:tcW w:type="dxa" w:w="3115"/>
          </w:tcPr>
          <w:p>
            <w:pPr>
              <w:pStyle w:val="null5"/>
              <w:jc w:val="left"/>
            </w:pPr>
            <w:r>
              <w:rPr>
                <w:rFonts w:ascii="仿宋_GB2312" w:hAnsi="仿宋_GB2312" w:cs="仿宋_GB2312" w:eastAsia="仿宋_GB2312"/>
              </w:rPr>
              <w:t>1、供应商拟投入本项目的项目经理拥有以下证书： 由人力资源和社会保障部（或工业和信息化部）颁发的高级计算机技术与软件专业技术资格证书（信息系统项目管理师）的，得3分；由人力资源和社会保障部（或工业和信息化部）颁发的中级计算机技术与软件专业技术资格证书（系统集成项目管理工程师）的，得1.5分； 注：提供相应人员（限一人）的身份证、职称证等有效期内的相关资格证书复印件及与供应商名称一致的开标前3个月内任意1个月社保证明并加盖供应商公章作为证明材料，否则不得分。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拟派项目人员</w:t>
            </w:r>
          </w:p>
        </w:tc>
        <w:tc>
          <w:tcPr>
            <w:tcW w:type="dxa" w:w="3115"/>
          </w:tcPr>
          <w:p>
            <w:pPr>
              <w:pStyle w:val="null5"/>
              <w:jc w:val="left"/>
            </w:pPr>
            <w:r>
              <w:rPr>
                <w:rFonts w:ascii="仿宋_GB2312" w:hAnsi="仿宋_GB2312" w:cs="仿宋_GB2312" w:eastAsia="仿宋_GB2312"/>
              </w:rPr>
              <w:t>1、供应商拟投入本项目的技术负责人（限一人）拥有以下证书： ①由人力资源和社会保障部（或工业和信息化部）颁发的高级计算机技术与软件专业技术资格证书（信息系统项目管理师）的，得1分；由人力资源和社会保障部（或工业和信息化部）颁发的中级计算机技术与软件专业技术资格证书（系统集成项目管理工程师）的，得0.5分； ②具备由人力资源和社会保障厅颁发的网络工程师的，得1分；具备由人力资源和社会保障厅颁发的网络管理员的，得0.5分，没有的不得分。 2、投入的人员中具备有效期内的安全生产考核合格证书的，每人得1分，本小项最高得1分； 3、投入的人员中具备有效期内应急管理部门颁发的特种作业操作证（作业类别为电工作业），每人得0.5分，本小项最高得1分。 4、投入的人员中具备有效期内应急管理部门颁发的特种作业操作证（作业类别为高处作业），每人得0.5分，本小项最高得1分。 5、投入的售后服务人员中具备由人力资源和社会保障部颁发的客户服务管理师资格证书的，每人得1分，本小项最高得1分。 注：同一人具有多项证书，按一人计算，且按最高级别证书计分，不累计得分。提供相应人员的身份证、职称证等有效期内相关资格证书复印件及与供应商名称一致的开标前3个月内任意1个月社保证明并加盖供应商公章作为证明材料，否则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研发能力</w:t>
            </w:r>
          </w:p>
        </w:tc>
        <w:tc>
          <w:tcPr>
            <w:tcW w:type="dxa" w:w="3115"/>
          </w:tcPr>
          <w:p>
            <w:pPr>
              <w:pStyle w:val="null5"/>
              <w:jc w:val="left"/>
            </w:pPr>
            <w:r>
              <w:rPr>
                <w:rFonts w:ascii="仿宋_GB2312" w:hAnsi="仿宋_GB2312" w:cs="仿宋_GB2312" w:eastAsia="仿宋_GB2312"/>
              </w:rPr>
              <w:t>投标人具有与本项目相关的实时交调分析软件、交通量数据与路网监控系统、交通量数据分析管理系统、交调设备管理平台、交调数据校验检测系统的计算机软件著作权登记证书，每提供1个证书得0.7分，最高得3.5分；其他不得分。 注：需提供上述相关证明材料复印件加盖供应商公章作为证明材料，不提供不得分。</w:t>
            </w:r>
          </w:p>
        </w:tc>
        <w:tc>
          <w:tcPr>
            <w:tcW w:type="dxa" w:w="1038"/>
          </w:tcPr>
          <w:p>
            <w:pPr>
              <w:pStyle w:val="null5"/>
              <w:jc w:val="right"/>
            </w:pPr>
            <w:r>
              <w:rPr>
                <w:rFonts w:ascii="仿宋_GB2312" w:hAnsi="仿宋_GB2312" w:cs="仿宋_GB2312" w:eastAsia="仿宋_GB2312"/>
              </w:rPr>
              <w:t>3.50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企业认证</w:t>
            </w:r>
          </w:p>
        </w:tc>
        <w:tc>
          <w:tcPr>
            <w:tcW w:type="dxa" w:w="3115"/>
          </w:tcPr>
          <w:p>
            <w:pPr>
              <w:pStyle w:val="null5"/>
              <w:jc w:val="left"/>
            </w:pPr>
            <w:r>
              <w:rPr>
                <w:rFonts w:ascii="仿宋_GB2312" w:hAnsi="仿宋_GB2312" w:cs="仿宋_GB2312" w:eastAsia="仿宋_GB2312"/>
              </w:rPr>
              <w:t>1、投标人具有有效的质量管理体系认证证书、环境管理体系认证证书、职业健康安全管理体系认证证书、信息安全管理体系认证证书、信息技术服务管理体系认证证书，得2.5分；少一项扣0.5分。 2、投标人具有完善的售后服务体系，提供服务认证证书（覆盖范围包括计算机信息系统集成或智能交通产品相关的售后服务）的，得1分，其他情况不得分。 注：需提供上述相关证书的复印件及由国家认证认可监督管理委员会官方公布的网页截图并加盖供应商公章作为证明材料，不提供不得分。</w:t>
            </w:r>
          </w:p>
        </w:tc>
        <w:tc>
          <w:tcPr>
            <w:tcW w:type="dxa" w:w="1038"/>
          </w:tcPr>
          <w:p>
            <w:pPr>
              <w:pStyle w:val="null5"/>
              <w:jc w:val="right"/>
            </w:pPr>
            <w:r>
              <w:rPr>
                <w:rFonts w:ascii="仿宋_GB2312" w:hAnsi="仿宋_GB2312" w:cs="仿宋_GB2312" w:eastAsia="仿宋_GB2312"/>
              </w:rPr>
              <w:t>3.50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w:t>
            </w:r>
          </w:p>
        </w:tc>
        <w:tc>
          <w:tcPr>
            <w:tcW w:type="dxa" w:w="3115"/>
          </w:tcPr>
          <w:p>
            <w:pPr>
              <w:pStyle w:val="null5"/>
              <w:jc w:val="left"/>
            </w:pPr>
            <w:r>
              <w:rPr>
                <w:rFonts w:ascii="仿宋_GB2312" w:hAnsi="仿宋_GB2312" w:cs="仿宋_GB2312" w:eastAsia="仿宋_GB2312"/>
              </w:rPr>
              <w:t>根据投标人针对本项目提供的售后服务进行综合评分，内容应包含但不限于：①售后服务承诺函；②服务及保障措施；③故障排除能力及响应时间；④售后服务体系机构等内容完整，符合本项目要求得8分，以上4项中每缺少一项的扣2分（最多扣8分），每项中内容存在缺陷或不足扣1分，单项扣完为止。 注:（1）内容存在缺陷或不足是指内容不满足项目要求或与项目无关的或与项目不匹配或项目名称、实施地点、涉及的规范、技术服务标准要求与本项目不一致或逻辑不通等情形。（2）以评标小组结合招标文件要求及响应文件内容独立评审为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