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0D7506AF">
      <w:pPr>
        <w:pBdr>
          <w:top w:val="none" w:color="auto" w:sz="0" w:space="1"/>
          <w:left w:val="none" w:color="auto" w:sz="0" w:space="4"/>
          <w:bottom w:val="none" w:color="auto" w:sz="0" w:space="1"/>
          <w:right w:val="none" w:color="auto" w:sz="0" w:space="4"/>
        </w:pBdr>
        <w:shd w:val="clear"/>
        <w:jc w:val="center"/>
        <w:rPr>
          <w:rFonts w:ascii="宋体" w:hAnsi="宋体" w:cs="宋体"/>
          <w:b/>
          <w:bCs/>
          <w:color w:val="auto"/>
          <w:spacing w:val="30"/>
          <w:sz w:val="40"/>
          <w:szCs w:val="40"/>
          <w:highlight w:val="none"/>
        </w:rPr>
      </w:pPr>
      <w:bookmarkStart w:id="1209" w:name="_GoBack"/>
      <w:bookmarkEnd w:id="1209"/>
      <w:r>
        <w:rPr>
          <w:sz w:val="40"/>
        </w:rPr>
        <mc:AlternateContent>
          <mc:Choice Requires="wps">
            <w:drawing>
              <wp:anchor distT="0" distB="0" distL="114300" distR="114300" simplePos="0" relativeHeight="251669504"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9" name="KGD_66DE9086$01$29$00011" descr="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"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66DE9086$01$29$00011" o:spid="_x0000_s1026" o:spt="1" alt="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" style="position:absolute;left:0pt;margin-left:-80.85pt;margin-top:-64.7pt;height:5pt;width:5pt;visibility:hidden;z-index:251669504;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8480"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8" name="KGD_KG_Seal_18" descr="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"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8" o:spid="_x0000_s1026" o:spt="1" alt="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" style="position:absolute;left:0pt;margin-left:-80.85pt;margin-top:-64.7pt;height:5pt;width:5pt;visibility:hidden;z-index:251668480;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7456"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7" name="KGD_KG_Seal_17" descr="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"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7" o:spid="_x0000_s1026" o:spt="1" alt="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" style="position:absolute;left:0pt;margin-left:-80.85pt;margin-top:-64.7pt;height:5pt;width:5pt;visibility:hidden;z-index:251667456;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&#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6432"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6" name="KGD_KG_Seal_16" descr="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"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6" o:spid="_x0000_s1026" o:spt="1" alt="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" style="position:absolute;left:0pt;margin-left:-80.85pt;margin-top:-64.7pt;height:5pt;width:5pt;visibility:hidden;z-index:251666432;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5408"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5" name="KGD_KG_Seal_15" descr="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"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5" o:spid="_x0000_s1026" o:spt="1" alt="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" style="position:absolute;left:0pt;margin-left:-80.85pt;margin-top:-64.7pt;height:5pt;width:5pt;visibility:hidden;z-index:251665408;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4384"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4" name="KGD_KG_Seal_14" descr="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"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4" o:spid="_x0000_s1026" o:spt="1" alt="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" style="position:absolute;left:0pt;margin-left:-80.85pt;margin-top:-64.7pt;height:5pt;width:5pt;visibility:hidden;z-index:251664384;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3360"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3" name="KGD_KG_Seal_13" descr="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"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3" o:spid="_x0000_s1026" o:spt="1" alt="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" style="position:absolute;left:0pt;margin-left:-80.85pt;margin-top:-64.7pt;height:5pt;width:5pt;visibility:hidden;z-index:251663360;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2336"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2" name="KGD_KG_Seal_12" descr="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"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2" o:spid="_x0000_s1026" o:spt="1" alt="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" style="position:absolute;left:0pt;margin-left:-80.85pt;margin-top:-64.7pt;height:5pt;width:5pt;visibility:hidden;z-index:251662336;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1312"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1" name="KGD_KG_Seal_11" descr="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"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1" o:spid="_x0000_s1026" o:spt="1" alt="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" style="position:absolute;left:0pt;margin-left:-80.85pt;margin-top:-64.7pt;height:5pt;width:5pt;visibility:hidden;z-index:251661312;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">
                <v:fill on="t" focussize="0,0"/>
                <v:stroke weight="2pt" color="#376092 [2404]" joinstyle="round"/>
                <v:imagedata o:title=""/>
                <o:lock v:ext="edit" aspectratio="f"/>
              </v:rect>
            </w:pict>
          </mc:Fallback>
        </mc:AlternateContent>
      </w:r>
      <w:r>
        <w:rPr>
          <w:sz w:val="40"/>
        </w:rPr>
        <mc:AlternateContent>
          <mc:Choice Requires="wps">
            <w:drawing>
              <wp:anchor distT="0" distB="0" distL="114300" distR="114300" simplePos="0" relativeHeight="251660288" behindDoc="0" locked="0" layoutInCell="1" hidden="1" allowOverlap="1">
                <wp:simplePos x="0" y="0"/>
                <wp:positionH relativeFrom="column">
                  <wp:posOffset>-1026795</wp:posOffset>
                </wp:positionH>
                <wp:positionV relativeFrom="paragraph">
                  <wp:posOffset>-821690</wp:posOffset>
                </wp:positionV>
                <wp:extent cx="63500" cy="63500"/>
                <wp:effectExtent l="12700" t="12700" r="19050" b="19050"/>
                <wp:wrapNone/>
                <wp:docPr id="10" name="KGD_Gobal1" descr="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"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" style="position:absolute;left:0pt;margin-left:-80.85pt;margin-top:-64.7pt;height:5pt;width:5pt;visibility:hidden;z-index:251660288;v-text-anchor:middle;mso-width-relative:page;mso-height-relative:page;" fillcolor="#4F81BD [3204]" filled="t" stroked="t" coordsize="21600,21600" o:gfxdata="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">
                <v:fill on="t" focussize="0,0"/>
                <v:stroke weight="2pt" color="#376092 [2404]" joinstyle="round"/>
                <v:imagedata o:title=""/>
                <o:lock v:ext="edit" aspectratio="f"/>
              </v:rect>
            </w:pict>
          </mc:Fallback>
        </mc:AlternateContent>
      </w:r>
      <w:r>
        <w:rPr>
          <w:rFonts w:hint="eastAsia" w:ascii="宋体" w:hAnsi="宋体" w:cs="宋体"/>
          <w:b/>
          <w:bCs/>
          <w:color w:val="auto"/>
          <w:spacing w:val="30"/>
          <w:sz w:val="40"/>
          <w:szCs w:val="40"/>
          <w:highlight w:val="none"/>
        </w:rPr>
        <w:t>红河州政府集中采购</w:t>
      </w:r>
    </w:p>
    <w:p w14:paraId="58DBA3F9">
      <w:pPr>
        <w:pStyle w:val="15"/>
        <w:shd w:val="clear"/>
        <w:rPr>
          <w:rFonts w:hAnsi="宋体" w:cs="宋体"/>
          <w:b/>
          <w:bCs/>
          <w:color w:val="auto"/>
          <w:spacing w:val="30"/>
          <w:sz w:val="40"/>
          <w:szCs w:val="40"/>
          <w:highlight w:val="none"/>
        </w:rPr>
      </w:pPr>
    </w:p>
    <w:p w14:paraId="166B4E47">
      <w:pPr>
        <w:pStyle w:val="56"/>
        <w:shd w:val="clear"/>
        <w:spacing w:before="156" w:after="156"/>
        <w:outlineLvl w:val="9"/>
        <w:rPr>
          <w:color w:val="auto"/>
          <w:highlight w:val="none"/>
        </w:rPr>
      </w:pPr>
    </w:p>
    <w:p w14:paraId="7E120F85">
      <w:pPr>
        <w:shd w:val="clear"/>
        <w:wordWrap w:val="0"/>
        <w:spacing w:line="360" w:lineRule="auto"/>
        <w:jc w:val="center"/>
        <w:outlineLvl w:val="0"/>
        <w:rPr>
          <w:rFonts w:hint="eastAsia" w:cs="宋体" w:asciiTheme="minorEastAsia" w:hAnsiTheme="minorEastAsia" w:eastAsiaTheme="minorEastAsia"/>
          <w:b/>
          <w:color w:val="auto"/>
          <w:sz w:val="52"/>
          <w:szCs w:val="52"/>
          <w:highlight w:val="none"/>
          <w:lang w:eastAsia="zh-CN"/>
        </w:rPr>
      </w:pPr>
      <w:bookmarkStart w:id="0" w:name="_Toc23166"/>
      <w:bookmarkStart w:id="1" w:name="_Toc32291"/>
      <w:bookmarkStart w:id="2" w:name="_Toc25418"/>
      <w:bookmarkStart w:id="3" w:name="_Toc31976"/>
      <w:bookmarkStart w:id="4" w:name="_Toc10676"/>
      <w:r>
        <w:rPr>
          <w:rFonts w:hint="eastAsia" w:cs="宋体" w:asciiTheme="minorEastAsia" w:hAnsiTheme="minorEastAsia" w:eastAsiaTheme="minorEastAsia"/>
          <w:b/>
          <w:color w:val="auto"/>
          <w:sz w:val="52"/>
          <w:szCs w:val="52"/>
          <w:highlight w:val="none"/>
          <w:lang w:eastAsia="zh-CN"/>
        </w:rPr>
        <w:t>蒙自市公办义务教育阶段学校食堂大宗食材配送服务</w:t>
      </w:r>
      <w:bookmarkEnd w:id="0"/>
      <w:bookmarkEnd w:id="1"/>
      <w:bookmarkEnd w:id="2"/>
      <w:bookmarkEnd w:id="3"/>
      <w:bookmarkEnd w:id="4"/>
    </w:p>
    <w:p w14:paraId="36524F4A">
      <w:pPr>
        <w:shd w:val="clear"/>
        <w:wordWrap w:val="0"/>
        <w:spacing w:line="360" w:lineRule="auto"/>
        <w:jc w:val="center"/>
        <w:rPr>
          <w:rFonts w:cs="宋体" w:asciiTheme="minorEastAsia" w:hAnsiTheme="minorEastAsia" w:eastAsiaTheme="minorEastAsia"/>
          <w:b/>
          <w:color w:val="auto"/>
          <w:sz w:val="56"/>
          <w:szCs w:val="56"/>
          <w:highlight w:val="none"/>
        </w:rPr>
      </w:pPr>
    </w:p>
    <w:p w14:paraId="3B3BC4AD">
      <w:pPr>
        <w:shd w:val="clear"/>
        <w:wordWrap w:val="0"/>
        <w:spacing w:line="360" w:lineRule="auto"/>
        <w:jc w:val="center"/>
        <w:rPr>
          <w:rFonts w:cs="宋体" w:asciiTheme="minorEastAsia" w:hAnsiTheme="minorEastAsia" w:eastAsiaTheme="minorEastAsia"/>
          <w:b/>
          <w:color w:val="auto"/>
          <w:sz w:val="56"/>
          <w:szCs w:val="56"/>
          <w:highlight w:val="none"/>
        </w:rPr>
      </w:pPr>
    </w:p>
    <w:p w14:paraId="6B043CA8">
      <w:pPr>
        <w:shd w:val="clear"/>
        <w:wordWrap w:val="0"/>
        <w:spacing w:line="360" w:lineRule="auto"/>
        <w:jc w:val="center"/>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56"/>
          <w:szCs w:val="56"/>
          <w:highlight w:val="none"/>
        </w:rPr>
        <w:t>招 标 文 件</w:t>
      </w:r>
    </w:p>
    <w:p w14:paraId="7DAB35B0">
      <w:pPr>
        <w:shd w:val="clear"/>
        <w:wordWrap w:val="0"/>
        <w:spacing w:before="624" w:beforeLines="200" w:line="360" w:lineRule="auto"/>
        <w:jc w:val="center"/>
        <w:outlineLvl w:val="0"/>
        <w:rPr>
          <w:rFonts w:hint="default" w:cs="宋体" w:asciiTheme="minorEastAsia" w:hAnsiTheme="minorEastAsia" w:eastAsiaTheme="minorEastAsia"/>
          <w:b/>
          <w:color w:val="auto"/>
          <w:sz w:val="32"/>
          <w:szCs w:val="32"/>
          <w:highlight w:val="none"/>
          <w:lang w:val="en-US" w:eastAsia="zh-CN"/>
        </w:rPr>
      </w:pPr>
      <w:bookmarkStart w:id="5" w:name="_Toc7736"/>
      <w:bookmarkStart w:id="6" w:name="_Toc10071"/>
      <w:bookmarkStart w:id="7" w:name="_Toc4638"/>
      <w:bookmarkStart w:id="8" w:name="_Toc7232"/>
      <w:bookmarkStart w:id="9" w:name="_Toc13207"/>
      <w:bookmarkStart w:id="10" w:name="_Toc3189"/>
      <w:r>
        <w:rPr>
          <w:rFonts w:hint="eastAsia" w:cs="宋体" w:asciiTheme="minorEastAsia" w:hAnsiTheme="minorEastAsia" w:eastAsiaTheme="minorEastAsia"/>
          <w:b/>
          <w:color w:val="auto"/>
          <w:sz w:val="32"/>
          <w:szCs w:val="32"/>
          <w:highlight w:val="none"/>
        </w:rPr>
        <w:t>项目编号：</w:t>
      </w:r>
      <w:bookmarkEnd w:id="5"/>
      <w:bookmarkEnd w:id="6"/>
      <w:bookmarkEnd w:id="7"/>
      <w:bookmarkEnd w:id="8"/>
      <w:bookmarkEnd w:id="9"/>
      <w:bookmarkEnd w:id="10"/>
      <w:r>
        <w:rPr>
          <w:rFonts w:hint="eastAsia" w:cs="宋体" w:asciiTheme="minorEastAsia" w:hAnsiTheme="minorEastAsia" w:eastAsiaTheme="minorEastAsia"/>
          <w:b/>
          <w:color w:val="auto"/>
          <w:sz w:val="32"/>
          <w:szCs w:val="32"/>
          <w:highlight w:val="none"/>
          <w:lang w:val="en-US" w:eastAsia="zh-CN"/>
        </w:rPr>
        <w:t>HHG2024009</w:t>
      </w:r>
    </w:p>
    <w:p w14:paraId="50C10A53">
      <w:pPr>
        <w:shd w:val="clear"/>
        <w:wordWrap w:val="0"/>
        <w:spacing w:line="240" w:lineRule="exact"/>
        <w:jc w:val="center"/>
        <w:rPr>
          <w:rFonts w:cs="宋体" w:asciiTheme="minorEastAsia" w:hAnsiTheme="minorEastAsia" w:eastAsiaTheme="minorEastAsia"/>
          <w:b/>
          <w:color w:val="auto"/>
          <w:sz w:val="32"/>
          <w:szCs w:val="32"/>
          <w:highlight w:val="none"/>
        </w:rPr>
      </w:pPr>
    </w:p>
    <w:p w14:paraId="4EA68976">
      <w:pPr>
        <w:shd w:val="clear"/>
        <w:wordWrap w:val="0"/>
        <w:spacing w:line="360" w:lineRule="auto"/>
        <w:jc w:val="center"/>
        <w:rPr>
          <w:rFonts w:cs="宋体" w:asciiTheme="minorEastAsia" w:hAnsiTheme="minorEastAsia" w:eastAsiaTheme="minorEastAsia"/>
          <w:b/>
          <w:color w:val="auto"/>
          <w:sz w:val="32"/>
          <w:szCs w:val="32"/>
          <w:highlight w:val="none"/>
        </w:rPr>
      </w:pPr>
    </w:p>
    <w:p w14:paraId="440DEF9A">
      <w:pPr>
        <w:shd w:val="clear"/>
        <w:wordWrap w:val="0"/>
        <w:spacing w:line="360" w:lineRule="auto"/>
        <w:jc w:val="center"/>
        <w:rPr>
          <w:rFonts w:cs="宋体" w:asciiTheme="minorEastAsia" w:hAnsiTheme="minorEastAsia" w:eastAsiaTheme="minorEastAsia"/>
          <w:b/>
          <w:color w:val="auto"/>
          <w:sz w:val="32"/>
          <w:szCs w:val="32"/>
          <w:highlight w:val="none"/>
        </w:rPr>
      </w:pPr>
    </w:p>
    <w:p w14:paraId="64AFDF64">
      <w:pPr>
        <w:shd w:val="clear"/>
        <w:wordWrap w:val="0"/>
        <w:spacing w:line="360" w:lineRule="auto"/>
        <w:jc w:val="center"/>
        <w:rPr>
          <w:rFonts w:cs="宋体" w:asciiTheme="minorEastAsia" w:hAnsiTheme="minorEastAsia" w:eastAsiaTheme="minorEastAsia"/>
          <w:b/>
          <w:color w:val="auto"/>
          <w:sz w:val="32"/>
          <w:szCs w:val="32"/>
          <w:highlight w:val="none"/>
        </w:rPr>
      </w:pPr>
    </w:p>
    <w:p w14:paraId="72A44C9F">
      <w:pPr>
        <w:shd w:val="clear"/>
        <w:wordWrap w:val="0"/>
        <w:spacing w:before="624" w:beforeLines="200" w:line="500" w:lineRule="exact"/>
        <w:jc w:val="center"/>
        <w:outlineLvl w:val="0"/>
        <w:rPr>
          <w:rFonts w:hint="eastAsia" w:cs="宋体" w:asciiTheme="minorEastAsia" w:hAnsiTheme="minorEastAsia" w:eastAsiaTheme="minorEastAsia"/>
          <w:b/>
          <w:color w:val="auto"/>
          <w:sz w:val="32"/>
          <w:szCs w:val="32"/>
          <w:highlight w:val="none"/>
        </w:rPr>
      </w:pPr>
      <w:bookmarkStart w:id="11" w:name="_Toc5546"/>
      <w:bookmarkStart w:id="12" w:name="_Toc28618"/>
      <w:bookmarkStart w:id="13" w:name="_Toc13480"/>
      <w:bookmarkStart w:id="14" w:name="_Toc13293"/>
      <w:bookmarkStart w:id="15" w:name="_Toc32637"/>
      <w:r>
        <w:rPr>
          <w:sz w:val="32"/>
        </w:rPr>
        <mc:AlternateContent>
          <mc:Choice Requires="wps">
            <w:drawing>
              <wp:anchor distT="0" distB="0" distL="114300" distR="114300" simplePos="0" relativeHeight="251670528" behindDoc="0" locked="0" layoutInCell="1" allowOverlap="1">
                <wp:simplePos x="0" y="0"/>
                <wp:positionH relativeFrom="column">
                  <wp:posOffset>-4679950</wp:posOffset>
                </wp:positionH>
                <wp:positionV relativeFrom="paragraph">
                  <wp:posOffset>-12380595</wp:posOffset>
                </wp:positionV>
                <wp:extent cx="15120620" cy="21384260"/>
                <wp:effectExtent l="0" t="0" r="0" b="0"/>
                <wp:wrapNone/>
                <wp:docPr id="9" name="KG_Shd_1"/>
                <wp:cNvGraphicFramePr/>
                <a:graphic xmlns:a="http://schemas.openxmlformats.org/drawingml/2006/main">
                  <a:graphicData uri="http://schemas.microsoft.com/office/word/2010/wordprocessingShape">
                    <wps:wsp>
                      <wps:cNvSpPr/>
                      <wps:spPr>
                        <a:xfrm>
                          <a:off x="0" y="0"/>
                          <a:ext cx="15120620" cy="21384260"/>
                        </a:xfrm>
                        <a:prstGeom prst="rect">
                          <a:avLst/>
                        </a:prstGeom>
                        <a:solidFill>
                          <a:srgbClr val="FFFFFF">
                            <a:alpha val="0"/>
                          </a:srgbClr>
                        </a:solidFill>
                        <a:ln>
                          <a:solidFill>
                            <a:srgbClr val="FFFFFF">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_Shd_1" o:spid="_x0000_s1026" o:spt="1" style="position:absolute;left:0pt;margin-left:-368.5pt;margin-top:-974.85pt;height:1683.8pt;width:1190.6pt;z-index:251670528;v-text-anchor:middle;mso-width-relative:page;mso-height-relative:page;" fillcolor="#FFFFFF" filled="t" stroked="t" coordsize="21600,21600" o:gfxdata="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O9xs1d4AAAAQAQAADwAAAAAAAAABACAAAAAiAAAAZHJzL2Rvd25yZXYueG1s&#10;UEsBAhQAFAAAAAgAh07iQP5Jvj9kAgAAGgUAAA4AAAAAAAAAAQAgAAAALQEAAGRycy9lMm9Eb2Mu&#10;eG1sUEsFBgAAAAAGAAYAWQEAAAMGAAAAAA==&#10;">
                <v:fill on="t" opacity="0f" focussize="0,0"/>
                <v:stroke weight="2pt" color="#FFFFFF [2404]" opacity="0f" joinstyle="round"/>
                <v:imagedata o:title=""/>
                <o:lock v:ext="edit" aspectratio="f"/>
              </v:rect>
            </w:pict>
          </mc:Fallback>
        </mc:AlternateContent>
      </w:r>
      <w:r>
        <w:rPr>
          <w:sz w:val="32"/>
        </w:rPr>
        <w:drawing>
          <wp:anchor distT="0" distB="0" distL="114300" distR="114300" simplePos="0" relativeHeight="251659264" behindDoc="1" locked="1" layoutInCell="1" allowOverlap="1">
            <wp:simplePos x="0" y="0"/>
            <wp:positionH relativeFrom="page">
              <wp:posOffset>3120390</wp:posOffset>
            </wp:positionH>
            <wp:positionV relativeFrom="page">
              <wp:posOffset>6685280</wp:posOffset>
            </wp:positionV>
            <wp:extent cx="1511935" cy="1511935"/>
            <wp:effectExtent l="0" t="0" r="12065" b="12065"/>
            <wp:wrapNone/>
            <wp:docPr id="8" name="KG_66DE9086$01$29$0001$N$000100"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G_66DE9086$01$29$0001$N$000100" descr="Seal"/>
                    <pic:cNvPicPr>
                      <a:picLocks noChangeAspect="1"/>
                    </pic:cNvPicPr>
                  </pic:nvPicPr>
                  <pic:blipFill>
                    <a:blip r:embed="rId12"/>
                    <a:stretch>
                      <a:fillRect/>
                    </a:stretch>
                  </pic:blipFill>
                  <pic:spPr>
                    <a:xfrm>
                      <a:off x="0" y="0"/>
                      <a:ext cx="1511935" cy="1511935"/>
                    </a:xfrm>
                    <a:prstGeom prst="rect">
                      <a:avLst/>
                    </a:prstGeom>
                  </pic:spPr>
                </pic:pic>
              </a:graphicData>
            </a:graphic>
          </wp:anchor>
        </w:drawing>
      </w:r>
      <w:r>
        <w:rPr>
          <w:rFonts w:hint="eastAsia" w:cs="宋体" w:asciiTheme="minorEastAsia" w:hAnsiTheme="minorEastAsia" w:eastAsiaTheme="minorEastAsia"/>
          <w:b/>
          <w:color w:val="auto"/>
          <w:sz w:val="32"/>
          <w:szCs w:val="32"/>
          <w:highlight w:val="none"/>
        </w:rPr>
        <w:t>采购人：</w:t>
      </w:r>
      <w:r>
        <w:rPr>
          <w:rFonts w:hint="eastAsia" w:cs="宋体" w:asciiTheme="minorEastAsia" w:hAnsiTheme="minorEastAsia" w:eastAsiaTheme="minorEastAsia"/>
          <w:b/>
          <w:color w:val="auto"/>
          <w:sz w:val="32"/>
          <w:szCs w:val="32"/>
          <w:highlight w:val="none"/>
          <w:lang w:eastAsia="zh-CN"/>
        </w:rPr>
        <w:t>蒙自市公办义务教育阶段学校</w:t>
      </w:r>
      <w:bookmarkEnd w:id="11"/>
      <w:bookmarkEnd w:id="12"/>
      <w:bookmarkEnd w:id="13"/>
      <w:bookmarkEnd w:id="14"/>
      <w:bookmarkEnd w:id="15"/>
    </w:p>
    <w:p w14:paraId="1BF57292">
      <w:pPr>
        <w:pStyle w:val="57"/>
        <w:shd w:val="clear"/>
        <w:rPr>
          <w:color w:val="auto"/>
          <w:highlight w:val="none"/>
        </w:rPr>
      </w:pPr>
    </w:p>
    <w:p w14:paraId="7E506E25">
      <w:pPr>
        <w:shd w:val="clear"/>
        <w:wordWrap w:val="0"/>
        <w:spacing w:before="312" w:beforeLines="100" w:line="460" w:lineRule="exact"/>
        <w:jc w:val="center"/>
        <w:outlineLvl w:val="0"/>
        <w:rPr>
          <w:rFonts w:cs="宋体" w:asciiTheme="minorEastAsia" w:hAnsiTheme="minorEastAsia" w:eastAsiaTheme="minorEastAsia"/>
          <w:b/>
          <w:color w:val="auto"/>
          <w:sz w:val="32"/>
          <w:szCs w:val="32"/>
          <w:highlight w:val="none"/>
        </w:rPr>
      </w:pPr>
      <w:bookmarkStart w:id="16" w:name="_Toc15368"/>
      <w:bookmarkStart w:id="17" w:name="_Toc12544"/>
      <w:bookmarkStart w:id="18" w:name="_Toc13685"/>
      <w:bookmarkStart w:id="19" w:name="_Toc28938"/>
      <w:bookmarkStart w:id="20" w:name="_Toc14995"/>
      <w:bookmarkStart w:id="21" w:name="_Toc3918"/>
      <w:r>
        <w:rPr>
          <w:rFonts w:hint="eastAsia" w:cs="宋体" w:asciiTheme="minorEastAsia" w:hAnsiTheme="minorEastAsia" w:eastAsiaTheme="minorEastAsia"/>
          <w:b/>
          <w:color w:val="auto"/>
          <w:sz w:val="32"/>
          <w:szCs w:val="32"/>
          <w:highlight w:val="none"/>
        </w:rPr>
        <w:t>采购代理机构：红河州政府采购和出让中心</w:t>
      </w:r>
      <w:bookmarkEnd w:id="16"/>
      <w:bookmarkEnd w:id="17"/>
      <w:bookmarkEnd w:id="18"/>
      <w:bookmarkEnd w:id="19"/>
      <w:bookmarkEnd w:id="20"/>
      <w:bookmarkEnd w:id="21"/>
    </w:p>
    <w:p w14:paraId="1FD63636">
      <w:pPr>
        <w:pStyle w:val="57"/>
        <w:shd w:val="clear"/>
        <w:rPr>
          <w:color w:val="auto"/>
          <w:highlight w:val="none"/>
        </w:rPr>
      </w:pPr>
    </w:p>
    <w:p w14:paraId="45CD530E">
      <w:pPr>
        <w:shd w:val="clear"/>
        <w:wordWrap w:val="0"/>
        <w:spacing w:before="312" w:beforeLines="100" w:line="500" w:lineRule="exact"/>
        <w:jc w:val="center"/>
        <w:rPr>
          <w:rFonts w:cs="宋体" w:asciiTheme="minorEastAsia" w:hAnsiTheme="minorEastAsia" w:eastAsiaTheme="minorEastAsia"/>
          <w:b/>
          <w:color w:val="auto"/>
          <w:spacing w:val="20"/>
          <w:sz w:val="32"/>
          <w:szCs w:val="32"/>
          <w:highlight w:val="none"/>
        </w:rPr>
      </w:pPr>
      <w:r>
        <w:rPr>
          <w:rFonts w:hint="eastAsia" w:cs="宋体" w:asciiTheme="minorEastAsia" w:hAnsiTheme="minorEastAsia" w:eastAsiaTheme="minorEastAsia"/>
          <w:b/>
          <w:color w:val="auto"/>
          <w:spacing w:val="20"/>
          <w:sz w:val="32"/>
          <w:szCs w:val="32"/>
          <w:highlight w:val="none"/>
        </w:rPr>
        <w:t>2024年</w:t>
      </w:r>
      <w:r>
        <w:rPr>
          <w:rFonts w:hint="eastAsia" w:cs="宋体" w:asciiTheme="minorEastAsia" w:hAnsiTheme="minorEastAsia" w:eastAsiaTheme="minorEastAsia"/>
          <w:b/>
          <w:color w:val="auto"/>
          <w:spacing w:val="20"/>
          <w:sz w:val="32"/>
          <w:szCs w:val="32"/>
          <w:highlight w:val="none"/>
          <w:lang w:val="en-US" w:eastAsia="zh-CN"/>
        </w:rPr>
        <w:t>09</w:t>
      </w:r>
      <w:r>
        <w:rPr>
          <w:rFonts w:hint="eastAsia" w:cs="宋体" w:asciiTheme="minorEastAsia" w:hAnsiTheme="minorEastAsia" w:eastAsiaTheme="minorEastAsia"/>
          <w:b/>
          <w:color w:val="auto"/>
          <w:spacing w:val="20"/>
          <w:sz w:val="32"/>
          <w:szCs w:val="32"/>
          <w:highlight w:val="none"/>
        </w:rPr>
        <w:t>月</w:t>
      </w:r>
      <w:r>
        <w:rPr>
          <w:rFonts w:hint="eastAsia" w:cs="宋体" w:asciiTheme="minorEastAsia" w:hAnsiTheme="minorEastAsia" w:eastAsiaTheme="minorEastAsia"/>
          <w:b/>
          <w:color w:val="auto"/>
          <w:spacing w:val="20"/>
          <w:sz w:val="32"/>
          <w:szCs w:val="32"/>
          <w:highlight w:val="none"/>
          <w:lang w:val="en-US" w:eastAsia="zh-CN"/>
        </w:rPr>
        <w:t>09</w:t>
      </w:r>
      <w:r>
        <w:rPr>
          <w:rFonts w:hint="eastAsia" w:cs="宋体" w:asciiTheme="minorEastAsia" w:hAnsiTheme="minorEastAsia" w:eastAsiaTheme="minorEastAsia"/>
          <w:b/>
          <w:color w:val="auto"/>
          <w:spacing w:val="20"/>
          <w:sz w:val="32"/>
          <w:szCs w:val="32"/>
          <w:highlight w:val="none"/>
        </w:rPr>
        <w:t>日</w:t>
      </w:r>
    </w:p>
    <w:p w14:paraId="7E2DA118">
      <w:pPr>
        <w:rPr>
          <w:rFonts w:hint="eastAsia" w:cs="宋体" w:asciiTheme="minorEastAsia" w:hAnsiTheme="minorEastAsia" w:eastAsiaTheme="minorEastAsia"/>
          <w:bCs/>
          <w:color w:val="auto"/>
          <w:sz w:val="32"/>
          <w:szCs w:val="32"/>
          <w:highlight w:val="none"/>
        </w:rPr>
      </w:pPr>
      <w:r>
        <w:rPr>
          <w:rFonts w:hint="eastAsia" w:cs="宋体" w:asciiTheme="minorEastAsia" w:hAnsiTheme="minorEastAsia" w:eastAsiaTheme="minorEastAsia"/>
          <w:bCs/>
          <w:color w:val="auto"/>
          <w:sz w:val="32"/>
          <w:szCs w:val="32"/>
          <w:highlight w:val="none"/>
        </w:rPr>
        <w:br w:type="page"/>
      </w:r>
    </w:p>
    <w:sdt>
      <w:sdtPr>
        <w:rPr>
          <w:rFonts w:ascii="宋体" w:hAnsi="宋体" w:eastAsia="宋体" w:cs="Times New Roman"/>
          <w:color w:val="auto"/>
          <w:kern w:val="2"/>
          <w:sz w:val="21"/>
          <w:highlight w:val="none"/>
          <w:lang w:val="en-US" w:eastAsia="zh-CN" w:bidi="ar-SA"/>
        </w:rPr>
        <w:id w:val="147453304"/>
        <w15:color w:val="DBDBDB"/>
        <w:docPartObj>
          <w:docPartGallery w:val="Table of Contents"/>
          <w:docPartUnique/>
        </w:docPartObj>
      </w:sdtPr>
      <w:sdtEndPr>
        <w:rPr>
          <w:rFonts w:hint="eastAsia" w:cs="宋体" w:asciiTheme="minorEastAsia" w:hAnsiTheme="minorEastAsia" w:eastAsiaTheme="minorEastAsia"/>
          <w:bCs/>
          <w:color w:val="auto"/>
          <w:kern w:val="2"/>
          <w:sz w:val="21"/>
          <w:szCs w:val="32"/>
          <w:highlight w:val="none"/>
          <w:lang w:val="en-US" w:eastAsia="zh-CN" w:bidi="ar-SA"/>
        </w:rPr>
      </w:sdtEndPr>
      <w:sdtContent>
        <w:p w14:paraId="5FC57E04">
          <w:pPr>
            <w:spacing w:before="0" w:beforeLines="0" w:after="0" w:afterLines="0" w:line="240" w:lineRule="auto"/>
            <w:ind w:left="0" w:leftChars="0" w:right="0" w:rightChars="0" w:firstLine="0" w:firstLineChars="0"/>
            <w:jc w:val="center"/>
            <w:rPr>
              <w:color w:val="auto"/>
              <w:highlight w:val="none"/>
            </w:rPr>
          </w:pPr>
          <w:r>
            <w:rPr>
              <w:rFonts w:ascii="宋体" w:hAnsi="宋体" w:eastAsia="宋体"/>
              <w:color w:val="auto"/>
              <w:sz w:val="21"/>
              <w:highlight w:val="none"/>
            </w:rPr>
            <w:t>目录</w:t>
          </w:r>
        </w:p>
        <w:p w14:paraId="036E6509">
          <w:pPr>
            <w:pStyle w:val="29"/>
            <w:tabs>
              <w:tab w:val="right" w:leader="dot" w:pos="9574"/>
              <w:tab w:val="clear" w:pos="9663"/>
            </w:tabs>
            <w:rPr>
              <w:highlight w:val="none"/>
            </w:rPr>
          </w:pPr>
          <w:r>
            <w:rPr>
              <w:rFonts w:hint="eastAsia" w:cs="宋体" w:asciiTheme="minorEastAsia" w:hAnsiTheme="minorEastAsia" w:eastAsiaTheme="minorEastAsia"/>
              <w:bCs/>
              <w:color w:val="auto"/>
              <w:sz w:val="32"/>
              <w:szCs w:val="32"/>
              <w:highlight w:val="none"/>
            </w:rPr>
            <w:fldChar w:fldCharType="begin"/>
          </w:r>
          <w:r>
            <w:rPr>
              <w:rFonts w:hint="eastAsia" w:cs="宋体" w:asciiTheme="minorEastAsia" w:hAnsiTheme="minorEastAsia" w:eastAsiaTheme="minorEastAsia"/>
              <w:bCs/>
              <w:color w:val="auto"/>
              <w:sz w:val="32"/>
              <w:szCs w:val="32"/>
              <w:highlight w:val="none"/>
            </w:rPr>
            <w:instrText xml:space="preserve">TOC \o "1-3" \h \u </w:instrText>
          </w:r>
          <w:r>
            <w:rPr>
              <w:rFonts w:hint="eastAsia" w:cs="宋体" w:asciiTheme="minorEastAsia" w:hAnsiTheme="minorEastAsia" w:eastAsiaTheme="minorEastAsia"/>
              <w:bCs/>
              <w:color w:val="auto"/>
              <w:sz w:val="32"/>
              <w:szCs w:val="32"/>
              <w:highlight w:val="none"/>
            </w:rPr>
            <w:fldChar w:fldCharType="separate"/>
          </w:r>
        </w:p>
        <w:p w14:paraId="5679E09E">
          <w:pPr>
            <w:pStyle w:val="29"/>
            <w:tabs>
              <w:tab w:val="right" w:leader="dot" w:pos="9574"/>
              <w:tab w:val="clear" w:pos="9663"/>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_Toc23057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highlight w:val="none"/>
              <w:lang w:eastAsia="zh-CN"/>
            </w:rPr>
            <w:t>第一章 蒙自市公办义务教育阶段学校食堂大宗食材配送服务公开招标公告</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p>
        <w:p w14:paraId="5B3E927D">
          <w:pPr>
            <w:pStyle w:val="34"/>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_Toc11348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一、项目基本情况</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p>
        <w:p w14:paraId="449A2DAC">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_Toc31318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1.项目编号</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p>
        <w:p w14:paraId="65A36CDB">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_Toc27807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2.</w:t>
          </w:r>
          <w:r>
            <w:rPr>
              <w:rFonts w:hint="eastAsia" w:ascii="黑体" w:hAnsi="黑体" w:eastAsia="黑体" w:cs="黑体"/>
              <w:bCs/>
              <w:szCs w:val="30"/>
              <w:highlight w:val="none"/>
            </w:rPr>
            <w:t>项目名称</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p>
        <w:p w14:paraId="5271D7CE">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_Toc17276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3.</w:t>
          </w:r>
          <w:r>
            <w:rPr>
              <w:rFonts w:hint="eastAsia" w:ascii="黑体" w:hAnsi="黑体" w:eastAsia="黑体" w:cs="黑体"/>
              <w:bCs/>
              <w:szCs w:val="30"/>
              <w:highlight w:val="none"/>
            </w:rPr>
            <w:t>采购需求</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p>
        <w:p w14:paraId="4C9DFEA4">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_Toc32077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eastAsia="zh-CN"/>
            </w:rPr>
            <w:t>4</w:t>
          </w:r>
          <w:r>
            <w:rPr>
              <w:rFonts w:hint="eastAsia" w:ascii="黑体" w:hAnsi="黑体" w:eastAsia="黑体" w:cs="黑体"/>
              <w:bCs/>
              <w:szCs w:val="30"/>
              <w:highlight w:val="none"/>
              <w:lang w:val="en-US" w:eastAsia="zh-CN"/>
            </w:rPr>
            <w:t>.</w:t>
          </w:r>
          <w:r>
            <w:rPr>
              <w:rFonts w:hint="eastAsia" w:ascii="黑体" w:hAnsi="黑体" w:eastAsia="黑体" w:cs="黑体"/>
              <w:bCs/>
              <w:szCs w:val="30"/>
              <w:highlight w:val="none"/>
              <w:lang w:eastAsia="zh-CN"/>
            </w:rPr>
            <w:t>资金来源为</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p>
        <w:p w14:paraId="54701D58">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_Toc2989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5</w:t>
          </w:r>
          <w:r>
            <w:rPr>
              <w:rFonts w:hint="eastAsia" w:ascii="黑体" w:hAnsi="黑体" w:eastAsia="黑体" w:cs="黑体"/>
              <w:bCs/>
              <w:szCs w:val="30"/>
              <w:highlight w:val="none"/>
              <w:lang w:val="en-US" w:eastAsia="zh-CN"/>
            </w:rPr>
            <w:t>.</w:t>
          </w:r>
          <w:r>
            <w:rPr>
              <w:rFonts w:hint="eastAsia" w:ascii="黑体" w:hAnsi="黑体" w:eastAsia="黑体" w:cs="黑体"/>
              <w:bCs/>
              <w:szCs w:val="30"/>
              <w:highlight w:val="none"/>
              <w:lang w:eastAsia="zh-CN"/>
            </w:rPr>
            <w:t>配送</w:t>
          </w:r>
          <w:r>
            <w:rPr>
              <w:rFonts w:hint="eastAsia" w:ascii="黑体" w:hAnsi="黑体" w:eastAsia="黑体" w:cs="黑体"/>
              <w:bCs/>
              <w:szCs w:val="30"/>
              <w:highlight w:val="none"/>
            </w:rPr>
            <w:t>服务地点</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p>
        <w:p w14:paraId="7C750278">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_Toc26629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6</w:t>
          </w:r>
          <w:r>
            <w:rPr>
              <w:rFonts w:hint="eastAsia" w:ascii="黑体" w:hAnsi="黑体" w:eastAsia="黑体" w:cs="黑体"/>
              <w:bCs/>
              <w:szCs w:val="30"/>
              <w:highlight w:val="none"/>
              <w:lang w:val="en-US" w:eastAsia="zh-CN"/>
            </w:rPr>
            <w:t>.</w:t>
          </w:r>
          <w:r>
            <w:rPr>
              <w:rFonts w:hint="eastAsia" w:ascii="黑体" w:hAnsi="黑体" w:eastAsia="黑体" w:cs="黑体"/>
              <w:bCs/>
              <w:szCs w:val="30"/>
              <w:highlight w:val="none"/>
            </w:rPr>
            <w:t>服务期限</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p>
        <w:p w14:paraId="3912A1BB">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_Toc19391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7</w:t>
          </w:r>
          <w:r>
            <w:rPr>
              <w:rFonts w:hint="eastAsia" w:ascii="黑体" w:hAnsi="黑体" w:eastAsia="黑体" w:cs="黑体"/>
              <w:bCs/>
              <w:szCs w:val="30"/>
              <w:highlight w:val="none"/>
              <w:lang w:val="en-US" w:eastAsia="zh-CN"/>
            </w:rPr>
            <w:t>.</w:t>
          </w:r>
          <w:r>
            <w:rPr>
              <w:rFonts w:hint="eastAsia" w:ascii="黑体" w:hAnsi="黑体" w:eastAsia="黑体" w:cs="黑体"/>
              <w:bCs/>
              <w:szCs w:val="30"/>
              <w:highlight w:val="none"/>
            </w:rPr>
            <w:t>服务质量</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p>
        <w:p w14:paraId="47D6E1D8">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_Toc18621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8.付款方式</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p>
        <w:p w14:paraId="7CB4579E">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_Toc25075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9.</w:t>
          </w:r>
          <w:r>
            <w:rPr>
              <w:rFonts w:hint="eastAsia" w:ascii="黑体" w:hAnsi="黑体" w:eastAsia="黑体" w:cs="黑体"/>
              <w:bCs/>
              <w:szCs w:val="30"/>
              <w:highlight w:val="none"/>
            </w:rPr>
            <w:t>本项目不接受联合体投标</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p>
        <w:p w14:paraId="1CBDC5B1">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_Toc2993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10.本项目由</w:t>
          </w:r>
          <w:r>
            <w:rPr>
              <w:rFonts w:hint="eastAsia" w:ascii="黑体" w:hAnsi="黑体" w:eastAsia="黑体" w:cs="黑体"/>
              <w:bCs/>
              <w:szCs w:val="30"/>
              <w:highlight w:val="none"/>
              <w:lang w:eastAsia="zh-CN"/>
            </w:rPr>
            <w:t>配送服务</w:t>
          </w:r>
          <w:r>
            <w:rPr>
              <w:rFonts w:hint="eastAsia" w:ascii="黑体" w:hAnsi="黑体" w:eastAsia="黑体" w:cs="黑体"/>
              <w:bCs/>
              <w:szCs w:val="30"/>
              <w:highlight w:val="none"/>
            </w:rPr>
            <w:t>供应商</w:t>
          </w:r>
          <w:r>
            <w:rPr>
              <w:rFonts w:hint="eastAsia" w:ascii="黑体" w:hAnsi="黑体" w:eastAsia="黑体" w:cs="黑体"/>
              <w:bCs/>
              <w:szCs w:val="30"/>
              <w:highlight w:val="none"/>
              <w:lang w:eastAsia="zh-CN"/>
            </w:rPr>
            <w:t>自行进行</w:t>
          </w:r>
          <w:r>
            <w:rPr>
              <w:rFonts w:hint="eastAsia" w:ascii="黑体" w:hAnsi="黑体" w:eastAsia="黑体" w:cs="黑体"/>
              <w:bCs/>
              <w:szCs w:val="30"/>
              <w:highlight w:val="none"/>
              <w:lang w:val="en-US" w:eastAsia="zh-CN"/>
            </w:rPr>
            <w:t>配送运输路线等情况的现场踏勘</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p>
        <w:p w14:paraId="60611F09">
          <w:pPr>
            <w:pStyle w:val="34"/>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_Toc31885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二、</w:t>
          </w:r>
          <w:r>
            <w:rPr>
              <w:rFonts w:hint="eastAsia" w:ascii="黑体" w:hAnsi="黑体" w:eastAsia="黑体" w:cs="黑体"/>
              <w:bCs w:val="0"/>
              <w:szCs w:val="30"/>
              <w:highlight w:val="none"/>
            </w:rPr>
            <w:t>申请人的资格要求</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p>
        <w:p w14:paraId="62466D91">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_Toc13603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1.</w:t>
          </w:r>
          <w:r>
            <w:rPr>
              <w:rFonts w:hint="eastAsia" w:ascii="黑体" w:hAnsi="黑体" w:eastAsia="黑体" w:cs="黑体"/>
              <w:bCs/>
              <w:szCs w:val="30"/>
              <w:highlight w:val="none"/>
            </w:rPr>
            <w:t>满足《中华人民共和国政府采购法》第二十二条规定</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p>
        <w:p w14:paraId="1AF9DFEE">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_Toc10636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2.</w:t>
          </w:r>
          <w:r>
            <w:rPr>
              <w:rFonts w:hint="eastAsia" w:ascii="黑体" w:hAnsi="黑体" w:eastAsia="黑体" w:cs="黑体"/>
              <w:bCs/>
              <w:szCs w:val="30"/>
              <w:highlight w:val="none"/>
            </w:rPr>
            <w:t>落实政府采购政策需满足的资格要求</w:t>
          </w:r>
          <w:r>
            <w:rPr>
              <w:highlight w:val="none"/>
            </w:rPr>
            <w:tab/>
          </w:r>
          <w:r>
            <w:rPr>
              <w:rFonts w:hint="eastAsia"/>
              <w:highlight w:val="none"/>
              <w:lang w:val="en-US" w:eastAsia="zh-CN"/>
            </w:rPr>
            <w:t>8</w:t>
          </w:r>
          <w:r>
            <w:rPr>
              <w:rFonts w:hint="eastAsia" w:cs="宋体" w:asciiTheme="minorEastAsia" w:hAnsiTheme="minorEastAsia" w:eastAsiaTheme="minorEastAsia"/>
              <w:bCs/>
              <w:color w:val="auto"/>
              <w:szCs w:val="32"/>
              <w:highlight w:val="none"/>
            </w:rPr>
            <w:fldChar w:fldCharType="end"/>
          </w:r>
        </w:p>
        <w:p w14:paraId="7A2CF3BE">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_Toc29375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3.本项目的特定资格要求：</w:t>
          </w:r>
          <w:r>
            <w:rPr>
              <w:highlight w:val="none"/>
            </w:rPr>
            <w:tab/>
          </w:r>
          <w:r>
            <w:rPr>
              <w:rFonts w:hint="eastAsia"/>
              <w:highlight w:val="none"/>
              <w:lang w:val="en-US" w:eastAsia="zh-CN"/>
            </w:rPr>
            <w:t>8</w:t>
          </w:r>
          <w:r>
            <w:rPr>
              <w:rFonts w:hint="eastAsia" w:cs="宋体" w:asciiTheme="minorEastAsia" w:hAnsiTheme="minorEastAsia" w:eastAsiaTheme="minorEastAsia"/>
              <w:bCs/>
              <w:color w:val="auto"/>
              <w:szCs w:val="32"/>
              <w:highlight w:val="none"/>
            </w:rPr>
            <w:fldChar w:fldCharType="end"/>
          </w:r>
        </w:p>
        <w:p w14:paraId="67A14CA8">
          <w:pPr>
            <w:pStyle w:val="34"/>
            <w:tabs>
              <w:tab w:val="right" w:leader="dot" w:pos="9574"/>
            </w:tabs>
            <w:rPr>
              <w:rFonts w:hint="default" w:eastAsia="宋体"/>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_Toc16606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三、获取招标文件</w:t>
          </w:r>
          <w:r>
            <w:rPr>
              <w:highlight w:val="none"/>
            </w:rPr>
            <w:tab/>
          </w:r>
          <w:r>
            <w:rPr>
              <w:rFonts w:hint="eastAsia"/>
              <w:highlight w:val="none"/>
              <w:lang w:val="en-US" w:eastAsia="zh-CN"/>
            </w:rPr>
            <w:t>8</w:t>
          </w:r>
          <w:r>
            <w:rPr>
              <w:rFonts w:hint="eastAsia" w:cs="宋体" w:asciiTheme="minorEastAsia" w:hAnsiTheme="minorEastAsia" w:eastAsiaTheme="minorEastAsia"/>
              <w:bCs/>
              <w:color w:val="auto"/>
              <w:szCs w:val="32"/>
              <w:highlight w:val="none"/>
            </w:rPr>
            <w:fldChar w:fldCharType="end"/>
          </w:r>
        </w:p>
        <w:p w14:paraId="05DA2487">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_Toc2856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2</w:t>
          </w:r>
          <w:r>
            <w:rPr>
              <w:rFonts w:hint="eastAsia" w:ascii="黑体" w:hAnsi="黑体" w:eastAsia="黑体" w:cs="黑体"/>
              <w:bCs/>
              <w:szCs w:val="30"/>
              <w:highlight w:val="none"/>
              <w:lang w:val="en-US" w:eastAsia="zh-CN"/>
            </w:rPr>
            <w:t>.</w:t>
          </w:r>
          <w:r>
            <w:rPr>
              <w:rFonts w:hint="eastAsia" w:ascii="黑体" w:hAnsi="黑体" w:eastAsia="黑体" w:cs="黑体"/>
              <w:bCs/>
              <w:szCs w:val="30"/>
              <w:highlight w:val="none"/>
            </w:rPr>
            <w:t>地点</w:t>
          </w:r>
          <w:r>
            <w:rPr>
              <w:highlight w:val="none"/>
            </w:rPr>
            <w:tab/>
          </w:r>
          <w:r>
            <w:rPr>
              <w:rFonts w:hint="eastAsia"/>
              <w:highlight w:val="none"/>
              <w:lang w:val="en-US" w:eastAsia="zh-CN"/>
            </w:rPr>
            <w:t>8</w:t>
          </w:r>
          <w:r>
            <w:rPr>
              <w:rFonts w:hint="eastAsia" w:cs="宋体" w:asciiTheme="minorEastAsia" w:hAnsiTheme="minorEastAsia" w:eastAsiaTheme="minorEastAsia"/>
              <w:bCs/>
              <w:color w:val="auto"/>
              <w:szCs w:val="32"/>
              <w:highlight w:val="none"/>
            </w:rPr>
            <w:fldChar w:fldCharType="end"/>
          </w:r>
        </w:p>
        <w:p w14:paraId="5B337DBD">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_Toc5228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3.</w:t>
          </w:r>
          <w:r>
            <w:rPr>
              <w:rFonts w:hint="eastAsia" w:ascii="黑体" w:hAnsi="黑体" w:eastAsia="黑体" w:cs="黑体"/>
              <w:bCs/>
              <w:szCs w:val="30"/>
              <w:highlight w:val="none"/>
            </w:rPr>
            <w:t>方式</w:t>
          </w:r>
          <w:r>
            <w:rPr>
              <w:highlight w:val="none"/>
            </w:rPr>
            <w:tab/>
          </w:r>
          <w:r>
            <w:rPr>
              <w:rFonts w:hint="eastAsia"/>
              <w:highlight w:val="none"/>
              <w:lang w:val="en-US" w:eastAsia="zh-CN"/>
            </w:rPr>
            <w:t>8</w:t>
          </w:r>
          <w:r>
            <w:rPr>
              <w:rFonts w:hint="eastAsia" w:cs="宋体" w:asciiTheme="minorEastAsia" w:hAnsiTheme="minorEastAsia" w:eastAsiaTheme="minorEastAsia"/>
              <w:bCs/>
              <w:color w:val="auto"/>
              <w:szCs w:val="32"/>
              <w:highlight w:val="none"/>
            </w:rPr>
            <w:fldChar w:fldCharType="end"/>
          </w:r>
        </w:p>
        <w:p w14:paraId="7C7F680F">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_Toc11059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4.</w:t>
          </w:r>
          <w:r>
            <w:rPr>
              <w:rFonts w:hint="eastAsia" w:ascii="黑体" w:hAnsi="黑体" w:eastAsia="黑体" w:cs="黑体"/>
              <w:bCs/>
              <w:szCs w:val="30"/>
              <w:highlight w:val="none"/>
            </w:rPr>
            <w:t>售价</w:t>
          </w:r>
          <w:r>
            <w:rPr>
              <w:highlight w:val="none"/>
            </w:rPr>
            <w:tab/>
          </w:r>
          <w:r>
            <w:rPr>
              <w:rFonts w:hint="eastAsia"/>
              <w:highlight w:val="none"/>
              <w:lang w:val="en-US" w:eastAsia="zh-CN"/>
            </w:rPr>
            <w:t>8</w:t>
          </w:r>
          <w:r>
            <w:rPr>
              <w:rFonts w:hint="eastAsia" w:cs="宋体" w:asciiTheme="minorEastAsia" w:hAnsiTheme="minorEastAsia" w:eastAsiaTheme="minorEastAsia"/>
              <w:bCs/>
              <w:color w:val="auto"/>
              <w:szCs w:val="32"/>
              <w:highlight w:val="none"/>
            </w:rPr>
            <w:fldChar w:fldCharType="end"/>
          </w:r>
        </w:p>
        <w:p w14:paraId="43FB9780">
          <w:pPr>
            <w:pStyle w:val="34"/>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_Toc3284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四、提交投标文件截止时间、开标时间和地点</w:t>
          </w:r>
          <w:r>
            <w:rPr>
              <w:highlight w:val="none"/>
            </w:rPr>
            <w:tab/>
          </w:r>
          <w:r>
            <w:rPr>
              <w:rFonts w:hint="eastAsia"/>
              <w:highlight w:val="none"/>
              <w:lang w:val="en-US" w:eastAsia="zh-CN"/>
            </w:rPr>
            <w:t>8</w:t>
          </w:r>
          <w:r>
            <w:rPr>
              <w:rFonts w:hint="eastAsia" w:cs="宋体" w:asciiTheme="minorEastAsia" w:hAnsiTheme="minorEastAsia" w:eastAsiaTheme="minorEastAsia"/>
              <w:bCs/>
              <w:color w:val="auto"/>
              <w:szCs w:val="32"/>
              <w:highlight w:val="none"/>
            </w:rPr>
            <w:fldChar w:fldCharType="end"/>
          </w:r>
        </w:p>
        <w:p w14:paraId="08129200">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_Toc6262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1</w:t>
          </w:r>
          <w:r>
            <w:rPr>
              <w:rFonts w:hint="eastAsia" w:ascii="黑体" w:hAnsi="黑体" w:eastAsia="黑体" w:cs="黑体"/>
              <w:bCs/>
              <w:szCs w:val="30"/>
              <w:highlight w:val="none"/>
              <w:lang w:val="en-US" w:eastAsia="zh-CN"/>
            </w:rPr>
            <w:t>.</w:t>
          </w:r>
          <w:r>
            <w:rPr>
              <w:rFonts w:hint="eastAsia" w:ascii="黑体" w:hAnsi="黑体" w:eastAsia="黑体" w:cs="黑体"/>
              <w:bCs/>
              <w:szCs w:val="30"/>
              <w:highlight w:val="none"/>
            </w:rPr>
            <w:t>提交投标文件截止时间、开标时间</w:t>
          </w:r>
          <w:r>
            <w:rPr>
              <w:highlight w:val="none"/>
            </w:rPr>
            <w:tab/>
          </w:r>
          <w:r>
            <w:rPr>
              <w:rFonts w:hint="eastAsia"/>
              <w:highlight w:val="none"/>
              <w:lang w:val="en-US" w:eastAsia="zh-CN"/>
            </w:rPr>
            <w:t>9</w:t>
          </w:r>
          <w:r>
            <w:rPr>
              <w:rFonts w:hint="eastAsia" w:cs="宋体" w:asciiTheme="minorEastAsia" w:hAnsiTheme="minorEastAsia" w:eastAsiaTheme="minorEastAsia"/>
              <w:bCs/>
              <w:color w:val="auto"/>
              <w:szCs w:val="32"/>
              <w:highlight w:val="none"/>
            </w:rPr>
            <w:fldChar w:fldCharType="end"/>
          </w:r>
        </w:p>
        <w:p w14:paraId="7CD5D246">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_Toc16532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2</w:t>
          </w:r>
          <w:r>
            <w:rPr>
              <w:rFonts w:hint="eastAsia" w:ascii="黑体" w:hAnsi="黑体" w:eastAsia="黑体" w:cs="黑体"/>
              <w:bCs/>
              <w:szCs w:val="30"/>
              <w:highlight w:val="none"/>
              <w:lang w:val="en-US" w:eastAsia="zh-CN"/>
            </w:rPr>
            <w:t>.</w:t>
          </w:r>
          <w:r>
            <w:rPr>
              <w:rFonts w:hint="eastAsia" w:ascii="黑体" w:hAnsi="黑体" w:eastAsia="黑体" w:cs="黑体"/>
              <w:bCs/>
              <w:szCs w:val="30"/>
              <w:highlight w:val="none"/>
            </w:rPr>
            <w:t>地点</w:t>
          </w:r>
          <w:r>
            <w:rPr>
              <w:highlight w:val="none"/>
            </w:rPr>
            <w:tab/>
          </w:r>
          <w:r>
            <w:rPr>
              <w:rFonts w:hint="eastAsia"/>
              <w:highlight w:val="none"/>
              <w:lang w:val="en-US" w:eastAsia="zh-CN"/>
            </w:rPr>
            <w:t>9</w:t>
          </w:r>
          <w:r>
            <w:rPr>
              <w:rFonts w:hint="eastAsia" w:cs="宋体" w:asciiTheme="minorEastAsia" w:hAnsiTheme="minorEastAsia" w:eastAsiaTheme="minorEastAsia"/>
              <w:bCs/>
              <w:color w:val="auto"/>
              <w:szCs w:val="32"/>
              <w:highlight w:val="none"/>
            </w:rPr>
            <w:fldChar w:fldCharType="end"/>
          </w:r>
        </w:p>
        <w:p w14:paraId="0CD10F76">
          <w:pPr>
            <w:pStyle w:val="21"/>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_Toc30953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3.</w:t>
          </w:r>
          <w:r>
            <w:rPr>
              <w:rFonts w:hint="eastAsia" w:ascii="黑体" w:hAnsi="黑体" w:eastAsia="黑体" w:cs="黑体"/>
              <w:bCs/>
              <w:szCs w:val="30"/>
              <w:highlight w:val="none"/>
            </w:rPr>
            <w:t>本项目为全流程电子化项目</w:t>
          </w:r>
          <w:r>
            <w:rPr>
              <w:highlight w:val="none"/>
            </w:rPr>
            <w:tab/>
          </w:r>
          <w:r>
            <w:rPr>
              <w:rFonts w:hint="eastAsia"/>
              <w:highlight w:val="none"/>
              <w:lang w:val="en-US" w:eastAsia="zh-CN"/>
            </w:rPr>
            <w:t>9</w:t>
          </w:r>
          <w:r>
            <w:rPr>
              <w:rFonts w:hint="eastAsia" w:cs="宋体" w:asciiTheme="minorEastAsia" w:hAnsiTheme="minorEastAsia" w:eastAsiaTheme="minorEastAsia"/>
              <w:bCs/>
              <w:color w:val="auto"/>
              <w:szCs w:val="32"/>
              <w:highlight w:val="none"/>
            </w:rPr>
            <w:fldChar w:fldCharType="end"/>
          </w:r>
        </w:p>
        <w:p w14:paraId="2ED9D0F2">
          <w:pPr>
            <w:pStyle w:val="34"/>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_Toc31331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五、公告期限</w:t>
          </w:r>
          <w:r>
            <w:rPr>
              <w:highlight w:val="none"/>
            </w:rPr>
            <w:tab/>
          </w:r>
          <w:r>
            <w:rPr>
              <w:rFonts w:hint="eastAsia"/>
              <w:highlight w:val="none"/>
              <w:lang w:val="en-US" w:eastAsia="zh-CN"/>
            </w:rPr>
            <w:t>9</w:t>
          </w:r>
          <w:r>
            <w:rPr>
              <w:rFonts w:hint="eastAsia" w:cs="宋体" w:asciiTheme="minorEastAsia" w:hAnsiTheme="minorEastAsia" w:eastAsiaTheme="minorEastAsia"/>
              <w:bCs/>
              <w:color w:val="auto"/>
              <w:szCs w:val="32"/>
              <w:highlight w:val="none"/>
            </w:rPr>
            <w:fldChar w:fldCharType="end"/>
          </w:r>
        </w:p>
        <w:p w14:paraId="255E6013">
          <w:pPr>
            <w:pStyle w:val="34"/>
            <w:tabs>
              <w:tab w:val="right" w:leader="dot" w:pos="9574"/>
            </w:tabs>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_Toc15394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六、其他补充事宜</w:t>
          </w:r>
          <w:r>
            <w:rPr>
              <w:highlight w:val="none"/>
            </w:rPr>
            <w:tab/>
          </w:r>
          <w:r>
            <w:rPr>
              <w:rFonts w:hint="eastAsia"/>
              <w:highlight w:val="none"/>
              <w:lang w:val="en-US" w:eastAsia="zh-CN"/>
            </w:rPr>
            <w:t>9</w:t>
          </w:r>
          <w:r>
            <w:rPr>
              <w:rFonts w:hint="eastAsia" w:cs="宋体" w:asciiTheme="minorEastAsia" w:hAnsiTheme="minorEastAsia" w:eastAsiaTheme="minorEastAsia"/>
              <w:bCs/>
              <w:color w:val="auto"/>
              <w:szCs w:val="32"/>
              <w:highlight w:val="none"/>
            </w:rPr>
            <w:fldChar w:fldCharType="end"/>
          </w:r>
        </w:p>
        <w:p w14:paraId="76B11A58">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_Toc8211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七、对本次招标提出询问，请按以下方式联系</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0</w:t>
          </w:r>
        </w:p>
        <w:p w14:paraId="57DACFBC">
          <w:pPr>
            <w:pStyle w:val="21"/>
            <w:tabs>
              <w:tab w:val="right" w:leader="dot" w:pos="9574"/>
            </w:tabs>
            <w:rPr>
              <w:rFonts w:hint="eastAsia" w:eastAsiaTheme="minorEastAsia"/>
              <w:highlight w:val="none"/>
              <w:lang w:val="en-US" w:eastAsia="zh-CN"/>
            </w:rPr>
          </w:pPr>
          <w:r>
            <w:rPr>
              <w:rFonts w:hint="eastAsia" w:ascii="黑体" w:hAnsi="黑体" w:eastAsia="黑体" w:cs="黑体"/>
              <w:bCs/>
              <w:szCs w:val="30"/>
              <w:highlight w:val="none"/>
            </w:rPr>
            <w:t>1</w:t>
          </w: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_Toc17828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.采购人信息</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0</w:t>
          </w:r>
        </w:p>
        <w:p w14:paraId="34368035">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_Toc14835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rPr>
            <w:t>2.集采机构信息</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0</w:t>
          </w:r>
        </w:p>
        <w:p w14:paraId="3A1361CD">
          <w:pPr>
            <w:pStyle w:val="29"/>
            <w:tabs>
              <w:tab w:val="right" w:leader="dot" w:pos="9574"/>
              <w:tab w:val="clear" w:pos="9663"/>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_Toc25200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highlight w:val="none"/>
              <w:lang w:eastAsia="zh-CN"/>
            </w:rPr>
            <w:t>第二章 投标人须知</w:t>
          </w:r>
          <w:r>
            <w:rPr>
              <w:rFonts w:hint="eastAsia" w:ascii="黑体" w:hAnsi="黑体" w:eastAsia="黑体" w:cs="黑体"/>
              <w:bCs/>
              <w:highlight w:val="none"/>
              <w:lang w:val="en-US" w:eastAsia="zh-CN"/>
            </w:rPr>
            <w:t xml:space="preserve"> </w:t>
          </w:r>
          <w:r>
            <w:rPr>
              <w:rFonts w:hint="eastAsia" w:ascii="黑体" w:hAnsi="黑体" w:eastAsia="黑体" w:cs="黑体"/>
              <w:bCs/>
              <w:highlight w:val="none"/>
              <w:lang w:eastAsia="zh-CN"/>
            </w:rPr>
            <w:t>投标人须知前附表</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0</w:t>
          </w:r>
        </w:p>
        <w:p w14:paraId="2695A198">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_Toc31598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一、总则</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2</w:t>
          </w:r>
        </w:p>
        <w:p w14:paraId="41B97C1F">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_Toc8523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二、招标文件</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4</w:t>
          </w:r>
        </w:p>
        <w:p w14:paraId="64BB3EBF">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_Toc4445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三、投标文件</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5</w:t>
          </w:r>
        </w:p>
        <w:p w14:paraId="0278068A">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_Toc5522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四、投标</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8</w:t>
          </w:r>
        </w:p>
        <w:p w14:paraId="44000F4B">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_Toc21365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五、开标</w:t>
          </w:r>
          <w:r>
            <w:rPr>
              <w:highlight w:val="none"/>
            </w:rPr>
            <w:tab/>
          </w:r>
          <w:r>
            <w:rPr>
              <w:rFonts w:hint="eastAsia"/>
              <w:highlight w:val="none"/>
              <w:lang w:val="en-US" w:eastAsia="zh-CN"/>
            </w:rPr>
            <w:t>1</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9</w:t>
          </w:r>
        </w:p>
        <w:p w14:paraId="7B70F814">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_Toc23351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六、资格审查及评标</w:t>
          </w:r>
          <w:r>
            <w:rPr>
              <w:highlight w:val="none"/>
            </w:rPr>
            <w:tab/>
          </w:r>
          <w:r>
            <w:rPr>
              <w:rFonts w:hint="eastAsia"/>
              <w:highlight w:val="none"/>
              <w:lang w:val="en-US" w:eastAsia="zh-CN"/>
            </w:rPr>
            <w:t>2</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0</w:t>
          </w:r>
        </w:p>
        <w:p w14:paraId="444B7F9A">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_Toc23629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七、中标结果</w:t>
          </w:r>
          <w:r>
            <w:rPr>
              <w:highlight w:val="none"/>
            </w:rPr>
            <w:tab/>
          </w:r>
          <w:r>
            <w:rPr>
              <w:rFonts w:hint="eastAsia"/>
              <w:highlight w:val="none"/>
              <w:lang w:val="en-US" w:eastAsia="zh-CN"/>
            </w:rPr>
            <w:t>2</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3B123936">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_Toc230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八、其他事项</w:t>
          </w:r>
          <w:r>
            <w:rPr>
              <w:highlight w:val="none"/>
            </w:rPr>
            <w:tab/>
          </w:r>
          <w:r>
            <w:rPr>
              <w:rFonts w:hint="eastAsia"/>
              <w:highlight w:val="none"/>
              <w:lang w:val="en-US" w:eastAsia="zh-CN"/>
            </w:rPr>
            <w:t>2</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2</w:t>
          </w:r>
        </w:p>
        <w:p w14:paraId="796AEC8F">
          <w:pPr>
            <w:pStyle w:val="29"/>
            <w:tabs>
              <w:tab w:val="right" w:leader="dot" w:pos="9574"/>
              <w:tab w:val="clear" w:pos="9663"/>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_Toc1588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highlight w:val="none"/>
              <w:lang w:eastAsia="zh-CN"/>
            </w:rPr>
            <w:t>第三章 合同基本格式</w:t>
          </w:r>
          <w:r>
            <w:rPr>
              <w:highlight w:val="none"/>
            </w:rPr>
            <w:tab/>
          </w:r>
          <w:r>
            <w:rPr>
              <w:rFonts w:hint="eastAsia"/>
              <w:highlight w:val="none"/>
              <w:lang w:val="en-US" w:eastAsia="zh-CN"/>
            </w:rPr>
            <w:t>2</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6</w:t>
          </w:r>
        </w:p>
        <w:p w14:paraId="41FC566C">
          <w:pPr>
            <w:pStyle w:val="29"/>
            <w:tabs>
              <w:tab w:val="right" w:leader="dot" w:pos="9574"/>
              <w:tab w:val="clear" w:pos="9663"/>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_Toc13959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highlight w:val="none"/>
              <w:lang w:eastAsia="zh-CN"/>
            </w:rPr>
            <w:t>第四章 投标文件格式</w:t>
          </w:r>
          <w:r>
            <w:rPr>
              <w:highlight w:val="none"/>
            </w:rPr>
            <w:tab/>
          </w:r>
          <w:r>
            <w:rPr>
              <w:rFonts w:hint="eastAsia"/>
              <w:highlight w:val="none"/>
              <w:lang w:val="en-US" w:eastAsia="zh-CN"/>
            </w:rPr>
            <w:t>3</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06CE0807">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lang w:val="en-US" w:eastAsia="zh-CN"/>
            </w:rPr>
            <w:t>1.</w:t>
          </w: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_Toc716 </w:instrText>
          </w:r>
          <w:r>
            <w:rPr>
              <w:rFonts w:hint="eastAsia" w:cs="宋体" w:asciiTheme="minorEastAsia" w:hAnsiTheme="minorEastAsia" w:eastAsiaTheme="minorEastAsia"/>
              <w:bCs/>
              <w:szCs w:val="32"/>
              <w:highlight w:val="none"/>
            </w:rPr>
            <w:fldChar w:fldCharType="separate"/>
          </w:r>
          <w:r>
            <w:rPr>
              <w:rFonts w:hint="eastAsia" w:cs="宋体" w:asciiTheme="minorEastAsia" w:hAnsiTheme="minorEastAsia" w:eastAsiaTheme="minorEastAsia"/>
              <w:szCs w:val="48"/>
              <w:highlight w:val="none"/>
              <w:lang w:eastAsia="zh-CN"/>
            </w:rPr>
            <w:t>蒙自市公办义务教育阶段学校食堂大宗食材配送服务投标文件</w:t>
          </w:r>
          <w:r>
            <w:rPr>
              <w:highlight w:val="none"/>
            </w:rPr>
            <w:tab/>
          </w:r>
          <w:r>
            <w:rPr>
              <w:rFonts w:hint="eastAsia"/>
              <w:highlight w:val="none"/>
              <w:lang w:val="en-US" w:eastAsia="zh-CN"/>
            </w:rPr>
            <w:t>3</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2</w:t>
          </w:r>
        </w:p>
        <w:p w14:paraId="51958C25">
          <w:pPr>
            <w:pStyle w:val="29"/>
            <w:tabs>
              <w:tab w:val="right" w:leader="dot" w:pos="9574"/>
              <w:tab w:val="clear" w:pos="9663"/>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_Toc1366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highlight w:val="none"/>
              <w:lang w:eastAsia="zh-CN"/>
            </w:rPr>
            <w:t>第五章 采购需求</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585662BD">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_Toc13971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val="en-US" w:eastAsia="zh-CN"/>
            </w:rPr>
            <w:t>一、</w:t>
          </w:r>
          <w:r>
            <w:rPr>
              <w:rFonts w:hint="eastAsia" w:ascii="黑体" w:hAnsi="黑体" w:eastAsia="黑体" w:cs="黑体"/>
              <w:bCs w:val="0"/>
              <w:szCs w:val="30"/>
              <w:highlight w:val="none"/>
              <w:lang w:eastAsia="zh-CN"/>
            </w:rPr>
            <w:t>商务要求</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22949C50">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_Toc1775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1.</w:t>
          </w:r>
          <w:r>
            <w:rPr>
              <w:rFonts w:hint="eastAsia" w:ascii="黑体" w:hAnsi="黑体" w:eastAsia="黑体" w:cs="黑体"/>
              <w:bCs/>
              <w:szCs w:val="30"/>
              <w:highlight w:val="none"/>
            </w:rPr>
            <w:t>交付（服务）时间、地点和方式</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2D8676B5">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_Toc22097 </w:instrText>
          </w:r>
          <w:r>
            <w:rPr>
              <w:rFonts w:hint="eastAsia" w:cs="宋体" w:asciiTheme="minorEastAsia" w:hAnsiTheme="minorEastAsia" w:eastAsiaTheme="minorEastAsia"/>
              <w:bCs/>
              <w:szCs w:val="32"/>
              <w:highlight w:val="none"/>
            </w:rPr>
            <w:fldChar w:fldCharType="separate"/>
          </w:r>
          <w:r>
            <w:rPr>
              <w:rFonts w:hint="eastAsia" w:ascii="宋体" w:hAnsi="宋体" w:cs="宋体"/>
              <w:szCs w:val="24"/>
              <w:highlight w:val="none"/>
              <w:lang w:val="en-US" w:eastAsia="zh-CN"/>
            </w:rPr>
            <w:t>(1)</w:t>
          </w:r>
          <w:r>
            <w:rPr>
              <w:rFonts w:hint="eastAsia" w:ascii="宋体" w:hAnsi="宋体" w:cs="宋体"/>
              <w:szCs w:val="24"/>
              <w:highlight w:val="none"/>
            </w:rPr>
            <w:t>.交付（服务）时间：</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20F0A872">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_Toc8377 </w:instrText>
          </w:r>
          <w:r>
            <w:rPr>
              <w:rFonts w:hint="eastAsia" w:cs="宋体" w:asciiTheme="minorEastAsia" w:hAnsiTheme="minorEastAsia" w:eastAsiaTheme="minorEastAsia"/>
              <w:bCs/>
              <w:szCs w:val="32"/>
              <w:highlight w:val="none"/>
            </w:rPr>
            <w:fldChar w:fldCharType="separate"/>
          </w:r>
          <w:r>
            <w:rPr>
              <w:rFonts w:hint="eastAsia" w:ascii="宋体" w:hAnsi="宋体" w:cs="宋体"/>
              <w:szCs w:val="24"/>
              <w:highlight w:val="none"/>
              <w:lang w:val="en-US" w:eastAsia="zh-CN"/>
            </w:rPr>
            <w:t>(</w:t>
          </w:r>
          <w:r>
            <w:rPr>
              <w:rFonts w:hint="eastAsia" w:ascii="宋体" w:hAnsi="宋体" w:cs="宋体"/>
              <w:szCs w:val="24"/>
              <w:highlight w:val="none"/>
            </w:rPr>
            <w:t>2</w:t>
          </w:r>
          <w:r>
            <w:rPr>
              <w:rFonts w:hint="eastAsia" w:ascii="宋体" w:hAnsi="宋体" w:cs="宋体"/>
              <w:szCs w:val="24"/>
              <w:highlight w:val="none"/>
              <w:lang w:val="en-US" w:eastAsia="zh-CN"/>
            </w:rPr>
            <w:t>)</w:t>
          </w:r>
          <w:r>
            <w:rPr>
              <w:rFonts w:hint="eastAsia" w:ascii="宋体" w:hAnsi="宋体" w:cs="宋体"/>
              <w:szCs w:val="24"/>
              <w:highlight w:val="none"/>
            </w:rPr>
            <w:t>.交付（服务）地点：</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799973CD">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_Toc27142 </w:instrText>
          </w:r>
          <w:r>
            <w:rPr>
              <w:rFonts w:hint="eastAsia" w:cs="宋体" w:asciiTheme="minorEastAsia" w:hAnsiTheme="minorEastAsia" w:eastAsiaTheme="minorEastAsia"/>
              <w:bCs/>
              <w:szCs w:val="32"/>
              <w:highlight w:val="none"/>
            </w:rPr>
            <w:fldChar w:fldCharType="separate"/>
          </w:r>
          <w:r>
            <w:rPr>
              <w:rFonts w:hint="eastAsia" w:ascii="宋体" w:hAnsi="宋体" w:cs="宋体"/>
              <w:szCs w:val="24"/>
              <w:highlight w:val="none"/>
              <w:lang w:val="en-US" w:eastAsia="zh-CN"/>
            </w:rPr>
            <w:t>(</w:t>
          </w:r>
          <w:r>
            <w:rPr>
              <w:rFonts w:hint="eastAsia" w:ascii="宋体" w:hAnsi="宋体" w:cs="宋体"/>
              <w:szCs w:val="24"/>
              <w:highlight w:val="none"/>
            </w:rPr>
            <w:t>3</w:t>
          </w:r>
          <w:r>
            <w:rPr>
              <w:rFonts w:hint="eastAsia" w:ascii="宋体" w:hAnsi="宋体" w:cs="宋体"/>
              <w:szCs w:val="24"/>
              <w:highlight w:val="none"/>
              <w:lang w:val="en-US" w:eastAsia="zh-CN"/>
            </w:rPr>
            <w:t>)</w:t>
          </w:r>
          <w:r>
            <w:rPr>
              <w:rFonts w:hint="eastAsia" w:ascii="宋体" w:hAnsi="宋体" w:cs="宋体"/>
              <w:szCs w:val="24"/>
              <w:highlight w:val="none"/>
            </w:rPr>
            <w:t>. 交付（服务）方式：</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47D34295">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_Toc30215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2.</w:t>
          </w:r>
          <w:r>
            <w:rPr>
              <w:rFonts w:hint="eastAsia" w:ascii="黑体" w:hAnsi="黑体" w:eastAsia="黑体" w:cs="黑体"/>
              <w:bCs/>
              <w:szCs w:val="30"/>
              <w:highlight w:val="none"/>
              <w:lang w:eastAsia="zh-CN"/>
            </w:rPr>
            <w:t>付款方式</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2D71F48E">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_Toc27287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3.</w:t>
          </w:r>
          <w:r>
            <w:rPr>
              <w:rFonts w:hint="eastAsia" w:ascii="黑体" w:hAnsi="黑体" w:eastAsia="黑体" w:cs="黑体"/>
              <w:bCs/>
              <w:szCs w:val="30"/>
              <w:highlight w:val="none"/>
              <w:lang w:eastAsia="zh-CN"/>
            </w:rPr>
            <w:t>履约保证金</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226F1C0B">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_Toc27866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4.</w:t>
          </w:r>
          <w:r>
            <w:rPr>
              <w:rFonts w:hint="eastAsia" w:ascii="黑体" w:hAnsi="黑体" w:eastAsia="黑体" w:cs="黑体"/>
              <w:bCs/>
              <w:szCs w:val="30"/>
              <w:highlight w:val="none"/>
              <w:lang w:eastAsia="zh-CN"/>
            </w:rPr>
            <w:t>违约责任</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4F3BE052">
          <w:pPr>
            <w:pStyle w:val="21"/>
            <w:tabs>
              <w:tab w:val="right" w:leader="dot" w:pos="9574"/>
            </w:tabs>
            <w:ind w:left="0" w:leftChars="0" w:firstLine="400" w:firstLineChars="200"/>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_Toc2099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5.</w:t>
          </w:r>
          <w:r>
            <w:rPr>
              <w:rFonts w:hint="eastAsia" w:ascii="黑体" w:hAnsi="黑体" w:eastAsia="黑体" w:cs="黑体"/>
              <w:bCs/>
              <w:szCs w:val="30"/>
              <w:highlight w:val="none"/>
              <w:lang w:eastAsia="zh-CN"/>
            </w:rPr>
            <w:t>项目价格要求</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2</w:t>
          </w:r>
        </w:p>
        <w:p w14:paraId="65600B79">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_Toc21228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6.</w:t>
          </w:r>
          <w:r>
            <w:rPr>
              <w:rFonts w:hint="eastAsia" w:ascii="黑体" w:hAnsi="黑体" w:eastAsia="黑体" w:cs="黑体"/>
              <w:bCs/>
              <w:szCs w:val="30"/>
              <w:highlight w:val="none"/>
              <w:lang w:eastAsia="zh-CN"/>
            </w:rPr>
            <w:t>服务终止</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2</w:t>
          </w:r>
        </w:p>
        <w:p w14:paraId="126DC05E">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_Toc17540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rPr>
            <w:t>二、</w:t>
          </w:r>
          <w:r>
            <w:rPr>
              <w:rFonts w:hint="eastAsia" w:ascii="黑体" w:hAnsi="黑体" w:eastAsia="黑体" w:cs="黑体"/>
              <w:bCs w:val="0"/>
              <w:szCs w:val="30"/>
              <w:highlight w:val="none"/>
              <w:lang w:eastAsia="zh-CN"/>
            </w:rPr>
            <w:t>技术</w:t>
          </w:r>
          <w:r>
            <w:rPr>
              <w:rFonts w:hint="eastAsia" w:ascii="黑体" w:hAnsi="黑体" w:eastAsia="黑体" w:cs="黑体"/>
              <w:bCs w:val="0"/>
              <w:szCs w:val="30"/>
              <w:highlight w:val="none"/>
            </w:rPr>
            <w:t>要求</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3</w:t>
          </w:r>
        </w:p>
        <w:p w14:paraId="0DFCF694">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_Toc7313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1.</w:t>
          </w:r>
          <w:r>
            <w:rPr>
              <w:rFonts w:hint="eastAsia" w:ascii="黑体" w:hAnsi="黑体" w:eastAsia="黑体" w:cs="黑体"/>
              <w:bCs/>
              <w:szCs w:val="30"/>
              <w:highlight w:val="none"/>
              <w:lang w:eastAsia="zh-CN"/>
            </w:rPr>
            <w:t>食品安全及质量要求</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3</w:t>
          </w:r>
        </w:p>
        <w:p w14:paraId="30AEAE8D">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_Toc11356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szCs w:val="30"/>
              <w:highlight w:val="none"/>
              <w:lang w:eastAsia="zh-CN"/>
            </w:rPr>
            <w:t>1.</w:t>
          </w:r>
          <w:r>
            <w:rPr>
              <w:rFonts w:hint="eastAsia" w:ascii="黑体" w:hAnsi="黑体" w:eastAsia="黑体" w:cs="黑体"/>
              <w:szCs w:val="30"/>
              <w:highlight w:val="none"/>
              <w:lang w:val="en-US" w:eastAsia="zh-CN"/>
            </w:rPr>
            <w:t>1</w:t>
          </w:r>
          <w:r>
            <w:rPr>
              <w:rFonts w:hint="eastAsia" w:ascii="黑体" w:hAnsi="黑体" w:eastAsia="黑体" w:cs="黑体"/>
              <w:szCs w:val="30"/>
              <w:highlight w:val="none"/>
              <w:lang w:eastAsia="zh-CN"/>
            </w:rPr>
            <w:t>食品安全要求</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3</w:t>
          </w:r>
        </w:p>
        <w:p w14:paraId="2F45FA83">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_Toc10027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1.2</w:t>
          </w:r>
          <w:r>
            <w:rPr>
              <w:rFonts w:hint="eastAsia" w:ascii="黑体" w:hAnsi="黑体" w:eastAsia="黑体" w:cs="黑体"/>
              <w:bCs/>
              <w:szCs w:val="30"/>
              <w:highlight w:val="none"/>
              <w:lang w:eastAsia="zh-CN"/>
            </w:rPr>
            <w:t>质量要求（供应商响应，验收时把关核查）</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3</w:t>
          </w:r>
        </w:p>
        <w:p w14:paraId="43BAA208">
          <w:pPr>
            <w:pStyle w:val="21"/>
            <w:tabs>
              <w:tab w:val="right" w:leader="dot" w:pos="9574"/>
            </w:tabs>
            <w:ind w:left="0" w:leftChars="0" w:firstLine="400" w:firstLineChars="200"/>
            <w:rPr>
              <w:highlight w:val="none"/>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_Toc5006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1.3</w:t>
          </w:r>
          <w:r>
            <w:rPr>
              <w:rFonts w:hint="eastAsia" w:ascii="黑体" w:hAnsi="黑体" w:eastAsia="黑体" w:cs="黑体"/>
              <w:bCs/>
              <w:szCs w:val="30"/>
              <w:highlight w:val="none"/>
              <w:lang w:eastAsia="zh-CN"/>
            </w:rPr>
            <w:t>验收要求</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4</w:t>
          </w:r>
        </w:p>
        <w:p w14:paraId="6B17F71D">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_Toc21956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三、服务要求</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9</w:t>
          </w:r>
        </w:p>
        <w:p w14:paraId="5DE8B9E2">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_Toc27692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eastAsia="zh-CN"/>
            </w:rPr>
            <w:t>1.服务模式</w:t>
          </w:r>
          <w:r>
            <w:rPr>
              <w:highlight w:val="none"/>
            </w:rPr>
            <w:tab/>
          </w:r>
          <w:r>
            <w:rPr>
              <w:rFonts w:hint="eastAsia"/>
              <w:highlight w:val="none"/>
              <w:lang w:val="en-US" w:eastAsia="zh-CN"/>
            </w:rPr>
            <w:t>5</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9</w:t>
          </w:r>
        </w:p>
        <w:p w14:paraId="091B2320">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_Toc30906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eastAsia="zh-CN"/>
            </w:rPr>
            <w:t>2.配送要求</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0</w:t>
          </w:r>
        </w:p>
        <w:p w14:paraId="31038123">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_Toc2897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3</w:t>
          </w:r>
          <w:r>
            <w:rPr>
              <w:rFonts w:hint="eastAsia" w:ascii="黑体" w:hAnsi="黑体" w:eastAsia="黑体" w:cs="黑体"/>
              <w:bCs/>
              <w:szCs w:val="30"/>
              <w:highlight w:val="none"/>
              <w:lang w:eastAsia="zh-CN"/>
            </w:rPr>
            <w:t>.验收要求</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0</w:t>
          </w:r>
        </w:p>
        <w:p w14:paraId="511D14A0">
          <w:pPr>
            <w:pStyle w:val="21"/>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_Toc18904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szCs w:val="30"/>
              <w:highlight w:val="none"/>
              <w:lang w:val="en-US" w:eastAsia="zh-CN"/>
            </w:rPr>
            <w:t>4</w:t>
          </w:r>
          <w:r>
            <w:rPr>
              <w:rFonts w:hint="eastAsia" w:ascii="黑体" w:hAnsi="黑体" w:eastAsia="黑体" w:cs="黑体"/>
              <w:bCs/>
              <w:szCs w:val="30"/>
              <w:highlight w:val="none"/>
              <w:lang w:eastAsia="zh-CN"/>
            </w:rPr>
            <w:t>.其他要求</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0E739272">
          <w:pPr>
            <w:pStyle w:val="29"/>
            <w:tabs>
              <w:tab w:val="right" w:leader="dot" w:pos="9574"/>
              <w:tab w:val="clear" w:pos="9663"/>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_Toc25028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highlight w:val="none"/>
              <w:lang w:eastAsia="zh-CN"/>
            </w:rPr>
            <w:t>第六章 评标方法（综合评分法）</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2</w:t>
          </w:r>
        </w:p>
        <w:p w14:paraId="6F513961">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_Toc16182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一、评标机构</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2</w:t>
          </w:r>
        </w:p>
        <w:p w14:paraId="015B8BDD">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_Toc15230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二、采购人或者采购代理机构职责</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2</w:t>
          </w:r>
        </w:p>
        <w:p w14:paraId="618A2362">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_Toc15618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三、评标委员会职责</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3</w:t>
          </w:r>
        </w:p>
        <w:p w14:paraId="68D2AB20">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_Toc4653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四、评标纪律</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3</w:t>
          </w:r>
        </w:p>
        <w:p w14:paraId="5B433C94">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_Toc2899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五、评标原则</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4</w:t>
          </w:r>
        </w:p>
        <w:p w14:paraId="76ADDAE4">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_Toc19026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六、评标程序</w:t>
          </w:r>
          <w:r>
            <w:rPr>
              <w:highlight w:val="none"/>
            </w:rPr>
            <w:tab/>
          </w:r>
          <w:r>
            <w:rPr>
              <w:rFonts w:hint="eastAsia"/>
              <w:highlight w:val="none"/>
              <w:lang w:val="en-US" w:eastAsia="zh-CN"/>
            </w:rPr>
            <w:t>6</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4</w:t>
          </w:r>
        </w:p>
        <w:p w14:paraId="2B661128">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_Toc22893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七、推荐</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25D59377">
          <w:pPr>
            <w:pStyle w:val="34"/>
            <w:tabs>
              <w:tab w:val="right" w:leader="dot" w:pos="9574"/>
            </w:tabs>
            <w:rPr>
              <w:rFonts w:hint="eastAsia" w:eastAsiaTheme="minorEastAsia"/>
              <w:highlight w:val="none"/>
              <w:lang w:val="en-US" w:eastAsia="zh-CN"/>
            </w:rPr>
          </w:pPr>
          <w:r>
            <w:rPr>
              <w:rFonts w:hint="eastAsia" w:cs="宋体" w:asciiTheme="minorEastAsia" w:hAnsiTheme="minorEastAsia" w:eastAsiaTheme="minorEastAsia"/>
              <w:bCs/>
              <w:color w:val="auto"/>
              <w:szCs w:val="32"/>
              <w:highlight w:val="none"/>
            </w:rPr>
            <w:fldChar w:fldCharType="begin"/>
          </w:r>
          <w:r>
            <w:rPr>
              <w:rFonts w:hint="eastAsia" w:cs="宋体" w:asciiTheme="minorEastAsia" w:hAnsiTheme="minorEastAsia" w:eastAsiaTheme="minorEastAsia"/>
              <w:bCs/>
              <w:szCs w:val="32"/>
              <w:highlight w:val="none"/>
            </w:rPr>
            <w:instrText xml:space="preserve"> HYPERLINK \l _Toc20507 </w:instrText>
          </w:r>
          <w:r>
            <w:rPr>
              <w:rFonts w:hint="eastAsia" w:cs="宋体" w:asciiTheme="minorEastAsia" w:hAnsiTheme="minorEastAsia" w:eastAsiaTheme="minorEastAsia"/>
              <w:bCs/>
              <w:szCs w:val="32"/>
              <w:highlight w:val="none"/>
            </w:rPr>
            <w:fldChar w:fldCharType="separate"/>
          </w:r>
          <w:r>
            <w:rPr>
              <w:rFonts w:hint="eastAsia" w:ascii="黑体" w:hAnsi="黑体" w:eastAsia="黑体" w:cs="黑体"/>
              <w:bCs w:val="0"/>
              <w:szCs w:val="30"/>
              <w:highlight w:val="none"/>
              <w:lang w:eastAsia="zh-CN"/>
            </w:rPr>
            <w:t>八、评标报告编写</w:t>
          </w:r>
          <w:r>
            <w:rPr>
              <w:highlight w:val="none"/>
            </w:rPr>
            <w:tab/>
          </w:r>
          <w:r>
            <w:rPr>
              <w:rFonts w:hint="eastAsia"/>
              <w:highlight w:val="none"/>
              <w:lang w:val="en-US" w:eastAsia="zh-CN"/>
            </w:rPr>
            <w:t>7</w:t>
          </w:r>
          <w:r>
            <w:rPr>
              <w:rFonts w:hint="eastAsia" w:cs="宋体" w:asciiTheme="minorEastAsia" w:hAnsiTheme="minorEastAsia" w:eastAsiaTheme="minorEastAsia"/>
              <w:bCs/>
              <w:color w:val="auto"/>
              <w:szCs w:val="32"/>
              <w:highlight w:val="none"/>
            </w:rPr>
            <w:fldChar w:fldCharType="end"/>
          </w:r>
          <w:r>
            <w:rPr>
              <w:rFonts w:hint="eastAsia" w:cs="宋体" w:asciiTheme="minorEastAsia" w:hAnsiTheme="minorEastAsia" w:eastAsiaTheme="minorEastAsia"/>
              <w:bCs/>
              <w:color w:val="auto"/>
              <w:szCs w:val="32"/>
              <w:highlight w:val="none"/>
              <w:lang w:val="en-US" w:eastAsia="zh-CN"/>
            </w:rPr>
            <w:t>1</w:t>
          </w:r>
        </w:p>
        <w:p w14:paraId="7AF9F50D">
          <w:pPr>
            <w:rPr>
              <w:rFonts w:hint="eastAsia" w:cs="宋体" w:asciiTheme="minorEastAsia" w:hAnsiTheme="minorEastAsia" w:eastAsiaTheme="minorEastAsia"/>
              <w:bCs/>
              <w:color w:val="auto"/>
              <w:sz w:val="32"/>
              <w:szCs w:val="32"/>
              <w:highlight w:val="none"/>
            </w:rPr>
          </w:pPr>
          <w:r>
            <w:rPr>
              <w:rFonts w:hint="eastAsia" w:cs="宋体" w:asciiTheme="minorEastAsia" w:hAnsiTheme="minorEastAsia" w:eastAsiaTheme="minorEastAsia"/>
              <w:bCs/>
              <w:color w:val="auto"/>
              <w:szCs w:val="32"/>
              <w:highlight w:val="none"/>
            </w:rPr>
            <w:fldChar w:fldCharType="end"/>
          </w:r>
        </w:p>
      </w:sdtContent>
    </w:sdt>
    <w:p w14:paraId="7BB63B5C">
      <w:pPr>
        <w:pStyle w:val="22"/>
        <w:rPr>
          <w:rFonts w:hint="eastAsia" w:cs="宋体" w:asciiTheme="minorEastAsia" w:hAnsiTheme="minorEastAsia" w:eastAsiaTheme="minorEastAsia"/>
          <w:bCs/>
          <w:color w:val="auto"/>
          <w:sz w:val="32"/>
          <w:szCs w:val="32"/>
          <w:highlight w:val="none"/>
        </w:rPr>
      </w:pPr>
    </w:p>
    <w:p w14:paraId="2E821DE3">
      <w:pPr>
        <w:rPr>
          <w:rFonts w:hint="eastAsia" w:cs="宋体" w:asciiTheme="minorEastAsia" w:hAnsiTheme="minorEastAsia" w:eastAsiaTheme="minorEastAsia"/>
          <w:bCs/>
          <w:color w:val="auto"/>
          <w:sz w:val="32"/>
          <w:szCs w:val="32"/>
          <w:highlight w:val="none"/>
        </w:rPr>
      </w:pPr>
    </w:p>
    <w:p w14:paraId="4F19B0FE">
      <w:pPr>
        <w:pStyle w:val="22"/>
        <w:rPr>
          <w:rFonts w:hint="eastAsia" w:cs="宋体" w:asciiTheme="minorEastAsia" w:hAnsiTheme="minorEastAsia" w:eastAsiaTheme="minorEastAsia"/>
          <w:bCs/>
          <w:color w:val="auto"/>
          <w:sz w:val="32"/>
          <w:szCs w:val="32"/>
          <w:highlight w:val="none"/>
        </w:rPr>
      </w:pPr>
    </w:p>
    <w:p w14:paraId="3FFA37CF">
      <w:pPr>
        <w:rPr>
          <w:rFonts w:hint="eastAsia" w:cs="宋体" w:asciiTheme="minorEastAsia" w:hAnsiTheme="minorEastAsia" w:eastAsiaTheme="minorEastAsia"/>
          <w:bCs/>
          <w:color w:val="auto"/>
          <w:sz w:val="32"/>
          <w:szCs w:val="32"/>
          <w:highlight w:val="none"/>
        </w:rPr>
      </w:pPr>
    </w:p>
    <w:p w14:paraId="7893CE67">
      <w:pPr>
        <w:pStyle w:val="22"/>
        <w:rPr>
          <w:rFonts w:hint="eastAsia" w:cs="宋体" w:asciiTheme="minorEastAsia" w:hAnsiTheme="minorEastAsia" w:eastAsiaTheme="minorEastAsia"/>
          <w:bCs/>
          <w:color w:val="auto"/>
          <w:sz w:val="32"/>
          <w:szCs w:val="32"/>
          <w:highlight w:val="none"/>
        </w:rPr>
      </w:pPr>
    </w:p>
    <w:p w14:paraId="4D6D0E9E">
      <w:pPr>
        <w:rPr>
          <w:rFonts w:hint="eastAsia" w:cs="宋体" w:asciiTheme="minorEastAsia" w:hAnsiTheme="minorEastAsia" w:eastAsiaTheme="minorEastAsia"/>
          <w:bCs/>
          <w:color w:val="auto"/>
          <w:sz w:val="32"/>
          <w:szCs w:val="32"/>
          <w:highlight w:val="none"/>
        </w:rPr>
      </w:pPr>
    </w:p>
    <w:p w14:paraId="5281C08A">
      <w:pPr>
        <w:pStyle w:val="22"/>
        <w:rPr>
          <w:rFonts w:hint="eastAsia" w:cs="宋体" w:asciiTheme="minorEastAsia" w:hAnsiTheme="minorEastAsia" w:eastAsiaTheme="minorEastAsia"/>
          <w:bCs/>
          <w:color w:val="auto"/>
          <w:sz w:val="32"/>
          <w:szCs w:val="32"/>
          <w:highlight w:val="none"/>
        </w:rPr>
      </w:pPr>
    </w:p>
    <w:p w14:paraId="3A07E10F">
      <w:pPr>
        <w:rPr>
          <w:rFonts w:hint="eastAsia" w:cs="宋体" w:asciiTheme="minorEastAsia" w:hAnsiTheme="minorEastAsia" w:eastAsiaTheme="minorEastAsia"/>
          <w:bCs/>
          <w:color w:val="auto"/>
          <w:sz w:val="32"/>
          <w:szCs w:val="32"/>
          <w:highlight w:val="none"/>
        </w:rPr>
      </w:pPr>
    </w:p>
    <w:p w14:paraId="3DEB162E">
      <w:pPr>
        <w:pStyle w:val="22"/>
        <w:rPr>
          <w:rFonts w:hint="eastAsia" w:cs="宋体" w:asciiTheme="minorEastAsia" w:hAnsiTheme="minorEastAsia" w:eastAsiaTheme="minorEastAsia"/>
          <w:bCs/>
          <w:color w:val="auto"/>
          <w:sz w:val="32"/>
          <w:szCs w:val="32"/>
          <w:highlight w:val="none"/>
        </w:rPr>
      </w:pPr>
    </w:p>
    <w:p w14:paraId="755D8047">
      <w:pPr>
        <w:rPr>
          <w:rFonts w:hint="eastAsia" w:cs="宋体" w:asciiTheme="minorEastAsia" w:hAnsiTheme="minorEastAsia" w:eastAsiaTheme="minorEastAsia"/>
          <w:bCs/>
          <w:color w:val="auto"/>
          <w:sz w:val="32"/>
          <w:szCs w:val="32"/>
          <w:highlight w:val="none"/>
        </w:rPr>
      </w:pPr>
    </w:p>
    <w:p w14:paraId="23E3D6B1">
      <w:pPr>
        <w:pStyle w:val="22"/>
        <w:rPr>
          <w:rFonts w:hint="eastAsia" w:cs="宋体" w:asciiTheme="minorEastAsia" w:hAnsiTheme="minorEastAsia" w:eastAsiaTheme="minorEastAsia"/>
          <w:bCs/>
          <w:color w:val="auto"/>
          <w:sz w:val="32"/>
          <w:szCs w:val="32"/>
          <w:highlight w:val="none"/>
        </w:rPr>
      </w:pPr>
    </w:p>
    <w:p w14:paraId="03865751">
      <w:pPr>
        <w:rPr>
          <w:rFonts w:hint="eastAsia" w:cs="宋体" w:asciiTheme="minorEastAsia" w:hAnsiTheme="minorEastAsia" w:eastAsiaTheme="minorEastAsia"/>
          <w:bCs/>
          <w:color w:val="auto"/>
          <w:sz w:val="32"/>
          <w:szCs w:val="32"/>
          <w:highlight w:val="none"/>
        </w:rPr>
      </w:pPr>
    </w:p>
    <w:p w14:paraId="797DCD26">
      <w:pPr>
        <w:pStyle w:val="22"/>
        <w:rPr>
          <w:rFonts w:hint="eastAsia" w:cs="宋体" w:asciiTheme="minorEastAsia" w:hAnsiTheme="minorEastAsia" w:eastAsiaTheme="minorEastAsia"/>
          <w:bCs/>
          <w:color w:val="auto"/>
          <w:sz w:val="32"/>
          <w:szCs w:val="32"/>
          <w:highlight w:val="none"/>
        </w:rPr>
      </w:pPr>
    </w:p>
    <w:p w14:paraId="1C06C20E">
      <w:pPr>
        <w:rPr>
          <w:rFonts w:hint="eastAsia" w:cs="宋体" w:asciiTheme="minorEastAsia" w:hAnsiTheme="minorEastAsia" w:eastAsiaTheme="minorEastAsia"/>
          <w:bCs/>
          <w:color w:val="auto"/>
          <w:sz w:val="32"/>
          <w:szCs w:val="32"/>
          <w:highlight w:val="none"/>
        </w:rPr>
      </w:pPr>
    </w:p>
    <w:p w14:paraId="41CDE1A9">
      <w:pPr>
        <w:pStyle w:val="22"/>
        <w:rPr>
          <w:rFonts w:hint="eastAsia" w:cs="宋体" w:asciiTheme="minorEastAsia" w:hAnsiTheme="minorEastAsia" w:eastAsiaTheme="minorEastAsia"/>
          <w:bCs/>
          <w:color w:val="auto"/>
          <w:sz w:val="32"/>
          <w:szCs w:val="32"/>
          <w:highlight w:val="none"/>
        </w:rPr>
      </w:pPr>
    </w:p>
    <w:p w14:paraId="16F2B8ED">
      <w:pPr>
        <w:rPr>
          <w:rFonts w:hint="eastAsia" w:cs="宋体" w:asciiTheme="minorEastAsia" w:hAnsiTheme="minorEastAsia" w:eastAsiaTheme="minorEastAsia"/>
          <w:bCs/>
          <w:color w:val="auto"/>
          <w:sz w:val="32"/>
          <w:szCs w:val="32"/>
          <w:highlight w:val="none"/>
        </w:rPr>
      </w:pPr>
    </w:p>
    <w:p w14:paraId="26AF5556">
      <w:pPr>
        <w:pStyle w:val="22"/>
        <w:rPr>
          <w:rFonts w:hint="eastAsia" w:cs="宋体" w:asciiTheme="minorEastAsia" w:hAnsiTheme="minorEastAsia" w:eastAsiaTheme="minorEastAsia"/>
          <w:bCs/>
          <w:color w:val="auto"/>
          <w:sz w:val="32"/>
          <w:szCs w:val="32"/>
          <w:highlight w:val="none"/>
        </w:rPr>
      </w:pPr>
    </w:p>
    <w:p w14:paraId="0450E6FF">
      <w:pPr>
        <w:rPr>
          <w:rFonts w:hint="eastAsia" w:cs="宋体" w:asciiTheme="minorEastAsia" w:hAnsiTheme="minorEastAsia" w:eastAsiaTheme="minorEastAsia"/>
          <w:bCs/>
          <w:color w:val="auto"/>
          <w:sz w:val="32"/>
          <w:szCs w:val="32"/>
          <w:highlight w:val="none"/>
        </w:rPr>
      </w:pPr>
    </w:p>
    <w:p w14:paraId="1F530438">
      <w:pPr>
        <w:widowControl/>
        <w:shd w:val="clear"/>
        <w:wordWrap w:val="0"/>
        <w:spacing w:line="360" w:lineRule="auto"/>
        <w:jc w:val="left"/>
        <w:rPr>
          <w:rFonts w:ascii="宋体" w:hAnsi="宋体" w:eastAsia="宋体" w:cs="宋体"/>
          <w:color w:val="auto"/>
          <w:szCs w:val="21"/>
          <w:highlight w:val="none"/>
        </w:rPr>
      </w:pPr>
      <w:bookmarkStart w:id="22" w:name="_Toc378239348"/>
      <w:bookmarkStart w:id="23" w:name="_Toc26061"/>
      <w:bookmarkStart w:id="24" w:name="_Toc489145701"/>
      <w:bookmarkStart w:id="25" w:name="_Toc480817641"/>
      <w:bookmarkStart w:id="26" w:name="_Toc213908411"/>
      <w:bookmarkStart w:id="27" w:name="_Toc29379732"/>
    </w:p>
    <w:p w14:paraId="149B365E">
      <w:pPr>
        <w:pStyle w:val="2"/>
        <w:shd w:val="clear"/>
        <w:wordWrap w:val="0"/>
        <w:outlineLvl w:val="0"/>
        <w:rPr>
          <w:rFonts w:hint="eastAsia" w:ascii="黑体" w:hAnsi="黑体" w:eastAsia="黑体" w:cs="黑体"/>
          <w:b/>
          <w:bCs/>
          <w:color w:val="auto"/>
          <w:highlight w:val="none"/>
          <w:lang w:eastAsia="zh-CN"/>
        </w:rPr>
      </w:pPr>
      <w:bookmarkStart w:id="28" w:name="_Toc23057"/>
      <w:r>
        <w:rPr>
          <w:rFonts w:hint="eastAsia" w:ascii="黑体" w:hAnsi="黑体" w:eastAsia="黑体" w:cs="黑体"/>
          <w:b/>
          <w:bCs/>
          <w:color w:val="auto"/>
          <w:highlight w:val="none"/>
          <w:lang w:eastAsia="zh-CN"/>
        </w:rPr>
        <w:t xml:space="preserve">第一章 </w:t>
      </w:r>
      <w:bookmarkStart w:id="29" w:name="_Toc113483036"/>
      <w:bookmarkStart w:id="30" w:name="_Toc25684"/>
      <w:r>
        <w:rPr>
          <w:rFonts w:hint="eastAsia" w:ascii="黑体" w:hAnsi="黑体" w:eastAsia="黑体" w:cs="黑体"/>
          <w:b/>
          <w:bCs/>
          <w:color w:val="auto"/>
          <w:highlight w:val="none"/>
          <w:lang w:eastAsia="zh-CN"/>
        </w:rPr>
        <w:t>蒙自市公办义务教育阶段学校食堂大宗食材配送服务公开招标公告</w:t>
      </w:r>
      <w:bookmarkEnd w:id="28"/>
      <w:bookmarkEnd w:id="29"/>
      <w:bookmarkEnd w:id="30"/>
    </w:p>
    <w:p w14:paraId="3F9F9AD9">
      <w:pPr>
        <w:pBdr>
          <w:top w:val="single" w:color="auto" w:sz="4" w:space="1"/>
          <w:left w:val="single" w:color="auto" w:sz="4" w:space="4"/>
          <w:bottom w:val="single" w:color="auto" w:sz="4" w:space="1"/>
          <w:right w:val="single" w:color="auto" w:sz="4" w:space="4"/>
        </w:pBdr>
        <w:shd w:val="clear"/>
        <w:ind w:firstLine="420" w:firstLineChars="200"/>
        <w:rPr>
          <w:rFonts w:ascii="宋体" w:hAnsi="宋体"/>
          <w:color w:val="auto"/>
          <w:szCs w:val="21"/>
          <w:highlight w:val="none"/>
        </w:rPr>
      </w:pPr>
      <w:r>
        <w:rPr>
          <w:rFonts w:hint="eastAsia" w:ascii="宋体" w:hAnsi="宋体"/>
          <w:color w:val="auto"/>
          <w:szCs w:val="21"/>
          <w:highlight w:val="none"/>
        </w:rPr>
        <w:t>项目概况</w:t>
      </w:r>
    </w:p>
    <w:p w14:paraId="0C0FB36D">
      <w:pPr>
        <w:pBdr>
          <w:top w:val="single" w:color="auto" w:sz="4" w:space="1"/>
          <w:left w:val="single" w:color="auto" w:sz="4" w:space="4"/>
          <w:bottom w:val="single" w:color="auto" w:sz="4" w:space="1"/>
          <w:right w:val="single" w:color="auto" w:sz="4" w:space="4"/>
        </w:pBdr>
        <w:shd w:val="clear"/>
        <w:ind w:firstLine="420" w:firstLineChars="200"/>
        <w:rPr>
          <w:rFonts w:ascii="宋体" w:hAnsi="宋体"/>
          <w:color w:val="auto"/>
          <w:szCs w:val="21"/>
          <w:highlight w:val="none"/>
        </w:rPr>
      </w:pPr>
      <w:r>
        <w:rPr>
          <w:rFonts w:hint="eastAsia" w:ascii="宋体" w:hAnsi="宋体"/>
          <w:color w:val="auto"/>
          <w:szCs w:val="21"/>
          <w:highlight w:val="none"/>
          <w:lang w:eastAsia="zh-CN"/>
        </w:rPr>
        <w:t>蒙自市公办义务教育阶段学校食堂大宗食材配送服务</w:t>
      </w:r>
      <w:r>
        <w:rPr>
          <w:rFonts w:hint="eastAsia" w:ascii="宋体" w:hAnsi="宋体"/>
          <w:color w:val="auto"/>
          <w:szCs w:val="21"/>
          <w:highlight w:val="none"/>
        </w:rPr>
        <w:t>的潜在申请人应在</w:t>
      </w:r>
      <w:r>
        <w:rPr>
          <w:rFonts w:hint="eastAsia" w:ascii="宋体" w:hAnsi="宋体" w:eastAsia="宋体" w:cs="宋体"/>
          <w:bCs/>
          <w:color w:val="auto"/>
          <w:szCs w:val="21"/>
          <w:highlight w:val="none"/>
        </w:rPr>
        <w:t>政采云平台（https://www.zcygov.cn/）</w:t>
      </w:r>
      <w:r>
        <w:rPr>
          <w:rFonts w:hint="eastAsia" w:ascii="宋体" w:hAnsi="宋体"/>
          <w:color w:val="auto"/>
          <w:szCs w:val="21"/>
          <w:highlight w:val="none"/>
        </w:rPr>
        <w:t>获取招标文件，并于2024年</w:t>
      </w:r>
      <w:r>
        <w:rPr>
          <w:rFonts w:hint="eastAsia" w:ascii="宋体" w:hAnsi="宋体"/>
          <w:color w:val="auto"/>
          <w:szCs w:val="21"/>
          <w:highlight w:val="none"/>
          <w:lang w:val="en-US" w:eastAsia="zh-CN"/>
        </w:rPr>
        <w:t>10</w:t>
      </w:r>
      <w:r>
        <w:rPr>
          <w:rFonts w:hint="eastAsia" w:ascii="宋体" w:hAnsi="宋体"/>
          <w:color w:val="auto"/>
          <w:szCs w:val="21"/>
          <w:highlight w:val="none"/>
        </w:rPr>
        <w:t>月</w:t>
      </w:r>
      <w:r>
        <w:rPr>
          <w:rFonts w:hint="eastAsia" w:ascii="宋体" w:hAnsi="宋体"/>
          <w:color w:val="auto"/>
          <w:szCs w:val="21"/>
          <w:highlight w:val="none"/>
          <w:lang w:val="en-US" w:eastAsia="zh-CN"/>
        </w:rPr>
        <w:t>11</w:t>
      </w:r>
      <w:r>
        <w:rPr>
          <w:rFonts w:hint="eastAsia" w:ascii="宋体" w:hAnsi="宋体"/>
          <w:color w:val="auto"/>
          <w:szCs w:val="21"/>
          <w:highlight w:val="none"/>
        </w:rPr>
        <w:t>日09点00分（北京时间）前提交申请文件。</w:t>
      </w:r>
    </w:p>
    <w:p w14:paraId="3C30790D">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31" w:name="_Toc28359079"/>
      <w:bookmarkStart w:id="32" w:name="_Toc35393790"/>
      <w:bookmarkStart w:id="33" w:name="_Toc25078"/>
      <w:bookmarkStart w:id="34" w:name="_Toc11348"/>
      <w:bookmarkStart w:id="35" w:name="_Toc3842"/>
      <w:bookmarkStart w:id="36" w:name="_Toc35393621"/>
      <w:bookmarkStart w:id="37" w:name="_Toc28359002"/>
      <w:bookmarkStart w:id="38" w:name="_Hlk24379207"/>
      <w:r>
        <w:rPr>
          <w:rFonts w:hint="eastAsia" w:ascii="黑体" w:hAnsi="黑体" w:eastAsia="黑体" w:cs="黑体"/>
          <w:b/>
          <w:bCs w:val="0"/>
          <w:color w:val="auto"/>
          <w:sz w:val="22"/>
          <w:szCs w:val="22"/>
          <w:highlight w:val="none"/>
        </w:rPr>
        <w:t>一、项目基本情况</w:t>
      </w:r>
      <w:bookmarkEnd w:id="31"/>
      <w:bookmarkEnd w:id="32"/>
      <w:bookmarkEnd w:id="33"/>
      <w:bookmarkEnd w:id="34"/>
      <w:bookmarkEnd w:id="35"/>
      <w:bookmarkEnd w:id="36"/>
      <w:bookmarkEnd w:id="37"/>
    </w:p>
    <w:p w14:paraId="5BE92E2E">
      <w:pPr>
        <w:shd w:val="clear"/>
        <w:wordWrap w:val="0"/>
        <w:ind w:firstLine="440" w:firstLineChars="200"/>
        <w:outlineLvl w:val="2"/>
        <w:rPr>
          <w:rFonts w:ascii="宋体" w:hAnsi="宋体" w:eastAsia="宋体" w:cs="宋体"/>
          <w:bCs/>
          <w:color w:val="auto"/>
          <w:sz w:val="22"/>
          <w:szCs w:val="22"/>
          <w:highlight w:val="none"/>
        </w:rPr>
      </w:pPr>
      <w:bookmarkStart w:id="39" w:name="_Toc31318"/>
      <w:r>
        <w:rPr>
          <w:rFonts w:hint="eastAsia" w:ascii="黑体" w:hAnsi="黑体" w:eastAsia="黑体" w:cs="黑体"/>
          <w:bCs/>
          <w:color w:val="auto"/>
          <w:sz w:val="22"/>
          <w:szCs w:val="22"/>
          <w:highlight w:val="none"/>
        </w:rPr>
        <w:t>1.项目编号：</w:t>
      </w:r>
      <w:bookmarkEnd w:id="39"/>
      <w:bookmarkStart w:id="40" w:name="OLE_LINK5"/>
      <w:r>
        <w:rPr>
          <w:rFonts w:hint="eastAsia" w:ascii="宋体" w:hAnsi="宋体" w:cs="宋体"/>
          <w:bCs/>
          <w:color w:val="auto"/>
          <w:sz w:val="22"/>
          <w:szCs w:val="22"/>
          <w:highlight w:val="none"/>
          <w:lang w:val="en-US" w:eastAsia="zh-CN"/>
        </w:rPr>
        <w:t>HHG2024009</w:t>
      </w:r>
      <w:bookmarkEnd w:id="40"/>
    </w:p>
    <w:p w14:paraId="7978FC0A">
      <w:pPr>
        <w:shd w:val="clear"/>
        <w:wordWrap w:val="0"/>
        <w:ind w:firstLine="440" w:firstLineChars="200"/>
        <w:outlineLvl w:val="2"/>
        <w:rPr>
          <w:rFonts w:ascii="宋体" w:hAnsi="宋体" w:eastAsia="宋体" w:cs="宋体"/>
          <w:bCs/>
          <w:color w:val="auto"/>
          <w:sz w:val="22"/>
          <w:szCs w:val="22"/>
          <w:highlight w:val="none"/>
        </w:rPr>
      </w:pPr>
      <w:bookmarkStart w:id="41" w:name="_Toc27807"/>
      <w:bookmarkStart w:id="42" w:name="_Toc19821"/>
      <w:r>
        <w:rPr>
          <w:rFonts w:hint="eastAsia" w:ascii="黑体" w:hAnsi="黑体" w:eastAsia="黑体" w:cs="黑体"/>
          <w:bCs/>
          <w:color w:val="auto"/>
          <w:sz w:val="22"/>
          <w:szCs w:val="22"/>
          <w:highlight w:val="none"/>
          <w:lang w:val="en-US" w:eastAsia="zh-CN"/>
        </w:rPr>
        <w:t>2.</w:t>
      </w:r>
      <w:r>
        <w:rPr>
          <w:rFonts w:hint="eastAsia" w:ascii="黑体" w:hAnsi="黑体" w:eastAsia="黑体" w:cs="黑体"/>
          <w:bCs/>
          <w:color w:val="auto"/>
          <w:sz w:val="22"/>
          <w:szCs w:val="22"/>
          <w:highlight w:val="none"/>
        </w:rPr>
        <w:t>项目名称：</w:t>
      </w:r>
      <w:bookmarkEnd w:id="41"/>
      <w:bookmarkStart w:id="43" w:name="_Toc29887"/>
      <w:bookmarkStart w:id="44" w:name="_Toc16581"/>
      <w:r>
        <w:rPr>
          <w:rFonts w:hint="eastAsia" w:ascii="宋体" w:hAnsi="宋体" w:eastAsia="宋体" w:cs="宋体"/>
          <w:bCs/>
          <w:color w:val="auto"/>
          <w:sz w:val="22"/>
          <w:szCs w:val="22"/>
          <w:highlight w:val="none"/>
          <w:lang w:eastAsia="zh-CN"/>
        </w:rPr>
        <w:t>蒙自市公办义务教育阶段学校食堂大宗食材配送服务</w:t>
      </w:r>
      <w:r>
        <w:rPr>
          <w:rFonts w:hint="eastAsia" w:ascii="宋体" w:hAnsi="宋体" w:eastAsia="宋体" w:cs="宋体"/>
          <w:bCs/>
          <w:color w:val="auto"/>
          <w:sz w:val="22"/>
          <w:szCs w:val="22"/>
          <w:highlight w:val="none"/>
        </w:rPr>
        <w:t>。</w:t>
      </w:r>
      <w:bookmarkEnd w:id="42"/>
      <w:bookmarkEnd w:id="43"/>
      <w:bookmarkEnd w:id="44"/>
    </w:p>
    <w:p w14:paraId="77A2E3A4">
      <w:pPr>
        <w:shd w:val="clear"/>
        <w:wordWrap w:val="0"/>
        <w:ind w:firstLine="440" w:firstLineChars="200"/>
        <w:outlineLvl w:val="2"/>
        <w:rPr>
          <w:rFonts w:hint="eastAsia" w:ascii="黑体" w:hAnsi="黑体" w:eastAsia="黑体" w:cs="黑体"/>
          <w:bCs/>
          <w:color w:val="auto"/>
          <w:sz w:val="22"/>
          <w:szCs w:val="22"/>
          <w:highlight w:val="none"/>
        </w:rPr>
      </w:pPr>
      <w:bookmarkStart w:id="45" w:name="_Toc17276"/>
      <w:bookmarkStart w:id="46" w:name="_Toc17312"/>
      <w:r>
        <w:rPr>
          <w:rFonts w:hint="eastAsia" w:ascii="黑体" w:hAnsi="黑体" w:eastAsia="黑体" w:cs="黑体"/>
          <w:bCs/>
          <w:color w:val="auto"/>
          <w:sz w:val="22"/>
          <w:szCs w:val="22"/>
          <w:highlight w:val="none"/>
          <w:lang w:val="en-US" w:eastAsia="zh-CN"/>
        </w:rPr>
        <w:t>3.</w:t>
      </w:r>
      <w:r>
        <w:rPr>
          <w:rFonts w:hint="eastAsia" w:ascii="黑体" w:hAnsi="黑体" w:eastAsia="黑体" w:cs="黑体"/>
          <w:bCs/>
          <w:color w:val="auto"/>
          <w:sz w:val="22"/>
          <w:szCs w:val="22"/>
          <w:highlight w:val="none"/>
        </w:rPr>
        <w:t>采购需求：</w:t>
      </w:r>
      <w:bookmarkEnd w:id="45"/>
      <w:bookmarkEnd w:id="46"/>
    </w:p>
    <w:tbl>
      <w:tblPr>
        <w:tblStyle w:val="4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80"/>
        <w:gridCol w:w="740"/>
        <w:gridCol w:w="724"/>
        <w:gridCol w:w="853"/>
        <w:gridCol w:w="991"/>
        <w:gridCol w:w="724"/>
        <w:gridCol w:w="672"/>
        <w:gridCol w:w="939"/>
        <w:gridCol w:w="957"/>
        <w:gridCol w:w="707"/>
        <w:gridCol w:w="672"/>
        <w:gridCol w:w="932"/>
      </w:tblGrid>
      <w:tr w14:paraId="2A4B7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2" w:type="pct"/>
            <w:gridSpan w:val="4"/>
            <w:tcBorders>
              <w:top w:val="single" w:color="000000" w:sz="4" w:space="0"/>
              <w:left w:val="single" w:color="000000" w:sz="4" w:space="0"/>
              <w:bottom w:val="single" w:color="000000" w:sz="4" w:space="0"/>
              <w:right w:val="single" w:color="000000" w:sz="4" w:space="0"/>
            </w:tcBorders>
            <w:noWrap/>
            <w:vAlign w:val="center"/>
          </w:tcPr>
          <w:p w14:paraId="4CDA918B">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cs="宋体"/>
                <w:b/>
                <w:bCs/>
                <w:i w:val="0"/>
                <w:iCs w:val="0"/>
                <w:color w:val="auto"/>
                <w:kern w:val="0"/>
                <w:sz w:val="22"/>
                <w:szCs w:val="22"/>
                <w:highlight w:val="none"/>
                <w:u w:val="none"/>
                <w:lang w:val="en-US" w:eastAsia="zh-CN" w:bidi="ar"/>
              </w:rPr>
              <w:t>1</w:t>
            </w:r>
            <w:r>
              <w:rPr>
                <w:rFonts w:hint="eastAsia" w:ascii="宋体" w:hAnsi="宋体" w:eastAsia="宋体" w:cs="宋体"/>
                <w:b/>
                <w:bCs/>
                <w:i w:val="0"/>
                <w:iCs w:val="0"/>
                <w:color w:val="auto"/>
                <w:kern w:val="0"/>
                <w:sz w:val="22"/>
                <w:szCs w:val="22"/>
                <w:highlight w:val="none"/>
                <w:u w:val="none"/>
                <w:lang w:val="en-US" w:eastAsia="zh-CN" w:bidi="ar"/>
              </w:rPr>
              <w:t>标段</w:t>
            </w:r>
          </w:p>
        </w:tc>
        <w:tc>
          <w:tcPr>
            <w:tcW w:w="1698" w:type="pct"/>
            <w:gridSpan w:val="4"/>
            <w:tcBorders>
              <w:top w:val="single" w:color="000000" w:sz="4" w:space="0"/>
              <w:left w:val="single" w:color="000000" w:sz="4" w:space="0"/>
              <w:bottom w:val="single" w:color="000000" w:sz="4" w:space="0"/>
              <w:right w:val="single" w:color="000000" w:sz="4" w:space="0"/>
            </w:tcBorders>
            <w:noWrap/>
            <w:vAlign w:val="center"/>
          </w:tcPr>
          <w:p w14:paraId="1F7BA2D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cs="宋体"/>
                <w:b/>
                <w:bCs/>
                <w:i w:val="0"/>
                <w:iCs w:val="0"/>
                <w:color w:val="auto"/>
                <w:kern w:val="0"/>
                <w:sz w:val="22"/>
                <w:szCs w:val="22"/>
                <w:highlight w:val="none"/>
                <w:u w:val="none"/>
                <w:lang w:val="en-US" w:eastAsia="zh-CN" w:bidi="ar"/>
              </w:rPr>
              <w:t>2</w:t>
            </w:r>
            <w:r>
              <w:rPr>
                <w:rFonts w:hint="eastAsia" w:ascii="宋体" w:hAnsi="宋体" w:eastAsia="宋体" w:cs="宋体"/>
                <w:b/>
                <w:bCs/>
                <w:i w:val="0"/>
                <w:iCs w:val="0"/>
                <w:color w:val="auto"/>
                <w:kern w:val="0"/>
                <w:sz w:val="22"/>
                <w:szCs w:val="22"/>
                <w:highlight w:val="none"/>
                <w:u w:val="none"/>
                <w:lang w:val="en-US" w:eastAsia="zh-CN" w:bidi="ar"/>
              </w:rPr>
              <w:t>标段</w:t>
            </w:r>
          </w:p>
        </w:tc>
        <w:tc>
          <w:tcPr>
            <w:tcW w:w="1668" w:type="pct"/>
            <w:gridSpan w:val="4"/>
            <w:tcBorders>
              <w:top w:val="single" w:color="000000" w:sz="4" w:space="0"/>
              <w:left w:val="single" w:color="000000" w:sz="4" w:space="0"/>
              <w:bottom w:val="single" w:color="000000" w:sz="4" w:space="0"/>
              <w:right w:val="single" w:color="000000" w:sz="4" w:space="0"/>
            </w:tcBorders>
            <w:noWrap/>
            <w:vAlign w:val="center"/>
          </w:tcPr>
          <w:p w14:paraId="18BE2935">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cs="宋体"/>
                <w:b/>
                <w:bCs/>
                <w:i w:val="0"/>
                <w:iCs w:val="0"/>
                <w:color w:val="auto"/>
                <w:kern w:val="0"/>
                <w:sz w:val="22"/>
                <w:szCs w:val="22"/>
                <w:highlight w:val="none"/>
                <w:u w:val="none"/>
                <w:lang w:val="en-US" w:eastAsia="zh-CN" w:bidi="ar"/>
              </w:rPr>
              <w:t>3</w:t>
            </w:r>
            <w:r>
              <w:rPr>
                <w:rFonts w:hint="eastAsia" w:ascii="宋体" w:hAnsi="宋体" w:eastAsia="宋体" w:cs="宋体"/>
                <w:b/>
                <w:bCs/>
                <w:i w:val="0"/>
                <w:iCs w:val="0"/>
                <w:color w:val="auto"/>
                <w:kern w:val="0"/>
                <w:sz w:val="22"/>
                <w:szCs w:val="22"/>
                <w:highlight w:val="none"/>
                <w:u w:val="none"/>
                <w:lang w:val="en-US" w:eastAsia="zh-CN" w:bidi="ar"/>
              </w:rPr>
              <w:t>标段</w:t>
            </w:r>
          </w:p>
        </w:tc>
      </w:tr>
      <w:tr w14:paraId="7D6AB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9"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0DC5F62C">
            <w:pPr>
              <w:keepNext w:val="0"/>
              <w:keepLines w:val="0"/>
              <w:widowControl/>
              <w:suppressLineNumbers w:val="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学校名称</w:t>
            </w: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3D83320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在校学生人数</w:t>
            </w: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6E971F4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寄宿生人数</w:t>
            </w:r>
          </w:p>
        </w:tc>
        <w:tc>
          <w:tcPr>
            <w:tcW w:w="435" w:type="pct"/>
            <w:tcBorders>
              <w:top w:val="single" w:color="000000" w:sz="4" w:space="0"/>
              <w:left w:val="single" w:color="000000" w:sz="4" w:space="0"/>
              <w:bottom w:val="single" w:color="000000" w:sz="4" w:space="0"/>
              <w:right w:val="single" w:color="000000" w:sz="4" w:space="0"/>
            </w:tcBorders>
            <w:noWrap w:val="0"/>
            <w:vAlign w:val="center"/>
          </w:tcPr>
          <w:p w14:paraId="425963C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年度预算（万元）</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691B36B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学校名称</w:t>
            </w: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015980E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在校学生人数</w:t>
            </w:r>
          </w:p>
        </w:tc>
        <w:tc>
          <w:tcPr>
            <w:tcW w:w="343" w:type="pct"/>
            <w:tcBorders>
              <w:top w:val="single" w:color="000000" w:sz="4" w:space="0"/>
              <w:left w:val="single" w:color="000000" w:sz="4" w:space="0"/>
              <w:bottom w:val="single" w:color="000000" w:sz="4" w:space="0"/>
              <w:right w:val="single" w:color="000000" w:sz="4" w:space="0"/>
            </w:tcBorders>
            <w:noWrap w:val="0"/>
            <w:vAlign w:val="center"/>
          </w:tcPr>
          <w:p w14:paraId="18568AC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寄宿生人数</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DA81B3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年度预算（万元）</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61B013A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学校名称</w:t>
            </w:r>
          </w:p>
        </w:tc>
        <w:tc>
          <w:tcPr>
            <w:tcW w:w="360" w:type="pct"/>
            <w:tcBorders>
              <w:top w:val="single" w:color="000000" w:sz="4" w:space="0"/>
              <w:left w:val="single" w:color="000000" w:sz="4" w:space="0"/>
              <w:bottom w:val="single" w:color="000000" w:sz="4" w:space="0"/>
              <w:right w:val="single" w:color="000000" w:sz="4" w:space="0"/>
            </w:tcBorders>
            <w:noWrap w:val="0"/>
            <w:vAlign w:val="center"/>
          </w:tcPr>
          <w:p w14:paraId="3FE508A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在校学生人数</w:t>
            </w:r>
          </w:p>
        </w:tc>
        <w:tc>
          <w:tcPr>
            <w:tcW w:w="343" w:type="pct"/>
            <w:tcBorders>
              <w:top w:val="single" w:color="000000" w:sz="4" w:space="0"/>
              <w:left w:val="single" w:color="000000" w:sz="4" w:space="0"/>
              <w:bottom w:val="single" w:color="000000" w:sz="4" w:space="0"/>
              <w:right w:val="single" w:color="000000" w:sz="4" w:space="0"/>
            </w:tcBorders>
            <w:noWrap w:val="0"/>
            <w:vAlign w:val="center"/>
          </w:tcPr>
          <w:p w14:paraId="2B4F8F5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寄宿生人数</w:t>
            </w:r>
          </w:p>
        </w:tc>
        <w:tc>
          <w:tcPr>
            <w:tcW w:w="475" w:type="pct"/>
            <w:tcBorders>
              <w:top w:val="single" w:color="000000" w:sz="4" w:space="0"/>
              <w:left w:val="single" w:color="000000" w:sz="4" w:space="0"/>
              <w:bottom w:val="single" w:color="000000" w:sz="4" w:space="0"/>
              <w:right w:val="single" w:color="000000" w:sz="4" w:space="0"/>
            </w:tcBorders>
            <w:noWrap w:val="0"/>
            <w:vAlign w:val="center"/>
          </w:tcPr>
          <w:p w14:paraId="29A505E6">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年度预算（万元）</w:t>
            </w:r>
          </w:p>
        </w:tc>
      </w:tr>
      <w:tr w14:paraId="4F457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54BC59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老寨中学</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2D8634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463</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04731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379</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697935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100.69</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662410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水田中学</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4BB92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123</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7BFCED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123</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53673C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50.00</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69F452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文澜中心学校</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53A1B6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2970</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3B8AD7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116</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32243B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380.00</w:t>
            </w:r>
          </w:p>
        </w:tc>
      </w:tr>
      <w:tr w14:paraId="18FBF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504B19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老寨中心学校</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4C0FB7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990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BF9D8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761</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92170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209.67</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5CE84C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水田中心校</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C7265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390</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4A0DAD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306</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60F79F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92.00</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7E1917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特殊教育学校</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702E77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12AE0D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687F2D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w:t>
            </w:r>
          </w:p>
        </w:tc>
      </w:tr>
      <w:tr w14:paraId="6E155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45AF04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芷村中学</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5010B7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1357</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1FAAF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1138</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27A9E4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285.00</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4A591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冷泉中学</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CF670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752</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5937D0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722</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56394C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181.62</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4751DD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草坝中心校</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33AA2D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2998</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341D17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333EFA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338.32</w:t>
            </w:r>
          </w:p>
        </w:tc>
      </w:tr>
      <w:tr w14:paraId="37573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27F26B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芷村中心学校</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1DF2FC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2691</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2BC9A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1548</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2BF82F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510.70</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8A1AB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冷泉中心学校</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98BD9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1534</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5B6DD9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1208</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36BEF3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360.00</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31E483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草坝中学</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3A65AD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1790</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61244E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1369</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01A2D4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405.00</w:t>
            </w:r>
          </w:p>
        </w:tc>
      </w:tr>
      <w:tr w14:paraId="717F6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721D8A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鸣鹫中心学校</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19CB37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1804</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5C1EA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814</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310D6E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380.00</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53007A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新安所中学</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65647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1108</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219AEF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561</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165B4A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168.00</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53BE83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西北勒中心学校</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1F9604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936</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1CDB06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791</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14FE37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238.00</w:t>
            </w:r>
          </w:p>
        </w:tc>
      </w:tr>
      <w:tr w14:paraId="36385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5976AA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鸣鹫中学</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1BEB4E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931</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29B7C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885</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25AC0A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186.00</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2ED500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新安所中心校</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ECD5E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2765</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73790C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135</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413B1B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167.02</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31C7D3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雨过铺中心校</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2EF94A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2191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55F9A1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149EFB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270.08</w:t>
            </w:r>
          </w:p>
        </w:tc>
      </w:tr>
      <w:tr w14:paraId="27120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1536DE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多法勒中学</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0F31DE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765</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75836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294</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2F95C8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260.00</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30FD0B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期路白中心学校</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DBFC8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1161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0D4CE1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1097</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2E9AE3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305.00</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3C6112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雨过铺中学</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00EBC4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1023</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7BFFE3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924</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747906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330.00</w:t>
            </w:r>
          </w:p>
        </w:tc>
      </w:tr>
      <w:tr w14:paraId="71CE8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150E8C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观澜中心学校</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40EE5E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2651</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21BDD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5511C4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346.50</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17C00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团结小学</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B83CF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4423</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7AFB53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336E51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583.86</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0E6AA4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蒙自六中</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2369E0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0FB6A2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1BD847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w:t>
            </w:r>
          </w:p>
        </w:tc>
      </w:tr>
      <w:tr w14:paraId="1D01A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43C03B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蒙自三中</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5D0DC9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3393</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7E015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684</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7E5957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660.00</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08C2C1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蒙自二中</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8BE7F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3313</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3EDCDC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430</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10C518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869.64</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06B5CD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蒙自五中</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62F8F6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3173</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17069F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1324</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6E5995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859.80</w:t>
            </w:r>
          </w:p>
        </w:tc>
      </w:tr>
      <w:tr w14:paraId="253A1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9" w:type="pct"/>
            <w:tcBorders>
              <w:top w:val="single" w:color="000000" w:sz="4" w:space="0"/>
              <w:left w:val="single" w:color="000000" w:sz="4" w:space="0"/>
              <w:bottom w:val="single" w:color="000000" w:sz="4" w:space="0"/>
              <w:right w:val="single" w:color="000000" w:sz="4" w:space="0"/>
            </w:tcBorders>
            <w:noWrap/>
            <w:vAlign w:val="center"/>
          </w:tcPr>
          <w:p w14:paraId="0F2A6C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1A9E87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15045</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E4560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6503</w:t>
            </w: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2EEB53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2938.56</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521231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318A4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15569</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2C9E53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4582</w:t>
            </w:r>
          </w:p>
        </w:tc>
        <w:tc>
          <w:tcPr>
            <w:tcW w:w="479" w:type="pct"/>
            <w:tcBorders>
              <w:top w:val="single" w:color="000000" w:sz="4" w:space="0"/>
              <w:left w:val="single" w:color="000000" w:sz="4" w:space="0"/>
              <w:bottom w:val="single" w:color="000000" w:sz="4" w:space="0"/>
              <w:right w:val="single" w:color="000000" w:sz="4" w:space="0"/>
            </w:tcBorders>
            <w:noWrap/>
            <w:vAlign w:val="center"/>
          </w:tcPr>
          <w:p w14:paraId="39B7F2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2777.14</w:t>
            </w:r>
          </w:p>
        </w:tc>
        <w:tc>
          <w:tcPr>
            <w:tcW w:w="488" w:type="pct"/>
            <w:tcBorders>
              <w:top w:val="single" w:color="000000" w:sz="4" w:space="0"/>
              <w:left w:val="single" w:color="000000" w:sz="4" w:space="0"/>
              <w:bottom w:val="single" w:color="000000" w:sz="4" w:space="0"/>
              <w:right w:val="single" w:color="000000" w:sz="4" w:space="0"/>
            </w:tcBorders>
            <w:noWrap/>
            <w:vAlign w:val="center"/>
          </w:tcPr>
          <w:p w14:paraId="3EE914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360" w:type="pct"/>
            <w:tcBorders>
              <w:top w:val="single" w:color="000000" w:sz="4" w:space="0"/>
              <w:left w:val="single" w:color="000000" w:sz="4" w:space="0"/>
              <w:bottom w:val="single" w:color="000000" w:sz="4" w:space="0"/>
              <w:right w:val="single" w:color="000000" w:sz="4" w:space="0"/>
            </w:tcBorders>
            <w:noWrap/>
            <w:vAlign w:val="center"/>
          </w:tcPr>
          <w:p w14:paraId="1C87BE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15158</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405C03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4551</w:t>
            </w:r>
          </w:p>
        </w:tc>
        <w:tc>
          <w:tcPr>
            <w:tcW w:w="475" w:type="pct"/>
            <w:tcBorders>
              <w:top w:val="single" w:color="000000" w:sz="4" w:space="0"/>
              <w:left w:val="single" w:color="000000" w:sz="4" w:space="0"/>
              <w:bottom w:val="single" w:color="000000" w:sz="4" w:space="0"/>
              <w:right w:val="single" w:color="000000" w:sz="4" w:space="0"/>
            </w:tcBorders>
            <w:noWrap/>
            <w:vAlign w:val="center"/>
          </w:tcPr>
          <w:p w14:paraId="5AB069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2851.2</w:t>
            </w:r>
          </w:p>
        </w:tc>
      </w:tr>
      <w:tr w14:paraId="64F14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12"/>
            <w:tcBorders>
              <w:top w:val="single" w:color="000000" w:sz="4" w:space="0"/>
              <w:left w:val="single" w:color="000000" w:sz="4" w:space="0"/>
              <w:bottom w:val="single" w:color="000000" w:sz="4" w:space="0"/>
              <w:right w:val="single" w:color="000000" w:sz="4" w:space="0"/>
            </w:tcBorders>
            <w:noWrap w:val="0"/>
            <w:vAlign w:val="center"/>
          </w:tcPr>
          <w:p w14:paraId="6612E974">
            <w:pPr>
              <w:keepNext w:val="0"/>
              <w:keepLines w:val="0"/>
              <w:widowControl/>
              <w:suppressLineNumbers w:val="0"/>
              <w:jc w:val="left"/>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备注：1.在校学生及寄宿学生数据取自202</w:t>
            </w:r>
            <w:r>
              <w:rPr>
                <w:rFonts w:hint="eastAsia" w:ascii="宋体" w:hAnsi="宋体" w:cs="宋体"/>
                <w:b/>
                <w:bCs/>
                <w:i w:val="0"/>
                <w:iCs w:val="0"/>
                <w:color w:val="auto"/>
                <w:kern w:val="0"/>
                <w:sz w:val="22"/>
                <w:szCs w:val="22"/>
                <w:highlight w:val="none"/>
                <w:u w:val="none"/>
                <w:lang w:val="en-US" w:eastAsia="zh-CN" w:bidi="ar"/>
              </w:rPr>
              <w:t>3</w:t>
            </w:r>
            <w:r>
              <w:rPr>
                <w:rFonts w:hint="eastAsia" w:ascii="宋体" w:hAnsi="宋体" w:eastAsia="宋体" w:cs="宋体"/>
                <w:b/>
                <w:bCs/>
                <w:i w:val="0"/>
                <w:iCs w:val="0"/>
                <w:color w:val="auto"/>
                <w:kern w:val="0"/>
                <w:sz w:val="22"/>
                <w:szCs w:val="22"/>
                <w:highlight w:val="none"/>
                <w:u w:val="none"/>
                <w:lang w:val="en-US" w:eastAsia="zh-CN" w:bidi="ar"/>
              </w:rPr>
              <w:t>至202</w:t>
            </w:r>
            <w:r>
              <w:rPr>
                <w:rFonts w:hint="eastAsia" w:ascii="宋体" w:hAnsi="宋体" w:cs="宋体"/>
                <w:b/>
                <w:bCs/>
                <w:i w:val="0"/>
                <w:iCs w:val="0"/>
                <w:color w:val="auto"/>
                <w:kern w:val="0"/>
                <w:sz w:val="22"/>
                <w:szCs w:val="22"/>
                <w:highlight w:val="none"/>
                <w:u w:val="none"/>
                <w:lang w:val="en-US" w:eastAsia="zh-CN" w:bidi="ar"/>
              </w:rPr>
              <w:t>4</w:t>
            </w:r>
            <w:r>
              <w:rPr>
                <w:rFonts w:hint="eastAsia" w:ascii="宋体" w:hAnsi="宋体" w:eastAsia="宋体" w:cs="宋体"/>
                <w:b/>
                <w:bCs/>
                <w:i w:val="0"/>
                <w:iCs w:val="0"/>
                <w:color w:val="auto"/>
                <w:kern w:val="0"/>
                <w:sz w:val="22"/>
                <w:szCs w:val="22"/>
                <w:highlight w:val="none"/>
                <w:u w:val="none"/>
                <w:lang w:val="en-US" w:eastAsia="zh-CN" w:bidi="ar"/>
              </w:rPr>
              <w:t>学年教育事业统计；</w:t>
            </w:r>
          </w:p>
          <w:p w14:paraId="04B3816F">
            <w:pPr>
              <w:keepNext w:val="0"/>
              <w:keepLines w:val="0"/>
              <w:widowControl/>
              <w:suppressLineNumbers w:val="0"/>
              <w:jc w:val="left"/>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 xml:space="preserve">      2.年度预算金额为学校食堂大宗食材年度预计采购金额，以学校食堂实际验收结算数据为准； </w:t>
            </w:r>
          </w:p>
          <w:p w14:paraId="510EDA9E">
            <w:pPr>
              <w:keepNext w:val="0"/>
              <w:keepLines w:val="0"/>
              <w:widowControl/>
              <w:suppressLineNumbers w:val="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 xml:space="preserve">      3.因政策调整和变更等因素，采购人有权调整各配送区域内的计划供应学生人数及采购配送资金预算。  </w:t>
            </w:r>
          </w:p>
        </w:tc>
      </w:tr>
    </w:tbl>
    <w:p w14:paraId="0E65EA4E">
      <w:pPr>
        <w:spacing w:line="360" w:lineRule="auto"/>
        <w:ind w:firstLine="440" w:firstLineChars="200"/>
        <w:rPr>
          <w:rFonts w:hint="eastAsia" w:ascii="Times New Roman" w:hAnsi="Times New Roman" w:cs="Times New Roman"/>
          <w:color w:val="auto"/>
          <w:sz w:val="22"/>
          <w:szCs w:val="22"/>
          <w:highlight w:val="none"/>
        </w:rPr>
      </w:pPr>
      <w:bookmarkStart w:id="47" w:name="_Toc17972"/>
      <w:r>
        <w:rPr>
          <w:rFonts w:hint="eastAsia" w:ascii="宋体" w:hAnsi="宋体" w:eastAsia="宋体" w:cs="宋体"/>
          <w:bCs/>
          <w:color w:val="auto"/>
          <w:sz w:val="22"/>
          <w:szCs w:val="22"/>
          <w:highlight w:val="none"/>
          <w:lang w:val="en-US" w:eastAsia="zh-CN"/>
        </w:rPr>
        <w:t>3.</w:t>
      </w:r>
      <w:r>
        <w:rPr>
          <w:rFonts w:hint="eastAsia" w:ascii="宋体" w:hAnsi="宋体" w:cs="宋体"/>
          <w:color w:val="auto"/>
          <w:sz w:val="22"/>
          <w:szCs w:val="22"/>
          <w:highlight w:val="none"/>
        </w:rPr>
        <w:t>1</w:t>
      </w:r>
      <w:r>
        <w:rPr>
          <w:rFonts w:hint="eastAsia" w:ascii="Times New Roman" w:hAnsi="Times New Roman" w:cs="Times New Roman"/>
          <w:color w:val="auto"/>
          <w:sz w:val="22"/>
          <w:szCs w:val="22"/>
          <w:highlight w:val="none"/>
        </w:rPr>
        <w:t>本项目采购</w:t>
      </w:r>
      <w:r>
        <w:rPr>
          <w:rFonts w:hint="eastAsia" w:ascii="Times New Roman" w:hAnsi="Times New Roman" w:cs="Times New Roman"/>
          <w:color w:val="auto"/>
          <w:sz w:val="22"/>
          <w:szCs w:val="22"/>
          <w:highlight w:val="none"/>
          <w:lang w:eastAsia="zh-CN"/>
        </w:rPr>
        <w:t>人为：</w:t>
      </w:r>
      <w:r>
        <w:rPr>
          <w:rFonts w:hint="eastAsia" w:cs="Times New Roman"/>
          <w:color w:val="auto"/>
          <w:sz w:val="22"/>
          <w:szCs w:val="22"/>
          <w:highlight w:val="none"/>
          <w:lang w:eastAsia="zh-CN"/>
        </w:rPr>
        <w:t>各标段内</w:t>
      </w:r>
      <w:r>
        <w:rPr>
          <w:rFonts w:hint="eastAsia" w:ascii="Times New Roman" w:hAnsi="Times New Roman" w:cs="Times New Roman"/>
          <w:color w:val="auto"/>
          <w:sz w:val="22"/>
          <w:szCs w:val="22"/>
          <w:highlight w:val="none"/>
          <w:lang w:eastAsia="zh-CN"/>
        </w:rPr>
        <w:t>公办义务教育阶段学校。</w:t>
      </w:r>
      <w:r>
        <w:rPr>
          <w:rFonts w:hint="eastAsia" w:ascii="Times New Roman" w:hAnsi="Times New Roman" w:cs="Times New Roman"/>
          <w:color w:val="auto"/>
          <w:sz w:val="22"/>
          <w:szCs w:val="22"/>
          <w:highlight w:val="none"/>
        </w:rPr>
        <w:t>采购</w:t>
      </w:r>
      <w:r>
        <w:rPr>
          <w:rFonts w:hint="eastAsia" w:ascii="Times New Roman" w:hAnsi="Times New Roman" w:cs="Times New Roman"/>
          <w:color w:val="auto"/>
          <w:sz w:val="22"/>
          <w:szCs w:val="22"/>
          <w:highlight w:val="none"/>
          <w:lang w:eastAsia="zh-CN"/>
        </w:rPr>
        <w:t>人已经完成</w:t>
      </w:r>
      <w:r>
        <w:rPr>
          <w:rFonts w:hint="eastAsia" w:cs="Times New Roman"/>
          <w:color w:val="auto"/>
          <w:sz w:val="22"/>
          <w:szCs w:val="22"/>
          <w:highlight w:val="none"/>
          <w:lang w:eastAsia="zh-CN"/>
        </w:rPr>
        <w:t>政府</w:t>
      </w:r>
      <w:r>
        <w:rPr>
          <w:rFonts w:hint="eastAsia" w:ascii="Times New Roman" w:hAnsi="Times New Roman" w:cs="Times New Roman"/>
          <w:color w:val="auto"/>
          <w:sz w:val="22"/>
          <w:szCs w:val="22"/>
          <w:highlight w:val="none"/>
        </w:rPr>
        <w:t>采购意向公开</w:t>
      </w:r>
      <w:r>
        <w:rPr>
          <w:rFonts w:hint="eastAsia" w:ascii="Times New Roman" w:hAnsi="Times New Roman" w:cs="Times New Roman"/>
          <w:color w:val="auto"/>
          <w:sz w:val="22"/>
          <w:szCs w:val="22"/>
          <w:highlight w:val="none"/>
          <w:lang w:eastAsia="zh-CN"/>
        </w:rPr>
        <w:t>。按照有关要求，公办义务教育阶段学校</w:t>
      </w:r>
      <w:r>
        <w:rPr>
          <w:rFonts w:hint="eastAsia" w:ascii="Times New Roman" w:hAnsi="Times New Roman" w:cs="Times New Roman"/>
          <w:color w:val="auto"/>
          <w:sz w:val="22"/>
          <w:szCs w:val="22"/>
          <w:highlight w:val="none"/>
        </w:rPr>
        <w:t>食堂的大米、食用油、面粉、肉、蛋、奶等纳入政府采购范围</w:t>
      </w:r>
      <w:r>
        <w:rPr>
          <w:rFonts w:hint="eastAsia" w:ascii="Times New Roman" w:hAnsi="Times New Roman" w:cs="Times New Roman"/>
          <w:color w:val="auto"/>
          <w:sz w:val="22"/>
          <w:szCs w:val="22"/>
          <w:highlight w:val="none"/>
          <w:lang w:eastAsia="zh-CN"/>
        </w:rPr>
        <w:t>，</w:t>
      </w:r>
      <w:r>
        <w:rPr>
          <w:rFonts w:hint="eastAsia" w:ascii="Times New Roman" w:hAnsi="Times New Roman" w:cs="Times New Roman"/>
          <w:color w:val="auto"/>
          <w:sz w:val="22"/>
          <w:szCs w:val="22"/>
          <w:highlight w:val="none"/>
        </w:rPr>
        <w:t>对于不属于政府采购范围的生鲜蔬菜、干货、调料调味品等原辅材料，比照政府采购的相关采购方式，由采购人集中带量采购。</w:t>
      </w:r>
      <w:r>
        <w:rPr>
          <w:rFonts w:hint="eastAsia" w:ascii="Times New Roman" w:hAnsi="Times New Roman" w:cs="Times New Roman"/>
          <w:color w:val="auto"/>
          <w:sz w:val="22"/>
          <w:szCs w:val="22"/>
          <w:highlight w:val="none"/>
          <w:lang w:eastAsia="zh-CN"/>
        </w:rPr>
        <w:t>配送服务内容为：学校食堂大宗食材</w:t>
      </w:r>
      <w:r>
        <w:rPr>
          <w:rFonts w:hint="eastAsia" w:cs="Times New Roman"/>
          <w:color w:val="auto"/>
          <w:sz w:val="22"/>
          <w:szCs w:val="22"/>
          <w:highlight w:val="none"/>
          <w:lang w:eastAsia="zh-CN"/>
        </w:rPr>
        <w:t>（</w:t>
      </w:r>
      <w:r>
        <w:rPr>
          <w:rFonts w:hint="eastAsia" w:ascii="Times New Roman" w:hAnsi="Times New Roman" w:cs="Times New Roman"/>
          <w:color w:val="auto"/>
          <w:sz w:val="22"/>
          <w:szCs w:val="22"/>
          <w:highlight w:val="none"/>
        </w:rPr>
        <w:t>粮油类、禽肉类、</w:t>
      </w:r>
      <w:r>
        <w:rPr>
          <w:rFonts w:hint="eastAsia" w:ascii="Times New Roman" w:hAnsi="Times New Roman" w:cs="Times New Roman"/>
          <w:color w:val="auto"/>
          <w:sz w:val="22"/>
          <w:szCs w:val="22"/>
          <w:highlight w:val="none"/>
          <w:lang w:eastAsia="zh-CN"/>
        </w:rPr>
        <w:t>家</w:t>
      </w:r>
      <w:r>
        <w:rPr>
          <w:rFonts w:hint="eastAsia" w:ascii="Times New Roman" w:hAnsi="Times New Roman" w:cs="Times New Roman"/>
          <w:color w:val="auto"/>
          <w:sz w:val="22"/>
          <w:szCs w:val="22"/>
          <w:highlight w:val="none"/>
        </w:rPr>
        <w:t>禽</w:t>
      </w:r>
      <w:r>
        <w:rPr>
          <w:rFonts w:hint="eastAsia" w:ascii="Times New Roman" w:hAnsi="Times New Roman" w:cs="Times New Roman"/>
          <w:color w:val="auto"/>
          <w:sz w:val="22"/>
          <w:szCs w:val="22"/>
          <w:highlight w:val="none"/>
          <w:lang w:eastAsia="zh-CN"/>
        </w:rPr>
        <w:t>类、水产类、</w:t>
      </w:r>
      <w:r>
        <w:rPr>
          <w:rFonts w:hint="eastAsia" w:ascii="Times New Roman" w:hAnsi="Times New Roman" w:cs="Times New Roman"/>
          <w:color w:val="auto"/>
          <w:sz w:val="22"/>
          <w:szCs w:val="22"/>
          <w:highlight w:val="none"/>
        </w:rPr>
        <w:t>调味</w:t>
      </w:r>
      <w:r>
        <w:rPr>
          <w:rFonts w:hint="eastAsia" w:ascii="Times New Roman" w:hAnsi="Times New Roman" w:cs="Times New Roman"/>
          <w:color w:val="auto"/>
          <w:sz w:val="22"/>
          <w:szCs w:val="22"/>
          <w:highlight w:val="none"/>
          <w:lang w:eastAsia="zh-CN"/>
        </w:rPr>
        <w:t>类食品、蛋类、</w:t>
      </w:r>
      <w:r>
        <w:rPr>
          <w:rFonts w:hint="eastAsia" w:ascii="Times New Roman" w:hAnsi="Times New Roman" w:cs="Times New Roman"/>
          <w:color w:val="auto"/>
          <w:sz w:val="22"/>
          <w:szCs w:val="22"/>
          <w:highlight w:val="none"/>
        </w:rPr>
        <w:t>调料</w:t>
      </w:r>
      <w:r>
        <w:rPr>
          <w:rFonts w:hint="eastAsia" w:ascii="Times New Roman" w:hAnsi="Times New Roman" w:cs="Times New Roman"/>
          <w:color w:val="auto"/>
          <w:sz w:val="22"/>
          <w:szCs w:val="22"/>
          <w:highlight w:val="none"/>
          <w:lang w:eastAsia="zh-CN"/>
        </w:rPr>
        <w:t>干货</w:t>
      </w:r>
      <w:r>
        <w:rPr>
          <w:rFonts w:hint="eastAsia" w:ascii="Times New Roman" w:hAnsi="Times New Roman" w:cs="Times New Roman"/>
          <w:color w:val="auto"/>
          <w:sz w:val="22"/>
          <w:szCs w:val="22"/>
          <w:highlight w:val="none"/>
        </w:rPr>
        <w:t>类、</w:t>
      </w:r>
      <w:r>
        <w:rPr>
          <w:rFonts w:hint="eastAsia" w:cs="Times New Roman"/>
          <w:color w:val="auto"/>
          <w:sz w:val="22"/>
          <w:szCs w:val="22"/>
          <w:highlight w:val="none"/>
          <w:lang w:eastAsia="zh-CN"/>
        </w:rPr>
        <w:t>米制品类、</w:t>
      </w:r>
      <w:r>
        <w:rPr>
          <w:rFonts w:hint="eastAsia" w:ascii="Times New Roman" w:hAnsi="Times New Roman" w:cs="Times New Roman"/>
          <w:color w:val="auto"/>
          <w:sz w:val="22"/>
          <w:szCs w:val="22"/>
          <w:highlight w:val="none"/>
        </w:rPr>
        <w:t>生鲜蔬菜类</w:t>
      </w:r>
      <w:r>
        <w:rPr>
          <w:rFonts w:hint="eastAsia" w:cs="Times New Roman"/>
          <w:color w:val="auto"/>
          <w:sz w:val="22"/>
          <w:szCs w:val="22"/>
          <w:highlight w:val="none"/>
          <w:lang w:eastAsia="zh-CN"/>
        </w:rPr>
        <w:t>）</w:t>
      </w:r>
      <w:r>
        <w:rPr>
          <w:rFonts w:hint="eastAsia" w:ascii="Times New Roman" w:hAnsi="Times New Roman" w:cs="Times New Roman"/>
          <w:color w:val="auto"/>
          <w:sz w:val="22"/>
          <w:szCs w:val="22"/>
          <w:highlight w:val="none"/>
          <w:lang w:val="en-US" w:eastAsia="zh-CN"/>
        </w:rPr>
        <w:t>，</w:t>
      </w:r>
      <w:r>
        <w:rPr>
          <w:rFonts w:hint="eastAsia" w:ascii="宋体" w:hAnsi="宋体"/>
          <w:color w:val="auto"/>
          <w:sz w:val="22"/>
          <w:szCs w:val="22"/>
          <w:highlight w:val="none"/>
          <w:lang w:eastAsia="zh-CN"/>
        </w:rPr>
        <w:t>学校食堂大宗食材配送服务涉及重量单位的以市斤为计量单位，</w:t>
      </w:r>
      <w:r>
        <w:rPr>
          <w:rFonts w:hint="eastAsia" w:ascii="Times New Roman" w:hAnsi="Times New Roman" w:cs="Times New Roman"/>
          <w:color w:val="auto"/>
          <w:sz w:val="22"/>
          <w:szCs w:val="22"/>
          <w:highlight w:val="none"/>
        </w:rPr>
        <w:t>分为</w:t>
      </w:r>
      <w:r>
        <w:rPr>
          <w:rFonts w:hint="eastAsia" w:ascii="Times New Roman" w:hAnsi="Times New Roman" w:cs="Times New Roman"/>
          <w:color w:val="auto"/>
          <w:sz w:val="22"/>
          <w:szCs w:val="22"/>
          <w:highlight w:val="none"/>
          <w:lang w:val="en-US" w:eastAsia="zh-CN"/>
        </w:rPr>
        <w:t>1</w:t>
      </w:r>
      <w:r>
        <w:rPr>
          <w:rFonts w:hint="eastAsia" w:ascii="Times New Roman" w:hAnsi="Times New Roman" w:cs="Times New Roman"/>
          <w:color w:val="auto"/>
          <w:sz w:val="22"/>
          <w:szCs w:val="22"/>
          <w:highlight w:val="none"/>
          <w:lang w:eastAsia="zh-CN"/>
        </w:rPr>
        <w:t>标段</w:t>
      </w:r>
      <w:r>
        <w:rPr>
          <w:rFonts w:hint="eastAsia" w:ascii="Times New Roman" w:hAnsi="Times New Roman" w:cs="Times New Roman"/>
          <w:color w:val="auto"/>
          <w:sz w:val="22"/>
          <w:szCs w:val="22"/>
          <w:highlight w:val="none"/>
        </w:rPr>
        <w:t>、</w:t>
      </w:r>
      <w:r>
        <w:rPr>
          <w:rFonts w:hint="eastAsia" w:ascii="Times New Roman" w:hAnsi="Times New Roman" w:cs="Times New Roman"/>
          <w:color w:val="auto"/>
          <w:sz w:val="22"/>
          <w:szCs w:val="22"/>
          <w:highlight w:val="none"/>
          <w:lang w:val="en-US" w:eastAsia="zh-CN"/>
        </w:rPr>
        <w:t>2</w:t>
      </w:r>
      <w:r>
        <w:rPr>
          <w:rFonts w:hint="eastAsia" w:ascii="Times New Roman" w:hAnsi="Times New Roman" w:cs="Times New Roman"/>
          <w:color w:val="auto"/>
          <w:sz w:val="22"/>
          <w:szCs w:val="22"/>
          <w:highlight w:val="none"/>
          <w:lang w:eastAsia="zh-CN"/>
        </w:rPr>
        <w:t>标段</w:t>
      </w:r>
      <w:r>
        <w:rPr>
          <w:rFonts w:hint="eastAsia" w:ascii="Times New Roman" w:hAnsi="Times New Roman" w:cs="Times New Roman"/>
          <w:color w:val="auto"/>
          <w:sz w:val="22"/>
          <w:szCs w:val="22"/>
          <w:highlight w:val="none"/>
        </w:rPr>
        <w:t>、</w:t>
      </w:r>
      <w:r>
        <w:rPr>
          <w:rFonts w:hint="eastAsia" w:ascii="Times New Roman" w:hAnsi="Times New Roman" w:cs="Times New Roman"/>
          <w:color w:val="auto"/>
          <w:sz w:val="22"/>
          <w:szCs w:val="22"/>
          <w:highlight w:val="none"/>
          <w:lang w:val="en-US" w:eastAsia="zh-CN"/>
        </w:rPr>
        <w:t>3</w:t>
      </w:r>
      <w:r>
        <w:rPr>
          <w:rFonts w:hint="eastAsia" w:ascii="Times New Roman" w:hAnsi="Times New Roman" w:cs="Times New Roman"/>
          <w:color w:val="auto"/>
          <w:sz w:val="22"/>
          <w:szCs w:val="22"/>
          <w:highlight w:val="none"/>
          <w:lang w:eastAsia="zh-CN"/>
        </w:rPr>
        <w:t>标段</w:t>
      </w:r>
      <w:r>
        <w:rPr>
          <w:rFonts w:hint="eastAsia" w:ascii="Times New Roman" w:hAnsi="Times New Roman" w:cs="Times New Roman"/>
          <w:color w:val="auto"/>
          <w:sz w:val="22"/>
          <w:szCs w:val="22"/>
          <w:highlight w:val="none"/>
        </w:rPr>
        <w:t>，</w:t>
      </w:r>
      <w:r>
        <w:rPr>
          <w:rFonts w:hint="eastAsia" w:ascii="Times New Roman" w:hAnsi="Times New Roman" w:cs="Times New Roman"/>
          <w:color w:val="auto"/>
          <w:sz w:val="22"/>
          <w:szCs w:val="22"/>
          <w:highlight w:val="none"/>
          <w:lang w:eastAsia="zh-CN"/>
        </w:rPr>
        <w:t>配送服务</w:t>
      </w:r>
      <w:r>
        <w:rPr>
          <w:rFonts w:hint="eastAsia" w:ascii="Times New Roman" w:hAnsi="Times New Roman" w:cs="Times New Roman"/>
          <w:color w:val="auto"/>
          <w:sz w:val="22"/>
          <w:szCs w:val="22"/>
          <w:highlight w:val="none"/>
        </w:rPr>
        <w:t>供应商可选择</w:t>
      </w:r>
      <w:r>
        <w:rPr>
          <w:rFonts w:hint="eastAsia" w:ascii="Times New Roman" w:hAnsi="Times New Roman" w:cs="Times New Roman"/>
          <w:color w:val="auto"/>
          <w:sz w:val="22"/>
          <w:szCs w:val="22"/>
          <w:highlight w:val="none"/>
          <w:lang w:eastAsia="zh-CN"/>
        </w:rPr>
        <w:t>一</w:t>
      </w:r>
      <w:r>
        <w:rPr>
          <w:rFonts w:hint="eastAsia" w:ascii="Times New Roman" w:hAnsi="Times New Roman" w:cs="Times New Roman"/>
          <w:color w:val="auto"/>
          <w:sz w:val="22"/>
          <w:szCs w:val="22"/>
          <w:highlight w:val="none"/>
        </w:rPr>
        <w:t>个</w:t>
      </w:r>
      <w:r>
        <w:rPr>
          <w:rFonts w:hint="eastAsia" w:ascii="Times New Roman" w:hAnsi="Times New Roman" w:cs="Times New Roman"/>
          <w:color w:val="auto"/>
          <w:sz w:val="22"/>
          <w:szCs w:val="22"/>
          <w:highlight w:val="none"/>
          <w:lang w:eastAsia="zh-CN"/>
        </w:rPr>
        <w:t>标段</w:t>
      </w:r>
      <w:r>
        <w:rPr>
          <w:rFonts w:hint="eastAsia" w:ascii="Times New Roman" w:hAnsi="Times New Roman" w:cs="Times New Roman"/>
          <w:color w:val="auto"/>
          <w:sz w:val="22"/>
          <w:szCs w:val="22"/>
          <w:highlight w:val="none"/>
        </w:rPr>
        <w:t>或多个</w:t>
      </w:r>
      <w:r>
        <w:rPr>
          <w:rFonts w:hint="eastAsia" w:ascii="Times New Roman" w:hAnsi="Times New Roman" w:cs="Times New Roman"/>
          <w:color w:val="auto"/>
          <w:sz w:val="22"/>
          <w:szCs w:val="22"/>
          <w:highlight w:val="none"/>
          <w:lang w:eastAsia="zh-CN"/>
        </w:rPr>
        <w:t>标段</w:t>
      </w:r>
      <w:r>
        <w:rPr>
          <w:rFonts w:hint="eastAsia" w:ascii="Times New Roman" w:hAnsi="Times New Roman" w:cs="Times New Roman"/>
          <w:color w:val="auto"/>
          <w:sz w:val="22"/>
          <w:szCs w:val="22"/>
          <w:highlight w:val="none"/>
        </w:rPr>
        <w:t>进行投标，但</w:t>
      </w:r>
      <w:r>
        <w:rPr>
          <w:rFonts w:hint="eastAsia" w:ascii="Times New Roman" w:hAnsi="Times New Roman" w:cs="Times New Roman"/>
          <w:color w:val="auto"/>
          <w:sz w:val="22"/>
          <w:szCs w:val="22"/>
          <w:highlight w:val="none"/>
          <w:lang w:eastAsia="zh-CN"/>
        </w:rPr>
        <w:t>配送服务</w:t>
      </w:r>
      <w:r>
        <w:rPr>
          <w:rFonts w:hint="eastAsia" w:ascii="Times New Roman" w:hAnsi="Times New Roman" w:cs="Times New Roman"/>
          <w:color w:val="auto"/>
          <w:sz w:val="22"/>
          <w:szCs w:val="22"/>
          <w:highlight w:val="none"/>
        </w:rPr>
        <w:t>供应商应分</w:t>
      </w:r>
      <w:r>
        <w:rPr>
          <w:rFonts w:hint="eastAsia" w:ascii="Times New Roman" w:hAnsi="Times New Roman" w:cs="Times New Roman"/>
          <w:color w:val="auto"/>
          <w:sz w:val="22"/>
          <w:szCs w:val="22"/>
          <w:highlight w:val="none"/>
          <w:lang w:eastAsia="zh-CN"/>
        </w:rPr>
        <w:t>标</w:t>
      </w:r>
      <w:r>
        <w:rPr>
          <w:rFonts w:hint="eastAsia" w:ascii="Times New Roman" w:hAnsi="Times New Roman" w:cs="Times New Roman"/>
          <w:color w:val="auto"/>
          <w:sz w:val="22"/>
          <w:szCs w:val="22"/>
          <w:highlight w:val="none"/>
        </w:rPr>
        <w:t>制作、封装及投递响应文件。</w:t>
      </w:r>
      <w:r>
        <w:rPr>
          <w:rFonts w:hint="eastAsia" w:ascii="Times New Roman" w:hAnsi="Times New Roman" w:cs="Times New Roman"/>
          <w:color w:val="auto"/>
          <w:sz w:val="22"/>
          <w:szCs w:val="22"/>
          <w:highlight w:val="none"/>
          <w:lang w:eastAsia="zh-CN"/>
        </w:rPr>
        <w:t>配送服务</w:t>
      </w:r>
      <w:r>
        <w:rPr>
          <w:rFonts w:hint="eastAsia" w:ascii="Times New Roman" w:hAnsi="Times New Roman" w:cs="Times New Roman"/>
          <w:color w:val="auto"/>
          <w:sz w:val="22"/>
          <w:szCs w:val="22"/>
          <w:highlight w:val="none"/>
        </w:rPr>
        <w:t>供应商需对每一</w:t>
      </w:r>
      <w:r>
        <w:rPr>
          <w:rFonts w:hint="eastAsia" w:ascii="Times New Roman" w:hAnsi="Times New Roman" w:cs="Times New Roman"/>
          <w:color w:val="auto"/>
          <w:sz w:val="22"/>
          <w:szCs w:val="22"/>
          <w:highlight w:val="none"/>
          <w:lang w:eastAsia="zh-CN"/>
        </w:rPr>
        <w:t>标段</w:t>
      </w:r>
      <w:r>
        <w:rPr>
          <w:rFonts w:hint="eastAsia" w:ascii="Times New Roman" w:hAnsi="Times New Roman" w:cs="Times New Roman"/>
          <w:color w:val="auto"/>
          <w:sz w:val="22"/>
          <w:szCs w:val="22"/>
          <w:highlight w:val="none"/>
        </w:rPr>
        <w:t>内所有采购内容进行整体投标，不得缺项漏项，否则作废标处理。</w:t>
      </w:r>
    </w:p>
    <w:bookmarkEnd w:id="47"/>
    <w:p w14:paraId="2F620ED0">
      <w:pPr>
        <w:spacing w:line="360" w:lineRule="auto"/>
        <w:ind w:firstLine="440" w:firstLineChars="200"/>
        <w:rPr>
          <w:rFonts w:hint="eastAsia" w:ascii="Times New Roman" w:hAnsi="Times New Roman" w:cs="Times New Roman"/>
          <w:color w:val="auto"/>
          <w:sz w:val="22"/>
          <w:szCs w:val="22"/>
          <w:highlight w:val="none"/>
        </w:rPr>
      </w:pPr>
      <w:r>
        <w:rPr>
          <w:rFonts w:hint="eastAsia" w:ascii="Times New Roman" w:hAnsi="Times New Roman" w:cs="Times New Roman"/>
          <w:color w:val="auto"/>
          <w:sz w:val="22"/>
          <w:szCs w:val="22"/>
          <w:highlight w:val="none"/>
          <w:lang w:val="en-US" w:eastAsia="zh-CN"/>
        </w:rPr>
        <w:t>3.</w:t>
      </w:r>
      <w:r>
        <w:rPr>
          <w:rFonts w:hint="eastAsia" w:ascii="Times New Roman" w:hAnsi="Times New Roman" w:cs="Times New Roman"/>
          <w:color w:val="auto"/>
          <w:sz w:val="22"/>
          <w:szCs w:val="22"/>
          <w:highlight w:val="none"/>
        </w:rPr>
        <w:t>2</w:t>
      </w:r>
      <w:r>
        <w:rPr>
          <w:rFonts w:hint="eastAsia" w:ascii="Times New Roman" w:hAnsi="Times New Roman" w:cs="Times New Roman"/>
          <w:color w:val="auto"/>
          <w:sz w:val="22"/>
          <w:szCs w:val="22"/>
          <w:highlight w:val="none"/>
          <w:lang w:eastAsia="zh-CN"/>
        </w:rPr>
        <w:t>按照有关要求，</w:t>
      </w:r>
      <w:r>
        <w:rPr>
          <w:rFonts w:hint="eastAsia" w:ascii="Times New Roman" w:hAnsi="Times New Roman" w:cs="Times New Roman"/>
          <w:color w:val="auto"/>
          <w:sz w:val="22"/>
          <w:szCs w:val="22"/>
          <w:highlight w:val="none"/>
        </w:rPr>
        <w:t>采购人在自主自愿、权责清晰的基础上，授权主管预算单位、业务主管部门，将项目合并后实施联合采购，采购工作结束后，采购人依据中标结果分别签订采购合同，即“</w:t>
      </w:r>
      <w:r>
        <w:rPr>
          <w:rFonts w:hint="eastAsia" w:ascii="Times New Roman" w:hAnsi="Times New Roman" w:cs="Times New Roman"/>
          <w:color w:val="auto"/>
          <w:sz w:val="22"/>
          <w:szCs w:val="22"/>
          <w:highlight w:val="none"/>
          <w:lang w:eastAsia="zh-CN"/>
        </w:rPr>
        <w:t>集</w:t>
      </w:r>
      <w:r>
        <w:rPr>
          <w:rFonts w:hint="eastAsia" w:ascii="Times New Roman" w:hAnsi="Times New Roman" w:cs="Times New Roman"/>
          <w:color w:val="auto"/>
          <w:sz w:val="22"/>
          <w:szCs w:val="22"/>
          <w:highlight w:val="none"/>
        </w:rPr>
        <w:t>采分签”。</w:t>
      </w:r>
    </w:p>
    <w:p w14:paraId="516F7A64">
      <w:pPr>
        <w:shd w:val="clear"/>
        <w:snapToGrid w:val="0"/>
        <w:spacing w:line="360" w:lineRule="auto"/>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3本项目每个</w:t>
      </w:r>
      <w:r>
        <w:rPr>
          <w:rFonts w:hint="eastAsia" w:ascii="宋体" w:hAnsi="宋体" w:cs="宋体"/>
          <w:color w:val="auto"/>
          <w:sz w:val="22"/>
          <w:szCs w:val="22"/>
          <w:highlight w:val="none"/>
          <w:lang w:eastAsia="zh-CN"/>
        </w:rPr>
        <w:t>标段只</w:t>
      </w:r>
      <w:r>
        <w:rPr>
          <w:rFonts w:hint="eastAsia" w:ascii="宋体" w:hAnsi="宋体" w:cs="宋体"/>
          <w:color w:val="auto"/>
          <w:sz w:val="22"/>
          <w:szCs w:val="22"/>
          <w:highlight w:val="none"/>
        </w:rPr>
        <w:t>选择一家成交</w:t>
      </w:r>
      <w:r>
        <w:rPr>
          <w:rFonts w:hint="eastAsia" w:ascii="宋体" w:hAnsi="宋体" w:cs="宋体"/>
          <w:color w:val="auto"/>
          <w:sz w:val="22"/>
          <w:szCs w:val="22"/>
          <w:highlight w:val="none"/>
          <w:lang w:eastAsia="zh-CN"/>
        </w:rPr>
        <w:t>配送服务</w:t>
      </w:r>
      <w:r>
        <w:rPr>
          <w:rFonts w:hint="eastAsia" w:ascii="宋体" w:hAnsi="宋体" w:cs="宋体"/>
          <w:color w:val="auto"/>
          <w:sz w:val="22"/>
          <w:szCs w:val="22"/>
          <w:highlight w:val="none"/>
        </w:rPr>
        <w:t>供应商。根据</w:t>
      </w:r>
      <w:r>
        <w:rPr>
          <w:rFonts w:hint="eastAsia" w:ascii="宋体" w:hAnsi="宋体" w:cs="宋体"/>
          <w:color w:val="auto"/>
          <w:sz w:val="22"/>
          <w:szCs w:val="22"/>
          <w:highlight w:val="none"/>
          <w:lang w:eastAsia="zh-CN"/>
        </w:rPr>
        <w:t>评审</w:t>
      </w:r>
      <w:r>
        <w:rPr>
          <w:rFonts w:hint="eastAsia" w:ascii="宋体" w:hAnsi="宋体" w:cs="宋体"/>
          <w:color w:val="auto"/>
          <w:sz w:val="22"/>
          <w:szCs w:val="22"/>
          <w:highlight w:val="none"/>
        </w:rPr>
        <w:t>顺序</w:t>
      </w:r>
      <w:r>
        <w:rPr>
          <w:rFonts w:hint="eastAsia" w:ascii="宋体" w:hAnsi="宋体" w:cs="宋体"/>
          <w:color w:val="auto"/>
          <w:sz w:val="22"/>
          <w:szCs w:val="22"/>
          <w:highlight w:val="none"/>
          <w:lang w:eastAsia="zh-CN"/>
        </w:rPr>
        <w:t>（评审</w:t>
      </w:r>
      <w:r>
        <w:rPr>
          <w:rFonts w:hint="eastAsia" w:ascii="宋体" w:hAnsi="宋体" w:cs="宋体"/>
          <w:color w:val="auto"/>
          <w:sz w:val="22"/>
          <w:szCs w:val="22"/>
          <w:highlight w:val="none"/>
        </w:rPr>
        <w:t>顺序为</w:t>
      </w: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的顺序</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，若供应商被推荐为</w:t>
      </w: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的第一成交候选人，则</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不再推荐其为成交候选人。若供应商被推荐为</w:t>
      </w: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或</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的第一成交候选人，则</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lang w:eastAsia="zh-CN"/>
        </w:rPr>
        <w:t>标段</w:t>
      </w:r>
      <w:r>
        <w:rPr>
          <w:rFonts w:hint="eastAsia" w:ascii="宋体" w:hAnsi="宋体" w:cs="宋体"/>
          <w:color w:val="auto"/>
          <w:sz w:val="22"/>
          <w:szCs w:val="22"/>
          <w:highlight w:val="none"/>
        </w:rPr>
        <w:t>不再推荐其为成交候选人。</w:t>
      </w:r>
    </w:p>
    <w:p w14:paraId="3B13C550">
      <w:pPr>
        <w:shd w:val="clear"/>
        <w:snapToGrid w:val="0"/>
        <w:spacing w:line="360" w:lineRule="auto"/>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4因采购项目</w:t>
      </w:r>
      <w:r>
        <w:rPr>
          <w:rFonts w:hint="eastAsia" w:ascii="宋体" w:hAnsi="宋体" w:cs="宋体"/>
          <w:color w:val="auto"/>
          <w:sz w:val="22"/>
          <w:szCs w:val="22"/>
          <w:highlight w:val="none"/>
          <w:lang w:eastAsia="zh-CN"/>
        </w:rPr>
        <w:t>特殊并</w:t>
      </w:r>
      <w:r>
        <w:rPr>
          <w:rFonts w:hint="eastAsia" w:ascii="宋体" w:hAnsi="宋体" w:cs="宋体"/>
          <w:color w:val="auto"/>
          <w:sz w:val="22"/>
          <w:szCs w:val="22"/>
          <w:highlight w:val="none"/>
        </w:rPr>
        <w:t>涉及食品安全因素，</w:t>
      </w:r>
      <w:r>
        <w:rPr>
          <w:rFonts w:hint="eastAsia" w:ascii="宋体" w:hAnsi="宋体" w:cs="宋体"/>
          <w:color w:val="auto"/>
          <w:sz w:val="22"/>
          <w:szCs w:val="22"/>
          <w:highlight w:val="none"/>
          <w:lang w:eastAsia="zh-CN"/>
        </w:rPr>
        <w:t>配送服务</w:t>
      </w:r>
      <w:r>
        <w:rPr>
          <w:rFonts w:hint="eastAsia" w:ascii="宋体" w:hAnsi="宋体" w:cs="宋体"/>
          <w:color w:val="auto"/>
          <w:sz w:val="22"/>
          <w:szCs w:val="22"/>
          <w:highlight w:val="none"/>
        </w:rPr>
        <w:t>供应商必须自有稳定的仓储、运输、配送厂房等基础设施。</w:t>
      </w:r>
    </w:p>
    <w:p w14:paraId="66A1DCDB">
      <w:pPr>
        <w:shd w:val="clear"/>
        <w:snapToGrid w:val="0"/>
        <w:spacing w:line="360" w:lineRule="auto"/>
        <w:ind w:firstLine="440" w:firstLineChars="200"/>
        <w:outlineLvl w:val="2"/>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3.</w:t>
      </w:r>
      <w:r>
        <w:rPr>
          <w:rFonts w:hint="eastAsia" w:ascii="Times New Roman" w:hAnsi="Times New Roman" w:cs="Times New Roman"/>
          <w:color w:val="auto"/>
          <w:sz w:val="22"/>
          <w:szCs w:val="22"/>
          <w:highlight w:val="none"/>
        </w:rPr>
        <w:t>采购人</w:t>
      </w:r>
      <w:r>
        <w:rPr>
          <w:rFonts w:hint="eastAsia" w:ascii="宋体" w:hAnsi="宋体" w:cs="宋体"/>
          <w:color w:val="auto"/>
          <w:sz w:val="22"/>
          <w:szCs w:val="22"/>
          <w:highlight w:val="none"/>
          <w:lang w:eastAsia="zh-CN"/>
        </w:rPr>
        <w:t>负责学校食堂大宗食材配送服务的管理、监督和考核，按需求可以紧急调配。配送服务</w:t>
      </w:r>
      <w:r>
        <w:rPr>
          <w:rFonts w:hint="eastAsia" w:ascii="宋体" w:hAnsi="宋体" w:cs="宋体"/>
          <w:color w:val="auto"/>
          <w:sz w:val="22"/>
          <w:szCs w:val="22"/>
          <w:highlight w:val="none"/>
        </w:rPr>
        <w:t>供应商必须职责明确，统一管理</w:t>
      </w:r>
      <w:r>
        <w:rPr>
          <w:rFonts w:hint="eastAsia" w:ascii="宋体" w:hAnsi="宋体" w:cs="宋体"/>
          <w:color w:val="auto"/>
          <w:sz w:val="22"/>
          <w:szCs w:val="22"/>
          <w:highlight w:val="none"/>
          <w:lang w:eastAsia="zh-CN"/>
        </w:rPr>
        <w:t>配送服务</w:t>
      </w:r>
      <w:r>
        <w:rPr>
          <w:rFonts w:hint="eastAsia" w:ascii="宋体" w:hAnsi="宋体" w:cs="宋体"/>
          <w:color w:val="auto"/>
          <w:sz w:val="22"/>
          <w:szCs w:val="22"/>
          <w:highlight w:val="none"/>
        </w:rPr>
        <w:t>，组织专人专车按签订的合同直接配送，不得委托、转交其他代理部门配送，禁止转包或分包</w:t>
      </w:r>
      <w:r>
        <w:rPr>
          <w:rFonts w:hint="eastAsia" w:ascii="宋体" w:hAnsi="宋体" w:cs="宋体"/>
          <w:color w:val="auto"/>
          <w:sz w:val="22"/>
          <w:szCs w:val="22"/>
          <w:highlight w:val="none"/>
          <w:lang w:eastAsia="zh-CN"/>
        </w:rPr>
        <w:t>。</w:t>
      </w:r>
    </w:p>
    <w:p w14:paraId="1FB34E6D">
      <w:pPr>
        <w:shd w:val="clear"/>
        <w:snapToGrid w:val="0"/>
        <w:spacing w:line="360" w:lineRule="auto"/>
        <w:ind w:firstLine="440" w:firstLineChars="200"/>
        <w:outlineLvl w:val="2"/>
        <w:rPr>
          <w:rFonts w:hint="eastAsia" w:ascii="宋体" w:hAnsi="宋体" w:cs="宋体"/>
          <w:color w:val="auto"/>
          <w:sz w:val="22"/>
          <w:szCs w:val="22"/>
          <w:highlight w:val="none"/>
          <w:lang w:eastAsia="zh-CN"/>
        </w:rPr>
      </w:pPr>
      <w:bookmarkStart w:id="48" w:name="_Toc32077"/>
      <w:r>
        <w:rPr>
          <w:rFonts w:hint="eastAsia" w:ascii="宋体" w:hAnsi="宋体" w:cs="宋体"/>
          <w:color w:val="auto"/>
          <w:sz w:val="22"/>
          <w:szCs w:val="22"/>
          <w:highlight w:val="none"/>
          <w:lang w:eastAsia="zh-CN"/>
        </w:rPr>
        <w:t>4</w:t>
      </w:r>
      <w:r>
        <w:rPr>
          <w:rFonts w:hint="eastAsia" w:ascii="宋体" w:hAnsi="宋体" w:cs="宋体"/>
          <w:color w:val="auto"/>
          <w:sz w:val="22"/>
          <w:szCs w:val="22"/>
          <w:highlight w:val="none"/>
          <w:lang w:val="en-US" w:eastAsia="zh-CN"/>
        </w:rPr>
        <w:t>.</w:t>
      </w:r>
      <w:r>
        <w:rPr>
          <w:rFonts w:hint="eastAsia" w:ascii="宋体" w:hAnsi="宋体" w:cs="宋体"/>
          <w:color w:val="auto"/>
          <w:sz w:val="22"/>
          <w:szCs w:val="22"/>
          <w:highlight w:val="none"/>
          <w:lang w:eastAsia="zh-CN"/>
        </w:rPr>
        <w:t>资金来源为：财政性资金，符合《中华人民共和国政府采购法实施条例》第二条规定。年度预算金额为：</w:t>
      </w: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eastAsia="zh-CN"/>
        </w:rPr>
        <w:t>标段￥29385600.00元（贰仟玖佰叁拾捌万伍仟陆佰元整）；</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lang w:eastAsia="zh-CN"/>
        </w:rPr>
        <w:t>标段￥27771400</w:t>
      </w:r>
      <w:r>
        <w:rPr>
          <w:rFonts w:hint="eastAsia" w:ascii="宋体" w:hAnsi="宋体" w:cs="宋体"/>
          <w:color w:val="auto"/>
          <w:sz w:val="22"/>
          <w:szCs w:val="22"/>
          <w:highlight w:val="none"/>
          <w:lang w:val="en-US" w:eastAsia="zh-CN"/>
        </w:rPr>
        <w:t>.00</w:t>
      </w:r>
      <w:r>
        <w:rPr>
          <w:rFonts w:hint="eastAsia" w:ascii="宋体" w:hAnsi="宋体" w:cs="宋体"/>
          <w:color w:val="auto"/>
          <w:sz w:val="22"/>
          <w:szCs w:val="22"/>
          <w:highlight w:val="none"/>
          <w:lang w:eastAsia="zh-CN"/>
        </w:rPr>
        <w:t>元（贰仟柒佰柒拾柒万壹仟肆佰元整）；</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lang w:eastAsia="zh-CN"/>
        </w:rPr>
        <w:t>标段￥28512000</w:t>
      </w:r>
      <w:r>
        <w:rPr>
          <w:rFonts w:hint="eastAsia" w:ascii="宋体" w:hAnsi="宋体" w:cs="宋体"/>
          <w:color w:val="auto"/>
          <w:sz w:val="22"/>
          <w:szCs w:val="22"/>
          <w:highlight w:val="none"/>
          <w:lang w:val="en-US" w:eastAsia="zh-CN"/>
        </w:rPr>
        <w:t>.00</w:t>
      </w:r>
      <w:r>
        <w:rPr>
          <w:rFonts w:hint="eastAsia" w:ascii="宋体" w:hAnsi="宋体" w:cs="宋体"/>
          <w:color w:val="auto"/>
          <w:sz w:val="22"/>
          <w:szCs w:val="22"/>
          <w:highlight w:val="none"/>
          <w:lang w:eastAsia="zh-CN"/>
        </w:rPr>
        <w:t>元（贰仟捌佰伍拾壹万贰仟元整）。</w:t>
      </w:r>
      <w:bookmarkEnd w:id="48"/>
    </w:p>
    <w:p w14:paraId="01E249E7">
      <w:pPr>
        <w:shd w:val="clear"/>
        <w:snapToGrid w:val="0"/>
        <w:spacing w:line="360" w:lineRule="auto"/>
        <w:ind w:firstLine="440" w:firstLineChars="200"/>
        <w:outlineLvl w:val="2"/>
        <w:rPr>
          <w:rFonts w:hint="eastAsia" w:ascii="宋体" w:hAnsi="宋体" w:eastAsia="宋体" w:cs="宋体"/>
          <w:bCs/>
          <w:color w:val="auto"/>
          <w:sz w:val="22"/>
          <w:szCs w:val="22"/>
          <w:highlight w:val="none"/>
        </w:rPr>
      </w:pPr>
      <w:bookmarkStart w:id="49" w:name="_Toc2989"/>
      <w:r>
        <w:rPr>
          <w:rFonts w:hint="eastAsia" w:ascii="黑体" w:hAnsi="黑体" w:eastAsia="黑体" w:cs="黑体"/>
          <w:bCs/>
          <w:color w:val="auto"/>
          <w:sz w:val="22"/>
          <w:szCs w:val="22"/>
          <w:highlight w:val="none"/>
        </w:rPr>
        <w:t>5</w:t>
      </w:r>
      <w:r>
        <w:rPr>
          <w:rFonts w:hint="eastAsia" w:ascii="黑体" w:hAnsi="黑体" w:eastAsia="黑体" w:cs="黑体"/>
          <w:bCs/>
          <w:color w:val="auto"/>
          <w:sz w:val="22"/>
          <w:szCs w:val="22"/>
          <w:highlight w:val="none"/>
          <w:lang w:val="en-US" w:eastAsia="zh-CN"/>
        </w:rPr>
        <w:t>.</w:t>
      </w:r>
      <w:r>
        <w:rPr>
          <w:rFonts w:hint="eastAsia" w:ascii="黑体" w:hAnsi="黑体" w:eastAsia="黑体" w:cs="黑体"/>
          <w:bCs/>
          <w:color w:val="auto"/>
          <w:sz w:val="22"/>
          <w:szCs w:val="22"/>
          <w:highlight w:val="none"/>
          <w:lang w:eastAsia="zh-CN"/>
        </w:rPr>
        <w:t>配送</w:t>
      </w:r>
      <w:r>
        <w:rPr>
          <w:rFonts w:hint="eastAsia" w:ascii="黑体" w:hAnsi="黑体" w:eastAsia="黑体" w:cs="黑体"/>
          <w:bCs/>
          <w:color w:val="auto"/>
          <w:sz w:val="22"/>
          <w:szCs w:val="22"/>
          <w:highlight w:val="none"/>
        </w:rPr>
        <w:t>服务地点</w:t>
      </w:r>
      <w:r>
        <w:rPr>
          <w:rFonts w:hint="eastAsia" w:ascii="黑体" w:hAnsi="黑体" w:eastAsia="黑体" w:cs="黑体"/>
          <w:bCs/>
          <w:color w:val="auto"/>
          <w:sz w:val="22"/>
          <w:szCs w:val="22"/>
          <w:highlight w:val="none"/>
          <w:lang w:eastAsia="zh-CN"/>
        </w:rPr>
        <w:t>：</w:t>
      </w:r>
      <w:r>
        <w:rPr>
          <w:rFonts w:hint="eastAsia" w:ascii="宋体" w:hAnsi="宋体" w:cs="宋体"/>
          <w:color w:val="auto"/>
          <w:sz w:val="22"/>
          <w:szCs w:val="22"/>
          <w:highlight w:val="none"/>
          <w:lang w:eastAsia="zh-CN"/>
        </w:rPr>
        <w:t>标段内各公办义务教育学校食堂</w:t>
      </w:r>
      <w:bookmarkEnd w:id="49"/>
    </w:p>
    <w:p w14:paraId="5C2F370C">
      <w:pPr>
        <w:shd w:val="clear"/>
        <w:snapToGrid w:val="0"/>
        <w:spacing w:line="360" w:lineRule="auto"/>
        <w:ind w:firstLine="440" w:firstLineChars="200"/>
        <w:outlineLvl w:val="2"/>
        <w:rPr>
          <w:rFonts w:hint="eastAsia" w:ascii="宋体" w:hAnsi="宋体" w:eastAsia="宋体" w:cs="宋体"/>
          <w:bCs/>
          <w:color w:val="auto"/>
          <w:sz w:val="22"/>
          <w:szCs w:val="22"/>
          <w:highlight w:val="none"/>
        </w:rPr>
      </w:pPr>
      <w:bookmarkStart w:id="50" w:name="_Toc26629"/>
      <w:r>
        <w:rPr>
          <w:rFonts w:hint="eastAsia" w:ascii="黑体" w:hAnsi="黑体" w:eastAsia="黑体" w:cs="黑体"/>
          <w:bCs/>
          <w:color w:val="auto"/>
          <w:sz w:val="22"/>
          <w:szCs w:val="22"/>
          <w:highlight w:val="none"/>
        </w:rPr>
        <w:t>6</w:t>
      </w:r>
      <w:r>
        <w:rPr>
          <w:rFonts w:hint="eastAsia" w:ascii="黑体" w:hAnsi="黑体" w:eastAsia="黑体" w:cs="黑体"/>
          <w:bCs/>
          <w:color w:val="auto"/>
          <w:sz w:val="22"/>
          <w:szCs w:val="22"/>
          <w:highlight w:val="none"/>
          <w:lang w:val="en-US" w:eastAsia="zh-CN"/>
        </w:rPr>
        <w:t>.</w:t>
      </w:r>
      <w:r>
        <w:rPr>
          <w:rFonts w:hint="eastAsia" w:ascii="黑体" w:hAnsi="黑体" w:eastAsia="黑体" w:cs="黑体"/>
          <w:bCs/>
          <w:color w:val="auto"/>
          <w:sz w:val="22"/>
          <w:szCs w:val="22"/>
          <w:highlight w:val="none"/>
        </w:rPr>
        <w:t>服务期限：</w:t>
      </w:r>
      <w:r>
        <w:rPr>
          <w:rFonts w:hint="eastAsia" w:ascii="宋体" w:hAnsi="宋体" w:eastAsia="宋体" w:cs="宋体"/>
          <w:bCs/>
          <w:color w:val="auto"/>
          <w:sz w:val="22"/>
          <w:szCs w:val="22"/>
          <w:highlight w:val="none"/>
          <w:lang w:eastAsia="zh-CN"/>
        </w:rPr>
        <w:t>本项目的配送服务</w:t>
      </w:r>
      <w:r>
        <w:rPr>
          <w:rFonts w:hint="eastAsia" w:ascii="宋体" w:hAnsi="宋体" w:eastAsia="宋体" w:cs="宋体"/>
          <w:bCs/>
          <w:color w:val="auto"/>
          <w:sz w:val="22"/>
          <w:szCs w:val="22"/>
          <w:highlight w:val="none"/>
        </w:rPr>
        <w:t>需求具有相对固定性、延续性且价格变化幅度小，采取“一采三年”、合同“一年一签”方式的（具体时间以签订合同为准）。</w:t>
      </w:r>
      <w:bookmarkEnd w:id="50"/>
    </w:p>
    <w:p w14:paraId="6D3A6BDC">
      <w:pPr>
        <w:shd w:val="clear"/>
        <w:snapToGrid w:val="0"/>
        <w:spacing w:line="360" w:lineRule="auto"/>
        <w:ind w:firstLine="440" w:firstLineChars="200"/>
        <w:outlineLvl w:val="2"/>
        <w:rPr>
          <w:rFonts w:hint="eastAsia" w:ascii="宋体" w:hAnsi="宋体" w:eastAsia="宋体" w:cs="宋体"/>
          <w:bCs/>
          <w:color w:val="auto"/>
          <w:sz w:val="22"/>
          <w:szCs w:val="22"/>
          <w:highlight w:val="none"/>
        </w:rPr>
      </w:pPr>
      <w:bookmarkStart w:id="51" w:name="_Toc19391"/>
      <w:r>
        <w:rPr>
          <w:rFonts w:hint="eastAsia" w:ascii="黑体" w:hAnsi="黑体" w:eastAsia="黑体" w:cs="黑体"/>
          <w:bCs/>
          <w:color w:val="auto"/>
          <w:sz w:val="22"/>
          <w:szCs w:val="22"/>
          <w:highlight w:val="none"/>
        </w:rPr>
        <w:t>7</w:t>
      </w:r>
      <w:r>
        <w:rPr>
          <w:rFonts w:hint="eastAsia" w:ascii="黑体" w:hAnsi="黑体" w:eastAsia="黑体" w:cs="黑体"/>
          <w:bCs/>
          <w:color w:val="auto"/>
          <w:sz w:val="22"/>
          <w:szCs w:val="22"/>
          <w:highlight w:val="none"/>
          <w:lang w:val="en-US" w:eastAsia="zh-CN"/>
        </w:rPr>
        <w:t>.</w:t>
      </w:r>
      <w:r>
        <w:rPr>
          <w:rFonts w:hint="eastAsia" w:ascii="黑体" w:hAnsi="黑体" w:eastAsia="黑体" w:cs="黑体"/>
          <w:bCs/>
          <w:color w:val="auto"/>
          <w:sz w:val="22"/>
          <w:szCs w:val="22"/>
          <w:highlight w:val="none"/>
        </w:rPr>
        <w:t>服务质量：</w:t>
      </w:r>
      <w:r>
        <w:rPr>
          <w:rFonts w:hint="eastAsia" w:ascii="宋体" w:hAnsi="宋体" w:eastAsia="宋体" w:cs="宋体"/>
          <w:bCs/>
          <w:color w:val="auto"/>
          <w:sz w:val="22"/>
          <w:szCs w:val="22"/>
          <w:highlight w:val="none"/>
        </w:rPr>
        <w:t>符合相关法律法规并满足招标人要求。</w:t>
      </w:r>
      <w:bookmarkEnd w:id="51"/>
    </w:p>
    <w:p w14:paraId="4810103D">
      <w:pPr>
        <w:shd w:val="clear"/>
        <w:snapToGrid w:val="0"/>
        <w:spacing w:line="360" w:lineRule="auto"/>
        <w:ind w:firstLine="440" w:firstLineChars="200"/>
        <w:outlineLvl w:val="2"/>
        <w:rPr>
          <w:rFonts w:hint="eastAsia" w:ascii="宋体" w:hAnsi="宋体" w:eastAsia="宋体" w:cs="宋体"/>
          <w:bCs/>
          <w:color w:val="auto"/>
          <w:sz w:val="22"/>
          <w:szCs w:val="22"/>
          <w:highlight w:val="none"/>
          <w:lang w:eastAsia="zh-CN"/>
        </w:rPr>
      </w:pPr>
      <w:bookmarkStart w:id="52" w:name="_Toc18621"/>
      <w:r>
        <w:rPr>
          <w:rFonts w:hint="eastAsia" w:ascii="黑体" w:hAnsi="黑体" w:eastAsia="黑体" w:cs="黑体"/>
          <w:bCs/>
          <w:color w:val="auto"/>
          <w:sz w:val="22"/>
          <w:szCs w:val="22"/>
          <w:highlight w:val="none"/>
        </w:rPr>
        <w:t>8.付款方式：</w:t>
      </w:r>
      <w:r>
        <w:rPr>
          <w:rFonts w:hint="eastAsia" w:ascii="宋体" w:hAnsi="宋体" w:eastAsia="宋体" w:cs="宋体"/>
          <w:bCs/>
          <w:color w:val="auto"/>
          <w:sz w:val="22"/>
          <w:szCs w:val="22"/>
          <w:highlight w:val="none"/>
        </w:rPr>
        <w:t>以合同签订为准</w:t>
      </w:r>
      <w:r>
        <w:rPr>
          <w:rFonts w:hint="eastAsia" w:ascii="宋体" w:hAnsi="宋体" w:eastAsia="宋体" w:cs="宋体"/>
          <w:bCs/>
          <w:color w:val="auto"/>
          <w:sz w:val="22"/>
          <w:szCs w:val="22"/>
          <w:highlight w:val="none"/>
          <w:lang w:eastAsia="zh-CN"/>
        </w:rPr>
        <w:t>。</w:t>
      </w:r>
      <w:bookmarkEnd w:id="52"/>
    </w:p>
    <w:p w14:paraId="11CA66A7">
      <w:pPr>
        <w:shd w:val="clear"/>
        <w:wordWrap w:val="0"/>
        <w:ind w:firstLine="440" w:firstLineChars="200"/>
        <w:outlineLvl w:val="2"/>
        <w:rPr>
          <w:rFonts w:hint="eastAsia" w:ascii="黑体" w:hAnsi="黑体" w:eastAsia="黑体" w:cs="黑体"/>
          <w:bCs/>
          <w:color w:val="auto"/>
          <w:sz w:val="22"/>
          <w:szCs w:val="22"/>
          <w:highlight w:val="none"/>
        </w:rPr>
      </w:pPr>
      <w:bookmarkStart w:id="53" w:name="_Toc25075"/>
      <w:r>
        <w:rPr>
          <w:rFonts w:hint="eastAsia" w:ascii="黑体" w:hAnsi="黑体" w:eastAsia="黑体" w:cs="黑体"/>
          <w:bCs/>
          <w:color w:val="auto"/>
          <w:sz w:val="22"/>
          <w:szCs w:val="22"/>
          <w:highlight w:val="none"/>
          <w:lang w:val="en-US" w:eastAsia="zh-CN"/>
        </w:rPr>
        <w:t>9.</w:t>
      </w:r>
      <w:r>
        <w:rPr>
          <w:rFonts w:hint="eastAsia" w:ascii="黑体" w:hAnsi="黑体" w:eastAsia="黑体" w:cs="黑体"/>
          <w:bCs/>
          <w:color w:val="auto"/>
          <w:sz w:val="22"/>
          <w:szCs w:val="22"/>
          <w:highlight w:val="none"/>
        </w:rPr>
        <w:t>本项目不接受联合体投标。</w:t>
      </w:r>
      <w:bookmarkEnd w:id="53"/>
    </w:p>
    <w:p w14:paraId="0AEB6668">
      <w:pPr>
        <w:shd w:val="clear"/>
        <w:wordWrap w:val="0"/>
        <w:ind w:firstLine="440" w:firstLineChars="200"/>
        <w:outlineLvl w:val="2"/>
        <w:rPr>
          <w:rFonts w:hint="eastAsia" w:ascii="黑体" w:hAnsi="黑体" w:eastAsia="黑体" w:cs="黑体"/>
          <w:bCs/>
          <w:color w:val="auto"/>
          <w:sz w:val="22"/>
          <w:szCs w:val="22"/>
          <w:highlight w:val="none"/>
          <w:lang w:val="en-US" w:eastAsia="zh-CN"/>
        </w:rPr>
      </w:pPr>
      <w:bookmarkStart w:id="54" w:name="_Toc2993"/>
      <w:r>
        <w:rPr>
          <w:rFonts w:hint="eastAsia" w:ascii="黑体" w:hAnsi="黑体" w:eastAsia="黑体" w:cs="黑体"/>
          <w:bCs/>
          <w:color w:val="auto"/>
          <w:sz w:val="22"/>
          <w:szCs w:val="22"/>
          <w:highlight w:val="none"/>
          <w:lang w:val="en-US" w:eastAsia="zh-CN"/>
        </w:rPr>
        <w:t>10.本项目由</w:t>
      </w:r>
      <w:r>
        <w:rPr>
          <w:rFonts w:hint="eastAsia" w:ascii="黑体" w:hAnsi="黑体" w:eastAsia="黑体" w:cs="黑体"/>
          <w:bCs/>
          <w:color w:val="auto"/>
          <w:sz w:val="22"/>
          <w:szCs w:val="22"/>
          <w:highlight w:val="none"/>
          <w:lang w:eastAsia="zh-CN"/>
        </w:rPr>
        <w:t>配送服务</w:t>
      </w:r>
      <w:r>
        <w:rPr>
          <w:rFonts w:hint="eastAsia" w:ascii="黑体" w:hAnsi="黑体" w:eastAsia="黑体" w:cs="黑体"/>
          <w:bCs/>
          <w:color w:val="auto"/>
          <w:sz w:val="22"/>
          <w:szCs w:val="22"/>
          <w:highlight w:val="none"/>
        </w:rPr>
        <w:t>供应商</w:t>
      </w:r>
      <w:r>
        <w:rPr>
          <w:rFonts w:hint="eastAsia" w:ascii="黑体" w:hAnsi="黑体" w:eastAsia="黑体" w:cs="黑体"/>
          <w:bCs/>
          <w:color w:val="auto"/>
          <w:sz w:val="22"/>
          <w:szCs w:val="22"/>
          <w:highlight w:val="none"/>
          <w:lang w:eastAsia="zh-CN"/>
        </w:rPr>
        <w:t>自行进行</w:t>
      </w:r>
      <w:r>
        <w:rPr>
          <w:rFonts w:hint="eastAsia" w:ascii="黑体" w:hAnsi="黑体" w:eastAsia="黑体" w:cs="黑体"/>
          <w:bCs/>
          <w:color w:val="auto"/>
          <w:sz w:val="22"/>
          <w:szCs w:val="22"/>
          <w:highlight w:val="none"/>
          <w:lang w:val="en-US" w:eastAsia="zh-CN"/>
        </w:rPr>
        <w:t>配送运输路线等情况的现场踏勘</w:t>
      </w:r>
      <w:bookmarkStart w:id="55" w:name="_Toc17919"/>
      <w:r>
        <w:rPr>
          <w:rFonts w:hint="eastAsia" w:ascii="黑体" w:hAnsi="黑体" w:eastAsia="黑体" w:cs="黑体"/>
          <w:bCs/>
          <w:color w:val="auto"/>
          <w:sz w:val="22"/>
          <w:szCs w:val="22"/>
          <w:highlight w:val="none"/>
          <w:lang w:val="en-US" w:eastAsia="zh-CN"/>
        </w:rPr>
        <w:t>。</w:t>
      </w:r>
      <w:bookmarkEnd w:id="54"/>
    </w:p>
    <w:p w14:paraId="4705E956">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56" w:name="_Toc31885"/>
      <w:r>
        <w:rPr>
          <w:rFonts w:hint="eastAsia" w:ascii="黑体" w:hAnsi="黑体" w:eastAsia="黑体" w:cs="黑体"/>
          <w:b/>
          <w:bCs w:val="0"/>
          <w:color w:val="auto"/>
          <w:sz w:val="22"/>
          <w:szCs w:val="22"/>
          <w:highlight w:val="none"/>
          <w:lang w:eastAsia="zh-CN"/>
        </w:rPr>
        <w:t>二、</w:t>
      </w:r>
      <w:r>
        <w:rPr>
          <w:rFonts w:hint="eastAsia" w:ascii="黑体" w:hAnsi="黑体" w:eastAsia="黑体" w:cs="黑体"/>
          <w:b/>
          <w:bCs w:val="0"/>
          <w:color w:val="auto"/>
          <w:sz w:val="22"/>
          <w:szCs w:val="22"/>
          <w:highlight w:val="none"/>
        </w:rPr>
        <w:t>申请人的资格要求</w:t>
      </w:r>
      <w:bookmarkEnd w:id="55"/>
      <w:bookmarkEnd w:id="56"/>
      <w:bookmarkStart w:id="57" w:name="_Toc8742"/>
    </w:p>
    <w:p w14:paraId="78DD6AEA">
      <w:pPr>
        <w:shd w:val="clear"/>
        <w:wordWrap w:val="0"/>
        <w:ind w:firstLine="440" w:firstLineChars="200"/>
        <w:outlineLvl w:val="2"/>
        <w:rPr>
          <w:rFonts w:hint="eastAsia" w:ascii="黑体" w:hAnsi="黑体" w:eastAsia="黑体" w:cs="黑体"/>
          <w:bCs/>
          <w:color w:val="auto"/>
          <w:sz w:val="22"/>
          <w:szCs w:val="22"/>
          <w:highlight w:val="none"/>
        </w:rPr>
      </w:pPr>
      <w:bookmarkStart w:id="58" w:name="_Toc13603"/>
      <w:bookmarkStart w:id="59" w:name="OLE_LINK22"/>
      <w:r>
        <w:rPr>
          <w:rFonts w:hint="eastAsia" w:ascii="黑体" w:hAnsi="黑体" w:eastAsia="黑体" w:cs="黑体"/>
          <w:bCs/>
          <w:color w:val="auto"/>
          <w:sz w:val="22"/>
          <w:szCs w:val="22"/>
          <w:highlight w:val="none"/>
          <w:lang w:val="en-US" w:eastAsia="zh-CN"/>
        </w:rPr>
        <w:t>1.</w:t>
      </w:r>
      <w:r>
        <w:rPr>
          <w:rFonts w:hint="eastAsia" w:ascii="黑体" w:hAnsi="黑体" w:eastAsia="黑体" w:cs="黑体"/>
          <w:bCs/>
          <w:color w:val="auto"/>
          <w:sz w:val="22"/>
          <w:szCs w:val="22"/>
          <w:highlight w:val="none"/>
        </w:rPr>
        <w:t>满足《中华人民共和国政府采购法》第二十二条规定；</w:t>
      </w:r>
      <w:bookmarkEnd w:id="57"/>
      <w:bookmarkEnd w:id="58"/>
    </w:p>
    <w:p w14:paraId="172F946E">
      <w:pPr>
        <w:pStyle w:val="12"/>
        <w:shd w:val="clear"/>
        <w:rPr>
          <w:rFonts w:hint="eastAsia"/>
          <w:color w:val="auto"/>
          <w:sz w:val="22"/>
          <w:szCs w:val="22"/>
          <w:highlight w:val="none"/>
        </w:rPr>
      </w:pPr>
      <w:r>
        <w:rPr>
          <w:rFonts w:hint="eastAsia"/>
          <w:color w:val="auto"/>
          <w:sz w:val="22"/>
          <w:szCs w:val="22"/>
          <w:highlight w:val="none"/>
          <w:lang w:val="en-US" w:eastAsia="zh-CN"/>
        </w:rPr>
        <w:t>1.1</w:t>
      </w:r>
      <w:r>
        <w:rPr>
          <w:rFonts w:hint="eastAsia"/>
          <w:color w:val="auto"/>
          <w:sz w:val="22"/>
          <w:szCs w:val="22"/>
          <w:highlight w:val="none"/>
        </w:rPr>
        <w:t>具有独立承担民事责任的能力，须提供法人或者其他组织的营业执照等证明文件，自然人的身份证明。</w:t>
      </w:r>
    </w:p>
    <w:p w14:paraId="0E6290EA">
      <w:pPr>
        <w:pStyle w:val="12"/>
        <w:shd w:val="clear"/>
        <w:rPr>
          <w:color w:val="auto"/>
          <w:sz w:val="22"/>
          <w:szCs w:val="22"/>
          <w:highlight w:val="none"/>
        </w:rPr>
      </w:pPr>
      <w:r>
        <w:rPr>
          <w:rFonts w:hint="eastAsia"/>
          <w:color w:val="auto"/>
          <w:sz w:val="22"/>
          <w:szCs w:val="22"/>
          <w:highlight w:val="none"/>
          <w:lang w:val="en-US" w:eastAsia="zh-CN"/>
        </w:rPr>
        <w:t>1.2</w:t>
      </w:r>
      <w:r>
        <w:rPr>
          <w:rFonts w:hint="eastAsia"/>
          <w:color w:val="auto"/>
          <w:sz w:val="22"/>
          <w:szCs w:val="22"/>
          <w:highlight w:val="none"/>
        </w:rPr>
        <w:t>具有良好的商业信誉和健全的财务会计制度，提供近</w:t>
      </w:r>
      <w:r>
        <w:rPr>
          <w:rFonts w:hint="eastAsia"/>
          <w:color w:val="auto"/>
          <w:sz w:val="22"/>
          <w:szCs w:val="22"/>
          <w:highlight w:val="none"/>
          <w:lang w:val="en-US" w:eastAsia="zh-CN"/>
        </w:rPr>
        <w:t>2</w:t>
      </w:r>
      <w:r>
        <w:rPr>
          <w:rFonts w:hint="eastAsia"/>
          <w:color w:val="auto"/>
          <w:sz w:val="22"/>
          <w:szCs w:val="22"/>
          <w:highlight w:val="none"/>
        </w:rPr>
        <w:t>年</w:t>
      </w:r>
      <w:r>
        <w:rPr>
          <w:rFonts w:hint="eastAsia"/>
          <w:color w:val="auto"/>
          <w:sz w:val="22"/>
          <w:szCs w:val="22"/>
          <w:highlight w:val="none"/>
          <w:lang w:eastAsia="zh-CN"/>
        </w:rPr>
        <w:t>（</w:t>
      </w:r>
      <w:r>
        <w:rPr>
          <w:rFonts w:hint="eastAsia"/>
          <w:color w:val="auto"/>
          <w:sz w:val="22"/>
          <w:szCs w:val="22"/>
          <w:highlight w:val="none"/>
        </w:rPr>
        <w:t>202</w:t>
      </w:r>
      <w:r>
        <w:rPr>
          <w:rFonts w:hint="eastAsia"/>
          <w:color w:val="auto"/>
          <w:sz w:val="22"/>
          <w:szCs w:val="22"/>
          <w:highlight w:val="none"/>
          <w:lang w:val="en-US" w:eastAsia="zh-CN"/>
        </w:rPr>
        <w:t>2</w:t>
      </w:r>
      <w:r>
        <w:rPr>
          <w:rFonts w:hint="eastAsia"/>
          <w:color w:val="auto"/>
          <w:sz w:val="22"/>
          <w:szCs w:val="22"/>
          <w:highlight w:val="none"/>
          <w:lang w:eastAsia="zh-CN"/>
        </w:rPr>
        <w:t>年至</w:t>
      </w:r>
      <w:r>
        <w:rPr>
          <w:rFonts w:hint="eastAsia"/>
          <w:color w:val="auto"/>
          <w:sz w:val="22"/>
          <w:szCs w:val="22"/>
          <w:highlight w:val="none"/>
        </w:rPr>
        <w:t>2023年</w:t>
      </w:r>
      <w:r>
        <w:rPr>
          <w:rFonts w:hint="eastAsia"/>
          <w:color w:val="auto"/>
          <w:sz w:val="22"/>
          <w:szCs w:val="22"/>
          <w:highlight w:val="none"/>
          <w:lang w:eastAsia="zh-CN"/>
        </w:rPr>
        <w:t>）经</w:t>
      </w:r>
      <w:r>
        <w:rPr>
          <w:rFonts w:hint="eastAsia"/>
          <w:color w:val="auto"/>
          <w:sz w:val="22"/>
          <w:szCs w:val="22"/>
          <w:highlight w:val="none"/>
        </w:rPr>
        <w:t>会计师事务所</w:t>
      </w:r>
      <w:r>
        <w:rPr>
          <w:rFonts w:hint="eastAsia"/>
          <w:color w:val="auto"/>
          <w:sz w:val="22"/>
          <w:szCs w:val="22"/>
          <w:highlight w:val="none"/>
          <w:lang w:eastAsia="zh-CN"/>
        </w:rPr>
        <w:t>出具的</w:t>
      </w:r>
      <w:r>
        <w:rPr>
          <w:rFonts w:hint="eastAsia"/>
          <w:color w:val="auto"/>
          <w:sz w:val="22"/>
          <w:szCs w:val="22"/>
          <w:highlight w:val="none"/>
        </w:rPr>
        <w:t>审计报告，应当包含报告正文、资产负债表、利润表、现金流量表及所有者权益变动表（无所有者权益表的提供书面说明）。根据《财政部关于注册会计师行业统一监管平台上线运行的通知》（财办〔2022〕32号）的规定，2022年、2023年审计报告须在统一监管平台进行自动赋码验证，未赋码的视为审计报告无效。如成立未满一年的公司提供</w:t>
      </w:r>
      <w:r>
        <w:rPr>
          <w:rFonts w:hint="eastAsia"/>
          <w:color w:val="auto"/>
          <w:sz w:val="22"/>
          <w:szCs w:val="22"/>
          <w:highlight w:val="none"/>
          <w:lang w:eastAsia="zh-CN"/>
        </w:rPr>
        <w:t>基本账户</w:t>
      </w:r>
      <w:r>
        <w:rPr>
          <w:rFonts w:hint="eastAsia"/>
          <w:color w:val="auto"/>
          <w:sz w:val="22"/>
          <w:szCs w:val="22"/>
          <w:highlight w:val="none"/>
        </w:rPr>
        <w:t>开户银行出具的近三个月资信证明或财政部门认可的政府采购专业担保机构出具的招标担保函；</w:t>
      </w:r>
    </w:p>
    <w:p w14:paraId="2885B2EA">
      <w:pPr>
        <w:pStyle w:val="12"/>
        <w:shd w:val="clear"/>
        <w:rPr>
          <w:rFonts w:hint="eastAsia"/>
          <w:color w:val="auto"/>
          <w:sz w:val="22"/>
          <w:szCs w:val="22"/>
          <w:highlight w:val="none"/>
        </w:rPr>
      </w:pPr>
      <w:r>
        <w:rPr>
          <w:rFonts w:hint="eastAsia"/>
          <w:color w:val="auto"/>
          <w:sz w:val="22"/>
          <w:szCs w:val="22"/>
          <w:highlight w:val="none"/>
          <w:lang w:val="en-US" w:eastAsia="zh-CN"/>
        </w:rPr>
        <w:t>1.3</w:t>
      </w:r>
      <w:r>
        <w:rPr>
          <w:rFonts w:hint="eastAsia"/>
          <w:color w:val="auto"/>
          <w:sz w:val="22"/>
          <w:szCs w:val="22"/>
          <w:highlight w:val="none"/>
        </w:rPr>
        <w:t>具有依法缴纳税收和社会保障资金的良好记录，须提供2023年至</w:t>
      </w:r>
      <w:r>
        <w:rPr>
          <w:rFonts w:hint="eastAsia"/>
          <w:color w:val="auto"/>
          <w:sz w:val="22"/>
          <w:szCs w:val="22"/>
          <w:highlight w:val="none"/>
          <w:lang w:eastAsia="zh-CN"/>
        </w:rPr>
        <w:t>开标截止日</w:t>
      </w:r>
      <w:r>
        <w:rPr>
          <w:rFonts w:hint="eastAsia"/>
          <w:color w:val="auto"/>
          <w:sz w:val="22"/>
          <w:szCs w:val="22"/>
          <w:highlight w:val="none"/>
        </w:rPr>
        <w:t>任意</w:t>
      </w:r>
      <w:r>
        <w:rPr>
          <w:rFonts w:hint="eastAsia"/>
          <w:color w:val="auto"/>
          <w:sz w:val="22"/>
          <w:szCs w:val="22"/>
          <w:highlight w:val="none"/>
          <w:lang w:val="en-US" w:eastAsia="zh-CN"/>
        </w:rPr>
        <w:t>6</w:t>
      </w:r>
      <w:r>
        <w:rPr>
          <w:rFonts w:hint="eastAsia"/>
          <w:color w:val="auto"/>
          <w:sz w:val="22"/>
          <w:szCs w:val="22"/>
          <w:highlight w:val="none"/>
        </w:rPr>
        <w:t>个月依法缴纳税收</w:t>
      </w:r>
      <w:r>
        <w:rPr>
          <w:rFonts w:hint="eastAsia"/>
          <w:color w:val="auto"/>
          <w:sz w:val="22"/>
          <w:szCs w:val="22"/>
          <w:highlight w:val="none"/>
          <w:lang w:eastAsia="zh-CN"/>
        </w:rPr>
        <w:t>（认定税种不包括个人所得税）</w:t>
      </w:r>
      <w:r>
        <w:rPr>
          <w:rFonts w:hint="eastAsia"/>
          <w:color w:val="auto"/>
          <w:sz w:val="22"/>
          <w:szCs w:val="22"/>
          <w:highlight w:val="none"/>
        </w:rPr>
        <w:t>和缴纳社会保障资金的证明</w:t>
      </w:r>
      <w:r>
        <w:rPr>
          <w:rFonts w:hint="eastAsia"/>
          <w:color w:val="auto"/>
          <w:sz w:val="22"/>
          <w:szCs w:val="22"/>
          <w:highlight w:val="none"/>
          <w:lang w:eastAsia="zh-CN"/>
        </w:rPr>
        <w:t>。</w:t>
      </w:r>
      <w:r>
        <w:rPr>
          <w:rFonts w:hint="eastAsia"/>
          <w:color w:val="auto"/>
          <w:sz w:val="22"/>
          <w:szCs w:val="22"/>
          <w:highlight w:val="none"/>
        </w:rPr>
        <w:t>工商登记注册之日起未满1个月的提供成立以来依法缴纳税收</w:t>
      </w:r>
      <w:r>
        <w:rPr>
          <w:rFonts w:hint="eastAsia"/>
          <w:color w:val="auto"/>
          <w:sz w:val="22"/>
          <w:szCs w:val="22"/>
          <w:highlight w:val="none"/>
          <w:lang w:eastAsia="zh-CN"/>
        </w:rPr>
        <w:t>（认定税种不包括个人所得税）</w:t>
      </w:r>
      <w:r>
        <w:rPr>
          <w:rFonts w:hint="eastAsia"/>
          <w:color w:val="auto"/>
          <w:sz w:val="22"/>
          <w:szCs w:val="22"/>
          <w:highlight w:val="none"/>
        </w:rPr>
        <w:t>和社会保障资金缴纳凭证或相关情况说明；依法免税的供应商，应提供依法免税的相应文件证明、不需要缴纳社会保障资金的供应商，应提供不需要缴纳社会保障资金的相应文件证明。</w:t>
      </w:r>
    </w:p>
    <w:p w14:paraId="66B132D1">
      <w:pPr>
        <w:pStyle w:val="12"/>
        <w:shd w:val="clear"/>
        <w:rPr>
          <w:rFonts w:hint="eastAsia"/>
          <w:color w:val="auto"/>
          <w:sz w:val="22"/>
          <w:szCs w:val="22"/>
          <w:highlight w:val="none"/>
        </w:rPr>
      </w:pPr>
      <w:r>
        <w:rPr>
          <w:rFonts w:hint="eastAsia"/>
          <w:color w:val="auto"/>
          <w:sz w:val="22"/>
          <w:szCs w:val="22"/>
          <w:highlight w:val="none"/>
          <w:lang w:val="en-US" w:eastAsia="zh-CN"/>
        </w:rPr>
        <w:t>1.4</w:t>
      </w:r>
      <w:r>
        <w:rPr>
          <w:rFonts w:hint="eastAsia"/>
          <w:color w:val="auto"/>
          <w:sz w:val="22"/>
          <w:szCs w:val="22"/>
          <w:highlight w:val="none"/>
        </w:rPr>
        <w:t>具有履行合同所必需的设施设备、专业技术能力、质量保证体系和固定的生产经营、服务场地（提供</w:t>
      </w:r>
      <w:r>
        <w:rPr>
          <w:rFonts w:hint="eastAsia"/>
          <w:color w:val="auto"/>
          <w:sz w:val="22"/>
          <w:szCs w:val="22"/>
          <w:highlight w:val="none"/>
          <w:lang w:eastAsia="zh-CN"/>
        </w:rPr>
        <w:t>书面</w:t>
      </w:r>
      <w:r>
        <w:rPr>
          <w:rFonts w:hint="eastAsia"/>
          <w:color w:val="auto"/>
          <w:sz w:val="22"/>
          <w:szCs w:val="22"/>
          <w:highlight w:val="none"/>
        </w:rPr>
        <w:t>承诺声明）</w:t>
      </w:r>
      <w:r>
        <w:rPr>
          <w:rFonts w:hint="eastAsia"/>
          <w:color w:val="auto"/>
          <w:sz w:val="22"/>
          <w:szCs w:val="22"/>
          <w:highlight w:val="none"/>
          <w:lang w:eastAsia="zh-CN"/>
        </w:rPr>
        <w:t>。</w:t>
      </w:r>
    </w:p>
    <w:p w14:paraId="008FACA3">
      <w:pPr>
        <w:pStyle w:val="12"/>
        <w:shd w:val="clear"/>
        <w:rPr>
          <w:rFonts w:hint="eastAsia" w:eastAsia="宋体"/>
          <w:color w:val="auto"/>
          <w:sz w:val="22"/>
          <w:szCs w:val="22"/>
          <w:highlight w:val="none"/>
          <w:lang w:eastAsia="zh-CN"/>
        </w:rPr>
      </w:pPr>
      <w:r>
        <w:rPr>
          <w:rFonts w:hint="eastAsia"/>
          <w:color w:val="auto"/>
          <w:sz w:val="22"/>
          <w:szCs w:val="22"/>
          <w:highlight w:val="none"/>
          <w:lang w:val="en-US" w:eastAsia="zh-CN"/>
        </w:rPr>
        <w:t>1.5</w:t>
      </w:r>
      <w:r>
        <w:rPr>
          <w:rFonts w:hint="eastAsia"/>
          <w:color w:val="auto"/>
          <w:sz w:val="22"/>
          <w:szCs w:val="22"/>
          <w:highlight w:val="none"/>
        </w:rPr>
        <w:t>参加采购活动前3年内，在经营活动中没有受到刑事</w:t>
      </w:r>
      <w:r>
        <w:rPr>
          <w:rFonts w:hint="eastAsia"/>
          <w:color w:val="auto"/>
          <w:sz w:val="22"/>
          <w:szCs w:val="22"/>
          <w:highlight w:val="none"/>
          <w:lang w:eastAsia="zh-CN"/>
        </w:rPr>
        <w:t>处理</w:t>
      </w:r>
      <w:r>
        <w:rPr>
          <w:rFonts w:hint="eastAsia"/>
          <w:color w:val="auto"/>
          <w:sz w:val="22"/>
          <w:szCs w:val="22"/>
          <w:highlight w:val="none"/>
        </w:rPr>
        <w:t>或者责令停产停业、吊销许可证或者执照、</w:t>
      </w:r>
      <w:r>
        <w:rPr>
          <w:rFonts w:hint="eastAsia"/>
          <w:color w:val="auto"/>
          <w:sz w:val="22"/>
          <w:szCs w:val="22"/>
          <w:highlight w:val="none"/>
          <w:lang w:eastAsia="zh-CN"/>
        </w:rPr>
        <w:t>行政处理及罚</w:t>
      </w:r>
      <w:r>
        <w:rPr>
          <w:rFonts w:hint="eastAsia"/>
          <w:color w:val="auto"/>
          <w:sz w:val="22"/>
          <w:szCs w:val="22"/>
          <w:highlight w:val="none"/>
        </w:rPr>
        <w:t>款等违法记录（提供供应商承诺声明）</w:t>
      </w:r>
      <w:r>
        <w:rPr>
          <w:rFonts w:hint="eastAsia"/>
          <w:color w:val="auto"/>
          <w:sz w:val="22"/>
          <w:szCs w:val="22"/>
          <w:highlight w:val="none"/>
          <w:lang w:eastAsia="zh-CN"/>
        </w:rPr>
        <w:t>。</w:t>
      </w:r>
    </w:p>
    <w:p w14:paraId="16BBFE05">
      <w:pPr>
        <w:shd w:val="clear"/>
        <w:wordWrap w:val="0"/>
        <w:ind w:firstLine="440" w:firstLineChars="200"/>
        <w:rPr>
          <w:rFonts w:ascii="宋体" w:hAnsi="宋体" w:eastAsia="宋体" w:cs="宋体"/>
          <w:bCs/>
          <w:color w:val="auto"/>
          <w:sz w:val="22"/>
          <w:szCs w:val="22"/>
          <w:highlight w:val="none"/>
          <w:lang w:val="en-US"/>
        </w:rPr>
      </w:pPr>
      <w:r>
        <w:rPr>
          <w:rFonts w:hint="eastAsia" w:ascii="宋体" w:hAnsi="宋体" w:cs="宋体"/>
          <w:bCs/>
          <w:color w:val="auto"/>
          <w:sz w:val="22"/>
          <w:szCs w:val="22"/>
          <w:highlight w:val="none"/>
          <w:lang w:val="en-US" w:eastAsia="zh-CN"/>
        </w:rPr>
        <w:t>1.6</w:t>
      </w:r>
      <w:r>
        <w:rPr>
          <w:rFonts w:hint="eastAsia" w:ascii="宋体" w:hAnsi="宋体" w:eastAsia="宋体" w:cs="宋体"/>
          <w:bCs/>
          <w:color w:val="auto"/>
          <w:sz w:val="22"/>
          <w:szCs w:val="22"/>
          <w:highlight w:val="none"/>
          <w:lang w:val="zh-CN"/>
        </w:rPr>
        <w:t>按照《财政部关于在政府采购活动中查询及使用信用记录有关问题的通知》</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财库</w:t>
      </w:r>
      <w:r>
        <w:rPr>
          <w:rFonts w:ascii="宋体" w:hAnsi="宋体" w:eastAsia="宋体" w:cs="宋体"/>
          <w:bCs/>
          <w:color w:val="auto"/>
          <w:sz w:val="22"/>
          <w:szCs w:val="22"/>
          <w:highlight w:val="none"/>
          <w:lang w:val="en-US"/>
        </w:rPr>
        <w:t>[2016]125</w:t>
      </w:r>
      <w:r>
        <w:rPr>
          <w:rFonts w:hint="eastAsia" w:ascii="宋体" w:hAnsi="宋体" w:eastAsia="宋体" w:cs="宋体"/>
          <w:bCs/>
          <w:color w:val="auto"/>
          <w:sz w:val="22"/>
          <w:szCs w:val="22"/>
          <w:highlight w:val="none"/>
          <w:lang w:val="zh-CN"/>
        </w:rPr>
        <w:t>号</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相关要求</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投标人应在</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信用中国</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网站</w:t>
      </w:r>
      <w:r>
        <w:rPr>
          <w:rFonts w:hint="eastAsia" w:ascii="宋体" w:hAnsi="宋体" w:eastAsia="宋体" w:cs="宋体"/>
          <w:bCs/>
          <w:color w:val="auto"/>
          <w:sz w:val="22"/>
          <w:szCs w:val="22"/>
          <w:highlight w:val="none"/>
          <w:lang w:val="en-US"/>
        </w:rPr>
        <w:t>（</w:t>
      </w:r>
      <w:r>
        <w:rPr>
          <w:rFonts w:ascii="宋体" w:hAnsi="宋体" w:eastAsia="宋体" w:cs="宋体"/>
          <w:bCs/>
          <w:color w:val="auto"/>
          <w:sz w:val="22"/>
          <w:szCs w:val="22"/>
          <w:highlight w:val="none"/>
          <w:lang w:val="en-US"/>
        </w:rPr>
        <w:t>www.creditchina.gov.cn</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未被列入失信被执行人记录、重大税收违法案件当事人名单且在中国政府采购网</w:t>
      </w:r>
      <w:r>
        <w:rPr>
          <w:rFonts w:hint="eastAsia" w:ascii="宋体" w:hAnsi="宋体" w:eastAsia="宋体" w:cs="宋体"/>
          <w:bCs/>
          <w:color w:val="auto"/>
          <w:sz w:val="22"/>
          <w:szCs w:val="22"/>
          <w:highlight w:val="none"/>
          <w:lang w:val="en-US"/>
        </w:rPr>
        <w:t>（</w:t>
      </w:r>
      <w:r>
        <w:rPr>
          <w:rFonts w:ascii="宋体" w:hAnsi="宋体" w:eastAsia="宋体" w:cs="宋体"/>
          <w:bCs/>
          <w:color w:val="auto"/>
          <w:sz w:val="22"/>
          <w:szCs w:val="22"/>
          <w:highlight w:val="none"/>
          <w:lang w:val="en-US"/>
        </w:rPr>
        <w:t>www.ccgp.gov.cn</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没有政府采购严重违法失信行为</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被禁止在一定期限内参加政府采购活动但期限届满的除外</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查询结果以招标人、招标代理机构查询结果为准</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w:t>
      </w:r>
    </w:p>
    <w:p w14:paraId="584F7742">
      <w:pPr>
        <w:shd w:val="clear"/>
        <w:wordWrap w:val="0"/>
        <w:ind w:firstLine="440" w:firstLineChars="200"/>
        <w:outlineLvl w:val="2"/>
        <w:rPr>
          <w:rFonts w:hint="eastAsia" w:ascii="黑体" w:hAnsi="黑体" w:eastAsia="黑体" w:cs="黑体"/>
          <w:bCs/>
          <w:color w:val="auto"/>
          <w:sz w:val="22"/>
          <w:szCs w:val="22"/>
          <w:highlight w:val="none"/>
        </w:rPr>
      </w:pPr>
      <w:bookmarkStart w:id="60" w:name="_Toc27057"/>
      <w:bookmarkStart w:id="61" w:name="_Toc10636"/>
      <w:r>
        <w:rPr>
          <w:rFonts w:hint="eastAsia" w:ascii="黑体" w:hAnsi="黑体" w:eastAsia="黑体" w:cs="黑体"/>
          <w:bCs/>
          <w:color w:val="auto"/>
          <w:sz w:val="22"/>
          <w:szCs w:val="22"/>
          <w:highlight w:val="none"/>
          <w:lang w:val="en-US" w:eastAsia="zh-CN"/>
        </w:rPr>
        <w:t>2.</w:t>
      </w:r>
      <w:r>
        <w:rPr>
          <w:rFonts w:hint="eastAsia" w:ascii="黑体" w:hAnsi="黑体" w:eastAsia="黑体" w:cs="黑体"/>
          <w:bCs/>
          <w:color w:val="auto"/>
          <w:sz w:val="22"/>
          <w:szCs w:val="22"/>
          <w:highlight w:val="none"/>
        </w:rPr>
        <w:t>落实政府采购政策需满足的资格要求：</w:t>
      </w:r>
      <w:bookmarkEnd w:id="60"/>
      <w:bookmarkEnd w:id="61"/>
    </w:p>
    <w:p w14:paraId="4EF6B72E">
      <w:pPr>
        <w:shd w:val="clear"/>
        <w:wordWrap w:val="0"/>
        <w:ind w:firstLine="440" w:firstLineChars="200"/>
        <w:rPr>
          <w:rFonts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2.1</w:t>
      </w:r>
      <w:r>
        <w:rPr>
          <w:rFonts w:hint="eastAsia" w:ascii="宋体" w:hAnsi="宋体" w:eastAsia="宋体" w:cs="宋体"/>
          <w:bCs/>
          <w:color w:val="auto"/>
          <w:sz w:val="22"/>
          <w:szCs w:val="22"/>
          <w:highlight w:val="none"/>
        </w:rPr>
        <w:t xml:space="preserve">鼓励节能政策：在技术、服务等指标同等条件下，优先采购属于国家公布的节能清单中的产品； </w:t>
      </w:r>
    </w:p>
    <w:p w14:paraId="2072FFE0">
      <w:pPr>
        <w:shd w:val="clear"/>
        <w:wordWrap w:val="0"/>
        <w:ind w:firstLine="440" w:firstLineChars="200"/>
        <w:rPr>
          <w:rFonts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2.2</w:t>
      </w:r>
      <w:r>
        <w:rPr>
          <w:rFonts w:hint="eastAsia" w:ascii="宋体" w:hAnsi="宋体" w:eastAsia="宋体" w:cs="宋体"/>
          <w:bCs/>
          <w:color w:val="auto"/>
          <w:sz w:val="22"/>
          <w:szCs w:val="22"/>
          <w:highlight w:val="none"/>
        </w:rPr>
        <w:t xml:space="preserve">鼓励环保政策：在性能、技术、服务等指标同等条件下，优先采购国家最新公布的环保产品清单中的产品； </w:t>
      </w:r>
    </w:p>
    <w:p w14:paraId="1FE89C5B">
      <w:pPr>
        <w:shd w:val="clear"/>
        <w:autoSpaceDE w:val="0"/>
        <w:autoSpaceDN w:val="0"/>
        <w:spacing w:line="360" w:lineRule="auto"/>
        <w:ind w:right="130" w:rightChars="62" w:firstLine="440" w:firstLineChars="200"/>
        <w:outlineLvl w:val="3"/>
        <w:rPr>
          <w:rFonts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2.3</w:t>
      </w:r>
      <w:r>
        <w:rPr>
          <w:rFonts w:hint="eastAsia" w:ascii="宋体" w:hAnsi="宋体" w:eastAsia="宋体" w:cs="宋体"/>
          <w:bCs/>
          <w:color w:val="auto"/>
          <w:sz w:val="22"/>
          <w:szCs w:val="22"/>
          <w:highlight w:val="none"/>
        </w:rPr>
        <w:t>本项目属于专门面向中小微企业采购。</w:t>
      </w:r>
    </w:p>
    <w:p w14:paraId="20A03C8F">
      <w:pPr>
        <w:shd w:val="clear"/>
        <w:wordWrap w:val="0"/>
        <w:ind w:firstLine="440" w:firstLineChars="200"/>
        <w:outlineLvl w:val="2"/>
        <w:rPr>
          <w:rFonts w:hint="eastAsia" w:ascii="黑体" w:hAnsi="黑体" w:eastAsia="黑体" w:cs="黑体"/>
          <w:bCs/>
          <w:color w:val="auto"/>
          <w:sz w:val="22"/>
          <w:szCs w:val="22"/>
          <w:highlight w:val="none"/>
        </w:rPr>
      </w:pPr>
      <w:bookmarkStart w:id="62" w:name="_Toc11670"/>
      <w:bookmarkStart w:id="63" w:name="_Toc29375"/>
      <w:r>
        <w:rPr>
          <w:rFonts w:hint="eastAsia" w:ascii="黑体" w:hAnsi="黑体" w:eastAsia="黑体" w:cs="黑体"/>
          <w:bCs/>
          <w:color w:val="auto"/>
          <w:sz w:val="22"/>
          <w:szCs w:val="22"/>
          <w:highlight w:val="none"/>
        </w:rPr>
        <w:t>3.本项目的特定资格要求：</w:t>
      </w:r>
      <w:bookmarkEnd w:id="62"/>
      <w:bookmarkEnd w:id="63"/>
    </w:p>
    <w:bookmarkEnd w:id="38"/>
    <w:p w14:paraId="2E7EE9FF">
      <w:pPr>
        <w:keepNext w:val="0"/>
        <w:keepLines w:val="0"/>
        <w:widowControl/>
        <w:suppressLineNumbers w:val="0"/>
        <w:ind w:firstLine="440" w:firstLineChars="200"/>
        <w:jc w:val="left"/>
        <w:rPr>
          <w:rFonts w:hint="eastAsia" w:ascii="宋体" w:hAnsi="宋体" w:cs="宋体"/>
          <w:color w:val="auto"/>
          <w:sz w:val="22"/>
          <w:szCs w:val="22"/>
          <w:highlight w:val="none"/>
          <w:lang w:val="en-US" w:eastAsia="zh-CN"/>
        </w:rPr>
      </w:pPr>
      <w:bookmarkStart w:id="64" w:name="_Toc28359004"/>
      <w:bookmarkStart w:id="65" w:name="_Toc19527"/>
      <w:bookmarkStart w:id="66" w:name="_Toc28359081"/>
      <w:bookmarkStart w:id="67" w:name="_Toc35393623"/>
      <w:bookmarkStart w:id="68" w:name="_Toc28526"/>
      <w:bookmarkStart w:id="69" w:name="_Toc35393792"/>
      <w:bookmarkStart w:id="70" w:name="_Toc16606"/>
      <w:r>
        <w:rPr>
          <w:rFonts w:hint="eastAsia" w:ascii="宋体" w:hAnsi="宋体" w:eastAsia="宋体" w:cs="宋体"/>
          <w:bCs/>
          <w:color w:val="auto"/>
          <w:sz w:val="22"/>
          <w:szCs w:val="22"/>
          <w:highlight w:val="none"/>
          <w:lang w:val="zh-CN"/>
        </w:rPr>
        <w:t>投标申请人须具有《食品流通许可证》和《食品卫生许可证》两证或“两证合一”的《食品经营许可证》，经营范围应涵盖本项目所需的</w:t>
      </w:r>
      <w:r>
        <w:rPr>
          <w:rFonts w:hint="eastAsia" w:ascii="宋体" w:hAnsi="宋体" w:cs="宋体"/>
          <w:bCs/>
          <w:color w:val="auto"/>
          <w:sz w:val="22"/>
          <w:szCs w:val="22"/>
          <w:highlight w:val="none"/>
          <w:lang w:val="zh-CN" w:eastAsia="zh-CN"/>
        </w:rPr>
        <w:t>采购需求</w:t>
      </w:r>
      <w:r>
        <w:rPr>
          <w:rFonts w:hint="eastAsia" w:ascii="宋体" w:hAnsi="宋体" w:eastAsia="宋体" w:cs="宋体"/>
          <w:bCs/>
          <w:color w:val="auto"/>
          <w:sz w:val="22"/>
          <w:szCs w:val="22"/>
          <w:highlight w:val="none"/>
          <w:lang w:val="zh-CN"/>
        </w:rPr>
        <w:t>种类。</w:t>
      </w:r>
    </w:p>
    <w:bookmarkEnd w:id="59"/>
    <w:p w14:paraId="66330634">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r>
        <w:rPr>
          <w:rFonts w:hint="eastAsia" w:ascii="黑体" w:hAnsi="黑体" w:eastAsia="黑体" w:cs="黑体"/>
          <w:b/>
          <w:bCs w:val="0"/>
          <w:color w:val="auto"/>
          <w:sz w:val="22"/>
          <w:szCs w:val="22"/>
          <w:highlight w:val="none"/>
        </w:rPr>
        <w:t>三、获取招标文件</w:t>
      </w:r>
      <w:bookmarkEnd w:id="64"/>
      <w:bookmarkEnd w:id="65"/>
      <w:bookmarkEnd w:id="66"/>
      <w:bookmarkEnd w:id="67"/>
      <w:bookmarkEnd w:id="68"/>
      <w:bookmarkEnd w:id="69"/>
      <w:bookmarkEnd w:id="70"/>
    </w:p>
    <w:p w14:paraId="5BDAB47C">
      <w:pPr>
        <w:shd w:val="clear"/>
        <w:wordWrap w:val="0"/>
        <w:ind w:firstLine="440" w:firstLineChars="200"/>
        <w:outlineLvl w:val="2"/>
        <w:rPr>
          <w:rFonts w:hint="eastAsia" w:ascii="黑体" w:hAnsi="黑体" w:eastAsia="黑体" w:cs="黑体"/>
          <w:bCs/>
          <w:color w:val="auto"/>
          <w:sz w:val="22"/>
          <w:szCs w:val="22"/>
          <w:highlight w:val="none"/>
        </w:rPr>
      </w:pPr>
      <w:bookmarkStart w:id="71" w:name="_Toc18414"/>
      <w:r>
        <w:rPr>
          <w:rFonts w:hint="eastAsia" w:ascii="黑体" w:hAnsi="黑体" w:eastAsia="黑体" w:cs="黑体"/>
          <w:bCs/>
          <w:color w:val="auto"/>
          <w:sz w:val="22"/>
          <w:szCs w:val="22"/>
          <w:highlight w:val="none"/>
        </w:rPr>
        <w:t>1</w:t>
      </w:r>
      <w:r>
        <w:rPr>
          <w:rFonts w:hint="eastAsia" w:ascii="黑体" w:hAnsi="黑体" w:eastAsia="黑体" w:cs="黑体"/>
          <w:bCs/>
          <w:color w:val="auto"/>
          <w:sz w:val="22"/>
          <w:szCs w:val="22"/>
          <w:highlight w:val="none"/>
          <w:lang w:val="en-US" w:eastAsia="zh-CN"/>
        </w:rPr>
        <w:t>.</w:t>
      </w:r>
      <w:r>
        <w:rPr>
          <w:rFonts w:hint="eastAsia" w:ascii="黑体" w:hAnsi="黑体" w:eastAsia="黑体" w:cs="黑体"/>
          <w:bCs/>
          <w:color w:val="auto"/>
          <w:sz w:val="22"/>
          <w:szCs w:val="22"/>
          <w:highlight w:val="none"/>
        </w:rPr>
        <w:t>时间：</w:t>
      </w:r>
      <w:bookmarkEnd w:id="71"/>
    </w:p>
    <w:p w14:paraId="2D3B2DB4">
      <w:pPr>
        <w:shd w:val="clear"/>
        <w:wordWrap w:val="0"/>
        <w:ind w:firstLine="440" w:firstLineChars="20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公告发布之日起至2024年</w:t>
      </w:r>
      <w:r>
        <w:rPr>
          <w:rFonts w:hint="eastAsia" w:ascii="宋体" w:hAnsi="宋体" w:cs="宋体"/>
          <w:bCs/>
          <w:color w:val="auto"/>
          <w:sz w:val="22"/>
          <w:szCs w:val="22"/>
          <w:highlight w:val="none"/>
          <w:lang w:val="en-US" w:eastAsia="zh-CN"/>
        </w:rPr>
        <w:t>10</w:t>
      </w:r>
      <w:r>
        <w:rPr>
          <w:rFonts w:hint="eastAsia" w:ascii="宋体" w:hAnsi="宋体" w:eastAsia="宋体" w:cs="宋体"/>
          <w:bCs/>
          <w:color w:val="auto"/>
          <w:sz w:val="22"/>
          <w:szCs w:val="22"/>
          <w:highlight w:val="none"/>
        </w:rPr>
        <w:t>月</w:t>
      </w:r>
      <w:r>
        <w:rPr>
          <w:rFonts w:hint="eastAsia" w:ascii="宋体" w:hAnsi="宋体" w:cs="宋体"/>
          <w:bCs/>
          <w:color w:val="auto"/>
          <w:sz w:val="22"/>
          <w:szCs w:val="22"/>
          <w:highlight w:val="none"/>
          <w:lang w:val="en-US" w:eastAsia="zh-CN"/>
        </w:rPr>
        <w:t>10</w:t>
      </w:r>
      <w:r>
        <w:rPr>
          <w:rFonts w:hint="eastAsia" w:ascii="宋体" w:hAnsi="宋体" w:eastAsia="宋体" w:cs="宋体"/>
          <w:bCs/>
          <w:color w:val="auto"/>
          <w:sz w:val="22"/>
          <w:szCs w:val="22"/>
          <w:highlight w:val="none"/>
        </w:rPr>
        <w:t>日23时59分（北京时间，法定节假日除外）。</w:t>
      </w:r>
    </w:p>
    <w:p w14:paraId="6CFA0D3B">
      <w:pPr>
        <w:shd w:val="clear"/>
        <w:wordWrap w:val="0"/>
        <w:ind w:firstLine="440" w:firstLineChars="200"/>
        <w:outlineLvl w:val="2"/>
        <w:rPr>
          <w:rFonts w:ascii="宋体" w:hAnsi="宋体"/>
          <w:color w:val="auto"/>
          <w:sz w:val="22"/>
          <w:szCs w:val="22"/>
          <w:highlight w:val="none"/>
        </w:rPr>
      </w:pPr>
      <w:bookmarkStart w:id="72" w:name="_Toc2856"/>
      <w:r>
        <w:rPr>
          <w:rFonts w:hint="eastAsia" w:ascii="黑体" w:hAnsi="黑体" w:eastAsia="黑体" w:cs="黑体"/>
          <w:bCs/>
          <w:color w:val="auto"/>
          <w:sz w:val="22"/>
          <w:szCs w:val="22"/>
          <w:highlight w:val="none"/>
        </w:rPr>
        <w:t>2</w:t>
      </w:r>
      <w:r>
        <w:rPr>
          <w:rFonts w:hint="eastAsia" w:ascii="黑体" w:hAnsi="黑体" w:eastAsia="黑体" w:cs="黑体"/>
          <w:bCs/>
          <w:color w:val="auto"/>
          <w:sz w:val="22"/>
          <w:szCs w:val="22"/>
          <w:highlight w:val="none"/>
          <w:lang w:val="en-US" w:eastAsia="zh-CN"/>
        </w:rPr>
        <w:t>.</w:t>
      </w:r>
      <w:r>
        <w:rPr>
          <w:rFonts w:hint="eastAsia" w:ascii="黑体" w:hAnsi="黑体" w:eastAsia="黑体" w:cs="黑体"/>
          <w:bCs/>
          <w:color w:val="auto"/>
          <w:sz w:val="22"/>
          <w:szCs w:val="22"/>
          <w:highlight w:val="none"/>
        </w:rPr>
        <w:t>地点：</w:t>
      </w:r>
      <w:bookmarkEnd w:id="72"/>
      <w:r>
        <w:rPr>
          <w:rFonts w:hint="eastAsia" w:ascii="宋体" w:hAnsi="宋体"/>
          <w:color w:val="auto"/>
          <w:sz w:val="22"/>
          <w:szCs w:val="22"/>
          <w:highlight w:val="none"/>
        </w:rPr>
        <w:t>政采云平台（https://www.zcygov.cn/）</w:t>
      </w:r>
    </w:p>
    <w:p w14:paraId="12D282FB">
      <w:pPr>
        <w:shd w:val="clear"/>
        <w:wordWrap w:val="0"/>
        <w:ind w:firstLine="440" w:firstLineChars="200"/>
        <w:outlineLvl w:val="2"/>
        <w:rPr>
          <w:rFonts w:ascii="宋体" w:hAnsi="宋体"/>
          <w:color w:val="auto"/>
          <w:sz w:val="22"/>
          <w:szCs w:val="22"/>
          <w:highlight w:val="none"/>
        </w:rPr>
      </w:pPr>
      <w:bookmarkStart w:id="73" w:name="_Toc5228"/>
      <w:r>
        <w:rPr>
          <w:rFonts w:hint="eastAsia" w:ascii="黑体" w:hAnsi="黑体" w:eastAsia="黑体" w:cs="黑体"/>
          <w:bCs/>
          <w:color w:val="auto"/>
          <w:sz w:val="22"/>
          <w:szCs w:val="22"/>
          <w:highlight w:val="none"/>
          <w:lang w:val="en-US" w:eastAsia="zh-CN"/>
        </w:rPr>
        <w:t>3.</w:t>
      </w:r>
      <w:r>
        <w:rPr>
          <w:rFonts w:hint="eastAsia" w:ascii="黑体" w:hAnsi="黑体" w:eastAsia="黑体" w:cs="黑体"/>
          <w:bCs/>
          <w:color w:val="auto"/>
          <w:sz w:val="22"/>
          <w:szCs w:val="22"/>
          <w:highlight w:val="none"/>
        </w:rPr>
        <w:t>方式：</w:t>
      </w:r>
      <w:bookmarkEnd w:id="73"/>
      <w:r>
        <w:rPr>
          <w:rFonts w:hint="eastAsia" w:ascii="宋体" w:hAnsi="宋体"/>
          <w:color w:val="auto"/>
          <w:sz w:val="22"/>
          <w:szCs w:val="22"/>
          <w:highlight w:val="none"/>
        </w:rPr>
        <w:t>网上获取</w:t>
      </w:r>
    </w:p>
    <w:p w14:paraId="02639CD4">
      <w:pPr>
        <w:shd w:val="clear"/>
        <w:wordWrap w:val="0"/>
        <w:ind w:firstLine="440" w:firstLineChars="200"/>
        <w:outlineLvl w:val="2"/>
        <w:rPr>
          <w:rFonts w:ascii="宋体" w:hAnsi="宋体"/>
          <w:color w:val="auto"/>
          <w:sz w:val="22"/>
          <w:szCs w:val="22"/>
          <w:highlight w:val="none"/>
        </w:rPr>
      </w:pPr>
      <w:bookmarkStart w:id="74" w:name="_Toc11059"/>
      <w:r>
        <w:rPr>
          <w:rFonts w:hint="eastAsia" w:ascii="黑体" w:hAnsi="黑体" w:eastAsia="黑体" w:cs="黑体"/>
          <w:bCs/>
          <w:color w:val="auto"/>
          <w:sz w:val="22"/>
          <w:szCs w:val="22"/>
          <w:highlight w:val="none"/>
          <w:lang w:val="en-US" w:eastAsia="zh-CN"/>
        </w:rPr>
        <w:t>4.</w:t>
      </w:r>
      <w:r>
        <w:rPr>
          <w:rFonts w:hint="eastAsia" w:ascii="黑体" w:hAnsi="黑体" w:eastAsia="黑体" w:cs="黑体"/>
          <w:bCs/>
          <w:color w:val="auto"/>
          <w:sz w:val="22"/>
          <w:szCs w:val="22"/>
          <w:highlight w:val="none"/>
        </w:rPr>
        <w:t>售价：</w:t>
      </w:r>
      <w:bookmarkEnd w:id="74"/>
      <w:r>
        <w:rPr>
          <w:rFonts w:hint="eastAsia" w:ascii="宋体" w:hAnsi="宋体"/>
          <w:color w:val="auto"/>
          <w:sz w:val="22"/>
          <w:szCs w:val="22"/>
          <w:highlight w:val="none"/>
        </w:rPr>
        <w:t>0元</w:t>
      </w:r>
    </w:p>
    <w:p w14:paraId="113DC2A8">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75" w:name="_Toc28359082"/>
      <w:bookmarkStart w:id="76" w:name="_Toc28359005"/>
      <w:bookmarkStart w:id="77" w:name="_Toc35393624"/>
      <w:bookmarkStart w:id="78" w:name="_Toc17223"/>
      <w:bookmarkStart w:id="79" w:name="_Toc5130"/>
      <w:bookmarkStart w:id="80" w:name="_Toc3284"/>
      <w:bookmarkStart w:id="81" w:name="_Toc35393793"/>
      <w:r>
        <w:rPr>
          <w:rFonts w:hint="eastAsia" w:ascii="黑体" w:hAnsi="黑体" w:eastAsia="黑体" w:cs="黑体"/>
          <w:b/>
          <w:bCs w:val="0"/>
          <w:color w:val="auto"/>
          <w:sz w:val="22"/>
          <w:szCs w:val="22"/>
          <w:highlight w:val="none"/>
        </w:rPr>
        <w:t>四、提交投标文件</w:t>
      </w:r>
      <w:bookmarkEnd w:id="75"/>
      <w:bookmarkEnd w:id="76"/>
      <w:r>
        <w:rPr>
          <w:rFonts w:hint="eastAsia" w:ascii="黑体" w:hAnsi="黑体" w:eastAsia="黑体" w:cs="黑体"/>
          <w:b/>
          <w:bCs w:val="0"/>
          <w:color w:val="auto"/>
          <w:sz w:val="22"/>
          <w:szCs w:val="22"/>
          <w:highlight w:val="none"/>
        </w:rPr>
        <w:t>截止时间、开标时间和地点</w:t>
      </w:r>
      <w:bookmarkEnd w:id="77"/>
      <w:bookmarkEnd w:id="78"/>
      <w:bookmarkEnd w:id="79"/>
      <w:bookmarkEnd w:id="80"/>
      <w:bookmarkEnd w:id="81"/>
    </w:p>
    <w:p w14:paraId="52C7C29A">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82" w:name="_Toc6262"/>
      <w:bookmarkStart w:id="83" w:name="_Toc24364"/>
      <w:bookmarkStart w:id="84" w:name="_Toc35393625"/>
      <w:bookmarkStart w:id="85" w:name="_Toc28359007"/>
      <w:bookmarkStart w:id="86" w:name="_Toc28359084"/>
      <w:bookmarkStart w:id="87" w:name="_Toc35393794"/>
      <w:r>
        <w:rPr>
          <w:rFonts w:hint="eastAsia" w:ascii="黑体" w:hAnsi="黑体" w:eastAsia="黑体" w:cs="黑体"/>
          <w:bCs/>
          <w:color w:val="auto"/>
          <w:sz w:val="22"/>
          <w:szCs w:val="22"/>
          <w:highlight w:val="none"/>
        </w:rPr>
        <w:t>1</w:t>
      </w:r>
      <w:r>
        <w:rPr>
          <w:rFonts w:hint="eastAsia" w:ascii="黑体" w:hAnsi="黑体" w:eastAsia="黑体" w:cs="黑体"/>
          <w:bCs/>
          <w:color w:val="auto"/>
          <w:sz w:val="22"/>
          <w:szCs w:val="22"/>
          <w:highlight w:val="none"/>
          <w:lang w:val="en-US" w:eastAsia="zh-CN"/>
        </w:rPr>
        <w:t>.</w:t>
      </w:r>
      <w:r>
        <w:rPr>
          <w:rFonts w:hint="eastAsia" w:ascii="黑体" w:hAnsi="黑体" w:eastAsia="黑体" w:cs="黑体"/>
          <w:bCs/>
          <w:color w:val="auto"/>
          <w:sz w:val="22"/>
          <w:szCs w:val="22"/>
          <w:highlight w:val="none"/>
        </w:rPr>
        <w:t>提交投标文件截止时间、开标时间：</w:t>
      </w:r>
      <w:bookmarkEnd w:id="82"/>
    </w:p>
    <w:p w14:paraId="5C568EEE">
      <w:pPr>
        <w:shd w:val="clear"/>
        <w:wordWrap w:val="0"/>
        <w:spacing w:line="360" w:lineRule="auto"/>
        <w:ind w:firstLine="440" w:firstLineChars="200"/>
        <w:rPr>
          <w:rFonts w:ascii="宋体" w:hAnsi="宋体" w:eastAsia="宋体" w:cs="宋体"/>
          <w:bCs/>
          <w:color w:val="auto"/>
          <w:sz w:val="22"/>
          <w:szCs w:val="22"/>
          <w:highlight w:val="none"/>
        </w:rPr>
      </w:pPr>
      <w:r>
        <w:rPr>
          <w:rFonts w:hint="eastAsia" w:ascii="宋体" w:hAnsi="宋体" w:eastAsia="宋体" w:cs="宋体"/>
          <w:color w:val="auto"/>
          <w:kern w:val="0"/>
          <w:sz w:val="22"/>
          <w:szCs w:val="22"/>
          <w:highlight w:val="none"/>
        </w:rPr>
        <w:t>2024年</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月</w:t>
      </w:r>
      <w:r>
        <w:rPr>
          <w:rFonts w:hint="eastAsia" w:ascii="宋体" w:hAnsi="宋体" w:cs="宋体"/>
          <w:color w:val="auto"/>
          <w:kern w:val="0"/>
          <w:sz w:val="22"/>
          <w:szCs w:val="22"/>
          <w:highlight w:val="none"/>
          <w:lang w:val="en-US" w:eastAsia="zh-CN"/>
        </w:rPr>
        <w:t>11</w:t>
      </w:r>
      <w:r>
        <w:rPr>
          <w:rFonts w:hint="eastAsia" w:ascii="宋体" w:hAnsi="宋体" w:eastAsia="宋体" w:cs="宋体"/>
          <w:color w:val="auto"/>
          <w:kern w:val="0"/>
          <w:sz w:val="22"/>
          <w:szCs w:val="22"/>
          <w:highlight w:val="none"/>
        </w:rPr>
        <w:t>日0</w:t>
      </w:r>
      <w:r>
        <w:rPr>
          <w:rFonts w:hint="eastAsia" w:ascii="宋体" w:hAnsi="宋体" w:eastAsia="宋体" w:cs="宋体"/>
          <w:color w:val="auto"/>
          <w:sz w:val="22"/>
          <w:szCs w:val="22"/>
          <w:highlight w:val="none"/>
        </w:rPr>
        <w:t>9点00分</w:t>
      </w:r>
      <w:r>
        <w:rPr>
          <w:rFonts w:hint="eastAsia" w:ascii="宋体" w:hAnsi="宋体" w:eastAsia="宋体" w:cs="宋体"/>
          <w:bCs/>
          <w:color w:val="auto"/>
          <w:sz w:val="22"/>
          <w:szCs w:val="22"/>
          <w:highlight w:val="none"/>
        </w:rPr>
        <w:t>（北京时间）。</w:t>
      </w:r>
    </w:p>
    <w:p w14:paraId="4710C1B2">
      <w:pPr>
        <w:shd w:val="clear"/>
        <w:wordWrap w:val="0"/>
        <w:spacing w:line="360" w:lineRule="auto"/>
        <w:ind w:left="210" w:leftChars="100" w:firstLine="220" w:firstLineChars="100"/>
        <w:outlineLvl w:val="2"/>
        <w:rPr>
          <w:rFonts w:hint="eastAsia" w:ascii="黑体" w:hAnsi="黑体" w:eastAsia="黑体" w:cs="黑体"/>
          <w:bCs/>
          <w:color w:val="auto"/>
          <w:sz w:val="22"/>
          <w:szCs w:val="22"/>
          <w:highlight w:val="none"/>
        </w:rPr>
      </w:pPr>
      <w:bookmarkStart w:id="88" w:name="_Toc16532"/>
      <w:bookmarkStart w:id="89" w:name="_Toc28284"/>
      <w:r>
        <w:rPr>
          <w:rFonts w:hint="eastAsia" w:ascii="黑体" w:hAnsi="黑体" w:eastAsia="黑体" w:cs="黑体"/>
          <w:bCs/>
          <w:color w:val="auto"/>
          <w:sz w:val="22"/>
          <w:szCs w:val="22"/>
          <w:highlight w:val="none"/>
        </w:rPr>
        <w:t>2</w:t>
      </w:r>
      <w:r>
        <w:rPr>
          <w:rFonts w:hint="eastAsia" w:ascii="黑体" w:hAnsi="黑体" w:eastAsia="黑体" w:cs="黑体"/>
          <w:bCs/>
          <w:color w:val="auto"/>
          <w:sz w:val="22"/>
          <w:szCs w:val="22"/>
          <w:highlight w:val="none"/>
          <w:lang w:val="en-US" w:eastAsia="zh-CN"/>
        </w:rPr>
        <w:t>.</w:t>
      </w:r>
      <w:r>
        <w:rPr>
          <w:rFonts w:hint="eastAsia" w:ascii="黑体" w:hAnsi="黑体" w:eastAsia="黑体" w:cs="黑体"/>
          <w:bCs/>
          <w:color w:val="auto"/>
          <w:sz w:val="22"/>
          <w:szCs w:val="22"/>
          <w:highlight w:val="none"/>
        </w:rPr>
        <w:t>地点：</w:t>
      </w:r>
      <w:bookmarkEnd w:id="88"/>
    </w:p>
    <w:p w14:paraId="6B60149A">
      <w:pPr>
        <w:shd w:val="clear"/>
        <w:wordWrap w:val="0"/>
        <w:spacing w:line="360" w:lineRule="auto"/>
        <w:ind w:left="210" w:leftChars="100" w:firstLine="220" w:firstLineChars="100"/>
        <w:outlineLvl w:val="2"/>
        <w:rPr>
          <w:rFonts w:hint="eastAsia" w:ascii="黑体" w:hAnsi="黑体" w:eastAsia="黑体" w:cs="黑体"/>
          <w:bCs/>
          <w:color w:val="auto"/>
          <w:sz w:val="22"/>
          <w:szCs w:val="22"/>
          <w:highlight w:val="none"/>
        </w:rPr>
      </w:pPr>
      <w:bookmarkStart w:id="90" w:name="_Toc23932"/>
      <w:bookmarkStart w:id="91" w:name="_Toc3561"/>
      <w:r>
        <w:rPr>
          <w:rFonts w:hint="eastAsia" w:ascii="宋体" w:hAnsi="宋体" w:eastAsia="宋体" w:cs="宋体"/>
          <w:color w:val="auto"/>
          <w:sz w:val="22"/>
          <w:szCs w:val="22"/>
          <w:highlight w:val="none"/>
        </w:rPr>
        <w:t>红河州公共资源交易中心（蒙自市振兴路红河政务大楼3楼）</w:t>
      </w:r>
      <w:bookmarkEnd w:id="89"/>
      <w:bookmarkEnd w:id="90"/>
      <w:bookmarkEnd w:id="91"/>
    </w:p>
    <w:p w14:paraId="3C77AD55">
      <w:pPr>
        <w:shd w:val="clear"/>
        <w:wordWrap w:val="0"/>
        <w:ind w:firstLine="440" w:firstLineChars="200"/>
        <w:outlineLvl w:val="2"/>
        <w:rPr>
          <w:rFonts w:hint="eastAsia" w:ascii="黑体" w:hAnsi="黑体" w:eastAsia="黑体" w:cs="黑体"/>
          <w:bCs/>
          <w:color w:val="auto"/>
          <w:sz w:val="22"/>
          <w:szCs w:val="22"/>
          <w:highlight w:val="none"/>
        </w:rPr>
      </w:pPr>
      <w:bookmarkStart w:id="92" w:name="_Toc30953"/>
      <w:r>
        <w:rPr>
          <w:rFonts w:hint="eastAsia" w:ascii="黑体" w:hAnsi="黑体" w:eastAsia="黑体" w:cs="黑体"/>
          <w:bCs/>
          <w:color w:val="auto"/>
          <w:sz w:val="22"/>
          <w:szCs w:val="22"/>
          <w:highlight w:val="none"/>
          <w:lang w:val="en-US" w:eastAsia="zh-CN"/>
        </w:rPr>
        <w:t>3.</w:t>
      </w:r>
      <w:r>
        <w:rPr>
          <w:rFonts w:hint="eastAsia" w:ascii="黑体" w:hAnsi="黑体" w:eastAsia="黑体" w:cs="黑体"/>
          <w:bCs/>
          <w:color w:val="auto"/>
          <w:sz w:val="22"/>
          <w:szCs w:val="22"/>
          <w:highlight w:val="none"/>
        </w:rPr>
        <w:t>本项目为全流程电子化项目。</w:t>
      </w:r>
      <w:bookmarkEnd w:id="92"/>
    </w:p>
    <w:p w14:paraId="79A342B7">
      <w:pPr>
        <w:shd w:val="clear"/>
        <w:wordWrap w:val="0"/>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凡有意参与磋商者，请自行前往政府采购云平台“客户端&amp;驱动下载”网页</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网址：</w:t>
      </w:r>
      <w:r>
        <w:rPr>
          <w:rFonts w:hint="eastAsia" w:ascii="宋体" w:hAnsi="宋体" w:cs="宋体"/>
          <w:color w:val="auto"/>
          <w:sz w:val="22"/>
          <w:szCs w:val="22"/>
          <w:highlight w:val="none"/>
          <w:lang w:eastAsia="zh-CN"/>
        </w:rPr>
        <w:t>http:</w:t>
      </w:r>
      <w:r>
        <w:rPr>
          <w:rFonts w:hint="eastAsia" w:ascii="宋体" w:hAnsi="宋体" w:cs="宋体"/>
          <w:color w:val="auto"/>
          <w:sz w:val="22"/>
          <w:szCs w:val="22"/>
          <w:highlight w:val="none"/>
        </w:rPr>
        <w:t>//www.zcygov.cn）下载并安装“政采云投标客户端”。供应商按照采购文件和政府采购云平台（网址：https://www.zcygov.cn/）的要求编制、加密电子响应文件，响应文件在提交截止时间前未完成上传的，视为撤回响应文件。供应商在政府采购云平台提交电子版响应文件时，请填写参与远程开标活动经办人的联系方式。</w:t>
      </w:r>
    </w:p>
    <w:p w14:paraId="7B85794C">
      <w:pPr>
        <w:shd w:val="clear"/>
        <w:spacing w:line="360" w:lineRule="auto"/>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响应文件的解密方式：在线解密。供应商须提前在自有场地配置有音视频通话（带摄像头及话筒的电脑）功能的相应设备及稳定网络的环境下，并按政府采购云平台开标大厅中的提示完成采购活动。</w:t>
      </w:r>
    </w:p>
    <w:p w14:paraId="131045FB">
      <w:pPr>
        <w:shd w:val="clear"/>
        <w:spacing w:line="360" w:lineRule="auto"/>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技术支持：供应商若对政府采购云平台操作有疑问，可登录政府采购云平台（网址：https://www.zcygov.cn/），点击右侧“咨询小采”咨询或者拨打服务热线4008817190获取帮助。</w:t>
      </w:r>
    </w:p>
    <w:p w14:paraId="4595D402">
      <w:pPr>
        <w:shd w:val="clear"/>
        <w:spacing w:line="360" w:lineRule="auto"/>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方式：1.凡有意参加投标者，须在政采云平台办理数字证书（CA），CA申领链接：http://yzt.ynsmartcert.cn/cms/yztgdxz13.html（客服热线：0871-67276028&lt;紧急可拨19988166369&gt;）或https://middle.zcygov.cn/ca/apply/edit?certType=32，并在政采云绑定数字证书（CA）后在网上获取采购文件</w:t>
      </w:r>
      <w:r>
        <w:rPr>
          <w:rFonts w:hint="eastAsia" w:ascii="宋体" w:hAnsi="宋体" w:cs="宋体"/>
          <w:color w:val="auto"/>
          <w:sz w:val="22"/>
          <w:szCs w:val="22"/>
          <w:highlight w:val="none"/>
          <w:lang w:eastAsia="zh-CN"/>
        </w:rPr>
        <w:t>及其他</w:t>
      </w:r>
      <w:r>
        <w:rPr>
          <w:rFonts w:hint="eastAsia" w:ascii="宋体" w:hAnsi="宋体" w:cs="宋体"/>
          <w:color w:val="auto"/>
          <w:sz w:val="22"/>
          <w:szCs w:val="22"/>
          <w:highlight w:val="none"/>
        </w:rPr>
        <w:t>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5957AF51">
      <w:pPr>
        <w:shd w:val="clear"/>
        <w:spacing w:line="360" w:lineRule="auto"/>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2.按上述要求获取文件的供应商视为合法获取了本项目采购文件，具备本项目的投标资格。</w:t>
      </w:r>
    </w:p>
    <w:p w14:paraId="7101B9BF">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93" w:name="_Toc31331"/>
      <w:bookmarkStart w:id="94" w:name="_Toc24559"/>
      <w:r>
        <w:rPr>
          <w:rFonts w:hint="eastAsia" w:ascii="黑体" w:hAnsi="黑体" w:eastAsia="黑体" w:cs="黑体"/>
          <w:b/>
          <w:bCs w:val="0"/>
          <w:color w:val="auto"/>
          <w:sz w:val="22"/>
          <w:szCs w:val="22"/>
          <w:highlight w:val="none"/>
        </w:rPr>
        <w:t>五、公告期限</w:t>
      </w:r>
      <w:bookmarkEnd w:id="83"/>
      <w:bookmarkEnd w:id="84"/>
      <w:bookmarkEnd w:id="85"/>
      <w:bookmarkEnd w:id="86"/>
      <w:bookmarkEnd w:id="87"/>
      <w:bookmarkEnd w:id="93"/>
      <w:bookmarkEnd w:id="94"/>
    </w:p>
    <w:p w14:paraId="0261EDBC">
      <w:pPr>
        <w:shd w:val="clear"/>
        <w:wordWrap w:val="0"/>
        <w:ind w:firstLine="440" w:firstLineChars="200"/>
        <w:rPr>
          <w:rFonts w:ascii="宋体" w:hAnsi="宋体" w:eastAsia="宋体" w:cs="宋体"/>
          <w:bCs/>
          <w:color w:val="auto"/>
          <w:kern w:val="0"/>
          <w:sz w:val="22"/>
          <w:szCs w:val="22"/>
          <w:highlight w:val="none"/>
        </w:rPr>
      </w:pPr>
      <w:r>
        <w:rPr>
          <w:rFonts w:hint="eastAsia" w:ascii="宋体" w:hAnsi="宋体" w:eastAsia="宋体" w:cs="宋体"/>
          <w:bCs/>
          <w:color w:val="auto"/>
          <w:kern w:val="0"/>
          <w:sz w:val="22"/>
          <w:szCs w:val="22"/>
          <w:highlight w:val="none"/>
        </w:rPr>
        <w:t>自本公告发布之日起20日。</w:t>
      </w:r>
    </w:p>
    <w:p w14:paraId="20135752">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95" w:name="_Toc1874"/>
      <w:bookmarkStart w:id="96" w:name="_Toc12309"/>
      <w:bookmarkStart w:id="97" w:name="_Toc15394"/>
      <w:bookmarkStart w:id="98" w:name="_Toc35393795"/>
      <w:bookmarkStart w:id="99" w:name="_Toc35393626"/>
      <w:r>
        <w:rPr>
          <w:rFonts w:hint="eastAsia" w:ascii="黑体" w:hAnsi="黑体" w:eastAsia="黑体" w:cs="黑体"/>
          <w:b/>
          <w:bCs w:val="0"/>
          <w:color w:val="auto"/>
          <w:sz w:val="22"/>
          <w:szCs w:val="22"/>
          <w:highlight w:val="none"/>
        </w:rPr>
        <w:t>六、其他补充事宜</w:t>
      </w:r>
      <w:bookmarkEnd w:id="95"/>
      <w:bookmarkEnd w:id="96"/>
      <w:bookmarkEnd w:id="97"/>
      <w:bookmarkEnd w:id="98"/>
      <w:bookmarkEnd w:id="99"/>
    </w:p>
    <w:p w14:paraId="0D8C6A44">
      <w:pPr>
        <w:shd w:val="clear"/>
        <w:wordWrap w:val="0"/>
        <w:ind w:firstLine="440" w:firstLineChars="20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r>
        <w:rPr>
          <w:rFonts w:hint="eastAsia" w:ascii="宋体" w:hAnsi="宋体" w:cs="宋体"/>
          <w:color w:val="auto"/>
          <w:sz w:val="22"/>
          <w:szCs w:val="22"/>
          <w:highlight w:val="none"/>
        </w:rPr>
        <w:t>本次公告在</w:t>
      </w:r>
      <w:r>
        <w:rPr>
          <w:rFonts w:hint="eastAsia" w:ascii="宋体" w:hAnsi="宋体" w:cs="宋体"/>
          <w:color w:val="auto"/>
          <w:kern w:val="0"/>
          <w:sz w:val="22"/>
          <w:szCs w:val="22"/>
          <w:highlight w:val="none"/>
          <w:lang w:bidi="ar"/>
        </w:rPr>
        <w:t>云南省政府采购网（www.yngp.com）、政采云平台（https://www.zcygov.cn/）上发布</w:t>
      </w:r>
      <w:r>
        <w:rPr>
          <w:rFonts w:hint="eastAsia" w:ascii="宋体" w:hAnsi="宋体" w:cs="宋体"/>
          <w:color w:val="auto"/>
          <w:sz w:val="22"/>
          <w:szCs w:val="22"/>
          <w:highlight w:val="none"/>
        </w:rPr>
        <w:t>。</w:t>
      </w:r>
      <w:r>
        <w:rPr>
          <w:rFonts w:hint="eastAsia" w:ascii="宋体" w:hAnsi="宋体" w:cs="宋体"/>
          <w:color w:val="auto"/>
          <w:kern w:val="0"/>
          <w:sz w:val="22"/>
          <w:szCs w:val="22"/>
          <w:highlight w:val="none"/>
          <w:lang w:bidi="ar"/>
        </w:rPr>
        <w:t>集采代理机构对其他网站或媒体转载的公告及公告内容不承担任何责任。</w:t>
      </w:r>
    </w:p>
    <w:p w14:paraId="142D36BF">
      <w:pPr>
        <w:shd w:val="clear"/>
        <w:wordWrap w:val="0"/>
        <w:ind w:firstLine="440" w:firstLineChars="20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采购项目需要落实的政府采购政策：节能产品、环境标志产品、促进中小企业发展、促进残疾人就业、支持监狱企业发展、政府采购活动中查询及使用信用记录等，政府采购政策具体落实情况详见本项目招标文件。</w:t>
      </w:r>
    </w:p>
    <w:p w14:paraId="38ADEC2E">
      <w:pPr>
        <w:numPr>
          <w:ilvl w:val="255"/>
          <w:numId w:val="0"/>
        </w:numPr>
        <w:shd w:val="clear"/>
        <w:spacing w:line="396" w:lineRule="exact"/>
        <w:ind w:firstLine="442" w:firstLineChars="200"/>
        <w:rPr>
          <w:rFonts w:ascii="宋体" w:hAnsi="宋体" w:cs="宋体"/>
          <w:b/>
          <w:bCs/>
          <w:color w:val="auto"/>
          <w:sz w:val="22"/>
          <w:szCs w:val="22"/>
          <w:highlight w:val="none"/>
        </w:rPr>
      </w:pPr>
      <w:r>
        <w:rPr>
          <w:rFonts w:hint="eastAsia" w:ascii="宋体" w:hAnsi="宋体" w:cs="宋体"/>
          <w:b/>
          <w:bCs/>
          <w:color w:val="auto"/>
          <w:sz w:val="22"/>
          <w:szCs w:val="22"/>
          <w:highlight w:val="none"/>
        </w:rPr>
        <w:t>3.为支持和促进中小企业发展，进一步发挥政府采购政策功能，支持供应商基于中标项目进行应收</w:t>
      </w:r>
      <w:r>
        <w:rPr>
          <w:rFonts w:hint="eastAsia" w:ascii="宋体" w:hAnsi="宋体" w:cs="宋体"/>
          <w:b/>
          <w:bCs/>
          <w:color w:val="auto"/>
          <w:sz w:val="22"/>
          <w:szCs w:val="22"/>
          <w:highlight w:val="none"/>
          <w:lang w:eastAsia="zh-CN"/>
        </w:rPr>
        <w:t>账款</w:t>
      </w:r>
      <w:r>
        <w:rPr>
          <w:rFonts w:hint="eastAsia" w:ascii="宋体" w:hAnsi="宋体" w:cs="宋体"/>
          <w:b/>
          <w:bCs/>
          <w:color w:val="auto"/>
          <w:sz w:val="22"/>
          <w:szCs w:val="22"/>
          <w:highlight w:val="none"/>
        </w:rPr>
        <w:t>融资。供应商可登录【红河州政府采购金融服务平台】进行了解。</w:t>
      </w:r>
    </w:p>
    <w:p w14:paraId="49F185B3">
      <w:pPr>
        <w:pStyle w:val="15"/>
        <w:shd w:val="clear"/>
        <w:rPr>
          <w:rFonts w:eastAsia="宋体"/>
          <w:color w:val="auto"/>
          <w:sz w:val="22"/>
          <w:szCs w:val="22"/>
          <w:highlight w:val="none"/>
        </w:rPr>
      </w:pPr>
      <w:r>
        <w:rPr>
          <w:rFonts w:hint="eastAsia" w:hAnsi="宋体" w:cs="宋体"/>
          <w:b/>
          <w:bCs/>
          <w:color w:val="auto"/>
          <w:sz w:val="22"/>
          <w:szCs w:val="22"/>
          <w:highlight w:val="none"/>
        </w:rPr>
        <w:t>直达连接：</w:t>
      </w:r>
      <w:r>
        <w:rPr>
          <w:rFonts w:hint="eastAsia" w:hAnsi="宋体" w:cs="宋体"/>
          <w:b/>
          <w:bCs/>
          <w:color w:val="auto"/>
          <w:sz w:val="22"/>
          <w:szCs w:val="22"/>
          <w:highlight w:val="none"/>
        </w:rPr>
        <w:drawing>
          <wp:inline distT="0" distB="0" distL="114300" distR="114300">
            <wp:extent cx="190500" cy="142875"/>
            <wp:effectExtent l="0" t="0" r="7620" b="9525"/>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13"/>
                    <a:stretch>
                      <a:fillRect/>
                    </a:stretch>
                  </pic:blipFill>
                  <pic:spPr>
                    <a:xfrm>
                      <a:off x="0" y="0"/>
                      <a:ext cx="190500" cy="142875"/>
                    </a:xfrm>
                    <a:prstGeom prst="rect">
                      <a:avLst/>
                    </a:prstGeom>
                    <a:noFill/>
                    <a:ln>
                      <a:noFill/>
                    </a:ln>
                  </pic:spPr>
                </pic:pic>
              </a:graphicData>
            </a:graphic>
          </wp:inline>
        </w:drawing>
      </w:r>
      <w:r>
        <w:rPr>
          <w:rFonts w:hint="eastAsia" w:hAnsi="宋体" w:cs="宋体"/>
          <w:b/>
          <w:bCs/>
          <w:color w:val="auto"/>
          <w:sz w:val="22"/>
          <w:szCs w:val="22"/>
          <w:highlight w:val="none"/>
        </w:rPr>
        <w:t>https://jinrong.zcygov.cn/luban/finance/honghe</w:t>
      </w:r>
    </w:p>
    <w:p w14:paraId="1A2B625C">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100" w:name="_Toc24350"/>
      <w:bookmarkStart w:id="101" w:name="_Toc20189"/>
      <w:bookmarkStart w:id="102" w:name="_Toc8211"/>
      <w:bookmarkStart w:id="103" w:name="_Toc28359085"/>
      <w:bookmarkStart w:id="104" w:name="_Toc28359008"/>
      <w:bookmarkStart w:id="105" w:name="_Toc35393627"/>
      <w:bookmarkStart w:id="106" w:name="_Toc35393796"/>
      <w:r>
        <w:rPr>
          <w:rFonts w:hint="eastAsia" w:ascii="黑体" w:hAnsi="黑体" w:eastAsia="黑体" w:cs="黑体"/>
          <w:b/>
          <w:bCs w:val="0"/>
          <w:color w:val="auto"/>
          <w:sz w:val="22"/>
          <w:szCs w:val="22"/>
          <w:highlight w:val="none"/>
        </w:rPr>
        <w:t>七、对本次招标提出询问，请按以下方式联系。</w:t>
      </w:r>
      <w:bookmarkEnd w:id="100"/>
      <w:bookmarkEnd w:id="101"/>
      <w:bookmarkEnd w:id="102"/>
      <w:bookmarkEnd w:id="103"/>
      <w:bookmarkEnd w:id="104"/>
      <w:bookmarkEnd w:id="105"/>
      <w:bookmarkEnd w:id="106"/>
    </w:p>
    <w:p w14:paraId="30D30AC6">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107" w:name="_Toc17828"/>
      <w:bookmarkStart w:id="108" w:name="_Toc27214"/>
      <w:r>
        <w:rPr>
          <w:rFonts w:hint="eastAsia" w:ascii="黑体" w:hAnsi="黑体" w:eastAsia="黑体" w:cs="黑体"/>
          <w:bCs/>
          <w:color w:val="auto"/>
          <w:sz w:val="22"/>
          <w:szCs w:val="22"/>
          <w:highlight w:val="none"/>
        </w:rPr>
        <w:t>1.采购人信息</w:t>
      </w:r>
      <w:bookmarkEnd w:id="107"/>
      <w:bookmarkEnd w:id="108"/>
    </w:p>
    <w:p w14:paraId="01BEB815">
      <w:pPr>
        <w:spacing w:line="360" w:lineRule="auto"/>
        <w:rPr>
          <w:rFonts w:hint="eastAsia"/>
          <w:color w:val="auto"/>
          <w:sz w:val="22"/>
          <w:szCs w:val="22"/>
          <w:highlight w:val="none"/>
        </w:rPr>
      </w:pPr>
      <w:r>
        <w:rPr>
          <w:rFonts w:hint="eastAsia"/>
          <w:color w:val="auto"/>
          <w:sz w:val="22"/>
          <w:szCs w:val="22"/>
          <w:highlight w:val="none"/>
        </w:rPr>
        <w:t>采购人：</w:t>
      </w:r>
      <w:r>
        <w:rPr>
          <w:rFonts w:hint="eastAsia" w:ascii="宋体" w:hAnsi="宋体" w:eastAsia="宋体" w:cs="宋体"/>
          <w:bCs/>
          <w:color w:val="auto"/>
          <w:sz w:val="22"/>
          <w:szCs w:val="22"/>
          <w:highlight w:val="none"/>
          <w:lang w:eastAsia="zh-CN"/>
        </w:rPr>
        <w:t>蒙自市各公办义务教育阶段学校</w:t>
      </w:r>
    </w:p>
    <w:p w14:paraId="1E6C8281">
      <w:pPr>
        <w:spacing w:line="360" w:lineRule="auto"/>
        <w:rPr>
          <w:rFonts w:hint="eastAsia"/>
          <w:color w:val="000000"/>
          <w:sz w:val="22"/>
          <w:szCs w:val="22"/>
          <w:highlight w:val="none"/>
        </w:rPr>
      </w:pPr>
      <w:bookmarkStart w:id="109" w:name="_Toc11910"/>
      <w:r>
        <w:rPr>
          <w:rFonts w:hint="eastAsia"/>
          <w:color w:val="000000"/>
          <w:sz w:val="22"/>
          <w:szCs w:val="22"/>
          <w:highlight w:val="none"/>
        </w:rPr>
        <w:t>联系</w:t>
      </w:r>
      <w:r>
        <w:rPr>
          <w:rFonts w:hint="eastAsia"/>
          <w:color w:val="000000"/>
          <w:sz w:val="22"/>
          <w:szCs w:val="22"/>
          <w:highlight w:val="none"/>
          <w:lang w:eastAsia="zh-CN"/>
        </w:rPr>
        <w:t>方式</w:t>
      </w:r>
      <w:r>
        <w:rPr>
          <w:rFonts w:hint="eastAsia"/>
          <w:color w:val="000000"/>
          <w:sz w:val="22"/>
          <w:szCs w:val="22"/>
          <w:highlight w:val="none"/>
        </w:rPr>
        <w:t>：</w:t>
      </w:r>
    </w:p>
    <w:tbl>
      <w:tblPr>
        <w:tblStyle w:val="40"/>
        <w:tblW w:w="45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42"/>
        <w:gridCol w:w="1173"/>
        <w:gridCol w:w="1791"/>
        <w:gridCol w:w="1566"/>
        <w:gridCol w:w="1088"/>
        <w:gridCol w:w="1525"/>
      </w:tblGrid>
      <w:tr w14:paraId="0F268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67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BE1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联系人</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711D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联系电话</w:t>
            </w:r>
          </w:p>
        </w:tc>
        <w:tc>
          <w:tcPr>
            <w:tcW w:w="14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17BC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联系人</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5BAF6">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联系电话</w:t>
            </w:r>
          </w:p>
        </w:tc>
      </w:tr>
      <w:tr w14:paraId="173A9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6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DDE44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蒙自市教育体育局</w:t>
            </w:r>
          </w:p>
        </w:tc>
        <w:tc>
          <w:tcPr>
            <w:tcW w:w="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9ADB4">
            <w:pPr>
              <w:keepNext w:val="0"/>
              <w:keepLines w:val="0"/>
              <w:widowControl/>
              <w:suppressLineNumbers w:val="0"/>
              <w:jc w:val="righ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0873-3856921</w:t>
            </w:r>
          </w:p>
          <w:p w14:paraId="141CF530">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0873-3856909</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DA16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蒙自二中</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F0F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沈老师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C104A">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13908735209</w:t>
            </w:r>
          </w:p>
        </w:tc>
      </w:tr>
      <w:tr w14:paraId="6139B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D17E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团结小学</w:t>
            </w:r>
          </w:p>
        </w:tc>
        <w:tc>
          <w:tcPr>
            <w:tcW w:w="6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657E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杨老师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70562">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13577305211</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2C52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蒙自三中</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33FA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李老师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B3E86">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13708733146</w:t>
            </w:r>
          </w:p>
        </w:tc>
      </w:tr>
      <w:tr w14:paraId="3812F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501D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文澜中心学校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1A0E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99CC0">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18213605599</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9248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蒙自五中</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61BE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鲁老师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81EED">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18314023697</w:t>
            </w:r>
          </w:p>
        </w:tc>
      </w:tr>
      <w:tr w14:paraId="4602F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42F2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观澜中心学校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1B7A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李老师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FC86C">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13887374090</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C3A6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蒙自六中</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73F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刘老师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55382">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13988094199</w:t>
            </w:r>
          </w:p>
        </w:tc>
      </w:tr>
      <w:tr w14:paraId="043C4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300D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新安所中心学校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9B1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骆老师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7CF0D">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18987662728</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004F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多法勒中学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BD73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8D406">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13608838204</w:t>
            </w:r>
          </w:p>
        </w:tc>
      </w:tr>
      <w:tr w14:paraId="10056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1489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草坝中心学校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AA5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蔡老师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E044">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13988068470</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7DF4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新安所中学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0804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杨老师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DEC7F">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13887370860</w:t>
            </w:r>
          </w:p>
        </w:tc>
      </w:tr>
      <w:tr w14:paraId="2C2B5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0CC7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雨过铺中心学校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B1D9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卢老师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604A1">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15126362194</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1061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草坝中学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6432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吕老师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46288">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15750024938</w:t>
            </w:r>
          </w:p>
        </w:tc>
      </w:tr>
      <w:tr w14:paraId="18A6C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937F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芷村中心学校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E01C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罗老师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AE01">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13887574095</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8DF9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雨过铺中学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9473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罗老师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64FC5">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13987329192</w:t>
            </w:r>
          </w:p>
        </w:tc>
      </w:tr>
      <w:tr w14:paraId="35231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4DDD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鸣鹫中心学校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084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曹老师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E0E29">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15887820559</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74EA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芷村中学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3FB9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杨老师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C1477">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13887329996</w:t>
            </w:r>
          </w:p>
        </w:tc>
      </w:tr>
      <w:tr w14:paraId="54B02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D498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冷泉中心学校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27C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1C75">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15126315617</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8857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鸣鹫中学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2CE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杜老师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25BC">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18313002045</w:t>
            </w:r>
          </w:p>
        </w:tc>
      </w:tr>
      <w:tr w14:paraId="3BACE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0742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老寨中心学校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0199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孔老师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2917">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18214388027</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FD5C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冷泉中学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6BAE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王老师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83F5">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13529462097</w:t>
            </w:r>
          </w:p>
        </w:tc>
      </w:tr>
      <w:tr w14:paraId="7969D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976C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期路白中心学校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BFFA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李老师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02C9A">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13529467730</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3253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老寨中学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4942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李老师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E2B2B">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15750028722</w:t>
            </w:r>
          </w:p>
        </w:tc>
      </w:tr>
      <w:tr w14:paraId="75FA2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B978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水田中心学校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DDA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白老师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44454">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15912879964</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D50C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水田中学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02FC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李老师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CFA40">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15096888762</w:t>
            </w:r>
          </w:p>
        </w:tc>
      </w:tr>
      <w:tr w14:paraId="67A2A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0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CC05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西北勒中心学校</w:t>
            </w:r>
          </w:p>
        </w:tc>
        <w:tc>
          <w:tcPr>
            <w:tcW w:w="6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F2AB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彭老师</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97123">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15187313648</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E541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特殊教育学校</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13E6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马老师</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6C44C">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13988025321</w:t>
            </w:r>
          </w:p>
        </w:tc>
      </w:tr>
    </w:tbl>
    <w:p w14:paraId="7114B43F">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110" w:name="_Toc14835"/>
      <w:r>
        <w:rPr>
          <w:rFonts w:hint="eastAsia" w:ascii="黑体" w:hAnsi="黑体" w:eastAsia="黑体" w:cs="黑体"/>
          <w:bCs/>
          <w:color w:val="auto"/>
          <w:sz w:val="22"/>
          <w:szCs w:val="22"/>
          <w:highlight w:val="none"/>
        </w:rPr>
        <w:t>2.集采机构信息</w:t>
      </w:r>
      <w:bookmarkEnd w:id="109"/>
      <w:bookmarkEnd w:id="110"/>
    </w:p>
    <w:p w14:paraId="5138D1CD">
      <w:pPr>
        <w:widowControl/>
        <w:shd w:val="clear"/>
        <w:wordWrap w:val="0"/>
        <w:spacing w:line="360" w:lineRule="auto"/>
        <w:ind w:firstLine="440" w:firstLineChars="200"/>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名 称：红河州政府采购和出让中心</w:t>
      </w:r>
    </w:p>
    <w:p w14:paraId="43C7C9BC">
      <w:pPr>
        <w:widowControl/>
        <w:shd w:val="clear"/>
        <w:wordWrap w:val="0"/>
        <w:spacing w:line="360" w:lineRule="auto"/>
        <w:ind w:firstLine="440" w:firstLineChars="200"/>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地 址：红河州蒙自市振兴路政务服务大楼5楼</w:t>
      </w:r>
    </w:p>
    <w:p w14:paraId="7CA91559">
      <w:pPr>
        <w:widowControl/>
        <w:shd w:val="clear"/>
        <w:wordWrap w:val="0"/>
        <w:spacing w:line="360" w:lineRule="auto"/>
        <w:ind w:firstLine="440" w:firstLineChars="200"/>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联系人：冯俊赟</w:t>
      </w:r>
    </w:p>
    <w:p w14:paraId="2DB99089">
      <w:pPr>
        <w:widowControl/>
        <w:shd w:val="clear"/>
        <w:wordWrap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联系方式：0873-3197062</w:t>
      </w:r>
    </w:p>
    <w:p w14:paraId="6E448C9C">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r>
    </w:p>
    <w:p w14:paraId="2C457D6E">
      <w:pPr>
        <w:pStyle w:val="2"/>
        <w:shd w:val="clear"/>
        <w:wordWrap w:val="0"/>
        <w:outlineLvl w:val="0"/>
        <w:rPr>
          <w:rFonts w:hint="eastAsia" w:ascii="黑体" w:hAnsi="黑体" w:eastAsia="黑体" w:cs="黑体"/>
          <w:b/>
          <w:bCs/>
          <w:color w:val="auto"/>
          <w:highlight w:val="none"/>
          <w:lang w:eastAsia="zh-CN"/>
        </w:rPr>
      </w:pPr>
      <w:bookmarkStart w:id="111" w:name="_Toc25200"/>
      <w:r>
        <w:rPr>
          <w:rFonts w:hint="eastAsia" w:ascii="黑体" w:hAnsi="黑体" w:eastAsia="黑体" w:cs="黑体"/>
          <w:b/>
          <w:bCs/>
          <w:color w:val="auto"/>
          <w:highlight w:val="none"/>
          <w:lang w:eastAsia="zh-CN"/>
        </w:rPr>
        <w:t>第二章 投标人须知</w:t>
      </w:r>
      <w:bookmarkStart w:id="112" w:name="_Toc12595"/>
      <w:bookmarkStart w:id="113" w:name="_Toc18039"/>
      <w:bookmarkStart w:id="114" w:name="_Toc489145702"/>
      <w:bookmarkStart w:id="115" w:name="_Toc69"/>
      <w:bookmarkStart w:id="116" w:name="_Toc24872"/>
      <w:bookmarkStart w:id="117" w:name="_Toc488633603"/>
      <w:bookmarkStart w:id="118" w:name="_Toc378239349"/>
      <w:bookmarkStart w:id="119" w:name="_Toc3440"/>
      <w:bookmarkStart w:id="120" w:name="_Toc480817642"/>
      <w:bookmarkStart w:id="121" w:name="_Toc378239076"/>
      <w:bookmarkStart w:id="122" w:name="_Toc378239168"/>
      <w:bookmarkStart w:id="123" w:name="_Toc401342132"/>
      <w:r>
        <w:rPr>
          <w:rFonts w:hint="eastAsia" w:ascii="黑体" w:hAnsi="黑体" w:eastAsia="黑体" w:cs="黑体"/>
          <w:b/>
          <w:bCs/>
          <w:color w:val="auto"/>
          <w:highlight w:val="none"/>
          <w:lang w:val="en-US" w:eastAsia="zh-CN"/>
        </w:rPr>
        <w:t xml:space="preserve"> </w:t>
      </w:r>
      <w:r>
        <w:rPr>
          <w:rFonts w:hint="eastAsia" w:ascii="黑体" w:hAnsi="黑体" w:eastAsia="黑体" w:cs="黑体"/>
          <w:b/>
          <w:bCs/>
          <w:color w:val="auto"/>
          <w:highlight w:val="none"/>
          <w:lang w:eastAsia="zh-CN"/>
        </w:rPr>
        <w:t>投标人须知前附表</w:t>
      </w:r>
      <w:bookmarkEnd w:id="111"/>
      <w:bookmarkEnd w:id="112"/>
      <w:bookmarkEnd w:id="113"/>
      <w:bookmarkEnd w:id="114"/>
      <w:bookmarkEnd w:id="115"/>
      <w:bookmarkEnd w:id="116"/>
      <w:bookmarkEnd w:id="117"/>
      <w:bookmarkEnd w:id="118"/>
      <w:bookmarkEnd w:id="119"/>
      <w:bookmarkEnd w:id="120"/>
      <w:bookmarkEnd w:id="121"/>
      <w:bookmarkEnd w:id="122"/>
      <w:bookmarkEnd w:id="123"/>
    </w:p>
    <w:tbl>
      <w:tblPr>
        <w:tblStyle w:val="40"/>
        <w:tblW w:w="8983" w:type="dxa"/>
        <w:tblInd w:w="108" w:type="dxa"/>
        <w:tblLayout w:type="fixed"/>
        <w:tblCellMar>
          <w:top w:w="0" w:type="dxa"/>
          <w:left w:w="108" w:type="dxa"/>
          <w:bottom w:w="0" w:type="dxa"/>
          <w:right w:w="108" w:type="dxa"/>
        </w:tblCellMar>
      </w:tblPr>
      <w:tblGrid>
        <w:gridCol w:w="993"/>
        <w:gridCol w:w="1938"/>
        <w:gridCol w:w="6052"/>
      </w:tblGrid>
      <w:tr w14:paraId="03CB2F2A">
        <w:tblPrEx>
          <w:tblCellMar>
            <w:top w:w="0" w:type="dxa"/>
            <w:left w:w="108" w:type="dxa"/>
            <w:bottom w:w="0" w:type="dxa"/>
            <w:right w:w="108" w:type="dxa"/>
          </w:tblCellMar>
        </w:tblPrEx>
        <w:trPr>
          <w:trHeight w:val="474" w:hRule="atLeast"/>
        </w:trPr>
        <w:tc>
          <w:tcPr>
            <w:tcW w:w="993" w:type="dxa"/>
            <w:tcBorders>
              <w:top w:val="single" w:color="auto" w:sz="4" w:space="0"/>
              <w:left w:val="single" w:color="auto" w:sz="4" w:space="0"/>
              <w:bottom w:val="single" w:color="auto" w:sz="4" w:space="0"/>
              <w:right w:val="single" w:color="auto" w:sz="4" w:space="0"/>
            </w:tcBorders>
            <w:vAlign w:val="center"/>
          </w:tcPr>
          <w:p w14:paraId="196ECDB5">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条款号</w:t>
            </w:r>
          </w:p>
        </w:tc>
        <w:tc>
          <w:tcPr>
            <w:tcW w:w="1938" w:type="dxa"/>
            <w:tcBorders>
              <w:top w:val="single" w:color="auto" w:sz="4" w:space="0"/>
              <w:left w:val="single" w:color="auto" w:sz="4" w:space="0"/>
              <w:bottom w:val="single" w:color="auto" w:sz="4" w:space="0"/>
              <w:right w:val="single" w:color="auto" w:sz="4" w:space="0"/>
            </w:tcBorders>
            <w:vAlign w:val="center"/>
          </w:tcPr>
          <w:p w14:paraId="170F8051">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条  款  名  称</w:t>
            </w:r>
          </w:p>
        </w:tc>
        <w:tc>
          <w:tcPr>
            <w:tcW w:w="6052" w:type="dxa"/>
            <w:tcBorders>
              <w:top w:val="single" w:color="auto" w:sz="4" w:space="0"/>
              <w:left w:val="single" w:color="auto" w:sz="4" w:space="0"/>
              <w:bottom w:val="single" w:color="auto" w:sz="4" w:space="0"/>
              <w:right w:val="single" w:color="auto" w:sz="4" w:space="0"/>
            </w:tcBorders>
            <w:vAlign w:val="center"/>
          </w:tcPr>
          <w:p w14:paraId="412C406D">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编  列  内  容</w:t>
            </w:r>
          </w:p>
        </w:tc>
      </w:tr>
      <w:tr w14:paraId="79AD70DA">
        <w:tblPrEx>
          <w:tblCellMar>
            <w:top w:w="0" w:type="dxa"/>
            <w:left w:w="108" w:type="dxa"/>
            <w:bottom w:w="0" w:type="dxa"/>
            <w:right w:w="108" w:type="dxa"/>
          </w:tblCellMar>
        </w:tblPrEx>
        <w:trPr>
          <w:trHeight w:val="473" w:hRule="atLeast"/>
        </w:trPr>
        <w:tc>
          <w:tcPr>
            <w:tcW w:w="993" w:type="dxa"/>
            <w:tcBorders>
              <w:top w:val="single" w:color="auto" w:sz="4" w:space="0"/>
              <w:left w:val="single" w:color="auto" w:sz="4" w:space="0"/>
              <w:bottom w:val="single" w:color="auto" w:sz="4" w:space="0"/>
              <w:right w:val="single" w:color="auto" w:sz="4" w:space="0"/>
            </w:tcBorders>
            <w:vAlign w:val="center"/>
          </w:tcPr>
          <w:p w14:paraId="76F55F5C">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w:t>
            </w:r>
          </w:p>
        </w:tc>
        <w:tc>
          <w:tcPr>
            <w:tcW w:w="1938" w:type="dxa"/>
            <w:tcBorders>
              <w:top w:val="single" w:color="auto" w:sz="4" w:space="0"/>
              <w:left w:val="single" w:color="auto" w:sz="4" w:space="0"/>
              <w:bottom w:val="single" w:color="auto" w:sz="4" w:space="0"/>
              <w:right w:val="single" w:color="auto" w:sz="4" w:space="0"/>
            </w:tcBorders>
            <w:vAlign w:val="center"/>
          </w:tcPr>
          <w:p w14:paraId="2BF8742C">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采购人</w:t>
            </w:r>
          </w:p>
        </w:tc>
        <w:tc>
          <w:tcPr>
            <w:tcW w:w="6052" w:type="dxa"/>
            <w:tcBorders>
              <w:top w:val="single" w:color="auto" w:sz="4" w:space="0"/>
              <w:left w:val="single" w:color="auto" w:sz="4" w:space="0"/>
              <w:bottom w:val="single" w:color="auto" w:sz="4" w:space="0"/>
              <w:right w:val="single" w:color="auto" w:sz="4" w:space="0"/>
            </w:tcBorders>
            <w:vAlign w:val="center"/>
          </w:tcPr>
          <w:p w14:paraId="3D35CD08">
            <w:pPr>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蒙自市公办义务教育阶段学校</w:t>
            </w:r>
          </w:p>
        </w:tc>
      </w:tr>
      <w:tr w14:paraId="55DC5B61">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4F4760BC">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1.2</w:t>
            </w:r>
          </w:p>
        </w:tc>
        <w:tc>
          <w:tcPr>
            <w:tcW w:w="1938" w:type="dxa"/>
            <w:tcBorders>
              <w:top w:val="single" w:color="auto" w:sz="4" w:space="0"/>
              <w:left w:val="single" w:color="auto" w:sz="4" w:space="0"/>
              <w:bottom w:val="single" w:color="auto" w:sz="4" w:space="0"/>
              <w:right w:val="single" w:color="auto" w:sz="4" w:space="0"/>
            </w:tcBorders>
            <w:vAlign w:val="center"/>
          </w:tcPr>
          <w:p w14:paraId="1DD26EEB">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采购代理机构</w:t>
            </w:r>
          </w:p>
        </w:tc>
        <w:tc>
          <w:tcPr>
            <w:tcW w:w="6052" w:type="dxa"/>
            <w:tcBorders>
              <w:top w:val="single" w:color="auto" w:sz="4" w:space="0"/>
              <w:left w:val="single" w:color="auto" w:sz="4" w:space="0"/>
              <w:bottom w:val="single" w:color="auto" w:sz="4" w:space="0"/>
              <w:right w:val="single" w:color="auto" w:sz="4" w:space="0"/>
            </w:tcBorders>
            <w:vAlign w:val="center"/>
          </w:tcPr>
          <w:p w14:paraId="2F6AA878">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红河州政府采购和出让中心</w:t>
            </w:r>
          </w:p>
        </w:tc>
      </w:tr>
      <w:tr w14:paraId="7EA1A404">
        <w:tblPrEx>
          <w:tblCellMar>
            <w:top w:w="0" w:type="dxa"/>
            <w:left w:w="108" w:type="dxa"/>
            <w:bottom w:w="0" w:type="dxa"/>
            <w:right w:w="108" w:type="dxa"/>
          </w:tblCellMar>
        </w:tblPrEx>
        <w:trPr>
          <w:trHeight w:val="601" w:hRule="atLeast"/>
        </w:trPr>
        <w:tc>
          <w:tcPr>
            <w:tcW w:w="993" w:type="dxa"/>
            <w:tcBorders>
              <w:top w:val="single" w:color="auto" w:sz="4" w:space="0"/>
              <w:left w:val="single" w:color="auto" w:sz="4" w:space="0"/>
              <w:bottom w:val="single" w:color="auto" w:sz="4" w:space="0"/>
              <w:right w:val="single" w:color="auto" w:sz="4" w:space="0"/>
            </w:tcBorders>
            <w:vAlign w:val="center"/>
          </w:tcPr>
          <w:p w14:paraId="1211319C">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1.3</w:t>
            </w:r>
          </w:p>
        </w:tc>
        <w:tc>
          <w:tcPr>
            <w:tcW w:w="1938" w:type="dxa"/>
            <w:tcBorders>
              <w:top w:val="single" w:color="auto" w:sz="4" w:space="0"/>
              <w:left w:val="single" w:color="auto" w:sz="4" w:space="0"/>
              <w:bottom w:val="single" w:color="auto" w:sz="4" w:space="0"/>
              <w:right w:val="single" w:color="auto" w:sz="4" w:space="0"/>
            </w:tcBorders>
            <w:vAlign w:val="center"/>
          </w:tcPr>
          <w:p w14:paraId="1047CF6E">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项目名称及项目编号</w:t>
            </w:r>
          </w:p>
        </w:tc>
        <w:tc>
          <w:tcPr>
            <w:tcW w:w="6052" w:type="dxa"/>
            <w:tcBorders>
              <w:top w:val="single" w:color="auto" w:sz="4" w:space="0"/>
              <w:left w:val="single" w:color="auto" w:sz="4" w:space="0"/>
              <w:bottom w:val="single" w:color="auto" w:sz="4" w:space="0"/>
              <w:right w:val="single" w:color="auto" w:sz="4" w:space="0"/>
            </w:tcBorders>
            <w:vAlign w:val="center"/>
          </w:tcPr>
          <w:p w14:paraId="37CBE154">
            <w:pPr>
              <w:shd w:val="clear"/>
              <w:wordWrap w:val="0"/>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项目名称：</w:t>
            </w:r>
            <w:r>
              <w:rPr>
                <w:rFonts w:hint="eastAsia" w:ascii="宋体" w:hAnsi="宋体" w:eastAsia="宋体" w:cs="宋体"/>
                <w:color w:val="auto"/>
                <w:szCs w:val="21"/>
                <w:highlight w:val="none"/>
                <w:lang w:eastAsia="zh-CN"/>
              </w:rPr>
              <w:t>蒙自市公办义务教育阶段学校食堂大宗食材配送服务</w:t>
            </w:r>
            <w:r>
              <w:rPr>
                <w:rFonts w:hint="eastAsia" w:ascii="宋体" w:hAnsi="宋体" w:cs="宋体"/>
                <w:color w:val="auto"/>
                <w:szCs w:val="21"/>
                <w:highlight w:val="none"/>
              </w:rPr>
              <w:t xml:space="preserve"> </w:t>
            </w:r>
            <w:r>
              <w:rPr>
                <w:rFonts w:hint="eastAsia" w:ascii="宋体" w:hAnsi="宋体" w:eastAsia="宋体" w:cs="宋体"/>
                <w:bCs/>
                <w:color w:val="auto"/>
                <w:szCs w:val="21"/>
                <w:highlight w:val="none"/>
              </w:rPr>
              <w:t>项目编号：</w:t>
            </w:r>
            <w:r>
              <w:rPr>
                <w:rFonts w:hint="eastAsia" w:ascii="宋体" w:hAnsi="宋体" w:cs="宋体"/>
                <w:bCs/>
                <w:color w:val="auto"/>
                <w:szCs w:val="21"/>
                <w:highlight w:val="none"/>
                <w:lang w:val="en-US" w:eastAsia="zh-CN"/>
              </w:rPr>
              <w:t>HHG2024009</w:t>
            </w:r>
          </w:p>
        </w:tc>
      </w:tr>
      <w:tr w14:paraId="5FF21646">
        <w:tblPrEx>
          <w:tblCellMar>
            <w:top w:w="0" w:type="dxa"/>
            <w:left w:w="108" w:type="dxa"/>
            <w:bottom w:w="0" w:type="dxa"/>
            <w:right w:w="108" w:type="dxa"/>
          </w:tblCellMar>
        </w:tblPrEx>
        <w:trPr>
          <w:trHeight w:val="517" w:hRule="atLeast"/>
        </w:trPr>
        <w:tc>
          <w:tcPr>
            <w:tcW w:w="993" w:type="dxa"/>
            <w:tcBorders>
              <w:top w:val="single" w:color="auto" w:sz="4" w:space="0"/>
              <w:left w:val="single" w:color="auto" w:sz="4" w:space="0"/>
              <w:bottom w:val="single" w:color="auto" w:sz="4" w:space="0"/>
              <w:right w:val="single" w:color="auto" w:sz="4" w:space="0"/>
            </w:tcBorders>
            <w:vAlign w:val="center"/>
          </w:tcPr>
          <w:p w14:paraId="104E02E8">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1.4.1</w:t>
            </w:r>
          </w:p>
        </w:tc>
        <w:tc>
          <w:tcPr>
            <w:tcW w:w="1938" w:type="dxa"/>
            <w:tcBorders>
              <w:top w:val="single" w:color="auto" w:sz="4" w:space="0"/>
              <w:left w:val="single" w:color="auto" w:sz="4" w:space="0"/>
              <w:bottom w:val="single" w:color="auto" w:sz="4" w:space="0"/>
              <w:right w:val="single" w:color="auto" w:sz="4" w:space="0"/>
            </w:tcBorders>
            <w:vAlign w:val="center"/>
          </w:tcPr>
          <w:p w14:paraId="2DCBDCF0">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资金来源及预算金额</w:t>
            </w:r>
          </w:p>
        </w:tc>
        <w:tc>
          <w:tcPr>
            <w:tcW w:w="6052" w:type="dxa"/>
            <w:tcBorders>
              <w:top w:val="single" w:color="auto" w:sz="4" w:space="0"/>
              <w:left w:val="single" w:color="auto" w:sz="4" w:space="0"/>
              <w:bottom w:val="single" w:color="auto" w:sz="4" w:space="0"/>
              <w:right w:val="single" w:color="auto" w:sz="4" w:space="0"/>
            </w:tcBorders>
            <w:vAlign w:val="center"/>
          </w:tcPr>
          <w:p w14:paraId="16FCC97B">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详见招标文件第一章《公开招标公告》“一、项目基本情况”</w:t>
            </w:r>
          </w:p>
        </w:tc>
      </w:tr>
      <w:tr w14:paraId="1077B8C1">
        <w:tblPrEx>
          <w:tblCellMar>
            <w:top w:w="0" w:type="dxa"/>
            <w:left w:w="108" w:type="dxa"/>
            <w:bottom w:w="0" w:type="dxa"/>
            <w:right w:w="108" w:type="dxa"/>
          </w:tblCellMar>
        </w:tblPrEx>
        <w:trPr>
          <w:trHeight w:val="517" w:hRule="atLeast"/>
        </w:trPr>
        <w:tc>
          <w:tcPr>
            <w:tcW w:w="993" w:type="dxa"/>
            <w:tcBorders>
              <w:top w:val="single" w:color="auto" w:sz="4" w:space="0"/>
              <w:left w:val="single" w:color="auto" w:sz="4" w:space="0"/>
              <w:bottom w:val="single" w:color="auto" w:sz="4" w:space="0"/>
              <w:right w:val="single" w:color="auto" w:sz="4" w:space="0"/>
            </w:tcBorders>
            <w:vAlign w:val="center"/>
          </w:tcPr>
          <w:p w14:paraId="57B99059">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1.4.2</w:t>
            </w:r>
          </w:p>
        </w:tc>
        <w:tc>
          <w:tcPr>
            <w:tcW w:w="1938" w:type="dxa"/>
            <w:tcBorders>
              <w:top w:val="single" w:color="auto" w:sz="4" w:space="0"/>
              <w:left w:val="single" w:color="auto" w:sz="4" w:space="0"/>
              <w:bottom w:val="single" w:color="auto" w:sz="4" w:space="0"/>
              <w:right w:val="single" w:color="auto" w:sz="4" w:space="0"/>
            </w:tcBorders>
            <w:vAlign w:val="center"/>
          </w:tcPr>
          <w:p w14:paraId="0960ECF7">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采购需求</w:t>
            </w:r>
          </w:p>
        </w:tc>
        <w:tc>
          <w:tcPr>
            <w:tcW w:w="6052" w:type="dxa"/>
            <w:tcBorders>
              <w:top w:val="single" w:color="auto" w:sz="4" w:space="0"/>
              <w:left w:val="single" w:color="auto" w:sz="4" w:space="0"/>
              <w:bottom w:val="single" w:color="auto" w:sz="4" w:space="0"/>
              <w:right w:val="single" w:color="auto" w:sz="4" w:space="0"/>
            </w:tcBorders>
            <w:vAlign w:val="center"/>
          </w:tcPr>
          <w:p w14:paraId="70CD3195">
            <w:pPr>
              <w:shd w:val="clear"/>
              <w:wordWrap w:val="0"/>
              <w:spacing w:line="360" w:lineRule="exact"/>
              <w:rPr>
                <w:rFonts w:ascii="宋体" w:hAnsi="宋体" w:eastAsia="宋体" w:cs="宋体"/>
                <w:bCs/>
                <w:color w:val="auto"/>
                <w:kern w:val="0"/>
                <w:szCs w:val="21"/>
                <w:highlight w:val="none"/>
              </w:rPr>
            </w:pPr>
            <w:r>
              <w:rPr>
                <w:rFonts w:hint="eastAsia" w:ascii="宋体" w:hAnsi="宋体" w:eastAsia="宋体" w:cs="宋体"/>
                <w:bCs/>
                <w:color w:val="auto"/>
                <w:szCs w:val="21"/>
                <w:highlight w:val="none"/>
              </w:rPr>
              <w:t>详见招标文件第一章《公开招标公告》“一、项目基本情况”，具体要求等详见本招标文件第五章《采购需求》。</w:t>
            </w:r>
          </w:p>
        </w:tc>
      </w:tr>
      <w:tr w14:paraId="62D55A98">
        <w:tblPrEx>
          <w:tblCellMar>
            <w:top w:w="0" w:type="dxa"/>
            <w:left w:w="108" w:type="dxa"/>
            <w:bottom w:w="0" w:type="dxa"/>
            <w:right w:w="108" w:type="dxa"/>
          </w:tblCellMar>
        </w:tblPrEx>
        <w:trPr>
          <w:trHeight w:val="797" w:hRule="atLeast"/>
        </w:trPr>
        <w:tc>
          <w:tcPr>
            <w:tcW w:w="993" w:type="dxa"/>
            <w:tcBorders>
              <w:top w:val="single" w:color="auto" w:sz="4" w:space="0"/>
              <w:left w:val="single" w:color="auto" w:sz="4" w:space="0"/>
              <w:bottom w:val="single" w:color="auto" w:sz="4" w:space="0"/>
              <w:right w:val="single" w:color="auto" w:sz="4" w:space="0"/>
            </w:tcBorders>
            <w:vAlign w:val="center"/>
          </w:tcPr>
          <w:p w14:paraId="0B458773">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1.4.3</w:t>
            </w:r>
          </w:p>
        </w:tc>
        <w:tc>
          <w:tcPr>
            <w:tcW w:w="1938" w:type="dxa"/>
            <w:tcBorders>
              <w:top w:val="single" w:color="auto" w:sz="4" w:space="0"/>
              <w:left w:val="single" w:color="auto" w:sz="4" w:space="0"/>
              <w:bottom w:val="single" w:color="auto" w:sz="4" w:space="0"/>
              <w:right w:val="single" w:color="auto" w:sz="4" w:space="0"/>
            </w:tcBorders>
            <w:vAlign w:val="center"/>
          </w:tcPr>
          <w:p w14:paraId="785FD18E">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项目完成期、交货地点</w:t>
            </w:r>
          </w:p>
        </w:tc>
        <w:tc>
          <w:tcPr>
            <w:tcW w:w="6052" w:type="dxa"/>
            <w:tcBorders>
              <w:top w:val="single" w:color="auto" w:sz="4" w:space="0"/>
              <w:left w:val="single" w:color="auto" w:sz="4" w:space="0"/>
              <w:bottom w:val="single" w:color="auto" w:sz="4" w:space="0"/>
              <w:right w:val="single" w:color="auto" w:sz="4" w:space="0"/>
            </w:tcBorders>
            <w:vAlign w:val="center"/>
          </w:tcPr>
          <w:p w14:paraId="05CB85F8">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详见招标文件第一章《公开招标公告》“一、项目基本情况”</w:t>
            </w:r>
          </w:p>
        </w:tc>
      </w:tr>
      <w:tr w14:paraId="017A2598">
        <w:tblPrEx>
          <w:tblCellMar>
            <w:top w:w="0" w:type="dxa"/>
            <w:left w:w="108" w:type="dxa"/>
            <w:bottom w:w="0" w:type="dxa"/>
            <w:right w:w="108" w:type="dxa"/>
          </w:tblCellMar>
        </w:tblPrEx>
        <w:trPr>
          <w:trHeight w:val="336" w:hRule="atLeast"/>
        </w:trPr>
        <w:tc>
          <w:tcPr>
            <w:tcW w:w="993" w:type="dxa"/>
            <w:tcBorders>
              <w:top w:val="single" w:color="auto" w:sz="4" w:space="0"/>
              <w:left w:val="single" w:color="auto" w:sz="4" w:space="0"/>
              <w:bottom w:val="single" w:color="auto" w:sz="4" w:space="0"/>
              <w:right w:val="single" w:color="auto" w:sz="4" w:space="0"/>
            </w:tcBorders>
            <w:vAlign w:val="center"/>
          </w:tcPr>
          <w:p w14:paraId="32672AA7">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1.4.4</w:t>
            </w:r>
          </w:p>
        </w:tc>
        <w:tc>
          <w:tcPr>
            <w:tcW w:w="1938" w:type="dxa"/>
            <w:tcBorders>
              <w:top w:val="single" w:color="auto" w:sz="4" w:space="0"/>
              <w:left w:val="single" w:color="auto" w:sz="4" w:space="0"/>
              <w:bottom w:val="single" w:color="auto" w:sz="4" w:space="0"/>
              <w:right w:val="single" w:color="auto" w:sz="4" w:space="0"/>
            </w:tcBorders>
            <w:vAlign w:val="center"/>
          </w:tcPr>
          <w:p w14:paraId="1FC727A8">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投标人资格要求</w:t>
            </w:r>
          </w:p>
        </w:tc>
        <w:tc>
          <w:tcPr>
            <w:tcW w:w="6052" w:type="dxa"/>
            <w:tcBorders>
              <w:top w:val="single" w:color="auto" w:sz="4" w:space="0"/>
              <w:left w:val="single" w:color="auto" w:sz="4" w:space="0"/>
              <w:bottom w:val="single" w:color="auto" w:sz="4" w:space="0"/>
              <w:right w:val="single" w:color="auto" w:sz="4" w:space="0"/>
            </w:tcBorders>
            <w:vAlign w:val="center"/>
          </w:tcPr>
          <w:p w14:paraId="6A777AB0">
            <w:pPr>
              <w:widowControl/>
              <w:shd w:val="clear"/>
              <w:wordWrap w:val="0"/>
              <w:spacing w:line="360" w:lineRule="exact"/>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详见招标文件第一章《公开招标公告》“二、投标人资格要求”</w:t>
            </w:r>
          </w:p>
        </w:tc>
      </w:tr>
      <w:tr w14:paraId="34730F7D">
        <w:tblPrEx>
          <w:tblCellMar>
            <w:top w:w="0" w:type="dxa"/>
            <w:left w:w="108" w:type="dxa"/>
            <w:bottom w:w="0" w:type="dxa"/>
            <w:right w:w="108" w:type="dxa"/>
          </w:tblCellMar>
        </w:tblPrEx>
        <w:trPr>
          <w:trHeight w:val="336" w:hRule="atLeast"/>
        </w:trPr>
        <w:tc>
          <w:tcPr>
            <w:tcW w:w="993" w:type="dxa"/>
            <w:tcBorders>
              <w:top w:val="single" w:color="auto" w:sz="4" w:space="0"/>
              <w:left w:val="single" w:color="auto" w:sz="4" w:space="0"/>
              <w:bottom w:val="single" w:color="auto" w:sz="4" w:space="0"/>
              <w:right w:val="single" w:color="auto" w:sz="4" w:space="0"/>
            </w:tcBorders>
            <w:vAlign w:val="center"/>
          </w:tcPr>
          <w:p w14:paraId="699F5412">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1.4.5</w:t>
            </w:r>
          </w:p>
        </w:tc>
        <w:tc>
          <w:tcPr>
            <w:tcW w:w="1938" w:type="dxa"/>
            <w:tcBorders>
              <w:top w:val="single" w:color="auto" w:sz="4" w:space="0"/>
              <w:left w:val="single" w:color="auto" w:sz="4" w:space="0"/>
              <w:bottom w:val="single" w:color="auto" w:sz="4" w:space="0"/>
              <w:right w:val="single" w:color="auto" w:sz="4" w:space="0"/>
            </w:tcBorders>
            <w:vAlign w:val="center"/>
          </w:tcPr>
          <w:p w14:paraId="271811A7">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本项目的特定资格要求</w:t>
            </w:r>
          </w:p>
        </w:tc>
        <w:tc>
          <w:tcPr>
            <w:tcW w:w="6052" w:type="dxa"/>
            <w:tcBorders>
              <w:top w:val="single" w:color="auto" w:sz="4" w:space="0"/>
              <w:left w:val="single" w:color="auto" w:sz="4" w:space="0"/>
              <w:bottom w:val="single" w:color="auto" w:sz="4" w:space="0"/>
              <w:right w:val="single" w:color="auto" w:sz="4" w:space="0"/>
            </w:tcBorders>
            <w:vAlign w:val="center"/>
          </w:tcPr>
          <w:p w14:paraId="4A329D11">
            <w:pPr>
              <w:widowControl/>
              <w:shd w:val="clear"/>
              <w:wordWrap w:val="0"/>
              <w:spacing w:line="360" w:lineRule="exact"/>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详见招标文件第一章《公开招标公告》“二、投标人资格要求”</w:t>
            </w:r>
          </w:p>
        </w:tc>
      </w:tr>
      <w:tr w14:paraId="6207B155">
        <w:tblPrEx>
          <w:tblCellMar>
            <w:top w:w="0" w:type="dxa"/>
            <w:left w:w="108" w:type="dxa"/>
            <w:bottom w:w="0" w:type="dxa"/>
            <w:right w:w="108" w:type="dxa"/>
          </w:tblCellMar>
        </w:tblPrEx>
        <w:trPr>
          <w:trHeight w:val="336" w:hRule="atLeast"/>
        </w:trPr>
        <w:tc>
          <w:tcPr>
            <w:tcW w:w="993" w:type="dxa"/>
            <w:tcBorders>
              <w:top w:val="single" w:color="auto" w:sz="4" w:space="0"/>
              <w:left w:val="single" w:color="auto" w:sz="4" w:space="0"/>
              <w:bottom w:val="single" w:color="auto" w:sz="4" w:space="0"/>
              <w:right w:val="single" w:color="auto" w:sz="4" w:space="0"/>
            </w:tcBorders>
            <w:vAlign w:val="center"/>
          </w:tcPr>
          <w:p w14:paraId="355A09E7">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1.5</w:t>
            </w:r>
          </w:p>
        </w:tc>
        <w:tc>
          <w:tcPr>
            <w:tcW w:w="1938" w:type="dxa"/>
            <w:tcBorders>
              <w:top w:val="single" w:color="auto" w:sz="4" w:space="0"/>
              <w:left w:val="single" w:color="auto" w:sz="4" w:space="0"/>
              <w:bottom w:val="single" w:color="auto" w:sz="4" w:space="0"/>
              <w:right w:val="single" w:color="auto" w:sz="4" w:space="0"/>
            </w:tcBorders>
            <w:vAlign w:val="center"/>
          </w:tcPr>
          <w:p w14:paraId="7C123AEB">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是否接受联合体参加</w:t>
            </w:r>
          </w:p>
        </w:tc>
        <w:tc>
          <w:tcPr>
            <w:tcW w:w="6052" w:type="dxa"/>
            <w:tcBorders>
              <w:top w:val="single" w:color="auto" w:sz="4" w:space="0"/>
              <w:left w:val="single" w:color="auto" w:sz="4" w:space="0"/>
              <w:bottom w:val="single" w:color="auto" w:sz="4" w:space="0"/>
              <w:right w:val="single" w:color="auto" w:sz="4" w:space="0"/>
            </w:tcBorders>
            <w:vAlign w:val="center"/>
          </w:tcPr>
          <w:p w14:paraId="3BC4857C">
            <w:pPr>
              <w:widowControl/>
              <w:shd w:val="clear"/>
              <w:wordWrap w:val="0"/>
              <w:spacing w:line="360" w:lineRule="exact"/>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不接受</w:t>
            </w:r>
          </w:p>
        </w:tc>
      </w:tr>
      <w:tr w14:paraId="7D410D50">
        <w:tblPrEx>
          <w:tblCellMar>
            <w:top w:w="0" w:type="dxa"/>
            <w:left w:w="108" w:type="dxa"/>
            <w:bottom w:w="0" w:type="dxa"/>
            <w:right w:w="108" w:type="dxa"/>
          </w:tblCellMar>
        </w:tblPrEx>
        <w:trPr>
          <w:trHeight w:val="420" w:hRule="atLeast"/>
        </w:trPr>
        <w:tc>
          <w:tcPr>
            <w:tcW w:w="993" w:type="dxa"/>
            <w:tcBorders>
              <w:top w:val="single" w:color="auto" w:sz="4" w:space="0"/>
              <w:left w:val="single" w:color="auto" w:sz="4" w:space="0"/>
              <w:bottom w:val="single" w:color="auto" w:sz="4" w:space="0"/>
              <w:right w:val="single" w:color="auto" w:sz="4" w:space="0"/>
            </w:tcBorders>
            <w:vAlign w:val="center"/>
          </w:tcPr>
          <w:p w14:paraId="6FD4ED08">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1.6</w:t>
            </w:r>
          </w:p>
        </w:tc>
        <w:tc>
          <w:tcPr>
            <w:tcW w:w="1938" w:type="dxa"/>
            <w:tcBorders>
              <w:top w:val="single" w:color="auto" w:sz="4" w:space="0"/>
              <w:left w:val="single" w:color="auto" w:sz="4" w:space="0"/>
              <w:bottom w:val="single" w:color="auto" w:sz="4" w:space="0"/>
              <w:right w:val="single" w:color="auto" w:sz="4" w:space="0"/>
            </w:tcBorders>
            <w:vAlign w:val="center"/>
          </w:tcPr>
          <w:p w14:paraId="237CAA35">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现场踏勘</w:t>
            </w:r>
          </w:p>
        </w:tc>
        <w:tc>
          <w:tcPr>
            <w:tcW w:w="6052" w:type="dxa"/>
            <w:tcBorders>
              <w:top w:val="single" w:color="auto" w:sz="4" w:space="0"/>
              <w:left w:val="single" w:color="auto" w:sz="4" w:space="0"/>
              <w:bottom w:val="single" w:color="auto" w:sz="4" w:space="0"/>
              <w:right w:val="single" w:color="auto" w:sz="4" w:space="0"/>
            </w:tcBorders>
            <w:vAlign w:val="center"/>
          </w:tcPr>
          <w:p w14:paraId="1D412FB3">
            <w:pPr>
              <w:shd w:val="clear"/>
              <w:wordWrap w:val="0"/>
              <w:spacing w:line="360" w:lineRule="exact"/>
              <w:rPr>
                <w:rFonts w:ascii="宋体" w:hAnsi="宋体" w:eastAsia="宋体" w:cs="宋体"/>
                <w:bCs/>
                <w:color w:val="auto"/>
                <w:highlight w:val="none"/>
              </w:rPr>
            </w:pPr>
            <w:r>
              <w:rPr>
                <w:rFonts w:hint="eastAsia" w:ascii="宋体" w:hAnsi="宋体" w:eastAsia="宋体" w:cs="宋体"/>
                <w:bCs/>
                <w:color w:val="auto"/>
                <w:szCs w:val="21"/>
                <w:highlight w:val="none"/>
              </w:rPr>
              <w:t>详见招标文件第一章《公开招标公告》“一、项目基本情况”</w:t>
            </w:r>
          </w:p>
        </w:tc>
      </w:tr>
      <w:tr w14:paraId="3FAD5D22">
        <w:tblPrEx>
          <w:tblCellMar>
            <w:top w:w="0" w:type="dxa"/>
            <w:left w:w="108" w:type="dxa"/>
            <w:bottom w:w="0" w:type="dxa"/>
            <w:right w:w="108" w:type="dxa"/>
          </w:tblCellMar>
        </w:tblPrEx>
        <w:trPr>
          <w:trHeight w:val="420" w:hRule="atLeast"/>
        </w:trPr>
        <w:tc>
          <w:tcPr>
            <w:tcW w:w="993" w:type="dxa"/>
            <w:tcBorders>
              <w:top w:val="single" w:color="auto" w:sz="4" w:space="0"/>
              <w:left w:val="single" w:color="auto" w:sz="4" w:space="0"/>
              <w:bottom w:val="single" w:color="auto" w:sz="4" w:space="0"/>
              <w:right w:val="single" w:color="auto" w:sz="4" w:space="0"/>
            </w:tcBorders>
            <w:vAlign w:val="center"/>
          </w:tcPr>
          <w:p w14:paraId="48C9D184">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1.7</w:t>
            </w:r>
          </w:p>
        </w:tc>
        <w:tc>
          <w:tcPr>
            <w:tcW w:w="1938" w:type="dxa"/>
            <w:tcBorders>
              <w:top w:val="single" w:color="auto" w:sz="4" w:space="0"/>
              <w:left w:val="single" w:color="auto" w:sz="4" w:space="0"/>
              <w:bottom w:val="single" w:color="auto" w:sz="4" w:space="0"/>
              <w:right w:val="single" w:color="auto" w:sz="4" w:space="0"/>
            </w:tcBorders>
            <w:vAlign w:val="center"/>
          </w:tcPr>
          <w:p w14:paraId="6CA5DDD0">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开标前答疑会</w:t>
            </w:r>
          </w:p>
        </w:tc>
        <w:tc>
          <w:tcPr>
            <w:tcW w:w="6052" w:type="dxa"/>
            <w:tcBorders>
              <w:top w:val="single" w:color="auto" w:sz="4" w:space="0"/>
              <w:left w:val="single" w:color="auto" w:sz="4" w:space="0"/>
              <w:bottom w:val="single" w:color="auto" w:sz="4" w:space="0"/>
              <w:right w:val="single" w:color="auto" w:sz="4" w:space="0"/>
            </w:tcBorders>
            <w:vAlign w:val="center"/>
          </w:tcPr>
          <w:p w14:paraId="1BC78344">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不组织  </w:t>
            </w:r>
          </w:p>
        </w:tc>
      </w:tr>
      <w:tr w14:paraId="4A3B96D1">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673A967C">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1.8</w:t>
            </w:r>
          </w:p>
        </w:tc>
        <w:tc>
          <w:tcPr>
            <w:tcW w:w="1938" w:type="dxa"/>
            <w:tcBorders>
              <w:top w:val="single" w:color="auto" w:sz="4" w:space="0"/>
              <w:left w:val="single" w:color="auto" w:sz="4" w:space="0"/>
              <w:bottom w:val="single" w:color="auto" w:sz="4" w:space="0"/>
              <w:right w:val="single" w:color="auto" w:sz="4" w:space="0"/>
            </w:tcBorders>
            <w:vAlign w:val="center"/>
          </w:tcPr>
          <w:p w14:paraId="586B65DD">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招标文件的询问时间</w:t>
            </w:r>
          </w:p>
        </w:tc>
        <w:tc>
          <w:tcPr>
            <w:tcW w:w="6052" w:type="dxa"/>
            <w:tcBorders>
              <w:top w:val="single" w:color="auto" w:sz="4" w:space="0"/>
              <w:left w:val="single" w:color="auto" w:sz="4" w:space="0"/>
              <w:bottom w:val="single" w:color="auto" w:sz="4" w:space="0"/>
              <w:right w:val="single" w:color="auto" w:sz="4" w:space="0"/>
            </w:tcBorders>
            <w:vAlign w:val="center"/>
          </w:tcPr>
          <w:p w14:paraId="70F12989">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投标人应认真阅读招标文件，如有疑问的，投标人可以向采购人或采购代理机构提出询问或者凭企业数字证书（CA）登录政采云平台（https://www.zcygov.cn/），通过在线方式提出询问（不署名），采购人或者采购代理机构在接到询问后的3个工作日内对投标人依法提出的询问作出答复，但答复的内容不涉及商业秘密。</w:t>
            </w:r>
          </w:p>
        </w:tc>
      </w:tr>
      <w:tr w14:paraId="7CE0BABD">
        <w:tblPrEx>
          <w:tblCellMar>
            <w:top w:w="0" w:type="dxa"/>
            <w:left w:w="108" w:type="dxa"/>
            <w:bottom w:w="0" w:type="dxa"/>
            <w:right w:w="108" w:type="dxa"/>
          </w:tblCellMar>
        </w:tblPrEx>
        <w:tc>
          <w:tcPr>
            <w:tcW w:w="993" w:type="dxa"/>
            <w:tcBorders>
              <w:top w:val="single" w:color="auto" w:sz="4" w:space="0"/>
              <w:left w:val="single" w:color="auto" w:sz="4" w:space="0"/>
              <w:bottom w:val="single" w:color="auto" w:sz="4" w:space="0"/>
              <w:right w:val="single" w:color="auto" w:sz="4" w:space="0"/>
            </w:tcBorders>
            <w:vAlign w:val="center"/>
          </w:tcPr>
          <w:p w14:paraId="0B47FDF9">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1.9</w:t>
            </w:r>
          </w:p>
        </w:tc>
        <w:tc>
          <w:tcPr>
            <w:tcW w:w="1938" w:type="dxa"/>
            <w:tcBorders>
              <w:top w:val="single" w:color="auto" w:sz="4" w:space="0"/>
              <w:left w:val="single" w:color="auto" w:sz="4" w:space="0"/>
              <w:bottom w:val="single" w:color="auto" w:sz="4" w:space="0"/>
              <w:right w:val="single" w:color="auto" w:sz="4" w:space="0"/>
            </w:tcBorders>
            <w:vAlign w:val="center"/>
          </w:tcPr>
          <w:p w14:paraId="033B837B">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招标文件澄清、修改时间、形式</w:t>
            </w:r>
          </w:p>
        </w:tc>
        <w:tc>
          <w:tcPr>
            <w:tcW w:w="6052" w:type="dxa"/>
            <w:tcBorders>
              <w:top w:val="single" w:color="auto" w:sz="4" w:space="0"/>
              <w:left w:val="single" w:color="auto" w:sz="4" w:space="0"/>
              <w:bottom w:val="single" w:color="auto" w:sz="4" w:space="0"/>
              <w:right w:val="single" w:color="auto" w:sz="4" w:space="0"/>
            </w:tcBorders>
            <w:vAlign w:val="center"/>
          </w:tcPr>
          <w:p w14:paraId="7908613F">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澄清或者修改的内容可能影响投标文件编制的，采购人或者采购代理机构将在投标截止时间至少15日前，通过政采云平台（https://www.zcygov.cn/）以网上电子文件形式和书面形式通知所有接收招标文件的投标人，不足15日的，采购人或者采购代理机构将顺延提交投标文件的截止时间。</w:t>
            </w:r>
          </w:p>
        </w:tc>
      </w:tr>
      <w:tr w14:paraId="06C14153">
        <w:tblPrEx>
          <w:tblCellMar>
            <w:top w:w="0" w:type="dxa"/>
            <w:left w:w="108" w:type="dxa"/>
            <w:bottom w:w="0" w:type="dxa"/>
            <w:right w:w="108" w:type="dxa"/>
          </w:tblCellMar>
        </w:tblPrEx>
        <w:trPr>
          <w:trHeight w:val="722" w:hRule="atLeast"/>
        </w:trPr>
        <w:tc>
          <w:tcPr>
            <w:tcW w:w="993" w:type="dxa"/>
            <w:tcBorders>
              <w:top w:val="single" w:color="auto" w:sz="4" w:space="0"/>
              <w:left w:val="single" w:color="auto" w:sz="4" w:space="0"/>
              <w:bottom w:val="single" w:color="auto" w:sz="4" w:space="0"/>
              <w:right w:val="single" w:color="auto" w:sz="4" w:space="0"/>
            </w:tcBorders>
            <w:vAlign w:val="center"/>
          </w:tcPr>
          <w:p w14:paraId="3531873A">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1.10</w:t>
            </w:r>
          </w:p>
        </w:tc>
        <w:tc>
          <w:tcPr>
            <w:tcW w:w="1938" w:type="dxa"/>
            <w:tcBorders>
              <w:top w:val="single" w:color="auto" w:sz="4" w:space="0"/>
              <w:left w:val="single" w:color="auto" w:sz="4" w:space="0"/>
              <w:bottom w:val="single" w:color="auto" w:sz="4" w:space="0"/>
              <w:right w:val="single" w:color="auto" w:sz="4" w:space="0"/>
            </w:tcBorders>
            <w:vAlign w:val="center"/>
          </w:tcPr>
          <w:p w14:paraId="57E55206">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语言文字</w:t>
            </w:r>
          </w:p>
        </w:tc>
        <w:tc>
          <w:tcPr>
            <w:tcW w:w="6052" w:type="dxa"/>
            <w:tcBorders>
              <w:top w:val="single" w:color="auto" w:sz="4" w:space="0"/>
              <w:left w:val="single" w:color="auto" w:sz="4" w:space="0"/>
              <w:bottom w:val="single" w:color="auto" w:sz="4" w:space="0"/>
              <w:right w:val="single" w:color="auto" w:sz="4" w:space="0"/>
            </w:tcBorders>
            <w:vAlign w:val="center"/>
          </w:tcPr>
          <w:p w14:paraId="45D5F26B">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投标人的投标文件以及投标人与采购代理机构就有关投标的所有来往函电统一使用中文（特别规定除外）。</w:t>
            </w:r>
          </w:p>
        </w:tc>
      </w:tr>
      <w:tr w14:paraId="181E9176">
        <w:tblPrEx>
          <w:tblCellMar>
            <w:top w:w="0" w:type="dxa"/>
            <w:left w:w="108" w:type="dxa"/>
            <w:bottom w:w="0" w:type="dxa"/>
            <w:right w:w="108" w:type="dxa"/>
          </w:tblCellMar>
        </w:tblPrEx>
        <w:trPr>
          <w:trHeight w:val="704" w:hRule="atLeast"/>
        </w:trPr>
        <w:tc>
          <w:tcPr>
            <w:tcW w:w="993" w:type="dxa"/>
            <w:tcBorders>
              <w:top w:val="single" w:color="auto" w:sz="4" w:space="0"/>
              <w:left w:val="single" w:color="auto" w:sz="4" w:space="0"/>
              <w:bottom w:val="single" w:color="auto" w:sz="4" w:space="0"/>
              <w:right w:val="single" w:color="auto" w:sz="4" w:space="0"/>
            </w:tcBorders>
            <w:vAlign w:val="center"/>
          </w:tcPr>
          <w:p w14:paraId="45F886FC">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1.11</w:t>
            </w:r>
          </w:p>
        </w:tc>
        <w:tc>
          <w:tcPr>
            <w:tcW w:w="1938" w:type="dxa"/>
            <w:tcBorders>
              <w:top w:val="single" w:color="auto" w:sz="4" w:space="0"/>
              <w:left w:val="single" w:color="auto" w:sz="4" w:space="0"/>
              <w:bottom w:val="single" w:color="auto" w:sz="4" w:space="0"/>
              <w:right w:val="single" w:color="auto" w:sz="4" w:space="0"/>
            </w:tcBorders>
            <w:vAlign w:val="center"/>
          </w:tcPr>
          <w:p w14:paraId="7FC462A1">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计量单位</w:t>
            </w:r>
          </w:p>
        </w:tc>
        <w:tc>
          <w:tcPr>
            <w:tcW w:w="6052" w:type="dxa"/>
            <w:tcBorders>
              <w:top w:val="single" w:color="auto" w:sz="4" w:space="0"/>
              <w:left w:val="single" w:color="auto" w:sz="4" w:space="0"/>
              <w:bottom w:val="single" w:color="auto" w:sz="4" w:space="0"/>
              <w:right w:val="single" w:color="auto" w:sz="4" w:space="0"/>
            </w:tcBorders>
            <w:vAlign w:val="center"/>
          </w:tcPr>
          <w:p w14:paraId="707BE7F3">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投标文件中使用的计量单位除招标文件中有特殊规定外，一律使用中国法定计量单位。</w:t>
            </w:r>
          </w:p>
        </w:tc>
      </w:tr>
      <w:tr w14:paraId="7F3827F7">
        <w:tblPrEx>
          <w:tblCellMar>
            <w:top w:w="0" w:type="dxa"/>
            <w:left w:w="108" w:type="dxa"/>
            <w:bottom w:w="0" w:type="dxa"/>
            <w:right w:w="108" w:type="dxa"/>
          </w:tblCellMar>
        </w:tblPrEx>
        <w:trPr>
          <w:trHeight w:val="416" w:hRule="atLeast"/>
        </w:trPr>
        <w:tc>
          <w:tcPr>
            <w:tcW w:w="993" w:type="dxa"/>
            <w:tcBorders>
              <w:top w:val="single" w:color="auto" w:sz="4" w:space="0"/>
              <w:left w:val="single" w:color="auto" w:sz="4" w:space="0"/>
              <w:bottom w:val="single" w:color="auto" w:sz="4" w:space="0"/>
              <w:right w:val="single" w:color="auto" w:sz="4" w:space="0"/>
            </w:tcBorders>
            <w:vAlign w:val="center"/>
          </w:tcPr>
          <w:p w14:paraId="61F711E4">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1.12</w:t>
            </w:r>
          </w:p>
        </w:tc>
        <w:tc>
          <w:tcPr>
            <w:tcW w:w="1938" w:type="dxa"/>
            <w:tcBorders>
              <w:top w:val="single" w:color="auto" w:sz="4" w:space="0"/>
              <w:left w:val="single" w:color="auto" w:sz="4" w:space="0"/>
              <w:bottom w:val="single" w:color="auto" w:sz="4" w:space="0"/>
              <w:right w:val="single" w:color="auto" w:sz="4" w:space="0"/>
            </w:tcBorders>
            <w:vAlign w:val="center"/>
          </w:tcPr>
          <w:p w14:paraId="04DB2FF8">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构成投标文件的其他资料</w:t>
            </w:r>
          </w:p>
        </w:tc>
        <w:tc>
          <w:tcPr>
            <w:tcW w:w="6052" w:type="dxa"/>
            <w:tcBorders>
              <w:top w:val="single" w:color="auto" w:sz="4" w:space="0"/>
              <w:left w:val="single" w:color="auto" w:sz="4" w:space="0"/>
              <w:bottom w:val="single" w:color="auto" w:sz="4" w:space="0"/>
              <w:right w:val="single" w:color="auto" w:sz="4" w:space="0"/>
            </w:tcBorders>
            <w:vAlign w:val="center"/>
          </w:tcPr>
          <w:p w14:paraId="5D64939A">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1.招标文件第五章《采购需求》中要求提供的其他资料；</w:t>
            </w:r>
          </w:p>
          <w:p w14:paraId="4FCC8377">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2.招标文件中所</w:t>
            </w:r>
            <w:r>
              <w:rPr>
                <w:rFonts w:hint="eastAsia" w:ascii="宋体" w:hAnsi="宋体" w:cs="宋体"/>
                <w:bCs/>
                <w:color w:val="auto"/>
                <w:szCs w:val="21"/>
                <w:highlight w:val="none"/>
                <w:lang w:eastAsia="zh-CN"/>
              </w:rPr>
              <w:t>涉及的</w:t>
            </w:r>
            <w:r>
              <w:rPr>
                <w:rFonts w:hint="eastAsia" w:ascii="宋体" w:hAnsi="宋体" w:eastAsia="宋体" w:cs="宋体"/>
                <w:bCs/>
                <w:color w:val="auto"/>
                <w:szCs w:val="21"/>
                <w:highlight w:val="none"/>
              </w:rPr>
              <w:t>相关资料及证明文件或投标人认为必须提供的其他相关资料。</w:t>
            </w:r>
          </w:p>
        </w:tc>
      </w:tr>
      <w:tr w14:paraId="24BAF1B7">
        <w:tblPrEx>
          <w:tblCellMar>
            <w:top w:w="0" w:type="dxa"/>
            <w:left w:w="108" w:type="dxa"/>
            <w:bottom w:w="0" w:type="dxa"/>
            <w:right w:w="108" w:type="dxa"/>
          </w:tblCellMar>
        </w:tblPrEx>
        <w:trPr>
          <w:trHeight w:val="280" w:hRule="atLeast"/>
        </w:trPr>
        <w:tc>
          <w:tcPr>
            <w:tcW w:w="993" w:type="dxa"/>
            <w:tcBorders>
              <w:top w:val="single" w:color="auto" w:sz="4" w:space="0"/>
              <w:left w:val="single" w:color="auto" w:sz="4" w:space="0"/>
              <w:bottom w:val="single" w:color="auto" w:sz="4" w:space="0"/>
              <w:right w:val="single" w:color="auto" w:sz="4" w:space="0"/>
            </w:tcBorders>
            <w:vAlign w:val="center"/>
          </w:tcPr>
          <w:p w14:paraId="16ADE2EC">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1.13</w:t>
            </w:r>
          </w:p>
        </w:tc>
        <w:tc>
          <w:tcPr>
            <w:tcW w:w="1938" w:type="dxa"/>
            <w:tcBorders>
              <w:top w:val="single" w:color="auto" w:sz="4" w:space="0"/>
              <w:left w:val="single" w:color="auto" w:sz="4" w:space="0"/>
              <w:bottom w:val="single" w:color="auto" w:sz="4" w:space="0"/>
              <w:right w:val="single" w:color="auto" w:sz="4" w:space="0"/>
            </w:tcBorders>
            <w:vAlign w:val="center"/>
          </w:tcPr>
          <w:p w14:paraId="2863EEAC">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投标有效期</w:t>
            </w:r>
          </w:p>
        </w:tc>
        <w:tc>
          <w:tcPr>
            <w:tcW w:w="6052" w:type="dxa"/>
            <w:tcBorders>
              <w:top w:val="single" w:color="auto" w:sz="4" w:space="0"/>
              <w:left w:val="single" w:color="auto" w:sz="4" w:space="0"/>
              <w:bottom w:val="single" w:color="auto" w:sz="4" w:space="0"/>
              <w:right w:val="single" w:color="auto" w:sz="4" w:space="0"/>
            </w:tcBorders>
            <w:vAlign w:val="center"/>
          </w:tcPr>
          <w:p w14:paraId="5DAEED81">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从提交投标文件截止之日起90日历天。</w:t>
            </w:r>
          </w:p>
        </w:tc>
      </w:tr>
      <w:tr w14:paraId="67A89254">
        <w:tblPrEx>
          <w:tblCellMar>
            <w:top w:w="0" w:type="dxa"/>
            <w:left w:w="108" w:type="dxa"/>
            <w:bottom w:w="0" w:type="dxa"/>
            <w:right w:w="108" w:type="dxa"/>
          </w:tblCellMar>
        </w:tblPrEx>
        <w:trPr>
          <w:trHeight w:val="335" w:hRule="atLeast"/>
        </w:trPr>
        <w:tc>
          <w:tcPr>
            <w:tcW w:w="993" w:type="dxa"/>
            <w:tcBorders>
              <w:top w:val="single" w:color="auto" w:sz="4" w:space="0"/>
              <w:left w:val="single" w:color="auto" w:sz="4" w:space="0"/>
              <w:bottom w:val="single" w:color="auto" w:sz="4" w:space="0"/>
              <w:right w:val="single" w:color="auto" w:sz="4" w:space="0"/>
            </w:tcBorders>
            <w:vAlign w:val="center"/>
          </w:tcPr>
          <w:p w14:paraId="3EDFE48B">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1.14</w:t>
            </w:r>
          </w:p>
        </w:tc>
        <w:tc>
          <w:tcPr>
            <w:tcW w:w="1938" w:type="dxa"/>
            <w:tcBorders>
              <w:top w:val="single" w:color="auto" w:sz="4" w:space="0"/>
              <w:left w:val="single" w:color="auto" w:sz="4" w:space="0"/>
              <w:bottom w:val="single" w:color="auto" w:sz="4" w:space="0"/>
              <w:right w:val="single" w:color="auto" w:sz="4" w:space="0"/>
            </w:tcBorders>
            <w:vAlign w:val="center"/>
          </w:tcPr>
          <w:p w14:paraId="0C5FEB51">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投标保证金</w:t>
            </w:r>
          </w:p>
        </w:tc>
        <w:tc>
          <w:tcPr>
            <w:tcW w:w="6052" w:type="dxa"/>
            <w:tcBorders>
              <w:top w:val="single" w:color="auto" w:sz="4" w:space="0"/>
              <w:left w:val="single" w:color="auto" w:sz="4" w:space="0"/>
              <w:bottom w:val="single" w:color="auto" w:sz="4" w:space="0"/>
              <w:right w:val="single" w:color="auto" w:sz="4" w:space="0"/>
            </w:tcBorders>
            <w:vAlign w:val="center"/>
          </w:tcPr>
          <w:p w14:paraId="5AA83FDB">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不要求递交投标保证金</w:t>
            </w:r>
          </w:p>
        </w:tc>
      </w:tr>
      <w:tr w14:paraId="75BCA20C">
        <w:tblPrEx>
          <w:tblCellMar>
            <w:top w:w="0" w:type="dxa"/>
            <w:left w:w="108" w:type="dxa"/>
            <w:bottom w:w="0" w:type="dxa"/>
            <w:right w:w="108" w:type="dxa"/>
          </w:tblCellMar>
        </w:tblPrEx>
        <w:trPr>
          <w:trHeight w:val="580" w:hRule="atLeast"/>
        </w:trPr>
        <w:tc>
          <w:tcPr>
            <w:tcW w:w="993" w:type="dxa"/>
            <w:tcBorders>
              <w:top w:val="single" w:color="auto" w:sz="4" w:space="0"/>
              <w:left w:val="single" w:color="auto" w:sz="4" w:space="0"/>
              <w:bottom w:val="single" w:color="auto" w:sz="4" w:space="0"/>
              <w:right w:val="single" w:color="auto" w:sz="4" w:space="0"/>
            </w:tcBorders>
            <w:vAlign w:val="center"/>
          </w:tcPr>
          <w:p w14:paraId="5941D9AE">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1.15</w:t>
            </w:r>
          </w:p>
        </w:tc>
        <w:tc>
          <w:tcPr>
            <w:tcW w:w="1938" w:type="dxa"/>
            <w:tcBorders>
              <w:top w:val="single" w:color="auto" w:sz="4" w:space="0"/>
              <w:left w:val="single" w:color="auto" w:sz="4" w:space="0"/>
              <w:bottom w:val="single" w:color="auto" w:sz="4" w:space="0"/>
              <w:right w:val="single" w:color="auto" w:sz="4" w:space="0"/>
            </w:tcBorders>
            <w:vAlign w:val="center"/>
          </w:tcPr>
          <w:p w14:paraId="00CE7A04">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备品备件</w:t>
            </w:r>
          </w:p>
        </w:tc>
        <w:tc>
          <w:tcPr>
            <w:tcW w:w="6052" w:type="dxa"/>
            <w:tcBorders>
              <w:top w:val="single" w:color="auto" w:sz="4" w:space="0"/>
              <w:left w:val="single" w:color="auto" w:sz="4" w:space="0"/>
              <w:bottom w:val="single" w:color="auto" w:sz="4" w:space="0"/>
              <w:right w:val="single" w:color="auto" w:sz="4" w:space="0"/>
            </w:tcBorders>
            <w:vAlign w:val="center"/>
          </w:tcPr>
          <w:p w14:paraId="20D85FDE">
            <w:pPr>
              <w:shd w:val="clear"/>
              <w:wordWrap w:val="0"/>
              <w:spacing w:line="30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□不包含在投标报价中</w:t>
            </w:r>
          </w:p>
          <w:p w14:paraId="180C4629">
            <w:pPr>
              <w:shd w:val="clear"/>
              <w:wordWrap w:val="0"/>
              <w:spacing w:line="30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eq \o\ac(□,</w:instrText>
            </w:r>
            <w:r>
              <w:rPr>
                <w:rFonts w:hint="eastAsia" w:ascii="宋体" w:hAnsi="宋体" w:eastAsia="宋体" w:cs="宋体"/>
                <w:bCs/>
                <w:color w:val="auto"/>
                <w:position w:val="2"/>
                <w:sz w:val="13"/>
                <w:szCs w:val="21"/>
                <w:highlight w:val="none"/>
              </w:rPr>
              <w:instrText xml:space="preserve">√</w:instrText>
            </w:r>
            <w:r>
              <w:rPr>
                <w:rFonts w:hint="eastAsia" w:ascii="宋体" w:hAnsi="宋体" w:eastAsia="宋体" w:cs="宋体"/>
                <w:bCs/>
                <w:color w:val="auto"/>
                <w:szCs w:val="21"/>
                <w:highlight w:val="none"/>
              </w:rPr>
              <w:instrText xml:space="preserve">)</w:instrTex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包含在投标报价中</w:t>
            </w:r>
          </w:p>
        </w:tc>
      </w:tr>
      <w:tr w14:paraId="1D0E3E52">
        <w:tblPrEx>
          <w:tblCellMar>
            <w:top w:w="0" w:type="dxa"/>
            <w:left w:w="108" w:type="dxa"/>
            <w:bottom w:w="0" w:type="dxa"/>
            <w:right w:w="108" w:type="dxa"/>
          </w:tblCellMar>
        </w:tblPrEx>
        <w:trPr>
          <w:trHeight w:val="231" w:hRule="atLeast"/>
        </w:trPr>
        <w:tc>
          <w:tcPr>
            <w:tcW w:w="993" w:type="dxa"/>
            <w:tcBorders>
              <w:top w:val="single" w:color="auto" w:sz="4" w:space="0"/>
              <w:left w:val="single" w:color="auto" w:sz="4" w:space="0"/>
              <w:bottom w:val="single" w:color="auto" w:sz="4" w:space="0"/>
              <w:right w:val="single" w:color="auto" w:sz="4" w:space="0"/>
            </w:tcBorders>
            <w:vAlign w:val="center"/>
          </w:tcPr>
          <w:p w14:paraId="1232F09A">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1.16</w:t>
            </w:r>
          </w:p>
        </w:tc>
        <w:tc>
          <w:tcPr>
            <w:tcW w:w="1938" w:type="dxa"/>
            <w:tcBorders>
              <w:top w:val="single" w:color="auto" w:sz="4" w:space="0"/>
              <w:left w:val="single" w:color="auto" w:sz="4" w:space="0"/>
              <w:bottom w:val="single" w:color="auto" w:sz="4" w:space="0"/>
              <w:right w:val="single" w:color="auto" w:sz="4" w:space="0"/>
            </w:tcBorders>
            <w:vAlign w:val="center"/>
          </w:tcPr>
          <w:p w14:paraId="717E519B">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报价货币</w:t>
            </w:r>
          </w:p>
        </w:tc>
        <w:tc>
          <w:tcPr>
            <w:tcW w:w="6052" w:type="dxa"/>
            <w:tcBorders>
              <w:top w:val="single" w:color="auto" w:sz="4" w:space="0"/>
              <w:left w:val="single" w:color="auto" w:sz="4" w:space="0"/>
              <w:bottom w:val="single" w:color="auto" w:sz="4" w:space="0"/>
              <w:right w:val="single" w:color="auto" w:sz="4" w:space="0"/>
            </w:tcBorders>
            <w:vAlign w:val="center"/>
          </w:tcPr>
          <w:p w14:paraId="732B713D">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人民币</w:t>
            </w:r>
          </w:p>
        </w:tc>
      </w:tr>
      <w:tr w14:paraId="3DEB7612">
        <w:tblPrEx>
          <w:tblCellMar>
            <w:top w:w="0" w:type="dxa"/>
            <w:left w:w="108" w:type="dxa"/>
            <w:bottom w:w="0" w:type="dxa"/>
            <w:right w:w="108" w:type="dxa"/>
          </w:tblCellMar>
        </w:tblPrEx>
        <w:trPr>
          <w:trHeight w:val="623" w:hRule="atLeast"/>
        </w:trPr>
        <w:tc>
          <w:tcPr>
            <w:tcW w:w="993" w:type="dxa"/>
            <w:tcBorders>
              <w:top w:val="single" w:color="auto" w:sz="4" w:space="0"/>
              <w:left w:val="single" w:color="auto" w:sz="4" w:space="0"/>
              <w:bottom w:val="single" w:color="auto" w:sz="4" w:space="0"/>
              <w:right w:val="single" w:color="auto" w:sz="4" w:space="0"/>
            </w:tcBorders>
            <w:vAlign w:val="center"/>
          </w:tcPr>
          <w:p w14:paraId="5BE78B81">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1.17</w:t>
            </w:r>
          </w:p>
        </w:tc>
        <w:tc>
          <w:tcPr>
            <w:tcW w:w="1938" w:type="dxa"/>
            <w:tcBorders>
              <w:top w:val="single" w:color="auto" w:sz="4" w:space="0"/>
              <w:left w:val="single" w:color="auto" w:sz="4" w:space="0"/>
              <w:bottom w:val="single" w:color="auto" w:sz="4" w:space="0"/>
              <w:right w:val="single" w:color="auto" w:sz="4" w:space="0"/>
            </w:tcBorders>
            <w:vAlign w:val="center"/>
          </w:tcPr>
          <w:p w14:paraId="64E2B059">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投标文件的密封</w:t>
            </w:r>
          </w:p>
        </w:tc>
        <w:tc>
          <w:tcPr>
            <w:tcW w:w="6052" w:type="dxa"/>
            <w:tcBorders>
              <w:top w:val="single" w:color="auto" w:sz="4" w:space="0"/>
              <w:left w:val="single" w:color="auto" w:sz="4" w:space="0"/>
              <w:bottom w:val="single" w:color="auto" w:sz="4" w:space="0"/>
              <w:right w:val="single" w:color="auto" w:sz="4" w:space="0"/>
            </w:tcBorders>
            <w:vAlign w:val="center"/>
          </w:tcPr>
          <w:p w14:paraId="6157A27E">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投标人应将通过政采云平台（https://www.zcygov.cn/）提交的电子投标文件</w:t>
            </w:r>
            <w:r>
              <w:rPr>
                <w:rFonts w:hint="eastAsia" w:ascii="宋体" w:hAnsi="宋体" w:eastAsia="宋体" w:cs="宋体"/>
                <w:bCs/>
                <w:color w:val="auto"/>
                <w:szCs w:val="28"/>
                <w:highlight w:val="none"/>
              </w:rPr>
              <w:t>进行加密。</w:t>
            </w:r>
          </w:p>
        </w:tc>
      </w:tr>
      <w:tr w14:paraId="2E8F0559">
        <w:tblPrEx>
          <w:tblCellMar>
            <w:top w:w="0" w:type="dxa"/>
            <w:left w:w="108" w:type="dxa"/>
            <w:bottom w:w="0" w:type="dxa"/>
            <w:right w:w="108" w:type="dxa"/>
          </w:tblCellMar>
        </w:tblPrEx>
        <w:trPr>
          <w:trHeight w:val="847" w:hRule="atLeast"/>
        </w:trPr>
        <w:tc>
          <w:tcPr>
            <w:tcW w:w="993" w:type="dxa"/>
            <w:tcBorders>
              <w:top w:val="single" w:color="auto" w:sz="4" w:space="0"/>
              <w:left w:val="single" w:color="auto" w:sz="4" w:space="0"/>
              <w:bottom w:val="single" w:color="auto" w:sz="4" w:space="0"/>
              <w:right w:val="single" w:color="auto" w:sz="4" w:space="0"/>
            </w:tcBorders>
            <w:vAlign w:val="center"/>
          </w:tcPr>
          <w:p w14:paraId="0923EFFB">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1.18</w:t>
            </w:r>
          </w:p>
        </w:tc>
        <w:tc>
          <w:tcPr>
            <w:tcW w:w="1938" w:type="dxa"/>
            <w:tcBorders>
              <w:top w:val="single" w:color="auto" w:sz="4" w:space="0"/>
              <w:left w:val="single" w:color="auto" w:sz="4" w:space="0"/>
              <w:bottom w:val="single" w:color="auto" w:sz="4" w:space="0"/>
              <w:right w:val="single" w:color="auto" w:sz="4" w:space="0"/>
            </w:tcBorders>
            <w:vAlign w:val="center"/>
          </w:tcPr>
          <w:p w14:paraId="60761E7B">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投标文件提交截止时间、提交投标文件的地点</w:t>
            </w:r>
          </w:p>
        </w:tc>
        <w:tc>
          <w:tcPr>
            <w:tcW w:w="6052" w:type="dxa"/>
            <w:tcBorders>
              <w:top w:val="single" w:color="auto" w:sz="4" w:space="0"/>
              <w:left w:val="single" w:color="auto" w:sz="4" w:space="0"/>
              <w:bottom w:val="single" w:color="auto" w:sz="4" w:space="0"/>
              <w:right w:val="single" w:color="auto" w:sz="4" w:space="0"/>
            </w:tcBorders>
            <w:vAlign w:val="center"/>
          </w:tcPr>
          <w:p w14:paraId="1B451E52">
            <w:pPr>
              <w:pStyle w:val="22"/>
              <w:shd w:val="clear"/>
              <w:wordWrap w:val="0"/>
              <w:spacing w:line="2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投标文件提交截止时间、提交投标文件的地点：详见第一章《公开招标公告》“</w:t>
            </w:r>
            <w:r>
              <w:rPr>
                <w:rFonts w:hint="eastAsia" w:ascii="宋体" w:hAnsi="宋体" w:eastAsia="宋体" w:cs="宋体"/>
                <w:bCs/>
                <w:color w:val="auto"/>
                <w:szCs w:val="24"/>
                <w:highlight w:val="none"/>
              </w:rPr>
              <w:t>四、提交投标文件截止时间、开标时间和地点</w:t>
            </w:r>
            <w:r>
              <w:rPr>
                <w:rFonts w:hint="eastAsia" w:ascii="宋体" w:hAnsi="宋体" w:eastAsia="宋体" w:cs="宋体"/>
                <w:bCs/>
                <w:color w:val="auto"/>
                <w:szCs w:val="21"/>
                <w:highlight w:val="none"/>
              </w:rPr>
              <w:t>”；</w:t>
            </w:r>
          </w:p>
        </w:tc>
      </w:tr>
      <w:tr w14:paraId="40BC1163">
        <w:tblPrEx>
          <w:tblCellMar>
            <w:top w:w="0" w:type="dxa"/>
            <w:left w:w="108" w:type="dxa"/>
            <w:bottom w:w="0" w:type="dxa"/>
            <w:right w:w="108" w:type="dxa"/>
          </w:tblCellMar>
        </w:tblPrEx>
        <w:trPr>
          <w:trHeight w:val="357" w:hRule="atLeast"/>
        </w:trPr>
        <w:tc>
          <w:tcPr>
            <w:tcW w:w="993" w:type="dxa"/>
            <w:tcBorders>
              <w:top w:val="single" w:color="auto" w:sz="4" w:space="0"/>
              <w:left w:val="single" w:color="auto" w:sz="4" w:space="0"/>
              <w:bottom w:val="single" w:color="auto" w:sz="4" w:space="0"/>
              <w:right w:val="single" w:color="auto" w:sz="4" w:space="0"/>
            </w:tcBorders>
            <w:vAlign w:val="center"/>
          </w:tcPr>
          <w:p w14:paraId="0F1B3A64">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1.19</w:t>
            </w:r>
          </w:p>
        </w:tc>
        <w:tc>
          <w:tcPr>
            <w:tcW w:w="1938" w:type="dxa"/>
            <w:tcBorders>
              <w:top w:val="single" w:color="auto" w:sz="4" w:space="0"/>
              <w:left w:val="single" w:color="auto" w:sz="4" w:space="0"/>
              <w:bottom w:val="single" w:color="auto" w:sz="4" w:space="0"/>
              <w:right w:val="single" w:color="auto" w:sz="4" w:space="0"/>
            </w:tcBorders>
            <w:vAlign w:val="center"/>
          </w:tcPr>
          <w:p w14:paraId="194EEEBD">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投标文件是否退还</w:t>
            </w:r>
          </w:p>
        </w:tc>
        <w:tc>
          <w:tcPr>
            <w:tcW w:w="6052" w:type="dxa"/>
            <w:tcBorders>
              <w:top w:val="single" w:color="auto" w:sz="4" w:space="0"/>
              <w:left w:val="single" w:color="auto" w:sz="4" w:space="0"/>
              <w:bottom w:val="single" w:color="auto" w:sz="4" w:space="0"/>
              <w:right w:val="single" w:color="auto" w:sz="4" w:space="0"/>
            </w:tcBorders>
            <w:vAlign w:val="center"/>
          </w:tcPr>
          <w:p w14:paraId="41B07BE7">
            <w:pPr>
              <w:pStyle w:val="22"/>
              <w:shd w:val="clear"/>
              <w:wordWrap w:val="0"/>
              <w:spacing w:line="260" w:lineRule="exact"/>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否</w:t>
            </w:r>
          </w:p>
        </w:tc>
      </w:tr>
      <w:tr w14:paraId="28F0775D">
        <w:tblPrEx>
          <w:tblCellMar>
            <w:top w:w="0" w:type="dxa"/>
            <w:left w:w="108" w:type="dxa"/>
            <w:bottom w:w="0" w:type="dxa"/>
            <w:right w:w="108" w:type="dxa"/>
          </w:tblCellMar>
        </w:tblPrEx>
        <w:trPr>
          <w:trHeight w:val="1077" w:hRule="atLeast"/>
        </w:trPr>
        <w:tc>
          <w:tcPr>
            <w:tcW w:w="993" w:type="dxa"/>
            <w:tcBorders>
              <w:top w:val="single" w:color="auto" w:sz="4" w:space="0"/>
              <w:left w:val="single" w:color="auto" w:sz="4" w:space="0"/>
              <w:bottom w:val="single" w:color="auto" w:sz="4" w:space="0"/>
              <w:right w:val="single" w:color="auto" w:sz="4" w:space="0"/>
            </w:tcBorders>
            <w:vAlign w:val="center"/>
          </w:tcPr>
          <w:p w14:paraId="08666821">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1.20</w:t>
            </w:r>
          </w:p>
        </w:tc>
        <w:tc>
          <w:tcPr>
            <w:tcW w:w="1938" w:type="dxa"/>
            <w:tcBorders>
              <w:top w:val="single" w:color="auto" w:sz="4" w:space="0"/>
              <w:left w:val="single" w:color="auto" w:sz="4" w:space="0"/>
              <w:bottom w:val="single" w:color="auto" w:sz="4" w:space="0"/>
              <w:right w:val="single" w:color="auto" w:sz="4" w:space="0"/>
            </w:tcBorders>
            <w:vAlign w:val="center"/>
          </w:tcPr>
          <w:p w14:paraId="532A7247">
            <w:pPr>
              <w:pStyle w:val="22"/>
              <w:shd w:val="clear"/>
              <w:wordWrap w:val="0"/>
              <w:spacing w:line="2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开标时间和地点</w:t>
            </w:r>
          </w:p>
        </w:tc>
        <w:tc>
          <w:tcPr>
            <w:tcW w:w="6052" w:type="dxa"/>
            <w:tcBorders>
              <w:top w:val="single" w:color="auto" w:sz="4" w:space="0"/>
              <w:left w:val="single" w:color="auto" w:sz="4" w:space="0"/>
              <w:bottom w:val="single" w:color="auto" w:sz="4" w:space="0"/>
              <w:right w:val="single" w:color="auto" w:sz="4" w:space="0"/>
            </w:tcBorders>
            <w:vAlign w:val="center"/>
          </w:tcPr>
          <w:p w14:paraId="6E8D183E">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开标时间：同提交电子投标文件截止时间；</w:t>
            </w:r>
          </w:p>
          <w:p w14:paraId="7CE6BBA1">
            <w:pPr>
              <w:shd w:val="clear"/>
              <w:wordWrap w:val="0"/>
              <w:spacing w:line="360" w:lineRule="exact"/>
              <w:rPr>
                <w:rFonts w:ascii="宋体" w:hAnsi="宋体" w:eastAsia="宋体" w:cs="宋体"/>
                <w:bCs/>
                <w:color w:val="auto"/>
                <w:szCs w:val="21"/>
                <w:highlight w:val="none"/>
                <w:u w:val="single"/>
              </w:rPr>
            </w:pPr>
            <w:r>
              <w:rPr>
                <w:rFonts w:hint="eastAsia" w:ascii="宋体" w:hAnsi="宋体" w:eastAsia="宋体" w:cs="宋体"/>
                <w:bCs/>
                <w:color w:val="auto"/>
                <w:szCs w:val="21"/>
                <w:highlight w:val="none"/>
              </w:rPr>
              <w:t>开标地点：详见第一章《公开招标公告》“四、提交投标文件截止时间、开标时间和地点”。</w:t>
            </w:r>
          </w:p>
        </w:tc>
      </w:tr>
      <w:tr w14:paraId="590277C5">
        <w:tblPrEx>
          <w:tblCellMar>
            <w:top w:w="0" w:type="dxa"/>
            <w:left w:w="108" w:type="dxa"/>
            <w:bottom w:w="0" w:type="dxa"/>
            <w:right w:w="108" w:type="dxa"/>
          </w:tblCellMar>
        </w:tblPrEx>
        <w:trPr>
          <w:trHeight w:val="416" w:hRule="atLeast"/>
        </w:trPr>
        <w:tc>
          <w:tcPr>
            <w:tcW w:w="993" w:type="dxa"/>
            <w:tcBorders>
              <w:top w:val="single" w:color="auto" w:sz="4" w:space="0"/>
              <w:left w:val="single" w:color="auto" w:sz="4" w:space="0"/>
              <w:bottom w:val="single" w:color="auto" w:sz="4" w:space="0"/>
              <w:right w:val="single" w:color="auto" w:sz="4" w:space="0"/>
            </w:tcBorders>
            <w:vAlign w:val="center"/>
          </w:tcPr>
          <w:p w14:paraId="35FBCBEA">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1.21</w:t>
            </w:r>
          </w:p>
        </w:tc>
        <w:tc>
          <w:tcPr>
            <w:tcW w:w="1938" w:type="dxa"/>
            <w:tcBorders>
              <w:top w:val="single" w:color="auto" w:sz="4" w:space="0"/>
              <w:left w:val="single" w:color="auto" w:sz="4" w:space="0"/>
              <w:bottom w:val="single" w:color="auto" w:sz="4" w:space="0"/>
              <w:right w:val="single" w:color="auto" w:sz="4" w:space="0"/>
            </w:tcBorders>
            <w:vAlign w:val="center"/>
          </w:tcPr>
          <w:p w14:paraId="147BA975">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评标委员会</w:t>
            </w:r>
          </w:p>
        </w:tc>
        <w:tc>
          <w:tcPr>
            <w:tcW w:w="6052" w:type="dxa"/>
            <w:tcBorders>
              <w:top w:val="single" w:color="auto" w:sz="4" w:space="0"/>
              <w:left w:val="single" w:color="auto" w:sz="4" w:space="0"/>
              <w:bottom w:val="single" w:color="auto" w:sz="4" w:space="0"/>
              <w:right w:val="single" w:color="auto" w:sz="4" w:space="0"/>
            </w:tcBorders>
            <w:vAlign w:val="center"/>
          </w:tcPr>
          <w:p w14:paraId="63A3EAE7">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评标委员会由采购人代表和评审专家组成，成员人数为5人以上单数，其中评审专家不得少于成员总数的三分之二。</w:t>
            </w:r>
          </w:p>
        </w:tc>
      </w:tr>
      <w:tr w14:paraId="602482D5">
        <w:tblPrEx>
          <w:tblCellMar>
            <w:top w:w="0" w:type="dxa"/>
            <w:left w:w="108" w:type="dxa"/>
            <w:bottom w:w="0" w:type="dxa"/>
            <w:right w:w="108" w:type="dxa"/>
          </w:tblCellMar>
        </w:tblPrEx>
        <w:trPr>
          <w:trHeight w:val="545" w:hRule="atLeast"/>
        </w:trPr>
        <w:tc>
          <w:tcPr>
            <w:tcW w:w="993" w:type="dxa"/>
            <w:tcBorders>
              <w:top w:val="single" w:color="auto" w:sz="4" w:space="0"/>
              <w:left w:val="single" w:color="auto" w:sz="4" w:space="0"/>
              <w:bottom w:val="single" w:color="auto" w:sz="4" w:space="0"/>
              <w:right w:val="single" w:color="auto" w:sz="4" w:space="0"/>
            </w:tcBorders>
            <w:vAlign w:val="center"/>
          </w:tcPr>
          <w:p w14:paraId="6A8F4615">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1.22</w:t>
            </w:r>
          </w:p>
        </w:tc>
        <w:tc>
          <w:tcPr>
            <w:tcW w:w="1938" w:type="dxa"/>
            <w:tcBorders>
              <w:top w:val="single" w:color="auto" w:sz="4" w:space="0"/>
              <w:left w:val="single" w:color="auto" w:sz="4" w:space="0"/>
              <w:bottom w:val="single" w:color="auto" w:sz="4" w:space="0"/>
              <w:right w:val="single" w:color="auto" w:sz="4" w:space="0"/>
            </w:tcBorders>
            <w:vAlign w:val="center"/>
          </w:tcPr>
          <w:p w14:paraId="10E2F7B4">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评标方法</w:t>
            </w:r>
          </w:p>
        </w:tc>
        <w:tc>
          <w:tcPr>
            <w:tcW w:w="6052" w:type="dxa"/>
            <w:tcBorders>
              <w:top w:val="single" w:color="auto" w:sz="4" w:space="0"/>
              <w:left w:val="single" w:color="auto" w:sz="4" w:space="0"/>
              <w:bottom w:val="single" w:color="auto" w:sz="4" w:space="0"/>
              <w:right w:val="single" w:color="auto" w:sz="4" w:space="0"/>
            </w:tcBorders>
            <w:vAlign w:val="center"/>
          </w:tcPr>
          <w:p w14:paraId="6518A6ED">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综合评分法</w:t>
            </w:r>
          </w:p>
        </w:tc>
      </w:tr>
      <w:tr w14:paraId="01B2A8E7">
        <w:tblPrEx>
          <w:tblCellMar>
            <w:top w:w="0" w:type="dxa"/>
            <w:left w:w="108" w:type="dxa"/>
            <w:bottom w:w="0" w:type="dxa"/>
            <w:right w:w="108" w:type="dxa"/>
          </w:tblCellMar>
        </w:tblPrEx>
        <w:trPr>
          <w:trHeight w:val="545" w:hRule="atLeast"/>
        </w:trPr>
        <w:tc>
          <w:tcPr>
            <w:tcW w:w="993" w:type="dxa"/>
            <w:tcBorders>
              <w:top w:val="single" w:color="auto" w:sz="4" w:space="0"/>
              <w:left w:val="single" w:color="auto" w:sz="4" w:space="0"/>
              <w:bottom w:val="single" w:color="auto" w:sz="4" w:space="0"/>
              <w:right w:val="single" w:color="auto" w:sz="4" w:space="0"/>
            </w:tcBorders>
            <w:vAlign w:val="center"/>
          </w:tcPr>
          <w:p w14:paraId="1A849444">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1.23</w:t>
            </w:r>
          </w:p>
        </w:tc>
        <w:tc>
          <w:tcPr>
            <w:tcW w:w="1938" w:type="dxa"/>
            <w:tcBorders>
              <w:top w:val="single" w:color="auto" w:sz="4" w:space="0"/>
              <w:left w:val="single" w:color="auto" w:sz="4" w:space="0"/>
              <w:bottom w:val="single" w:color="auto" w:sz="4" w:space="0"/>
              <w:right w:val="single" w:color="auto" w:sz="4" w:space="0"/>
            </w:tcBorders>
            <w:vAlign w:val="center"/>
          </w:tcPr>
          <w:p w14:paraId="4F7C45C7">
            <w:pPr>
              <w:shd w:val="clear"/>
              <w:wordWrap w:val="0"/>
              <w:spacing w:line="360" w:lineRule="exact"/>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履约保证金</w:t>
            </w:r>
          </w:p>
        </w:tc>
        <w:tc>
          <w:tcPr>
            <w:tcW w:w="6052" w:type="dxa"/>
            <w:tcBorders>
              <w:top w:val="single" w:color="auto" w:sz="4" w:space="0"/>
              <w:left w:val="single" w:color="auto" w:sz="4" w:space="0"/>
              <w:bottom w:val="single" w:color="auto" w:sz="4" w:space="0"/>
              <w:right w:val="single" w:color="auto" w:sz="4" w:space="0"/>
            </w:tcBorders>
            <w:vAlign w:val="center"/>
          </w:tcPr>
          <w:p w14:paraId="101439EE">
            <w:pPr>
              <w:pStyle w:val="15"/>
              <w:shd w:val="clear"/>
              <w:spacing w:line="24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履约保证金：本项目需收取</w:t>
            </w:r>
            <w:r>
              <w:rPr>
                <w:rFonts w:hint="eastAsia" w:hAnsi="宋体" w:cs="宋体"/>
                <w:bCs/>
                <w:color w:val="auto"/>
                <w:sz w:val="21"/>
                <w:szCs w:val="21"/>
                <w:highlight w:val="none"/>
                <w:lang w:eastAsia="zh-CN"/>
              </w:rPr>
              <w:t>标段中标总金额各学校占比</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eastAsia="zh-CN"/>
              </w:rPr>
              <w:t>作为</w:t>
            </w:r>
            <w:r>
              <w:rPr>
                <w:rFonts w:hint="eastAsia" w:ascii="宋体" w:hAnsi="宋体" w:eastAsia="宋体" w:cs="宋体"/>
                <w:bCs/>
                <w:color w:val="auto"/>
                <w:sz w:val="21"/>
                <w:szCs w:val="21"/>
                <w:highlight w:val="none"/>
              </w:rPr>
              <w:t>履约保证金。履约保证金由</w:t>
            </w:r>
            <w:r>
              <w:rPr>
                <w:rFonts w:hint="eastAsia" w:ascii="宋体" w:hAnsi="宋体" w:cs="宋体"/>
                <w:bCs/>
                <w:color w:val="auto"/>
                <w:sz w:val="21"/>
                <w:szCs w:val="21"/>
                <w:highlight w:val="none"/>
                <w:lang w:eastAsia="zh-CN"/>
              </w:rPr>
              <w:t>采购人（</w:t>
            </w:r>
            <w:r>
              <w:rPr>
                <w:rFonts w:hint="eastAsia" w:ascii="宋体" w:hAnsi="宋体" w:eastAsia="宋体" w:cs="宋体"/>
                <w:bCs/>
                <w:color w:val="auto"/>
                <w:sz w:val="21"/>
                <w:szCs w:val="21"/>
                <w:highlight w:val="none"/>
              </w:rPr>
              <w:t>学校</w:t>
            </w:r>
            <w:r>
              <w:rPr>
                <w:rFonts w:hint="eastAsia" w:ascii="宋体" w:hAnsi="宋体" w:cs="宋体"/>
                <w:bCs/>
                <w:color w:val="auto"/>
                <w:sz w:val="21"/>
                <w:szCs w:val="21"/>
                <w:highlight w:val="none"/>
                <w:lang w:eastAsia="zh-CN"/>
              </w:rPr>
              <w:t>）财</w:t>
            </w:r>
            <w:r>
              <w:rPr>
                <w:rFonts w:hint="eastAsia" w:ascii="宋体" w:hAnsi="宋体" w:eastAsia="宋体" w:cs="宋体"/>
                <w:bCs/>
                <w:color w:val="auto"/>
                <w:sz w:val="21"/>
                <w:szCs w:val="21"/>
                <w:highlight w:val="none"/>
              </w:rPr>
              <w:t>务收管，直至本轮采购的年度合同到期且双方不再续签下一年度合同或本轮采购最后年度合同到期后十五个工作日由学校财务退还到公司账户。</w:t>
            </w:r>
          </w:p>
          <w:p w14:paraId="58CB8EA5">
            <w:pPr>
              <w:pStyle w:val="15"/>
              <w:shd w:val="clear"/>
              <w:spacing w:line="240" w:lineRule="auto"/>
              <w:rPr>
                <w:color w:val="auto"/>
                <w:highlight w:val="none"/>
              </w:rPr>
            </w:pPr>
            <w:r>
              <w:rPr>
                <w:rFonts w:hint="eastAsia" w:ascii="宋体" w:hAnsi="宋体" w:eastAsia="宋体" w:cs="宋体"/>
                <w:bCs/>
                <w:color w:val="auto"/>
                <w:sz w:val="21"/>
                <w:szCs w:val="21"/>
                <w:highlight w:val="none"/>
              </w:rPr>
              <w:t>为支持和促进中小企业发展，进一步发挥政府采购政策功能，鼓励供应商使用保险/保函代替履约保证金，支持供应商基于中标项目进行应收</w:t>
            </w:r>
            <w:r>
              <w:rPr>
                <w:rFonts w:hint="eastAsia" w:ascii="宋体" w:hAnsi="宋体" w:cs="宋体"/>
                <w:bCs/>
                <w:color w:val="auto"/>
                <w:sz w:val="21"/>
                <w:szCs w:val="21"/>
                <w:highlight w:val="none"/>
                <w:lang w:eastAsia="zh-CN"/>
              </w:rPr>
              <w:t>账款</w:t>
            </w:r>
            <w:r>
              <w:rPr>
                <w:rFonts w:hint="eastAsia" w:ascii="宋体" w:hAnsi="宋体" w:eastAsia="宋体" w:cs="宋体"/>
                <w:bCs/>
                <w:color w:val="auto"/>
                <w:sz w:val="21"/>
                <w:szCs w:val="21"/>
                <w:highlight w:val="none"/>
              </w:rPr>
              <w:t>融资。供应商可登录【红河州政府采购金融服务平台】进行了解。直达连接：https://jinrong.zcygov.cn/luban/finance/honghe</w:t>
            </w:r>
          </w:p>
        </w:tc>
      </w:tr>
      <w:tr w14:paraId="3B1B006C">
        <w:tblPrEx>
          <w:tblCellMar>
            <w:top w:w="0" w:type="dxa"/>
            <w:left w:w="108" w:type="dxa"/>
            <w:bottom w:w="0" w:type="dxa"/>
            <w:right w:w="108" w:type="dxa"/>
          </w:tblCellMar>
        </w:tblPrEx>
        <w:trPr>
          <w:trHeight w:val="485" w:hRule="atLeast"/>
        </w:trPr>
        <w:tc>
          <w:tcPr>
            <w:tcW w:w="993" w:type="dxa"/>
            <w:tcBorders>
              <w:top w:val="single" w:color="auto" w:sz="4" w:space="0"/>
              <w:left w:val="single" w:color="auto" w:sz="4" w:space="0"/>
              <w:bottom w:val="single" w:color="auto" w:sz="4" w:space="0"/>
              <w:right w:val="single" w:color="auto" w:sz="4" w:space="0"/>
            </w:tcBorders>
            <w:vAlign w:val="center"/>
          </w:tcPr>
          <w:p w14:paraId="7FDB7ED2">
            <w:pPr>
              <w:shd w:val="clear"/>
              <w:wordWrap w:val="0"/>
              <w:spacing w:line="360" w:lineRule="exact"/>
              <w:jc w:val="center"/>
              <w:rPr>
                <w:rFonts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1.24</w:t>
            </w:r>
          </w:p>
        </w:tc>
        <w:tc>
          <w:tcPr>
            <w:tcW w:w="1938" w:type="dxa"/>
            <w:tcBorders>
              <w:top w:val="single" w:color="auto" w:sz="4" w:space="0"/>
              <w:left w:val="single" w:color="auto" w:sz="4" w:space="0"/>
              <w:bottom w:val="single" w:color="auto" w:sz="4" w:space="0"/>
              <w:right w:val="single" w:color="auto" w:sz="4" w:space="0"/>
            </w:tcBorders>
            <w:vAlign w:val="center"/>
          </w:tcPr>
          <w:p w14:paraId="4D6E4511">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是否授权评标委员会确定中标人</w:t>
            </w:r>
          </w:p>
        </w:tc>
        <w:tc>
          <w:tcPr>
            <w:tcW w:w="6052" w:type="dxa"/>
            <w:tcBorders>
              <w:top w:val="single" w:color="auto" w:sz="4" w:space="0"/>
              <w:left w:val="single" w:color="auto" w:sz="4" w:space="0"/>
              <w:bottom w:val="single" w:color="auto" w:sz="4" w:space="0"/>
              <w:right w:val="single" w:color="auto" w:sz="4" w:space="0"/>
            </w:tcBorders>
            <w:vAlign w:val="center"/>
          </w:tcPr>
          <w:p w14:paraId="457D0C6D">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是，</w:t>
            </w:r>
            <w:r>
              <w:rPr>
                <w:rFonts w:hint="eastAsia" w:ascii="宋体" w:hAnsi="宋体" w:eastAsia="宋体" w:cs="宋体"/>
                <w:bCs/>
                <w:color w:val="auto"/>
                <w:szCs w:val="21"/>
                <w:highlight w:val="none"/>
                <w:lang w:eastAsia="zh-CN"/>
              </w:rPr>
              <w:t>每个标段</w:t>
            </w:r>
            <w:r>
              <w:rPr>
                <w:rFonts w:hint="eastAsia" w:ascii="宋体" w:hAnsi="宋体" w:eastAsia="宋体" w:cs="宋体"/>
                <w:bCs/>
                <w:color w:val="auto"/>
                <w:szCs w:val="21"/>
                <w:highlight w:val="none"/>
              </w:rPr>
              <w:t>推荐中标候选人3名，评标委员会确定1名中标人。</w:t>
            </w:r>
          </w:p>
        </w:tc>
      </w:tr>
      <w:tr w14:paraId="5FD6DB7D">
        <w:tblPrEx>
          <w:tblCellMar>
            <w:top w:w="0" w:type="dxa"/>
            <w:left w:w="108" w:type="dxa"/>
            <w:bottom w:w="0" w:type="dxa"/>
            <w:right w:w="108" w:type="dxa"/>
          </w:tblCellMar>
        </w:tblPrEx>
        <w:trPr>
          <w:trHeight w:val="681" w:hRule="atLeast"/>
        </w:trPr>
        <w:tc>
          <w:tcPr>
            <w:tcW w:w="993" w:type="dxa"/>
            <w:tcBorders>
              <w:top w:val="single" w:color="auto" w:sz="4" w:space="0"/>
              <w:left w:val="single" w:color="auto" w:sz="4" w:space="0"/>
              <w:bottom w:val="single" w:color="auto" w:sz="4" w:space="0"/>
              <w:right w:val="single" w:color="auto" w:sz="4" w:space="0"/>
            </w:tcBorders>
            <w:vAlign w:val="center"/>
          </w:tcPr>
          <w:p w14:paraId="1DDE521D">
            <w:pPr>
              <w:shd w:val="clear"/>
              <w:wordWrap w:val="0"/>
              <w:spacing w:line="360" w:lineRule="exact"/>
              <w:jc w:val="center"/>
              <w:rPr>
                <w:rFonts w:ascii="宋体" w:hAnsi="宋体" w:eastAsia="宋体" w:cs="宋体"/>
                <w:bCs/>
                <w:color w:val="auto"/>
                <w:kern w:val="0"/>
                <w:szCs w:val="21"/>
                <w:highlight w:val="none"/>
              </w:rPr>
            </w:pPr>
            <w:r>
              <w:rPr>
                <w:rFonts w:hint="eastAsia" w:ascii="宋体" w:hAnsi="宋体" w:eastAsia="宋体" w:cs="宋体"/>
                <w:bCs/>
                <w:color w:val="auto"/>
                <w:szCs w:val="21"/>
                <w:highlight w:val="none"/>
              </w:rPr>
              <w:t>1.25</w:t>
            </w:r>
          </w:p>
        </w:tc>
        <w:tc>
          <w:tcPr>
            <w:tcW w:w="1938" w:type="dxa"/>
            <w:tcBorders>
              <w:top w:val="single" w:color="auto" w:sz="4" w:space="0"/>
              <w:left w:val="single" w:color="auto" w:sz="4" w:space="0"/>
              <w:bottom w:val="single" w:color="auto" w:sz="4" w:space="0"/>
              <w:right w:val="single" w:color="auto" w:sz="4" w:space="0"/>
            </w:tcBorders>
            <w:vAlign w:val="center"/>
          </w:tcPr>
          <w:p w14:paraId="73F9FE77">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评标结果公示</w:t>
            </w:r>
          </w:p>
        </w:tc>
        <w:tc>
          <w:tcPr>
            <w:tcW w:w="6052" w:type="dxa"/>
            <w:tcBorders>
              <w:top w:val="single" w:color="auto" w:sz="4" w:space="0"/>
              <w:left w:val="single" w:color="auto" w:sz="4" w:space="0"/>
              <w:bottom w:val="single" w:color="auto" w:sz="4" w:space="0"/>
              <w:right w:val="single" w:color="auto" w:sz="4" w:space="0"/>
            </w:tcBorders>
            <w:vAlign w:val="center"/>
          </w:tcPr>
          <w:p w14:paraId="43AC5BD6">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评标结束后，将</w:t>
            </w:r>
            <w:r>
              <w:rPr>
                <w:rFonts w:hint="eastAsia" w:ascii="宋体" w:hAnsi="宋体" w:cs="宋体"/>
                <w:bCs/>
                <w:color w:val="auto"/>
                <w:szCs w:val="21"/>
                <w:highlight w:val="none"/>
                <w:lang w:eastAsia="zh-CN"/>
              </w:rPr>
              <w:t>供应商</w:t>
            </w:r>
            <w:r>
              <w:rPr>
                <w:rFonts w:hint="eastAsia" w:ascii="宋体" w:hAnsi="宋体" w:eastAsia="宋体" w:cs="宋体"/>
                <w:bCs/>
                <w:color w:val="auto"/>
                <w:szCs w:val="21"/>
                <w:highlight w:val="none"/>
              </w:rPr>
              <w:t>在招标公告发布的网址上进行公告，中标</w:t>
            </w:r>
            <w:r>
              <w:rPr>
                <w:color w:val="auto"/>
                <w:highlight w:val="none"/>
              </w:rPr>
              <w:fldChar w:fldCharType="begin"/>
            </w:r>
            <w:r>
              <w:rPr>
                <w:color w:val="auto"/>
                <w:highlight w:val="none"/>
              </w:rPr>
              <w:instrText xml:space="preserve"> HYPERLINK "http://www.yngp.com）上进行公示，公示期为1" </w:instrText>
            </w:r>
            <w:r>
              <w:rPr>
                <w:color w:val="auto"/>
                <w:highlight w:val="none"/>
              </w:rPr>
              <w:fldChar w:fldCharType="separate"/>
            </w:r>
            <w:r>
              <w:rPr>
                <w:rFonts w:hint="eastAsia" w:ascii="宋体" w:hAnsi="宋体" w:eastAsia="宋体" w:cs="宋体"/>
                <w:bCs/>
                <w:color w:val="auto"/>
                <w:szCs w:val="21"/>
                <w:highlight w:val="none"/>
              </w:rPr>
              <w:t>公告期限为1</w: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个工作日。</w:t>
            </w:r>
          </w:p>
          <w:p w14:paraId="6DC2CDC9">
            <w:pPr>
              <w:shd w:val="clear"/>
              <w:wordWrap w:val="0"/>
              <w:spacing w:line="3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注：根据《中华人民共和国政府采购法》第十一条规定：政府采购的信息应当在政府采购监督管理部门指定的媒体上及时向社会公开发布。</w:t>
            </w:r>
          </w:p>
        </w:tc>
      </w:tr>
      <w:tr w14:paraId="1AE82BBE">
        <w:tblPrEx>
          <w:tblCellMar>
            <w:top w:w="0" w:type="dxa"/>
            <w:left w:w="108" w:type="dxa"/>
            <w:bottom w:w="0" w:type="dxa"/>
            <w:right w:w="108" w:type="dxa"/>
          </w:tblCellMar>
        </w:tblPrEx>
        <w:trPr>
          <w:trHeight w:val="681" w:hRule="atLeast"/>
        </w:trPr>
        <w:tc>
          <w:tcPr>
            <w:tcW w:w="993" w:type="dxa"/>
            <w:tcBorders>
              <w:top w:val="single" w:color="auto" w:sz="4" w:space="0"/>
              <w:left w:val="single" w:color="auto" w:sz="4" w:space="0"/>
              <w:bottom w:val="single" w:color="auto" w:sz="4" w:space="0"/>
              <w:right w:val="single" w:color="auto" w:sz="4" w:space="0"/>
            </w:tcBorders>
            <w:vAlign w:val="center"/>
          </w:tcPr>
          <w:p w14:paraId="66A26AF7">
            <w:pPr>
              <w:shd w:val="clear"/>
              <w:wordWrap w:val="0"/>
              <w:spacing w:line="360" w:lineRule="exact"/>
              <w:jc w:val="center"/>
              <w:rPr>
                <w:rFonts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1.26</w:t>
            </w:r>
          </w:p>
        </w:tc>
        <w:tc>
          <w:tcPr>
            <w:tcW w:w="1938" w:type="dxa"/>
            <w:tcBorders>
              <w:top w:val="single" w:color="auto" w:sz="4" w:space="0"/>
              <w:left w:val="single" w:color="auto" w:sz="4" w:space="0"/>
              <w:bottom w:val="single" w:color="auto" w:sz="4" w:space="0"/>
              <w:right w:val="single" w:color="auto" w:sz="4" w:space="0"/>
            </w:tcBorders>
            <w:vAlign w:val="center"/>
          </w:tcPr>
          <w:p w14:paraId="053A47D6">
            <w:pPr>
              <w:shd w:val="clear"/>
              <w:spacing w:line="272" w:lineRule="exact"/>
              <w:rPr>
                <w:rFonts w:ascii="宋体" w:hAnsi="宋体" w:eastAsia="宋体" w:cs="宋体"/>
                <w:bCs/>
                <w:color w:val="auto"/>
                <w:szCs w:val="21"/>
                <w:highlight w:val="none"/>
              </w:rPr>
            </w:pPr>
            <w:r>
              <w:rPr>
                <w:rFonts w:hint="eastAsia" w:ascii="宋体" w:hAnsi="宋体" w:cs="宋体"/>
                <w:bCs/>
                <w:color w:val="auto"/>
                <w:highlight w:val="none"/>
              </w:rPr>
              <w:t>最高限价</w:t>
            </w:r>
          </w:p>
        </w:tc>
        <w:tc>
          <w:tcPr>
            <w:tcW w:w="6052" w:type="dxa"/>
            <w:tcBorders>
              <w:top w:val="single" w:color="auto" w:sz="4" w:space="0"/>
              <w:left w:val="single" w:color="auto" w:sz="4" w:space="0"/>
              <w:bottom w:val="single" w:color="auto" w:sz="4" w:space="0"/>
              <w:right w:val="single" w:color="auto" w:sz="4" w:space="0"/>
            </w:tcBorders>
            <w:vAlign w:val="center"/>
          </w:tcPr>
          <w:p w14:paraId="01EF6558">
            <w:pPr>
              <w:shd w:val="clear"/>
              <w:spacing w:line="272"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详见招标文件第一章《公开招标公告》“一、项目基本情况”</w:t>
            </w:r>
            <w:r>
              <w:rPr>
                <w:rFonts w:hint="eastAsia" w:ascii="宋体" w:hAnsi="宋体" w:cs="宋体"/>
                <w:bCs/>
                <w:color w:val="auto"/>
                <w:highlight w:val="none"/>
              </w:rPr>
              <w:t>，投标供应商报价不得超过预算价。</w:t>
            </w:r>
          </w:p>
        </w:tc>
      </w:tr>
      <w:bookmarkEnd w:id="22"/>
      <w:bookmarkEnd w:id="23"/>
      <w:bookmarkEnd w:id="24"/>
      <w:bookmarkEnd w:id="25"/>
    </w:tbl>
    <w:p w14:paraId="2A52A14B">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rPr>
      </w:pPr>
      <w:bookmarkStart w:id="124" w:name="_Toc378239351"/>
      <w:bookmarkStart w:id="125" w:name="_Toc489197807"/>
      <w:bookmarkStart w:id="126" w:name="_Toc246996918"/>
      <w:bookmarkStart w:id="127" w:name="_Toc179632546"/>
      <w:bookmarkStart w:id="128" w:name="_Toc152042305"/>
      <w:bookmarkStart w:id="129" w:name="_Toc247085689"/>
      <w:bookmarkStart w:id="130" w:name="_Toc9929"/>
      <w:bookmarkStart w:id="131" w:name="_Toc246996175"/>
      <w:bookmarkStart w:id="132" w:name="_Toc152045529"/>
      <w:bookmarkStart w:id="133" w:name="_Toc22020"/>
      <w:bookmarkStart w:id="134" w:name="_Toc18287368"/>
      <w:bookmarkStart w:id="135" w:name="_Toc378239078"/>
      <w:bookmarkStart w:id="136" w:name="_Toc31598"/>
      <w:bookmarkStart w:id="137" w:name="_Toc488633604"/>
      <w:bookmarkStart w:id="138" w:name="_Toc6447"/>
      <w:bookmarkStart w:id="139" w:name="_Toc489145703"/>
      <w:bookmarkStart w:id="140" w:name="_Toc17909"/>
      <w:bookmarkStart w:id="141" w:name="_Toc10113"/>
      <w:bookmarkStart w:id="142" w:name="_Toc144974497"/>
      <w:bookmarkStart w:id="143" w:name="_Toc296602420"/>
      <w:bookmarkStart w:id="144" w:name="_Toc401342134"/>
      <w:bookmarkStart w:id="145" w:name="_Toc14603858"/>
      <w:bookmarkStart w:id="146" w:name="_Toc378239170"/>
      <w:bookmarkStart w:id="147" w:name="_Toc480817643"/>
    </w:p>
    <w:p w14:paraId="7AC45EFB">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r>
        <w:rPr>
          <w:rFonts w:hint="eastAsia" w:ascii="黑体" w:hAnsi="黑体" w:eastAsia="黑体" w:cs="黑体"/>
          <w:b/>
          <w:bCs w:val="0"/>
          <w:color w:val="auto"/>
          <w:sz w:val="22"/>
          <w:szCs w:val="22"/>
          <w:highlight w:val="none"/>
        </w:rPr>
        <w:t>一、总则</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3ADD1336">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148" w:name="_Toc23407"/>
      <w:bookmarkStart w:id="149" w:name="_Toc296602421"/>
      <w:bookmarkStart w:id="150" w:name="_Toc489197808"/>
      <w:bookmarkStart w:id="151" w:name="_Toc16356"/>
      <w:bookmarkStart w:id="152" w:name="_Toc152045530"/>
      <w:bookmarkStart w:id="153" w:name="_Toc489145704"/>
      <w:bookmarkStart w:id="154" w:name="_Toc20742"/>
      <w:bookmarkStart w:id="155" w:name="_Toc152042306"/>
      <w:bookmarkStart w:id="156" w:name="_Toc246996919"/>
      <w:bookmarkStart w:id="157" w:name="_Toc14603859"/>
      <w:bookmarkStart w:id="158" w:name="_Toc246996176"/>
      <w:bookmarkStart w:id="159" w:name="_Toc18287369"/>
      <w:bookmarkStart w:id="160" w:name="_Toc247085690"/>
      <w:bookmarkStart w:id="161" w:name="_Toc144974498"/>
      <w:bookmarkStart w:id="162" w:name="_Toc26427"/>
      <w:bookmarkStart w:id="163" w:name="_Toc179632547"/>
      <w:bookmarkStart w:id="164" w:name="_Toc468"/>
      <w:r>
        <w:rPr>
          <w:rFonts w:hint="eastAsia" w:ascii="黑体" w:hAnsi="黑体" w:eastAsia="黑体" w:cs="黑体"/>
          <w:bCs/>
          <w:color w:val="auto"/>
          <w:sz w:val="22"/>
          <w:szCs w:val="22"/>
          <w:highlight w:val="none"/>
        </w:rPr>
        <w:t>1. 项目概况</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26D9C96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1.1根据《中华人民共和国政府采购法</w:t>
      </w:r>
      <w:r>
        <w:rPr>
          <w:rFonts w:hint="eastAsia" w:cs="宋体" w:asciiTheme="minorEastAsia" w:hAnsiTheme="minorEastAsia" w:eastAsiaTheme="minorEastAsia"/>
          <w:bCs/>
          <w:color w:val="auto"/>
          <w:sz w:val="22"/>
          <w:szCs w:val="22"/>
          <w:highlight w:val="none"/>
          <w:lang w:eastAsia="zh-CN"/>
        </w:rPr>
        <w:t>》《</w:t>
      </w:r>
      <w:r>
        <w:rPr>
          <w:rFonts w:hint="eastAsia" w:cs="宋体" w:asciiTheme="minorEastAsia" w:hAnsiTheme="minorEastAsia" w:eastAsiaTheme="minorEastAsia"/>
          <w:bCs/>
          <w:color w:val="auto"/>
          <w:sz w:val="22"/>
          <w:szCs w:val="22"/>
          <w:highlight w:val="none"/>
        </w:rPr>
        <w:t>中华人民共和国政府采购法实施条例</w:t>
      </w:r>
      <w:r>
        <w:rPr>
          <w:rFonts w:hint="eastAsia" w:cs="宋体" w:asciiTheme="minorEastAsia" w:hAnsiTheme="minorEastAsia" w:eastAsiaTheme="minorEastAsia"/>
          <w:bCs/>
          <w:color w:val="auto"/>
          <w:sz w:val="22"/>
          <w:szCs w:val="22"/>
          <w:highlight w:val="none"/>
          <w:lang w:eastAsia="zh-CN"/>
        </w:rPr>
        <w:t>》《</w:t>
      </w:r>
      <w:r>
        <w:rPr>
          <w:rFonts w:hint="eastAsia" w:cs="宋体" w:asciiTheme="minorEastAsia" w:hAnsiTheme="minorEastAsia" w:eastAsiaTheme="minorEastAsia"/>
          <w:bCs/>
          <w:color w:val="auto"/>
          <w:sz w:val="22"/>
          <w:szCs w:val="22"/>
          <w:highlight w:val="none"/>
        </w:rPr>
        <w:t>政府采购货物和服务招标投标管理办法》（财政部令第87号）等有关</w:t>
      </w:r>
      <w:r>
        <w:rPr>
          <w:rFonts w:hint="eastAsia" w:cs="宋体" w:asciiTheme="minorEastAsia" w:hAnsiTheme="minorEastAsia" w:eastAsiaTheme="minorEastAsia"/>
          <w:bCs/>
          <w:color w:val="auto"/>
          <w:sz w:val="22"/>
          <w:szCs w:val="22"/>
          <w:highlight w:val="none"/>
          <w:lang w:eastAsia="zh-CN"/>
        </w:rPr>
        <w:t>法律法规</w:t>
      </w:r>
      <w:r>
        <w:rPr>
          <w:rFonts w:hint="eastAsia" w:cs="宋体" w:asciiTheme="minorEastAsia" w:hAnsiTheme="minorEastAsia" w:eastAsiaTheme="minorEastAsia"/>
          <w:bCs/>
          <w:color w:val="auto"/>
          <w:sz w:val="22"/>
          <w:szCs w:val="22"/>
          <w:highlight w:val="none"/>
        </w:rPr>
        <w:t>的规定，本项目已具备招标条件，现对本项目进行公开招标。</w:t>
      </w:r>
    </w:p>
    <w:p w14:paraId="7D2A454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1.2 本项目采购人：详见《投标人须知前附表》。</w:t>
      </w:r>
    </w:p>
    <w:p w14:paraId="5970F58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1.3 本项目采购代理机构：详见《投标人须知前附表》。</w:t>
      </w:r>
    </w:p>
    <w:p w14:paraId="3EDA8194">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1.4 本项目名称及项目编号：详见《投标人须知前附表》。</w:t>
      </w:r>
    </w:p>
    <w:p w14:paraId="5740BE70">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165" w:name="_Toc246996177"/>
      <w:bookmarkStart w:id="166" w:name="_Toc1445"/>
      <w:bookmarkStart w:id="167" w:name="_Toc489145705"/>
      <w:bookmarkStart w:id="168" w:name="_Toc489197809"/>
      <w:bookmarkStart w:id="169" w:name="_Toc32618"/>
      <w:bookmarkStart w:id="170" w:name="_Toc144974499"/>
      <w:bookmarkStart w:id="171" w:name="_Toc296602422"/>
      <w:bookmarkStart w:id="172" w:name="_Toc18412"/>
      <w:bookmarkStart w:id="173" w:name="_Toc246996920"/>
      <w:bookmarkStart w:id="174" w:name="_Toc9917"/>
      <w:bookmarkStart w:id="175" w:name="_Toc14603860"/>
      <w:bookmarkStart w:id="176" w:name="_Toc2249"/>
      <w:bookmarkStart w:id="177" w:name="_Toc152042307"/>
      <w:bookmarkStart w:id="178" w:name="_Toc179632548"/>
      <w:bookmarkStart w:id="179" w:name="_Toc152045531"/>
      <w:bookmarkStart w:id="180" w:name="_Toc18287370"/>
      <w:bookmarkStart w:id="181" w:name="_Toc247085691"/>
      <w:r>
        <w:rPr>
          <w:rFonts w:hint="eastAsia" w:ascii="黑体" w:hAnsi="黑体" w:eastAsia="黑体" w:cs="黑体"/>
          <w:bCs/>
          <w:color w:val="auto"/>
          <w:sz w:val="22"/>
          <w:szCs w:val="22"/>
          <w:highlight w:val="none"/>
        </w:rPr>
        <w:t>2. 资金来源</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32486C08">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资金来源及预算金额：详见《投标人须知前附表》。</w:t>
      </w:r>
      <w:bookmarkStart w:id="182" w:name="_Toc152045532"/>
      <w:bookmarkStart w:id="183" w:name="_Toc246996921"/>
      <w:bookmarkStart w:id="184" w:name="_Toc179632549"/>
      <w:bookmarkStart w:id="185" w:name="_Toc246996178"/>
      <w:bookmarkStart w:id="186" w:name="_Toc144974500"/>
      <w:bookmarkStart w:id="187" w:name="_Toc247085692"/>
      <w:bookmarkStart w:id="188" w:name="_Toc296602423"/>
      <w:bookmarkStart w:id="189" w:name="_Toc152042308"/>
    </w:p>
    <w:p w14:paraId="2AA962B4">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190" w:name="_Toc4677"/>
      <w:bookmarkStart w:id="191" w:name="_Toc489197810"/>
      <w:bookmarkStart w:id="192" w:name="_Toc489145706"/>
      <w:bookmarkStart w:id="193" w:name="_Toc10571"/>
      <w:bookmarkStart w:id="194" w:name="_Toc746"/>
      <w:bookmarkStart w:id="195" w:name="_Toc14603861"/>
      <w:bookmarkStart w:id="196" w:name="_Toc18287371"/>
      <w:bookmarkStart w:id="197" w:name="_Toc14730"/>
      <w:bookmarkStart w:id="198" w:name="_Toc25645"/>
      <w:r>
        <w:rPr>
          <w:rFonts w:hint="eastAsia" w:ascii="黑体" w:hAnsi="黑体" w:eastAsia="黑体" w:cs="黑体"/>
          <w:bCs/>
          <w:color w:val="auto"/>
          <w:sz w:val="22"/>
          <w:szCs w:val="22"/>
          <w:highlight w:val="none"/>
        </w:rPr>
        <w:t>3.</w:t>
      </w:r>
      <w:bookmarkEnd w:id="182"/>
      <w:bookmarkEnd w:id="183"/>
      <w:bookmarkEnd w:id="184"/>
      <w:bookmarkEnd w:id="185"/>
      <w:bookmarkEnd w:id="186"/>
      <w:bookmarkEnd w:id="187"/>
      <w:bookmarkEnd w:id="188"/>
      <w:bookmarkEnd w:id="189"/>
      <w:bookmarkStart w:id="199" w:name="_Toc427056529"/>
      <w:bookmarkStart w:id="200" w:name="_Toc421541057"/>
      <w:bookmarkStart w:id="201" w:name="_Toc427056451"/>
      <w:r>
        <w:rPr>
          <w:rFonts w:hint="eastAsia" w:ascii="黑体" w:hAnsi="黑体" w:eastAsia="黑体" w:cs="黑体"/>
          <w:bCs/>
          <w:color w:val="auto"/>
          <w:sz w:val="22"/>
          <w:szCs w:val="22"/>
          <w:highlight w:val="none"/>
        </w:rPr>
        <w:t xml:space="preserve"> 采购需求及</w:t>
      </w:r>
      <w:bookmarkEnd w:id="190"/>
      <w:bookmarkEnd w:id="191"/>
      <w:bookmarkEnd w:id="192"/>
      <w:bookmarkEnd w:id="199"/>
      <w:bookmarkEnd w:id="200"/>
      <w:bookmarkEnd w:id="201"/>
      <w:r>
        <w:rPr>
          <w:rFonts w:hint="eastAsia" w:ascii="黑体" w:hAnsi="黑体" w:eastAsia="黑体" w:cs="黑体"/>
          <w:bCs/>
          <w:color w:val="auto"/>
          <w:sz w:val="22"/>
          <w:szCs w:val="22"/>
          <w:highlight w:val="none"/>
        </w:rPr>
        <w:t>项目完成期、</w:t>
      </w:r>
      <w:bookmarkEnd w:id="193"/>
      <w:bookmarkEnd w:id="194"/>
      <w:bookmarkEnd w:id="195"/>
      <w:bookmarkEnd w:id="196"/>
      <w:r>
        <w:rPr>
          <w:rFonts w:hint="eastAsia" w:ascii="黑体" w:hAnsi="黑体" w:eastAsia="黑体" w:cs="黑体"/>
          <w:bCs/>
          <w:color w:val="auto"/>
          <w:sz w:val="22"/>
          <w:szCs w:val="22"/>
          <w:highlight w:val="none"/>
        </w:rPr>
        <w:t>交货地点</w:t>
      </w:r>
      <w:bookmarkEnd w:id="197"/>
      <w:bookmarkEnd w:id="198"/>
    </w:p>
    <w:p w14:paraId="7163B65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3.1本项目招标范围：详见《投标人须知前附表》。</w:t>
      </w:r>
    </w:p>
    <w:p w14:paraId="51087B11">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3.2本项</w:t>
      </w:r>
      <w:r>
        <w:rPr>
          <w:rFonts w:hint="eastAsia" w:cs="宋体" w:asciiTheme="minorEastAsia" w:hAnsiTheme="minorEastAsia" w:eastAsiaTheme="minorEastAsia"/>
          <w:bCs/>
          <w:color w:val="auto"/>
          <w:sz w:val="22"/>
          <w:szCs w:val="22"/>
          <w:highlight w:val="none"/>
          <w:lang w:eastAsia="zh-CN"/>
        </w:rPr>
        <w:t>目实</w:t>
      </w:r>
      <w:r>
        <w:rPr>
          <w:rFonts w:hint="eastAsia" w:cs="宋体" w:asciiTheme="minorEastAsia" w:hAnsiTheme="minorEastAsia" w:eastAsiaTheme="minorEastAsia"/>
          <w:bCs/>
          <w:color w:val="auto"/>
          <w:sz w:val="22"/>
          <w:szCs w:val="22"/>
          <w:highlight w:val="none"/>
        </w:rPr>
        <w:t>施期限、项目实施地点：详见《投标人须知前附表》。</w:t>
      </w:r>
    </w:p>
    <w:p w14:paraId="11E61391">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202" w:name="_Toc144974502"/>
      <w:bookmarkStart w:id="203" w:name="_Toc489197811"/>
      <w:bookmarkStart w:id="204" w:name="_Toc24657"/>
      <w:bookmarkStart w:id="205" w:name="_Toc246996179"/>
      <w:bookmarkStart w:id="206" w:name="_Toc18287372"/>
      <w:bookmarkStart w:id="207" w:name="_Toc247085693"/>
      <w:bookmarkStart w:id="208" w:name="_Toc489145707"/>
      <w:bookmarkStart w:id="209" w:name="_Toc152042310"/>
      <w:bookmarkStart w:id="210" w:name="_Toc152045534"/>
      <w:bookmarkStart w:id="211" w:name="_Toc179632551"/>
      <w:bookmarkStart w:id="212" w:name="_Toc31118"/>
      <w:bookmarkStart w:id="213" w:name="_Toc246996922"/>
      <w:bookmarkStart w:id="214" w:name="_Toc25481"/>
      <w:bookmarkStart w:id="215" w:name="_Toc14603862"/>
      <w:bookmarkStart w:id="216" w:name="_Toc16122"/>
      <w:bookmarkStart w:id="217" w:name="_Toc296602424"/>
      <w:bookmarkStart w:id="218" w:name="_Toc8649"/>
      <w:r>
        <w:rPr>
          <w:rFonts w:hint="eastAsia" w:ascii="黑体" w:hAnsi="黑体" w:eastAsia="黑体" w:cs="黑体"/>
          <w:bCs/>
          <w:color w:val="auto"/>
          <w:sz w:val="22"/>
          <w:szCs w:val="22"/>
          <w:highlight w:val="none"/>
        </w:rPr>
        <w:t>4. 投标人资格要求</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399401A5">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bookmarkStart w:id="219" w:name="_Toc179632552"/>
      <w:bookmarkStart w:id="220" w:name="_Toc247085694"/>
      <w:bookmarkStart w:id="221" w:name="_Toc152042311"/>
      <w:bookmarkStart w:id="222" w:name="_Toc144974503"/>
      <w:bookmarkStart w:id="223" w:name="_Toc296602425"/>
      <w:bookmarkStart w:id="224" w:name="_Toc246996180"/>
      <w:bookmarkStart w:id="225" w:name="_Toc152045535"/>
      <w:bookmarkStart w:id="226" w:name="_Toc246996923"/>
      <w:r>
        <w:rPr>
          <w:rFonts w:hint="eastAsia" w:cs="宋体" w:asciiTheme="minorEastAsia" w:hAnsiTheme="minorEastAsia" w:eastAsiaTheme="minorEastAsia"/>
          <w:bCs/>
          <w:color w:val="auto"/>
          <w:sz w:val="22"/>
          <w:szCs w:val="22"/>
          <w:highlight w:val="none"/>
        </w:rPr>
        <w:t>4.1投标人资格要求：详见《投标人须知前附表》。</w:t>
      </w:r>
    </w:p>
    <w:p w14:paraId="42946C1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4.2采购人根据采购项目的特殊要求规定的特定条件：详见《投标人须知前附表》。</w:t>
      </w:r>
    </w:p>
    <w:p w14:paraId="2FDD5A60">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4.3是否接受联合体参加：详见《投标人须知前附表》。</w:t>
      </w:r>
    </w:p>
    <w:p w14:paraId="061A1114">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4.4单位负责人为同一人或者存在直接控股、管理关系的不同投标人，不得参加同一合同项下的政府采购活动。</w:t>
      </w:r>
    </w:p>
    <w:p w14:paraId="41DCF778">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4.5为采购项目提供整体设计、规范编制和项目管理、监理、检测等服务的投标人：详见《投标人须知前附表》；为本采购项目提供整体设计、规范编制和项目管理、监理、检测等服务的投标人，不得再参加本采购项目的其他采购活动。</w:t>
      </w:r>
    </w:p>
    <w:p w14:paraId="2675AB7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bookmarkStart w:id="227" w:name="_Toc28562"/>
      <w:bookmarkStart w:id="228" w:name="_Toc14603863"/>
      <w:bookmarkStart w:id="229" w:name="_Toc489145708"/>
      <w:bookmarkStart w:id="230" w:name="_Toc9732"/>
      <w:bookmarkStart w:id="231" w:name="_Toc489197812"/>
      <w:bookmarkStart w:id="232" w:name="_Toc31338"/>
      <w:r>
        <w:rPr>
          <w:rFonts w:hint="eastAsia" w:cs="宋体" w:asciiTheme="minorEastAsia" w:hAnsiTheme="minorEastAsia" w:eastAsiaTheme="minorEastAsia"/>
          <w:bCs/>
          <w:color w:val="auto"/>
          <w:sz w:val="22"/>
          <w:szCs w:val="22"/>
          <w:highlight w:val="none"/>
        </w:rPr>
        <w:t>4.6如投标人提供虚假材料应标，一经查实，视为未实质性响应招标文件，投标人投标文件将按无效处理。</w:t>
      </w:r>
    </w:p>
    <w:p w14:paraId="370EE818">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233" w:name="_Toc15693"/>
      <w:bookmarkStart w:id="234" w:name="_Toc18287373"/>
      <w:bookmarkStart w:id="235" w:name="_Toc18449"/>
      <w:r>
        <w:rPr>
          <w:rFonts w:hint="eastAsia" w:ascii="黑体" w:hAnsi="黑体" w:eastAsia="黑体" w:cs="黑体"/>
          <w:bCs/>
          <w:color w:val="auto"/>
          <w:sz w:val="22"/>
          <w:szCs w:val="22"/>
          <w:highlight w:val="none"/>
        </w:rPr>
        <w:t>5. 费用承担</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1AA368DA">
      <w:pPr>
        <w:shd w:val="clear"/>
        <w:wordWrap w:val="0"/>
        <w:spacing w:line="360" w:lineRule="auto"/>
        <w:ind w:left="420" w:left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不论投标结果如何，投标人均应自行承担所有与准备和参加投标活动有关的全部费用；</w:t>
      </w:r>
    </w:p>
    <w:p w14:paraId="484DCF32">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236" w:name="_Toc8566"/>
      <w:bookmarkStart w:id="237" w:name="_Toc14603864"/>
      <w:bookmarkStart w:id="238" w:name="_Toc18287374"/>
      <w:bookmarkStart w:id="239" w:name="_Toc489197813"/>
      <w:bookmarkStart w:id="240" w:name="_Toc489145709"/>
      <w:bookmarkStart w:id="241" w:name="_Toc19786"/>
      <w:bookmarkStart w:id="242" w:name="_Toc14932"/>
      <w:bookmarkStart w:id="243" w:name="_Toc10179"/>
      <w:bookmarkStart w:id="244" w:name="_Toc28263"/>
      <w:r>
        <w:rPr>
          <w:rFonts w:hint="eastAsia" w:ascii="黑体" w:hAnsi="黑体" w:eastAsia="黑体" w:cs="黑体"/>
          <w:bCs/>
          <w:color w:val="auto"/>
          <w:sz w:val="22"/>
          <w:szCs w:val="22"/>
          <w:highlight w:val="none"/>
        </w:rPr>
        <w:t>6. 现场</w:t>
      </w:r>
      <w:bookmarkEnd w:id="236"/>
      <w:bookmarkEnd w:id="237"/>
      <w:bookmarkEnd w:id="238"/>
      <w:bookmarkEnd w:id="239"/>
      <w:bookmarkEnd w:id="240"/>
      <w:bookmarkEnd w:id="241"/>
      <w:bookmarkEnd w:id="242"/>
      <w:r>
        <w:rPr>
          <w:rFonts w:hint="eastAsia" w:ascii="黑体" w:hAnsi="黑体" w:eastAsia="黑体" w:cs="黑体"/>
          <w:bCs/>
          <w:color w:val="auto"/>
          <w:sz w:val="22"/>
          <w:szCs w:val="22"/>
          <w:highlight w:val="none"/>
        </w:rPr>
        <w:t>踏勘</w:t>
      </w:r>
      <w:bookmarkEnd w:id="243"/>
      <w:bookmarkEnd w:id="244"/>
    </w:p>
    <w:p w14:paraId="2AABFF6A">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组织。详见《投标人须知前附表》</w:t>
      </w:r>
    </w:p>
    <w:p w14:paraId="56F7E4EA">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245" w:name="_Toc14603865"/>
      <w:bookmarkStart w:id="246" w:name="_Toc18287375"/>
      <w:bookmarkStart w:id="247" w:name="_Toc489197814"/>
      <w:bookmarkStart w:id="248" w:name="_Toc3607"/>
      <w:bookmarkStart w:id="249" w:name="_Toc10524"/>
      <w:bookmarkStart w:id="250" w:name="_Toc566"/>
      <w:bookmarkStart w:id="251" w:name="_Toc11872"/>
      <w:bookmarkStart w:id="252" w:name="_Toc22604"/>
      <w:bookmarkStart w:id="253" w:name="_Toc489145710"/>
      <w:r>
        <w:rPr>
          <w:rFonts w:hint="eastAsia" w:ascii="黑体" w:hAnsi="黑体" w:eastAsia="黑体" w:cs="黑体"/>
          <w:bCs/>
          <w:color w:val="auto"/>
          <w:sz w:val="22"/>
          <w:szCs w:val="22"/>
          <w:highlight w:val="none"/>
        </w:rPr>
        <w:t>7. 开标前答疑会</w:t>
      </w:r>
      <w:bookmarkEnd w:id="245"/>
      <w:bookmarkEnd w:id="246"/>
      <w:bookmarkEnd w:id="247"/>
      <w:bookmarkEnd w:id="248"/>
      <w:bookmarkEnd w:id="249"/>
      <w:bookmarkEnd w:id="250"/>
      <w:bookmarkEnd w:id="251"/>
      <w:bookmarkEnd w:id="252"/>
      <w:bookmarkEnd w:id="253"/>
    </w:p>
    <w:p w14:paraId="12C8B17C">
      <w:pPr>
        <w:shd w:val="clear"/>
        <w:wordWrap w:val="0"/>
        <w:spacing w:line="360" w:lineRule="auto"/>
        <w:ind w:left="420" w:left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本项目采购人不组织开标前答疑会。</w:t>
      </w:r>
    </w:p>
    <w:p w14:paraId="03789C99">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254" w:name="_Toc23478"/>
      <w:bookmarkStart w:id="255" w:name="_Toc2939"/>
      <w:bookmarkStart w:id="256" w:name="_Toc489145711"/>
      <w:bookmarkStart w:id="257" w:name="_Toc1782"/>
      <w:bookmarkStart w:id="258" w:name="_Toc17342"/>
      <w:bookmarkStart w:id="259" w:name="_Toc489197815"/>
      <w:bookmarkStart w:id="260" w:name="_Toc24696"/>
      <w:bookmarkStart w:id="261" w:name="_Toc14603866"/>
      <w:bookmarkStart w:id="262" w:name="_Toc18287376"/>
      <w:r>
        <w:rPr>
          <w:rFonts w:hint="eastAsia" w:ascii="黑体" w:hAnsi="黑体" w:eastAsia="黑体" w:cs="黑体"/>
          <w:bCs/>
          <w:color w:val="auto"/>
          <w:sz w:val="22"/>
          <w:szCs w:val="22"/>
          <w:highlight w:val="none"/>
        </w:rPr>
        <w:t>8.质疑</w:t>
      </w:r>
      <w:bookmarkEnd w:id="254"/>
      <w:bookmarkEnd w:id="255"/>
      <w:bookmarkEnd w:id="256"/>
      <w:bookmarkEnd w:id="257"/>
      <w:bookmarkEnd w:id="258"/>
      <w:bookmarkEnd w:id="259"/>
      <w:bookmarkEnd w:id="260"/>
      <w:bookmarkEnd w:id="261"/>
      <w:bookmarkEnd w:id="262"/>
    </w:p>
    <w:p w14:paraId="6EA4516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026D00A8">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8.2招标文件第二章《投标人须知》8.1条中“知道或者应知其权益受到损害之日”是指：</w:t>
      </w:r>
    </w:p>
    <w:p w14:paraId="773303E9">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（一）对可以质疑的采购文件提出质疑的，为收到采购文件之日或者采购文件公告期限届满之日；</w:t>
      </w:r>
    </w:p>
    <w:p w14:paraId="397E047D">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（二）对采购过程提出质疑的，为各采购程序环节结束之日；</w:t>
      </w:r>
    </w:p>
    <w:p w14:paraId="22F29903">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（三）对中标或者成交结果提出质疑的，为中标或者成交结果公告期限届满之日。</w:t>
      </w:r>
    </w:p>
    <w:p w14:paraId="03ABE00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559B86E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提出质疑的投标人应当是参与所质疑项目采购活动的投标人。</w:t>
      </w:r>
    </w:p>
    <w:p w14:paraId="0CC8397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58075BF2">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（一）投标人的姓名或者名称、地址、邮编、联系人及联系电话；</w:t>
      </w:r>
    </w:p>
    <w:p w14:paraId="3EC8493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（二）质疑项目的名称、编号；</w:t>
      </w:r>
    </w:p>
    <w:p w14:paraId="586C9FA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（三）具体、明确的质疑事项和与质疑事项相关的请求；</w:t>
      </w:r>
    </w:p>
    <w:p w14:paraId="321C5D23">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（四）事实依据；</w:t>
      </w:r>
    </w:p>
    <w:p w14:paraId="6F124F9B">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（五）必要的法律依据；</w:t>
      </w:r>
    </w:p>
    <w:p w14:paraId="18F934E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（六）提出质疑的日期。</w:t>
      </w:r>
    </w:p>
    <w:p w14:paraId="15A1BE7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投标人为自然人的，应当由本人签字；投标人为法人或者其他组织的，应当由法定代表人、主要负责人，或者其授权代表签字或者盖章，并加盖公章。</w:t>
      </w:r>
    </w:p>
    <w:p w14:paraId="22922C3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8.5投标人不得捏造事实、提供虚假材料或者以非法手段取得证明材料。</w:t>
      </w:r>
    </w:p>
    <w:p w14:paraId="22F3F15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8.6质疑函应当使用中文。相关当事人提供外文书证或者外国语视听资料的，应当附有中文译本，由翻译机构盖章或者翻译人员签名。</w:t>
      </w:r>
    </w:p>
    <w:p w14:paraId="0BD0E219">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8.7采购人、采购代理机构将在收到投标人质疑函后七个工作日内作出答复，但质疑答复的内容不涉及商业秘密。</w:t>
      </w:r>
    </w:p>
    <w:p w14:paraId="6FD2F87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8.8投标人对评审过程、中标结果提出质疑的，采购人、采购代理机构可以组织原评标委员会协助答复质疑。质疑答复导致中标结果改变的，采购人或者采购代理机构会将有关情况书面报告本级财政部门。</w:t>
      </w:r>
    </w:p>
    <w:p w14:paraId="4CC6890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8.9接收质疑函的方式：书面方式；接收质疑函的部门：红河州政府采购和出让中心。</w:t>
      </w:r>
    </w:p>
    <w:p w14:paraId="3FF0A826">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263" w:name="_Toc19275"/>
      <w:bookmarkStart w:id="264" w:name="_Toc23973"/>
      <w:bookmarkStart w:id="265" w:name="_Toc489145712"/>
      <w:bookmarkStart w:id="266" w:name="_Toc10057"/>
      <w:bookmarkStart w:id="267" w:name="_Toc8692"/>
      <w:bookmarkStart w:id="268" w:name="_Toc31330"/>
      <w:bookmarkStart w:id="269" w:name="_Toc18287377"/>
      <w:bookmarkStart w:id="270" w:name="_Toc489197816"/>
      <w:bookmarkStart w:id="271" w:name="_Toc14603867"/>
      <w:r>
        <w:rPr>
          <w:rFonts w:hint="eastAsia" w:ascii="黑体" w:hAnsi="黑体" w:eastAsia="黑体" w:cs="黑体"/>
          <w:bCs/>
          <w:color w:val="auto"/>
          <w:sz w:val="22"/>
          <w:szCs w:val="22"/>
          <w:highlight w:val="none"/>
        </w:rPr>
        <w:t>9.投诉</w:t>
      </w:r>
      <w:bookmarkEnd w:id="263"/>
      <w:bookmarkEnd w:id="264"/>
      <w:bookmarkEnd w:id="265"/>
      <w:bookmarkEnd w:id="266"/>
      <w:bookmarkEnd w:id="267"/>
      <w:bookmarkEnd w:id="268"/>
      <w:bookmarkEnd w:id="269"/>
      <w:bookmarkEnd w:id="270"/>
      <w:bookmarkEnd w:id="271"/>
    </w:p>
    <w:p w14:paraId="3E553E43">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投诉必须首先经过质疑程序。质疑投标人对采购人、采购代理机构的答复不满意，或者采购人、采购代理机构未在规定时间内作出答复的，可以在答复期满后十五个工作日内书面向财政部门提起投诉。</w:t>
      </w:r>
    </w:p>
    <w:p w14:paraId="6C897E39">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272" w:name="_Toc24069"/>
      <w:bookmarkStart w:id="273" w:name="_Toc144974510"/>
      <w:bookmarkStart w:id="274" w:name="_Toc378239352"/>
      <w:bookmarkStart w:id="275" w:name="_Toc401342135"/>
      <w:bookmarkStart w:id="276" w:name="_Toc489197817"/>
      <w:bookmarkStart w:id="277" w:name="_Toc25708"/>
      <w:bookmarkStart w:id="278" w:name="_Toc378239171"/>
      <w:bookmarkStart w:id="279" w:name="_Toc18287378"/>
      <w:bookmarkStart w:id="280" w:name="_Toc14603868"/>
      <w:bookmarkStart w:id="281" w:name="_Toc488633605"/>
      <w:bookmarkStart w:id="282" w:name="_Toc246996187"/>
      <w:bookmarkStart w:id="283" w:name="_Toc152045542"/>
      <w:bookmarkStart w:id="284" w:name="_Toc247085701"/>
      <w:bookmarkStart w:id="285" w:name="_Toc152042318"/>
      <w:bookmarkStart w:id="286" w:name="_Toc480817644"/>
      <w:bookmarkStart w:id="287" w:name="_Toc296602432"/>
      <w:bookmarkStart w:id="288" w:name="_Toc18879"/>
      <w:bookmarkStart w:id="289" w:name="_Toc17348"/>
      <w:bookmarkStart w:id="290" w:name="_Toc179632560"/>
      <w:bookmarkStart w:id="291" w:name="_Toc17404"/>
      <w:bookmarkStart w:id="292" w:name="_Toc246996930"/>
      <w:bookmarkStart w:id="293" w:name="_Toc489145713"/>
      <w:bookmarkStart w:id="294" w:name="_Toc378239079"/>
      <w:bookmarkStart w:id="295" w:name="_Toc8523"/>
      <w:r>
        <w:rPr>
          <w:rFonts w:hint="eastAsia" w:ascii="黑体" w:hAnsi="黑体" w:eastAsia="黑体" w:cs="黑体"/>
          <w:b/>
          <w:bCs w:val="0"/>
          <w:color w:val="auto"/>
          <w:sz w:val="22"/>
          <w:szCs w:val="22"/>
          <w:highlight w:val="none"/>
        </w:rPr>
        <w:t>二、招标文件</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56D02F8E">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296" w:name="_Toc18287379"/>
      <w:bookmarkStart w:id="297" w:name="_Toc8652"/>
      <w:bookmarkStart w:id="298" w:name="_Toc22137"/>
      <w:bookmarkStart w:id="299" w:name="_Toc489197818"/>
      <w:bookmarkStart w:id="300" w:name="_Toc489145714"/>
      <w:bookmarkStart w:id="301" w:name="_Toc144974511"/>
      <w:bookmarkStart w:id="302" w:name="_Toc296602433"/>
      <w:bookmarkStart w:id="303" w:name="_Toc246996188"/>
      <w:bookmarkStart w:id="304" w:name="_Toc152042319"/>
      <w:bookmarkStart w:id="305" w:name="_Toc179632561"/>
      <w:bookmarkStart w:id="306" w:name="_Toc246996931"/>
      <w:bookmarkStart w:id="307" w:name="_Toc247085702"/>
      <w:bookmarkStart w:id="308" w:name="_Toc152045543"/>
      <w:bookmarkStart w:id="309" w:name="_Toc9432"/>
      <w:bookmarkStart w:id="310" w:name="_Toc1227"/>
      <w:bookmarkStart w:id="311" w:name="_Toc14603869"/>
      <w:bookmarkStart w:id="312" w:name="_Toc7582"/>
      <w:r>
        <w:rPr>
          <w:rFonts w:hint="eastAsia" w:ascii="黑体" w:hAnsi="黑体" w:eastAsia="黑体" w:cs="黑体"/>
          <w:bCs/>
          <w:color w:val="auto"/>
          <w:sz w:val="22"/>
          <w:szCs w:val="22"/>
          <w:highlight w:val="none"/>
        </w:rPr>
        <w:t>10. 招标文件编制依据</w:t>
      </w:r>
      <w:bookmarkEnd w:id="296"/>
      <w:bookmarkEnd w:id="297"/>
      <w:bookmarkEnd w:id="298"/>
    </w:p>
    <w:p w14:paraId="0BF7C5E1">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本项目招标文件根据《中华人民共和国政府采购法</w:t>
      </w:r>
      <w:r>
        <w:rPr>
          <w:rFonts w:hint="eastAsia" w:cs="宋体" w:asciiTheme="minorEastAsia" w:hAnsiTheme="minorEastAsia" w:eastAsiaTheme="minorEastAsia"/>
          <w:bCs/>
          <w:color w:val="auto"/>
          <w:sz w:val="22"/>
          <w:szCs w:val="22"/>
          <w:highlight w:val="none"/>
          <w:lang w:eastAsia="zh-CN"/>
        </w:rPr>
        <w:t>》《</w:t>
      </w:r>
      <w:r>
        <w:rPr>
          <w:rFonts w:hint="eastAsia" w:cs="宋体" w:asciiTheme="minorEastAsia" w:hAnsiTheme="minorEastAsia" w:eastAsiaTheme="minorEastAsia"/>
          <w:bCs/>
          <w:color w:val="auto"/>
          <w:sz w:val="22"/>
          <w:szCs w:val="22"/>
          <w:highlight w:val="none"/>
        </w:rPr>
        <w:t>中华人民共和国政府采购法实施条例</w:t>
      </w:r>
      <w:r>
        <w:rPr>
          <w:rFonts w:hint="eastAsia" w:cs="宋体" w:asciiTheme="minorEastAsia" w:hAnsiTheme="minorEastAsia" w:eastAsiaTheme="minorEastAsia"/>
          <w:bCs/>
          <w:color w:val="auto"/>
          <w:sz w:val="22"/>
          <w:szCs w:val="22"/>
          <w:highlight w:val="none"/>
          <w:lang w:eastAsia="zh-CN"/>
        </w:rPr>
        <w:t>》《</w:t>
      </w:r>
      <w:r>
        <w:rPr>
          <w:rFonts w:hint="eastAsia" w:cs="宋体" w:asciiTheme="minorEastAsia" w:hAnsiTheme="minorEastAsia" w:eastAsiaTheme="minorEastAsia"/>
          <w:bCs/>
          <w:color w:val="auto"/>
          <w:sz w:val="22"/>
          <w:szCs w:val="22"/>
          <w:highlight w:val="none"/>
        </w:rPr>
        <w:t>政府采购货物和服务招标投标管理办法》（财政部令第87号）等有关</w:t>
      </w:r>
      <w:r>
        <w:rPr>
          <w:rFonts w:hint="eastAsia" w:cs="宋体" w:asciiTheme="minorEastAsia" w:hAnsiTheme="minorEastAsia" w:eastAsiaTheme="minorEastAsia"/>
          <w:bCs/>
          <w:color w:val="auto"/>
          <w:sz w:val="22"/>
          <w:szCs w:val="22"/>
          <w:highlight w:val="none"/>
          <w:lang w:eastAsia="zh-CN"/>
        </w:rPr>
        <w:t>法律法规</w:t>
      </w:r>
      <w:r>
        <w:rPr>
          <w:rFonts w:hint="eastAsia" w:cs="宋体" w:asciiTheme="minorEastAsia" w:hAnsiTheme="minorEastAsia" w:eastAsiaTheme="minorEastAsia"/>
          <w:bCs/>
          <w:color w:val="auto"/>
          <w:sz w:val="22"/>
          <w:szCs w:val="22"/>
          <w:highlight w:val="none"/>
        </w:rPr>
        <w:t>编制，解释权属于采购人、采购代理机构。</w:t>
      </w:r>
    </w:p>
    <w:p w14:paraId="122A5472">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313" w:name="_Toc18287380"/>
      <w:bookmarkStart w:id="314" w:name="_Toc28895"/>
      <w:bookmarkStart w:id="315" w:name="_Toc30113"/>
      <w:r>
        <w:rPr>
          <w:rFonts w:hint="eastAsia" w:ascii="黑体" w:hAnsi="黑体" w:eastAsia="黑体" w:cs="黑体"/>
          <w:bCs/>
          <w:color w:val="auto"/>
          <w:sz w:val="22"/>
          <w:szCs w:val="22"/>
          <w:highlight w:val="none"/>
        </w:rPr>
        <w:t>11.</w:t>
      </w:r>
      <w:bookmarkEnd w:id="299"/>
      <w:bookmarkEnd w:id="300"/>
      <w:r>
        <w:rPr>
          <w:rFonts w:hint="eastAsia" w:ascii="黑体" w:hAnsi="黑体" w:eastAsia="黑体" w:cs="黑体"/>
          <w:bCs/>
          <w:color w:val="auto"/>
          <w:sz w:val="22"/>
          <w:szCs w:val="22"/>
          <w:highlight w:val="none"/>
        </w:rPr>
        <w:t xml:space="preserve"> </w:t>
      </w:r>
      <w:bookmarkEnd w:id="301"/>
      <w:bookmarkEnd w:id="302"/>
      <w:bookmarkEnd w:id="303"/>
      <w:bookmarkEnd w:id="304"/>
      <w:bookmarkEnd w:id="305"/>
      <w:bookmarkEnd w:id="306"/>
      <w:bookmarkEnd w:id="307"/>
      <w:bookmarkEnd w:id="308"/>
      <w:bookmarkStart w:id="316" w:name="_Toc489197819"/>
      <w:bookmarkStart w:id="317" w:name="_Toc489145715"/>
      <w:r>
        <w:rPr>
          <w:rFonts w:hint="eastAsia" w:ascii="黑体" w:hAnsi="黑体" w:eastAsia="黑体" w:cs="黑体"/>
          <w:bCs/>
          <w:color w:val="auto"/>
          <w:sz w:val="22"/>
          <w:szCs w:val="22"/>
          <w:highlight w:val="none"/>
        </w:rPr>
        <w:t>招标文件的组成</w:t>
      </w:r>
      <w:bookmarkEnd w:id="309"/>
      <w:bookmarkEnd w:id="310"/>
      <w:bookmarkEnd w:id="311"/>
      <w:bookmarkEnd w:id="312"/>
      <w:bookmarkEnd w:id="313"/>
      <w:bookmarkEnd w:id="314"/>
      <w:bookmarkEnd w:id="315"/>
      <w:bookmarkEnd w:id="316"/>
      <w:bookmarkEnd w:id="317"/>
    </w:p>
    <w:p w14:paraId="04839C4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采购人要求提供的货物、工程或者服务、采购过程及合同条款在招标文件中均有说明，招标文件共七章，各章的内容如下：</w:t>
      </w:r>
    </w:p>
    <w:p w14:paraId="4B5C42D1">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第一章  公开招标公告</w:t>
      </w:r>
    </w:p>
    <w:p w14:paraId="48B5F2F2">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第二章  投标人须知</w:t>
      </w:r>
    </w:p>
    <w:p w14:paraId="2252BA03">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第三章  合同基本格式</w:t>
      </w:r>
    </w:p>
    <w:p w14:paraId="3D158FE4">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第四章  投标文件格式</w:t>
      </w:r>
    </w:p>
    <w:p w14:paraId="0958A7C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第五章  采购需求</w:t>
      </w:r>
    </w:p>
    <w:p w14:paraId="687CC4C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第六章  评标方法（综合评分法）</w:t>
      </w:r>
    </w:p>
    <w:p w14:paraId="463E4D5D">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318" w:name="_Toc152045544"/>
      <w:bookmarkStart w:id="319" w:name="_Toc246996189"/>
      <w:bookmarkStart w:id="320" w:name="_Toc144974512"/>
      <w:bookmarkStart w:id="321" w:name="_Toc14603870"/>
      <w:bookmarkStart w:id="322" w:name="_Toc3923"/>
      <w:bookmarkStart w:id="323" w:name="_Toc32295"/>
      <w:bookmarkStart w:id="324" w:name="_Toc2194"/>
      <w:bookmarkStart w:id="325" w:name="_Toc18287381"/>
      <w:bookmarkStart w:id="326" w:name="_Toc247085703"/>
      <w:bookmarkStart w:id="327" w:name="_Toc152042320"/>
      <w:bookmarkStart w:id="328" w:name="_Toc489145716"/>
      <w:bookmarkStart w:id="329" w:name="_Toc179632562"/>
      <w:bookmarkStart w:id="330" w:name="_Toc28589"/>
      <w:bookmarkStart w:id="331" w:name="_Toc3273"/>
      <w:bookmarkStart w:id="332" w:name="_Toc489197820"/>
      <w:bookmarkStart w:id="333" w:name="_Toc296602434"/>
      <w:bookmarkStart w:id="334" w:name="_Toc246996932"/>
      <w:r>
        <w:rPr>
          <w:rFonts w:hint="eastAsia" w:ascii="黑体" w:hAnsi="黑体" w:eastAsia="黑体" w:cs="黑体"/>
          <w:bCs/>
          <w:color w:val="auto"/>
          <w:sz w:val="22"/>
          <w:szCs w:val="22"/>
          <w:highlight w:val="none"/>
        </w:rPr>
        <w:t>12. 招标文件的询问</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64D5027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12.1</w:t>
      </w:r>
      <w:r>
        <w:rPr>
          <w:rFonts w:hint="eastAsia" w:cs="宋体" w:asciiTheme="minorEastAsia" w:hAnsiTheme="minorEastAsia" w:eastAsiaTheme="minorEastAsia"/>
          <w:bCs/>
          <w:color w:val="auto"/>
          <w:sz w:val="22"/>
          <w:szCs w:val="22"/>
          <w:highlight w:val="none"/>
          <w:lang w:val="en-US" w:eastAsia="zh-CN"/>
        </w:rPr>
        <w:t>.</w:t>
      </w:r>
      <w:r>
        <w:rPr>
          <w:rFonts w:hint="eastAsia" w:cs="宋体" w:asciiTheme="minorEastAsia" w:hAnsiTheme="minorEastAsia" w:eastAsiaTheme="minorEastAsia"/>
          <w:bCs/>
          <w:color w:val="auto"/>
          <w:sz w:val="22"/>
          <w:szCs w:val="22"/>
          <w:highlight w:val="none"/>
        </w:rPr>
        <w:t>投标人应认真阅读招标文件，如有疑问的，投标人可以向采购人或采购代理机构提出询问或者凭企业数字证书（CA）登录政采云平台（https://www.zcygov.cn/），通过在线方式提出询问（不署名），采购人或者采购代理机构在接到询问后的3个工作日内对投标人依法提出的询问作出答复，但答复的内容不涉及商业秘密。</w:t>
      </w:r>
    </w:p>
    <w:p w14:paraId="4543C67A">
      <w:pPr>
        <w:shd w:val="clear"/>
        <w:wordWrap w:val="0"/>
        <w:spacing w:line="360" w:lineRule="auto"/>
        <w:ind w:left="502"/>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12.2</w:t>
      </w:r>
      <w:r>
        <w:rPr>
          <w:rFonts w:hint="eastAsia" w:cs="宋体" w:asciiTheme="minorEastAsia" w:hAnsiTheme="minorEastAsia" w:eastAsiaTheme="minorEastAsia"/>
          <w:bCs/>
          <w:color w:val="auto"/>
          <w:sz w:val="22"/>
          <w:szCs w:val="22"/>
          <w:highlight w:val="none"/>
          <w:lang w:val="en-US" w:eastAsia="zh-CN"/>
        </w:rPr>
        <w:t>.</w:t>
      </w:r>
      <w:r>
        <w:rPr>
          <w:rFonts w:hint="eastAsia" w:cs="宋体" w:asciiTheme="minorEastAsia" w:hAnsiTheme="minorEastAsia" w:eastAsiaTheme="minorEastAsia"/>
          <w:bCs/>
          <w:color w:val="auto"/>
          <w:sz w:val="22"/>
          <w:szCs w:val="22"/>
          <w:highlight w:val="none"/>
        </w:rPr>
        <w:t>招标文件询问联系方式：详见《投标人须知前附表》。</w:t>
      </w:r>
    </w:p>
    <w:p w14:paraId="39B5E325">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335" w:name="_Toc8348"/>
      <w:bookmarkStart w:id="336" w:name="_Toc27882"/>
      <w:r>
        <w:rPr>
          <w:rFonts w:hint="eastAsia" w:ascii="黑体" w:hAnsi="黑体" w:eastAsia="黑体" w:cs="黑体"/>
          <w:bCs/>
          <w:color w:val="auto"/>
          <w:sz w:val="22"/>
          <w:szCs w:val="22"/>
          <w:highlight w:val="none"/>
        </w:rPr>
        <w:t>13. 招标文件的澄清、修改</w:t>
      </w:r>
      <w:bookmarkEnd w:id="335"/>
      <w:bookmarkEnd w:id="336"/>
    </w:p>
    <w:p w14:paraId="4909D911">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13.1采购人、采购代理机构可以对已发出的招标文件进行必要的澄清或者修改，澄清或者修改的内容作为招标文件的组成部分。</w:t>
      </w:r>
    </w:p>
    <w:p w14:paraId="4F9E71E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13.2采购人、采购代理机构将同时发布澄清、修改文件进行说明以保证投标人能重新下载并用于编制投标文件。</w:t>
      </w:r>
    </w:p>
    <w:p w14:paraId="49A6296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13.3招标文件的澄清、修改文件内容均以网上电子文件为准，当招标文件、招标文件澄清、修改文件内容前后相互矛盾时，以最后发出的为准。</w:t>
      </w:r>
    </w:p>
    <w:p w14:paraId="3D8C2D1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13.4澄清或者修改的内容可能影响投标文件编制的，采购人或者采购代理机构将在投标截止时间至少15日前，通过政采云平台（https://www.zcygov.cn/）以网上电子文件形式和书面形式通知所有接收招标文件的投标人，不足15日的，采购人或者采购代理机构将顺延提交投标文件的截止时间。</w:t>
      </w:r>
    </w:p>
    <w:p w14:paraId="755738E9">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13.5投标人应在电子投标文件提交截止时间前及时查看有关该项目招标文件的澄清、修改内容。如因投标人自身原因导致未及时查看有关该项目招标文件的澄清、修改内容，由此造成的一切后果由投</w:t>
      </w:r>
      <w:r>
        <w:rPr>
          <w:rFonts w:hint="eastAsia" w:cs="宋体" w:asciiTheme="minorEastAsia" w:hAnsiTheme="minorEastAsia" w:eastAsiaTheme="minorEastAsia"/>
          <w:bCs/>
          <w:color w:val="auto"/>
          <w:sz w:val="22"/>
          <w:szCs w:val="22"/>
          <w:highlight w:val="none"/>
          <w:lang w:eastAsia="zh-CN"/>
        </w:rPr>
        <w:t>标人</w:t>
      </w:r>
      <w:r>
        <w:rPr>
          <w:rFonts w:hint="eastAsia" w:cs="宋体" w:asciiTheme="minorEastAsia" w:hAnsiTheme="minorEastAsia" w:eastAsiaTheme="minorEastAsia"/>
          <w:bCs/>
          <w:color w:val="auto"/>
          <w:sz w:val="22"/>
          <w:szCs w:val="22"/>
          <w:highlight w:val="none"/>
        </w:rPr>
        <w:t>自行承担。</w:t>
      </w:r>
    </w:p>
    <w:p w14:paraId="3EC15B29">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337" w:name="_Toc488633606"/>
      <w:bookmarkStart w:id="338" w:name="_Toc489197821"/>
      <w:bookmarkStart w:id="339" w:name="_Toc152045546"/>
      <w:bookmarkStart w:id="340" w:name="_Toc246996191"/>
      <w:bookmarkStart w:id="341" w:name="_Toc378239353"/>
      <w:bookmarkStart w:id="342" w:name="_Toc5095"/>
      <w:bookmarkStart w:id="343" w:name="_Toc144974514"/>
      <w:bookmarkStart w:id="344" w:name="_Toc378239080"/>
      <w:bookmarkStart w:id="345" w:name="_Toc4445"/>
      <w:bookmarkStart w:id="346" w:name="_Toc18287382"/>
      <w:bookmarkStart w:id="347" w:name="_Toc480817645"/>
      <w:bookmarkStart w:id="348" w:name="_Toc152042322"/>
      <w:bookmarkStart w:id="349" w:name="_Toc29509"/>
      <w:bookmarkStart w:id="350" w:name="_Toc246996934"/>
      <w:bookmarkStart w:id="351" w:name="_Toc401342136"/>
      <w:bookmarkStart w:id="352" w:name="_Toc14603871"/>
      <w:bookmarkStart w:id="353" w:name="_Toc378239172"/>
      <w:bookmarkStart w:id="354" w:name="_Toc489145717"/>
      <w:bookmarkStart w:id="355" w:name="_Toc179632564"/>
      <w:bookmarkStart w:id="356" w:name="_Toc16962"/>
      <w:bookmarkStart w:id="357" w:name="_Toc12635"/>
      <w:bookmarkStart w:id="358" w:name="_Toc10374"/>
      <w:bookmarkStart w:id="359" w:name="_Toc247085705"/>
      <w:bookmarkStart w:id="360" w:name="_Toc296602436"/>
      <w:r>
        <w:rPr>
          <w:rFonts w:hint="eastAsia" w:ascii="黑体" w:hAnsi="黑体" w:eastAsia="黑体" w:cs="黑体"/>
          <w:b/>
          <w:bCs w:val="0"/>
          <w:color w:val="auto"/>
          <w:sz w:val="22"/>
          <w:szCs w:val="22"/>
          <w:highlight w:val="none"/>
        </w:rPr>
        <w:t>三、投标文件</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31558981">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361" w:name="_Toc27436"/>
      <w:bookmarkStart w:id="362" w:name="_Toc14603872"/>
      <w:bookmarkStart w:id="363" w:name="_Toc489197822"/>
      <w:bookmarkStart w:id="364" w:name="_Toc21527"/>
      <w:bookmarkStart w:id="365" w:name="_Toc21049"/>
      <w:bookmarkStart w:id="366" w:name="_Toc18287383"/>
      <w:bookmarkStart w:id="367" w:name="_Toc29740"/>
      <w:bookmarkStart w:id="368" w:name="_Toc489145718"/>
      <w:bookmarkStart w:id="369" w:name="_Toc18616"/>
      <w:r>
        <w:rPr>
          <w:rFonts w:hint="eastAsia" w:ascii="黑体" w:hAnsi="黑体" w:eastAsia="黑体" w:cs="黑体"/>
          <w:bCs/>
          <w:color w:val="auto"/>
          <w:sz w:val="22"/>
          <w:szCs w:val="22"/>
          <w:highlight w:val="none"/>
        </w:rPr>
        <w:t>14. 投标文件编写注意事项</w:t>
      </w:r>
      <w:bookmarkEnd w:id="361"/>
      <w:bookmarkEnd w:id="362"/>
      <w:bookmarkEnd w:id="363"/>
      <w:bookmarkEnd w:id="364"/>
      <w:bookmarkEnd w:id="365"/>
      <w:bookmarkEnd w:id="366"/>
      <w:bookmarkEnd w:id="367"/>
      <w:bookmarkEnd w:id="368"/>
      <w:bookmarkEnd w:id="369"/>
    </w:p>
    <w:p w14:paraId="0A5F6982">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14.1 投标人应仔细阅读招标文件，在完全了解采购内容、技术性能要求和商务条件后，根据招标文件要求编写投标文件。</w:t>
      </w:r>
    </w:p>
    <w:p w14:paraId="4D514DD4">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14.2 对招标文件提出的实质性要求和条件作出响应是指投标人的投标文件必须对招标文件中规定的实质性要求和条件作出满足或者优于原要求和条件的承诺，并提供相应的证明材料，否则按无效处理。</w:t>
      </w:r>
    </w:p>
    <w:p w14:paraId="6EE6D5D4">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370" w:name="_Toc7481"/>
      <w:bookmarkStart w:id="371" w:name="_Toc489197823"/>
      <w:bookmarkStart w:id="372" w:name="_Toc14960"/>
      <w:bookmarkStart w:id="373" w:name="_Toc929"/>
      <w:bookmarkStart w:id="374" w:name="_Toc16183"/>
      <w:bookmarkStart w:id="375" w:name="_Toc18287384"/>
      <w:bookmarkStart w:id="376" w:name="_Toc14603873"/>
      <w:bookmarkStart w:id="377" w:name="_Toc489145719"/>
      <w:bookmarkStart w:id="378" w:name="_Toc23966"/>
      <w:r>
        <w:rPr>
          <w:rFonts w:hint="eastAsia" w:ascii="黑体" w:hAnsi="黑体" w:eastAsia="黑体" w:cs="黑体"/>
          <w:bCs/>
          <w:color w:val="auto"/>
          <w:sz w:val="22"/>
          <w:szCs w:val="22"/>
          <w:highlight w:val="none"/>
        </w:rPr>
        <w:t>15. 语言文字</w:t>
      </w:r>
      <w:bookmarkEnd w:id="370"/>
      <w:bookmarkEnd w:id="371"/>
      <w:bookmarkEnd w:id="372"/>
      <w:bookmarkEnd w:id="373"/>
      <w:bookmarkEnd w:id="374"/>
      <w:bookmarkEnd w:id="375"/>
      <w:bookmarkEnd w:id="376"/>
      <w:bookmarkEnd w:id="377"/>
      <w:bookmarkEnd w:id="378"/>
    </w:p>
    <w:p w14:paraId="6775A2E4">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投标人的投标文件以及投标人与采购代理机构就有关投标的所有来往函电统一使用中文（特别规定除外）。</w:t>
      </w:r>
    </w:p>
    <w:p w14:paraId="4F619108">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379" w:name="_Toc489197824"/>
      <w:bookmarkStart w:id="380" w:name="_Toc21523"/>
      <w:bookmarkStart w:id="381" w:name="_Toc32413"/>
      <w:bookmarkStart w:id="382" w:name="_Toc14603874"/>
      <w:bookmarkStart w:id="383" w:name="_Toc8343"/>
      <w:bookmarkStart w:id="384" w:name="_Toc18287385"/>
      <w:bookmarkStart w:id="385" w:name="_Toc4386"/>
      <w:bookmarkStart w:id="386" w:name="_Toc6114"/>
      <w:bookmarkStart w:id="387" w:name="_Toc489145720"/>
      <w:r>
        <w:rPr>
          <w:rFonts w:hint="eastAsia" w:ascii="黑体" w:hAnsi="黑体" w:eastAsia="黑体" w:cs="黑体"/>
          <w:bCs/>
          <w:color w:val="auto"/>
          <w:sz w:val="22"/>
          <w:szCs w:val="22"/>
          <w:highlight w:val="none"/>
        </w:rPr>
        <w:t>16. 计量单位</w:t>
      </w:r>
      <w:bookmarkEnd w:id="379"/>
      <w:bookmarkEnd w:id="380"/>
      <w:bookmarkEnd w:id="381"/>
      <w:bookmarkEnd w:id="382"/>
      <w:bookmarkEnd w:id="383"/>
      <w:bookmarkEnd w:id="384"/>
      <w:bookmarkEnd w:id="385"/>
      <w:bookmarkEnd w:id="386"/>
      <w:bookmarkEnd w:id="387"/>
    </w:p>
    <w:p w14:paraId="6264AC5D">
      <w:pPr>
        <w:shd w:val="clear"/>
        <w:wordWrap w:val="0"/>
        <w:spacing w:line="360" w:lineRule="auto"/>
        <w:ind w:left="502" w:firstLine="220" w:firstLineChars="1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投标文件中使用的计量单位除招标文件中有特殊规定外，一律使用中国法定计量单位。</w:t>
      </w:r>
    </w:p>
    <w:p w14:paraId="393C6061">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388" w:name="_Toc14529"/>
      <w:bookmarkStart w:id="389" w:name="_Toc179632565"/>
      <w:bookmarkStart w:id="390" w:name="_Toc29106"/>
      <w:bookmarkStart w:id="391" w:name="_Toc7864"/>
      <w:bookmarkStart w:id="392" w:name="_Toc246996192"/>
      <w:bookmarkStart w:id="393" w:name="_Toc246996935"/>
      <w:bookmarkStart w:id="394" w:name="_Toc489145721"/>
      <w:bookmarkStart w:id="395" w:name="_Toc152045547"/>
      <w:bookmarkStart w:id="396" w:name="_Toc18287386"/>
      <w:bookmarkStart w:id="397" w:name="_Toc25586"/>
      <w:bookmarkStart w:id="398" w:name="_Toc296602437"/>
      <w:bookmarkStart w:id="399" w:name="_Toc247085706"/>
      <w:bookmarkStart w:id="400" w:name="_Toc144974515"/>
      <w:bookmarkStart w:id="401" w:name="_Toc489197825"/>
      <w:bookmarkStart w:id="402" w:name="_Toc9257"/>
      <w:bookmarkStart w:id="403" w:name="_Toc14603875"/>
      <w:bookmarkStart w:id="404" w:name="_Toc152042323"/>
      <w:r>
        <w:rPr>
          <w:rFonts w:hint="eastAsia" w:ascii="黑体" w:hAnsi="黑体" w:eastAsia="黑体" w:cs="黑体"/>
          <w:bCs/>
          <w:color w:val="auto"/>
          <w:sz w:val="22"/>
          <w:szCs w:val="22"/>
          <w:highlight w:val="none"/>
        </w:rPr>
        <w:t>17. 投标文件的组成</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591470B2">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17.1投标人编写的投标文件应由下列部分构成，并按第四章《投标文件格式》要求填写。</w:t>
      </w:r>
    </w:p>
    <w:p w14:paraId="4AF75B6D">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第一册</w:t>
      </w:r>
      <w:r>
        <w:rPr>
          <w:rFonts w:hint="eastAsia" w:cs="宋体" w:asciiTheme="minorEastAsia" w:hAnsiTheme="minorEastAsia" w:eastAsiaTheme="minorEastAsia"/>
          <w:bCs/>
          <w:color w:val="auto"/>
          <w:sz w:val="22"/>
          <w:szCs w:val="22"/>
          <w:highlight w:val="none"/>
        </w:rPr>
        <w:cr/>
      </w: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2</w:t>
      </w:r>
      <w:r>
        <w:rPr>
          <w:rFonts w:hint="eastAsia" w:cs="宋体" w:asciiTheme="minorEastAsia" w:hAnsiTheme="minorEastAsia" w:eastAsiaTheme="minorEastAsia"/>
          <w:bCs/>
          <w:color w:val="auto"/>
          <w:sz w:val="22"/>
          <w:szCs w:val="22"/>
          <w:highlight w:val="none"/>
        </w:rPr>
        <w:t>资格证明文件；</w:t>
      </w:r>
      <w:r>
        <w:rPr>
          <w:rFonts w:hint="eastAsia" w:cs="宋体" w:asciiTheme="minorEastAsia" w:hAnsiTheme="minorEastAsia" w:eastAsiaTheme="minorEastAsia"/>
          <w:bCs/>
          <w:color w:val="auto"/>
          <w:sz w:val="22"/>
          <w:szCs w:val="22"/>
          <w:highlight w:val="none"/>
        </w:rPr>
        <w:cr/>
      </w:r>
      <w:r>
        <w:rPr>
          <w:rFonts w:hint="eastAsia" w:cs="宋体" w:asciiTheme="minorEastAsia" w:hAnsiTheme="minorEastAsia" w:eastAsiaTheme="minorEastAsia"/>
          <w:bCs/>
          <w:color w:val="auto"/>
          <w:sz w:val="22"/>
          <w:szCs w:val="22"/>
          <w:highlight w:val="none"/>
        </w:rPr>
        <w:t>本章第4款《投标人资格要求》中要求提供的资格证明文件。</w:t>
      </w:r>
      <w:r>
        <w:rPr>
          <w:rFonts w:hint="eastAsia" w:cs="宋体" w:asciiTheme="minorEastAsia" w:hAnsiTheme="minorEastAsia" w:eastAsiaTheme="minorEastAsia"/>
          <w:bCs/>
          <w:color w:val="auto"/>
          <w:sz w:val="22"/>
          <w:szCs w:val="22"/>
          <w:highlight w:val="none"/>
        </w:rPr>
        <w:cr/>
      </w:r>
      <w:r>
        <w:rPr>
          <w:rFonts w:hint="eastAsia" w:cs="宋体" w:asciiTheme="minorEastAsia" w:hAnsiTheme="minorEastAsia" w:eastAsiaTheme="minorEastAsia"/>
          <w:bCs/>
          <w:color w:val="auto"/>
          <w:sz w:val="22"/>
          <w:szCs w:val="22"/>
          <w:highlight w:val="none"/>
        </w:rPr>
        <w:t>第二册</w:t>
      </w:r>
      <w:r>
        <w:rPr>
          <w:rFonts w:hint="eastAsia" w:cs="宋体" w:asciiTheme="minorEastAsia" w:hAnsiTheme="minorEastAsia" w:eastAsiaTheme="minorEastAsia"/>
          <w:bCs/>
          <w:color w:val="auto"/>
          <w:sz w:val="22"/>
          <w:szCs w:val="22"/>
          <w:highlight w:val="none"/>
        </w:rPr>
        <w:cr/>
      </w: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3</w:t>
      </w:r>
      <w:r>
        <w:rPr>
          <w:rFonts w:hint="eastAsia" w:cs="宋体" w:asciiTheme="minorEastAsia" w:hAnsiTheme="minorEastAsia" w:eastAsiaTheme="minorEastAsia"/>
          <w:bCs/>
          <w:color w:val="auto"/>
          <w:sz w:val="22"/>
          <w:szCs w:val="22"/>
          <w:highlight w:val="none"/>
        </w:rPr>
        <w:t>开标一览表；</w:t>
      </w:r>
      <w:r>
        <w:rPr>
          <w:rFonts w:hint="eastAsia" w:cs="宋体" w:asciiTheme="minorEastAsia" w:hAnsiTheme="minorEastAsia" w:eastAsiaTheme="minorEastAsia"/>
          <w:bCs/>
          <w:color w:val="auto"/>
          <w:sz w:val="22"/>
          <w:szCs w:val="22"/>
          <w:highlight w:val="none"/>
        </w:rPr>
        <w:cr/>
      </w: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4</w:t>
      </w:r>
      <w:r>
        <w:rPr>
          <w:rFonts w:hint="eastAsia" w:cs="宋体" w:asciiTheme="minorEastAsia" w:hAnsiTheme="minorEastAsia" w:eastAsiaTheme="minorEastAsia"/>
          <w:bCs/>
          <w:color w:val="auto"/>
          <w:sz w:val="22"/>
          <w:szCs w:val="22"/>
          <w:highlight w:val="none"/>
        </w:rPr>
        <w:t>报价明细表；</w:t>
      </w:r>
    </w:p>
    <w:p w14:paraId="330E1DC3">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5</w:t>
      </w:r>
      <w:r>
        <w:rPr>
          <w:rFonts w:hint="eastAsia" w:cs="宋体" w:asciiTheme="minorEastAsia" w:hAnsiTheme="minorEastAsia" w:eastAsiaTheme="minorEastAsia"/>
          <w:bCs/>
          <w:color w:val="auto"/>
          <w:sz w:val="22"/>
          <w:szCs w:val="22"/>
          <w:highlight w:val="none"/>
        </w:rPr>
        <w:t>投标函；</w:t>
      </w:r>
      <w:r>
        <w:rPr>
          <w:rFonts w:hint="eastAsia" w:cs="宋体" w:asciiTheme="minorEastAsia" w:hAnsiTheme="minorEastAsia" w:eastAsiaTheme="minorEastAsia"/>
          <w:bCs/>
          <w:color w:val="auto"/>
          <w:sz w:val="22"/>
          <w:szCs w:val="22"/>
          <w:highlight w:val="none"/>
        </w:rPr>
        <w:cr/>
      </w: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6</w:t>
      </w:r>
      <w:r>
        <w:rPr>
          <w:rFonts w:hint="eastAsia" w:cs="宋体" w:asciiTheme="minorEastAsia" w:hAnsiTheme="minorEastAsia" w:eastAsiaTheme="minorEastAsia"/>
          <w:bCs/>
          <w:color w:val="auto"/>
          <w:sz w:val="22"/>
          <w:szCs w:val="22"/>
          <w:highlight w:val="none"/>
        </w:rPr>
        <w:t>项目服务实施方案；</w:t>
      </w:r>
    </w:p>
    <w:p w14:paraId="49F0B199">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7</w:t>
      </w:r>
      <w:r>
        <w:rPr>
          <w:rFonts w:hint="eastAsia" w:cs="宋体" w:asciiTheme="minorEastAsia" w:hAnsiTheme="minorEastAsia" w:eastAsiaTheme="minorEastAsia"/>
          <w:bCs/>
          <w:color w:val="auto"/>
          <w:sz w:val="22"/>
          <w:szCs w:val="22"/>
          <w:highlight w:val="none"/>
        </w:rPr>
        <w:t>本项目人员投入配置</w:t>
      </w:r>
    </w:p>
    <w:p w14:paraId="62D55BA0">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8</w:t>
      </w:r>
      <w:r>
        <w:rPr>
          <w:rFonts w:hint="eastAsia" w:asciiTheme="minorEastAsia" w:hAnsiTheme="minorEastAsia" w:eastAsiaTheme="minorEastAsia"/>
          <w:color w:val="auto"/>
          <w:sz w:val="22"/>
          <w:szCs w:val="22"/>
          <w:highlight w:val="none"/>
        </w:rPr>
        <w:t>项目装备情况</w:t>
      </w:r>
    </w:p>
    <w:p w14:paraId="0322E14B">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9</w:t>
      </w:r>
      <w:r>
        <w:rPr>
          <w:rFonts w:hint="eastAsia" w:cs="宋体" w:asciiTheme="minorEastAsia" w:hAnsiTheme="minorEastAsia" w:eastAsiaTheme="minorEastAsia"/>
          <w:bCs/>
          <w:color w:val="auto"/>
          <w:sz w:val="22"/>
          <w:szCs w:val="22"/>
          <w:highlight w:val="none"/>
        </w:rPr>
        <w:t>应急预案</w:t>
      </w:r>
    </w:p>
    <w:p w14:paraId="6E84C5BF">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10</w:t>
      </w:r>
      <w:r>
        <w:rPr>
          <w:rFonts w:hint="eastAsia" w:cs="宋体" w:asciiTheme="minorEastAsia" w:hAnsiTheme="minorEastAsia" w:eastAsiaTheme="minorEastAsia"/>
          <w:bCs/>
          <w:color w:val="auto"/>
          <w:sz w:val="22"/>
          <w:szCs w:val="22"/>
          <w:highlight w:val="none"/>
        </w:rPr>
        <w:t>服务质量及安全保障措施</w:t>
      </w:r>
    </w:p>
    <w:p w14:paraId="65C03FE4">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11</w:t>
      </w:r>
      <w:r>
        <w:rPr>
          <w:rFonts w:hint="eastAsia" w:cs="宋体" w:asciiTheme="minorEastAsia" w:hAnsiTheme="minorEastAsia" w:eastAsiaTheme="minorEastAsia"/>
          <w:bCs/>
          <w:color w:val="auto"/>
          <w:sz w:val="22"/>
          <w:szCs w:val="22"/>
          <w:highlight w:val="none"/>
        </w:rPr>
        <w:t>队伍建设</w:t>
      </w:r>
    </w:p>
    <w:p w14:paraId="58666A15">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12</w:t>
      </w:r>
      <w:r>
        <w:rPr>
          <w:rFonts w:hint="eastAsia" w:cs="宋体" w:asciiTheme="minorEastAsia" w:hAnsiTheme="minorEastAsia" w:eastAsiaTheme="minorEastAsia"/>
          <w:bCs/>
          <w:color w:val="auto"/>
          <w:sz w:val="22"/>
          <w:szCs w:val="22"/>
          <w:highlight w:val="none"/>
        </w:rPr>
        <w:t>类似业绩</w:t>
      </w:r>
    </w:p>
    <w:p w14:paraId="66238C9C">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13</w:t>
      </w:r>
      <w:r>
        <w:rPr>
          <w:rFonts w:hint="eastAsia" w:cs="宋体" w:asciiTheme="minorEastAsia" w:hAnsiTheme="minorEastAsia" w:eastAsiaTheme="minorEastAsia"/>
          <w:bCs/>
          <w:color w:val="auto"/>
          <w:sz w:val="22"/>
          <w:szCs w:val="22"/>
          <w:highlight w:val="none"/>
        </w:rPr>
        <w:t>法定代表人身份证明书</w:t>
      </w:r>
    </w:p>
    <w:p w14:paraId="52161FD2">
      <w:pPr>
        <w:shd w:val="clear"/>
        <w:wordWrap w:val="0"/>
        <w:spacing w:line="360" w:lineRule="auto"/>
        <w:ind w:left="502"/>
        <w:jc w:val="left"/>
        <w:rPr>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14</w:t>
      </w:r>
      <w:r>
        <w:rPr>
          <w:rFonts w:hint="eastAsia" w:cs="宋体" w:asciiTheme="minorEastAsia" w:hAnsiTheme="minorEastAsia" w:eastAsiaTheme="minorEastAsia"/>
          <w:bCs/>
          <w:color w:val="auto"/>
          <w:sz w:val="22"/>
          <w:szCs w:val="22"/>
          <w:highlight w:val="none"/>
        </w:rPr>
        <w:t>法定代表人授权委托书</w:t>
      </w:r>
    </w:p>
    <w:p w14:paraId="4C9DD6BF">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15</w:t>
      </w:r>
      <w:r>
        <w:rPr>
          <w:rFonts w:hint="eastAsia" w:cs="宋体" w:asciiTheme="minorEastAsia" w:hAnsiTheme="minorEastAsia" w:eastAsiaTheme="minorEastAsia"/>
          <w:bCs/>
          <w:color w:val="auto"/>
          <w:sz w:val="22"/>
          <w:szCs w:val="22"/>
          <w:highlight w:val="none"/>
        </w:rPr>
        <w:t>投标人具备参加政府采购活动条件承诺书</w:t>
      </w:r>
    </w:p>
    <w:p w14:paraId="71D805F7">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16</w:t>
      </w:r>
      <w:r>
        <w:rPr>
          <w:rFonts w:hint="eastAsia" w:cs="宋体" w:asciiTheme="minorEastAsia" w:hAnsiTheme="minorEastAsia" w:eastAsiaTheme="minorEastAsia"/>
          <w:bCs/>
          <w:color w:val="auto"/>
          <w:sz w:val="22"/>
          <w:szCs w:val="22"/>
          <w:highlight w:val="none"/>
        </w:rPr>
        <w:t>中小企业声明函</w:t>
      </w:r>
    </w:p>
    <w:p w14:paraId="6BA4BD78">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17</w:t>
      </w:r>
      <w:r>
        <w:rPr>
          <w:rFonts w:hint="eastAsia" w:cs="宋体" w:asciiTheme="minorEastAsia" w:hAnsiTheme="minorEastAsia" w:eastAsiaTheme="minorEastAsia"/>
          <w:bCs/>
          <w:color w:val="auto"/>
          <w:sz w:val="22"/>
          <w:szCs w:val="22"/>
          <w:highlight w:val="none"/>
        </w:rPr>
        <w:t>残疾人福利性单位声明函</w:t>
      </w:r>
    </w:p>
    <w:p w14:paraId="7179285B">
      <w:pPr>
        <w:shd w:val="clear"/>
        <w:wordWrap w:val="0"/>
        <w:spacing w:line="360" w:lineRule="auto"/>
        <w:ind w:left="502"/>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17.</w:t>
      </w:r>
      <w:r>
        <w:rPr>
          <w:rFonts w:hint="eastAsia" w:cs="宋体" w:asciiTheme="minorEastAsia" w:hAnsiTheme="minorEastAsia" w:eastAsiaTheme="minorEastAsia"/>
          <w:bCs/>
          <w:color w:val="auto"/>
          <w:sz w:val="22"/>
          <w:szCs w:val="22"/>
          <w:highlight w:val="none"/>
          <w:lang w:val="en-US" w:eastAsia="zh-CN"/>
        </w:rPr>
        <w:t>18</w:t>
      </w:r>
      <w:r>
        <w:rPr>
          <w:rFonts w:hint="eastAsia" w:cs="宋体" w:asciiTheme="minorEastAsia" w:hAnsiTheme="minorEastAsia" w:eastAsiaTheme="minorEastAsia"/>
          <w:bCs/>
          <w:color w:val="auto"/>
          <w:sz w:val="22"/>
          <w:szCs w:val="22"/>
          <w:highlight w:val="none"/>
        </w:rPr>
        <w:t>构成投标文件</w:t>
      </w:r>
      <w:r>
        <w:rPr>
          <w:rFonts w:hint="eastAsia" w:cs="宋体" w:asciiTheme="minorEastAsia" w:hAnsiTheme="minorEastAsia" w:eastAsiaTheme="minorEastAsia"/>
          <w:bCs/>
          <w:color w:val="auto"/>
          <w:sz w:val="22"/>
          <w:szCs w:val="22"/>
          <w:highlight w:val="none"/>
          <w:lang w:eastAsia="zh-CN"/>
        </w:rPr>
        <w:t>的其他</w:t>
      </w:r>
      <w:r>
        <w:rPr>
          <w:rFonts w:hint="eastAsia" w:cs="宋体" w:asciiTheme="minorEastAsia" w:hAnsiTheme="minorEastAsia" w:eastAsiaTheme="minorEastAsia"/>
          <w:bCs/>
          <w:color w:val="auto"/>
          <w:sz w:val="22"/>
          <w:szCs w:val="22"/>
          <w:highlight w:val="none"/>
        </w:rPr>
        <w:t>资料</w:t>
      </w:r>
    </w:p>
    <w:p w14:paraId="3B69E52A">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405" w:name="_Toc18287387"/>
      <w:bookmarkStart w:id="406" w:name="_Toc14603876"/>
      <w:bookmarkStart w:id="407" w:name="_Toc489197826"/>
      <w:bookmarkStart w:id="408" w:name="_Toc30559"/>
      <w:bookmarkStart w:id="409" w:name="_Toc24790"/>
      <w:bookmarkStart w:id="410" w:name="_Toc25477"/>
      <w:bookmarkStart w:id="411" w:name="_Toc3538"/>
      <w:bookmarkStart w:id="412" w:name="_Toc13116"/>
      <w:bookmarkStart w:id="413" w:name="_Toc489145722"/>
      <w:r>
        <w:rPr>
          <w:rFonts w:hint="eastAsia" w:ascii="黑体" w:hAnsi="黑体" w:eastAsia="黑体" w:cs="黑体"/>
          <w:bCs/>
          <w:color w:val="auto"/>
          <w:sz w:val="22"/>
          <w:szCs w:val="22"/>
          <w:highlight w:val="none"/>
        </w:rPr>
        <w:t>18.投标文件的格式要求</w:t>
      </w:r>
      <w:bookmarkEnd w:id="405"/>
      <w:bookmarkEnd w:id="406"/>
      <w:bookmarkEnd w:id="407"/>
      <w:bookmarkEnd w:id="408"/>
      <w:bookmarkEnd w:id="409"/>
      <w:bookmarkEnd w:id="410"/>
      <w:bookmarkEnd w:id="411"/>
      <w:bookmarkEnd w:id="412"/>
      <w:bookmarkEnd w:id="413"/>
    </w:p>
    <w:p w14:paraId="337B686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投标人应按第四章《投标文件格式》提供的格式完整地填写，未按招标文件规定格式填写的投标文件按无效投标处理。</w:t>
      </w:r>
    </w:p>
    <w:p w14:paraId="06943993">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414" w:name="_Toc489145723"/>
      <w:bookmarkStart w:id="415" w:name="_Toc7045"/>
      <w:bookmarkStart w:id="416" w:name="_Toc23204"/>
      <w:bookmarkStart w:id="417" w:name="_Toc4206"/>
      <w:bookmarkStart w:id="418" w:name="_Toc18287388"/>
      <w:bookmarkStart w:id="419" w:name="_Toc18909"/>
      <w:bookmarkStart w:id="420" w:name="_Toc32165"/>
      <w:bookmarkStart w:id="421" w:name="_Toc489197827"/>
      <w:bookmarkStart w:id="422" w:name="_Toc14603877"/>
      <w:r>
        <w:rPr>
          <w:rFonts w:hint="eastAsia" w:ascii="黑体" w:hAnsi="黑体" w:eastAsia="黑体" w:cs="黑体"/>
          <w:bCs/>
          <w:color w:val="auto"/>
          <w:sz w:val="22"/>
          <w:szCs w:val="22"/>
          <w:highlight w:val="none"/>
        </w:rPr>
        <w:t>19.投标有效期</w:t>
      </w:r>
      <w:bookmarkEnd w:id="414"/>
      <w:bookmarkEnd w:id="415"/>
      <w:bookmarkEnd w:id="416"/>
      <w:bookmarkEnd w:id="417"/>
      <w:bookmarkEnd w:id="418"/>
      <w:bookmarkEnd w:id="419"/>
      <w:bookmarkEnd w:id="420"/>
      <w:bookmarkEnd w:id="421"/>
      <w:bookmarkEnd w:id="422"/>
    </w:p>
    <w:p w14:paraId="2121DE03">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bookmarkStart w:id="423" w:name="_Toc296602439"/>
      <w:bookmarkStart w:id="424" w:name="_Toc246996194"/>
      <w:bookmarkStart w:id="425" w:name="_Toc179632567"/>
      <w:bookmarkStart w:id="426" w:name="_Toc246996937"/>
      <w:bookmarkStart w:id="427" w:name="_Toc144974517"/>
      <w:bookmarkStart w:id="428" w:name="_Toc247085708"/>
      <w:bookmarkStart w:id="429" w:name="_Toc152045549"/>
      <w:bookmarkStart w:id="430" w:name="_Toc152042325"/>
      <w:r>
        <w:rPr>
          <w:rFonts w:hint="eastAsia" w:cs="宋体" w:asciiTheme="minorEastAsia" w:hAnsiTheme="minorEastAsia" w:eastAsiaTheme="minorEastAsia"/>
          <w:bCs/>
          <w:color w:val="auto"/>
          <w:sz w:val="22"/>
          <w:szCs w:val="22"/>
          <w:highlight w:val="none"/>
        </w:rPr>
        <w:t>19.1投标人须在《投标人须知前附表》规定的投标文件有效期内承诺投标文件有效，在此期间投标人不得要求撤销或修改其投标文件。若投标人未按照《投标人须知前附表》规定的投标文件有效期进行承诺，其投标文件按无效投标处理。</w:t>
      </w:r>
      <w:bookmarkEnd w:id="423"/>
      <w:bookmarkEnd w:id="424"/>
      <w:bookmarkEnd w:id="425"/>
      <w:bookmarkEnd w:id="426"/>
      <w:bookmarkEnd w:id="427"/>
      <w:bookmarkEnd w:id="428"/>
      <w:bookmarkEnd w:id="429"/>
      <w:bookmarkEnd w:id="430"/>
    </w:p>
    <w:p w14:paraId="35F9E96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19.2 因特殊情况需要延长投标文件有效期的，采购代理机构以书面形式通知所有投标人延长有效期。投标人同意延长的，不得要求或被允许修改或撤销其投标文件；投标人拒绝延长的，其投标文件失效，投标人应赔付对采购人造成的损失。</w:t>
      </w:r>
    </w:p>
    <w:p w14:paraId="47602BA3">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431" w:name="_Toc14603878"/>
      <w:bookmarkStart w:id="432" w:name="_Toc489145724"/>
      <w:bookmarkStart w:id="433" w:name="_Toc14882"/>
      <w:bookmarkStart w:id="434" w:name="_Toc489197828"/>
      <w:bookmarkStart w:id="435" w:name="_Toc19323"/>
      <w:bookmarkStart w:id="436" w:name="_Toc23470"/>
      <w:bookmarkStart w:id="437" w:name="_Toc18287389"/>
      <w:bookmarkStart w:id="438" w:name="_Toc22973"/>
      <w:bookmarkStart w:id="439" w:name="_Toc18954"/>
      <w:r>
        <w:rPr>
          <w:rFonts w:hint="eastAsia" w:ascii="黑体" w:hAnsi="黑体" w:eastAsia="黑体" w:cs="黑体"/>
          <w:bCs/>
          <w:color w:val="auto"/>
          <w:sz w:val="22"/>
          <w:szCs w:val="22"/>
          <w:highlight w:val="none"/>
        </w:rPr>
        <w:t>20.投标保证金</w:t>
      </w:r>
      <w:bookmarkEnd w:id="431"/>
      <w:bookmarkEnd w:id="432"/>
      <w:bookmarkEnd w:id="433"/>
      <w:bookmarkEnd w:id="434"/>
      <w:bookmarkEnd w:id="435"/>
      <w:bookmarkEnd w:id="436"/>
      <w:bookmarkEnd w:id="437"/>
      <w:bookmarkEnd w:id="438"/>
      <w:bookmarkEnd w:id="439"/>
    </w:p>
    <w:p w14:paraId="18B76531">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bookmarkStart w:id="440" w:name="_Toc5740"/>
      <w:bookmarkStart w:id="441" w:name="_Toc489145725"/>
      <w:bookmarkStart w:id="442" w:name="_Toc14603879"/>
      <w:bookmarkStart w:id="443" w:name="_Toc19651"/>
      <w:bookmarkStart w:id="444" w:name="_Toc3275"/>
      <w:bookmarkStart w:id="445" w:name="_Toc18287390"/>
      <w:bookmarkStart w:id="446" w:name="_Toc489197829"/>
      <w:r>
        <w:rPr>
          <w:rFonts w:hint="eastAsia" w:cs="宋体" w:asciiTheme="minorEastAsia" w:hAnsiTheme="minorEastAsia" w:eastAsiaTheme="minorEastAsia"/>
          <w:bCs/>
          <w:color w:val="auto"/>
          <w:sz w:val="22"/>
          <w:szCs w:val="22"/>
          <w:highlight w:val="none"/>
        </w:rPr>
        <w:t>该项目无需缴纳投标保证金</w:t>
      </w:r>
    </w:p>
    <w:p w14:paraId="1FBE0A52">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447" w:name="_Toc137"/>
      <w:bookmarkStart w:id="448" w:name="_Toc15251"/>
      <w:r>
        <w:rPr>
          <w:rFonts w:hint="eastAsia" w:ascii="黑体" w:hAnsi="黑体" w:eastAsia="黑体" w:cs="黑体"/>
          <w:bCs/>
          <w:color w:val="auto"/>
          <w:sz w:val="22"/>
          <w:szCs w:val="22"/>
          <w:highlight w:val="none"/>
        </w:rPr>
        <w:t>21.投标文件的编制</w:t>
      </w:r>
      <w:bookmarkEnd w:id="440"/>
      <w:bookmarkEnd w:id="441"/>
      <w:bookmarkEnd w:id="442"/>
      <w:bookmarkEnd w:id="443"/>
      <w:bookmarkEnd w:id="444"/>
      <w:bookmarkEnd w:id="445"/>
      <w:bookmarkEnd w:id="446"/>
      <w:bookmarkEnd w:id="447"/>
      <w:bookmarkEnd w:id="448"/>
      <w:bookmarkStart w:id="449" w:name="_Toc296602442"/>
    </w:p>
    <w:p w14:paraId="10F9A68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21.1电子投标文件应使用《云南省政府采购投标文件编制系统》制作（电子投标文件格式为*.ZCTBJ）。</w:t>
      </w:r>
    </w:p>
    <w:p w14:paraId="6C2E222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21.2如投标人提交的</w:t>
      </w:r>
      <w:r>
        <w:rPr>
          <w:rFonts w:hint="eastAsia" w:cs="宋体" w:asciiTheme="minorEastAsia" w:hAnsiTheme="minorEastAsia" w:eastAsiaTheme="minorEastAsia"/>
          <w:bCs/>
          <w:color w:val="auto"/>
          <w:kern w:val="0"/>
          <w:sz w:val="22"/>
          <w:szCs w:val="22"/>
          <w:highlight w:val="none"/>
        </w:rPr>
        <w:t>电子投标文件</w:t>
      </w:r>
      <w:r>
        <w:rPr>
          <w:rFonts w:hint="eastAsia" w:cs="宋体" w:asciiTheme="minorEastAsia" w:hAnsiTheme="minorEastAsia" w:eastAsiaTheme="minorEastAsia"/>
          <w:bCs/>
          <w:color w:val="auto"/>
          <w:sz w:val="22"/>
          <w:szCs w:val="22"/>
          <w:highlight w:val="none"/>
        </w:rPr>
        <w:t>不符合要求或开标时无法读取导入或解密，其投标文件将不予受理。</w:t>
      </w:r>
    </w:p>
    <w:p w14:paraId="5C5A6B8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21.3投标文件中提供的资料（包括扫描件）、关键内容必须清晰可辨，若出现字迹潦草、表达不清、未按要求填写而导致非唯一理解，视为未实质性响应招标文件，投标人投标文件将按无效处理</w:t>
      </w:r>
      <w:bookmarkEnd w:id="449"/>
      <w:r>
        <w:rPr>
          <w:rFonts w:hint="eastAsia" w:cs="宋体" w:asciiTheme="minorEastAsia" w:hAnsiTheme="minorEastAsia" w:eastAsiaTheme="minorEastAsia"/>
          <w:bCs/>
          <w:color w:val="auto"/>
          <w:sz w:val="22"/>
          <w:szCs w:val="22"/>
          <w:highlight w:val="none"/>
        </w:rPr>
        <w:t>。</w:t>
      </w:r>
    </w:p>
    <w:p w14:paraId="75359B85">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450" w:name="_Toc16807"/>
      <w:bookmarkStart w:id="451" w:name="_Toc17022"/>
      <w:bookmarkStart w:id="452" w:name="_Toc489145726"/>
      <w:bookmarkStart w:id="453" w:name="_Toc18287391"/>
      <w:bookmarkStart w:id="454" w:name="_Toc22669"/>
      <w:bookmarkStart w:id="455" w:name="_Toc890"/>
      <w:bookmarkStart w:id="456" w:name="_Toc489197830"/>
      <w:bookmarkStart w:id="457" w:name="_Toc14603880"/>
      <w:bookmarkStart w:id="458" w:name="_Toc19714"/>
      <w:r>
        <w:rPr>
          <w:rFonts w:hint="eastAsia" w:ascii="黑体" w:hAnsi="黑体" w:eastAsia="黑体" w:cs="黑体"/>
          <w:bCs/>
          <w:color w:val="auto"/>
          <w:sz w:val="22"/>
          <w:szCs w:val="22"/>
          <w:highlight w:val="none"/>
        </w:rPr>
        <w:t>22.投标报价和报价货币</w:t>
      </w:r>
      <w:bookmarkEnd w:id="450"/>
      <w:bookmarkEnd w:id="451"/>
      <w:bookmarkEnd w:id="452"/>
      <w:bookmarkEnd w:id="453"/>
      <w:bookmarkEnd w:id="454"/>
      <w:bookmarkEnd w:id="455"/>
      <w:bookmarkEnd w:id="456"/>
      <w:bookmarkEnd w:id="457"/>
      <w:bookmarkEnd w:id="458"/>
      <w:bookmarkStart w:id="459" w:name="_Toc86124056"/>
      <w:bookmarkStart w:id="460" w:name="_Toc383175287"/>
      <w:bookmarkStart w:id="461" w:name="_Toc432194837"/>
      <w:bookmarkStart w:id="462" w:name="_Toc329810197"/>
      <w:bookmarkStart w:id="463" w:name="_Toc383175063"/>
      <w:bookmarkStart w:id="464" w:name="_Toc470507051"/>
      <w:bookmarkStart w:id="465" w:name="_Toc383175485"/>
      <w:bookmarkStart w:id="466" w:name="_Toc432106486"/>
      <w:bookmarkStart w:id="467" w:name="_Toc482343737"/>
    </w:p>
    <w:p w14:paraId="3C46A83B">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22.1投标</w:t>
      </w:r>
      <w:bookmarkEnd w:id="459"/>
      <w:r>
        <w:rPr>
          <w:rFonts w:hint="eastAsia" w:cs="宋体" w:asciiTheme="minorEastAsia" w:hAnsiTheme="minorEastAsia" w:eastAsiaTheme="minorEastAsia"/>
          <w:bCs/>
          <w:color w:val="auto"/>
          <w:sz w:val="22"/>
          <w:szCs w:val="22"/>
          <w:highlight w:val="none"/>
        </w:rPr>
        <w:t>人</w:t>
      </w:r>
      <w:bookmarkEnd w:id="460"/>
      <w:bookmarkEnd w:id="461"/>
      <w:bookmarkEnd w:id="462"/>
      <w:bookmarkEnd w:id="463"/>
      <w:bookmarkEnd w:id="464"/>
      <w:bookmarkEnd w:id="465"/>
      <w:bookmarkEnd w:id="466"/>
      <w:bookmarkEnd w:id="467"/>
      <w:r>
        <w:rPr>
          <w:rFonts w:hint="eastAsia" w:cs="宋体" w:asciiTheme="minorEastAsia" w:hAnsiTheme="minorEastAsia" w:eastAsiaTheme="minorEastAsia"/>
          <w:bCs/>
          <w:color w:val="auto"/>
          <w:sz w:val="22"/>
          <w:szCs w:val="22"/>
          <w:highlight w:val="none"/>
        </w:rPr>
        <w:t>必须对所投标段内所有内容作出完整唯一的投标报价，不得缺项、漏项，否则投标文件将按无效处理。</w:t>
      </w:r>
    </w:p>
    <w:p w14:paraId="6601C39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22.2投标报价指投标人依据招标文件的要求及有关资料，执行国家或行业现行技术、经济标准、定额及规范，根据现行市场价格自行测算出满足采购要求的货物、工程或者服务费用及必要的保险费用和各项税金等所有费用的总和。</w:t>
      </w:r>
    </w:p>
    <w:p w14:paraId="4C6439D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22.3投标报价应符合市场行情并能保证投标人完成履行合同所需的一切工作。合同一旦签订，此价格在合同实施期间将不因市场价格等的变化而调整。项目特别要求提供备品备件的，此部分价格应包含在上述价格中。</w:t>
      </w:r>
    </w:p>
    <w:p w14:paraId="6B6A4C6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22.4无论分项价格是否填报完全，投标报价将被视为已经包含了所有分项价格以及与项目相关的所有货物、工程或者服务费用。由于投标人分项报价填报不完整、不清楚或存在</w:t>
      </w:r>
      <w:r>
        <w:rPr>
          <w:rFonts w:hint="eastAsia" w:cs="宋体" w:asciiTheme="minorEastAsia" w:hAnsiTheme="minorEastAsia" w:eastAsiaTheme="minorEastAsia"/>
          <w:bCs/>
          <w:color w:val="auto"/>
          <w:sz w:val="22"/>
          <w:szCs w:val="22"/>
          <w:highlight w:val="none"/>
          <w:lang w:eastAsia="zh-CN"/>
        </w:rPr>
        <w:t>其他任何</w:t>
      </w:r>
      <w:r>
        <w:rPr>
          <w:rFonts w:hint="eastAsia" w:cs="宋体" w:asciiTheme="minorEastAsia" w:hAnsiTheme="minorEastAsia" w:eastAsiaTheme="minorEastAsia"/>
          <w:bCs/>
          <w:color w:val="auto"/>
          <w:sz w:val="22"/>
          <w:szCs w:val="22"/>
          <w:highlight w:val="none"/>
        </w:rPr>
        <w:t>失误所导致的任何不利后果均由投标人自行承担。</w:t>
      </w:r>
    </w:p>
    <w:p w14:paraId="17CC4022">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22.5除招标文件中指定的标准附件和专用工具外，投标人应提供货物正常运行和常规保养所需的全套标准附件、专用工具和消耗品。投标人在投标文件中需列出这些附件和工具的数量和单价的清单，这些附件和工具的报价的总值需计入投标报价中。</w:t>
      </w:r>
    </w:p>
    <w:p w14:paraId="1CAAFFC6">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22.6备品备件要求：见《投标人须知前附表》。</w:t>
      </w:r>
    </w:p>
    <w:p w14:paraId="35F9BBA8">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22.7投标人不得哄抬报价，也不应低于成本价（或进价）报价。评标委员会认为投标人的报价明显低于其他通过符合性审</w:t>
      </w:r>
      <w:r>
        <w:rPr>
          <w:rFonts w:hint="eastAsia" w:cs="宋体" w:asciiTheme="minorEastAsia" w:hAnsiTheme="minorEastAsia" w:eastAsiaTheme="minorEastAsia"/>
          <w:bCs/>
          <w:color w:val="auto"/>
          <w:sz w:val="22"/>
          <w:szCs w:val="22"/>
          <w:highlight w:val="none"/>
          <w:lang w:eastAsia="zh-CN"/>
        </w:rPr>
        <w:t>查的</w:t>
      </w:r>
      <w:r>
        <w:rPr>
          <w:rFonts w:hint="eastAsia" w:cs="宋体" w:asciiTheme="minorEastAsia" w:hAnsiTheme="minorEastAsia" w:eastAsiaTheme="minorEastAsia"/>
          <w:bCs/>
          <w:color w:val="auto"/>
          <w:sz w:val="22"/>
          <w:szCs w:val="22"/>
          <w:highlight w:val="none"/>
        </w:rPr>
        <w:t>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3F1506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22.8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72F88BB3">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22.9报价货币为人民币。</w:t>
      </w:r>
      <w:bookmarkStart w:id="468" w:name="_Toc1213"/>
      <w:bookmarkStart w:id="469" w:name="_Toc21924"/>
      <w:bookmarkStart w:id="470" w:name="_Toc489197831"/>
      <w:bookmarkStart w:id="471" w:name="_Toc488633607"/>
      <w:bookmarkStart w:id="472" w:name="_Toc489145727"/>
      <w:bookmarkStart w:id="473" w:name="_Toc14603881"/>
      <w:bookmarkStart w:id="474" w:name="_Toc18287392"/>
      <w:bookmarkStart w:id="475" w:name="_Toc2075"/>
    </w:p>
    <w:p w14:paraId="79348113">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476" w:name="_Toc404"/>
      <w:bookmarkStart w:id="477" w:name="_Toc5522"/>
      <w:r>
        <w:rPr>
          <w:rFonts w:hint="eastAsia" w:ascii="黑体" w:hAnsi="黑体" w:eastAsia="黑体" w:cs="黑体"/>
          <w:b/>
          <w:bCs w:val="0"/>
          <w:color w:val="auto"/>
          <w:sz w:val="22"/>
          <w:szCs w:val="22"/>
          <w:highlight w:val="none"/>
        </w:rPr>
        <w:t>四、投标</w:t>
      </w:r>
      <w:bookmarkEnd w:id="468"/>
      <w:bookmarkEnd w:id="469"/>
      <w:bookmarkEnd w:id="470"/>
      <w:bookmarkEnd w:id="471"/>
      <w:bookmarkEnd w:id="472"/>
      <w:bookmarkEnd w:id="473"/>
      <w:bookmarkEnd w:id="474"/>
      <w:bookmarkEnd w:id="475"/>
      <w:bookmarkEnd w:id="476"/>
      <w:bookmarkEnd w:id="477"/>
    </w:p>
    <w:p w14:paraId="469BE23E">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478" w:name="_Toc1242"/>
      <w:bookmarkStart w:id="479" w:name="_Toc14603882"/>
      <w:bookmarkStart w:id="480" w:name="_Toc489197832"/>
      <w:bookmarkStart w:id="481" w:name="_Toc27569"/>
      <w:bookmarkStart w:id="482" w:name="_Toc18287393"/>
      <w:bookmarkStart w:id="483" w:name="_Toc1948"/>
      <w:bookmarkStart w:id="484" w:name="_Toc22359"/>
      <w:bookmarkStart w:id="485" w:name="_Toc32520"/>
      <w:bookmarkStart w:id="486" w:name="_Toc489145728"/>
      <w:r>
        <w:rPr>
          <w:rFonts w:hint="eastAsia" w:ascii="黑体" w:hAnsi="黑体" w:eastAsia="黑体" w:cs="黑体"/>
          <w:bCs/>
          <w:color w:val="auto"/>
          <w:sz w:val="22"/>
          <w:szCs w:val="22"/>
          <w:highlight w:val="none"/>
        </w:rPr>
        <w:t>23. 投标文</w:t>
      </w:r>
      <w:bookmarkStart w:id="487" w:name="_Toc296602443"/>
      <w:bookmarkStart w:id="488" w:name="_Toc480817646"/>
      <w:bookmarkStart w:id="489" w:name="_Toc401342137"/>
      <w:bookmarkStart w:id="490" w:name="_Toc378239354"/>
      <w:bookmarkStart w:id="491" w:name="_Toc378239173"/>
      <w:bookmarkStart w:id="492" w:name="_Toc378239081"/>
      <w:bookmarkStart w:id="493" w:name="_Toc4707"/>
      <w:r>
        <w:rPr>
          <w:rFonts w:hint="eastAsia" w:ascii="黑体" w:hAnsi="黑体" w:eastAsia="黑体" w:cs="黑体"/>
          <w:bCs/>
          <w:color w:val="auto"/>
          <w:sz w:val="22"/>
          <w:szCs w:val="22"/>
          <w:highlight w:val="none"/>
        </w:rPr>
        <w:t>件的密封</w:t>
      </w:r>
      <w:bookmarkEnd w:id="487"/>
      <w:bookmarkEnd w:id="488"/>
      <w:bookmarkEnd w:id="489"/>
      <w:bookmarkEnd w:id="490"/>
      <w:bookmarkEnd w:id="491"/>
      <w:bookmarkEnd w:id="492"/>
      <w:bookmarkEnd w:id="493"/>
      <w:r>
        <w:rPr>
          <w:rFonts w:hint="eastAsia" w:ascii="黑体" w:hAnsi="黑体" w:eastAsia="黑体" w:cs="黑体"/>
          <w:bCs/>
          <w:color w:val="auto"/>
          <w:sz w:val="22"/>
          <w:szCs w:val="22"/>
          <w:highlight w:val="none"/>
        </w:rPr>
        <w:t>和</w:t>
      </w:r>
      <w:bookmarkStart w:id="494" w:name="_Toc179632574"/>
      <w:bookmarkStart w:id="495" w:name="_Toc152042332"/>
      <w:bookmarkStart w:id="496" w:name="_Toc246996943"/>
      <w:bookmarkStart w:id="497" w:name="_Toc247085714"/>
      <w:bookmarkStart w:id="498" w:name="_Toc152045556"/>
      <w:bookmarkStart w:id="499" w:name="_Toc296602444"/>
      <w:bookmarkStart w:id="500" w:name="_Toc144974524"/>
      <w:bookmarkStart w:id="501" w:name="_Toc246996200"/>
      <w:r>
        <w:rPr>
          <w:rFonts w:hint="eastAsia" w:ascii="黑体" w:hAnsi="黑体" w:eastAsia="黑体" w:cs="黑体"/>
          <w:bCs/>
          <w:color w:val="auto"/>
          <w:sz w:val="22"/>
          <w:szCs w:val="22"/>
          <w:highlight w:val="none"/>
        </w:rPr>
        <w:t>标记</w:t>
      </w:r>
      <w:bookmarkEnd w:id="478"/>
      <w:bookmarkEnd w:id="479"/>
      <w:bookmarkEnd w:id="480"/>
      <w:bookmarkEnd w:id="481"/>
      <w:bookmarkEnd w:id="482"/>
      <w:bookmarkEnd w:id="483"/>
      <w:bookmarkEnd w:id="484"/>
      <w:bookmarkEnd w:id="485"/>
      <w:bookmarkEnd w:id="486"/>
    </w:p>
    <w:bookmarkEnd w:id="494"/>
    <w:bookmarkEnd w:id="495"/>
    <w:bookmarkEnd w:id="496"/>
    <w:bookmarkEnd w:id="497"/>
    <w:bookmarkEnd w:id="498"/>
    <w:bookmarkEnd w:id="499"/>
    <w:bookmarkEnd w:id="500"/>
    <w:bookmarkEnd w:id="501"/>
    <w:p w14:paraId="7211C879">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bookmarkStart w:id="502" w:name="_Toc152042333"/>
      <w:bookmarkStart w:id="503" w:name="_Toc246996944"/>
      <w:bookmarkStart w:id="504" w:name="_Toc144974525"/>
      <w:bookmarkStart w:id="505" w:name="_Toc247085715"/>
      <w:bookmarkStart w:id="506" w:name="_Toc152045557"/>
      <w:bookmarkStart w:id="507" w:name="_Toc246996201"/>
      <w:bookmarkStart w:id="508" w:name="_Toc179632575"/>
      <w:r>
        <w:rPr>
          <w:rFonts w:hint="eastAsia" w:cs="宋体" w:asciiTheme="minorEastAsia" w:hAnsiTheme="minorEastAsia" w:eastAsiaTheme="minorEastAsia"/>
          <w:bCs/>
          <w:color w:val="auto"/>
          <w:sz w:val="22"/>
          <w:szCs w:val="22"/>
          <w:highlight w:val="none"/>
        </w:rPr>
        <w:t>23.1投标文件的密封：智能化投标，不需密封，投标人应将通过政采云平台（https://www.zcygov.cn/）提交的电子投标文件进行加密及上传。</w:t>
      </w:r>
    </w:p>
    <w:p w14:paraId="08C104CD">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23.2逾期送达的投标文件，采购人、采购代理机构将拒收。</w:t>
      </w:r>
    </w:p>
    <w:p w14:paraId="1213CD01">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509" w:name="_Toc19665"/>
      <w:bookmarkStart w:id="510" w:name="_Toc489145729"/>
      <w:bookmarkStart w:id="511" w:name="_Toc23914"/>
      <w:bookmarkStart w:id="512" w:name="_Toc489197833"/>
      <w:bookmarkStart w:id="513" w:name="_Toc21644"/>
      <w:bookmarkStart w:id="514" w:name="_Toc20452"/>
      <w:bookmarkStart w:id="515" w:name="_Toc5671"/>
      <w:bookmarkStart w:id="516" w:name="_Toc18287394"/>
      <w:bookmarkStart w:id="517" w:name="_Toc14603883"/>
      <w:r>
        <w:rPr>
          <w:rFonts w:hint="eastAsia" w:ascii="黑体" w:hAnsi="黑体" w:eastAsia="黑体" w:cs="黑体"/>
          <w:bCs/>
          <w:color w:val="auto"/>
          <w:sz w:val="22"/>
          <w:szCs w:val="22"/>
          <w:highlight w:val="none"/>
        </w:rPr>
        <w:t>24. 投标文件的提交</w:t>
      </w:r>
      <w:bookmarkEnd w:id="509"/>
      <w:bookmarkEnd w:id="510"/>
      <w:bookmarkEnd w:id="511"/>
      <w:bookmarkEnd w:id="512"/>
      <w:bookmarkEnd w:id="513"/>
      <w:bookmarkEnd w:id="514"/>
      <w:bookmarkEnd w:id="515"/>
      <w:bookmarkEnd w:id="516"/>
      <w:bookmarkEnd w:id="517"/>
    </w:p>
    <w:p w14:paraId="0685119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bookmarkStart w:id="518" w:name="_Toc296602445"/>
      <w:r>
        <w:rPr>
          <w:rFonts w:hint="eastAsia" w:cs="宋体" w:asciiTheme="minorEastAsia" w:hAnsiTheme="minorEastAsia" w:eastAsiaTheme="minorEastAsia"/>
          <w:bCs/>
          <w:color w:val="auto"/>
          <w:sz w:val="22"/>
          <w:szCs w:val="22"/>
          <w:highlight w:val="none"/>
        </w:rPr>
        <w:t>24.1投标文件提</w:t>
      </w:r>
      <w:bookmarkEnd w:id="502"/>
      <w:bookmarkEnd w:id="503"/>
      <w:bookmarkEnd w:id="504"/>
      <w:bookmarkEnd w:id="505"/>
      <w:bookmarkEnd w:id="506"/>
      <w:bookmarkEnd w:id="507"/>
      <w:bookmarkEnd w:id="508"/>
      <w:bookmarkEnd w:id="518"/>
      <w:r>
        <w:rPr>
          <w:rFonts w:hint="eastAsia" w:cs="宋体" w:asciiTheme="minorEastAsia" w:hAnsiTheme="minorEastAsia" w:eastAsiaTheme="minorEastAsia"/>
          <w:bCs/>
          <w:color w:val="auto"/>
          <w:sz w:val="22"/>
          <w:szCs w:val="22"/>
          <w:highlight w:val="none"/>
        </w:rPr>
        <w:t>交截止时间、提交投标文件的地点：详见《投标人须知前附表》</w:t>
      </w:r>
    </w:p>
    <w:p w14:paraId="79D7819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24.2投标人应当在招标文件要求提交投标文件的截止时间前，将电子投标文件加密上传至政采云平台（https://www.zcygov.cn/）。任何单位和个人不得在开标前开启电子投标文件。</w:t>
      </w:r>
    </w:p>
    <w:p w14:paraId="4B4B822B">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24.3 逾期送达或者未按照招标文件要求加密的电子投标文件，采购人、采购代理机构将拒收。</w:t>
      </w:r>
    </w:p>
    <w:p w14:paraId="6C42692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24.4 除《投标人须知前附表》另有规定外，投标人所提交的投标文件不予退还。</w:t>
      </w:r>
    </w:p>
    <w:p w14:paraId="2670222A">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519" w:name="_Toc14603884"/>
      <w:bookmarkStart w:id="520" w:name="_Toc489145730"/>
      <w:bookmarkStart w:id="521" w:name="_Toc29061"/>
      <w:bookmarkStart w:id="522" w:name="_Toc26390"/>
      <w:bookmarkStart w:id="523" w:name="_Toc21550"/>
      <w:bookmarkStart w:id="524" w:name="_Toc2335"/>
      <w:bookmarkStart w:id="525" w:name="_Toc18287395"/>
      <w:bookmarkStart w:id="526" w:name="_Toc8712"/>
      <w:bookmarkStart w:id="527" w:name="_Toc489197834"/>
      <w:r>
        <w:rPr>
          <w:rFonts w:hint="eastAsia" w:ascii="黑体" w:hAnsi="黑体" w:eastAsia="黑体" w:cs="黑体"/>
          <w:bCs/>
          <w:color w:val="auto"/>
          <w:sz w:val="22"/>
          <w:szCs w:val="22"/>
          <w:highlight w:val="none"/>
        </w:rPr>
        <w:t>25. 投标文件的补充、</w:t>
      </w:r>
      <w:bookmarkStart w:id="528" w:name="_Toc144974526"/>
      <w:bookmarkStart w:id="529" w:name="_Toc246996945"/>
      <w:bookmarkStart w:id="530" w:name="_Toc152045558"/>
      <w:bookmarkStart w:id="531" w:name="_Toc152042334"/>
      <w:bookmarkStart w:id="532" w:name="_Toc247085716"/>
      <w:bookmarkStart w:id="533" w:name="_Toc179632576"/>
      <w:bookmarkStart w:id="534" w:name="_Toc246996202"/>
      <w:bookmarkStart w:id="535" w:name="_Toc296602446"/>
      <w:r>
        <w:rPr>
          <w:rFonts w:hint="eastAsia" w:ascii="黑体" w:hAnsi="黑体" w:eastAsia="黑体" w:cs="黑体"/>
          <w:bCs/>
          <w:color w:val="auto"/>
          <w:sz w:val="22"/>
          <w:szCs w:val="22"/>
          <w:highlight w:val="none"/>
        </w:rPr>
        <w:t>修改或者撤回</w:t>
      </w:r>
      <w:bookmarkEnd w:id="519"/>
      <w:bookmarkEnd w:id="520"/>
      <w:bookmarkEnd w:id="521"/>
      <w:bookmarkEnd w:id="522"/>
      <w:bookmarkEnd w:id="523"/>
      <w:bookmarkEnd w:id="524"/>
      <w:bookmarkEnd w:id="525"/>
      <w:bookmarkEnd w:id="526"/>
      <w:bookmarkEnd w:id="527"/>
    </w:p>
    <w:bookmarkEnd w:id="528"/>
    <w:bookmarkEnd w:id="529"/>
    <w:bookmarkEnd w:id="530"/>
    <w:bookmarkEnd w:id="531"/>
    <w:bookmarkEnd w:id="532"/>
    <w:bookmarkEnd w:id="533"/>
    <w:bookmarkEnd w:id="534"/>
    <w:bookmarkEnd w:id="535"/>
    <w:p w14:paraId="36E7C4E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在提交投标文件截止时间前，投标人可以补充、修改或者撤回已在网上提交的电子投标文件，无须书面形式通知采购人、采购代理机构。补充、修改的电子投标文件应按照《云南省政府采购投标文件编制系统》规定进行编制、密封、标记和提交。</w:t>
      </w:r>
    </w:p>
    <w:p w14:paraId="7D8B6459">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536" w:name="_Toc18287396"/>
      <w:bookmarkStart w:id="537" w:name="_Toc14603885"/>
      <w:bookmarkStart w:id="538" w:name="_Toc488633608"/>
      <w:bookmarkStart w:id="539" w:name="_Toc489197835"/>
      <w:bookmarkStart w:id="540" w:name="_Toc489145731"/>
      <w:bookmarkStart w:id="541" w:name="_Toc21365"/>
      <w:bookmarkStart w:id="542" w:name="_Toc16401"/>
      <w:bookmarkStart w:id="543" w:name="_Toc9184"/>
      <w:bookmarkStart w:id="544" w:name="_Toc5554"/>
      <w:bookmarkStart w:id="545" w:name="_Toc28829"/>
      <w:r>
        <w:rPr>
          <w:rFonts w:hint="eastAsia" w:ascii="黑体" w:hAnsi="黑体" w:eastAsia="黑体" w:cs="黑体"/>
          <w:b/>
          <w:bCs w:val="0"/>
          <w:color w:val="auto"/>
          <w:sz w:val="22"/>
          <w:szCs w:val="22"/>
          <w:highlight w:val="none"/>
        </w:rPr>
        <w:t>五、开标</w:t>
      </w:r>
      <w:bookmarkEnd w:id="536"/>
      <w:bookmarkEnd w:id="537"/>
      <w:bookmarkEnd w:id="538"/>
      <w:bookmarkEnd w:id="539"/>
      <w:bookmarkEnd w:id="540"/>
      <w:bookmarkEnd w:id="541"/>
      <w:bookmarkEnd w:id="542"/>
      <w:bookmarkEnd w:id="543"/>
      <w:bookmarkEnd w:id="544"/>
      <w:bookmarkEnd w:id="545"/>
    </w:p>
    <w:p w14:paraId="7911742A">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546" w:name="_Toc31982"/>
      <w:bookmarkStart w:id="547" w:name="_Toc23432"/>
      <w:bookmarkStart w:id="548" w:name="_Toc489197836"/>
      <w:bookmarkStart w:id="549" w:name="_Toc18287397"/>
      <w:bookmarkStart w:id="550" w:name="_Toc15384"/>
      <w:bookmarkStart w:id="551" w:name="_Toc29326"/>
      <w:bookmarkStart w:id="552" w:name="_Toc14603886"/>
      <w:bookmarkStart w:id="553" w:name="_Toc489145732"/>
      <w:bookmarkStart w:id="554" w:name="_Toc25701"/>
      <w:r>
        <w:rPr>
          <w:rFonts w:hint="eastAsia" w:ascii="黑体" w:hAnsi="黑体" w:eastAsia="黑体" w:cs="黑体"/>
          <w:bCs/>
          <w:color w:val="auto"/>
          <w:sz w:val="22"/>
          <w:szCs w:val="22"/>
          <w:highlight w:val="none"/>
        </w:rPr>
        <w:t>26. 开标</w:t>
      </w:r>
      <w:bookmarkEnd w:id="546"/>
      <w:bookmarkEnd w:id="547"/>
      <w:bookmarkEnd w:id="548"/>
      <w:bookmarkEnd w:id="549"/>
      <w:bookmarkEnd w:id="550"/>
      <w:bookmarkEnd w:id="551"/>
      <w:bookmarkEnd w:id="552"/>
      <w:bookmarkEnd w:id="553"/>
      <w:bookmarkEnd w:id="554"/>
    </w:p>
    <w:p w14:paraId="72B3C942">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bookmarkStart w:id="555" w:name="_Toc378239174"/>
      <w:bookmarkStart w:id="556" w:name="_Toc179632577"/>
      <w:bookmarkStart w:id="557" w:name="_Toc480817647"/>
      <w:bookmarkStart w:id="558" w:name="_Toc378239082"/>
      <w:bookmarkStart w:id="559" w:name="_Toc246996203"/>
      <w:bookmarkStart w:id="560" w:name="_Toc247085717"/>
      <w:bookmarkStart w:id="561" w:name="_Toc29395"/>
      <w:bookmarkStart w:id="562" w:name="_Toc246996946"/>
      <w:bookmarkStart w:id="563" w:name="_Toc144974527"/>
      <w:bookmarkStart w:id="564" w:name="_Toc296602447"/>
      <w:bookmarkStart w:id="565" w:name="_Toc378239355"/>
      <w:bookmarkStart w:id="566" w:name="_Toc152042335"/>
      <w:bookmarkStart w:id="567" w:name="_Toc152045559"/>
      <w:bookmarkStart w:id="568" w:name="_Toc401342138"/>
      <w:r>
        <w:rPr>
          <w:rFonts w:hint="eastAsia" w:cs="宋体" w:asciiTheme="minorEastAsia" w:hAnsiTheme="minorEastAsia" w:eastAsiaTheme="minorEastAsia"/>
          <w:bCs/>
          <w:color w:val="auto"/>
          <w:sz w:val="22"/>
          <w:szCs w:val="22"/>
          <w:highlight w:val="none"/>
        </w:rPr>
        <w:t>26.1</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r>
        <w:rPr>
          <w:rFonts w:hint="eastAsia" w:cs="宋体" w:asciiTheme="minorEastAsia" w:hAnsiTheme="minorEastAsia" w:eastAsiaTheme="minorEastAsia"/>
          <w:bCs/>
          <w:color w:val="auto"/>
          <w:sz w:val="22"/>
          <w:szCs w:val="22"/>
          <w:highlight w:val="none"/>
        </w:rPr>
        <w:t>开</w:t>
      </w:r>
      <w:bookmarkStart w:id="569" w:name="_Toc247085718"/>
      <w:bookmarkStart w:id="570" w:name="_Toc179632578"/>
      <w:bookmarkStart w:id="571" w:name="_Toc152042336"/>
      <w:bookmarkStart w:id="572" w:name="_Toc296602448"/>
      <w:bookmarkStart w:id="573" w:name="_Toc246996204"/>
      <w:bookmarkStart w:id="574" w:name="_Toc246996947"/>
      <w:bookmarkStart w:id="575" w:name="_Toc144974528"/>
      <w:bookmarkStart w:id="576" w:name="_Toc152045560"/>
      <w:r>
        <w:rPr>
          <w:rFonts w:hint="eastAsia" w:cs="宋体" w:asciiTheme="minorEastAsia" w:hAnsiTheme="minorEastAsia" w:eastAsiaTheme="minorEastAsia"/>
          <w:bCs/>
          <w:color w:val="auto"/>
          <w:sz w:val="22"/>
          <w:szCs w:val="22"/>
          <w:highlight w:val="none"/>
        </w:rPr>
        <w:t>标将在招标文</w:t>
      </w:r>
      <w:bookmarkEnd w:id="569"/>
      <w:bookmarkEnd w:id="570"/>
      <w:bookmarkEnd w:id="571"/>
      <w:bookmarkEnd w:id="572"/>
      <w:bookmarkEnd w:id="573"/>
      <w:bookmarkEnd w:id="574"/>
      <w:bookmarkEnd w:id="575"/>
      <w:bookmarkEnd w:id="576"/>
      <w:r>
        <w:rPr>
          <w:rFonts w:hint="eastAsia" w:cs="宋体" w:asciiTheme="minorEastAsia" w:hAnsiTheme="minorEastAsia" w:eastAsiaTheme="minorEastAsia"/>
          <w:bCs/>
          <w:color w:val="auto"/>
          <w:sz w:val="22"/>
          <w:szCs w:val="22"/>
          <w:highlight w:val="none"/>
        </w:rPr>
        <w:t>件确定的提交电子投标文件截止时间的同一时间进行。开标地点为招标文件中预先确定的地点。</w:t>
      </w:r>
    </w:p>
    <w:p w14:paraId="559D607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26.2开标时，由采购人或者采购代理机构工作人员宣布投标人名称、投标价格和招标文件规定的需要宣布的其他内容。投标人不足3家的，不得开标。</w:t>
      </w:r>
    </w:p>
    <w:p w14:paraId="7D9D3EF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26.3投标人的法定代表人或委托代理人应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386AF673">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26.4如投标人代表未参加开标或未对开标过程和开标记录</w:t>
      </w:r>
      <w:r>
        <w:rPr>
          <w:rFonts w:hint="eastAsia" w:cs="宋体" w:asciiTheme="minorEastAsia" w:hAnsiTheme="minorEastAsia" w:eastAsiaTheme="minorEastAsia"/>
          <w:bCs/>
          <w:color w:val="auto"/>
          <w:sz w:val="22"/>
          <w:szCs w:val="22"/>
          <w:highlight w:val="none"/>
          <w:lang w:eastAsia="zh-CN"/>
        </w:rPr>
        <w:t>提出异议</w:t>
      </w:r>
      <w:r>
        <w:rPr>
          <w:rFonts w:hint="eastAsia" w:cs="宋体" w:asciiTheme="minorEastAsia" w:hAnsiTheme="minorEastAsia" w:eastAsiaTheme="minorEastAsia"/>
          <w:bCs/>
          <w:color w:val="auto"/>
          <w:sz w:val="22"/>
          <w:szCs w:val="22"/>
          <w:highlight w:val="none"/>
        </w:rPr>
        <w:t>，视同认可开标结果，由此产生的后果由投标人自行负责。</w:t>
      </w:r>
    </w:p>
    <w:p w14:paraId="67EC902C">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26.5 开标程序</w:t>
      </w:r>
    </w:p>
    <w:p w14:paraId="435F66D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（1）开标会由采购代理机构主持，主持人宣布开标会议开始；</w:t>
      </w:r>
    </w:p>
    <w:p w14:paraId="39610487">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（2）介绍参加开标会的人员；</w:t>
      </w:r>
    </w:p>
    <w:p w14:paraId="7F04D98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（3）开标时，电子投标文件开标顺序：按照交易平台自动提取所有投标人的顺序当众开标；</w:t>
      </w:r>
    </w:p>
    <w:p w14:paraId="40D84205">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（5）投标人代表、采购人代表、监标人、记录人等有关人员在开标记录上签字确认；</w:t>
      </w:r>
    </w:p>
    <w:p w14:paraId="2A1EB64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（6）宣布评标期间的有关事项；</w:t>
      </w:r>
    </w:p>
    <w:p w14:paraId="51FFD907">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（7）开标结束。</w:t>
      </w:r>
    </w:p>
    <w:p w14:paraId="4462F507">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26.6投标文件报价出现前后不一致的，按照下列规定修正：</w:t>
      </w:r>
    </w:p>
    <w:p w14:paraId="36A2192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1</w:t>
      </w:r>
      <w:r>
        <w:rPr>
          <w:rFonts w:hint="eastAsia" w:cs="宋体" w:asciiTheme="minorEastAsia" w:hAnsiTheme="minorEastAsia" w:eastAsiaTheme="minorEastAsia"/>
          <w:bCs/>
          <w:color w:val="auto"/>
          <w:sz w:val="22"/>
          <w:szCs w:val="22"/>
          <w:highlight w:val="none"/>
        </w:rPr>
        <w:t>）投标文件中开标一览表（报价表）内容与投标文件中相应内容不一致的，以开标一览表（报价表）为准；</w:t>
      </w:r>
    </w:p>
    <w:p w14:paraId="49108644">
      <w:pPr>
        <w:shd w:val="clear"/>
        <w:wordWrap w:val="0"/>
        <w:spacing w:line="360" w:lineRule="auto"/>
        <w:ind w:firstLine="440" w:firstLineChars="200"/>
        <w:jc w:val="left"/>
        <w:outlineLvl w:val="4"/>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2</w:t>
      </w:r>
      <w:r>
        <w:rPr>
          <w:rFonts w:hint="eastAsia" w:cs="宋体" w:asciiTheme="minorEastAsia" w:hAnsiTheme="minorEastAsia" w:eastAsiaTheme="minorEastAsia"/>
          <w:bCs/>
          <w:color w:val="auto"/>
          <w:sz w:val="22"/>
          <w:szCs w:val="22"/>
          <w:highlight w:val="none"/>
        </w:rPr>
        <w:t>）大写金额和小写金额不一致的，以大写金额为准；</w:t>
      </w:r>
    </w:p>
    <w:p w14:paraId="45CC9B88">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3</w:t>
      </w:r>
      <w:r>
        <w:rPr>
          <w:rFonts w:hint="eastAsia" w:cs="宋体" w:asciiTheme="minorEastAsia" w:hAnsiTheme="minorEastAsia" w:eastAsiaTheme="minorEastAsia"/>
          <w:bCs/>
          <w:color w:val="auto"/>
          <w:sz w:val="22"/>
          <w:szCs w:val="22"/>
          <w:highlight w:val="none"/>
        </w:rPr>
        <w:t>）单价金额小数点或者百分比有明显错位的，以开标一览表的总价为准，并修改单价；</w:t>
      </w:r>
    </w:p>
    <w:p w14:paraId="740A8F8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4</w:t>
      </w:r>
      <w:r>
        <w:rPr>
          <w:rFonts w:hint="eastAsia" w:cs="宋体" w:asciiTheme="minorEastAsia" w:hAnsiTheme="minorEastAsia" w:eastAsiaTheme="minorEastAsia"/>
          <w:bCs/>
          <w:color w:val="auto"/>
          <w:sz w:val="22"/>
          <w:szCs w:val="22"/>
          <w:highlight w:val="none"/>
        </w:rPr>
        <w:t>）总价金额与按单价汇总金额不一致的，以单价金额计算结果为准。</w:t>
      </w:r>
    </w:p>
    <w:p w14:paraId="79EE29B2">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同时出现两种以上不一致的，按照前款规定的顺序修正。修正后的报价按照招标文件规定并经投标人确认后产生约束力，投标人不确认的，其投标无效。</w:t>
      </w:r>
    </w:p>
    <w:p w14:paraId="0A1C1C99">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577" w:name="_Toc489145733"/>
      <w:bookmarkStart w:id="578" w:name="_Toc489197837"/>
      <w:bookmarkStart w:id="579" w:name="_Toc488633609"/>
      <w:bookmarkStart w:id="580" w:name="_Toc23351"/>
      <w:bookmarkStart w:id="581" w:name="_Toc2034"/>
      <w:bookmarkStart w:id="582" w:name="_Toc16342"/>
      <w:bookmarkStart w:id="583" w:name="_Toc19807"/>
      <w:bookmarkStart w:id="584" w:name="_Toc16162"/>
      <w:bookmarkStart w:id="585" w:name="_Toc18287398"/>
      <w:bookmarkStart w:id="586" w:name="_Toc14603887"/>
      <w:r>
        <w:rPr>
          <w:rFonts w:hint="eastAsia" w:ascii="黑体" w:hAnsi="黑体" w:eastAsia="黑体" w:cs="黑体"/>
          <w:b/>
          <w:bCs w:val="0"/>
          <w:color w:val="auto"/>
          <w:sz w:val="22"/>
          <w:szCs w:val="22"/>
          <w:highlight w:val="none"/>
        </w:rPr>
        <w:t>六、资格审查及评标</w:t>
      </w:r>
      <w:bookmarkEnd w:id="577"/>
      <w:bookmarkEnd w:id="578"/>
      <w:bookmarkEnd w:id="579"/>
      <w:bookmarkEnd w:id="580"/>
      <w:bookmarkEnd w:id="581"/>
      <w:bookmarkEnd w:id="582"/>
      <w:bookmarkEnd w:id="583"/>
      <w:bookmarkEnd w:id="584"/>
      <w:bookmarkEnd w:id="585"/>
      <w:bookmarkEnd w:id="586"/>
    </w:p>
    <w:p w14:paraId="70A47846">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587" w:name="_Toc17626"/>
      <w:bookmarkStart w:id="588" w:name="_Toc3447"/>
      <w:bookmarkStart w:id="589" w:name="_Toc18287399"/>
      <w:bookmarkStart w:id="590" w:name="_Toc30530"/>
      <w:bookmarkStart w:id="591" w:name="_Toc26509"/>
      <w:bookmarkStart w:id="592" w:name="_Toc489197838"/>
      <w:bookmarkStart w:id="593" w:name="_Toc18999"/>
      <w:bookmarkStart w:id="594" w:name="_Toc489145734"/>
      <w:bookmarkStart w:id="595" w:name="_Toc14603888"/>
      <w:r>
        <w:rPr>
          <w:rFonts w:hint="eastAsia" w:ascii="黑体" w:hAnsi="黑体" w:eastAsia="黑体" w:cs="黑体"/>
          <w:bCs/>
          <w:color w:val="auto"/>
          <w:sz w:val="22"/>
          <w:szCs w:val="22"/>
          <w:highlight w:val="none"/>
        </w:rPr>
        <w:t>27. 资格审查</w:t>
      </w:r>
      <w:bookmarkEnd w:id="587"/>
      <w:bookmarkEnd w:id="588"/>
      <w:bookmarkEnd w:id="589"/>
    </w:p>
    <w:p w14:paraId="19CD52C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27.1开标结束后，采购人或者采购代理机构将根据招标文件规定，依法对投标人的资格进行审查。合格投标人不足3家的，不得评标。</w:t>
      </w:r>
    </w:p>
    <w:p w14:paraId="4D5137B8">
      <w:pPr>
        <w:spacing w:line="560" w:lineRule="exact"/>
        <w:ind w:firstLine="440" w:firstLineChars="200"/>
        <w:rPr>
          <w:color w:val="auto"/>
          <w:sz w:val="22"/>
          <w:szCs w:val="22"/>
          <w:highlight w:val="none"/>
        </w:rPr>
      </w:pPr>
      <w:r>
        <w:rPr>
          <w:rFonts w:hint="eastAsia" w:cs="宋体" w:asciiTheme="minorEastAsia" w:hAnsiTheme="minorEastAsia" w:eastAsiaTheme="minorEastAsia"/>
          <w:bCs/>
          <w:color w:val="auto"/>
          <w:sz w:val="22"/>
          <w:szCs w:val="22"/>
          <w:highlight w:val="none"/>
        </w:rPr>
        <w:t>27.2.采购人或者采购代理机构按照招标文件第一章《公开招标公告》二、投标人资格要求和第二章《投标人须知》“4. 投标人资格要求”的规定对投标人电子投标文件中资格证明文件及采购人、采购代理机构通过互联网或者相关信息系统的查询结果进行审查。</w:t>
      </w:r>
    </w:p>
    <w:p w14:paraId="7408CDC2">
      <w:pPr>
        <w:rPr>
          <w:color w:val="auto"/>
          <w:sz w:val="22"/>
          <w:szCs w:val="22"/>
          <w:highlight w:val="none"/>
        </w:rPr>
      </w:pPr>
    </w:p>
    <w:p w14:paraId="4B003580">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596" w:name="_Toc27224"/>
      <w:bookmarkStart w:id="597" w:name="_Toc18287400"/>
      <w:bookmarkStart w:id="598" w:name="_Toc14292"/>
      <w:r>
        <w:rPr>
          <w:rFonts w:hint="eastAsia" w:ascii="黑体" w:hAnsi="黑体" w:eastAsia="黑体" w:cs="黑体"/>
          <w:bCs/>
          <w:color w:val="auto"/>
          <w:sz w:val="22"/>
          <w:szCs w:val="22"/>
          <w:highlight w:val="none"/>
        </w:rPr>
        <w:t>28.评标</w:t>
      </w:r>
      <w:bookmarkEnd w:id="590"/>
      <w:bookmarkEnd w:id="591"/>
      <w:bookmarkEnd w:id="592"/>
      <w:bookmarkEnd w:id="593"/>
      <w:bookmarkEnd w:id="594"/>
      <w:bookmarkEnd w:id="595"/>
      <w:bookmarkEnd w:id="596"/>
      <w:bookmarkEnd w:id="597"/>
      <w:bookmarkEnd w:id="598"/>
    </w:p>
    <w:p w14:paraId="41F30540">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28.1评标委员会负责具体评标事务，并独立履行下列职责：</w:t>
      </w:r>
    </w:p>
    <w:p w14:paraId="3F3B490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1</w:t>
      </w:r>
      <w:r>
        <w:rPr>
          <w:rFonts w:hint="eastAsia" w:cs="宋体" w:asciiTheme="minorEastAsia" w:hAnsiTheme="minorEastAsia" w:eastAsiaTheme="minorEastAsia"/>
          <w:bCs/>
          <w:color w:val="auto"/>
          <w:sz w:val="22"/>
          <w:szCs w:val="22"/>
          <w:highlight w:val="none"/>
        </w:rPr>
        <w:t>）审查、评价投标文件是否符合招标文件的商务、技术等实质性要求；</w:t>
      </w:r>
    </w:p>
    <w:p w14:paraId="3ABB6ED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2</w:t>
      </w:r>
      <w:r>
        <w:rPr>
          <w:rFonts w:hint="eastAsia" w:cs="宋体" w:asciiTheme="minorEastAsia" w:hAnsiTheme="minorEastAsia" w:eastAsiaTheme="minorEastAsia"/>
          <w:bCs/>
          <w:color w:val="auto"/>
          <w:sz w:val="22"/>
          <w:szCs w:val="22"/>
          <w:highlight w:val="none"/>
        </w:rPr>
        <w:t>）要求投标人对投标文件有关事项作出澄清或者说明；</w:t>
      </w:r>
    </w:p>
    <w:p w14:paraId="5CFF07C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3</w:t>
      </w:r>
      <w:r>
        <w:rPr>
          <w:rFonts w:hint="eastAsia" w:cs="宋体" w:asciiTheme="minorEastAsia" w:hAnsiTheme="minorEastAsia" w:eastAsiaTheme="minorEastAsia"/>
          <w:bCs/>
          <w:color w:val="auto"/>
          <w:sz w:val="22"/>
          <w:szCs w:val="22"/>
          <w:highlight w:val="none"/>
        </w:rPr>
        <w:t>）对投标文件进行比较和评价；</w:t>
      </w:r>
    </w:p>
    <w:p w14:paraId="75AD1843">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4</w:t>
      </w:r>
      <w:r>
        <w:rPr>
          <w:rFonts w:hint="eastAsia" w:cs="宋体" w:asciiTheme="minorEastAsia" w:hAnsiTheme="minorEastAsia" w:eastAsiaTheme="minorEastAsia"/>
          <w:bCs/>
          <w:color w:val="auto"/>
          <w:sz w:val="22"/>
          <w:szCs w:val="22"/>
          <w:highlight w:val="none"/>
        </w:rPr>
        <w:t>）确定中标候选人名单，确定中标</w:t>
      </w:r>
      <w:r>
        <w:rPr>
          <w:rFonts w:hint="eastAsia" w:cs="宋体" w:asciiTheme="minorEastAsia" w:hAnsiTheme="minorEastAsia" w:eastAsiaTheme="minorEastAsia"/>
          <w:bCs/>
          <w:color w:val="auto"/>
          <w:sz w:val="22"/>
          <w:szCs w:val="22"/>
          <w:highlight w:val="none"/>
          <w:lang w:eastAsia="zh-CN"/>
        </w:rPr>
        <w:t>人</w:t>
      </w:r>
      <w:r>
        <w:rPr>
          <w:rFonts w:hint="eastAsia" w:cs="宋体" w:asciiTheme="minorEastAsia" w:hAnsiTheme="minorEastAsia" w:eastAsiaTheme="minorEastAsia"/>
          <w:bCs/>
          <w:color w:val="auto"/>
          <w:sz w:val="22"/>
          <w:szCs w:val="22"/>
          <w:highlight w:val="none"/>
        </w:rPr>
        <w:t>1</w:t>
      </w:r>
      <w:r>
        <w:rPr>
          <w:rFonts w:hint="eastAsia" w:cs="宋体" w:asciiTheme="minorEastAsia" w:hAnsiTheme="minorEastAsia" w:eastAsiaTheme="minorEastAsia"/>
          <w:bCs/>
          <w:color w:val="auto"/>
          <w:sz w:val="22"/>
          <w:szCs w:val="22"/>
          <w:highlight w:val="none"/>
          <w:lang w:eastAsia="zh-CN"/>
        </w:rPr>
        <w:t>名</w:t>
      </w:r>
      <w:r>
        <w:rPr>
          <w:rFonts w:hint="eastAsia" w:cs="宋体" w:asciiTheme="minorEastAsia" w:hAnsiTheme="minorEastAsia" w:eastAsiaTheme="minorEastAsia"/>
          <w:bCs/>
          <w:color w:val="auto"/>
          <w:sz w:val="22"/>
          <w:szCs w:val="22"/>
          <w:highlight w:val="none"/>
        </w:rPr>
        <w:t>；</w:t>
      </w:r>
    </w:p>
    <w:p w14:paraId="3F6A611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w:t>
      </w:r>
      <w:r>
        <w:rPr>
          <w:rFonts w:hint="eastAsia" w:cs="宋体" w:asciiTheme="minorEastAsia" w:hAnsiTheme="minorEastAsia" w:eastAsiaTheme="minorEastAsia"/>
          <w:bCs/>
          <w:color w:val="auto"/>
          <w:sz w:val="22"/>
          <w:szCs w:val="22"/>
          <w:highlight w:val="none"/>
          <w:lang w:val="en-US" w:eastAsia="zh-CN"/>
        </w:rPr>
        <w:t>5</w:t>
      </w:r>
      <w:r>
        <w:rPr>
          <w:rFonts w:hint="eastAsia" w:cs="宋体" w:asciiTheme="minorEastAsia" w:hAnsiTheme="minorEastAsia" w:eastAsiaTheme="minorEastAsia"/>
          <w:bCs/>
          <w:color w:val="auto"/>
          <w:sz w:val="22"/>
          <w:szCs w:val="22"/>
          <w:highlight w:val="none"/>
        </w:rPr>
        <w:t>）向采购人、采购代理机构或者有关部门报告评标中发现的违法行为。</w:t>
      </w:r>
    </w:p>
    <w:p w14:paraId="5D621C4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28.2评标委员会由采购人代表和评审专家组成，成员人数为5人以上单数，其中评审专家不得少于成员总数的三分之二。评标委员会应当推选组长，但采购人代表不得担任组长。</w:t>
      </w:r>
    </w:p>
    <w:p w14:paraId="2E789548">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28.3采购人委派代表参加评标委员会的，要向采购代理机构出具授权函。</w:t>
      </w:r>
    </w:p>
    <w:p w14:paraId="2C34664A">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28.4评标活动遵循公平</w:t>
      </w:r>
      <w:bookmarkStart w:id="599" w:name="_Toc246996952"/>
      <w:bookmarkStart w:id="600" w:name="_Toc152042341"/>
      <w:bookmarkStart w:id="601" w:name="_Toc144974533"/>
      <w:bookmarkStart w:id="602" w:name="_Toc179632583"/>
      <w:bookmarkStart w:id="603" w:name="_Toc296602454"/>
      <w:bookmarkStart w:id="604" w:name="_Toc247085723"/>
      <w:bookmarkStart w:id="605" w:name="_Toc152045565"/>
      <w:bookmarkStart w:id="606" w:name="_Toc246996209"/>
      <w:r>
        <w:rPr>
          <w:rFonts w:hint="eastAsia" w:cs="宋体" w:asciiTheme="minorEastAsia" w:hAnsiTheme="minorEastAsia" w:eastAsiaTheme="minorEastAsia"/>
          <w:bCs/>
          <w:color w:val="auto"/>
          <w:sz w:val="22"/>
          <w:szCs w:val="22"/>
          <w:highlight w:val="none"/>
        </w:rPr>
        <w:t>、公正、科学和择优的原则。</w:t>
      </w:r>
    </w:p>
    <w:p w14:paraId="5967C1A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28.5本项目评标方法采用综合评分法，是指投标文件满足招标文件全部实质性要求，且按照评审因素的量化指标评审得分最高的投标人为中标候选人的评标方法。</w:t>
      </w:r>
      <w:bookmarkEnd w:id="599"/>
      <w:bookmarkEnd w:id="600"/>
      <w:bookmarkEnd w:id="601"/>
      <w:bookmarkEnd w:id="602"/>
      <w:bookmarkEnd w:id="603"/>
      <w:bookmarkEnd w:id="604"/>
      <w:bookmarkEnd w:id="605"/>
      <w:bookmarkEnd w:id="606"/>
    </w:p>
    <w:p w14:paraId="49602ED2">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28.6评标过程的保密</w:t>
      </w:r>
    </w:p>
    <w:p w14:paraId="48B1FC97">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bookmarkStart w:id="607" w:name="_Toc417913976"/>
      <w:r>
        <w:rPr>
          <w:rFonts w:hint="eastAsia" w:cs="宋体" w:asciiTheme="minorEastAsia" w:hAnsiTheme="minorEastAsia" w:eastAsiaTheme="minorEastAsia"/>
          <w:bCs/>
          <w:color w:val="auto"/>
          <w:sz w:val="22"/>
          <w:szCs w:val="22"/>
          <w:highlight w:val="none"/>
          <w:lang w:val="en-US" w:eastAsia="zh-CN"/>
        </w:rPr>
        <w:t>(1)</w:t>
      </w:r>
      <w:r>
        <w:rPr>
          <w:rFonts w:hint="eastAsia" w:cs="宋体" w:asciiTheme="minorEastAsia" w:hAnsiTheme="minorEastAsia" w:eastAsiaTheme="minorEastAsia"/>
          <w:bCs/>
          <w:color w:val="auto"/>
          <w:sz w:val="22"/>
          <w:szCs w:val="22"/>
          <w:highlight w:val="none"/>
        </w:rPr>
        <w:t>评标在严格</w:t>
      </w:r>
      <w:bookmarkEnd w:id="607"/>
      <w:r>
        <w:rPr>
          <w:rFonts w:hint="eastAsia" w:cs="宋体" w:asciiTheme="minorEastAsia" w:hAnsiTheme="minorEastAsia" w:eastAsiaTheme="minorEastAsia"/>
          <w:bCs/>
          <w:color w:val="auto"/>
          <w:sz w:val="22"/>
          <w:szCs w:val="22"/>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8D8C145">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(2)</w:t>
      </w:r>
      <w:r>
        <w:rPr>
          <w:rFonts w:hint="eastAsia" w:cs="宋体" w:asciiTheme="minorEastAsia" w:hAnsiTheme="minorEastAsia" w:eastAsiaTheme="minorEastAsia"/>
          <w:bCs/>
          <w:color w:val="auto"/>
          <w:sz w:val="22"/>
          <w:szCs w:val="22"/>
          <w:highlight w:val="none"/>
        </w:rPr>
        <w:t>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5939FB8A">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608" w:name="_Toc18287401"/>
      <w:bookmarkStart w:id="609" w:name="_Toc14603889"/>
      <w:bookmarkStart w:id="610" w:name="_Toc24415"/>
      <w:bookmarkStart w:id="611" w:name="_Toc26001"/>
      <w:bookmarkStart w:id="612" w:name="_Toc15677"/>
      <w:bookmarkStart w:id="613" w:name="_Toc489197839"/>
      <w:bookmarkStart w:id="614" w:name="_Toc489145735"/>
      <w:bookmarkStart w:id="615" w:name="_Toc14806"/>
      <w:bookmarkStart w:id="616" w:name="_Toc21801"/>
      <w:r>
        <w:rPr>
          <w:rFonts w:hint="eastAsia" w:ascii="黑体" w:hAnsi="黑体" w:eastAsia="黑体" w:cs="黑体"/>
          <w:bCs/>
          <w:color w:val="auto"/>
          <w:sz w:val="22"/>
          <w:szCs w:val="22"/>
          <w:highlight w:val="none"/>
        </w:rPr>
        <w:t>29.有下列情形之一的，视为投标人串通投标，其投标无效：</w:t>
      </w:r>
      <w:bookmarkEnd w:id="608"/>
      <w:bookmarkEnd w:id="609"/>
      <w:bookmarkEnd w:id="610"/>
      <w:bookmarkEnd w:id="611"/>
      <w:bookmarkEnd w:id="612"/>
      <w:bookmarkEnd w:id="613"/>
      <w:bookmarkEnd w:id="614"/>
      <w:bookmarkEnd w:id="615"/>
      <w:bookmarkEnd w:id="616"/>
    </w:p>
    <w:p w14:paraId="4D969947">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29.1</w:t>
      </w:r>
      <w:r>
        <w:rPr>
          <w:rFonts w:hint="eastAsia" w:cs="宋体" w:asciiTheme="minorEastAsia" w:hAnsiTheme="minorEastAsia" w:eastAsiaTheme="minorEastAsia"/>
          <w:bCs/>
          <w:color w:val="auto"/>
          <w:sz w:val="22"/>
          <w:szCs w:val="22"/>
          <w:highlight w:val="none"/>
        </w:rPr>
        <w:t>不同投标人的投标文件由同一单位或者个人编制；</w:t>
      </w:r>
    </w:p>
    <w:p w14:paraId="1EFEC013">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29.2</w:t>
      </w:r>
      <w:r>
        <w:rPr>
          <w:rFonts w:hint="eastAsia" w:cs="宋体" w:asciiTheme="minorEastAsia" w:hAnsiTheme="minorEastAsia" w:eastAsiaTheme="minorEastAsia"/>
          <w:bCs/>
          <w:color w:val="auto"/>
          <w:sz w:val="22"/>
          <w:szCs w:val="22"/>
          <w:highlight w:val="none"/>
        </w:rPr>
        <w:t>不同投标人委托同一单位或者个人办理投标事宜；</w:t>
      </w:r>
    </w:p>
    <w:p w14:paraId="792283A2">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29.3</w:t>
      </w:r>
      <w:r>
        <w:rPr>
          <w:rFonts w:hint="eastAsia" w:cs="宋体" w:asciiTheme="minorEastAsia" w:hAnsiTheme="minorEastAsia" w:eastAsiaTheme="minorEastAsia"/>
          <w:bCs/>
          <w:color w:val="auto"/>
          <w:sz w:val="22"/>
          <w:szCs w:val="22"/>
          <w:highlight w:val="none"/>
        </w:rPr>
        <w:t>不同投标人的投标文件载明的项目管理成员或者联系人员为同一人；</w:t>
      </w:r>
    </w:p>
    <w:p w14:paraId="6BB52CA9">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29.4</w:t>
      </w:r>
      <w:r>
        <w:rPr>
          <w:rFonts w:hint="eastAsia" w:cs="宋体" w:asciiTheme="minorEastAsia" w:hAnsiTheme="minorEastAsia" w:eastAsiaTheme="minorEastAsia"/>
          <w:bCs/>
          <w:color w:val="auto"/>
          <w:sz w:val="22"/>
          <w:szCs w:val="22"/>
          <w:highlight w:val="none"/>
        </w:rPr>
        <w:t>不同投标人的投标文件异常一致或者投标报价呈规律性差异；</w:t>
      </w:r>
    </w:p>
    <w:p w14:paraId="06D758A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投标人应当遵循公平竞争的原则，不得恶意串通，不得妨碍其他投标人的竞争行为，不得损害采购人或者其他投标人的合法权益。</w:t>
      </w:r>
    </w:p>
    <w:p w14:paraId="4F2F862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在评标过程中发现投标人有上述情形的，评标委员会应当认定其投标无效，并书面报告本级财政部门。</w:t>
      </w:r>
    </w:p>
    <w:p w14:paraId="2E3A8EA6">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617" w:name="_Toc25983"/>
      <w:bookmarkStart w:id="618" w:name="_Toc14603890"/>
      <w:bookmarkStart w:id="619" w:name="_Toc18287402"/>
      <w:bookmarkStart w:id="620" w:name="_Toc489197840"/>
      <w:bookmarkStart w:id="621" w:name="_Toc489145736"/>
      <w:bookmarkStart w:id="622" w:name="_Toc3966"/>
      <w:bookmarkStart w:id="623" w:name="_Toc17740"/>
      <w:bookmarkStart w:id="624" w:name="_Toc1246"/>
      <w:bookmarkStart w:id="625" w:name="_Toc20073"/>
      <w:r>
        <w:rPr>
          <w:rFonts w:hint="eastAsia" w:ascii="黑体" w:hAnsi="黑体" w:eastAsia="黑体" w:cs="黑体"/>
          <w:bCs/>
          <w:color w:val="auto"/>
          <w:sz w:val="22"/>
          <w:szCs w:val="22"/>
          <w:highlight w:val="none"/>
        </w:rPr>
        <w:t>30. 投标人存在下列情</w:t>
      </w:r>
      <w:bookmarkStart w:id="626" w:name="_Toc417913977"/>
      <w:r>
        <w:rPr>
          <w:rFonts w:hint="eastAsia" w:ascii="黑体" w:hAnsi="黑体" w:eastAsia="黑体" w:cs="黑体"/>
          <w:bCs/>
          <w:color w:val="auto"/>
          <w:sz w:val="22"/>
          <w:szCs w:val="22"/>
          <w:highlight w:val="none"/>
        </w:rPr>
        <w:t>况之一的，投标无效：</w:t>
      </w:r>
      <w:bookmarkEnd w:id="617"/>
      <w:bookmarkEnd w:id="618"/>
      <w:bookmarkEnd w:id="619"/>
      <w:bookmarkEnd w:id="620"/>
      <w:bookmarkEnd w:id="621"/>
      <w:bookmarkEnd w:id="622"/>
      <w:bookmarkEnd w:id="623"/>
      <w:bookmarkEnd w:id="624"/>
      <w:bookmarkEnd w:id="625"/>
    </w:p>
    <w:bookmarkEnd w:id="626"/>
    <w:p w14:paraId="4813CA8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30.1</w:t>
      </w:r>
      <w:r>
        <w:rPr>
          <w:rFonts w:hint="eastAsia" w:cs="宋体" w:asciiTheme="minorEastAsia" w:hAnsiTheme="minorEastAsia" w:eastAsiaTheme="minorEastAsia"/>
          <w:bCs/>
          <w:color w:val="auto"/>
          <w:sz w:val="22"/>
          <w:szCs w:val="22"/>
          <w:highlight w:val="none"/>
        </w:rPr>
        <w:t>投标文件未按招标文件要求签署、盖章的；</w:t>
      </w:r>
    </w:p>
    <w:p w14:paraId="013339D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30.2</w:t>
      </w:r>
      <w:r>
        <w:rPr>
          <w:rFonts w:hint="eastAsia" w:cs="宋体" w:asciiTheme="minorEastAsia" w:hAnsiTheme="minorEastAsia" w:eastAsiaTheme="minorEastAsia"/>
          <w:bCs/>
          <w:color w:val="auto"/>
          <w:sz w:val="22"/>
          <w:szCs w:val="22"/>
          <w:highlight w:val="none"/>
        </w:rPr>
        <w:t>不具备招标文件中规定的资格要求的；</w:t>
      </w:r>
    </w:p>
    <w:p w14:paraId="776D381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30.3</w:t>
      </w:r>
      <w:r>
        <w:rPr>
          <w:rFonts w:hint="eastAsia" w:cs="宋体" w:asciiTheme="minorEastAsia" w:hAnsiTheme="minorEastAsia" w:eastAsiaTheme="minorEastAsia"/>
          <w:bCs/>
          <w:color w:val="auto"/>
          <w:sz w:val="22"/>
          <w:szCs w:val="22"/>
          <w:highlight w:val="none"/>
        </w:rPr>
        <w:t>报价超过招标文件中规定的预算金额、预算单价或者最高限价的；</w:t>
      </w:r>
    </w:p>
    <w:p w14:paraId="49FE2F5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30.4</w:t>
      </w:r>
      <w:r>
        <w:rPr>
          <w:rFonts w:hint="eastAsia" w:cs="宋体" w:asciiTheme="minorEastAsia" w:hAnsiTheme="minorEastAsia" w:eastAsiaTheme="minorEastAsia"/>
          <w:bCs/>
          <w:color w:val="auto"/>
          <w:sz w:val="22"/>
          <w:szCs w:val="22"/>
          <w:highlight w:val="none"/>
        </w:rPr>
        <w:t>投标文件含有采购人不能接受的附加条件的；</w:t>
      </w:r>
    </w:p>
    <w:p w14:paraId="1EC2C6F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30.5</w:t>
      </w:r>
      <w:r>
        <w:rPr>
          <w:rFonts w:hint="eastAsia" w:cs="宋体" w:asciiTheme="minorEastAsia" w:hAnsiTheme="minorEastAsia" w:eastAsiaTheme="minorEastAsia"/>
          <w:bCs/>
          <w:color w:val="auto"/>
          <w:sz w:val="22"/>
          <w:szCs w:val="22"/>
          <w:highlight w:val="none"/>
          <w:lang w:eastAsia="zh-CN"/>
        </w:rPr>
        <w:t>法律法规</w:t>
      </w:r>
      <w:r>
        <w:rPr>
          <w:rFonts w:hint="eastAsia" w:cs="宋体" w:asciiTheme="minorEastAsia" w:hAnsiTheme="minorEastAsia" w:eastAsiaTheme="minorEastAsia"/>
          <w:bCs/>
          <w:color w:val="auto"/>
          <w:sz w:val="22"/>
          <w:szCs w:val="22"/>
          <w:highlight w:val="none"/>
        </w:rPr>
        <w:t>和招标文件规定的其他无效情形。</w:t>
      </w:r>
    </w:p>
    <w:p w14:paraId="12EE767F">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627" w:name="_Toc3514"/>
      <w:bookmarkStart w:id="628" w:name="_Toc28078"/>
      <w:bookmarkStart w:id="629" w:name="_Toc489197841"/>
      <w:bookmarkStart w:id="630" w:name="_Toc14603891"/>
      <w:bookmarkStart w:id="631" w:name="_Toc18287403"/>
      <w:bookmarkStart w:id="632" w:name="_Toc30545"/>
      <w:bookmarkStart w:id="633" w:name="_Toc23799"/>
      <w:bookmarkStart w:id="634" w:name="_Toc489145737"/>
      <w:bookmarkStart w:id="635" w:name="_Toc14316"/>
      <w:r>
        <w:rPr>
          <w:rFonts w:hint="eastAsia" w:ascii="黑体" w:hAnsi="黑体" w:eastAsia="黑体" w:cs="黑体"/>
          <w:bCs/>
          <w:color w:val="auto"/>
          <w:sz w:val="22"/>
          <w:szCs w:val="22"/>
          <w:highlight w:val="none"/>
        </w:rPr>
        <w:t>31.在招标采购中，出现下列情形之一的，应予废标：</w:t>
      </w:r>
      <w:bookmarkEnd w:id="627"/>
      <w:bookmarkEnd w:id="628"/>
      <w:bookmarkEnd w:id="629"/>
      <w:bookmarkEnd w:id="630"/>
      <w:bookmarkEnd w:id="631"/>
      <w:bookmarkEnd w:id="632"/>
      <w:bookmarkEnd w:id="633"/>
      <w:bookmarkEnd w:id="634"/>
      <w:bookmarkEnd w:id="635"/>
    </w:p>
    <w:p w14:paraId="5676D98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31.1</w:t>
      </w:r>
      <w:r>
        <w:rPr>
          <w:rFonts w:hint="eastAsia" w:cs="宋体" w:asciiTheme="minorEastAsia" w:hAnsiTheme="minorEastAsia" w:eastAsiaTheme="minorEastAsia"/>
          <w:bCs/>
          <w:color w:val="auto"/>
          <w:sz w:val="22"/>
          <w:szCs w:val="22"/>
          <w:highlight w:val="none"/>
        </w:rPr>
        <w:t>符合专业条件的投标人或者对招标文件作实质响应的投标人不足三家的；</w:t>
      </w:r>
    </w:p>
    <w:p w14:paraId="42C13D49">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31.2</w:t>
      </w:r>
      <w:r>
        <w:rPr>
          <w:rFonts w:hint="eastAsia" w:cs="宋体" w:asciiTheme="minorEastAsia" w:hAnsiTheme="minorEastAsia" w:eastAsiaTheme="minorEastAsia"/>
          <w:bCs/>
          <w:color w:val="auto"/>
          <w:sz w:val="22"/>
          <w:szCs w:val="22"/>
          <w:highlight w:val="none"/>
        </w:rPr>
        <w:t>出现影响采购公正的违法、违规行为的；</w:t>
      </w:r>
    </w:p>
    <w:p w14:paraId="775B14B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31.3</w:t>
      </w:r>
      <w:r>
        <w:rPr>
          <w:rFonts w:hint="eastAsia" w:cs="宋体" w:asciiTheme="minorEastAsia" w:hAnsiTheme="minorEastAsia" w:eastAsiaTheme="minorEastAsia"/>
          <w:bCs/>
          <w:color w:val="auto"/>
          <w:sz w:val="22"/>
          <w:szCs w:val="22"/>
          <w:highlight w:val="none"/>
        </w:rPr>
        <w:t>投标人的报价均超过了采购预算，采购人不能支付的；</w:t>
      </w:r>
    </w:p>
    <w:p w14:paraId="74EEA6D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31.4</w:t>
      </w:r>
      <w:r>
        <w:rPr>
          <w:rFonts w:hint="eastAsia" w:cs="宋体" w:asciiTheme="minorEastAsia" w:hAnsiTheme="minorEastAsia" w:eastAsiaTheme="minorEastAsia"/>
          <w:bCs/>
          <w:color w:val="auto"/>
          <w:sz w:val="22"/>
          <w:szCs w:val="22"/>
          <w:highlight w:val="none"/>
        </w:rPr>
        <w:t>因重大变故，采购任务取消的。</w:t>
      </w:r>
    </w:p>
    <w:p w14:paraId="12A1980B">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废标后，采购人应当将废标理由通知所有投标人。</w:t>
      </w:r>
    </w:p>
    <w:p w14:paraId="164DD2C3">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636" w:name="_Toc21989"/>
      <w:bookmarkStart w:id="637" w:name="_Toc18287404"/>
      <w:bookmarkStart w:id="638" w:name="_Toc7030"/>
      <w:bookmarkStart w:id="639" w:name="_Toc489197842"/>
      <w:bookmarkStart w:id="640" w:name="_Toc14603892"/>
      <w:bookmarkStart w:id="641" w:name="_Toc12763"/>
      <w:bookmarkStart w:id="642" w:name="_Toc23629"/>
      <w:bookmarkStart w:id="643" w:name="_Toc32175"/>
      <w:bookmarkStart w:id="644" w:name="_Toc488633610"/>
      <w:bookmarkStart w:id="645" w:name="_Toc489145738"/>
      <w:r>
        <w:rPr>
          <w:rFonts w:hint="eastAsia" w:ascii="黑体" w:hAnsi="黑体" w:eastAsia="黑体" w:cs="黑体"/>
          <w:b/>
          <w:bCs w:val="0"/>
          <w:color w:val="auto"/>
          <w:sz w:val="22"/>
          <w:szCs w:val="22"/>
          <w:highlight w:val="none"/>
        </w:rPr>
        <w:t>七、中标结果</w:t>
      </w:r>
      <w:bookmarkEnd w:id="636"/>
      <w:bookmarkEnd w:id="637"/>
      <w:bookmarkEnd w:id="638"/>
      <w:bookmarkEnd w:id="639"/>
      <w:bookmarkEnd w:id="640"/>
      <w:bookmarkEnd w:id="641"/>
      <w:bookmarkEnd w:id="642"/>
      <w:bookmarkEnd w:id="643"/>
      <w:bookmarkEnd w:id="644"/>
      <w:bookmarkEnd w:id="645"/>
    </w:p>
    <w:p w14:paraId="4C910F26">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646" w:name="_Toc18287405"/>
      <w:bookmarkStart w:id="647" w:name="_Toc18102"/>
      <w:bookmarkStart w:id="648" w:name="_Toc10577"/>
      <w:bookmarkStart w:id="649" w:name="_Toc489145739"/>
      <w:bookmarkStart w:id="650" w:name="_Toc489197843"/>
      <w:bookmarkStart w:id="651" w:name="_Toc12173"/>
      <w:bookmarkStart w:id="652" w:name="_Toc14603893"/>
      <w:bookmarkStart w:id="653" w:name="_Toc2681"/>
      <w:bookmarkStart w:id="654" w:name="_Toc29423"/>
      <w:r>
        <w:rPr>
          <w:rFonts w:hint="eastAsia" w:ascii="黑体" w:hAnsi="黑体" w:eastAsia="黑体" w:cs="黑体"/>
          <w:bCs/>
          <w:color w:val="auto"/>
          <w:sz w:val="22"/>
          <w:szCs w:val="22"/>
          <w:highlight w:val="none"/>
        </w:rPr>
        <w:t>32. 中</w:t>
      </w:r>
      <w:bookmarkStart w:id="655" w:name="_Toc246996953"/>
      <w:bookmarkStart w:id="656" w:name="_Toc401342140"/>
      <w:bookmarkStart w:id="657" w:name="_Toc152045566"/>
      <w:bookmarkStart w:id="658" w:name="_Toc378239357"/>
      <w:bookmarkStart w:id="659" w:name="_Toc296602455"/>
      <w:bookmarkStart w:id="660" w:name="_Toc152042342"/>
      <w:bookmarkStart w:id="661" w:name="_Toc144974534"/>
      <w:bookmarkStart w:id="662" w:name="_Toc378239084"/>
      <w:bookmarkStart w:id="663" w:name="_Toc378239176"/>
      <w:bookmarkStart w:id="664" w:name="_Toc247085724"/>
      <w:bookmarkStart w:id="665" w:name="_Toc179632584"/>
      <w:bookmarkStart w:id="666" w:name="_Toc246996210"/>
      <w:bookmarkStart w:id="667" w:name="_Toc13517"/>
      <w:bookmarkStart w:id="668" w:name="_Toc480817649"/>
      <w:r>
        <w:rPr>
          <w:rFonts w:hint="eastAsia" w:ascii="黑体" w:hAnsi="黑体" w:eastAsia="黑体" w:cs="黑体"/>
          <w:bCs/>
          <w:color w:val="auto"/>
          <w:sz w:val="22"/>
          <w:szCs w:val="22"/>
          <w:highlight w:val="none"/>
        </w:rPr>
        <w:t>标</w:t>
      </w:r>
      <w:bookmarkEnd w:id="655"/>
      <w:bookmarkEnd w:id="656"/>
      <w:bookmarkEnd w:id="657"/>
      <w:bookmarkEnd w:id="658"/>
      <w:bookmarkEnd w:id="659"/>
      <w:bookmarkEnd w:id="660"/>
      <w:bookmarkEnd w:id="661"/>
      <w:bookmarkEnd w:id="662"/>
      <w:bookmarkEnd w:id="663"/>
      <w:bookmarkEnd w:id="664"/>
      <w:bookmarkEnd w:id="665"/>
      <w:bookmarkEnd w:id="666"/>
      <w:r>
        <w:rPr>
          <w:rFonts w:hint="eastAsia" w:ascii="黑体" w:hAnsi="黑体" w:eastAsia="黑体" w:cs="黑体"/>
          <w:bCs/>
          <w:color w:val="auto"/>
          <w:sz w:val="22"/>
          <w:szCs w:val="22"/>
          <w:highlight w:val="none"/>
        </w:rPr>
        <w:t>人的</w:t>
      </w:r>
      <w:bookmarkEnd w:id="667"/>
      <w:bookmarkEnd w:id="668"/>
      <w:r>
        <w:rPr>
          <w:rFonts w:hint="eastAsia" w:ascii="黑体" w:hAnsi="黑体" w:eastAsia="黑体" w:cs="黑体"/>
          <w:bCs/>
          <w:color w:val="auto"/>
          <w:sz w:val="22"/>
          <w:szCs w:val="22"/>
          <w:highlight w:val="none"/>
        </w:rPr>
        <w:t>确</w:t>
      </w:r>
      <w:bookmarkStart w:id="669" w:name="_Toc296602456"/>
      <w:bookmarkStart w:id="670" w:name="_Toc152042343"/>
      <w:bookmarkStart w:id="671" w:name="_Toc246996954"/>
      <w:bookmarkStart w:id="672" w:name="_Toc144974535"/>
      <w:bookmarkStart w:id="673" w:name="_Toc152045567"/>
      <w:bookmarkStart w:id="674" w:name="_Toc179632585"/>
      <w:bookmarkStart w:id="675" w:name="_Toc247085725"/>
      <w:bookmarkStart w:id="676" w:name="_Toc246996211"/>
      <w:r>
        <w:rPr>
          <w:rFonts w:hint="eastAsia" w:ascii="黑体" w:hAnsi="黑体" w:eastAsia="黑体" w:cs="黑体"/>
          <w:bCs/>
          <w:color w:val="auto"/>
          <w:sz w:val="22"/>
          <w:szCs w:val="22"/>
          <w:highlight w:val="none"/>
        </w:rPr>
        <w:t>定</w:t>
      </w:r>
      <w:bookmarkEnd w:id="646"/>
      <w:bookmarkEnd w:id="647"/>
      <w:bookmarkEnd w:id="648"/>
      <w:bookmarkEnd w:id="649"/>
      <w:bookmarkEnd w:id="650"/>
      <w:bookmarkEnd w:id="651"/>
      <w:bookmarkEnd w:id="652"/>
      <w:bookmarkEnd w:id="653"/>
      <w:bookmarkEnd w:id="654"/>
    </w:p>
    <w:p w14:paraId="3A7E1258">
      <w:pPr>
        <w:shd w:val="clear"/>
        <w:wordWrap w:val="0"/>
        <w:spacing w:line="360" w:lineRule="exact"/>
        <w:ind w:firstLine="440" w:firstLineChars="200"/>
        <w:rPr>
          <w:rFonts w:cs="宋体" w:asciiTheme="minorEastAsia" w:hAnsiTheme="minorEastAsia" w:eastAsiaTheme="minorEastAsia"/>
          <w:bCs/>
          <w:color w:val="auto"/>
          <w:sz w:val="22"/>
          <w:szCs w:val="22"/>
          <w:highlight w:val="none"/>
        </w:rPr>
      </w:pPr>
      <w:bookmarkStart w:id="677" w:name="_Toc417913979"/>
      <w:r>
        <w:rPr>
          <w:rFonts w:hint="eastAsia" w:cs="宋体" w:asciiTheme="minorEastAsia" w:hAnsiTheme="minorEastAsia" w:eastAsiaTheme="minorEastAsia"/>
          <w:bCs/>
          <w:color w:val="auto"/>
          <w:sz w:val="22"/>
          <w:szCs w:val="22"/>
          <w:highlight w:val="none"/>
          <w:lang w:val="en-US" w:eastAsia="zh-CN"/>
        </w:rPr>
        <w:t>32.1</w:t>
      </w:r>
      <w:r>
        <w:rPr>
          <w:rFonts w:hint="eastAsia" w:cs="宋体" w:asciiTheme="minorEastAsia" w:hAnsiTheme="minorEastAsia" w:eastAsiaTheme="minorEastAsia"/>
          <w:bCs/>
          <w:color w:val="auto"/>
          <w:sz w:val="22"/>
          <w:szCs w:val="22"/>
          <w:highlight w:val="none"/>
        </w:rPr>
        <w:t>评标结束后，将中标供应商在招标公告发布的网址上进行公告，中标</w:t>
      </w:r>
      <w:r>
        <w:rPr>
          <w:color w:val="auto"/>
          <w:sz w:val="22"/>
          <w:szCs w:val="22"/>
          <w:highlight w:val="none"/>
        </w:rPr>
        <w:fldChar w:fldCharType="begin"/>
      </w:r>
      <w:r>
        <w:rPr>
          <w:color w:val="auto"/>
          <w:sz w:val="22"/>
          <w:szCs w:val="22"/>
          <w:highlight w:val="none"/>
        </w:rPr>
        <w:instrText xml:space="preserve"> HYPERLINK "http://www.yngp.com）上进行公示，公示期为1" </w:instrText>
      </w:r>
      <w:r>
        <w:rPr>
          <w:color w:val="auto"/>
          <w:sz w:val="22"/>
          <w:szCs w:val="22"/>
          <w:highlight w:val="none"/>
        </w:rPr>
        <w:fldChar w:fldCharType="separate"/>
      </w:r>
      <w:r>
        <w:rPr>
          <w:rFonts w:hint="eastAsia" w:cs="宋体" w:asciiTheme="minorEastAsia" w:hAnsiTheme="minorEastAsia" w:eastAsiaTheme="minorEastAsia"/>
          <w:bCs/>
          <w:color w:val="auto"/>
          <w:sz w:val="22"/>
          <w:szCs w:val="22"/>
          <w:highlight w:val="none"/>
        </w:rPr>
        <w:t>公告期限为1</w:t>
      </w:r>
      <w:r>
        <w:rPr>
          <w:rFonts w:hint="eastAsia" w:cs="宋体" w:asciiTheme="minorEastAsia" w:hAnsiTheme="minorEastAsia" w:eastAsiaTheme="minorEastAsia"/>
          <w:bCs/>
          <w:color w:val="auto"/>
          <w:sz w:val="22"/>
          <w:szCs w:val="22"/>
          <w:highlight w:val="none"/>
        </w:rPr>
        <w:fldChar w:fldCharType="end"/>
      </w:r>
      <w:r>
        <w:rPr>
          <w:rFonts w:hint="eastAsia" w:cs="宋体" w:asciiTheme="minorEastAsia" w:hAnsiTheme="minorEastAsia" w:eastAsiaTheme="minorEastAsia"/>
          <w:bCs/>
          <w:color w:val="auto"/>
          <w:sz w:val="22"/>
          <w:szCs w:val="22"/>
          <w:highlight w:val="none"/>
        </w:rPr>
        <w:t>个工作日。</w:t>
      </w:r>
    </w:p>
    <w:p w14:paraId="5326AEF7">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32.2</w:t>
      </w:r>
      <w:r>
        <w:rPr>
          <w:rFonts w:hint="eastAsia" w:cs="宋体" w:asciiTheme="minorEastAsia" w:hAnsiTheme="minorEastAsia" w:eastAsiaTheme="minorEastAsia"/>
          <w:bCs/>
          <w:color w:val="auto"/>
          <w:sz w:val="22"/>
          <w:szCs w:val="22"/>
          <w:highlight w:val="none"/>
        </w:rPr>
        <w:t>根据《中华人民共和国政府采购法》第十一条规定：政府采购的信息应当在政府采购监督管理部门指定的媒体上及时向社会公开发布。</w:t>
      </w:r>
      <w:bookmarkEnd w:id="669"/>
      <w:bookmarkEnd w:id="670"/>
      <w:bookmarkEnd w:id="671"/>
      <w:bookmarkEnd w:id="672"/>
      <w:bookmarkEnd w:id="673"/>
      <w:bookmarkEnd w:id="674"/>
      <w:bookmarkEnd w:id="675"/>
      <w:bookmarkEnd w:id="676"/>
      <w:bookmarkEnd w:id="677"/>
    </w:p>
    <w:p w14:paraId="53128DCF">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678" w:name="_Toc15259"/>
      <w:bookmarkStart w:id="679" w:name="_Toc15836"/>
      <w:bookmarkStart w:id="680" w:name="_Toc489145740"/>
      <w:bookmarkStart w:id="681" w:name="_Toc29829"/>
      <w:bookmarkStart w:id="682" w:name="_Toc14603894"/>
      <w:bookmarkStart w:id="683" w:name="_Toc17833"/>
      <w:bookmarkStart w:id="684" w:name="_Toc17735"/>
      <w:bookmarkStart w:id="685" w:name="_Toc489197844"/>
      <w:bookmarkStart w:id="686" w:name="_Toc18287406"/>
      <w:r>
        <w:rPr>
          <w:rFonts w:hint="eastAsia" w:ascii="黑体" w:hAnsi="黑体" w:eastAsia="黑体" w:cs="黑体"/>
          <w:bCs/>
          <w:color w:val="auto"/>
          <w:sz w:val="22"/>
          <w:szCs w:val="22"/>
          <w:highlight w:val="none"/>
        </w:rPr>
        <w:t>33. 中标通知书</w:t>
      </w:r>
      <w:bookmarkEnd w:id="678"/>
      <w:bookmarkEnd w:id="679"/>
      <w:bookmarkEnd w:id="680"/>
      <w:bookmarkEnd w:id="681"/>
      <w:bookmarkEnd w:id="682"/>
      <w:bookmarkEnd w:id="683"/>
      <w:bookmarkEnd w:id="684"/>
      <w:bookmarkEnd w:id="685"/>
      <w:bookmarkEnd w:id="686"/>
    </w:p>
    <w:p w14:paraId="732C483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bookmarkStart w:id="687" w:name="_Toc246996212"/>
      <w:bookmarkStart w:id="688" w:name="_Toc144974536"/>
      <w:bookmarkStart w:id="689" w:name="_Toc152042344"/>
      <w:bookmarkStart w:id="690" w:name="_Toc296602458"/>
      <w:bookmarkStart w:id="691" w:name="_Toc152045568"/>
      <w:bookmarkStart w:id="692" w:name="_Toc247085726"/>
      <w:bookmarkStart w:id="693" w:name="_Toc246996955"/>
      <w:bookmarkStart w:id="694" w:name="_Toc179632586"/>
      <w:r>
        <w:rPr>
          <w:rFonts w:hint="eastAsia" w:cs="宋体" w:asciiTheme="minorEastAsia" w:hAnsiTheme="minorEastAsia" w:eastAsiaTheme="minorEastAsia"/>
          <w:bCs/>
          <w:color w:val="auto"/>
          <w:sz w:val="22"/>
          <w:szCs w:val="22"/>
          <w:highlight w:val="none"/>
        </w:rPr>
        <w:t>33.1中标人确定之</w:t>
      </w:r>
      <w:bookmarkEnd w:id="687"/>
      <w:bookmarkEnd w:id="688"/>
      <w:bookmarkEnd w:id="689"/>
      <w:bookmarkEnd w:id="690"/>
      <w:bookmarkEnd w:id="691"/>
      <w:bookmarkEnd w:id="692"/>
      <w:bookmarkEnd w:id="693"/>
      <w:bookmarkEnd w:id="694"/>
      <w:r>
        <w:rPr>
          <w:rFonts w:hint="eastAsia" w:cs="宋体" w:asciiTheme="minorEastAsia" w:hAnsiTheme="minorEastAsia" w:eastAsiaTheme="minorEastAsia"/>
          <w:bCs/>
          <w:color w:val="auto"/>
          <w:sz w:val="22"/>
          <w:szCs w:val="22"/>
          <w:highlight w:val="none"/>
        </w:rPr>
        <w:t>日起</w:t>
      </w:r>
      <w:bookmarkStart w:id="695" w:name="_Toc296602460"/>
      <w:bookmarkStart w:id="696" w:name="_Toc152045570"/>
      <w:bookmarkStart w:id="697" w:name="_Toc179632588"/>
      <w:bookmarkStart w:id="698" w:name="_Toc247085728"/>
      <w:bookmarkStart w:id="699" w:name="_Toc144974538"/>
      <w:bookmarkStart w:id="700" w:name="_Toc246996957"/>
      <w:bookmarkStart w:id="701" w:name="_Toc246996214"/>
      <w:bookmarkStart w:id="702" w:name="_Toc152042346"/>
      <w:r>
        <w:rPr>
          <w:rFonts w:hint="eastAsia" w:cs="宋体" w:asciiTheme="minorEastAsia" w:hAnsiTheme="minorEastAsia" w:eastAsiaTheme="minorEastAsia"/>
          <w:bCs/>
          <w:color w:val="auto"/>
          <w:sz w:val="22"/>
          <w:szCs w:val="22"/>
          <w:highlight w:val="none"/>
        </w:rPr>
        <w:t>2个工作日内，采购代理机构向中标人发出中标通知书，并在财政部门指定的政府采购信息发布媒体上公告中标结果。中标公告期限为1个工作日。</w:t>
      </w:r>
    </w:p>
    <w:p w14:paraId="1AE6A20D">
      <w:pPr>
        <w:shd w:val="clear"/>
        <w:wordWrap w:val="0"/>
        <w:spacing w:line="360" w:lineRule="auto"/>
        <w:ind w:left="502"/>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33.2中标通知书是合同的一个组成部分。</w:t>
      </w:r>
    </w:p>
    <w:p w14:paraId="2421868C">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703" w:name="_Toc489197845"/>
      <w:bookmarkStart w:id="704" w:name="_Toc11630"/>
      <w:bookmarkStart w:id="705" w:name="_Toc12913"/>
      <w:bookmarkStart w:id="706" w:name="_Toc3291"/>
      <w:bookmarkStart w:id="707" w:name="_Toc14603895"/>
      <w:bookmarkStart w:id="708" w:name="_Toc489145741"/>
      <w:bookmarkStart w:id="709" w:name="_Toc25262"/>
      <w:bookmarkStart w:id="710" w:name="_Toc27889"/>
      <w:bookmarkStart w:id="711" w:name="_Toc18287407"/>
      <w:r>
        <w:rPr>
          <w:rFonts w:hint="eastAsia" w:ascii="黑体" w:hAnsi="黑体" w:eastAsia="黑体" w:cs="黑体"/>
          <w:bCs/>
          <w:color w:val="auto"/>
          <w:sz w:val="22"/>
          <w:szCs w:val="22"/>
          <w:highlight w:val="none"/>
        </w:rPr>
        <w:t>34. 签订合同</w:t>
      </w:r>
      <w:bookmarkEnd w:id="703"/>
      <w:bookmarkEnd w:id="704"/>
      <w:bookmarkEnd w:id="705"/>
      <w:bookmarkEnd w:id="706"/>
      <w:bookmarkEnd w:id="707"/>
      <w:bookmarkEnd w:id="708"/>
      <w:bookmarkEnd w:id="709"/>
      <w:bookmarkEnd w:id="710"/>
      <w:bookmarkEnd w:id="711"/>
    </w:p>
    <w:p w14:paraId="166BBA58">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34.1采购人应当自中</w:t>
      </w:r>
      <w:bookmarkEnd w:id="695"/>
      <w:bookmarkEnd w:id="696"/>
      <w:bookmarkEnd w:id="697"/>
      <w:bookmarkEnd w:id="698"/>
      <w:bookmarkEnd w:id="699"/>
      <w:bookmarkEnd w:id="700"/>
      <w:bookmarkEnd w:id="701"/>
      <w:bookmarkEnd w:id="702"/>
      <w:r>
        <w:rPr>
          <w:rFonts w:hint="eastAsia" w:cs="宋体" w:asciiTheme="minorEastAsia" w:hAnsiTheme="minorEastAsia" w:eastAsiaTheme="minorEastAsia"/>
          <w:bCs/>
          <w:color w:val="auto"/>
          <w:sz w:val="22"/>
          <w:szCs w:val="22"/>
          <w:highlight w:val="none"/>
        </w:rPr>
        <w:t>标通知书发出之日起30日内，按照招标文件和中标人投标文件的规定，与中标人签订书面合同。所签订的合同不得对招标文件确定的事项和中标人投标文件作实质性修改。</w:t>
      </w:r>
    </w:p>
    <w:p w14:paraId="065B7A4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34.2中标通知书发出后，中标人无正当理由放弃中标或拒签合同的，采购人取消其中标资格；给采购人造成的损失的，中标人还应当对超过部分予以赔偿。</w:t>
      </w:r>
    </w:p>
    <w:p w14:paraId="799F907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34.3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4C6E8B3B">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34.4政府采购合同应当包括采购人与中标人的名称和住所、标的、数量、质量、价款或者报酬、履行期限及地点和方式、验收要求、违约责任、解决争议的方法等内容。</w:t>
      </w:r>
    </w:p>
    <w:p w14:paraId="5985751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34.5政府采购合同履行中，采购人需追加与合同标的相同的货物、工程或者服务的，在不改变合同其他条款的前提下，可以与中标人协商签订补充合同，但所有补充合同的采购金额不得超过原合同采购金额的</w:t>
      </w:r>
      <w:r>
        <w:rPr>
          <w:rFonts w:hint="eastAsia" w:cs="宋体" w:asciiTheme="minorEastAsia" w:hAnsiTheme="minorEastAsia" w:eastAsiaTheme="minorEastAsia"/>
          <w:bCs/>
          <w:color w:val="auto"/>
          <w:sz w:val="22"/>
          <w:szCs w:val="22"/>
          <w:highlight w:val="none"/>
          <w:lang w:eastAsia="zh-CN"/>
        </w:rPr>
        <w:t>10%</w:t>
      </w:r>
      <w:r>
        <w:rPr>
          <w:rFonts w:hint="eastAsia" w:cs="宋体" w:asciiTheme="minorEastAsia" w:hAnsiTheme="minorEastAsia" w:eastAsiaTheme="minorEastAsia"/>
          <w:bCs/>
          <w:color w:val="auto"/>
          <w:sz w:val="22"/>
          <w:szCs w:val="22"/>
          <w:highlight w:val="none"/>
        </w:rPr>
        <w:t>。</w:t>
      </w:r>
    </w:p>
    <w:p w14:paraId="7EB455A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34.6除采购人与中标人在合同中另行商定将中标项目的非主体、非关键性工作分包的，中标人在中标后将中标项目分包的，采购人取消其中标资格，给采购人造成的损失的，中标人还应予以赔偿。</w:t>
      </w:r>
    </w:p>
    <w:p w14:paraId="4E1F1A5C">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712" w:name="_Toc18287408"/>
      <w:bookmarkStart w:id="713" w:name="_Toc3503"/>
      <w:bookmarkStart w:id="714" w:name="_Toc23692"/>
      <w:bookmarkStart w:id="715" w:name="_Toc489145742"/>
      <w:bookmarkStart w:id="716" w:name="_Toc489197846"/>
      <w:bookmarkStart w:id="717" w:name="_Toc26775"/>
      <w:bookmarkStart w:id="718" w:name="_Toc12484"/>
      <w:bookmarkStart w:id="719" w:name="_Toc14603896"/>
      <w:bookmarkStart w:id="720" w:name="_Toc3379"/>
      <w:r>
        <w:rPr>
          <w:rFonts w:hint="eastAsia" w:ascii="黑体" w:hAnsi="黑体" w:eastAsia="黑体" w:cs="黑体"/>
          <w:bCs/>
          <w:color w:val="auto"/>
          <w:sz w:val="22"/>
          <w:szCs w:val="22"/>
          <w:highlight w:val="none"/>
        </w:rPr>
        <w:t>35. 履约保证金</w:t>
      </w:r>
      <w:bookmarkEnd w:id="712"/>
      <w:bookmarkEnd w:id="713"/>
      <w:bookmarkEnd w:id="714"/>
      <w:bookmarkEnd w:id="715"/>
      <w:bookmarkEnd w:id="716"/>
      <w:bookmarkEnd w:id="717"/>
      <w:bookmarkEnd w:id="718"/>
      <w:bookmarkEnd w:id="719"/>
      <w:bookmarkEnd w:id="720"/>
    </w:p>
    <w:p w14:paraId="4C5BDFE9">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w:t>
      </w:r>
      <w:bookmarkStart w:id="721" w:name="_Toc417913982"/>
      <w:r>
        <w:rPr>
          <w:rFonts w:hint="eastAsia" w:cs="宋体" w:asciiTheme="minorEastAsia" w:hAnsiTheme="minorEastAsia" w:eastAsiaTheme="minorEastAsia"/>
          <w:bCs/>
          <w:color w:val="auto"/>
          <w:sz w:val="22"/>
          <w:szCs w:val="22"/>
          <w:highlight w:val="none"/>
        </w:rPr>
        <w:t>5.1签</w:t>
      </w:r>
      <w:bookmarkEnd w:id="721"/>
      <w:r>
        <w:rPr>
          <w:rFonts w:hint="eastAsia" w:cs="宋体" w:asciiTheme="minorEastAsia" w:hAnsiTheme="minorEastAsia" w:eastAsiaTheme="minorEastAsia"/>
          <w:bCs/>
          <w:color w:val="auto"/>
          <w:sz w:val="22"/>
          <w:szCs w:val="22"/>
          <w:highlight w:val="none"/>
        </w:rPr>
        <w:t>订合同前，中标人应按《投标人须知前附表》上确定的履约保证金的金额及形式，向采购人提交履约保证金，否则，视为放弃中标项目。</w:t>
      </w:r>
    </w:p>
    <w:p w14:paraId="699BC091">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35.2签订合同后，如中标人不按双方签订合同约定履约，则没收其全部履约保证金，给采购人造成的损失超过履约保证金数额的，中标人还应当对超过部分予以赔偿。</w:t>
      </w:r>
    </w:p>
    <w:p w14:paraId="24942C1C">
      <w:pPr>
        <w:shd w:val="clear"/>
        <w:wordWrap w:val="0"/>
        <w:spacing w:line="360" w:lineRule="auto"/>
        <w:ind w:firstLine="442" w:firstLineChars="200"/>
        <w:jc w:val="left"/>
        <w:rPr>
          <w:rFonts w:cs="宋体" w:asciiTheme="minorEastAsia" w:hAnsiTheme="minorEastAsia" w:eastAsiaTheme="minorEastAsia"/>
          <w:b/>
          <w:color w:val="auto"/>
          <w:sz w:val="22"/>
          <w:szCs w:val="22"/>
          <w:highlight w:val="none"/>
        </w:rPr>
      </w:pPr>
      <w:r>
        <w:rPr>
          <w:rFonts w:hint="eastAsia" w:cs="宋体" w:asciiTheme="minorEastAsia" w:hAnsiTheme="minorEastAsia" w:eastAsiaTheme="minorEastAsia"/>
          <w:b/>
          <w:color w:val="auto"/>
          <w:sz w:val="22"/>
          <w:szCs w:val="22"/>
          <w:highlight w:val="none"/>
        </w:rPr>
        <w:t>为支持和促进中小企业发展，进一步发挥政府采购政策功能，鼓励供应商使用保险/保函代替履约保证金，支持供应商基于中标项目进行应收</w:t>
      </w:r>
      <w:r>
        <w:rPr>
          <w:rFonts w:hint="eastAsia" w:cs="宋体" w:asciiTheme="minorEastAsia" w:hAnsiTheme="minorEastAsia" w:eastAsiaTheme="minorEastAsia"/>
          <w:b/>
          <w:color w:val="auto"/>
          <w:sz w:val="22"/>
          <w:szCs w:val="22"/>
          <w:highlight w:val="none"/>
          <w:lang w:eastAsia="zh-CN"/>
        </w:rPr>
        <w:t>账款</w:t>
      </w:r>
      <w:r>
        <w:rPr>
          <w:rFonts w:hint="eastAsia" w:cs="宋体" w:asciiTheme="minorEastAsia" w:hAnsiTheme="minorEastAsia" w:eastAsiaTheme="minorEastAsia"/>
          <w:b/>
          <w:color w:val="auto"/>
          <w:sz w:val="22"/>
          <w:szCs w:val="22"/>
          <w:highlight w:val="none"/>
        </w:rPr>
        <w:t>融资。供应商可登录【红河州政府采购金融服务平台】进行了解。直达连接：https://jinrong.zcygov.cn/luban/finance/honghe</w:t>
      </w:r>
    </w:p>
    <w:p w14:paraId="48807058">
      <w:pPr>
        <w:pStyle w:val="15"/>
        <w:shd w:val="clear"/>
        <w:rPr>
          <w:color w:val="auto"/>
          <w:sz w:val="22"/>
          <w:szCs w:val="22"/>
          <w:highlight w:val="none"/>
        </w:rPr>
      </w:pPr>
    </w:p>
    <w:p w14:paraId="6141DBEB">
      <w:pPr>
        <w:pStyle w:val="3"/>
        <w:shd w:val="clear"/>
        <w:wordWrap w:val="0"/>
        <w:spacing w:line="440" w:lineRule="exact"/>
        <w:ind w:left="482" w:firstLine="0"/>
        <w:outlineLvl w:val="1"/>
        <w:rPr>
          <w:rFonts w:hint="eastAsia" w:ascii="黑体" w:hAnsi="黑体" w:eastAsia="黑体" w:cs="黑体"/>
          <w:b/>
          <w:bCs w:val="0"/>
          <w:color w:val="auto"/>
          <w:sz w:val="22"/>
          <w:szCs w:val="22"/>
          <w:highlight w:val="none"/>
        </w:rPr>
      </w:pPr>
      <w:bookmarkStart w:id="722" w:name="_Toc230"/>
      <w:bookmarkStart w:id="723" w:name="_Toc489197847"/>
      <w:bookmarkStart w:id="724" w:name="_Toc18085"/>
      <w:bookmarkStart w:id="725" w:name="_Toc17636"/>
      <w:bookmarkStart w:id="726" w:name="_Toc3078"/>
      <w:bookmarkStart w:id="727" w:name="_Toc18287409"/>
      <w:bookmarkStart w:id="728" w:name="_Toc488633611"/>
      <w:bookmarkStart w:id="729" w:name="_Toc29078"/>
      <w:bookmarkStart w:id="730" w:name="_Toc489145743"/>
      <w:bookmarkStart w:id="731" w:name="_Toc14603897"/>
      <w:r>
        <w:rPr>
          <w:rFonts w:hint="eastAsia" w:ascii="黑体" w:hAnsi="黑体" w:eastAsia="黑体" w:cs="黑体"/>
          <w:b/>
          <w:bCs w:val="0"/>
          <w:color w:val="auto"/>
          <w:sz w:val="22"/>
          <w:szCs w:val="22"/>
          <w:highlight w:val="none"/>
        </w:rPr>
        <w:t>八、其他事项</w:t>
      </w:r>
      <w:bookmarkEnd w:id="722"/>
      <w:bookmarkEnd w:id="723"/>
      <w:bookmarkEnd w:id="724"/>
      <w:bookmarkEnd w:id="725"/>
      <w:bookmarkEnd w:id="726"/>
      <w:bookmarkEnd w:id="727"/>
      <w:bookmarkEnd w:id="728"/>
      <w:bookmarkEnd w:id="729"/>
      <w:bookmarkEnd w:id="730"/>
      <w:bookmarkEnd w:id="731"/>
    </w:p>
    <w:p w14:paraId="02EE909A">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732" w:name="_Toc19168"/>
      <w:bookmarkStart w:id="733" w:name="_Toc14603898"/>
      <w:bookmarkStart w:id="734" w:name="_Toc26003"/>
      <w:bookmarkStart w:id="735" w:name="_Toc18287410"/>
      <w:bookmarkStart w:id="736" w:name="_Toc24028"/>
      <w:bookmarkStart w:id="737" w:name="_Toc20854"/>
      <w:bookmarkStart w:id="738" w:name="_Toc489197848"/>
      <w:bookmarkStart w:id="739" w:name="_Toc489145744"/>
      <w:bookmarkStart w:id="740" w:name="_Toc8890"/>
      <w:r>
        <w:rPr>
          <w:rFonts w:hint="eastAsia" w:ascii="黑体" w:hAnsi="黑体" w:eastAsia="黑体" w:cs="黑体"/>
          <w:bCs/>
          <w:color w:val="auto"/>
          <w:sz w:val="22"/>
          <w:szCs w:val="22"/>
          <w:highlight w:val="none"/>
        </w:rPr>
        <w:t>36.采购代理服务费</w:t>
      </w:r>
      <w:bookmarkEnd w:id="732"/>
      <w:bookmarkEnd w:id="733"/>
      <w:bookmarkEnd w:id="734"/>
      <w:bookmarkEnd w:id="735"/>
      <w:bookmarkEnd w:id="736"/>
      <w:bookmarkEnd w:id="737"/>
      <w:bookmarkEnd w:id="738"/>
      <w:bookmarkEnd w:id="739"/>
      <w:bookmarkEnd w:id="740"/>
    </w:p>
    <w:p w14:paraId="6FB3705B">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无。</w:t>
      </w:r>
    </w:p>
    <w:p w14:paraId="6A14F021">
      <w:pPr>
        <w:shd w:val="clear"/>
        <w:wordWrap w:val="0"/>
        <w:spacing w:line="360" w:lineRule="auto"/>
        <w:ind w:firstLine="440" w:firstLineChars="200"/>
        <w:outlineLvl w:val="2"/>
        <w:rPr>
          <w:rFonts w:hint="eastAsia" w:ascii="黑体" w:hAnsi="黑体" w:eastAsia="黑体" w:cs="黑体"/>
          <w:bCs/>
          <w:color w:val="auto"/>
          <w:sz w:val="22"/>
          <w:szCs w:val="22"/>
          <w:highlight w:val="none"/>
        </w:rPr>
      </w:pPr>
      <w:bookmarkStart w:id="741" w:name="_Toc489197850"/>
      <w:bookmarkStart w:id="742" w:name="_Toc32282"/>
      <w:bookmarkStart w:id="743" w:name="_Toc29698"/>
      <w:bookmarkStart w:id="744" w:name="_Toc3196"/>
      <w:bookmarkStart w:id="745" w:name="_Toc489145746"/>
      <w:bookmarkStart w:id="746" w:name="_Toc14603900"/>
      <w:bookmarkStart w:id="747" w:name="_Toc29468"/>
      <w:bookmarkStart w:id="748" w:name="_Toc23330"/>
      <w:bookmarkStart w:id="749" w:name="_Toc18287411"/>
      <w:r>
        <w:rPr>
          <w:rFonts w:hint="eastAsia" w:ascii="黑体" w:hAnsi="黑体" w:eastAsia="黑体" w:cs="黑体"/>
          <w:bCs/>
          <w:color w:val="auto"/>
          <w:sz w:val="22"/>
          <w:szCs w:val="22"/>
          <w:highlight w:val="none"/>
        </w:rPr>
        <w:t>37.需要补充的其他内容</w:t>
      </w:r>
      <w:bookmarkEnd w:id="741"/>
      <w:bookmarkEnd w:id="742"/>
      <w:bookmarkEnd w:id="743"/>
      <w:bookmarkEnd w:id="744"/>
      <w:bookmarkEnd w:id="745"/>
      <w:bookmarkEnd w:id="746"/>
      <w:bookmarkEnd w:id="747"/>
      <w:bookmarkEnd w:id="748"/>
      <w:bookmarkEnd w:id="749"/>
    </w:p>
    <w:p w14:paraId="3BB0C82D">
      <w:pPr>
        <w:shd w:val="clear"/>
        <w:wordWrap w:val="0"/>
        <w:spacing w:line="360" w:lineRule="auto"/>
        <w:ind w:left="502"/>
        <w:jc w:val="left"/>
        <w:outlineLvl w:val="3"/>
        <w:rPr>
          <w:rFonts w:cs="宋体" w:asciiTheme="minorEastAsia" w:hAnsiTheme="minorEastAsia" w:eastAsiaTheme="minorEastAsia"/>
          <w:bCs/>
          <w:color w:val="auto"/>
          <w:sz w:val="22"/>
          <w:szCs w:val="22"/>
          <w:highlight w:val="none"/>
        </w:rPr>
      </w:pPr>
      <w:bookmarkStart w:id="750" w:name="_Toc489145747"/>
      <w:r>
        <w:rPr>
          <w:rFonts w:hint="eastAsia" w:cs="宋体" w:asciiTheme="minorEastAsia" w:hAnsiTheme="minorEastAsia" w:eastAsiaTheme="minorEastAsia"/>
          <w:bCs/>
          <w:color w:val="auto"/>
          <w:sz w:val="22"/>
          <w:szCs w:val="22"/>
          <w:highlight w:val="none"/>
        </w:rPr>
        <w:t>37.1关于中小企业：</w:t>
      </w:r>
    </w:p>
    <w:p w14:paraId="1F9B25A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(1)</w:t>
      </w:r>
      <w:r>
        <w:rPr>
          <w:rFonts w:hint="eastAsia" w:cs="宋体" w:asciiTheme="minorEastAsia" w:hAnsiTheme="minorEastAsia" w:eastAsiaTheme="minorEastAsia"/>
          <w:bCs/>
          <w:color w:val="auto"/>
          <w:sz w:val="22"/>
          <w:szCs w:val="22"/>
          <w:highlight w:val="none"/>
        </w:rPr>
        <w:t>根据《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4300F629">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(2)</w:t>
      </w:r>
      <w:r>
        <w:rPr>
          <w:rFonts w:hint="eastAsia" w:cs="宋体" w:asciiTheme="minorEastAsia" w:hAnsiTheme="minorEastAsia" w:eastAsiaTheme="minorEastAsia"/>
          <w:bCs/>
          <w:color w:val="auto"/>
          <w:sz w:val="22"/>
          <w:szCs w:val="22"/>
          <w:highlight w:val="none"/>
        </w:rPr>
        <w:t>符合中小企业划分标准的个体工商户，在政府采购活动中视同中小企业。</w:t>
      </w:r>
    </w:p>
    <w:p w14:paraId="31E711D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w:t>
      </w:r>
      <w:r>
        <w:rPr>
          <w:rFonts w:hint="eastAsia" w:cs="宋体" w:asciiTheme="minorEastAsia" w:hAnsiTheme="minorEastAsia" w:eastAsiaTheme="minorEastAsia"/>
          <w:bCs/>
          <w:color w:val="auto"/>
          <w:sz w:val="22"/>
          <w:szCs w:val="22"/>
          <w:highlight w:val="none"/>
        </w:rPr>
        <w:t>在政府采购活动中，投标人提供的货物、工程或者服务符合下列情形的，享受《关于进一步加大政府采购支持中小企业力度的通知》（财库〔2022〕19号）规定的中小企业扶持政策：</w:t>
      </w:r>
    </w:p>
    <w:p w14:paraId="3815608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（一）在货物采购项目中，货物由中小企业制造，即货物由中小企业生产且使用该中小企业商号或者注册商标；</w:t>
      </w:r>
    </w:p>
    <w:p w14:paraId="0A003DB8">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（二）在工程采购项目中，工程由中小企业承建，即工程施工单位为中小企业；</w:t>
      </w:r>
    </w:p>
    <w:p w14:paraId="3C56F33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（三）在服务采购项目中，服务由中小企业承接，即提供服务的人员为中小企业依照《中华人民共和国劳动合同法》订立劳动合同的从业人员。</w:t>
      </w:r>
    </w:p>
    <w:p w14:paraId="3612169B">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(4)</w:t>
      </w:r>
      <w:r>
        <w:rPr>
          <w:rFonts w:hint="eastAsia" w:cs="宋体" w:asciiTheme="minorEastAsia" w:hAnsiTheme="minorEastAsia" w:eastAsiaTheme="minorEastAsia"/>
          <w:bCs/>
          <w:color w:val="auto"/>
          <w:sz w:val="22"/>
          <w:szCs w:val="22"/>
          <w:highlight w:val="none"/>
        </w:rPr>
        <w:t>在货物采购项目中，投标人提供的货物既有中小企业制造货物，也有大型企业制造货物的，不享受本办法规定的中小企业扶持政策。</w:t>
      </w:r>
    </w:p>
    <w:p w14:paraId="79C9F36D">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(5)</w:t>
      </w:r>
      <w:r>
        <w:rPr>
          <w:rFonts w:hint="eastAsia" w:cs="宋体" w:asciiTheme="minorEastAsia" w:hAnsiTheme="minorEastAsia" w:eastAsiaTheme="minorEastAsia"/>
          <w:bCs/>
          <w:color w:val="auto"/>
          <w:sz w:val="22"/>
          <w:szCs w:val="22"/>
          <w:highlight w:val="none"/>
        </w:rPr>
        <w:t>以联合体形式参加政府采购活动，联合体各方均为中小企业的，联合体视同中小企业。其中，联合体各方均为小微企业的</w:t>
      </w:r>
      <w:r>
        <w:rPr>
          <w:rFonts w:hint="eastAsia" w:cs="宋体" w:asciiTheme="minorEastAsia" w:hAnsiTheme="minorEastAsia" w:eastAsiaTheme="minorEastAsia"/>
          <w:bCs/>
          <w:color w:val="auto"/>
          <w:sz w:val="22"/>
          <w:szCs w:val="22"/>
          <w:highlight w:val="none"/>
          <w:lang w:eastAsia="zh-CN"/>
        </w:rPr>
        <w:t>，</w:t>
      </w:r>
      <w:r>
        <w:rPr>
          <w:rFonts w:hint="eastAsia" w:cs="宋体" w:asciiTheme="minorEastAsia" w:hAnsiTheme="minorEastAsia" w:eastAsiaTheme="minorEastAsia"/>
          <w:bCs/>
          <w:color w:val="auto"/>
          <w:sz w:val="22"/>
          <w:szCs w:val="22"/>
          <w:highlight w:val="none"/>
        </w:rPr>
        <w:t>联合体视同小微企业。</w:t>
      </w:r>
    </w:p>
    <w:p w14:paraId="41C887B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(6)</w:t>
      </w:r>
      <w:r>
        <w:rPr>
          <w:rFonts w:hint="eastAsia" w:cs="宋体" w:asciiTheme="minorEastAsia" w:hAnsiTheme="minorEastAsia" w:eastAsiaTheme="minorEastAsia"/>
          <w:bCs/>
          <w:color w:val="auto"/>
          <w:sz w:val="22"/>
          <w:szCs w:val="22"/>
          <w:highlight w:val="none"/>
        </w:rPr>
        <w:t>中小企业参加政府采购活动，应当出具《关于进一步加大政府采购支持中小企业力度的通知》（财库〔2022〕19号）规定的《中小企业声明函》，否则不得享受相关中小企业扶持政策。</w:t>
      </w:r>
    </w:p>
    <w:p w14:paraId="485FEFC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(7)</w:t>
      </w:r>
      <w:r>
        <w:rPr>
          <w:rFonts w:hint="eastAsia" w:cs="宋体" w:asciiTheme="minorEastAsia" w:hAnsiTheme="minorEastAsia" w:eastAsiaTheme="minorEastAsia"/>
          <w:bCs/>
          <w:color w:val="auto"/>
          <w:sz w:val="22"/>
          <w:szCs w:val="22"/>
          <w:highlight w:val="none"/>
        </w:rPr>
        <w:t>规定依据《关于进一步加大政府采购支持中小企业力度的通知》（财库〔2022〕19号）规定享受扶持政策获得政府采购合同的，小微企业不得将合同分包给大中型企业，中型企业不得将合同分包给大型企业。</w:t>
      </w:r>
    </w:p>
    <w:p w14:paraId="516DF00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(8)</w:t>
      </w:r>
      <w:r>
        <w:rPr>
          <w:rFonts w:hint="eastAsia" w:cs="宋体" w:asciiTheme="minorEastAsia" w:hAnsiTheme="minorEastAsia" w:eastAsiaTheme="minorEastAsia"/>
          <w:bCs/>
          <w:color w:val="auto"/>
          <w:kern w:val="0"/>
          <w:sz w:val="22"/>
          <w:szCs w:val="22"/>
          <w:highlight w:val="none"/>
        </w:rPr>
        <w:t>本项目所属行业为</w:t>
      </w:r>
      <w:r>
        <w:rPr>
          <w:rFonts w:hint="eastAsia" w:cs="宋体" w:asciiTheme="minorEastAsia" w:hAnsiTheme="minorEastAsia" w:eastAsiaTheme="minorEastAsia"/>
          <w:bCs/>
          <w:color w:val="auto"/>
          <w:sz w:val="22"/>
          <w:szCs w:val="22"/>
          <w:highlight w:val="none"/>
        </w:rPr>
        <w:t>物业管理，符合条件的投标人应根据《关于印发中小企业划型标准规定的通知》中物业管理划型标准进行划型。</w:t>
      </w:r>
    </w:p>
    <w:p w14:paraId="535568B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(9)</w:t>
      </w:r>
      <w:r>
        <w:rPr>
          <w:rFonts w:hint="eastAsia" w:cs="宋体" w:asciiTheme="minorEastAsia" w:hAnsiTheme="minorEastAsia" w:eastAsiaTheme="minorEastAsia"/>
          <w:bCs/>
          <w:color w:val="auto"/>
          <w:sz w:val="22"/>
          <w:szCs w:val="22"/>
          <w:highlight w:val="none"/>
        </w:rPr>
        <w:t>中标、成交投标人享受本办法规定的中小企业扶持政策的，采购人、采购代理机构将</w:t>
      </w:r>
      <w:r>
        <w:rPr>
          <w:rFonts w:hint="eastAsia" w:cs="宋体" w:asciiTheme="minorEastAsia" w:hAnsiTheme="minorEastAsia" w:eastAsiaTheme="minorEastAsia"/>
          <w:bCs/>
          <w:color w:val="auto"/>
          <w:sz w:val="22"/>
          <w:szCs w:val="22"/>
          <w:highlight w:val="none"/>
          <w:lang w:eastAsia="zh-CN"/>
        </w:rPr>
        <w:t>对</w:t>
      </w:r>
      <w:r>
        <w:rPr>
          <w:rFonts w:hint="eastAsia" w:cs="宋体" w:asciiTheme="minorEastAsia" w:hAnsiTheme="minorEastAsia" w:eastAsiaTheme="minorEastAsia"/>
          <w:bCs/>
          <w:color w:val="auto"/>
          <w:sz w:val="22"/>
          <w:szCs w:val="22"/>
          <w:highlight w:val="none"/>
        </w:rPr>
        <w:t>中标、成交结果公开中标、成交投标人的《中小企业声明函》。</w:t>
      </w:r>
    </w:p>
    <w:p w14:paraId="2476B96B">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37.2关于残疾人福利性单位：</w:t>
      </w:r>
    </w:p>
    <w:p w14:paraId="118B28D7">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(1)</w:t>
      </w:r>
      <w:r>
        <w:rPr>
          <w:rFonts w:hint="eastAsia" w:cs="宋体" w:asciiTheme="minorEastAsia" w:hAnsiTheme="minorEastAsia" w:eastAsiaTheme="minorEastAsia"/>
          <w:bCs/>
          <w:color w:val="auto"/>
          <w:sz w:val="22"/>
          <w:szCs w:val="22"/>
          <w:highlight w:val="none"/>
        </w:rPr>
        <w:t>根据《三部门联合发布关于促进残疾人就业政府采购政策的通知》（财库〔2017〕141号）的规定，享受政府采购支持政策的残疾人福利性单位应当同时满足以下条件：</w:t>
      </w:r>
    </w:p>
    <w:p w14:paraId="79DFF8BC">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（一）安置的残疾人占本单位在职职工人数的比例不低于25%（含25%），并且安置的残疾人人数不少于10人（含10人）；</w:t>
      </w:r>
    </w:p>
    <w:p w14:paraId="451A8452">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（二）依法与安置的每位残疾人签订了一年以上（含一年）的劳动合同或服务协议；</w:t>
      </w:r>
    </w:p>
    <w:p w14:paraId="253772F8">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（三）为安置的每位残疾人按月足额缴纳了基本养老保险、基本医疗保险、失业保险、工伤保险和生育保险等社会保险费；</w:t>
      </w:r>
    </w:p>
    <w:p w14:paraId="065F3D5F">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（四）通过银行等金融机构向安置的每位残疾人，按月支付了不低于单位所在区县适用的经省级人民政府批准的月最低工资标准的工资；</w:t>
      </w:r>
    </w:p>
    <w:p w14:paraId="1AD870F0">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（五）提供本单位制造的货物、承担的工程或者服务（以下简称产品），或者提供其他残疾人福利性单位制造的货物（不包括使用非残疾人福利性单位注册商标的货物）。</w:t>
      </w:r>
    </w:p>
    <w:p w14:paraId="0C6925E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1BD7D6">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(2)</w:t>
      </w:r>
      <w:r>
        <w:rPr>
          <w:rFonts w:hint="eastAsia" w:cs="宋体" w:asciiTheme="minorEastAsia" w:hAnsiTheme="minorEastAsia" w:eastAsiaTheme="minorEastAsia"/>
          <w:bCs/>
          <w:color w:val="auto"/>
          <w:sz w:val="22"/>
          <w:szCs w:val="22"/>
          <w:highlight w:val="none"/>
        </w:rPr>
        <w:t>符合条件的残疾人福利性单位在参加政府采购活动时，应当按《三部门联合发布关于促进残疾人就业政府采购政策的通知》（财库〔2017〕141号）提供规定的《残疾人福利性单位声明函》，并对声明的真实性负责。</w:t>
      </w:r>
    </w:p>
    <w:p w14:paraId="00D4B391">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w:t>
      </w:r>
      <w:r>
        <w:rPr>
          <w:rFonts w:hint="eastAsia" w:cs="宋体" w:asciiTheme="minorEastAsia" w:hAnsiTheme="minorEastAsia" w:eastAsiaTheme="minorEastAsia"/>
          <w:bCs/>
          <w:color w:val="auto"/>
          <w:sz w:val="22"/>
          <w:szCs w:val="22"/>
          <w:highlight w:val="none"/>
        </w:rPr>
        <w:t>本项目针对残疾人福利性单位价格给予10%的扣除，用扣除后的价格参与评审。残疾人福利性单位属于小型、微型企业的，不重复享受政策。（</w:t>
      </w:r>
      <w:r>
        <w:rPr>
          <w:rFonts w:hint="eastAsia" w:ascii="宋体" w:hAnsi="宋体"/>
          <w:color w:val="auto"/>
          <w:sz w:val="22"/>
          <w:szCs w:val="22"/>
          <w:highlight w:val="none"/>
        </w:rPr>
        <w:t>中小微企业预留项目不享受价格扣除</w:t>
      </w:r>
      <w:r>
        <w:rPr>
          <w:rFonts w:hint="eastAsia" w:cs="宋体" w:asciiTheme="minorEastAsia" w:hAnsiTheme="minorEastAsia" w:eastAsiaTheme="minorEastAsia"/>
          <w:bCs/>
          <w:color w:val="auto"/>
          <w:sz w:val="22"/>
          <w:szCs w:val="22"/>
          <w:highlight w:val="none"/>
        </w:rPr>
        <w:t>）</w:t>
      </w:r>
    </w:p>
    <w:p w14:paraId="398A346E">
      <w:pPr>
        <w:shd w:val="clear"/>
        <w:wordWrap w:val="0"/>
        <w:spacing w:line="360" w:lineRule="auto"/>
        <w:ind w:firstLine="440" w:firstLineChars="200"/>
        <w:jc w:val="left"/>
        <w:outlineLvl w:val="3"/>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rPr>
        <w:t>37.3关于节能产品及环境标志产品：</w:t>
      </w:r>
    </w:p>
    <w:p w14:paraId="570035D7">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(1)</w:t>
      </w:r>
      <w:r>
        <w:rPr>
          <w:rFonts w:hint="eastAsia" w:cs="宋体" w:asciiTheme="minorEastAsia" w:hAnsiTheme="minorEastAsia" w:eastAsiaTheme="minorEastAsia"/>
          <w:bCs/>
          <w:color w:val="auto"/>
          <w:sz w:val="22"/>
          <w:szCs w:val="22"/>
          <w:highlight w:val="none"/>
        </w:rPr>
        <w:t>根据《财政部 发展改革委 生态环境部 市场监管总局 关于调整优化节能产品、环境标志产品政府采购执行机制的通知》（财库〔2019〕9号），对政府采购节能产品、环境标志产品实施品目清单管理。</w:t>
      </w:r>
    </w:p>
    <w:p w14:paraId="15BB5375">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(2)</w:t>
      </w:r>
      <w:r>
        <w:rPr>
          <w:rFonts w:hint="eastAsia" w:cs="宋体" w:asciiTheme="minorEastAsia" w:hAnsiTheme="minorEastAsia" w:eastAsiaTheme="minorEastAsia"/>
          <w:bCs/>
          <w:color w:val="auto"/>
          <w:sz w:val="22"/>
          <w:szCs w:val="22"/>
          <w:highlight w:val="none"/>
        </w:rPr>
        <w:t>节能产品是指列入财政部和发展改革委公布的《关于印发节能产品政府采购品目清单的通知》（财库〔2019〕19号）《节能产品政府采购品目清单》中的产品。</w:t>
      </w:r>
    </w:p>
    <w:p w14:paraId="040B647E">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(3)</w:t>
      </w:r>
      <w:r>
        <w:rPr>
          <w:rFonts w:hint="eastAsia" w:cs="宋体" w:asciiTheme="minorEastAsia" w:hAnsiTheme="minorEastAsia" w:eastAsiaTheme="minorEastAsia"/>
          <w:bCs/>
          <w:color w:val="auto"/>
          <w:sz w:val="22"/>
          <w:szCs w:val="22"/>
          <w:highlight w:val="none"/>
        </w:rPr>
        <w:t>环境标志产品是指列入财政部和生态环境部公布的《关于印发环境标志产品政府采购品目清单的通知》（财库〔2019〕18号）《环境标志产品政府采购品目清单》中的产品。</w:t>
      </w:r>
    </w:p>
    <w:p w14:paraId="67F4D14B">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(4)</w:t>
      </w:r>
      <w:r>
        <w:rPr>
          <w:rFonts w:hint="eastAsia" w:cs="宋体" w:asciiTheme="minorEastAsia" w:hAnsiTheme="minorEastAsia" w:eastAsiaTheme="minorEastAsia"/>
          <w:bCs/>
          <w:color w:val="auto"/>
          <w:sz w:val="22"/>
          <w:szCs w:val="22"/>
          <w:highlight w:val="none"/>
        </w:rPr>
        <w:t>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2BC30DAA">
      <w:pPr>
        <w:shd w:val="clear"/>
        <w:wordWrap w:val="0"/>
        <w:spacing w:line="360" w:lineRule="auto"/>
        <w:ind w:firstLine="440" w:firstLineChars="200"/>
        <w:jc w:val="left"/>
        <w:rPr>
          <w:rFonts w:cs="宋体" w:asciiTheme="minorEastAsia" w:hAnsiTheme="minorEastAsia" w:eastAsiaTheme="minorEastAsia"/>
          <w:bCs/>
          <w:color w:val="auto"/>
          <w:sz w:val="22"/>
          <w:szCs w:val="22"/>
          <w:highlight w:val="none"/>
        </w:rPr>
      </w:pPr>
      <w:r>
        <w:rPr>
          <w:rFonts w:hint="eastAsia" w:cs="宋体" w:asciiTheme="minorEastAsia" w:hAnsiTheme="minorEastAsia" w:eastAsiaTheme="minorEastAsia"/>
          <w:bCs/>
          <w:color w:val="auto"/>
          <w:sz w:val="22"/>
          <w:szCs w:val="22"/>
          <w:highlight w:val="none"/>
          <w:lang w:val="en-US" w:eastAsia="zh-CN"/>
        </w:rPr>
        <w:t>(5)</w:t>
      </w:r>
      <w:r>
        <w:rPr>
          <w:rFonts w:hint="eastAsia" w:cs="宋体" w:asciiTheme="minorEastAsia" w:hAnsiTheme="minorEastAsia" w:eastAsiaTheme="minorEastAsia"/>
          <w:bCs/>
          <w:color w:val="auto"/>
          <w:sz w:val="22"/>
          <w:szCs w:val="22"/>
          <w:highlight w:val="none"/>
        </w:rPr>
        <w:t>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Start w:id="751" w:name="_Toc152042355"/>
      <w:bookmarkStart w:id="752" w:name="_Toc144974546"/>
    </w:p>
    <w:bookmarkEnd w:id="751"/>
    <w:bookmarkEnd w:id="752"/>
    <w:p w14:paraId="394A9C3E">
      <w:pPr>
        <w:shd w:val="clear"/>
        <w:tabs>
          <w:tab w:val="left" w:pos="1155"/>
          <w:tab w:val="left" w:pos="2865"/>
          <w:tab w:val="left" w:pos="5307"/>
          <w:tab w:val="left" w:pos="5595"/>
          <w:tab w:val="left" w:pos="6620"/>
          <w:tab w:val="left" w:pos="7940"/>
        </w:tabs>
        <w:spacing w:line="360" w:lineRule="auto"/>
        <w:ind w:right="-109" w:rightChars="-52"/>
        <w:rPr>
          <w:rFonts w:cs="宋体" w:asciiTheme="minorEastAsia" w:hAnsiTheme="minorEastAsia" w:eastAsiaTheme="minorEastAsia"/>
          <w:bCs/>
          <w:color w:val="auto"/>
          <w:szCs w:val="32"/>
          <w:highlight w:val="none"/>
        </w:rPr>
      </w:pPr>
      <w:r>
        <w:rPr>
          <w:rFonts w:hint="eastAsia" w:cs="宋体" w:asciiTheme="minorEastAsia" w:hAnsiTheme="minorEastAsia" w:eastAsiaTheme="minorEastAsia"/>
          <w:bCs/>
          <w:color w:val="auto"/>
          <w:szCs w:val="32"/>
          <w:highlight w:val="none"/>
        </w:rPr>
        <w:br w:type="page"/>
      </w:r>
    </w:p>
    <w:bookmarkEnd w:id="750"/>
    <w:p w14:paraId="5EB12474">
      <w:pPr>
        <w:pStyle w:val="2"/>
        <w:shd w:val="clear"/>
        <w:wordWrap w:val="0"/>
        <w:outlineLvl w:val="0"/>
        <w:rPr>
          <w:rFonts w:hint="eastAsia" w:ascii="黑体" w:hAnsi="黑体" w:eastAsia="黑体" w:cs="黑体"/>
          <w:b/>
          <w:bCs/>
          <w:color w:val="auto"/>
          <w:highlight w:val="none"/>
          <w:lang w:eastAsia="zh-CN"/>
        </w:rPr>
      </w:pPr>
      <w:bookmarkStart w:id="753" w:name="_Toc1588"/>
      <w:bookmarkStart w:id="754" w:name="_Toc489145749"/>
      <w:bookmarkStart w:id="755" w:name="_Toc11563"/>
      <w:r>
        <w:rPr>
          <w:rFonts w:hint="eastAsia" w:ascii="黑体" w:hAnsi="黑体" w:eastAsia="黑体" w:cs="黑体"/>
          <w:b/>
          <w:bCs/>
          <w:color w:val="auto"/>
          <w:highlight w:val="none"/>
          <w:lang w:eastAsia="zh-CN"/>
        </w:rPr>
        <w:t>第三章 合同基本格式</w:t>
      </w:r>
      <w:bookmarkEnd w:id="753"/>
    </w:p>
    <w:p w14:paraId="503BB161">
      <w:pPr>
        <w:shd w:val="clear"/>
        <w:spacing w:after="240"/>
        <w:rPr>
          <w:rFonts w:cs="宋体" w:asciiTheme="minorEastAsia" w:hAnsiTheme="minorEastAsia" w:eastAsiaTheme="minorEastAsia"/>
          <w:b/>
          <w:color w:val="auto"/>
          <w:kern w:val="0"/>
          <w:sz w:val="28"/>
          <w:szCs w:val="28"/>
          <w:highlight w:val="none"/>
        </w:rPr>
      </w:pPr>
      <w:r>
        <w:rPr>
          <w:rFonts w:hint="eastAsia"/>
          <w:color w:val="auto"/>
          <w:highlight w:val="none"/>
        </w:rPr>
        <w:t>注：以下合同格式仅供招标阶段参考，具体合同条款及内容待双方签订合同时商榷。</w:t>
      </w:r>
    </w:p>
    <w:p w14:paraId="5037422F">
      <w:pPr>
        <w:shd w:val="clear"/>
        <w:spacing w:after="240"/>
        <w:rPr>
          <w:rFonts w:ascii="宋体" w:hAnsi="宋体" w:cs="Tahoma"/>
          <w:color w:val="auto"/>
          <w:highlight w:val="none"/>
        </w:rPr>
      </w:pPr>
      <w:r>
        <w:rPr>
          <w:rFonts w:hint="eastAsia" w:ascii="宋体" w:hAnsi="宋体" w:cs="Tahoma"/>
          <w:color w:val="auto"/>
          <w:highlight w:val="none"/>
        </w:rPr>
        <w:t>合同编号：              合同自编号：           招标编号：</w:t>
      </w:r>
    </w:p>
    <w:p w14:paraId="68FA194C">
      <w:pPr>
        <w:shd w:val="clear"/>
        <w:spacing w:after="240"/>
        <w:jc w:val="center"/>
        <w:rPr>
          <w:rFonts w:ascii="宋体" w:hAnsi="宋体" w:cs="Tahoma"/>
          <w:color w:val="auto"/>
          <w:highlight w:val="none"/>
        </w:rPr>
      </w:pPr>
      <w:r>
        <w:rPr>
          <w:rFonts w:hint="eastAsia" w:ascii="宋体" w:hAnsi="宋体" w:cs="Tahoma"/>
          <w:color w:val="auto"/>
          <w:highlight w:val="none"/>
        </w:rPr>
        <w:t>●本合同须加盖甲乙双方骑缝章有效</w:t>
      </w:r>
    </w:p>
    <w:p w14:paraId="5B7C0E47">
      <w:pPr>
        <w:pStyle w:val="2"/>
        <w:shd w:val="clear"/>
        <w:outlineLvl w:val="9"/>
        <w:rPr>
          <w:color w:val="auto"/>
          <w:highlight w:val="none"/>
        </w:rPr>
      </w:pPr>
    </w:p>
    <w:p w14:paraId="0258FF18">
      <w:pPr>
        <w:shd w:val="clear"/>
        <w:spacing w:line="360" w:lineRule="auto"/>
        <w:ind w:firstLine="690" w:firstLineChars="177"/>
        <w:jc w:val="center"/>
        <w:rPr>
          <w:rFonts w:hint="eastAsia" w:ascii="宋体" w:hAnsi="宋体" w:cs="Tahoma"/>
          <w:color w:val="auto"/>
          <w:sz w:val="39"/>
          <w:szCs w:val="39"/>
          <w:highlight w:val="none"/>
        </w:rPr>
      </w:pPr>
    </w:p>
    <w:p w14:paraId="6CA5A63F">
      <w:pPr>
        <w:shd w:val="clear"/>
        <w:spacing w:line="360" w:lineRule="auto"/>
        <w:ind w:firstLine="690" w:firstLineChars="177"/>
        <w:jc w:val="center"/>
        <w:rPr>
          <w:rFonts w:ascii="宋体" w:hAnsi="宋体" w:cs="Tahoma"/>
          <w:color w:val="auto"/>
          <w:sz w:val="39"/>
          <w:szCs w:val="39"/>
          <w:highlight w:val="none"/>
        </w:rPr>
      </w:pPr>
      <w:r>
        <w:rPr>
          <w:rFonts w:hint="eastAsia" w:ascii="宋体" w:hAnsi="宋体" w:cs="Tahoma"/>
          <w:color w:val="auto"/>
          <w:sz w:val="39"/>
          <w:szCs w:val="39"/>
          <w:highlight w:val="none"/>
        </w:rPr>
        <w:t>云南省政府采购</w:t>
      </w:r>
    </w:p>
    <w:p w14:paraId="48EC500A">
      <w:pPr>
        <w:pStyle w:val="2"/>
        <w:shd w:val="clear"/>
        <w:outlineLvl w:val="9"/>
        <w:rPr>
          <w:color w:val="auto"/>
          <w:highlight w:val="none"/>
        </w:rPr>
      </w:pPr>
    </w:p>
    <w:p w14:paraId="2BCAA56F">
      <w:pPr>
        <w:shd w:val="clear"/>
        <w:rPr>
          <w:color w:val="auto"/>
          <w:highlight w:val="none"/>
        </w:rPr>
      </w:pPr>
    </w:p>
    <w:p w14:paraId="717881FC">
      <w:pPr>
        <w:shd w:val="clear"/>
        <w:spacing w:after="240"/>
        <w:rPr>
          <w:rFonts w:ascii="宋体" w:hAnsi="宋体" w:cs="Tahoma"/>
          <w:color w:val="auto"/>
          <w:sz w:val="18"/>
          <w:szCs w:val="18"/>
          <w:highlight w:val="none"/>
        </w:rPr>
      </w:pPr>
    </w:p>
    <w:p w14:paraId="7700F6B5">
      <w:pPr>
        <w:shd w:val="clear"/>
        <w:spacing w:after="240"/>
        <w:jc w:val="center"/>
        <w:outlineLvl w:val="9"/>
        <w:rPr>
          <w:rFonts w:ascii="宋体" w:hAnsi="宋体" w:cs="Tahoma"/>
          <w:color w:val="auto"/>
          <w:sz w:val="18"/>
          <w:szCs w:val="18"/>
          <w:highlight w:val="none"/>
        </w:rPr>
      </w:pPr>
      <w:r>
        <w:rPr>
          <w:rFonts w:hint="eastAsia" w:ascii="宋体" w:hAnsi="宋体" w:cs="Tahoma"/>
          <w:color w:val="auto"/>
          <w:sz w:val="18"/>
          <w:szCs w:val="18"/>
          <w:highlight w:val="none"/>
        </w:rPr>
        <w:t xml:space="preserve"> </w:t>
      </w:r>
    </w:p>
    <w:p w14:paraId="76E8CC65">
      <w:pPr>
        <w:pStyle w:val="2"/>
        <w:shd w:val="clear"/>
        <w:jc w:val="both"/>
        <w:outlineLvl w:val="9"/>
        <w:rPr>
          <w:color w:val="auto"/>
          <w:highlight w:val="none"/>
        </w:rPr>
      </w:pPr>
    </w:p>
    <w:p w14:paraId="7BBE3532">
      <w:pPr>
        <w:shd w:val="clear"/>
        <w:spacing w:after="240" w:line="480" w:lineRule="auto"/>
        <w:jc w:val="center"/>
        <w:outlineLvl w:val="1"/>
        <w:rPr>
          <w:rFonts w:ascii="宋体" w:hAnsi="宋体" w:cs="Tahoma"/>
          <w:color w:val="auto"/>
          <w:sz w:val="72"/>
          <w:szCs w:val="72"/>
          <w:highlight w:val="none"/>
        </w:rPr>
      </w:pPr>
      <w:bookmarkStart w:id="756" w:name="_Toc4876"/>
      <w:bookmarkStart w:id="757" w:name="_Toc8829"/>
      <w:bookmarkStart w:id="758" w:name="_Toc17890"/>
      <w:r>
        <w:rPr>
          <w:rFonts w:hint="eastAsia" w:ascii="宋体" w:hAnsi="宋体" w:cs="Tahoma"/>
          <w:b/>
          <w:bCs/>
          <w:color w:val="auto"/>
          <w:sz w:val="72"/>
          <w:szCs w:val="72"/>
          <w:highlight w:val="none"/>
        </w:rPr>
        <w:t>合</w:t>
      </w:r>
      <w:bookmarkEnd w:id="756"/>
      <w:bookmarkEnd w:id="757"/>
      <w:bookmarkEnd w:id="758"/>
      <w:r>
        <w:rPr>
          <w:rFonts w:hint="eastAsia" w:ascii="宋体" w:hAnsi="宋体" w:cs="Tahoma"/>
          <w:color w:val="auto"/>
          <w:sz w:val="72"/>
          <w:szCs w:val="72"/>
          <w:highlight w:val="none"/>
        </w:rPr>
        <w:t xml:space="preserve"> </w:t>
      </w:r>
    </w:p>
    <w:p w14:paraId="4A4D4E85">
      <w:pPr>
        <w:shd w:val="clear"/>
        <w:spacing w:after="240" w:line="480" w:lineRule="auto"/>
        <w:jc w:val="center"/>
        <w:rPr>
          <w:rFonts w:ascii="宋体" w:hAnsi="宋体" w:cs="Tahoma"/>
          <w:b/>
          <w:bCs/>
          <w:color w:val="auto"/>
          <w:sz w:val="72"/>
          <w:szCs w:val="72"/>
          <w:highlight w:val="none"/>
        </w:rPr>
      </w:pPr>
      <w:r>
        <w:rPr>
          <w:rFonts w:hint="eastAsia" w:ascii="宋体" w:hAnsi="宋体" w:cs="Tahoma"/>
          <w:b/>
          <w:bCs/>
          <w:color w:val="auto"/>
          <w:sz w:val="72"/>
          <w:szCs w:val="72"/>
          <w:highlight w:val="none"/>
        </w:rPr>
        <w:t>同</w:t>
      </w:r>
    </w:p>
    <w:p w14:paraId="71DCE4CC">
      <w:pPr>
        <w:shd w:val="clear"/>
        <w:spacing w:after="240" w:line="480" w:lineRule="auto"/>
        <w:jc w:val="center"/>
        <w:rPr>
          <w:rFonts w:ascii="宋体" w:hAnsi="宋体" w:cs="Tahoma"/>
          <w:b/>
          <w:bCs/>
          <w:color w:val="auto"/>
          <w:sz w:val="52"/>
          <w:szCs w:val="52"/>
          <w:highlight w:val="none"/>
        </w:rPr>
      </w:pPr>
      <w:r>
        <w:rPr>
          <w:rFonts w:hint="eastAsia" w:ascii="宋体" w:hAnsi="宋体" w:cs="Tahoma"/>
          <w:b/>
          <w:bCs/>
          <w:color w:val="auto"/>
          <w:sz w:val="72"/>
          <w:szCs w:val="72"/>
          <w:highlight w:val="none"/>
        </w:rPr>
        <w:t>书</w:t>
      </w:r>
      <w:r>
        <w:rPr>
          <w:rFonts w:hint="eastAsia" w:ascii="宋体" w:hAnsi="宋体" w:cs="Tahoma"/>
          <w:b/>
          <w:bCs/>
          <w:color w:val="auto"/>
          <w:sz w:val="52"/>
          <w:szCs w:val="52"/>
          <w:highlight w:val="none"/>
        </w:rPr>
        <w:t xml:space="preserve"> </w:t>
      </w:r>
    </w:p>
    <w:p w14:paraId="3C2F53D3">
      <w:pPr>
        <w:shd w:val="clear"/>
        <w:rPr>
          <w:color w:val="auto"/>
          <w:highlight w:val="none"/>
        </w:rPr>
      </w:pPr>
    </w:p>
    <w:p w14:paraId="3EBD3A74">
      <w:pPr>
        <w:shd w:val="clear"/>
        <w:spacing w:after="240"/>
        <w:jc w:val="center"/>
        <w:rPr>
          <w:rFonts w:ascii="宋体" w:hAnsi="宋体" w:cs="Tahoma"/>
          <w:b/>
          <w:bCs/>
          <w:color w:val="auto"/>
          <w:sz w:val="27"/>
          <w:szCs w:val="27"/>
          <w:highlight w:val="none"/>
        </w:rPr>
      </w:pPr>
      <w:r>
        <w:rPr>
          <w:rFonts w:hint="eastAsia" w:ascii="宋体" w:hAnsi="宋体" w:cs="Tahoma"/>
          <w:b/>
          <w:bCs/>
          <w:color w:val="auto"/>
          <w:sz w:val="27"/>
          <w:szCs w:val="27"/>
          <w:highlight w:val="none"/>
        </w:rPr>
        <w:t>签订地点</w:t>
      </w:r>
      <w:r>
        <w:rPr>
          <w:rFonts w:hint="eastAsia" w:ascii="宋体" w:hAnsi="宋体" w:cs="Tahoma"/>
          <w:b/>
          <w:bCs/>
          <w:color w:val="auto"/>
          <w:sz w:val="27"/>
          <w:szCs w:val="27"/>
          <w:highlight w:val="none"/>
          <w:lang w:eastAsia="zh-CN"/>
        </w:rPr>
        <w:t>：</w:t>
      </w:r>
      <w:r>
        <w:rPr>
          <w:rFonts w:hint="eastAsia" w:ascii="宋体" w:hAnsi="宋体" w:cs="Tahoma"/>
          <w:b/>
          <w:bCs/>
          <w:color w:val="auto"/>
          <w:sz w:val="27"/>
          <w:szCs w:val="27"/>
          <w:highlight w:val="none"/>
          <w:lang w:val="en-US" w:eastAsia="zh-CN"/>
        </w:rPr>
        <w:t xml:space="preserve">           </w:t>
      </w:r>
      <w:r>
        <w:rPr>
          <w:rFonts w:hint="eastAsia" w:ascii="宋体" w:hAnsi="宋体" w:cs="Tahoma"/>
          <w:b/>
          <w:bCs/>
          <w:color w:val="auto"/>
          <w:sz w:val="27"/>
          <w:szCs w:val="27"/>
          <w:highlight w:val="none"/>
        </w:rPr>
        <w:t>签订日期</w:t>
      </w:r>
      <w:r>
        <w:rPr>
          <w:rFonts w:hint="eastAsia" w:ascii="宋体" w:hAnsi="宋体" w:cs="Tahoma"/>
          <w:b/>
          <w:bCs/>
          <w:color w:val="auto"/>
          <w:sz w:val="27"/>
          <w:szCs w:val="27"/>
          <w:highlight w:val="none"/>
          <w:lang w:eastAsia="zh-CN"/>
        </w:rPr>
        <w:t>：</w:t>
      </w:r>
      <w:r>
        <w:rPr>
          <w:rFonts w:hint="eastAsia" w:ascii="宋体" w:hAnsi="宋体" w:cs="Tahoma"/>
          <w:b/>
          <w:bCs/>
          <w:color w:val="auto"/>
          <w:sz w:val="27"/>
          <w:szCs w:val="27"/>
          <w:highlight w:val="none"/>
        </w:rPr>
        <w:t xml:space="preserve">    年 </w:t>
      </w:r>
      <w:r>
        <w:rPr>
          <w:rFonts w:ascii="宋体" w:hAnsi="宋体" w:cs="Tahoma"/>
          <w:b/>
          <w:bCs/>
          <w:color w:val="auto"/>
          <w:sz w:val="27"/>
          <w:szCs w:val="27"/>
          <w:highlight w:val="none"/>
        </w:rPr>
        <w:t xml:space="preserve"> </w:t>
      </w:r>
      <w:r>
        <w:rPr>
          <w:rFonts w:hint="eastAsia" w:ascii="宋体" w:hAnsi="宋体" w:cs="Tahoma"/>
          <w:b/>
          <w:bCs/>
          <w:color w:val="auto"/>
          <w:sz w:val="27"/>
          <w:szCs w:val="27"/>
          <w:highlight w:val="none"/>
        </w:rPr>
        <w:t xml:space="preserve">月  日 </w:t>
      </w:r>
    </w:p>
    <w:p w14:paraId="2342F5F0">
      <w:pPr>
        <w:pStyle w:val="36"/>
        <w:shd w:val="clear"/>
        <w:jc w:val="center"/>
        <w:rPr>
          <w:color w:val="auto"/>
          <w:highlight w:val="none"/>
        </w:rPr>
      </w:pPr>
      <w:r>
        <w:rPr>
          <w:rFonts w:hint="eastAsia" w:cs="Tahoma"/>
          <w:b/>
          <w:bCs/>
          <w:color w:val="auto"/>
          <w:sz w:val="27"/>
          <w:szCs w:val="27"/>
          <w:highlight w:val="none"/>
        </w:rPr>
        <w:t>云南省财政厅</w:t>
      </w:r>
      <w:r>
        <w:rPr>
          <w:rFonts w:hint="eastAsia" w:cs="Tahoma"/>
          <w:b/>
          <w:bCs/>
          <w:color w:val="auto"/>
          <w:sz w:val="27"/>
          <w:szCs w:val="27"/>
          <w:highlight w:val="none"/>
          <w:lang w:eastAsia="zh-CN"/>
        </w:rPr>
        <w:t xml:space="preserve"> </w:t>
      </w:r>
      <w:r>
        <w:rPr>
          <w:rFonts w:hint="eastAsia" w:cs="Tahoma"/>
          <w:b/>
          <w:bCs/>
          <w:color w:val="auto"/>
          <w:sz w:val="27"/>
          <w:szCs w:val="27"/>
          <w:highlight w:val="none"/>
        </w:rPr>
        <w:t xml:space="preserve"> </w:t>
      </w:r>
    </w:p>
    <w:p w14:paraId="5ED4B5CC">
      <w:pPr>
        <w:shd w:val="clear"/>
        <w:spacing w:line="400" w:lineRule="exact"/>
        <w:ind w:firstLine="705" w:firstLineChars="336"/>
        <w:rPr>
          <w:rFonts w:hint="eastAsia" w:ascii="宋体" w:hAnsi="宋体" w:eastAsia="宋体" w:cs="宋体"/>
          <w:color w:val="auto"/>
          <w:sz w:val="21"/>
          <w:szCs w:val="21"/>
          <w:highlight w:val="none"/>
        </w:rPr>
      </w:pPr>
    </w:p>
    <w:p w14:paraId="6BB3D153">
      <w:pPr>
        <w:shd w:val="clear"/>
        <w:spacing w:line="400" w:lineRule="exact"/>
        <w:ind w:firstLine="705" w:firstLineChars="336"/>
        <w:rPr>
          <w:rFonts w:hint="eastAsia" w:ascii="宋体" w:hAnsi="宋体" w:eastAsia="宋体" w:cs="宋体"/>
          <w:color w:val="auto"/>
          <w:sz w:val="21"/>
          <w:szCs w:val="21"/>
          <w:highlight w:val="none"/>
        </w:rPr>
      </w:pPr>
    </w:p>
    <w:p w14:paraId="77704395">
      <w:pPr>
        <w:shd w:val="clear"/>
        <w:spacing w:line="400" w:lineRule="exact"/>
        <w:ind w:firstLine="705" w:firstLineChars="336"/>
        <w:rPr>
          <w:rFonts w:hint="eastAsia" w:ascii="宋体" w:hAnsi="宋体" w:eastAsia="宋体" w:cs="宋体"/>
          <w:color w:val="auto"/>
          <w:sz w:val="21"/>
          <w:szCs w:val="21"/>
          <w:highlight w:val="none"/>
        </w:rPr>
      </w:pPr>
    </w:p>
    <w:p w14:paraId="0DF3BE53">
      <w:pPr>
        <w:shd w:val="clear"/>
        <w:spacing w:line="400" w:lineRule="exact"/>
        <w:ind w:firstLine="705" w:firstLineChars="336"/>
        <w:rPr>
          <w:rFonts w:hint="eastAsia" w:ascii="宋体" w:hAnsi="宋体" w:eastAsia="宋体" w:cs="宋体"/>
          <w:color w:val="auto"/>
          <w:sz w:val="21"/>
          <w:szCs w:val="21"/>
          <w:highlight w:val="none"/>
        </w:rPr>
      </w:pPr>
    </w:p>
    <w:p w14:paraId="1474E2D0">
      <w:pPr>
        <w:shd w:val="clear"/>
        <w:spacing w:line="400" w:lineRule="exact"/>
        <w:ind w:firstLine="495" w:firstLineChars="23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甲方（采购人公章）名称：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乙方（供应商公章）名称： </w:t>
      </w:r>
    </w:p>
    <w:p w14:paraId="526FC274">
      <w:pPr>
        <w:shd w:val="clear"/>
        <w:spacing w:line="400" w:lineRule="exact"/>
        <w:ind w:firstLine="2310" w:firstLineChars="1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地址：</w:t>
      </w:r>
    </w:p>
    <w:p w14:paraId="766CD192">
      <w:pPr>
        <w:shd w:val="clea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w:t>
      </w:r>
    </w:p>
    <w:p w14:paraId="510A93FB">
      <w:pPr>
        <w:shd w:val="clea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项目（技术）负责人：</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项目（技术）负责人：</w:t>
      </w:r>
    </w:p>
    <w:p w14:paraId="032D630F">
      <w:pPr>
        <w:shd w:val="clea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电话：</w:t>
      </w:r>
    </w:p>
    <w:p w14:paraId="15C36354">
      <w:pPr>
        <w:shd w:val="clea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签订日期：</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签订日期：</w:t>
      </w:r>
    </w:p>
    <w:p w14:paraId="505EBD6A">
      <w:pPr>
        <w:pStyle w:val="12"/>
        <w:widowControl/>
        <w:shd w:val="clear"/>
        <w:spacing w:line="530" w:lineRule="exact"/>
        <w:ind w:firstLine="6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t>甲乙双方根据《中华人民共和国政府采购法</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中华人民共和国招标投标法</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中华人民共和国民法典》等相关法律规定，就《蒙自市公办义务教育阶段学校食堂大宗食材配送服务》（项目编号： ）进行（公开招标）采购的结果，经双方协定达成一致，签订以下内容：</w:t>
      </w:r>
    </w:p>
    <w:p w14:paraId="1E597424">
      <w:pPr>
        <w:shd w:val="clear"/>
        <w:ind w:firstLine="210" w:firstLineChars="1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第一条：甲方委托乙方进行学校食堂大宗食材配送服务的内容如下：</w:t>
      </w:r>
    </w:p>
    <w:p w14:paraId="0C67B99D">
      <w:pPr>
        <w:shd w:val="clear"/>
        <w:spacing w:line="520" w:lineRule="exac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1．学校食堂大宗食材配送服务的目标</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u w:val="none"/>
          <w:lang w:val="en-US" w:eastAsia="zh-CN" w:bidi="ar-SA"/>
        </w:rPr>
        <w:t>；</w:t>
      </w:r>
    </w:p>
    <w:p w14:paraId="490FD1CD">
      <w:pPr>
        <w:shd w:val="clear"/>
        <w:spacing w:line="520" w:lineRule="exac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2．学校食堂大宗食材配送服务的内容</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13E847D0">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3．学校食堂大宗食材配送服务的方式</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4392141B">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第二条：乙方应按下列要求完成学校食堂大宗食材配送服务工作：</w:t>
      </w:r>
    </w:p>
    <w:p w14:paraId="3F6DFAAE">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1．学校食堂大宗食材配送服务地点</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5E1A250D">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2．学校食堂大宗食材配送服务期限</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4CD3C58E">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3．学校食堂大宗食材配送服务进度</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 xml:space="preserve"> ；</w:t>
      </w:r>
    </w:p>
    <w:p w14:paraId="792F1657">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4．学校食堂大宗食材配送服务质量要求</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1BCB7E10">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5．学校食堂大宗食材配送服务质量期限要求：           ；</w:t>
      </w:r>
    </w:p>
    <w:p w14:paraId="3D809EFD">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6. 乙方投保并涵盖合同服务周期食品安全责任</w:t>
      </w:r>
      <w:r>
        <w:rPr>
          <w:rFonts w:hint="eastAsia" w:ascii="宋体" w:hAnsi="宋体" w:cs="宋体"/>
          <w:color w:val="auto"/>
          <w:kern w:val="0"/>
          <w:sz w:val="21"/>
          <w:szCs w:val="21"/>
          <w:highlight w:val="none"/>
          <w:lang w:val="en-US" w:eastAsia="zh-CN" w:bidi="ar-SA"/>
        </w:rPr>
        <w:t>保</w:t>
      </w:r>
      <w:r>
        <w:rPr>
          <w:rFonts w:hint="eastAsia" w:ascii="宋体" w:hAnsi="宋体" w:eastAsia="宋体" w:cs="宋体"/>
          <w:color w:val="auto"/>
          <w:kern w:val="0"/>
          <w:sz w:val="21"/>
          <w:szCs w:val="21"/>
          <w:highlight w:val="none"/>
          <w:lang w:val="en-US" w:eastAsia="zh-CN" w:bidi="ar-SA"/>
        </w:rPr>
        <w:t>险的约定</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64005069">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7.其他：未经甲方书面许可，乙方将本合同项目部分或者全部服务工作转包由第三方承担将进行</w:t>
      </w:r>
      <w:r>
        <w:rPr>
          <w:rFonts w:hint="eastAsia" w:ascii="宋体" w:hAnsi="宋体" w:cs="宋体"/>
          <w:color w:val="auto"/>
          <w:kern w:val="0"/>
          <w:sz w:val="21"/>
          <w:szCs w:val="21"/>
          <w:highlight w:val="none"/>
          <w:lang w:val="en-US" w:eastAsia="zh-CN" w:bidi="ar-SA"/>
        </w:rPr>
        <w:t>处理</w:t>
      </w:r>
      <w:r>
        <w:rPr>
          <w:rFonts w:hint="eastAsia" w:ascii="宋体" w:hAnsi="宋体" w:eastAsia="宋体" w:cs="宋体"/>
          <w:color w:val="auto"/>
          <w:kern w:val="0"/>
          <w:sz w:val="21"/>
          <w:szCs w:val="21"/>
          <w:highlight w:val="none"/>
          <w:lang w:val="en-US" w:eastAsia="zh-CN" w:bidi="ar-SA"/>
        </w:rPr>
        <w:t>并终止合同。</w:t>
      </w:r>
    </w:p>
    <w:p w14:paraId="7C55A3CB">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第三条：为保证乙方有效进行技术服务工作，甲方应当向乙方提供下列工作条件和协作事项：</w:t>
      </w:r>
    </w:p>
    <w:p w14:paraId="38A88FDE">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1．提供学校食堂大宗食材配送资料</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54D36752">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2．提供工作条件</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0BE5CCA8">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3．其他</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7193E664">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第四条：甲方向乙方支付学校食堂大宗食材配送服务报酬及支付方式为：</w:t>
      </w:r>
    </w:p>
    <w:p w14:paraId="00ACFCC5">
      <w:pPr>
        <w:shd w:val="clear"/>
        <w:snapToGrid w:val="0"/>
        <w:spacing w:line="360" w:lineRule="auto"/>
        <w:ind w:firstLine="420" w:firstLineChars="200"/>
        <w:outlineLvl w:val="2"/>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lang w:val="en-US" w:eastAsia="zh-CN" w:bidi="ar-SA"/>
        </w:rPr>
        <w:t xml:space="preserve">     </w:t>
      </w:r>
      <w:bookmarkStart w:id="759" w:name="_Toc14541"/>
      <w:bookmarkStart w:id="760" w:name="_Toc5505"/>
      <w:r>
        <w:rPr>
          <w:rFonts w:hint="eastAsia"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u w:val="none"/>
          <w:lang w:val="en-US" w:eastAsia="zh-CN" w:bidi="ar-SA"/>
        </w:rPr>
        <w:t>.市场考察方式为每1月至少组织1次，通常询价月份的下旬组织，由</w:t>
      </w:r>
      <w:r>
        <w:rPr>
          <w:rFonts w:hint="eastAsia" w:ascii="宋体" w:hAnsi="宋体" w:eastAsia="宋体" w:cs="宋体"/>
          <w:color w:val="auto"/>
          <w:kern w:val="0"/>
          <w:sz w:val="21"/>
          <w:szCs w:val="21"/>
          <w:highlight w:val="none"/>
          <w:u w:val="none"/>
          <w:lang w:val="zh-CN" w:eastAsia="zh-CN" w:bidi="ar-SA"/>
        </w:rPr>
        <w:t>采购人（学校）</w:t>
      </w:r>
      <w:r>
        <w:rPr>
          <w:rFonts w:hint="eastAsia" w:ascii="宋体" w:hAnsi="宋体" w:eastAsia="宋体" w:cs="宋体"/>
          <w:color w:val="auto"/>
          <w:kern w:val="0"/>
          <w:sz w:val="21"/>
          <w:szCs w:val="21"/>
          <w:highlight w:val="none"/>
          <w:u w:val="none"/>
          <w:lang w:val="en-US" w:eastAsia="zh-CN" w:bidi="ar-SA"/>
        </w:rPr>
        <w:t>及供应商组成不少于2个询价小组（每组不少于3人，其中采购人（学校）2人，供应商1人），随机从蒙自主城区大型农贸市场（包括但不仅限于观音桥农贸市场、学校驻地的各乡镇农贸市场等）和大型超市（包括但不仅限于大尔多超市、金方超市、学校驻地的各乡镇超市等）中抽取不少于3个进行询价，求平均值后作为询价价格。如有收录在蒙自市发改局公布的《蒙自市重要民生商品价格信息公布表》中的品类，以公布价作为基准价；未收录的品类，以询价平均价格作为基准价。询价结果经甲方公示无异议后，定价周期内价格不作调整。</w:t>
      </w:r>
      <w:bookmarkEnd w:id="759"/>
      <w:bookmarkEnd w:id="760"/>
    </w:p>
    <w:p w14:paraId="47129603">
      <w:pPr>
        <w:shd w:val="clear"/>
        <w:snapToGrid w:val="0"/>
        <w:spacing w:line="360" w:lineRule="auto"/>
        <w:ind w:firstLine="420" w:firstLineChars="200"/>
        <w:outlineLvl w:val="2"/>
        <w:rPr>
          <w:rFonts w:hint="eastAsia" w:ascii="宋体" w:hAnsi="宋体" w:eastAsia="宋体" w:cs="宋体"/>
          <w:color w:val="auto"/>
          <w:kern w:val="0"/>
          <w:sz w:val="21"/>
          <w:szCs w:val="21"/>
          <w:highlight w:val="none"/>
          <w:lang w:val="en-US" w:eastAsia="zh-CN" w:bidi="ar-SA"/>
        </w:rPr>
      </w:pPr>
      <w:bookmarkStart w:id="761" w:name="_Toc29992"/>
      <w:bookmarkStart w:id="762" w:name="_Toc24794"/>
      <w:r>
        <w:rPr>
          <w:rFonts w:hint="eastAsia" w:ascii="宋体" w:hAnsi="宋体" w:eastAsia="宋体" w:cs="宋体"/>
          <w:color w:val="auto"/>
          <w:kern w:val="0"/>
          <w:sz w:val="21"/>
          <w:szCs w:val="21"/>
          <w:highlight w:val="none"/>
          <w:lang w:val="en-US" w:eastAsia="zh-CN" w:bidi="ar-SA"/>
        </w:rPr>
        <w:t>2．学校食堂大宗食材配送服务</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u w:val="none"/>
          <w:lang w:val="en-US" w:eastAsia="zh-CN" w:bidi="ar-SA"/>
        </w:rPr>
        <w:t>标段</w:t>
      </w:r>
      <w:r>
        <w:rPr>
          <w:rFonts w:hint="eastAsia" w:ascii="宋体" w:hAnsi="宋体" w:eastAsia="宋体" w:cs="宋体"/>
          <w:color w:val="auto"/>
          <w:kern w:val="0"/>
          <w:sz w:val="21"/>
          <w:szCs w:val="21"/>
          <w:highlight w:val="none"/>
          <w:lang w:val="en-US" w:eastAsia="zh-CN" w:bidi="ar-SA"/>
        </w:rPr>
        <w:t>计划预算总额为：</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u w:val="none"/>
          <w:lang w:val="en-US" w:eastAsia="zh-CN" w:bidi="ar-SA"/>
        </w:rPr>
        <w:t>，中标总金额为：</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u w:val="none"/>
          <w:lang w:val="en-US" w:eastAsia="zh-CN" w:bidi="ar-SA"/>
        </w:rPr>
        <w:t>，中标下浮率为：</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u w:val="none"/>
          <w:lang w:val="en-US" w:eastAsia="zh-CN" w:bidi="ar-SA"/>
        </w:rPr>
        <w:t>，</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学校食堂大宗食材配送服务结算价为：</w:t>
      </w:r>
      <w:r>
        <w:rPr>
          <w:rFonts w:hint="eastAsia" w:ascii="宋体" w:hAnsi="宋体" w:cs="宋体"/>
          <w:color w:val="auto"/>
          <w:kern w:val="0"/>
          <w:sz w:val="21"/>
          <w:szCs w:val="21"/>
          <w:highlight w:val="none"/>
          <w:lang w:val="en-US" w:eastAsia="zh-CN" w:bidi="ar-SA"/>
        </w:rPr>
        <w:t>每月询单</w:t>
      </w:r>
      <w:r>
        <w:rPr>
          <w:rFonts w:hint="eastAsia" w:ascii="宋体" w:hAnsi="宋体" w:eastAsia="宋体" w:cs="宋体"/>
          <w:color w:val="auto"/>
          <w:kern w:val="0"/>
          <w:sz w:val="21"/>
          <w:szCs w:val="21"/>
          <w:highlight w:val="none"/>
          <w:lang w:val="en-US" w:eastAsia="zh-CN" w:bidi="ar-SA"/>
        </w:rPr>
        <w:t>价（含检验费、运费、税金等所有其他费用）</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en-US" w:eastAsia="zh-CN" w:bidi="ar-SA"/>
        </w:rPr>
        <w:t>（1</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中标下浮率）</w:t>
      </w:r>
      <w:r>
        <w:rPr>
          <w:rFonts w:hint="eastAsia" w:ascii="宋体" w:hAnsi="宋体" w:cs="宋体"/>
          <w:color w:val="auto"/>
          <w:kern w:val="0"/>
          <w:sz w:val="21"/>
          <w:szCs w:val="21"/>
          <w:highlight w:val="none"/>
          <w:lang w:val="en-US" w:eastAsia="zh-CN" w:bidi="ar-SA"/>
        </w:rPr>
        <w:t>×数量，（全年结算总价不得超过标段中标总金额）</w:t>
      </w:r>
      <w:r>
        <w:rPr>
          <w:rFonts w:hint="eastAsia" w:ascii="宋体" w:hAnsi="宋体" w:eastAsia="宋体" w:cs="宋体"/>
          <w:color w:val="auto"/>
          <w:kern w:val="0"/>
          <w:sz w:val="21"/>
          <w:szCs w:val="21"/>
          <w:highlight w:val="none"/>
          <w:lang w:val="en-US" w:eastAsia="zh-CN" w:bidi="ar-SA"/>
        </w:rPr>
        <w:t>。以上价格为甲方指定地点交货价。</w:t>
      </w:r>
      <w:bookmarkEnd w:id="761"/>
      <w:bookmarkEnd w:id="762"/>
    </w:p>
    <w:p w14:paraId="001837BB">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3．学校食堂大宗食材配送服务费支付方式和时间</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 xml:space="preserve"> 。</w:t>
      </w:r>
    </w:p>
    <w:p w14:paraId="219560A0">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乙方开户银行名称、地址和</w:t>
      </w:r>
      <w:r>
        <w:rPr>
          <w:rFonts w:hint="eastAsia" w:ascii="宋体" w:hAnsi="宋体" w:cs="宋体"/>
          <w:color w:val="auto"/>
          <w:kern w:val="0"/>
          <w:sz w:val="21"/>
          <w:szCs w:val="21"/>
          <w:highlight w:val="none"/>
          <w:lang w:val="en-US" w:eastAsia="zh-CN" w:bidi="ar-SA"/>
        </w:rPr>
        <w:t>账号为</w:t>
      </w:r>
      <w:r>
        <w:rPr>
          <w:rFonts w:hint="eastAsia" w:ascii="宋体" w:hAnsi="宋体" w:eastAsia="宋体" w:cs="宋体"/>
          <w:color w:val="auto"/>
          <w:kern w:val="0"/>
          <w:sz w:val="21"/>
          <w:szCs w:val="21"/>
          <w:highlight w:val="none"/>
          <w:lang w:val="en-US" w:eastAsia="zh-CN" w:bidi="ar-SA"/>
        </w:rPr>
        <w:t>：</w:t>
      </w:r>
    </w:p>
    <w:p w14:paraId="76F57137">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开户银行</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45937A46">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地址</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7700DE3E">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w:t>
      </w:r>
      <w:r>
        <w:rPr>
          <w:rFonts w:hint="eastAsia" w:ascii="宋体" w:hAnsi="宋体" w:cs="宋体"/>
          <w:color w:val="auto"/>
          <w:kern w:val="0"/>
          <w:sz w:val="21"/>
          <w:szCs w:val="21"/>
          <w:highlight w:val="none"/>
          <w:lang w:val="en-US" w:eastAsia="zh-CN" w:bidi="ar-SA"/>
        </w:rPr>
        <w:t>账号</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64C339C3">
      <w:pPr>
        <w:shd w:val="clear"/>
        <w:ind w:firstLine="630" w:firstLineChars="300"/>
        <w:outlineLvl w:val="1"/>
        <w:rPr>
          <w:rFonts w:hint="eastAsia" w:ascii="宋体" w:hAnsi="宋体" w:eastAsia="宋体" w:cs="宋体"/>
          <w:color w:val="auto"/>
          <w:kern w:val="0"/>
          <w:sz w:val="21"/>
          <w:szCs w:val="21"/>
          <w:highlight w:val="none"/>
          <w:lang w:val="en-US" w:eastAsia="zh-CN" w:bidi="ar-SA"/>
        </w:rPr>
      </w:pPr>
      <w:bookmarkStart w:id="763" w:name="_Toc16652"/>
      <w:bookmarkStart w:id="764" w:name="_Toc7735"/>
      <w:bookmarkStart w:id="765" w:name="_Toc25144"/>
      <w:r>
        <w:rPr>
          <w:rFonts w:hint="eastAsia" w:ascii="宋体" w:hAnsi="宋体" w:eastAsia="宋体" w:cs="宋体"/>
          <w:color w:val="auto"/>
          <w:kern w:val="0"/>
          <w:sz w:val="21"/>
          <w:szCs w:val="21"/>
          <w:highlight w:val="none"/>
          <w:lang w:val="en-US" w:eastAsia="zh-CN" w:bidi="ar-SA"/>
        </w:rPr>
        <w:t>4. 履约保证金</w:t>
      </w:r>
      <w:bookmarkEnd w:id="763"/>
      <w:bookmarkEnd w:id="764"/>
      <w:bookmarkEnd w:id="765"/>
    </w:p>
    <w:p w14:paraId="2048B39D">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乙方在合同签订时向甲方交付</w:t>
      </w:r>
      <w:r>
        <w:rPr>
          <w:rFonts w:hint="eastAsia" w:ascii="宋体" w:hAnsi="宋体" w:cs="宋体"/>
          <w:color w:val="auto"/>
          <w:kern w:val="0"/>
          <w:sz w:val="21"/>
          <w:szCs w:val="21"/>
          <w:highlight w:val="none"/>
          <w:lang w:val="zh-CN" w:eastAsia="zh-CN" w:bidi="ar-SA"/>
        </w:rPr>
        <w:t>标段中标总</w:t>
      </w:r>
      <w:r>
        <w:rPr>
          <w:rFonts w:hint="eastAsia" w:ascii="宋体" w:hAnsi="宋体" w:eastAsia="宋体" w:cs="宋体"/>
          <w:color w:val="auto"/>
          <w:kern w:val="0"/>
          <w:sz w:val="21"/>
          <w:szCs w:val="21"/>
          <w:highlight w:val="none"/>
          <w:lang w:val="zh-CN" w:eastAsia="zh-CN" w:bidi="ar-SA"/>
        </w:rPr>
        <w:t>金额</w:t>
      </w:r>
      <w:r>
        <w:rPr>
          <w:rFonts w:hint="eastAsia" w:ascii="宋体" w:hAnsi="宋体" w:cs="宋体"/>
          <w:color w:val="auto"/>
          <w:kern w:val="0"/>
          <w:sz w:val="21"/>
          <w:szCs w:val="21"/>
          <w:highlight w:val="none"/>
          <w:lang w:val="zh-CN" w:eastAsia="zh-CN" w:bidi="ar-SA"/>
        </w:rPr>
        <w:t>各学校资金占比</w:t>
      </w:r>
      <w:r>
        <w:rPr>
          <w:rFonts w:hint="eastAsia" w:ascii="宋体" w:hAnsi="宋体" w:eastAsia="宋体" w:cs="宋体"/>
          <w:color w:val="auto"/>
          <w:kern w:val="0"/>
          <w:sz w:val="21"/>
          <w:szCs w:val="21"/>
          <w:highlight w:val="none"/>
          <w:lang w:val="zh-CN" w:eastAsia="zh-CN" w:bidi="ar-SA"/>
        </w:rPr>
        <w:t>的</w:t>
      </w:r>
      <w:r>
        <w:rPr>
          <w:rFonts w:hint="eastAsia" w:ascii="宋体" w:hAnsi="宋体" w:eastAsia="宋体" w:cs="宋体"/>
          <w:color w:val="auto"/>
          <w:kern w:val="0"/>
          <w:sz w:val="21"/>
          <w:szCs w:val="21"/>
          <w:highlight w:val="none"/>
          <w:lang w:val="en-US" w:eastAsia="zh-CN" w:bidi="ar-SA"/>
        </w:rPr>
        <w:t>2%为履约保证金，共计      元（¥    ）。乙方有下列情形之一的，不予退还其履约保证金：</w:t>
      </w:r>
    </w:p>
    <w:p w14:paraId="15CB0721">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49236236">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3B96E536">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15B6BEFA">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乙方在合同期内未发生违约情形的，则甲方在合同期满 30个工作日内全额退还乙方（不计利息）。</w:t>
      </w:r>
    </w:p>
    <w:p w14:paraId="1B708D64">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履约保证金缴存于甲方开立</w:t>
      </w:r>
      <w:r>
        <w:rPr>
          <w:rFonts w:hint="eastAsia" w:ascii="宋体" w:hAnsi="宋体" w:cs="宋体"/>
          <w:color w:val="auto"/>
          <w:kern w:val="0"/>
          <w:sz w:val="21"/>
          <w:szCs w:val="21"/>
          <w:highlight w:val="none"/>
          <w:lang w:val="en-US" w:eastAsia="zh-CN" w:bidi="ar-SA"/>
        </w:rPr>
        <w:t>的银行账户</w:t>
      </w:r>
      <w:r>
        <w:rPr>
          <w:rFonts w:hint="eastAsia" w:ascii="宋体" w:hAnsi="宋体" w:eastAsia="宋体" w:cs="宋体"/>
          <w:color w:val="auto"/>
          <w:kern w:val="0"/>
          <w:sz w:val="21"/>
          <w:szCs w:val="21"/>
          <w:highlight w:val="none"/>
          <w:lang w:val="en-US" w:eastAsia="zh-CN" w:bidi="ar-SA"/>
        </w:rPr>
        <w:t>内。 开户银行</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 地址</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 xml:space="preserve">；        </w:t>
      </w:r>
      <w:r>
        <w:rPr>
          <w:rFonts w:hint="eastAsia" w:ascii="宋体" w:hAnsi="宋体" w:cs="宋体"/>
          <w:color w:val="auto"/>
          <w:kern w:val="0"/>
          <w:sz w:val="21"/>
          <w:szCs w:val="21"/>
          <w:highlight w:val="none"/>
          <w:lang w:val="en-US" w:eastAsia="zh-CN" w:bidi="ar-SA"/>
        </w:rPr>
        <w:t xml:space="preserve">                     </w:t>
      </w:r>
      <w:r>
        <w:rPr>
          <w:rFonts w:hint="eastAsia" w:ascii="宋体" w:hAnsi="宋体" w:eastAsia="宋体" w:cs="宋体"/>
          <w:color w:val="auto"/>
          <w:kern w:val="0"/>
          <w:sz w:val="21"/>
          <w:szCs w:val="21"/>
          <w:highlight w:val="none"/>
          <w:lang w:val="en-US" w:eastAsia="zh-CN" w:bidi="ar-SA"/>
        </w:rPr>
        <w:t xml:space="preserve"> </w:t>
      </w:r>
      <w:r>
        <w:rPr>
          <w:rFonts w:hint="eastAsia" w:ascii="宋体" w:hAnsi="宋体" w:cs="宋体"/>
          <w:color w:val="auto"/>
          <w:kern w:val="0"/>
          <w:sz w:val="21"/>
          <w:szCs w:val="21"/>
          <w:highlight w:val="none"/>
          <w:lang w:val="en-US" w:eastAsia="zh-CN" w:bidi="ar-SA"/>
        </w:rPr>
        <w:t>账号</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1EA473E2">
      <w:pPr>
        <w:shd w:val="clear"/>
        <w:ind w:firstLine="570"/>
        <w:outlineLvl w:val="2"/>
        <w:rPr>
          <w:rFonts w:hint="eastAsia" w:ascii="宋体" w:hAnsi="宋体" w:eastAsia="宋体" w:cs="宋体"/>
          <w:color w:val="auto"/>
          <w:kern w:val="0"/>
          <w:sz w:val="21"/>
          <w:szCs w:val="21"/>
          <w:highlight w:val="none"/>
          <w:lang w:val="en-US" w:eastAsia="zh-CN" w:bidi="ar-SA"/>
        </w:rPr>
      </w:pPr>
      <w:bookmarkStart w:id="766" w:name="_Toc15806"/>
      <w:bookmarkStart w:id="767" w:name="_Toc32002"/>
      <w:r>
        <w:rPr>
          <w:rFonts w:hint="eastAsia" w:ascii="宋体" w:hAnsi="宋体" w:eastAsia="宋体" w:cs="宋体"/>
          <w:color w:val="auto"/>
          <w:kern w:val="0"/>
          <w:sz w:val="21"/>
          <w:szCs w:val="21"/>
          <w:highlight w:val="none"/>
          <w:lang w:val="en-US" w:eastAsia="zh-CN" w:bidi="ar-SA"/>
        </w:rPr>
        <w:t>第五条：保密要求</w:t>
      </w:r>
      <w:bookmarkEnd w:id="766"/>
      <w:bookmarkEnd w:id="767"/>
    </w:p>
    <w:p w14:paraId="7ECAF8CA">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 乙方对甲方所提供的所有资料以及在本合同签订、履行过程中所接触到的甲方的课程资源、技术资料、师生信息等资料 （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w:t>
      </w:r>
      <w:r>
        <w:rPr>
          <w:rFonts w:hint="eastAsia" w:ascii="宋体" w:hAnsi="宋体" w:cs="宋体"/>
          <w:color w:val="auto"/>
          <w:kern w:val="0"/>
          <w:sz w:val="21"/>
          <w:szCs w:val="21"/>
          <w:highlight w:val="none"/>
          <w:lang w:val="en-US" w:eastAsia="zh-CN" w:bidi="ar-SA"/>
        </w:rPr>
        <w:t>及不</w:t>
      </w:r>
      <w:r>
        <w:rPr>
          <w:rFonts w:hint="eastAsia" w:ascii="宋体" w:hAnsi="宋体" w:eastAsia="宋体" w:cs="宋体"/>
          <w:color w:val="auto"/>
          <w:kern w:val="0"/>
          <w:sz w:val="21"/>
          <w:szCs w:val="21"/>
          <w:highlight w:val="none"/>
          <w:lang w:val="en-US" w:eastAsia="zh-CN" w:bidi="ar-SA"/>
        </w:rPr>
        <w:t>披露。</w:t>
      </w:r>
    </w:p>
    <w:p w14:paraId="173F8F99">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 乙方仅得为履行本合同之目的对保密资料进行复制。乙方不得以任何方式（如存储设备、图纸、彩样、照片、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43503FF4">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 保密资料除依法公开披露或甲方主动公开外，如乙方违反本合同关于保密的约定，乙方应赔偿因此而给甲方造成的全部损失。</w:t>
      </w:r>
    </w:p>
    <w:p w14:paraId="2D2CD972">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 本保密条款自保密资料提供或披露之日起至本合同终止或解除后[X]年内持续有效。</w:t>
      </w:r>
    </w:p>
    <w:p w14:paraId="44406867">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第六条：双方确定以下列标准和方式对乙方的学校食堂大宗食材配送服务工作成果进行验收： </w:t>
      </w:r>
    </w:p>
    <w:p w14:paraId="6D794542">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1．乙方完成学校食堂大宗食材配送服务工作的形式</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52B974E4">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2．学校食堂大宗食材配送服务工作成果的验收标准</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47BC1DB9">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3．学校食堂大宗食材配送服务工作成果的验收方法</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p>
    <w:p w14:paraId="46492BF9">
      <w:pPr>
        <w:shd w:val="clear"/>
        <w:outlineLvl w:val="1"/>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w:t>
      </w:r>
      <w:bookmarkStart w:id="768" w:name="_Toc2478"/>
      <w:bookmarkStart w:id="769" w:name="_Toc26554"/>
      <w:bookmarkStart w:id="770" w:name="_Toc14693"/>
      <w:r>
        <w:rPr>
          <w:rFonts w:hint="eastAsia" w:ascii="宋体" w:hAnsi="宋体" w:eastAsia="宋体" w:cs="宋体"/>
          <w:color w:val="auto"/>
          <w:kern w:val="0"/>
          <w:sz w:val="21"/>
          <w:szCs w:val="21"/>
          <w:highlight w:val="none"/>
          <w:lang w:val="en-US" w:eastAsia="zh-CN" w:bidi="ar-SA"/>
        </w:rPr>
        <w:t>4．验收的时间和地点</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w:t>
      </w:r>
      <w:bookmarkEnd w:id="768"/>
      <w:bookmarkEnd w:id="769"/>
      <w:bookmarkEnd w:id="770"/>
    </w:p>
    <w:p w14:paraId="160C4D92">
      <w:pPr>
        <w:shd w:val="clear"/>
        <w:outlineLvl w:val="2"/>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w:t>
      </w:r>
      <w:bookmarkStart w:id="771" w:name="_Toc948"/>
      <w:bookmarkStart w:id="772" w:name="_Toc25032"/>
      <w:r>
        <w:rPr>
          <w:rFonts w:hint="eastAsia" w:ascii="宋体" w:hAnsi="宋体" w:eastAsia="宋体" w:cs="宋体"/>
          <w:color w:val="auto"/>
          <w:kern w:val="0"/>
          <w:sz w:val="21"/>
          <w:szCs w:val="21"/>
          <w:highlight w:val="none"/>
          <w:lang w:val="en-US" w:eastAsia="zh-CN" w:bidi="ar-SA"/>
        </w:rPr>
        <w:t>第七条：项目服务成果的权利归属</w:t>
      </w:r>
      <w:bookmarkEnd w:id="771"/>
      <w:bookmarkEnd w:id="772"/>
    </w:p>
    <w:p w14:paraId="53466246">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1．乙方本合同项下所完成的学校食堂大宗食材配送</w:t>
      </w:r>
      <w:r>
        <w:rPr>
          <w:rFonts w:hint="eastAsia" w:ascii="宋体" w:hAnsi="宋体" w:cs="宋体"/>
          <w:color w:val="auto"/>
          <w:kern w:val="0"/>
          <w:sz w:val="21"/>
          <w:szCs w:val="21"/>
          <w:highlight w:val="none"/>
          <w:lang w:val="en-US" w:eastAsia="zh-CN" w:bidi="ar-SA"/>
        </w:rPr>
        <w:t>服务</w:t>
      </w:r>
      <w:r>
        <w:rPr>
          <w:rFonts w:hint="eastAsia" w:ascii="宋体" w:hAnsi="宋体" w:eastAsia="宋体" w:cs="宋体"/>
          <w:color w:val="auto"/>
          <w:kern w:val="0"/>
          <w:sz w:val="21"/>
          <w:szCs w:val="21"/>
          <w:highlight w:val="none"/>
          <w:lang w:val="en-US" w:eastAsia="zh-CN" w:bidi="ar-SA"/>
        </w:rPr>
        <w:t>成果的所有权利，归甲方所有。</w:t>
      </w:r>
    </w:p>
    <w:p w14:paraId="3C2192FD">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2．甲方利用乙方提交的服务成果所完成的新的成果的所有权利，归甲方所有。</w:t>
      </w:r>
    </w:p>
    <w:p w14:paraId="55FE66BC">
      <w:pPr>
        <w:shd w:val="clear"/>
        <w:ind w:firstLine="570"/>
        <w:outlineLvl w:val="2"/>
        <w:rPr>
          <w:rFonts w:hint="eastAsia" w:ascii="宋体" w:hAnsi="宋体" w:eastAsia="宋体" w:cs="宋体"/>
          <w:color w:val="auto"/>
          <w:kern w:val="0"/>
          <w:sz w:val="21"/>
          <w:szCs w:val="21"/>
          <w:highlight w:val="none"/>
          <w:lang w:val="en-US" w:eastAsia="zh-CN" w:bidi="ar-SA"/>
        </w:rPr>
      </w:pPr>
      <w:bookmarkStart w:id="773" w:name="_Toc20597"/>
      <w:bookmarkStart w:id="774" w:name="_Toc17035"/>
      <w:r>
        <w:rPr>
          <w:rFonts w:hint="eastAsia" w:ascii="宋体" w:hAnsi="宋体" w:eastAsia="宋体" w:cs="宋体"/>
          <w:color w:val="auto"/>
          <w:kern w:val="0"/>
          <w:sz w:val="21"/>
          <w:szCs w:val="21"/>
          <w:highlight w:val="none"/>
          <w:lang w:val="en-US" w:eastAsia="zh-CN" w:bidi="ar-SA"/>
        </w:rPr>
        <w:t>第八条：违约责任</w:t>
      </w:r>
      <w:bookmarkEnd w:id="773"/>
      <w:bookmarkEnd w:id="774"/>
    </w:p>
    <w:p w14:paraId="2D92E59D">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 任何一方未履行或未完全履行本合同项下的义务，均构成违约，违约方应赔偿因违约给守约方造成的一切损失。</w:t>
      </w:r>
    </w:p>
    <w:p w14:paraId="3A5E29D7">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 乙方未按本合同约定时间提供服务的，每逾期一日，乙方应按照本合同总额的X%向甲方支付违约金。乙方逾期时长累计达到X日，甲方有权解除本合同并不承担违约责任，乙方应向甲方支付逾期违约金，并退还甲方已支付的合同款项，同时赔偿甲方相应损失（包括不限于甲方为维权支付的律师费、诉讼费等）。</w:t>
      </w:r>
    </w:p>
    <w:p w14:paraId="336719D1">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 除发生不可抗力事实外，乙方所交货物与投标样品不相符合的，甲方有权拒收，乙方无权请求返还履约保证金；使甲方造成经济损失的应依法赔偿。</w:t>
      </w:r>
    </w:p>
    <w:p w14:paraId="3150C546">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4.甲方有权拒付合同价以外的任何费用；乙方有权拒绝合同整体范围以外的条件。</w:t>
      </w:r>
    </w:p>
    <w:p w14:paraId="6B1473EF">
      <w:pPr>
        <w:shd w:val="clear"/>
        <w:ind w:firstLine="630" w:firstLineChars="300"/>
        <w:rPr>
          <w:rFonts w:hint="eastAsia" w:ascii="宋体" w:hAnsi="宋体" w:eastAsia="宋体" w:cs="宋体"/>
          <w:color w:val="auto"/>
          <w:kern w:val="0"/>
          <w:sz w:val="21"/>
          <w:szCs w:val="21"/>
          <w:highlight w:val="none"/>
          <w:lang w:val="en-US" w:eastAsia="zh-CN" w:bidi="ar-SA"/>
        </w:rPr>
      </w:pPr>
    </w:p>
    <w:p w14:paraId="53F4527F">
      <w:pPr>
        <w:shd w:val="clear"/>
        <w:ind w:firstLine="630" w:firstLineChars="300"/>
        <w:rPr>
          <w:rFonts w:hint="eastAsia" w:ascii="宋体" w:hAnsi="宋体" w:eastAsia="宋体" w:cs="宋体"/>
          <w:color w:val="auto"/>
          <w:kern w:val="0"/>
          <w:sz w:val="21"/>
          <w:szCs w:val="21"/>
          <w:highlight w:val="none"/>
          <w:lang w:val="en-US" w:eastAsia="zh-CN" w:bidi="ar-SA"/>
        </w:rPr>
      </w:pPr>
    </w:p>
    <w:p w14:paraId="21534454">
      <w:pPr>
        <w:shd w:val="clear"/>
        <w:ind w:firstLine="630" w:firstLineChars="300"/>
        <w:rPr>
          <w:rFonts w:hint="eastAsia" w:ascii="宋体" w:hAnsi="宋体" w:eastAsia="宋体" w:cs="宋体"/>
          <w:color w:val="auto"/>
          <w:kern w:val="0"/>
          <w:sz w:val="21"/>
          <w:szCs w:val="21"/>
          <w:highlight w:val="none"/>
          <w:lang w:val="en-US" w:eastAsia="zh-CN" w:bidi="ar-SA"/>
        </w:rPr>
      </w:pPr>
    </w:p>
    <w:p w14:paraId="230451B0">
      <w:pPr>
        <w:shd w:val="clear"/>
        <w:ind w:firstLine="57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第九条：双方确定，在本合同履行期内，甲方指定　 　为甲方项目联系人，乙方指定　　　为乙方项目联系人。</w:t>
      </w:r>
    </w:p>
    <w:p w14:paraId="64A0210A">
      <w:pPr>
        <w:shd w:val="clear"/>
        <w:ind w:firstLine="57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第十条：双方确定，出现下列情形之一，致使本合同的履行成为不必要或不可能的，可以解除本合同：</w:t>
      </w:r>
    </w:p>
    <w:p w14:paraId="4183A091">
      <w:pPr>
        <w:shd w:val="clear"/>
        <w:outlineLvl w:val="1"/>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w:t>
      </w:r>
      <w:bookmarkStart w:id="775" w:name="_Toc10475"/>
      <w:bookmarkStart w:id="776" w:name="_Toc20153"/>
      <w:bookmarkStart w:id="777" w:name="_Toc20138"/>
      <w:r>
        <w:rPr>
          <w:rFonts w:hint="eastAsia" w:ascii="宋体" w:hAnsi="宋体" w:eastAsia="宋体" w:cs="宋体"/>
          <w:color w:val="auto"/>
          <w:kern w:val="0"/>
          <w:sz w:val="21"/>
          <w:szCs w:val="21"/>
          <w:highlight w:val="none"/>
          <w:lang w:val="en-US" w:eastAsia="zh-CN" w:bidi="ar-SA"/>
        </w:rPr>
        <w:t>1．发生不可抗力或政策情势变更；</w:t>
      </w:r>
      <w:bookmarkEnd w:id="775"/>
      <w:bookmarkEnd w:id="776"/>
      <w:bookmarkEnd w:id="777"/>
    </w:p>
    <w:p w14:paraId="5E8BB68B">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2．任何一方违约</w:t>
      </w:r>
      <w:r>
        <w:rPr>
          <w:rFonts w:hint="eastAsia" w:ascii="宋体" w:hAnsi="宋体" w:cs="宋体"/>
          <w:color w:val="auto"/>
          <w:kern w:val="0"/>
          <w:sz w:val="21"/>
          <w:szCs w:val="21"/>
          <w:highlight w:val="none"/>
          <w:lang w:val="en-US" w:eastAsia="zh-CN" w:bidi="ar-SA"/>
        </w:rPr>
        <w:t>致</w:t>
      </w:r>
      <w:r>
        <w:rPr>
          <w:rFonts w:hint="eastAsia" w:ascii="宋体" w:hAnsi="宋体" w:eastAsia="宋体" w:cs="宋体"/>
          <w:color w:val="auto"/>
          <w:kern w:val="0"/>
          <w:sz w:val="21"/>
          <w:szCs w:val="21"/>
          <w:highlight w:val="none"/>
          <w:lang w:val="en-US" w:eastAsia="zh-CN" w:bidi="ar-SA"/>
        </w:rPr>
        <w:t>本合同不能继续履行或没有必要继续履行。</w:t>
      </w:r>
    </w:p>
    <w:p w14:paraId="515CF4EB">
      <w:pPr>
        <w:shd w:val="clear"/>
        <w:outlineLvl w:val="2"/>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w:t>
      </w:r>
      <w:bookmarkStart w:id="778" w:name="_Toc21963"/>
      <w:bookmarkStart w:id="779" w:name="_Toc3460"/>
      <w:r>
        <w:rPr>
          <w:rFonts w:hint="eastAsia" w:ascii="宋体" w:hAnsi="宋体" w:eastAsia="宋体" w:cs="宋体"/>
          <w:color w:val="auto"/>
          <w:kern w:val="0"/>
          <w:sz w:val="21"/>
          <w:szCs w:val="21"/>
          <w:highlight w:val="none"/>
          <w:lang w:val="en-US" w:eastAsia="zh-CN" w:bidi="ar-SA"/>
        </w:rPr>
        <w:t>第十一条：一票否决原则</w:t>
      </w:r>
      <w:bookmarkEnd w:id="778"/>
      <w:bookmarkEnd w:id="779"/>
    </w:p>
    <w:p w14:paraId="7A39E104">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乙方有下列情形之一，将立即取消供应资格解除本合同，不予退还履约保证金，并通报政府有关职能部门。</w:t>
      </w:r>
    </w:p>
    <w:p w14:paraId="51FA9582">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1.除不可抗力的特殊情形外，乙方因自身原因中断或延迟供货；</w:t>
      </w:r>
    </w:p>
    <w:p w14:paraId="73154001">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2.由乙方提供的食品导致采购人（学校）出现食品安全事件；</w:t>
      </w:r>
    </w:p>
    <w:p w14:paraId="75AA0B48">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3.本合同范围的货物，乙方分包或转让、承包给他人供应；</w:t>
      </w:r>
    </w:p>
    <w:p w14:paraId="7D094A23">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4.企业之间相互拉帮结派</w:t>
      </w:r>
      <w:r>
        <w:rPr>
          <w:rFonts w:hint="eastAsia" w:ascii="宋体" w:hAnsi="宋体" w:cs="宋体"/>
          <w:color w:val="auto"/>
          <w:kern w:val="0"/>
          <w:sz w:val="21"/>
          <w:szCs w:val="21"/>
          <w:highlight w:val="none"/>
          <w:lang w:val="en-US" w:eastAsia="zh-CN" w:bidi="ar-SA"/>
        </w:rPr>
        <w:t>扰</w:t>
      </w:r>
      <w:r>
        <w:rPr>
          <w:rFonts w:hint="eastAsia" w:ascii="宋体" w:hAnsi="宋体" w:eastAsia="宋体" w:cs="宋体"/>
          <w:color w:val="auto"/>
          <w:kern w:val="0"/>
          <w:sz w:val="21"/>
          <w:szCs w:val="21"/>
          <w:highlight w:val="none"/>
          <w:lang w:val="en-US" w:eastAsia="zh-CN" w:bidi="ar-SA"/>
        </w:rPr>
        <w:t>乱正常采购秩序的行为；</w:t>
      </w:r>
    </w:p>
    <w:p w14:paraId="2F9B06A7">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5.有徇私舞弊、弄虚作假等违反正常经营秩序的行为；</w:t>
      </w:r>
    </w:p>
    <w:p w14:paraId="4521BC9A">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7.不按规定履行合同和有其他违法违纪的行为；</w:t>
      </w:r>
    </w:p>
    <w:p w14:paraId="3C31608C">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8.合同签订后，招标文件需对进行核查的内容，如发现与投标文件中不相符，则取消中标资格，作无效投标处理，并依据有关规定进行</w:t>
      </w:r>
      <w:r>
        <w:rPr>
          <w:rFonts w:hint="eastAsia" w:ascii="宋体" w:hAnsi="宋体" w:cs="宋体"/>
          <w:color w:val="auto"/>
          <w:kern w:val="0"/>
          <w:sz w:val="21"/>
          <w:szCs w:val="21"/>
          <w:highlight w:val="none"/>
          <w:lang w:val="en-US" w:eastAsia="zh-CN" w:bidi="ar-SA"/>
        </w:rPr>
        <w:t>处理</w:t>
      </w:r>
      <w:r>
        <w:rPr>
          <w:rFonts w:hint="eastAsia" w:ascii="宋体" w:hAnsi="宋体" w:eastAsia="宋体" w:cs="宋体"/>
          <w:color w:val="auto"/>
          <w:kern w:val="0"/>
          <w:sz w:val="21"/>
          <w:szCs w:val="21"/>
          <w:highlight w:val="none"/>
          <w:lang w:val="en-US" w:eastAsia="zh-CN" w:bidi="ar-SA"/>
        </w:rPr>
        <w:t>。</w:t>
      </w:r>
    </w:p>
    <w:p w14:paraId="0B6EE062">
      <w:pPr>
        <w:shd w:val="clea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第十二条：双方因履行本合同而发生的争议，应协商解决。协商不成的，任何一方均可向甲方所在地有管辖权的人民法院提起诉讼。</w:t>
      </w:r>
    </w:p>
    <w:p w14:paraId="5DC4DD9A">
      <w:pPr>
        <w:shd w:val="clear"/>
        <w:ind w:firstLine="420" w:firstLineChars="200"/>
        <w:outlineLvl w:val="2"/>
        <w:rPr>
          <w:rFonts w:hint="eastAsia" w:ascii="宋体" w:hAnsi="宋体" w:eastAsia="宋体" w:cs="宋体"/>
          <w:color w:val="auto"/>
          <w:kern w:val="0"/>
          <w:sz w:val="21"/>
          <w:szCs w:val="21"/>
          <w:highlight w:val="none"/>
          <w:lang w:val="en-US" w:eastAsia="zh-CN" w:bidi="ar-SA"/>
        </w:rPr>
      </w:pPr>
      <w:bookmarkStart w:id="780" w:name="_Toc7174"/>
      <w:bookmarkStart w:id="781" w:name="_Toc5394"/>
      <w:r>
        <w:rPr>
          <w:rFonts w:hint="eastAsia" w:ascii="宋体" w:hAnsi="宋体" w:eastAsia="宋体" w:cs="宋体"/>
          <w:color w:val="auto"/>
          <w:kern w:val="0"/>
          <w:sz w:val="21"/>
          <w:szCs w:val="21"/>
          <w:highlight w:val="none"/>
          <w:lang w:val="en-US" w:eastAsia="zh-CN" w:bidi="ar-SA"/>
        </w:rPr>
        <w:t>第十三条：合同生效。</w:t>
      </w:r>
      <w:bookmarkEnd w:id="780"/>
      <w:bookmarkEnd w:id="781"/>
    </w:p>
    <w:p w14:paraId="47D1061F">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甲乙双方</w:t>
      </w:r>
      <w:r>
        <w:rPr>
          <w:rFonts w:hint="eastAsia" w:ascii="宋体" w:hAnsi="宋体" w:cs="宋体"/>
          <w:color w:val="auto"/>
          <w:kern w:val="0"/>
          <w:sz w:val="21"/>
          <w:szCs w:val="21"/>
          <w:highlight w:val="none"/>
          <w:lang w:val="en-US" w:eastAsia="zh-CN" w:bidi="ar-SA"/>
        </w:rPr>
        <w:t>法</w:t>
      </w:r>
      <w:r>
        <w:rPr>
          <w:rFonts w:hint="eastAsia" w:ascii="宋体" w:hAnsi="宋体" w:eastAsia="宋体" w:cs="宋体"/>
          <w:color w:val="auto"/>
          <w:kern w:val="0"/>
          <w:sz w:val="21"/>
          <w:szCs w:val="21"/>
          <w:highlight w:val="none"/>
          <w:lang w:val="en-US" w:eastAsia="zh-CN" w:bidi="ar-SA"/>
        </w:rPr>
        <w:t>定代表人签字并签署公章，乙方履约保证金缴纳至甲方指定账户，合同正式生效。</w:t>
      </w:r>
    </w:p>
    <w:p w14:paraId="5107361A">
      <w:pPr>
        <w:shd w:val="clear"/>
        <w:ind w:firstLine="630" w:firstLineChars="300"/>
        <w:outlineLvl w:val="2"/>
        <w:rPr>
          <w:rFonts w:hint="eastAsia" w:ascii="宋体" w:hAnsi="宋体" w:eastAsia="宋体" w:cs="宋体"/>
          <w:color w:val="auto"/>
          <w:kern w:val="0"/>
          <w:sz w:val="21"/>
          <w:szCs w:val="21"/>
          <w:highlight w:val="none"/>
          <w:lang w:val="en-US" w:eastAsia="zh-CN" w:bidi="ar-SA"/>
        </w:rPr>
      </w:pPr>
      <w:bookmarkStart w:id="782" w:name="_Toc28991"/>
      <w:bookmarkStart w:id="783" w:name="_Toc2931"/>
      <w:r>
        <w:rPr>
          <w:rFonts w:hint="eastAsia" w:ascii="宋体" w:hAnsi="宋体" w:eastAsia="宋体" w:cs="宋体"/>
          <w:color w:val="auto"/>
          <w:kern w:val="0"/>
          <w:sz w:val="21"/>
          <w:szCs w:val="21"/>
          <w:highlight w:val="none"/>
          <w:lang w:val="en-US" w:eastAsia="zh-CN" w:bidi="ar-SA"/>
        </w:rPr>
        <w:t>第十四条：其他</w:t>
      </w:r>
      <w:bookmarkEnd w:id="782"/>
      <w:bookmarkEnd w:id="783"/>
    </w:p>
    <w:p w14:paraId="5FEF2442">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1. </w:t>
      </w:r>
      <w:r>
        <w:rPr>
          <w:rFonts w:hint="eastAsia" w:ascii="宋体" w:hAnsi="宋体" w:cs="宋体"/>
          <w:color w:val="auto"/>
          <w:kern w:val="0"/>
          <w:sz w:val="21"/>
          <w:szCs w:val="21"/>
          <w:highlight w:val="none"/>
          <w:lang w:val="en-US" w:eastAsia="zh-CN" w:bidi="ar-SA"/>
        </w:rPr>
        <w:t>本合同一式四份</w:t>
      </w:r>
      <w:r>
        <w:rPr>
          <w:rFonts w:hint="eastAsia" w:ascii="宋体" w:hAnsi="宋体" w:eastAsia="宋体" w:cs="宋体"/>
          <w:color w:val="auto"/>
          <w:kern w:val="0"/>
          <w:sz w:val="21"/>
          <w:szCs w:val="21"/>
          <w:highlight w:val="none"/>
          <w:lang w:val="en-US" w:eastAsia="zh-CN" w:bidi="ar-SA"/>
        </w:rPr>
        <w:t>，甲方执叁份，乙方执壹份，具有同等法律效力。</w:t>
      </w:r>
    </w:p>
    <w:p w14:paraId="6C0750FC">
      <w:pPr>
        <w:shd w:val="clear"/>
        <w:ind w:firstLine="630" w:firstLineChars="3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 本合同经双方签字盖章后生效。其他未尽事宜，由甲乙双方共同协商解决，以</w:t>
      </w:r>
      <w:r>
        <w:rPr>
          <w:rFonts w:hint="eastAsia" w:ascii="宋体" w:hAnsi="宋体" w:cs="宋体"/>
          <w:color w:val="auto"/>
          <w:kern w:val="0"/>
          <w:sz w:val="21"/>
          <w:szCs w:val="21"/>
          <w:highlight w:val="none"/>
          <w:lang w:val="en-US" w:eastAsia="zh-CN" w:bidi="ar-SA"/>
        </w:rPr>
        <w:t>书面形式</w:t>
      </w:r>
      <w:r>
        <w:rPr>
          <w:rFonts w:hint="eastAsia" w:ascii="宋体" w:hAnsi="宋体" w:eastAsia="宋体" w:cs="宋体"/>
          <w:color w:val="auto"/>
          <w:kern w:val="0"/>
          <w:sz w:val="21"/>
          <w:szCs w:val="21"/>
          <w:highlight w:val="none"/>
          <w:lang w:val="en-US" w:eastAsia="zh-CN" w:bidi="ar-SA"/>
        </w:rPr>
        <w:t>作出变更或补充，经双方签字盖章后作为本合同不可分割的部分。</w:t>
      </w:r>
    </w:p>
    <w:p w14:paraId="56417201">
      <w:pPr>
        <w:shd w:val="clear"/>
        <w:ind w:firstLine="630" w:firstLineChars="300"/>
        <w:outlineLvl w:val="1"/>
        <w:rPr>
          <w:rFonts w:hint="eastAsia" w:ascii="宋体" w:hAnsi="宋体" w:eastAsia="宋体" w:cs="宋体"/>
          <w:color w:val="auto"/>
          <w:kern w:val="0"/>
          <w:sz w:val="21"/>
          <w:szCs w:val="21"/>
          <w:highlight w:val="none"/>
          <w:lang w:val="en-US" w:eastAsia="zh-CN" w:bidi="ar-SA"/>
        </w:rPr>
      </w:pPr>
      <w:bookmarkStart w:id="784" w:name="_Toc2435"/>
      <w:bookmarkStart w:id="785" w:name="_Toc25686"/>
      <w:bookmarkStart w:id="786" w:name="_Toc14816"/>
      <w:r>
        <w:rPr>
          <w:rFonts w:hint="eastAsia" w:ascii="宋体" w:hAnsi="宋体" w:eastAsia="宋体" w:cs="宋体"/>
          <w:color w:val="auto"/>
          <w:kern w:val="0"/>
          <w:sz w:val="21"/>
          <w:szCs w:val="21"/>
          <w:highlight w:val="none"/>
          <w:lang w:val="en-US" w:eastAsia="zh-CN" w:bidi="ar-SA"/>
        </w:rPr>
        <w:t>3. 本合同不可分割的</w:t>
      </w:r>
      <w:r>
        <w:rPr>
          <w:rFonts w:hint="eastAsia" w:ascii="宋体" w:hAnsi="宋体" w:cs="宋体"/>
          <w:color w:val="auto"/>
          <w:kern w:val="0"/>
          <w:sz w:val="21"/>
          <w:szCs w:val="21"/>
          <w:highlight w:val="none"/>
          <w:lang w:val="en-US" w:eastAsia="zh-CN" w:bidi="ar-SA"/>
        </w:rPr>
        <w:t>组成部分</w:t>
      </w:r>
      <w:r>
        <w:rPr>
          <w:rFonts w:hint="eastAsia" w:ascii="宋体" w:hAnsi="宋体" w:eastAsia="宋体" w:cs="宋体"/>
          <w:color w:val="auto"/>
          <w:kern w:val="0"/>
          <w:sz w:val="21"/>
          <w:szCs w:val="21"/>
          <w:highlight w:val="none"/>
          <w:lang w:val="en-US" w:eastAsia="zh-CN" w:bidi="ar-SA"/>
        </w:rPr>
        <w:t>：</w:t>
      </w:r>
      <w:bookmarkEnd w:id="784"/>
      <w:bookmarkEnd w:id="785"/>
      <w:bookmarkEnd w:id="786"/>
    </w:p>
    <w:p w14:paraId="18E9D83F">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（1）招标文件；</w:t>
      </w:r>
    </w:p>
    <w:p w14:paraId="6248A2C9">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（2）中标人的投标文件及承诺；</w:t>
      </w:r>
    </w:p>
    <w:p w14:paraId="52BB349B">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（3）招标人发出的《中标通知书》；</w:t>
      </w:r>
    </w:p>
    <w:p w14:paraId="1B1540E0">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（4）合同书附件：               。</w:t>
      </w:r>
    </w:p>
    <w:p w14:paraId="3D13E972">
      <w:pPr>
        <w:shd w:val="clear"/>
        <w:ind w:firstLine="420" w:firstLineChars="200"/>
        <w:outlineLvl w:val="1"/>
        <w:rPr>
          <w:rFonts w:hint="eastAsia" w:ascii="宋体" w:hAnsi="宋体" w:eastAsia="宋体" w:cs="宋体"/>
          <w:color w:val="auto"/>
          <w:kern w:val="0"/>
          <w:sz w:val="21"/>
          <w:szCs w:val="21"/>
          <w:highlight w:val="none"/>
          <w:lang w:val="en-US" w:eastAsia="zh-CN" w:bidi="ar-SA"/>
        </w:rPr>
      </w:pPr>
      <w:bookmarkStart w:id="787" w:name="_Toc27230"/>
      <w:bookmarkStart w:id="788" w:name="_Toc12125"/>
      <w:bookmarkStart w:id="789" w:name="_Toc17441"/>
      <w:r>
        <w:rPr>
          <w:rFonts w:hint="eastAsia" w:ascii="宋体" w:hAnsi="宋体" w:eastAsia="宋体" w:cs="宋体"/>
          <w:color w:val="auto"/>
          <w:kern w:val="0"/>
          <w:sz w:val="21"/>
          <w:szCs w:val="21"/>
          <w:highlight w:val="none"/>
          <w:lang w:val="en-US" w:eastAsia="zh-CN" w:bidi="ar-SA"/>
        </w:rPr>
        <w:t>4. 甲乙双方基本信息</w:t>
      </w:r>
      <w:bookmarkEnd w:id="787"/>
      <w:bookmarkEnd w:id="788"/>
      <w:bookmarkEnd w:id="789"/>
    </w:p>
    <w:p w14:paraId="3EA4146C">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甲方：                                  乙方：</w:t>
      </w:r>
    </w:p>
    <w:p w14:paraId="44CAD814">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单位名称：                              单位名称：</w:t>
      </w:r>
    </w:p>
    <w:p w14:paraId="6C8F42B8">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银行账号：                              银行账号：</w:t>
      </w:r>
    </w:p>
    <w:p w14:paraId="44CAA374">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开户行：                                开户行：</w:t>
      </w:r>
    </w:p>
    <w:p w14:paraId="16EDA534">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开户名：                                开户名：</w:t>
      </w:r>
    </w:p>
    <w:p w14:paraId="577625D2">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统一社会信用代码：                      统一社会信用代码：</w:t>
      </w:r>
    </w:p>
    <w:p w14:paraId="0F9C2C99">
      <w:pPr>
        <w:shd w:val="clear"/>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地址：                                  地址：</w:t>
      </w:r>
    </w:p>
    <w:p w14:paraId="4DB53549">
      <w:pPr>
        <w:pStyle w:val="2"/>
        <w:shd w:val="clear"/>
        <w:wordWrap w:val="0"/>
        <w:jc w:val="both"/>
        <w:outlineLvl w:val="9"/>
        <w:rPr>
          <w:rFonts w:hint="eastAsia" w:cs="宋体" w:asciiTheme="minorEastAsia" w:hAnsiTheme="minorEastAsia" w:eastAsiaTheme="minorEastAsia"/>
          <w:color w:val="auto"/>
          <w:szCs w:val="32"/>
          <w:highlight w:val="none"/>
        </w:rPr>
      </w:pPr>
    </w:p>
    <w:p w14:paraId="7EAFF722">
      <w:pPr>
        <w:pStyle w:val="2"/>
        <w:shd w:val="clear"/>
        <w:wordWrap w:val="0"/>
        <w:jc w:val="both"/>
        <w:outlineLvl w:val="9"/>
        <w:rPr>
          <w:rFonts w:hint="eastAsia" w:cs="宋体" w:asciiTheme="minorEastAsia" w:hAnsiTheme="minorEastAsia" w:eastAsiaTheme="minorEastAsia"/>
          <w:color w:val="auto"/>
          <w:szCs w:val="32"/>
          <w:highlight w:val="none"/>
        </w:rPr>
      </w:pPr>
    </w:p>
    <w:p w14:paraId="23425646">
      <w:pPr>
        <w:pStyle w:val="2"/>
        <w:shd w:val="clear"/>
        <w:wordWrap w:val="0"/>
        <w:outlineLvl w:val="9"/>
        <w:rPr>
          <w:rFonts w:hint="eastAsia" w:cs="宋体" w:asciiTheme="minorEastAsia" w:hAnsiTheme="minorEastAsia" w:eastAsiaTheme="minorEastAsia"/>
          <w:color w:val="auto"/>
          <w:szCs w:val="32"/>
          <w:highlight w:val="none"/>
        </w:rPr>
      </w:pPr>
    </w:p>
    <w:p w14:paraId="0F712363">
      <w:pPr>
        <w:pStyle w:val="2"/>
        <w:shd w:val="clear"/>
        <w:wordWrap w:val="0"/>
        <w:outlineLvl w:val="0"/>
        <w:rPr>
          <w:rFonts w:hint="eastAsia" w:ascii="黑体" w:hAnsi="黑体" w:eastAsia="黑体" w:cs="黑体"/>
          <w:b/>
          <w:bCs/>
          <w:color w:val="auto"/>
          <w:highlight w:val="none"/>
          <w:lang w:eastAsia="zh-CN"/>
        </w:rPr>
      </w:pPr>
      <w:bookmarkStart w:id="790" w:name="_Toc13959"/>
      <w:r>
        <w:rPr>
          <w:rFonts w:hint="eastAsia" w:ascii="黑体" w:hAnsi="黑体" w:eastAsia="黑体" w:cs="黑体"/>
          <w:b/>
          <w:bCs/>
          <w:color w:val="auto"/>
          <w:highlight w:val="none"/>
          <w:lang w:eastAsia="zh-CN"/>
        </w:rPr>
        <w:t>第四章 投标文件格式</w:t>
      </w:r>
      <w:bookmarkEnd w:id="754"/>
      <w:bookmarkEnd w:id="755"/>
      <w:bookmarkEnd w:id="790"/>
    </w:p>
    <w:p w14:paraId="59F3E59A">
      <w:pPr>
        <w:widowControl/>
        <w:shd w:val="clear"/>
        <w:wordWrap w:val="0"/>
        <w:spacing w:line="720" w:lineRule="auto"/>
        <w:jc w:val="center"/>
        <w:rPr>
          <w:rFonts w:cs="宋体" w:asciiTheme="minorEastAsia" w:hAnsiTheme="minorEastAsia" w:eastAsiaTheme="minorEastAsia"/>
          <w:bCs/>
          <w:color w:val="auto"/>
          <w:sz w:val="44"/>
          <w:szCs w:val="44"/>
          <w:highlight w:val="none"/>
        </w:rPr>
      </w:pPr>
      <w:r>
        <w:rPr>
          <w:rFonts w:hint="eastAsia" w:cs="宋体" w:asciiTheme="minorEastAsia" w:hAnsiTheme="minorEastAsia" w:eastAsiaTheme="minorEastAsia"/>
          <w:bCs/>
          <w:color w:val="auto"/>
          <w:sz w:val="44"/>
          <w:szCs w:val="44"/>
          <w:highlight w:val="none"/>
        </w:rPr>
        <w:br w:type="page"/>
      </w:r>
    </w:p>
    <w:p w14:paraId="36209C2F">
      <w:pPr>
        <w:shd w:val="clear"/>
        <w:tabs>
          <w:tab w:val="left" w:pos="4775"/>
        </w:tabs>
        <w:wordWrap w:val="0"/>
        <w:spacing w:line="720" w:lineRule="auto"/>
        <w:jc w:val="center"/>
        <w:outlineLvl w:val="1"/>
        <w:rPr>
          <w:rFonts w:cs="宋体" w:asciiTheme="minorEastAsia" w:hAnsiTheme="minorEastAsia" w:eastAsiaTheme="minorEastAsia"/>
          <w:b/>
          <w:color w:val="auto"/>
          <w:sz w:val="40"/>
          <w:szCs w:val="40"/>
          <w:highlight w:val="none"/>
        </w:rPr>
      </w:pPr>
      <w:bookmarkStart w:id="791" w:name="_Toc15943"/>
      <w:bookmarkStart w:id="792" w:name="_Toc20207"/>
      <w:bookmarkStart w:id="793" w:name="_Toc716"/>
      <w:r>
        <w:rPr>
          <w:rFonts w:hint="eastAsia" w:cs="宋体" w:asciiTheme="minorEastAsia" w:hAnsiTheme="minorEastAsia" w:eastAsiaTheme="minorEastAsia"/>
          <w:b/>
          <w:color w:val="auto"/>
          <w:sz w:val="48"/>
          <w:szCs w:val="48"/>
          <w:highlight w:val="none"/>
          <w:lang w:eastAsia="zh-CN"/>
        </w:rPr>
        <w:t>蒙自市公办义务教育阶段学校食堂大宗食材配送服务</w:t>
      </w:r>
      <w:bookmarkEnd w:id="791"/>
      <w:bookmarkEnd w:id="792"/>
      <w:bookmarkEnd w:id="793"/>
      <w:r>
        <w:rPr>
          <w:rFonts w:hint="eastAsia" w:cs="宋体" w:asciiTheme="minorEastAsia" w:hAnsiTheme="minorEastAsia" w:eastAsiaTheme="minorEastAsia"/>
          <w:b/>
          <w:color w:val="auto"/>
          <w:sz w:val="48"/>
          <w:szCs w:val="48"/>
          <w:highlight w:val="none"/>
        </w:rPr>
        <w:t xml:space="preserve"> </w:t>
      </w:r>
    </w:p>
    <w:p w14:paraId="273A7D56">
      <w:pPr>
        <w:shd w:val="clear"/>
        <w:wordWrap w:val="0"/>
        <w:jc w:val="center"/>
        <w:rPr>
          <w:rFonts w:cs="宋体" w:asciiTheme="minorEastAsia" w:hAnsiTheme="minorEastAsia" w:eastAsiaTheme="minorEastAsia"/>
          <w:bCs/>
          <w:color w:val="auto"/>
          <w:sz w:val="44"/>
          <w:szCs w:val="44"/>
          <w:highlight w:val="none"/>
        </w:rPr>
      </w:pPr>
    </w:p>
    <w:p w14:paraId="21770D91">
      <w:pPr>
        <w:shd w:val="clear"/>
        <w:wordWrap w:val="0"/>
        <w:rPr>
          <w:rFonts w:asciiTheme="minorEastAsia" w:hAnsiTheme="minorEastAsia" w:eastAsiaTheme="minorEastAsia"/>
          <w:color w:val="auto"/>
          <w:highlight w:val="none"/>
        </w:rPr>
      </w:pPr>
    </w:p>
    <w:p w14:paraId="54EA7AD7">
      <w:pPr>
        <w:pStyle w:val="15"/>
        <w:shd w:val="clear"/>
        <w:rPr>
          <w:rFonts w:asciiTheme="minorEastAsia" w:hAnsiTheme="minorEastAsia" w:eastAsiaTheme="minorEastAsia"/>
          <w:color w:val="auto"/>
          <w:highlight w:val="none"/>
        </w:rPr>
      </w:pPr>
    </w:p>
    <w:p w14:paraId="15AFC8F3">
      <w:pPr>
        <w:shd w:val="clear"/>
        <w:rPr>
          <w:rFonts w:asciiTheme="minorEastAsia" w:hAnsiTheme="minorEastAsia" w:eastAsiaTheme="minorEastAsia"/>
          <w:color w:val="auto"/>
          <w:highlight w:val="none"/>
        </w:rPr>
      </w:pPr>
    </w:p>
    <w:p w14:paraId="2AFFB8E2">
      <w:pPr>
        <w:pStyle w:val="15"/>
        <w:shd w:val="clear"/>
        <w:rPr>
          <w:color w:val="auto"/>
          <w:highlight w:val="none"/>
        </w:rPr>
      </w:pPr>
    </w:p>
    <w:p w14:paraId="3D97F871">
      <w:pPr>
        <w:pStyle w:val="22"/>
        <w:shd w:val="clear"/>
        <w:wordWrap w:val="0"/>
        <w:spacing w:line="480" w:lineRule="auto"/>
        <w:jc w:val="center"/>
        <w:rPr>
          <w:rFonts w:cs="宋体" w:asciiTheme="minorEastAsia" w:hAnsiTheme="minorEastAsia" w:eastAsiaTheme="minorEastAsia"/>
          <w:b/>
          <w:color w:val="auto"/>
          <w:sz w:val="72"/>
          <w:szCs w:val="72"/>
          <w:highlight w:val="none"/>
        </w:rPr>
      </w:pPr>
      <w:r>
        <w:rPr>
          <w:rFonts w:hint="eastAsia" w:cs="宋体" w:asciiTheme="minorEastAsia" w:hAnsiTheme="minorEastAsia" w:eastAsiaTheme="minorEastAsia"/>
          <w:b/>
          <w:color w:val="auto"/>
          <w:sz w:val="72"/>
          <w:szCs w:val="72"/>
          <w:highlight w:val="none"/>
        </w:rPr>
        <w:t>投 标 文 件</w:t>
      </w:r>
    </w:p>
    <w:p w14:paraId="491A2E44">
      <w:pPr>
        <w:pStyle w:val="3"/>
        <w:shd w:val="clear"/>
        <w:wordWrap w:val="0"/>
        <w:jc w:val="center"/>
        <w:rPr>
          <w:rFonts w:asciiTheme="minorEastAsia" w:hAnsiTheme="minorEastAsia" w:eastAsiaTheme="minorEastAsia"/>
          <w:color w:val="auto"/>
          <w:highlight w:val="none"/>
        </w:rPr>
      </w:pPr>
      <w:bookmarkStart w:id="794" w:name="_Toc21740"/>
      <w:bookmarkStart w:id="795" w:name="_Toc19247"/>
      <w:bookmarkStart w:id="796" w:name="_Toc14357"/>
      <w:bookmarkStart w:id="797" w:name="_Toc5035"/>
      <w:r>
        <w:rPr>
          <w:rFonts w:hint="eastAsia" w:asciiTheme="minorEastAsia" w:hAnsiTheme="minorEastAsia" w:eastAsiaTheme="minorEastAsia"/>
          <w:color w:val="auto"/>
          <w:highlight w:val="none"/>
        </w:rPr>
        <w:t>（第一册：</w:t>
      </w:r>
      <w:bookmarkStart w:id="798" w:name="_Toc489197867"/>
      <w:bookmarkStart w:id="799" w:name="_Toc9717"/>
      <w:bookmarkStart w:id="800" w:name="_Toc213141103"/>
      <w:bookmarkStart w:id="801" w:name="_Toc18287415"/>
      <w:bookmarkStart w:id="802" w:name="_Toc489145763"/>
      <w:bookmarkStart w:id="803" w:name="_Toc488633628"/>
      <w:bookmarkStart w:id="804" w:name="_Toc16090"/>
      <w:bookmarkStart w:id="805" w:name="_Toc481694856"/>
      <w:bookmarkStart w:id="806" w:name="_Toc14603904"/>
      <w:bookmarkStart w:id="807" w:name="_Toc16719"/>
      <w:r>
        <w:rPr>
          <w:rFonts w:hint="eastAsia" w:asciiTheme="minorEastAsia" w:hAnsiTheme="minorEastAsia" w:eastAsiaTheme="minorEastAsia"/>
          <w:color w:val="auto"/>
          <w:highlight w:val="none"/>
        </w:rPr>
        <w:t>资格证明</w:t>
      </w:r>
      <w:bookmarkEnd w:id="798"/>
      <w:bookmarkEnd w:id="799"/>
      <w:bookmarkEnd w:id="800"/>
      <w:bookmarkEnd w:id="801"/>
      <w:bookmarkEnd w:id="802"/>
      <w:bookmarkEnd w:id="803"/>
      <w:bookmarkEnd w:id="804"/>
      <w:bookmarkEnd w:id="805"/>
      <w:bookmarkEnd w:id="806"/>
      <w:bookmarkEnd w:id="807"/>
      <w:r>
        <w:rPr>
          <w:rFonts w:hint="eastAsia" w:asciiTheme="minorEastAsia" w:hAnsiTheme="minorEastAsia" w:eastAsiaTheme="minorEastAsia"/>
          <w:color w:val="auto"/>
          <w:highlight w:val="none"/>
        </w:rPr>
        <w:t>部分）</w:t>
      </w:r>
      <w:bookmarkEnd w:id="794"/>
      <w:bookmarkEnd w:id="795"/>
      <w:bookmarkEnd w:id="796"/>
      <w:bookmarkEnd w:id="797"/>
    </w:p>
    <w:p w14:paraId="10839ABA">
      <w:pPr>
        <w:pStyle w:val="22"/>
        <w:shd w:val="clear"/>
        <w:wordWrap w:val="0"/>
        <w:spacing w:line="500" w:lineRule="exact"/>
        <w:ind w:firstLine="3601" w:firstLineChars="1281"/>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项目编号：</w:t>
      </w:r>
    </w:p>
    <w:p w14:paraId="227BC9E6">
      <w:pPr>
        <w:pStyle w:val="22"/>
        <w:shd w:val="clear"/>
        <w:wordWrap w:val="0"/>
        <w:spacing w:line="500" w:lineRule="exact"/>
        <w:ind w:firstLine="3601" w:firstLineChars="1281"/>
        <w:rPr>
          <w:rFonts w:cs="宋体" w:asciiTheme="minorEastAsia" w:hAnsiTheme="minorEastAsia" w:eastAsiaTheme="minorEastAsia"/>
          <w:b/>
          <w:color w:val="auto"/>
          <w:sz w:val="28"/>
          <w:szCs w:val="28"/>
          <w:highlight w:val="none"/>
          <w:u w:val="single"/>
        </w:rPr>
      </w:pPr>
    </w:p>
    <w:p w14:paraId="603ECA12">
      <w:pPr>
        <w:pStyle w:val="22"/>
        <w:shd w:val="clear"/>
        <w:wordWrap w:val="0"/>
        <w:spacing w:line="500" w:lineRule="exact"/>
        <w:ind w:firstLine="3601" w:firstLineChars="1281"/>
        <w:rPr>
          <w:rFonts w:cs="宋体" w:asciiTheme="minorEastAsia" w:hAnsiTheme="minorEastAsia" w:eastAsiaTheme="minorEastAsia"/>
          <w:b/>
          <w:color w:val="auto"/>
          <w:sz w:val="28"/>
          <w:szCs w:val="28"/>
          <w:highlight w:val="none"/>
          <w:u w:val="single"/>
        </w:rPr>
      </w:pPr>
    </w:p>
    <w:p w14:paraId="7A47F739">
      <w:pPr>
        <w:pStyle w:val="22"/>
        <w:shd w:val="clear"/>
        <w:wordWrap w:val="0"/>
        <w:spacing w:line="500" w:lineRule="exact"/>
        <w:ind w:firstLine="3601" w:firstLineChars="1281"/>
        <w:rPr>
          <w:rFonts w:cs="宋体" w:asciiTheme="minorEastAsia" w:hAnsiTheme="minorEastAsia" w:eastAsiaTheme="minorEastAsia"/>
          <w:b/>
          <w:color w:val="auto"/>
          <w:sz w:val="28"/>
          <w:szCs w:val="28"/>
          <w:highlight w:val="none"/>
          <w:u w:val="single"/>
        </w:rPr>
      </w:pPr>
    </w:p>
    <w:p w14:paraId="30A5A852">
      <w:pPr>
        <w:pStyle w:val="22"/>
        <w:shd w:val="clear"/>
        <w:wordWrap w:val="0"/>
        <w:spacing w:line="500" w:lineRule="exact"/>
        <w:ind w:firstLine="3601" w:firstLineChars="1281"/>
        <w:rPr>
          <w:rFonts w:cs="宋体" w:asciiTheme="minorEastAsia" w:hAnsiTheme="minorEastAsia" w:eastAsiaTheme="minorEastAsia"/>
          <w:b/>
          <w:color w:val="auto"/>
          <w:sz w:val="28"/>
          <w:szCs w:val="28"/>
          <w:highlight w:val="none"/>
          <w:u w:val="single"/>
        </w:rPr>
      </w:pPr>
    </w:p>
    <w:p w14:paraId="11D1E7BC">
      <w:pPr>
        <w:pStyle w:val="22"/>
        <w:shd w:val="clear"/>
        <w:wordWrap w:val="0"/>
        <w:spacing w:line="500" w:lineRule="exact"/>
        <w:ind w:firstLine="3601" w:firstLineChars="1281"/>
        <w:rPr>
          <w:rFonts w:cs="宋体" w:asciiTheme="minorEastAsia" w:hAnsiTheme="minorEastAsia" w:eastAsiaTheme="minorEastAsia"/>
          <w:b/>
          <w:color w:val="auto"/>
          <w:sz w:val="44"/>
          <w:szCs w:val="44"/>
          <w:highlight w:val="none"/>
        </w:rPr>
      </w:pPr>
      <w:r>
        <w:rPr>
          <w:rFonts w:hint="eastAsia" w:cs="宋体" w:asciiTheme="minorEastAsia" w:hAnsiTheme="minorEastAsia" w:eastAsiaTheme="minorEastAsia"/>
          <w:b/>
          <w:color w:val="auto"/>
          <w:sz w:val="28"/>
          <w:szCs w:val="28"/>
          <w:highlight w:val="none"/>
          <w:u w:val="single"/>
        </w:rPr>
        <w:t xml:space="preserve">         </w:t>
      </w:r>
    </w:p>
    <w:p w14:paraId="6FD655D0">
      <w:pPr>
        <w:shd w:val="clear"/>
        <w:wordWrap w:val="0"/>
        <w:jc w:val="center"/>
        <w:rPr>
          <w:rFonts w:cs="宋体" w:asciiTheme="minorEastAsia" w:hAnsiTheme="minorEastAsia" w:eastAsiaTheme="minorEastAsia"/>
          <w:b/>
          <w:color w:val="auto"/>
          <w:sz w:val="44"/>
          <w:szCs w:val="44"/>
          <w:highlight w:val="none"/>
        </w:rPr>
      </w:pPr>
      <w:r>
        <w:rPr>
          <w:rFonts w:hint="eastAsia" w:cs="宋体" w:asciiTheme="minorEastAsia" w:hAnsiTheme="minorEastAsia" w:eastAsiaTheme="minorEastAsia"/>
          <w:b/>
          <w:color w:val="auto"/>
          <w:sz w:val="44"/>
          <w:szCs w:val="44"/>
          <w:highlight w:val="none"/>
        </w:rPr>
        <w:t xml:space="preserve">             </w:t>
      </w:r>
    </w:p>
    <w:p w14:paraId="116038D3">
      <w:pPr>
        <w:shd w:val="clear"/>
        <w:wordWrap w:val="0"/>
        <w:jc w:val="center"/>
        <w:rPr>
          <w:rFonts w:cs="宋体" w:asciiTheme="minorEastAsia" w:hAnsiTheme="minorEastAsia" w:eastAsiaTheme="minorEastAsia"/>
          <w:b/>
          <w:color w:val="auto"/>
          <w:sz w:val="44"/>
          <w:szCs w:val="44"/>
          <w:highlight w:val="none"/>
        </w:rPr>
      </w:pPr>
    </w:p>
    <w:p w14:paraId="715FE19F">
      <w:pPr>
        <w:shd w:val="clear"/>
        <w:wordWrap w:val="0"/>
        <w:jc w:val="center"/>
        <w:rPr>
          <w:rFonts w:cs="宋体" w:asciiTheme="minorEastAsia" w:hAnsiTheme="minorEastAsia" w:eastAsiaTheme="minorEastAsia"/>
          <w:b/>
          <w:color w:val="auto"/>
          <w:sz w:val="44"/>
          <w:szCs w:val="44"/>
          <w:highlight w:val="none"/>
        </w:rPr>
      </w:pPr>
    </w:p>
    <w:p w14:paraId="7B1C6AB7">
      <w:pPr>
        <w:shd w:val="clear"/>
        <w:wordWrap w:val="0"/>
        <w:jc w:val="center"/>
        <w:rPr>
          <w:rFonts w:cs="宋体" w:asciiTheme="minorEastAsia" w:hAnsiTheme="minorEastAsia" w:eastAsiaTheme="minorEastAsia"/>
          <w:b/>
          <w:color w:val="auto"/>
          <w:sz w:val="44"/>
          <w:szCs w:val="44"/>
          <w:highlight w:val="none"/>
        </w:rPr>
      </w:pPr>
    </w:p>
    <w:p w14:paraId="33A0B503">
      <w:pPr>
        <w:shd w:val="clear"/>
        <w:wordWrap w:val="0"/>
        <w:rPr>
          <w:rFonts w:asciiTheme="minorEastAsia" w:hAnsiTheme="minorEastAsia" w:eastAsiaTheme="minorEastAsia"/>
          <w:color w:val="auto"/>
          <w:highlight w:val="none"/>
        </w:rPr>
      </w:pPr>
    </w:p>
    <w:p w14:paraId="6652717D">
      <w:pPr>
        <w:shd w:val="clear"/>
        <w:wordWrap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投标人：</w:t>
      </w: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u w:val="single"/>
          <w:lang w:eastAsia="zh-CN"/>
        </w:rPr>
        <w:t>（</w:t>
      </w:r>
      <w:r>
        <w:rPr>
          <w:rFonts w:hint="eastAsia" w:cs="宋体" w:asciiTheme="minorEastAsia" w:hAnsiTheme="minorEastAsia" w:eastAsiaTheme="minorEastAsia"/>
          <w:b/>
          <w:color w:val="auto"/>
          <w:sz w:val="24"/>
          <w:highlight w:val="none"/>
        </w:rPr>
        <w:t>加盖投标人电子公章</w:t>
      </w:r>
      <w:r>
        <w:rPr>
          <w:rFonts w:hint="eastAsia" w:cs="宋体" w:asciiTheme="minorEastAsia" w:hAnsiTheme="minorEastAsia" w:eastAsiaTheme="minorEastAsia"/>
          <w:b/>
          <w:color w:val="auto"/>
          <w:sz w:val="24"/>
          <w:highlight w:val="none"/>
          <w:lang w:eastAsia="zh-CN"/>
        </w:rPr>
        <w:t>）</w:t>
      </w:r>
    </w:p>
    <w:p w14:paraId="5388DEAF">
      <w:pPr>
        <w:pStyle w:val="22"/>
        <w:shd w:val="clear"/>
        <w:wordWrap w:val="0"/>
        <w:spacing w:line="500" w:lineRule="exact"/>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法定代表人：</w:t>
      </w: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rPr>
        <w:t>（电子签名或签章）</w:t>
      </w:r>
    </w:p>
    <w:p w14:paraId="6635D758">
      <w:pPr>
        <w:pStyle w:val="22"/>
        <w:shd w:val="clear"/>
        <w:wordWrap w:val="0"/>
        <w:spacing w:line="500" w:lineRule="exact"/>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rPr>
        <w:t>年</w:t>
      </w: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rPr>
        <w:t>月</w:t>
      </w: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rPr>
        <w:t>日</w:t>
      </w:r>
    </w:p>
    <w:p w14:paraId="75B1C1ED">
      <w:pPr>
        <w:shd w:val="clea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r>
    </w:p>
    <w:p w14:paraId="17118AB8">
      <w:pPr>
        <w:shd w:val="clear"/>
        <w:wordWrap w:val="0"/>
        <w:ind w:firstLine="440" w:firstLineChars="200"/>
        <w:outlineLvl w:val="2"/>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lang w:val="en-US" w:eastAsia="zh-CN"/>
        </w:rPr>
        <w:t>1.</w:t>
      </w:r>
      <w:r>
        <w:rPr>
          <w:rFonts w:hint="eastAsia" w:ascii="黑体" w:hAnsi="黑体" w:eastAsia="黑体" w:cs="黑体"/>
          <w:bCs/>
          <w:color w:val="auto"/>
          <w:sz w:val="22"/>
          <w:szCs w:val="22"/>
          <w:highlight w:val="none"/>
        </w:rPr>
        <w:t>满足《中华人民共和国政府采购法》第二十二条规定；</w:t>
      </w:r>
    </w:p>
    <w:p w14:paraId="07CD1BDB">
      <w:pPr>
        <w:pStyle w:val="12"/>
        <w:shd w:val="clear"/>
        <w:rPr>
          <w:rFonts w:hint="eastAsia"/>
          <w:color w:val="auto"/>
          <w:sz w:val="22"/>
          <w:szCs w:val="22"/>
          <w:highlight w:val="none"/>
        </w:rPr>
      </w:pPr>
      <w:r>
        <w:rPr>
          <w:rFonts w:hint="eastAsia"/>
          <w:color w:val="auto"/>
          <w:sz w:val="22"/>
          <w:szCs w:val="22"/>
          <w:highlight w:val="none"/>
          <w:lang w:val="en-US" w:eastAsia="zh-CN"/>
        </w:rPr>
        <w:t>1.1</w:t>
      </w:r>
      <w:r>
        <w:rPr>
          <w:rFonts w:hint="eastAsia"/>
          <w:color w:val="auto"/>
          <w:sz w:val="22"/>
          <w:szCs w:val="22"/>
          <w:highlight w:val="none"/>
        </w:rPr>
        <w:t>具有独立承担民事责任的能力，须提供法人或者其他组织的营业执照等证明文件，自然人的身份证明。</w:t>
      </w:r>
    </w:p>
    <w:p w14:paraId="76877E10">
      <w:pPr>
        <w:pStyle w:val="12"/>
        <w:shd w:val="clear"/>
        <w:rPr>
          <w:color w:val="auto"/>
          <w:sz w:val="22"/>
          <w:szCs w:val="22"/>
          <w:highlight w:val="none"/>
        </w:rPr>
      </w:pPr>
      <w:r>
        <w:rPr>
          <w:rFonts w:hint="eastAsia"/>
          <w:color w:val="auto"/>
          <w:sz w:val="22"/>
          <w:szCs w:val="22"/>
          <w:highlight w:val="none"/>
          <w:lang w:val="en-US" w:eastAsia="zh-CN"/>
        </w:rPr>
        <w:t>1.2</w:t>
      </w:r>
      <w:r>
        <w:rPr>
          <w:rFonts w:hint="eastAsia"/>
          <w:color w:val="auto"/>
          <w:sz w:val="22"/>
          <w:szCs w:val="22"/>
          <w:highlight w:val="none"/>
        </w:rPr>
        <w:t>具有良好的商业信誉和健全的财务会计制度，提供近</w:t>
      </w:r>
      <w:r>
        <w:rPr>
          <w:rFonts w:hint="eastAsia"/>
          <w:color w:val="auto"/>
          <w:sz w:val="22"/>
          <w:szCs w:val="22"/>
          <w:highlight w:val="none"/>
          <w:lang w:val="en-US" w:eastAsia="zh-CN"/>
        </w:rPr>
        <w:t>2</w:t>
      </w:r>
      <w:r>
        <w:rPr>
          <w:rFonts w:hint="eastAsia"/>
          <w:color w:val="auto"/>
          <w:sz w:val="22"/>
          <w:szCs w:val="22"/>
          <w:highlight w:val="none"/>
        </w:rPr>
        <w:t>年</w:t>
      </w:r>
      <w:r>
        <w:rPr>
          <w:rFonts w:hint="eastAsia"/>
          <w:color w:val="auto"/>
          <w:sz w:val="22"/>
          <w:szCs w:val="22"/>
          <w:highlight w:val="none"/>
          <w:lang w:eastAsia="zh-CN"/>
        </w:rPr>
        <w:t>（</w:t>
      </w:r>
      <w:r>
        <w:rPr>
          <w:rFonts w:hint="eastAsia"/>
          <w:color w:val="auto"/>
          <w:sz w:val="22"/>
          <w:szCs w:val="22"/>
          <w:highlight w:val="none"/>
        </w:rPr>
        <w:t>202</w:t>
      </w:r>
      <w:r>
        <w:rPr>
          <w:rFonts w:hint="eastAsia"/>
          <w:color w:val="auto"/>
          <w:sz w:val="22"/>
          <w:szCs w:val="22"/>
          <w:highlight w:val="none"/>
          <w:lang w:val="en-US" w:eastAsia="zh-CN"/>
        </w:rPr>
        <w:t>2</w:t>
      </w:r>
      <w:r>
        <w:rPr>
          <w:rFonts w:hint="eastAsia"/>
          <w:color w:val="auto"/>
          <w:sz w:val="22"/>
          <w:szCs w:val="22"/>
          <w:highlight w:val="none"/>
          <w:lang w:eastAsia="zh-CN"/>
        </w:rPr>
        <w:t>年至</w:t>
      </w:r>
      <w:r>
        <w:rPr>
          <w:rFonts w:hint="eastAsia"/>
          <w:color w:val="auto"/>
          <w:sz w:val="22"/>
          <w:szCs w:val="22"/>
          <w:highlight w:val="none"/>
        </w:rPr>
        <w:t>2023年</w:t>
      </w:r>
      <w:r>
        <w:rPr>
          <w:rFonts w:hint="eastAsia"/>
          <w:color w:val="auto"/>
          <w:sz w:val="22"/>
          <w:szCs w:val="22"/>
          <w:highlight w:val="none"/>
          <w:lang w:eastAsia="zh-CN"/>
        </w:rPr>
        <w:t>）经</w:t>
      </w:r>
      <w:r>
        <w:rPr>
          <w:rFonts w:hint="eastAsia"/>
          <w:color w:val="auto"/>
          <w:sz w:val="22"/>
          <w:szCs w:val="22"/>
          <w:highlight w:val="none"/>
        </w:rPr>
        <w:t>会计师事务所</w:t>
      </w:r>
      <w:r>
        <w:rPr>
          <w:rFonts w:hint="eastAsia"/>
          <w:color w:val="auto"/>
          <w:sz w:val="22"/>
          <w:szCs w:val="22"/>
          <w:highlight w:val="none"/>
          <w:lang w:eastAsia="zh-CN"/>
        </w:rPr>
        <w:t>出具的</w:t>
      </w:r>
      <w:r>
        <w:rPr>
          <w:rFonts w:hint="eastAsia"/>
          <w:color w:val="auto"/>
          <w:sz w:val="22"/>
          <w:szCs w:val="22"/>
          <w:highlight w:val="none"/>
        </w:rPr>
        <w:t>审计报告，应当包含报告正文、资产负债表、利润表、现金流量表及所有者权益变动表（无所有者权益表的提供书面说明）。根据《财政部关于注册会计师行业统一监管平台上线运行的通知》（财办〔2022〕32号）的规定，2022年、2023年审计报告须在统一监管平台进行自动赋码验证，未赋码的视为审计报告无效。如成立未满一年的公司提供</w:t>
      </w:r>
      <w:r>
        <w:rPr>
          <w:rFonts w:hint="eastAsia"/>
          <w:color w:val="auto"/>
          <w:sz w:val="22"/>
          <w:szCs w:val="22"/>
          <w:highlight w:val="none"/>
          <w:lang w:eastAsia="zh-CN"/>
        </w:rPr>
        <w:t>基本账户</w:t>
      </w:r>
      <w:r>
        <w:rPr>
          <w:rFonts w:hint="eastAsia"/>
          <w:color w:val="auto"/>
          <w:sz w:val="22"/>
          <w:szCs w:val="22"/>
          <w:highlight w:val="none"/>
        </w:rPr>
        <w:t>开户银行出具的近三个月资信证明或财政部门认可的政府采购专业担保机构出具的招标担保函；</w:t>
      </w:r>
    </w:p>
    <w:p w14:paraId="03108420">
      <w:pPr>
        <w:pStyle w:val="12"/>
        <w:shd w:val="clear"/>
        <w:rPr>
          <w:rFonts w:hint="eastAsia"/>
          <w:color w:val="auto"/>
          <w:sz w:val="22"/>
          <w:szCs w:val="22"/>
          <w:highlight w:val="none"/>
        </w:rPr>
      </w:pPr>
      <w:r>
        <w:rPr>
          <w:rFonts w:hint="eastAsia"/>
          <w:color w:val="auto"/>
          <w:sz w:val="22"/>
          <w:szCs w:val="22"/>
          <w:highlight w:val="none"/>
          <w:lang w:val="en-US" w:eastAsia="zh-CN"/>
        </w:rPr>
        <w:t>1.3</w:t>
      </w:r>
      <w:r>
        <w:rPr>
          <w:rFonts w:hint="eastAsia"/>
          <w:color w:val="auto"/>
          <w:sz w:val="22"/>
          <w:szCs w:val="22"/>
          <w:highlight w:val="none"/>
        </w:rPr>
        <w:t>具有依法缴纳税收和社会保障资金的良好记录，须提供2023年至</w:t>
      </w:r>
      <w:r>
        <w:rPr>
          <w:rFonts w:hint="eastAsia"/>
          <w:color w:val="auto"/>
          <w:sz w:val="22"/>
          <w:szCs w:val="22"/>
          <w:highlight w:val="none"/>
          <w:lang w:eastAsia="zh-CN"/>
        </w:rPr>
        <w:t>开标截止日</w:t>
      </w:r>
      <w:r>
        <w:rPr>
          <w:rFonts w:hint="eastAsia"/>
          <w:color w:val="auto"/>
          <w:sz w:val="22"/>
          <w:szCs w:val="22"/>
          <w:highlight w:val="none"/>
        </w:rPr>
        <w:t>任意</w:t>
      </w:r>
      <w:r>
        <w:rPr>
          <w:rFonts w:hint="eastAsia"/>
          <w:color w:val="auto"/>
          <w:sz w:val="22"/>
          <w:szCs w:val="22"/>
          <w:highlight w:val="none"/>
          <w:lang w:val="en-US" w:eastAsia="zh-CN"/>
        </w:rPr>
        <w:t>6</w:t>
      </w:r>
      <w:r>
        <w:rPr>
          <w:rFonts w:hint="eastAsia"/>
          <w:color w:val="auto"/>
          <w:sz w:val="22"/>
          <w:szCs w:val="22"/>
          <w:highlight w:val="none"/>
        </w:rPr>
        <w:t>个月依法缴纳税收</w:t>
      </w:r>
      <w:r>
        <w:rPr>
          <w:rFonts w:hint="eastAsia"/>
          <w:color w:val="auto"/>
          <w:sz w:val="22"/>
          <w:szCs w:val="22"/>
          <w:highlight w:val="none"/>
          <w:lang w:eastAsia="zh-CN"/>
        </w:rPr>
        <w:t>（认定税种不包括个人所得税）</w:t>
      </w:r>
      <w:r>
        <w:rPr>
          <w:rFonts w:hint="eastAsia"/>
          <w:color w:val="auto"/>
          <w:sz w:val="22"/>
          <w:szCs w:val="22"/>
          <w:highlight w:val="none"/>
        </w:rPr>
        <w:t>和缴纳社会保障资金的证明</w:t>
      </w:r>
      <w:r>
        <w:rPr>
          <w:rFonts w:hint="eastAsia"/>
          <w:color w:val="auto"/>
          <w:sz w:val="22"/>
          <w:szCs w:val="22"/>
          <w:highlight w:val="none"/>
          <w:lang w:eastAsia="zh-CN"/>
        </w:rPr>
        <w:t>。</w:t>
      </w:r>
      <w:r>
        <w:rPr>
          <w:rFonts w:hint="eastAsia"/>
          <w:color w:val="auto"/>
          <w:sz w:val="22"/>
          <w:szCs w:val="22"/>
          <w:highlight w:val="none"/>
        </w:rPr>
        <w:t>工商登记注册之日起未满1个月的提供成立以来依法缴纳税收</w:t>
      </w:r>
      <w:r>
        <w:rPr>
          <w:rFonts w:hint="eastAsia"/>
          <w:color w:val="auto"/>
          <w:sz w:val="22"/>
          <w:szCs w:val="22"/>
          <w:highlight w:val="none"/>
          <w:lang w:eastAsia="zh-CN"/>
        </w:rPr>
        <w:t>（认定税种不包括个人所得税）</w:t>
      </w:r>
      <w:r>
        <w:rPr>
          <w:rFonts w:hint="eastAsia"/>
          <w:color w:val="auto"/>
          <w:sz w:val="22"/>
          <w:szCs w:val="22"/>
          <w:highlight w:val="none"/>
        </w:rPr>
        <w:t>和社会保障资金缴纳凭证或相关情况说明；依法免税的供应商，应提供依法免税的相应文件证明、不需要缴纳社会保障资金的供应商，应提供不需要缴纳社会保障资金的相应文件证明。</w:t>
      </w:r>
    </w:p>
    <w:p w14:paraId="1D22558F">
      <w:pPr>
        <w:pStyle w:val="12"/>
        <w:shd w:val="clear"/>
        <w:rPr>
          <w:rFonts w:hint="eastAsia"/>
          <w:color w:val="auto"/>
          <w:sz w:val="22"/>
          <w:szCs w:val="22"/>
          <w:highlight w:val="none"/>
        </w:rPr>
      </w:pPr>
      <w:r>
        <w:rPr>
          <w:rFonts w:hint="eastAsia"/>
          <w:color w:val="auto"/>
          <w:sz w:val="22"/>
          <w:szCs w:val="22"/>
          <w:highlight w:val="none"/>
          <w:lang w:val="en-US" w:eastAsia="zh-CN"/>
        </w:rPr>
        <w:t>1.4</w:t>
      </w:r>
      <w:r>
        <w:rPr>
          <w:rFonts w:hint="eastAsia"/>
          <w:color w:val="auto"/>
          <w:sz w:val="22"/>
          <w:szCs w:val="22"/>
          <w:highlight w:val="none"/>
        </w:rPr>
        <w:t>具有履行合同所必需的设施设备、专业技术能力、质量保证体系和固定的生产经营、服务场地（提供</w:t>
      </w:r>
      <w:r>
        <w:rPr>
          <w:rFonts w:hint="eastAsia"/>
          <w:color w:val="auto"/>
          <w:sz w:val="22"/>
          <w:szCs w:val="22"/>
          <w:highlight w:val="none"/>
          <w:lang w:eastAsia="zh-CN"/>
        </w:rPr>
        <w:t>书面</w:t>
      </w:r>
      <w:r>
        <w:rPr>
          <w:rFonts w:hint="eastAsia"/>
          <w:color w:val="auto"/>
          <w:sz w:val="22"/>
          <w:szCs w:val="22"/>
          <w:highlight w:val="none"/>
        </w:rPr>
        <w:t>承诺声明）</w:t>
      </w:r>
      <w:r>
        <w:rPr>
          <w:rFonts w:hint="eastAsia"/>
          <w:color w:val="auto"/>
          <w:sz w:val="22"/>
          <w:szCs w:val="22"/>
          <w:highlight w:val="none"/>
          <w:lang w:eastAsia="zh-CN"/>
        </w:rPr>
        <w:t>。</w:t>
      </w:r>
    </w:p>
    <w:p w14:paraId="236B5924">
      <w:pPr>
        <w:pStyle w:val="12"/>
        <w:shd w:val="clear"/>
        <w:rPr>
          <w:rFonts w:hint="eastAsia" w:eastAsia="宋体"/>
          <w:color w:val="auto"/>
          <w:sz w:val="22"/>
          <w:szCs w:val="22"/>
          <w:highlight w:val="none"/>
          <w:lang w:eastAsia="zh-CN"/>
        </w:rPr>
      </w:pPr>
      <w:r>
        <w:rPr>
          <w:rFonts w:hint="eastAsia"/>
          <w:color w:val="auto"/>
          <w:sz w:val="22"/>
          <w:szCs w:val="22"/>
          <w:highlight w:val="none"/>
          <w:lang w:val="en-US" w:eastAsia="zh-CN"/>
        </w:rPr>
        <w:t>1.5</w:t>
      </w:r>
      <w:r>
        <w:rPr>
          <w:rFonts w:hint="eastAsia"/>
          <w:color w:val="auto"/>
          <w:sz w:val="22"/>
          <w:szCs w:val="22"/>
          <w:highlight w:val="none"/>
        </w:rPr>
        <w:t>参加采购活动前3年内，在经营活动中没有受到刑事</w:t>
      </w:r>
      <w:r>
        <w:rPr>
          <w:rFonts w:hint="eastAsia"/>
          <w:color w:val="auto"/>
          <w:sz w:val="22"/>
          <w:szCs w:val="22"/>
          <w:highlight w:val="none"/>
          <w:lang w:eastAsia="zh-CN"/>
        </w:rPr>
        <w:t>处理</w:t>
      </w:r>
      <w:r>
        <w:rPr>
          <w:rFonts w:hint="eastAsia"/>
          <w:color w:val="auto"/>
          <w:sz w:val="22"/>
          <w:szCs w:val="22"/>
          <w:highlight w:val="none"/>
        </w:rPr>
        <w:t>或者责令停产停业、吊销许可证或者执照、</w:t>
      </w:r>
      <w:r>
        <w:rPr>
          <w:rFonts w:hint="eastAsia"/>
          <w:color w:val="auto"/>
          <w:sz w:val="22"/>
          <w:szCs w:val="22"/>
          <w:highlight w:val="none"/>
          <w:lang w:eastAsia="zh-CN"/>
        </w:rPr>
        <w:t>行政处理及罚</w:t>
      </w:r>
      <w:r>
        <w:rPr>
          <w:rFonts w:hint="eastAsia"/>
          <w:color w:val="auto"/>
          <w:sz w:val="22"/>
          <w:szCs w:val="22"/>
          <w:highlight w:val="none"/>
        </w:rPr>
        <w:t>款等违法记录（提供供应商承诺声明）</w:t>
      </w:r>
      <w:r>
        <w:rPr>
          <w:rFonts w:hint="eastAsia"/>
          <w:color w:val="auto"/>
          <w:sz w:val="22"/>
          <w:szCs w:val="22"/>
          <w:highlight w:val="none"/>
          <w:lang w:eastAsia="zh-CN"/>
        </w:rPr>
        <w:t>。</w:t>
      </w:r>
    </w:p>
    <w:p w14:paraId="22F61925">
      <w:pPr>
        <w:shd w:val="clear"/>
        <w:wordWrap w:val="0"/>
        <w:ind w:firstLine="440" w:firstLineChars="200"/>
        <w:rPr>
          <w:rFonts w:ascii="宋体" w:hAnsi="宋体" w:eastAsia="宋体" w:cs="宋体"/>
          <w:bCs/>
          <w:color w:val="auto"/>
          <w:sz w:val="22"/>
          <w:szCs w:val="22"/>
          <w:highlight w:val="none"/>
          <w:lang w:val="en-US"/>
        </w:rPr>
      </w:pPr>
      <w:r>
        <w:rPr>
          <w:rFonts w:hint="eastAsia" w:ascii="宋体" w:hAnsi="宋体" w:cs="宋体"/>
          <w:bCs/>
          <w:color w:val="auto"/>
          <w:sz w:val="22"/>
          <w:szCs w:val="22"/>
          <w:highlight w:val="none"/>
          <w:lang w:val="en-US" w:eastAsia="zh-CN"/>
        </w:rPr>
        <w:t>1.6</w:t>
      </w:r>
      <w:r>
        <w:rPr>
          <w:rFonts w:hint="eastAsia" w:ascii="宋体" w:hAnsi="宋体" w:eastAsia="宋体" w:cs="宋体"/>
          <w:bCs/>
          <w:color w:val="auto"/>
          <w:sz w:val="22"/>
          <w:szCs w:val="22"/>
          <w:highlight w:val="none"/>
          <w:lang w:val="zh-CN"/>
        </w:rPr>
        <w:t>按照《财政部关于在政府采购活动中查询及使用信用记录有关问题的通知》</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财库</w:t>
      </w:r>
      <w:r>
        <w:rPr>
          <w:rFonts w:ascii="宋体" w:hAnsi="宋体" w:eastAsia="宋体" w:cs="宋体"/>
          <w:bCs/>
          <w:color w:val="auto"/>
          <w:sz w:val="22"/>
          <w:szCs w:val="22"/>
          <w:highlight w:val="none"/>
          <w:lang w:val="en-US"/>
        </w:rPr>
        <w:t>[2016]125</w:t>
      </w:r>
      <w:r>
        <w:rPr>
          <w:rFonts w:hint="eastAsia" w:ascii="宋体" w:hAnsi="宋体" w:eastAsia="宋体" w:cs="宋体"/>
          <w:bCs/>
          <w:color w:val="auto"/>
          <w:sz w:val="22"/>
          <w:szCs w:val="22"/>
          <w:highlight w:val="none"/>
          <w:lang w:val="zh-CN"/>
        </w:rPr>
        <w:t>号</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相关要求</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投标人应在</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信用中国</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网站</w:t>
      </w:r>
      <w:r>
        <w:rPr>
          <w:rFonts w:hint="eastAsia" w:ascii="宋体" w:hAnsi="宋体" w:eastAsia="宋体" w:cs="宋体"/>
          <w:bCs/>
          <w:color w:val="auto"/>
          <w:sz w:val="22"/>
          <w:szCs w:val="22"/>
          <w:highlight w:val="none"/>
          <w:lang w:val="en-US"/>
        </w:rPr>
        <w:t>（</w:t>
      </w:r>
      <w:r>
        <w:rPr>
          <w:rFonts w:ascii="宋体" w:hAnsi="宋体" w:eastAsia="宋体" w:cs="宋体"/>
          <w:bCs/>
          <w:color w:val="auto"/>
          <w:sz w:val="22"/>
          <w:szCs w:val="22"/>
          <w:highlight w:val="none"/>
          <w:lang w:val="en-US"/>
        </w:rPr>
        <w:t>www.creditchina.gov.cn</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未被列入失信被执行人记录、重大税收违法案件当事人名单且在中国政府采购网</w:t>
      </w:r>
      <w:r>
        <w:rPr>
          <w:rFonts w:hint="eastAsia" w:ascii="宋体" w:hAnsi="宋体" w:eastAsia="宋体" w:cs="宋体"/>
          <w:bCs/>
          <w:color w:val="auto"/>
          <w:sz w:val="22"/>
          <w:szCs w:val="22"/>
          <w:highlight w:val="none"/>
          <w:lang w:val="en-US"/>
        </w:rPr>
        <w:t>（</w:t>
      </w:r>
      <w:r>
        <w:rPr>
          <w:rFonts w:ascii="宋体" w:hAnsi="宋体" w:eastAsia="宋体" w:cs="宋体"/>
          <w:bCs/>
          <w:color w:val="auto"/>
          <w:sz w:val="22"/>
          <w:szCs w:val="22"/>
          <w:highlight w:val="none"/>
          <w:lang w:val="en-US"/>
        </w:rPr>
        <w:t>www.ccgp.gov.cn</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没有政府采购严重违法失信行为</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被禁止在一定期限内参加政府采购活动但期限届满的除外</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查询结果以招标人、招标代理机构查询结果为准</w:t>
      </w:r>
      <w:r>
        <w:rPr>
          <w:rFonts w:hint="eastAsia" w:ascii="宋体" w:hAnsi="宋体" w:eastAsia="宋体" w:cs="宋体"/>
          <w:bCs/>
          <w:color w:val="auto"/>
          <w:sz w:val="22"/>
          <w:szCs w:val="22"/>
          <w:highlight w:val="none"/>
          <w:lang w:val="en-US"/>
        </w:rPr>
        <w:t>）</w:t>
      </w:r>
      <w:r>
        <w:rPr>
          <w:rFonts w:hint="eastAsia" w:ascii="宋体" w:hAnsi="宋体" w:eastAsia="宋体" w:cs="宋体"/>
          <w:bCs/>
          <w:color w:val="auto"/>
          <w:sz w:val="22"/>
          <w:szCs w:val="22"/>
          <w:highlight w:val="none"/>
          <w:lang w:val="zh-CN"/>
        </w:rPr>
        <w:t>。</w:t>
      </w:r>
    </w:p>
    <w:p w14:paraId="7D13D755">
      <w:pPr>
        <w:shd w:val="clear"/>
        <w:wordWrap w:val="0"/>
        <w:ind w:firstLine="440" w:firstLineChars="200"/>
        <w:outlineLvl w:val="2"/>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lang w:val="en-US" w:eastAsia="zh-CN"/>
        </w:rPr>
        <w:t>2.</w:t>
      </w:r>
      <w:r>
        <w:rPr>
          <w:rFonts w:hint="eastAsia" w:ascii="黑体" w:hAnsi="黑体" w:eastAsia="黑体" w:cs="黑体"/>
          <w:bCs/>
          <w:color w:val="auto"/>
          <w:sz w:val="22"/>
          <w:szCs w:val="22"/>
          <w:highlight w:val="none"/>
        </w:rPr>
        <w:t>落实政府采购政策需满足的资格要求：</w:t>
      </w:r>
    </w:p>
    <w:p w14:paraId="22C6CFA4">
      <w:pPr>
        <w:shd w:val="clear"/>
        <w:wordWrap w:val="0"/>
        <w:ind w:firstLine="440" w:firstLineChars="200"/>
        <w:rPr>
          <w:rFonts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2.1</w:t>
      </w:r>
      <w:r>
        <w:rPr>
          <w:rFonts w:hint="eastAsia" w:ascii="宋体" w:hAnsi="宋体" w:eastAsia="宋体" w:cs="宋体"/>
          <w:bCs/>
          <w:color w:val="auto"/>
          <w:sz w:val="22"/>
          <w:szCs w:val="22"/>
          <w:highlight w:val="none"/>
        </w:rPr>
        <w:t xml:space="preserve">鼓励节能政策：在技术、服务等指标同等条件下，优先采购属于国家公布的节能清单中的产品； </w:t>
      </w:r>
    </w:p>
    <w:p w14:paraId="48860BF9">
      <w:pPr>
        <w:shd w:val="clear"/>
        <w:wordWrap w:val="0"/>
        <w:ind w:firstLine="440" w:firstLineChars="200"/>
        <w:rPr>
          <w:rFonts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2.2</w:t>
      </w:r>
      <w:r>
        <w:rPr>
          <w:rFonts w:hint="eastAsia" w:ascii="宋体" w:hAnsi="宋体" w:eastAsia="宋体" w:cs="宋体"/>
          <w:bCs/>
          <w:color w:val="auto"/>
          <w:sz w:val="22"/>
          <w:szCs w:val="22"/>
          <w:highlight w:val="none"/>
        </w:rPr>
        <w:t xml:space="preserve">鼓励环保政策：在性能、技术、服务等指标同等条件下，优先采购国家最新公布的环保产品清单中的产品； </w:t>
      </w:r>
    </w:p>
    <w:p w14:paraId="76018A55">
      <w:pPr>
        <w:shd w:val="clear"/>
        <w:autoSpaceDE w:val="0"/>
        <w:autoSpaceDN w:val="0"/>
        <w:spacing w:line="360" w:lineRule="auto"/>
        <w:ind w:right="130" w:rightChars="62" w:firstLine="440" w:firstLineChars="200"/>
        <w:outlineLvl w:val="3"/>
        <w:rPr>
          <w:rFonts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2.3</w:t>
      </w:r>
      <w:r>
        <w:rPr>
          <w:rFonts w:hint="eastAsia" w:ascii="宋体" w:hAnsi="宋体" w:eastAsia="宋体" w:cs="宋体"/>
          <w:bCs/>
          <w:color w:val="auto"/>
          <w:sz w:val="22"/>
          <w:szCs w:val="22"/>
          <w:highlight w:val="none"/>
        </w:rPr>
        <w:t>本项目属于专门面向中小微企业采购。</w:t>
      </w:r>
    </w:p>
    <w:p w14:paraId="21BC75E5">
      <w:pPr>
        <w:shd w:val="clear"/>
        <w:wordWrap w:val="0"/>
        <w:ind w:firstLine="440" w:firstLineChars="200"/>
        <w:outlineLvl w:val="2"/>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3.本项目的特定资格要求：</w:t>
      </w:r>
    </w:p>
    <w:p w14:paraId="26DB9F7C">
      <w:pPr>
        <w:keepNext w:val="0"/>
        <w:keepLines w:val="0"/>
        <w:widowControl/>
        <w:suppressLineNumbers w:val="0"/>
        <w:ind w:firstLine="440" w:firstLineChars="200"/>
        <w:jc w:val="left"/>
        <w:rPr>
          <w:rFonts w:hint="eastAsia" w:ascii="宋体" w:hAnsi="宋体" w:cs="宋体"/>
          <w:color w:val="auto"/>
          <w:sz w:val="22"/>
          <w:szCs w:val="22"/>
          <w:highlight w:val="none"/>
          <w:lang w:val="en-US" w:eastAsia="zh-CN"/>
        </w:rPr>
      </w:pPr>
      <w:r>
        <w:rPr>
          <w:rFonts w:hint="eastAsia" w:ascii="宋体" w:hAnsi="宋体" w:eastAsia="宋体" w:cs="宋体"/>
          <w:bCs/>
          <w:color w:val="auto"/>
          <w:sz w:val="22"/>
          <w:szCs w:val="22"/>
          <w:highlight w:val="none"/>
          <w:lang w:val="zh-CN"/>
        </w:rPr>
        <w:t>投标申请人须具有《食品流通许可证》和《食品卫生许可证》两证或“两证合一”的《食品经营许可证》，经营范围应涵盖本项目所需的</w:t>
      </w:r>
      <w:r>
        <w:rPr>
          <w:rFonts w:hint="eastAsia" w:ascii="宋体" w:hAnsi="宋体" w:cs="宋体"/>
          <w:bCs/>
          <w:color w:val="auto"/>
          <w:sz w:val="22"/>
          <w:szCs w:val="22"/>
          <w:highlight w:val="none"/>
          <w:lang w:val="zh-CN" w:eastAsia="zh-CN"/>
        </w:rPr>
        <w:t>采购需求</w:t>
      </w:r>
      <w:r>
        <w:rPr>
          <w:rFonts w:hint="eastAsia" w:ascii="宋体" w:hAnsi="宋体" w:eastAsia="宋体" w:cs="宋体"/>
          <w:bCs/>
          <w:color w:val="auto"/>
          <w:sz w:val="22"/>
          <w:szCs w:val="22"/>
          <w:highlight w:val="none"/>
          <w:lang w:val="zh-CN"/>
        </w:rPr>
        <w:t>种类。</w:t>
      </w:r>
    </w:p>
    <w:p w14:paraId="34B85749">
      <w:pPr>
        <w:shd w:val="clear"/>
        <w:rPr>
          <w:rFonts w:cs="宋体" w:asciiTheme="minorEastAsia" w:hAnsiTheme="minorEastAsia" w:eastAsiaTheme="minorEastAsia"/>
          <w:b/>
          <w:color w:val="auto"/>
          <w:sz w:val="48"/>
          <w:szCs w:val="48"/>
          <w:highlight w:val="none"/>
        </w:rPr>
      </w:pPr>
      <w:r>
        <w:rPr>
          <w:rFonts w:hint="eastAsia" w:cs="宋体" w:asciiTheme="minorEastAsia" w:hAnsiTheme="minorEastAsia" w:eastAsiaTheme="minorEastAsia"/>
          <w:b/>
          <w:color w:val="auto"/>
          <w:sz w:val="48"/>
          <w:szCs w:val="48"/>
          <w:highlight w:val="none"/>
        </w:rPr>
        <w:br w:type="page"/>
      </w:r>
    </w:p>
    <w:p w14:paraId="5487C6FC">
      <w:pPr>
        <w:shd w:val="clear"/>
        <w:tabs>
          <w:tab w:val="left" w:pos="4775"/>
        </w:tabs>
        <w:wordWrap w:val="0"/>
        <w:spacing w:line="720" w:lineRule="auto"/>
        <w:jc w:val="center"/>
        <w:outlineLvl w:val="2"/>
        <w:rPr>
          <w:rFonts w:hint="eastAsia" w:cs="宋体" w:asciiTheme="minorEastAsia" w:hAnsiTheme="minorEastAsia" w:eastAsiaTheme="minorEastAsia"/>
          <w:b/>
          <w:color w:val="auto"/>
          <w:sz w:val="40"/>
          <w:szCs w:val="40"/>
          <w:highlight w:val="none"/>
          <w:lang w:eastAsia="zh-CN"/>
        </w:rPr>
      </w:pPr>
      <w:bookmarkStart w:id="808" w:name="_Toc21660"/>
      <w:bookmarkStart w:id="809" w:name="_Toc24030"/>
      <w:r>
        <w:rPr>
          <w:rFonts w:hint="eastAsia" w:cs="宋体" w:asciiTheme="minorEastAsia" w:hAnsiTheme="minorEastAsia" w:eastAsiaTheme="minorEastAsia"/>
          <w:b/>
          <w:color w:val="auto"/>
          <w:sz w:val="48"/>
          <w:szCs w:val="48"/>
          <w:highlight w:val="none"/>
          <w:lang w:eastAsia="zh-CN"/>
        </w:rPr>
        <w:t>蒙自市公办义务教育阶段学校食堂大宗食材配送服务</w:t>
      </w:r>
      <w:bookmarkEnd w:id="808"/>
      <w:bookmarkEnd w:id="809"/>
    </w:p>
    <w:p w14:paraId="4E73A6E2">
      <w:pPr>
        <w:shd w:val="clear"/>
        <w:wordWrap w:val="0"/>
        <w:jc w:val="center"/>
        <w:rPr>
          <w:rFonts w:cs="宋体" w:asciiTheme="minorEastAsia" w:hAnsiTheme="minorEastAsia" w:eastAsiaTheme="minorEastAsia"/>
          <w:b/>
          <w:color w:val="auto"/>
          <w:sz w:val="44"/>
          <w:szCs w:val="44"/>
          <w:highlight w:val="none"/>
        </w:rPr>
      </w:pPr>
    </w:p>
    <w:p w14:paraId="50B22424">
      <w:pPr>
        <w:shd w:val="clear"/>
        <w:wordWrap w:val="0"/>
        <w:rPr>
          <w:rFonts w:asciiTheme="minorEastAsia" w:hAnsiTheme="minorEastAsia" w:eastAsiaTheme="minorEastAsia"/>
          <w:color w:val="auto"/>
          <w:highlight w:val="none"/>
        </w:rPr>
      </w:pPr>
    </w:p>
    <w:p w14:paraId="2DAD9770">
      <w:pPr>
        <w:pStyle w:val="15"/>
        <w:shd w:val="clear"/>
        <w:rPr>
          <w:rFonts w:asciiTheme="minorEastAsia" w:hAnsiTheme="minorEastAsia" w:eastAsiaTheme="minorEastAsia"/>
          <w:color w:val="auto"/>
          <w:highlight w:val="none"/>
        </w:rPr>
      </w:pPr>
    </w:p>
    <w:p w14:paraId="26A14BEB">
      <w:pPr>
        <w:shd w:val="clear"/>
        <w:rPr>
          <w:rFonts w:asciiTheme="minorEastAsia" w:hAnsiTheme="minorEastAsia" w:eastAsiaTheme="minorEastAsia"/>
          <w:color w:val="auto"/>
          <w:highlight w:val="none"/>
        </w:rPr>
      </w:pPr>
    </w:p>
    <w:p w14:paraId="16FF86E3">
      <w:pPr>
        <w:pStyle w:val="15"/>
        <w:shd w:val="clear"/>
        <w:rPr>
          <w:rFonts w:asciiTheme="minorEastAsia" w:hAnsiTheme="minorEastAsia" w:eastAsiaTheme="minorEastAsia"/>
          <w:color w:val="auto"/>
          <w:highlight w:val="none"/>
        </w:rPr>
      </w:pPr>
    </w:p>
    <w:p w14:paraId="05A5C841">
      <w:pPr>
        <w:shd w:val="clear"/>
        <w:rPr>
          <w:rFonts w:asciiTheme="minorEastAsia" w:hAnsiTheme="minorEastAsia" w:eastAsiaTheme="minorEastAsia"/>
          <w:color w:val="auto"/>
          <w:highlight w:val="none"/>
        </w:rPr>
      </w:pPr>
    </w:p>
    <w:p w14:paraId="1BCFFD90">
      <w:pPr>
        <w:pStyle w:val="15"/>
        <w:shd w:val="clear"/>
        <w:rPr>
          <w:rFonts w:asciiTheme="minorEastAsia" w:hAnsiTheme="minorEastAsia" w:eastAsiaTheme="minorEastAsia"/>
          <w:color w:val="auto"/>
          <w:highlight w:val="none"/>
        </w:rPr>
      </w:pPr>
    </w:p>
    <w:p w14:paraId="2FE8885F">
      <w:pPr>
        <w:shd w:val="clear"/>
        <w:rPr>
          <w:color w:val="auto"/>
          <w:highlight w:val="none"/>
        </w:rPr>
      </w:pPr>
    </w:p>
    <w:p w14:paraId="1F09B8D5">
      <w:pPr>
        <w:shd w:val="clear"/>
        <w:wordWrap w:val="0"/>
        <w:rPr>
          <w:rFonts w:cs="宋体" w:asciiTheme="minorEastAsia" w:hAnsiTheme="minorEastAsia" w:eastAsiaTheme="minorEastAsia"/>
          <w:b/>
          <w:color w:val="auto"/>
          <w:highlight w:val="none"/>
        </w:rPr>
      </w:pPr>
    </w:p>
    <w:p w14:paraId="2988E430">
      <w:pPr>
        <w:pStyle w:val="22"/>
        <w:shd w:val="clear"/>
        <w:wordWrap w:val="0"/>
        <w:spacing w:line="480" w:lineRule="auto"/>
        <w:jc w:val="center"/>
        <w:rPr>
          <w:rFonts w:cs="宋体" w:asciiTheme="minorEastAsia" w:hAnsiTheme="minorEastAsia" w:eastAsiaTheme="minorEastAsia"/>
          <w:b/>
          <w:color w:val="auto"/>
          <w:sz w:val="72"/>
          <w:szCs w:val="72"/>
          <w:highlight w:val="none"/>
        </w:rPr>
      </w:pPr>
      <w:r>
        <w:rPr>
          <w:rFonts w:hint="eastAsia" w:cs="宋体" w:asciiTheme="minorEastAsia" w:hAnsiTheme="minorEastAsia" w:eastAsiaTheme="minorEastAsia"/>
          <w:b/>
          <w:color w:val="auto"/>
          <w:sz w:val="72"/>
          <w:szCs w:val="72"/>
          <w:highlight w:val="none"/>
        </w:rPr>
        <w:t>投 标 文 件</w:t>
      </w:r>
    </w:p>
    <w:p w14:paraId="5AA894D1">
      <w:pPr>
        <w:pStyle w:val="3"/>
        <w:shd w:val="clear"/>
        <w:wordWrap w:val="0"/>
        <w:jc w:val="center"/>
        <w:rPr>
          <w:rFonts w:asciiTheme="minorEastAsia" w:hAnsiTheme="minorEastAsia" w:eastAsiaTheme="minorEastAsia"/>
          <w:color w:val="auto"/>
          <w:highlight w:val="none"/>
        </w:rPr>
      </w:pPr>
      <w:bookmarkStart w:id="810" w:name="_Toc8828"/>
      <w:bookmarkStart w:id="811" w:name="_Toc27020"/>
      <w:bookmarkStart w:id="812" w:name="_Toc15585"/>
      <w:bookmarkStart w:id="813" w:name="_Toc30920"/>
      <w:r>
        <w:rPr>
          <w:rFonts w:hint="eastAsia" w:asciiTheme="minorEastAsia" w:hAnsiTheme="minorEastAsia" w:eastAsiaTheme="minorEastAsia"/>
          <w:color w:val="auto"/>
          <w:highlight w:val="none"/>
        </w:rPr>
        <w:t>（第二册：商务技术部分）</w:t>
      </w:r>
      <w:bookmarkEnd w:id="810"/>
      <w:bookmarkEnd w:id="811"/>
      <w:bookmarkEnd w:id="812"/>
      <w:bookmarkEnd w:id="813"/>
    </w:p>
    <w:p w14:paraId="07FBB614">
      <w:pPr>
        <w:pStyle w:val="22"/>
        <w:shd w:val="clear"/>
        <w:wordWrap w:val="0"/>
        <w:spacing w:line="500" w:lineRule="exact"/>
        <w:ind w:firstLine="3601" w:firstLineChars="1281"/>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项目编号：</w:t>
      </w:r>
    </w:p>
    <w:p w14:paraId="7728365F">
      <w:pPr>
        <w:pStyle w:val="22"/>
        <w:shd w:val="clear"/>
        <w:wordWrap w:val="0"/>
        <w:spacing w:line="500" w:lineRule="exact"/>
        <w:ind w:firstLine="3601" w:firstLineChars="1281"/>
        <w:rPr>
          <w:rFonts w:cs="宋体" w:asciiTheme="minorEastAsia" w:hAnsiTheme="minorEastAsia" w:eastAsiaTheme="minorEastAsia"/>
          <w:b/>
          <w:color w:val="auto"/>
          <w:sz w:val="28"/>
          <w:szCs w:val="28"/>
          <w:highlight w:val="none"/>
          <w:u w:val="single"/>
        </w:rPr>
      </w:pPr>
    </w:p>
    <w:p w14:paraId="30427263">
      <w:pPr>
        <w:pStyle w:val="22"/>
        <w:shd w:val="clear"/>
        <w:wordWrap w:val="0"/>
        <w:spacing w:line="500" w:lineRule="exact"/>
        <w:ind w:firstLine="3601" w:firstLineChars="1281"/>
        <w:rPr>
          <w:rFonts w:cs="宋体" w:asciiTheme="minorEastAsia" w:hAnsiTheme="minorEastAsia" w:eastAsiaTheme="minorEastAsia"/>
          <w:b/>
          <w:color w:val="auto"/>
          <w:sz w:val="28"/>
          <w:szCs w:val="28"/>
          <w:highlight w:val="none"/>
          <w:u w:val="single"/>
        </w:rPr>
      </w:pPr>
    </w:p>
    <w:p w14:paraId="23A70886">
      <w:pPr>
        <w:pStyle w:val="22"/>
        <w:shd w:val="clear"/>
        <w:wordWrap w:val="0"/>
        <w:spacing w:line="500" w:lineRule="exact"/>
        <w:ind w:firstLine="3601" w:firstLineChars="1281"/>
        <w:rPr>
          <w:rFonts w:cs="宋体" w:asciiTheme="minorEastAsia" w:hAnsiTheme="minorEastAsia" w:eastAsiaTheme="minorEastAsia"/>
          <w:b/>
          <w:color w:val="auto"/>
          <w:sz w:val="44"/>
          <w:szCs w:val="44"/>
          <w:highlight w:val="none"/>
        </w:rPr>
      </w:pPr>
      <w:r>
        <w:rPr>
          <w:rFonts w:hint="eastAsia" w:cs="宋体" w:asciiTheme="minorEastAsia" w:hAnsiTheme="minorEastAsia" w:eastAsiaTheme="minorEastAsia"/>
          <w:b/>
          <w:color w:val="auto"/>
          <w:sz w:val="28"/>
          <w:szCs w:val="28"/>
          <w:highlight w:val="none"/>
          <w:u w:val="single"/>
        </w:rPr>
        <w:t xml:space="preserve">      </w:t>
      </w:r>
      <w:r>
        <w:rPr>
          <w:rFonts w:hint="eastAsia" w:cs="宋体" w:asciiTheme="minorEastAsia" w:hAnsiTheme="minorEastAsia" w:eastAsiaTheme="minorEastAsia"/>
          <w:b/>
          <w:color w:val="auto"/>
          <w:sz w:val="44"/>
          <w:szCs w:val="44"/>
          <w:highlight w:val="none"/>
        </w:rPr>
        <w:t xml:space="preserve">         </w:t>
      </w:r>
    </w:p>
    <w:p w14:paraId="28E8BD3A">
      <w:pPr>
        <w:shd w:val="clear"/>
        <w:wordWrap w:val="0"/>
        <w:jc w:val="center"/>
        <w:rPr>
          <w:rFonts w:cs="宋体" w:asciiTheme="minorEastAsia" w:hAnsiTheme="minorEastAsia" w:eastAsiaTheme="minorEastAsia"/>
          <w:b/>
          <w:color w:val="auto"/>
          <w:sz w:val="44"/>
          <w:szCs w:val="44"/>
          <w:highlight w:val="none"/>
        </w:rPr>
      </w:pPr>
    </w:p>
    <w:p w14:paraId="41532B3D">
      <w:pPr>
        <w:shd w:val="clear"/>
        <w:wordWrap w:val="0"/>
        <w:rPr>
          <w:rFonts w:asciiTheme="minorEastAsia" w:hAnsiTheme="minorEastAsia" w:eastAsiaTheme="minorEastAsia"/>
          <w:color w:val="auto"/>
          <w:highlight w:val="none"/>
        </w:rPr>
      </w:pPr>
    </w:p>
    <w:p w14:paraId="603977E5">
      <w:pPr>
        <w:shd w:val="clear"/>
        <w:wordWrap w:val="0"/>
        <w:jc w:val="center"/>
        <w:rPr>
          <w:rFonts w:cs="宋体" w:asciiTheme="minorEastAsia" w:hAnsiTheme="minorEastAsia" w:eastAsiaTheme="minorEastAsia"/>
          <w:b/>
          <w:color w:val="auto"/>
          <w:sz w:val="44"/>
          <w:szCs w:val="44"/>
          <w:highlight w:val="none"/>
        </w:rPr>
      </w:pPr>
    </w:p>
    <w:p w14:paraId="5A2A30CE">
      <w:pPr>
        <w:shd w:val="clear"/>
        <w:wordWrap w:val="0"/>
        <w:jc w:val="center"/>
        <w:rPr>
          <w:rFonts w:cs="宋体" w:asciiTheme="minorEastAsia" w:hAnsiTheme="minorEastAsia" w:eastAsiaTheme="minorEastAsia"/>
          <w:b/>
          <w:color w:val="auto"/>
          <w:sz w:val="44"/>
          <w:szCs w:val="44"/>
          <w:highlight w:val="none"/>
        </w:rPr>
      </w:pPr>
    </w:p>
    <w:p w14:paraId="7C990F32">
      <w:pPr>
        <w:shd w:val="clear"/>
        <w:wordWrap w:val="0"/>
        <w:rPr>
          <w:rFonts w:cs="宋体" w:asciiTheme="minorEastAsia" w:hAnsiTheme="minorEastAsia" w:eastAsiaTheme="minorEastAsia"/>
          <w:b/>
          <w:color w:val="auto"/>
          <w:sz w:val="44"/>
          <w:szCs w:val="44"/>
          <w:highlight w:val="none"/>
        </w:rPr>
      </w:pPr>
    </w:p>
    <w:p w14:paraId="79A57C49">
      <w:pPr>
        <w:shd w:val="clear"/>
        <w:wordWrap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投标人：</w:t>
      </w: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u w:val="single"/>
          <w:lang w:eastAsia="zh-CN"/>
        </w:rPr>
        <w:t>（</w:t>
      </w:r>
      <w:r>
        <w:rPr>
          <w:rFonts w:hint="eastAsia" w:cs="宋体" w:asciiTheme="minorEastAsia" w:hAnsiTheme="minorEastAsia" w:eastAsiaTheme="minorEastAsia"/>
          <w:b/>
          <w:color w:val="auto"/>
          <w:sz w:val="24"/>
          <w:highlight w:val="none"/>
        </w:rPr>
        <w:t>加盖投标人电子公章</w:t>
      </w:r>
      <w:r>
        <w:rPr>
          <w:rFonts w:hint="eastAsia" w:cs="宋体" w:asciiTheme="minorEastAsia" w:hAnsiTheme="minorEastAsia" w:eastAsiaTheme="minorEastAsia"/>
          <w:b/>
          <w:color w:val="auto"/>
          <w:sz w:val="24"/>
          <w:highlight w:val="none"/>
          <w:lang w:eastAsia="zh-CN"/>
        </w:rPr>
        <w:t>）</w:t>
      </w:r>
    </w:p>
    <w:p w14:paraId="3B131CA6">
      <w:pPr>
        <w:pStyle w:val="22"/>
        <w:shd w:val="clear"/>
        <w:wordWrap w:val="0"/>
        <w:spacing w:line="500" w:lineRule="exact"/>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法定代表人：</w:t>
      </w: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rPr>
        <w:t>（电子签名或签章）</w:t>
      </w:r>
    </w:p>
    <w:p w14:paraId="0974C3CF">
      <w:pPr>
        <w:pStyle w:val="22"/>
        <w:shd w:val="clear"/>
        <w:wordWrap w:val="0"/>
        <w:spacing w:line="500" w:lineRule="exact"/>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rPr>
        <w:t>年</w:t>
      </w: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rPr>
        <w:t>月</w:t>
      </w:r>
      <w:r>
        <w:rPr>
          <w:rFonts w:hint="eastAsia" w:cs="宋体" w:asciiTheme="minorEastAsia" w:hAnsiTheme="minorEastAsia" w:eastAsiaTheme="minorEastAsia"/>
          <w:b/>
          <w:color w:val="auto"/>
          <w:sz w:val="24"/>
          <w:highlight w:val="none"/>
          <w:u w:val="single"/>
        </w:rPr>
        <w:t xml:space="preserve">    </w:t>
      </w:r>
      <w:r>
        <w:rPr>
          <w:rFonts w:hint="eastAsia" w:cs="宋体" w:asciiTheme="minorEastAsia" w:hAnsiTheme="minorEastAsia" w:eastAsiaTheme="minorEastAsia"/>
          <w:b/>
          <w:color w:val="auto"/>
          <w:sz w:val="24"/>
          <w:highlight w:val="none"/>
        </w:rPr>
        <w:t>日</w:t>
      </w:r>
    </w:p>
    <w:p w14:paraId="4D744505">
      <w:pPr>
        <w:pStyle w:val="22"/>
        <w:shd w:val="clear"/>
        <w:wordWrap w:val="0"/>
        <w:spacing w:line="360" w:lineRule="auto"/>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4"/>
          <w:highlight w:val="none"/>
        </w:rPr>
        <w:br w:type="page"/>
      </w:r>
      <w:r>
        <w:rPr>
          <w:rFonts w:hint="eastAsia" w:cs="宋体" w:asciiTheme="minorEastAsia" w:hAnsiTheme="minorEastAsia" w:eastAsiaTheme="minorEastAsia"/>
          <w:b/>
          <w:color w:val="auto"/>
          <w:sz w:val="28"/>
          <w:szCs w:val="28"/>
          <w:highlight w:val="none"/>
        </w:rPr>
        <w:t>格式1：</w:t>
      </w:r>
    </w:p>
    <w:p w14:paraId="273087E0">
      <w:pPr>
        <w:pStyle w:val="4"/>
        <w:shd w:val="clear"/>
        <w:wordWrap w:val="0"/>
        <w:ind w:left="400" w:firstLine="0"/>
        <w:jc w:val="center"/>
        <w:rPr>
          <w:rFonts w:asciiTheme="minorEastAsia" w:hAnsiTheme="minorEastAsia" w:eastAsiaTheme="minorEastAsia"/>
          <w:color w:val="auto"/>
          <w:highlight w:val="none"/>
        </w:rPr>
      </w:pPr>
      <w:bookmarkStart w:id="814" w:name="_Toc31181"/>
      <w:bookmarkStart w:id="815" w:name="_Toc489145750"/>
      <w:bookmarkStart w:id="816" w:name="_Toc18287416"/>
      <w:bookmarkStart w:id="817" w:name="_Toc213141093"/>
      <w:bookmarkStart w:id="818" w:name="_Toc489197854"/>
      <w:bookmarkStart w:id="819" w:name="_Toc25861"/>
      <w:bookmarkStart w:id="820" w:name="_Toc23308"/>
      <w:bookmarkStart w:id="821" w:name="_Toc13559"/>
      <w:bookmarkStart w:id="822" w:name="_Toc14593"/>
      <w:bookmarkStart w:id="823" w:name="_Toc481694844"/>
      <w:bookmarkStart w:id="824" w:name="_Toc488633615"/>
      <w:bookmarkStart w:id="825" w:name="_Toc14603905"/>
      <w:bookmarkStart w:id="826" w:name="_Toc4380"/>
      <w:r>
        <w:rPr>
          <w:rFonts w:hint="eastAsia" w:asciiTheme="minorEastAsia" w:hAnsiTheme="minorEastAsia" w:eastAsiaTheme="minorEastAsia"/>
          <w:color w:val="auto"/>
          <w:highlight w:val="none"/>
        </w:rPr>
        <w:t>开标一览表</w:t>
      </w:r>
      <w:bookmarkEnd w:id="814"/>
      <w:bookmarkEnd w:id="815"/>
      <w:bookmarkEnd w:id="816"/>
      <w:bookmarkEnd w:id="817"/>
      <w:bookmarkEnd w:id="818"/>
      <w:bookmarkEnd w:id="819"/>
      <w:bookmarkEnd w:id="820"/>
      <w:bookmarkEnd w:id="821"/>
      <w:bookmarkEnd w:id="822"/>
      <w:bookmarkEnd w:id="823"/>
      <w:bookmarkEnd w:id="824"/>
      <w:bookmarkEnd w:id="825"/>
      <w:bookmarkEnd w:id="826"/>
    </w:p>
    <w:p w14:paraId="191977E2">
      <w:pPr>
        <w:pStyle w:val="22"/>
        <w:shd w:val="clear"/>
        <w:wordWrap w:val="0"/>
        <w:spacing w:line="240" w:lineRule="auto"/>
        <w:rPr>
          <w:rFonts w:cs="宋体" w:asciiTheme="minorEastAsia" w:hAnsiTheme="minorEastAsia" w:eastAsiaTheme="minorEastAsia"/>
          <w:bCs/>
          <w:color w:val="auto"/>
          <w:szCs w:val="21"/>
          <w:highlight w:val="none"/>
          <w:u w:val="single"/>
        </w:rPr>
      </w:pPr>
      <w:r>
        <w:rPr>
          <w:rFonts w:hint="eastAsia" w:cs="宋体" w:asciiTheme="minorEastAsia" w:hAnsiTheme="minorEastAsia" w:eastAsiaTheme="minorEastAsia"/>
          <w:bCs/>
          <w:color w:val="auto"/>
          <w:szCs w:val="21"/>
          <w:highlight w:val="none"/>
        </w:rPr>
        <w:t>项目名称：</w:t>
      </w:r>
    </w:p>
    <w:p w14:paraId="73BF5E2A">
      <w:pPr>
        <w:pStyle w:val="22"/>
        <w:shd w:val="clear"/>
        <w:wordWrap w:val="0"/>
        <w:spacing w:line="240"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项目编号：</w:t>
      </w:r>
    </w:p>
    <w:tbl>
      <w:tblPr>
        <w:tblStyle w:val="40"/>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7"/>
        <w:gridCol w:w="6807"/>
      </w:tblGrid>
      <w:tr w14:paraId="56AED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20FFBC84">
            <w:pPr>
              <w:shd w:val="clear"/>
              <w:wordWrap w:val="0"/>
              <w:spacing w:line="320" w:lineRule="exact"/>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投标人名称</w:t>
            </w:r>
          </w:p>
        </w:tc>
        <w:tc>
          <w:tcPr>
            <w:tcW w:w="6807" w:type="dxa"/>
            <w:tcBorders>
              <w:top w:val="single" w:color="auto" w:sz="4" w:space="0"/>
              <w:left w:val="single" w:color="auto" w:sz="4" w:space="0"/>
              <w:bottom w:val="single" w:color="auto" w:sz="4" w:space="0"/>
              <w:right w:val="single" w:color="auto" w:sz="4" w:space="0"/>
            </w:tcBorders>
            <w:vAlign w:val="center"/>
          </w:tcPr>
          <w:p w14:paraId="017F682E">
            <w:pPr>
              <w:shd w:val="clear"/>
              <w:wordWrap w:val="0"/>
              <w:spacing w:line="360" w:lineRule="auto"/>
              <w:jc w:val="center"/>
              <w:rPr>
                <w:rFonts w:cs="宋体" w:asciiTheme="minorEastAsia" w:hAnsiTheme="minorEastAsia" w:eastAsiaTheme="minorEastAsia"/>
                <w:bCs/>
                <w:color w:val="auto"/>
                <w:szCs w:val="21"/>
                <w:highlight w:val="none"/>
              </w:rPr>
            </w:pPr>
          </w:p>
        </w:tc>
      </w:tr>
      <w:tr w14:paraId="4660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4924D1D8">
            <w:pPr>
              <w:pStyle w:val="22"/>
              <w:shd w:val="clear"/>
              <w:wordWrap w:val="0"/>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投标报价（</w:t>
            </w:r>
            <w:r>
              <w:rPr>
                <w:rFonts w:hint="eastAsia" w:cs="宋体" w:asciiTheme="minorEastAsia" w:hAnsiTheme="minorEastAsia" w:eastAsiaTheme="minorEastAsia"/>
                <w:bCs/>
                <w:color w:val="auto"/>
                <w:szCs w:val="21"/>
                <w:highlight w:val="none"/>
                <w:lang w:eastAsia="zh-CN"/>
              </w:rPr>
              <w:t>折扣率</w:t>
            </w:r>
            <w:r>
              <w:rPr>
                <w:rFonts w:hint="eastAsia" w:cs="宋体" w:asciiTheme="minorEastAsia" w:hAnsiTheme="minorEastAsia" w:eastAsiaTheme="minorEastAsia"/>
                <w:bCs/>
                <w:color w:val="auto"/>
                <w:szCs w:val="21"/>
                <w:highlight w:val="none"/>
              </w:rPr>
              <w:t>）</w:t>
            </w:r>
          </w:p>
        </w:tc>
        <w:tc>
          <w:tcPr>
            <w:tcW w:w="6807" w:type="dxa"/>
            <w:tcBorders>
              <w:top w:val="single" w:color="auto" w:sz="4" w:space="0"/>
              <w:left w:val="single" w:color="auto" w:sz="4" w:space="0"/>
              <w:bottom w:val="single" w:color="auto" w:sz="4" w:space="0"/>
              <w:right w:val="single" w:color="auto" w:sz="4" w:space="0"/>
            </w:tcBorders>
            <w:vAlign w:val="center"/>
          </w:tcPr>
          <w:p w14:paraId="0F581235">
            <w:pPr>
              <w:shd w:val="clear"/>
              <w:wordWrap w:val="0"/>
              <w:spacing w:line="320" w:lineRule="exact"/>
              <w:rPr>
                <w:rFonts w:hint="eastAsia" w:cs="宋体" w:asciiTheme="minorEastAsia" w:hAnsiTheme="minorEastAsia" w:eastAsiaTheme="minorEastAsia"/>
                <w:bCs/>
                <w:color w:val="auto"/>
                <w:szCs w:val="21"/>
                <w:highlight w:val="none"/>
                <w:lang w:val="en-US" w:eastAsia="zh-CN"/>
              </w:rPr>
            </w:pPr>
            <w:r>
              <w:rPr>
                <w:rFonts w:hint="eastAsia" w:cs="宋体" w:asciiTheme="minorEastAsia" w:hAnsiTheme="minorEastAsia" w:eastAsiaTheme="minorEastAsia"/>
                <w:bCs/>
                <w:color w:val="auto"/>
                <w:szCs w:val="21"/>
                <w:highlight w:val="none"/>
                <w:lang w:val="en-US" w:eastAsia="zh-CN"/>
              </w:rPr>
              <w:t>%，按实结算，年度结算价不超过中标价。</w:t>
            </w:r>
          </w:p>
        </w:tc>
      </w:tr>
      <w:tr w14:paraId="3032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76B1CECD">
            <w:pPr>
              <w:shd w:val="clear"/>
              <w:wordWrap w:val="0"/>
              <w:jc w:val="center"/>
              <w:rPr>
                <w:rFonts w:hint="eastAsia" w:cs="宋体" w:asciiTheme="minorEastAsia" w:hAnsiTheme="minorEastAsia" w:eastAsiaTheme="minorEastAsia"/>
                <w:bCs/>
                <w:color w:val="auto"/>
                <w:szCs w:val="21"/>
                <w:highlight w:val="none"/>
                <w:lang w:eastAsia="zh-CN"/>
              </w:rPr>
            </w:pPr>
            <w:r>
              <w:rPr>
                <w:rFonts w:hint="eastAsia" w:cs="宋体" w:asciiTheme="minorEastAsia" w:hAnsiTheme="minorEastAsia" w:eastAsiaTheme="minorEastAsia"/>
                <w:bCs/>
                <w:color w:val="auto"/>
                <w:szCs w:val="21"/>
                <w:highlight w:val="none"/>
                <w:lang w:eastAsia="zh-CN"/>
              </w:rPr>
              <w:t>服务期</w:t>
            </w:r>
          </w:p>
        </w:tc>
        <w:tc>
          <w:tcPr>
            <w:tcW w:w="6807" w:type="dxa"/>
            <w:tcBorders>
              <w:top w:val="single" w:color="auto" w:sz="4" w:space="0"/>
              <w:left w:val="single" w:color="auto" w:sz="4" w:space="0"/>
              <w:bottom w:val="single" w:color="auto" w:sz="4" w:space="0"/>
              <w:right w:val="single" w:color="auto" w:sz="4" w:space="0"/>
            </w:tcBorders>
            <w:vAlign w:val="center"/>
          </w:tcPr>
          <w:p w14:paraId="5070768A">
            <w:pPr>
              <w:shd w:val="clear"/>
              <w:wordWrap w:val="0"/>
              <w:spacing w:line="360" w:lineRule="auto"/>
              <w:rPr>
                <w:rFonts w:cs="宋体" w:asciiTheme="minorEastAsia" w:hAnsiTheme="minorEastAsia" w:eastAsiaTheme="minorEastAsia"/>
                <w:bCs/>
                <w:color w:val="auto"/>
                <w:szCs w:val="21"/>
                <w:highlight w:val="none"/>
              </w:rPr>
            </w:pPr>
          </w:p>
        </w:tc>
      </w:tr>
      <w:tr w14:paraId="4596E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4F5E7A53">
            <w:pPr>
              <w:shd w:val="clear"/>
              <w:wordWrap w:val="0"/>
              <w:jc w:val="center"/>
              <w:rPr>
                <w:rFonts w:hint="eastAsia" w:cs="宋体" w:asciiTheme="minorEastAsia" w:hAnsiTheme="minorEastAsia" w:eastAsiaTheme="minorEastAsia"/>
                <w:bCs/>
                <w:color w:val="auto"/>
                <w:szCs w:val="21"/>
                <w:highlight w:val="none"/>
                <w:lang w:eastAsia="zh-CN"/>
              </w:rPr>
            </w:pPr>
            <w:r>
              <w:rPr>
                <w:rFonts w:hint="eastAsia" w:cs="宋体" w:asciiTheme="minorEastAsia" w:hAnsiTheme="minorEastAsia" w:eastAsiaTheme="minorEastAsia"/>
                <w:bCs/>
                <w:color w:val="auto"/>
                <w:szCs w:val="21"/>
                <w:highlight w:val="none"/>
                <w:lang w:eastAsia="zh-CN"/>
              </w:rPr>
              <w:t>服务地点</w:t>
            </w:r>
          </w:p>
        </w:tc>
        <w:tc>
          <w:tcPr>
            <w:tcW w:w="6807" w:type="dxa"/>
            <w:tcBorders>
              <w:top w:val="single" w:color="auto" w:sz="4" w:space="0"/>
              <w:left w:val="single" w:color="auto" w:sz="4" w:space="0"/>
              <w:bottom w:val="single" w:color="auto" w:sz="4" w:space="0"/>
              <w:right w:val="single" w:color="auto" w:sz="4" w:space="0"/>
            </w:tcBorders>
            <w:vAlign w:val="center"/>
          </w:tcPr>
          <w:p w14:paraId="0FA9FA84">
            <w:pPr>
              <w:shd w:val="clear"/>
              <w:wordWrap w:val="0"/>
              <w:spacing w:line="360" w:lineRule="auto"/>
              <w:rPr>
                <w:rFonts w:cs="宋体" w:asciiTheme="minorEastAsia" w:hAnsiTheme="minorEastAsia" w:eastAsiaTheme="minorEastAsia"/>
                <w:bCs/>
                <w:color w:val="auto"/>
                <w:szCs w:val="21"/>
                <w:highlight w:val="none"/>
              </w:rPr>
            </w:pPr>
          </w:p>
        </w:tc>
      </w:tr>
      <w:tr w14:paraId="18BD6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5B35454A">
            <w:pPr>
              <w:pStyle w:val="22"/>
              <w:shd w:val="clear"/>
              <w:wordWrap w:val="0"/>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联系人</w:t>
            </w:r>
          </w:p>
        </w:tc>
        <w:tc>
          <w:tcPr>
            <w:tcW w:w="6807" w:type="dxa"/>
            <w:tcBorders>
              <w:top w:val="single" w:color="auto" w:sz="4" w:space="0"/>
              <w:left w:val="single" w:color="auto" w:sz="4" w:space="0"/>
              <w:bottom w:val="single" w:color="auto" w:sz="4" w:space="0"/>
              <w:right w:val="single" w:color="auto" w:sz="4" w:space="0"/>
            </w:tcBorders>
            <w:vAlign w:val="center"/>
          </w:tcPr>
          <w:p w14:paraId="7BC6C7AB">
            <w:pPr>
              <w:shd w:val="clear"/>
              <w:wordWrap w:val="0"/>
              <w:spacing w:line="360" w:lineRule="auto"/>
              <w:rPr>
                <w:rFonts w:cs="宋体" w:asciiTheme="minorEastAsia" w:hAnsiTheme="minorEastAsia" w:eastAsiaTheme="minorEastAsia"/>
                <w:bCs/>
                <w:color w:val="auto"/>
                <w:szCs w:val="21"/>
                <w:highlight w:val="none"/>
              </w:rPr>
            </w:pPr>
          </w:p>
        </w:tc>
      </w:tr>
      <w:tr w14:paraId="04E1E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554617ED">
            <w:pPr>
              <w:pStyle w:val="22"/>
              <w:shd w:val="clear"/>
              <w:wordWrap w:val="0"/>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联系电话</w:t>
            </w:r>
          </w:p>
        </w:tc>
        <w:tc>
          <w:tcPr>
            <w:tcW w:w="6807" w:type="dxa"/>
            <w:tcBorders>
              <w:top w:val="single" w:color="auto" w:sz="4" w:space="0"/>
              <w:left w:val="single" w:color="auto" w:sz="4" w:space="0"/>
              <w:bottom w:val="single" w:color="auto" w:sz="4" w:space="0"/>
              <w:right w:val="single" w:color="auto" w:sz="4" w:space="0"/>
            </w:tcBorders>
            <w:vAlign w:val="center"/>
          </w:tcPr>
          <w:p w14:paraId="5B4E3D94">
            <w:pPr>
              <w:shd w:val="clear"/>
              <w:wordWrap w:val="0"/>
              <w:spacing w:line="360" w:lineRule="auto"/>
              <w:rPr>
                <w:rFonts w:cs="宋体" w:asciiTheme="minorEastAsia" w:hAnsiTheme="minorEastAsia" w:eastAsiaTheme="minorEastAsia"/>
                <w:bCs/>
                <w:color w:val="auto"/>
                <w:szCs w:val="21"/>
                <w:highlight w:val="none"/>
              </w:rPr>
            </w:pPr>
          </w:p>
        </w:tc>
      </w:tr>
      <w:tr w14:paraId="78DB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62A05EB7">
            <w:pPr>
              <w:pStyle w:val="22"/>
              <w:shd w:val="clear"/>
              <w:wordWrap w:val="0"/>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公司地址</w:t>
            </w:r>
          </w:p>
        </w:tc>
        <w:tc>
          <w:tcPr>
            <w:tcW w:w="6807" w:type="dxa"/>
            <w:tcBorders>
              <w:top w:val="single" w:color="auto" w:sz="4" w:space="0"/>
              <w:left w:val="single" w:color="auto" w:sz="4" w:space="0"/>
              <w:bottom w:val="single" w:color="auto" w:sz="4" w:space="0"/>
              <w:right w:val="single" w:color="auto" w:sz="4" w:space="0"/>
            </w:tcBorders>
            <w:vAlign w:val="center"/>
          </w:tcPr>
          <w:p w14:paraId="56A764FC">
            <w:pPr>
              <w:shd w:val="clear"/>
              <w:wordWrap w:val="0"/>
              <w:spacing w:line="360" w:lineRule="auto"/>
              <w:rPr>
                <w:rFonts w:cs="宋体" w:asciiTheme="minorEastAsia" w:hAnsiTheme="minorEastAsia" w:eastAsiaTheme="minorEastAsia"/>
                <w:bCs/>
                <w:color w:val="auto"/>
                <w:szCs w:val="21"/>
                <w:highlight w:val="none"/>
              </w:rPr>
            </w:pPr>
          </w:p>
        </w:tc>
      </w:tr>
      <w:tr w14:paraId="6355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8994" w:type="dxa"/>
            <w:gridSpan w:val="2"/>
            <w:tcBorders>
              <w:top w:val="single" w:color="auto" w:sz="4" w:space="0"/>
              <w:left w:val="single" w:color="auto" w:sz="4" w:space="0"/>
              <w:bottom w:val="single" w:color="auto" w:sz="4" w:space="0"/>
              <w:right w:val="single" w:color="auto" w:sz="4" w:space="0"/>
            </w:tcBorders>
            <w:vAlign w:val="center"/>
          </w:tcPr>
          <w:p w14:paraId="478AD26B">
            <w:pPr>
              <w:shd w:val="clear"/>
              <w:wordWrap w:val="0"/>
              <w:spacing w:line="360" w:lineRule="auto"/>
              <w:jc w:val="left"/>
              <w:rPr>
                <w:rFonts w:cs="宋体" w:asciiTheme="minorEastAsia" w:hAnsiTheme="minorEastAsia" w:eastAsiaTheme="minorEastAsia"/>
                <w:bCs/>
                <w:color w:val="auto"/>
                <w:szCs w:val="21"/>
                <w:highlight w:val="none"/>
                <w:u w:val="single"/>
              </w:rPr>
            </w:pPr>
            <w:r>
              <w:rPr>
                <w:rFonts w:hint="eastAsia" w:cs="宋体" w:asciiTheme="minorEastAsia" w:hAnsiTheme="minorEastAsia" w:eastAsiaTheme="minorEastAsia"/>
                <w:bCs/>
                <w:color w:val="auto"/>
                <w:szCs w:val="21"/>
                <w:highlight w:val="none"/>
              </w:rPr>
              <w:t>备 注：</w:t>
            </w:r>
          </w:p>
        </w:tc>
      </w:tr>
    </w:tbl>
    <w:p w14:paraId="3ECFBB5C">
      <w:pPr>
        <w:pStyle w:val="22"/>
        <w:shd w:val="clear"/>
        <w:wordWrap w:val="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注：本表中“投标报价”应与格式2中“投标报价”和格式3中“投标报价”一致。</w:t>
      </w:r>
    </w:p>
    <w:p w14:paraId="413776B6">
      <w:pPr>
        <w:shd w:val="clear"/>
        <w:wordWrap w:val="0"/>
        <w:ind w:firstLine="2" w:firstLineChars="1"/>
        <w:rPr>
          <w:rFonts w:cs="宋体" w:asciiTheme="minorEastAsia" w:hAnsiTheme="minorEastAsia" w:eastAsiaTheme="minorEastAsia"/>
          <w:bCs/>
          <w:color w:val="auto"/>
          <w:szCs w:val="21"/>
          <w:highlight w:val="none"/>
        </w:rPr>
      </w:pPr>
    </w:p>
    <w:p w14:paraId="3964DC5B">
      <w:pPr>
        <w:shd w:val="clear"/>
        <w:wordWrap w:val="0"/>
        <w:ind w:firstLine="2" w:firstLineChars="1"/>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投标人（加盖投标人电子公章）：</w:t>
      </w:r>
    </w:p>
    <w:p w14:paraId="130AD14E">
      <w:pPr>
        <w:shd w:val="clear"/>
        <w:wordWrap w:val="0"/>
        <w:ind w:firstLine="2" w:firstLineChars="1"/>
        <w:rPr>
          <w:rFonts w:cs="宋体" w:asciiTheme="minorEastAsia" w:hAnsiTheme="minorEastAsia" w:eastAsiaTheme="minorEastAsia"/>
          <w:bCs/>
          <w:color w:val="auto"/>
          <w:szCs w:val="21"/>
          <w:highlight w:val="none"/>
        </w:rPr>
      </w:pPr>
    </w:p>
    <w:p w14:paraId="62851FA4">
      <w:pPr>
        <w:shd w:val="clear"/>
        <w:wordWrap w:val="0"/>
        <w:ind w:firstLine="2" w:firstLineChars="1"/>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法定代表人（电子签名或签章）：</w:t>
      </w:r>
    </w:p>
    <w:p w14:paraId="554A9E85">
      <w:pPr>
        <w:shd w:val="clear"/>
        <w:wordWrap w:val="0"/>
        <w:ind w:firstLine="2" w:firstLineChars="1"/>
        <w:rPr>
          <w:rFonts w:cs="宋体" w:asciiTheme="minorEastAsia" w:hAnsiTheme="minorEastAsia" w:eastAsiaTheme="minorEastAsia"/>
          <w:bCs/>
          <w:color w:val="auto"/>
          <w:szCs w:val="21"/>
          <w:highlight w:val="none"/>
        </w:rPr>
      </w:pPr>
    </w:p>
    <w:p w14:paraId="54AA49A7">
      <w:pPr>
        <w:shd w:val="clear"/>
        <w:wordWrap w:val="0"/>
        <w:ind w:firstLine="2" w:firstLineChars="1"/>
        <w:rPr>
          <w:rFonts w:cs="宋体" w:asciiTheme="minorEastAsia" w:hAnsiTheme="minorEastAsia" w:eastAsiaTheme="minorEastAsia"/>
          <w:bCs/>
          <w:color w:val="auto"/>
          <w:szCs w:val="21"/>
          <w:highlight w:val="none"/>
        </w:rPr>
        <w:sectPr>
          <w:footerReference r:id="rId6" w:type="first"/>
          <w:footerReference r:id="rId5" w:type="default"/>
          <w:pgSz w:w="11906" w:h="16838"/>
          <w:pgMar w:top="1474" w:right="915" w:bottom="1247" w:left="1417" w:header="844" w:footer="442" w:gutter="0"/>
          <w:cols w:space="708" w:num="1"/>
          <w:titlePg/>
          <w:docGrid w:type="lines" w:linePitch="312" w:charSpace="0"/>
        </w:sectPr>
      </w:pPr>
      <w:r>
        <w:rPr>
          <w:rFonts w:hint="eastAsia" w:cs="宋体" w:asciiTheme="minorEastAsia" w:hAnsiTheme="minorEastAsia" w:eastAsiaTheme="minorEastAsia"/>
          <w:bCs/>
          <w:color w:val="auto"/>
          <w:szCs w:val="21"/>
          <w:highlight w:val="none"/>
        </w:rPr>
        <w:t>日</w:t>
      </w:r>
    </w:p>
    <w:p w14:paraId="6BA05D60">
      <w:pPr>
        <w:shd w:val="clear"/>
        <w:rPr>
          <w:rFonts w:hAnsi="宋体"/>
          <w:color w:val="auto"/>
          <w:sz w:val="32"/>
          <w:szCs w:val="18"/>
          <w:highlight w:val="none"/>
        </w:rPr>
      </w:pPr>
      <w:bookmarkStart w:id="827" w:name="_Toc28819"/>
      <w:bookmarkStart w:id="828" w:name="_Toc136356020"/>
    </w:p>
    <w:p w14:paraId="3D8762DB">
      <w:pPr>
        <w:pStyle w:val="22"/>
        <w:shd w:val="clear"/>
        <w:wordWrap w:val="0"/>
        <w:spacing w:line="360" w:lineRule="auto"/>
        <w:rPr>
          <w:rFonts w:cs="宋体" w:asciiTheme="minorEastAsia" w:hAnsiTheme="minorEastAsia" w:eastAsiaTheme="minorEastAsia"/>
          <w:b/>
          <w:color w:val="auto"/>
          <w:sz w:val="28"/>
          <w:szCs w:val="28"/>
          <w:highlight w:val="none"/>
        </w:rPr>
      </w:pPr>
      <w:bookmarkStart w:id="829" w:name="OLE_LINK24"/>
      <w:bookmarkStart w:id="830" w:name="_Toc222025324"/>
      <w:r>
        <w:rPr>
          <w:rFonts w:hint="eastAsia" w:cs="宋体" w:asciiTheme="minorEastAsia" w:hAnsiTheme="minorEastAsia" w:eastAsiaTheme="minorEastAsia"/>
          <w:b/>
          <w:color w:val="auto"/>
          <w:sz w:val="28"/>
          <w:szCs w:val="28"/>
          <w:highlight w:val="none"/>
        </w:rPr>
        <w:t>格式2：</w:t>
      </w:r>
      <w:bookmarkEnd w:id="827"/>
      <w:bookmarkEnd w:id="828"/>
      <w:bookmarkEnd w:id="829"/>
      <w:bookmarkEnd w:id="830"/>
    </w:p>
    <w:p w14:paraId="2A9C403D">
      <w:pPr>
        <w:pStyle w:val="4"/>
        <w:shd w:val="clear"/>
        <w:wordWrap w:val="0"/>
        <w:ind w:firstLine="0"/>
        <w:jc w:val="center"/>
        <w:rPr>
          <w:rFonts w:asciiTheme="minorEastAsia" w:hAnsiTheme="minorEastAsia" w:eastAsiaTheme="minorEastAsia"/>
          <w:color w:val="auto"/>
          <w:highlight w:val="none"/>
        </w:rPr>
      </w:pPr>
      <w:bookmarkStart w:id="831" w:name="_Toc489145751"/>
      <w:bookmarkStart w:id="832" w:name="_Toc14603906"/>
      <w:bookmarkStart w:id="833" w:name="_Toc29242"/>
      <w:bookmarkStart w:id="834" w:name="_Toc481694845"/>
      <w:bookmarkStart w:id="835" w:name="_Toc29115"/>
      <w:bookmarkStart w:id="836" w:name="_Toc488633616"/>
      <w:bookmarkStart w:id="837" w:name="_Toc489197855"/>
      <w:bookmarkStart w:id="838" w:name="_Toc4690"/>
      <w:bookmarkStart w:id="839" w:name="_Toc18287417"/>
      <w:bookmarkStart w:id="840" w:name="_Toc5797"/>
      <w:bookmarkStart w:id="841" w:name="_Toc11203"/>
      <w:bookmarkStart w:id="842" w:name="_Toc29974"/>
      <w:r>
        <w:rPr>
          <w:rFonts w:hint="eastAsia" w:asciiTheme="minorEastAsia" w:hAnsiTheme="minorEastAsia" w:eastAsiaTheme="minorEastAsia"/>
          <w:color w:val="auto"/>
          <w:highlight w:val="none"/>
        </w:rPr>
        <w:t>投标函</w:t>
      </w:r>
      <w:bookmarkEnd w:id="831"/>
      <w:bookmarkEnd w:id="832"/>
      <w:bookmarkEnd w:id="833"/>
      <w:bookmarkEnd w:id="834"/>
      <w:bookmarkEnd w:id="835"/>
      <w:bookmarkEnd w:id="836"/>
      <w:bookmarkEnd w:id="837"/>
      <w:bookmarkEnd w:id="838"/>
      <w:bookmarkEnd w:id="839"/>
      <w:bookmarkEnd w:id="840"/>
      <w:bookmarkEnd w:id="841"/>
      <w:bookmarkEnd w:id="842"/>
    </w:p>
    <w:p w14:paraId="1EFE0F26">
      <w:pPr>
        <w:pStyle w:val="22"/>
        <w:shd w:val="clear"/>
        <w:wordWrap w:val="0"/>
        <w:spacing w:line="276"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致：</w:t>
      </w:r>
      <w:r>
        <w:rPr>
          <w:rFonts w:hint="eastAsia" w:cs="宋体" w:asciiTheme="minorEastAsia" w:hAnsiTheme="minorEastAsia" w:eastAsiaTheme="minorEastAsia"/>
          <w:bCs/>
          <w:color w:val="auto"/>
          <w:szCs w:val="21"/>
          <w:highlight w:val="none"/>
          <w:u w:val="single"/>
        </w:rPr>
        <w:t>（采购人名称）</w:t>
      </w:r>
    </w:p>
    <w:p w14:paraId="2FA2B6AB">
      <w:pPr>
        <w:pStyle w:val="22"/>
        <w:shd w:val="clear"/>
        <w:wordWrap w:val="0"/>
        <w:spacing w:line="276" w:lineRule="auto"/>
        <w:ind w:firstLine="482"/>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我方仔细研究了</w:t>
      </w:r>
      <w:r>
        <w:rPr>
          <w:rFonts w:hint="eastAsia" w:cs="宋体" w:asciiTheme="minorEastAsia" w:hAnsiTheme="minorEastAsia" w:eastAsiaTheme="minorEastAsia"/>
          <w:bCs/>
          <w:color w:val="auto"/>
          <w:szCs w:val="21"/>
          <w:highlight w:val="none"/>
          <w:u w:val="single"/>
        </w:rPr>
        <w:t xml:space="preserve">（采购项目名称）   </w:t>
      </w:r>
      <w:r>
        <w:rPr>
          <w:rFonts w:hint="eastAsia" w:cs="宋体" w:asciiTheme="minorEastAsia" w:hAnsiTheme="minorEastAsia" w:eastAsiaTheme="minorEastAsia"/>
          <w:bCs/>
          <w:color w:val="auto"/>
          <w:szCs w:val="21"/>
          <w:highlight w:val="none"/>
        </w:rPr>
        <w:t>（项目编号：</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）项目招标文件的全部内容，正式授权下述签字人</w:t>
      </w:r>
      <w:r>
        <w:rPr>
          <w:rFonts w:hint="eastAsia" w:cs="宋体" w:asciiTheme="minorEastAsia" w:hAnsiTheme="minorEastAsia" w:eastAsiaTheme="minorEastAsia"/>
          <w:bCs/>
          <w:color w:val="auto"/>
          <w:szCs w:val="21"/>
          <w:highlight w:val="none"/>
          <w:u w:val="single"/>
        </w:rPr>
        <w:t xml:space="preserve">   （姓名和职务）     </w:t>
      </w:r>
      <w:r>
        <w:rPr>
          <w:rFonts w:hint="eastAsia" w:cs="宋体" w:asciiTheme="minorEastAsia" w:hAnsiTheme="minorEastAsia" w:eastAsiaTheme="minorEastAsia"/>
          <w:bCs/>
          <w:color w:val="auto"/>
          <w:szCs w:val="21"/>
          <w:highlight w:val="none"/>
        </w:rPr>
        <w:t>全权代表投标人</w:t>
      </w:r>
      <w:r>
        <w:rPr>
          <w:rFonts w:hint="eastAsia" w:cs="宋体" w:asciiTheme="minorEastAsia" w:hAnsiTheme="minorEastAsia" w:eastAsiaTheme="minorEastAsia"/>
          <w:bCs/>
          <w:color w:val="auto"/>
          <w:szCs w:val="21"/>
          <w:highlight w:val="none"/>
          <w:u w:val="single"/>
        </w:rPr>
        <w:t xml:space="preserve">  （投标人全称） </w:t>
      </w:r>
      <w:r>
        <w:rPr>
          <w:rFonts w:hint="eastAsia" w:cs="宋体" w:asciiTheme="minorEastAsia" w:hAnsiTheme="minorEastAsia" w:eastAsiaTheme="minorEastAsia"/>
          <w:bCs/>
          <w:color w:val="auto"/>
          <w:szCs w:val="21"/>
          <w:highlight w:val="none"/>
        </w:rPr>
        <w:t>参加投标。</w:t>
      </w:r>
    </w:p>
    <w:p w14:paraId="44466ACA">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据此函，签字人兹宣布同意如下：</w:t>
      </w:r>
    </w:p>
    <w:p w14:paraId="22B0BC04">
      <w:pPr>
        <w:pStyle w:val="22"/>
        <w:shd w:val="clear"/>
        <w:wordWrap w:val="0"/>
        <w:spacing w:line="276" w:lineRule="auto"/>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1．按招标文件采购需求及技术要求，我方投标报价（大写）</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，人民币</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，在</w:t>
      </w:r>
      <w:r>
        <w:rPr>
          <w:rFonts w:hint="eastAsia" w:cs="宋体" w:asciiTheme="minorEastAsia" w:hAnsiTheme="minorEastAsia" w:eastAsiaTheme="minorEastAsia"/>
          <w:bCs/>
          <w:color w:val="auto"/>
          <w:szCs w:val="21"/>
          <w:highlight w:val="none"/>
          <w:u w:val="single"/>
        </w:rPr>
        <w:t xml:space="preserve">  （交货时间）   </w:t>
      </w:r>
      <w:r>
        <w:rPr>
          <w:rFonts w:hint="eastAsia" w:cs="宋体" w:asciiTheme="minorEastAsia" w:hAnsiTheme="minorEastAsia" w:eastAsiaTheme="minorEastAsia"/>
          <w:bCs/>
          <w:color w:val="auto"/>
          <w:szCs w:val="21"/>
          <w:highlight w:val="none"/>
        </w:rPr>
        <w:t>完成交付。</w:t>
      </w:r>
    </w:p>
    <w:p w14:paraId="52210803">
      <w:pPr>
        <w:pStyle w:val="22"/>
        <w:shd w:val="clear"/>
        <w:wordWrap w:val="0"/>
        <w:spacing w:line="276" w:lineRule="auto"/>
        <w:ind w:firstLine="420"/>
        <w:rPr>
          <w:rFonts w:cs="宋体" w:asciiTheme="minorEastAsia" w:hAnsiTheme="minorEastAsia" w:eastAsiaTheme="minorEastAsia"/>
          <w:bCs/>
          <w:color w:val="auto"/>
          <w:spacing w:val="-10"/>
          <w:szCs w:val="21"/>
          <w:highlight w:val="none"/>
        </w:rPr>
      </w:pPr>
      <w:r>
        <w:rPr>
          <w:rFonts w:hint="eastAsia" w:cs="宋体" w:asciiTheme="minorEastAsia" w:hAnsiTheme="minorEastAsia" w:eastAsiaTheme="minorEastAsia"/>
          <w:bCs/>
          <w:color w:val="auto"/>
          <w:szCs w:val="21"/>
          <w:highlight w:val="none"/>
        </w:rPr>
        <w:t>2．</w:t>
      </w:r>
      <w:r>
        <w:rPr>
          <w:rFonts w:hint="eastAsia" w:cs="宋体" w:asciiTheme="minorEastAsia" w:hAnsiTheme="minorEastAsia" w:eastAsiaTheme="minorEastAsia"/>
          <w:bCs/>
          <w:color w:val="auto"/>
          <w:spacing w:val="-10"/>
          <w:szCs w:val="21"/>
          <w:highlight w:val="none"/>
        </w:rPr>
        <w:t>我方已详细审查招标文件及相关文件全部内容，包括</w:t>
      </w:r>
      <w:r>
        <w:rPr>
          <w:rFonts w:hint="eastAsia" w:cs="宋体" w:asciiTheme="minorEastAsia" w:hAnsiTheme="minorEastAsia" w:eastAsiaTheme="minorEastAsia"/>
          <w:bCs/>
          <w:color w:val="auto"/>
          <w:spacing w:val="-10"/>
          <w:szCs w:val="21"/>
          <w:highlight w:val="none"/>
          <w:u w:val="single"/>
        </w:rPr>
        <w:t>（澄清文件）</w:t>
      </w:r>
      <w:r>
        <w:rPr>
          <w:rFonts w:hint="eastAsia" w:cs="宋体" w:asciiTheme="minorEastAsia" w:hAnsiTheme="minorEastAsia" w:eastAsiaTheme="minorEastAsia"/>
          <w:bCs/>
          <w:color w:val="auto"/>
          <w:spacing w:val="-10"/>
          <w:szCs w:val="21"/>
          <w:highlight w:val="none"/>
          <w:u w:val="single"/>
          <w:lang w:eastAsia="zh-CN"/>
        </w:rPr>
        <w:t>（</w:t>
      </w:r>
      <w:r>
        <w:rPr>
          <w:rFonts w:hint="eastAsia" w:cs="宋体" w:asciiTheme="minorEastAsia" w:hAnsiTheme="minorEastAsia" w:eastAsiaTheme="minorEastAsia"/>
          <w:bCs/>
          <w:color w:val="auto"/>
          <w:spacing w:val="-10"/>
          <w:szCs w:val="21"/>
          <w:highlight w:val="none"/>
          <w:u w:val="single"/>
        </w:rPr>
        <w:t>如果有的话</w:t>
      </w:r>
      <w:r>
        <w:rPr>
          <w:rFonts w:hint="eastAsia" w:cs="宋体" w:asciiTheme="minorEastAsia" w:hAnsiTheme="minorEastAsia" w:eastAsiaTheme="minorEastAsia"/>
          <w:bCs/>
          <w:color w:val="auto"/>
          <w:spacing w:val="-10"/>
          <w:szCs w:val="21"/>
          <w:highlight w:val="none"/>
          <w:u w:val="single"/>
          <w:lang w:eastAsia="zh-CN"/>
        </w:rPr>
        <w:t>）</w:t>
      </w:r>
      <w:r>
        <w:rPr>
          <w:rFonts w:hint="eastAsia" w:cs="宋体" w:asciiTheme="minorEastAsia" w:hAnsiTheme="minorEastAsia" w:eastAsiaTheme="minorEastAsia"/>
          <w:bCs/>
          <w:color w:val="auto"/>
          <w:spacing w:val="-10"/>
          <w:szCs w:val="21"/>
          <w:highlight w:val="none"/>
        </w:rPr>
        <w:t>。我方完全理解招标文件及相关文件要求，并承担对这方面有不明及误解的后果。</w:t>
      </w:r>
    </w:p>
    <w:p w14:paraId="6EAFE19E">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3．在投标人须知规定的开标日期起遵循本投标文件，并在投标人须知第19.1条规定的投标文件有效期满之前均具有约束力。</w:t>
      </w:r>
    </w:p>
    <w:p w14:paraId="7E1F62BC">
      <w:pPr>
        <w:pStyle w:val="22"/>
        <w:shd w:val="clear"/>
        <w:wordWrap w:val="0"/>
        <w:spacing w:line="276" w:lineRule="auto"/>
        <w:ind w:firstLine="420"/>
        <w:outlineLvl w:val="1"/>
        <w:rPr>
          <w:rFonts w:cs="宋体" w:asciiTheme="minorEastAsia" w:hAnsiTheme="minorEastAsia" w:eastAsiaTheme="minorEastAsia"/>
          <w:bCs/>
          <w:color w:val="auto"/>
          <w:szCs w:val="21"/>
          <w:highlight w:val="none"/>
        </w:rPr>
      </w:pPr>
      <w:bookmarkStart w:id="843" w:name="_Toc10228"/>
      <w:bookmarkStart w:id="844" w:name="_Toc21184"/>
      <w:bookmarkStart w:id="845" w:name="_Toc2584"/>
      <w:bookmarkStart w:id="846" w:name="_Toc12675"/>
      <w:r>
        <w:rPr>
          <w:rFonts w:hint="eastAsia" w:cs="宋体" w:asciiTheme="minorEastAsia" w:hAnsiTheme="minorEastAsia" w:eastAsiaTheme="minorEastAsia"/>
          <w:bCs/>
          <w:color w:val="auto"/>
          <w:szCs w:val="21"/>
          <w:highlight w:val="none"/>
        </w:rPr>
        <w:t>4．同意招标文件中关于没收投标保证金的规定。</w:t>
      </w:r>
      <w:bookmarkEnd w:id="843"/>
      <w:bookmarkEnd w:id="844"/>
      <w:bookmarkEnd w:id="845"/>
      <w:bookmarkEnd w:id="846"/>
    </w:p>
    <w:p w14:paraId="5180B16E">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5．同意应贵方要求提供与本投标有关的任何数据或资料，并保证数据和资料的完整性和真实性。</w:t>
      </w:r>
    </w:p>
    <w:p w14:paraId="1419EE80">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6．完全理解贵方不一定要接受投标报价最低的投标人为中标人的行为。</w:t>
      </w:r>
    </w:p>
    <w:p w14:paraId="00A53C5E">
      <w:pPr>
        <w:pStyle w:val="22"/>
        <w:shd w:val="clear"/>
        <w:wordWrap w:val="0"/>
        <w:spacing w:line="276" w:lineRule="auto"/>
        <w:ind w:firstLine="420"/>
        <w:outlineLvl w:val="1"/>
        <w:rPr>
          <w:rFonts w:cs="宋体" w:asciiTheme="minorEastAsia" w:hAnsiTheme="minorEastAsia" w:eastAsiaTheme="minorEastAsia"/>
          <w:bCs/>
          <w:color w:val="auto"/>
          <w:szCs w:val="21"/>
          <w:highlight w:val="none"/>
        </w:rPr>
      </w:pPr>
      <w:bookmarkStart w:id="847" w:name="_Toc2241"/>
      <w:bookmarkStart w:id="848" w:name="_Toc12014"/>
      <w:bookmarkStart w:id="849" w:name="_Toc1938"/>
      <w:bookmarkStart w:id="850" w:name="_Toc20266"/>
      <w:r>
        <w:rPr>
          <w:rFonts w:hint="eastAsia" w:cs="宋体" w:asciiTheme="minorEastAsia" w:hAnsiTheme="minorEastAsia" w:eastAsiaTheme="minorEastAsia"/>
          <w:bCs/>
          <w:color w:val="auto"/>
          <w:szCs w:val="21"/>
          <w:highlight w:val="none"/>
        </w:rPr>
        <w:t>7．如我方中标：</w:t>
      </w:r>
      <w:bookmarkEnd w:id="847"/>
      <w:bookmarkEnd w:id="848"/>
      <w:bookmarkEnd w:id="849"/>
      <w:bookmarkEnd w:id="850"/>
    </w:p>
    <w:p w14:paraId="774B76CC">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（1）我方承诺在收到中标通知书后，在中标通知书规定的期限内与你方签订合同，并履行相应的合同责任和义务。</w:t>
      </w:r>
    </w:p>
    <w:p w14:paraId="0B8D9ACD">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（2）我方承诺按照招标文件规定向你方递交履约保证金。</w:t>
      </w:r>
    </w:p>
    <w:p w14:paraId="0EF1280C">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（3）我方承诺将承担技术服务及保修与维护服务责任。</w:t>
      </w:r>
    </w:p>
    <w:p w14:paraId="0EE29E68">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8．我方在此声明，所递交的投标文件及有关资料内容完整、真实和准确。</w:t>
      </w:r>
    </w:p>
    <w:p w14:paraId="70EB8680">
      <w:pPr>
        <w:pStyle w:val="22"/>
        <w:shd w:val="clear"/>
        <w:wordWrap w:val="0"/>
        <w:spacing w:line="276" w:lineRule="auto"/>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9．</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（其他补充说明）。</w:t>
      </w:r>
    </w:p>
    <w:p w14:paraId="41F23A5A">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与本投标有关的正式通讯地址为：</w:t>
      </w:r>
    </w:p>
    <w:p w14:paraId="4B63B373">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投标人地址：</w:t>
      </w:r>
    </w:p>
    <w:p w14:paraId="2FB18EB9">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邮政编码：</w:t>
      </w:r>
    </w:p>
    <w:p w14:paraId="692BEAC9">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电话：</w:t>
      </w:r>
    </w:p>
    <w:p w14:paraId="224931D9">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传真：</w:t>
      </w:r>
    </w:p>
    <w:p w14:paraId="10465B59">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开户名称：</w:t>
      </w:r>
    </w:p>
    <w:p w14:paraId="60BB4B47">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开户银行：</w:t>
      </w:r>
    </w:p>
    <w:p w14:paraId="54CACF6A">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帐    号：</w:t>
      </w:r>
    </w:p>
    <w:p w14:paraId="0671B16E">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投标人（加盖投标人电子公章）：</w:t>
      </w:r>
    </w:p>
    <w:p w14:paraId="02D5E2D0">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法定代表人（电子签名或签章）：</w:t>
      </w:r>
    </w:p>
    <w:p w14:paraId="4BBAC4D9">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日期：</w:t>
      </w:r>
    </w:p>
    <w:p w14:paraId="161739E1">
      <w:pPr>
        <w:pStyle w:val="22"/>
        <w:shd w:val="clear"/>
        <w:wordWrap w:val="0"/>
        <w:ind w:firstLine="420"/>
        <w:rPr>
          <w:rFonts w:cs="宋体" w:asciiTheme="minorEastAsia" w:hAnsiTheme="minorEastAsia" w:eastAsiaTheme="minorEastAsia"/>
          <w:bCs/>
          <w:color w:val="auto"/>
          <w:szCs w:val="21"/>
          <w:highlight w:val="none"/>
        </w:rPr>
        <w:sectPr>
          <w:footerReference r:id="rId7" w:type="default"/>
          <w:pgSz w:w="12240" w:h="15840"/>
          <w:pgMar w:top="1446" w:right="1797" w:bottom="1440" w:left="2017" w:header="740" w:footer="720" w:gutter="0"/>
          <w:cols w:space="708" w:num="1"/>
          <w:docGrid w:linePitch="286" w:charSpace="0"/>
        </w:sectPr>
      </w:pPr>
    </w:p>
    <w:p w14:paraId="6F38E2C9">
      <w:pPr>
        <w:widowControl/>
        <w:shd w:val="clear"/>
        <w:wordWrap w:val="0"/>
        <w:spacing w:line="420" w:lineRule="exact"/>
        <w:jc w:val="left"/>
        <w:rPr>
          <w:rFonts w:cs="宋体" w:asciiTheme="minorEastAsia" w:hAnsiTheme="minorEastAsia" w:eastAsiaTheme="minorEastAsia"/>
          <w:b/>
          <w:color w:val="auto"/>
          <w:sz w:val="28"/>
          <w:szCs w:val="28"/>
          <w:highlight w:val="none"/>
        </w:rPr>
      </w:pPr>
      <w:bookmarkStart w:id="851" w:name="_Toc481694862"/>
      <w:bookmarkStart w:id="852" w:name="_Toc489145769"/>
      <w:bookmarkStart w:id="853" w:name="_Toc488633634"/>
      <w:bookmarkStart w:id="854" w:name="_Toc489197873"/>
      <w:r>
        <w:rPr>
          <w:rFonts w:hint="eastAsia" w:cs="宋体" w:asciiTheme="minorEastAsia" w:hAnsiTheme="minorEastAsia" w:eastAsiaTheme="minorEastAsia"/>
          <w:b/>
          <w:color w:val="auto"/>
          <w:sz w:val="28"/>
          <w:szCs w:val="28"/>
          <w:highlight w:val="none"/>
        </w:rPr>
        <w:t>格式</w:t>
      </w:r>
      <w:r>
        <w:rPr>
          <w:rFonts w:hint="eastAsia" w:cs="宋体" w:asciiTheme="minorEastAsia" w:hAnsiTheme="minorEastAsia" w:eastAsiaTheme="minorEastAsia"/>
          <w:b/>
          <w:color w:val="auto"/>
          <w:sz w:val="28"/>
          <w:szCs w:val="28"/>
          <w:highlight w:val="none"/>
          <w:lang w:val="en-US" w:eastAsia="zh-CN"/>
        </w:rPr>
        <w:t>3</w:t>
      </w:r>
      <w:r>
        <w:rPr>
          <w:rFonts w:hint="eastAsia" w:cs="宋体" w:asciiTheme="minorEastAsia" w:hAnsiTheme="minorEastAsia" w:eastAsiaTheme="minorEastAsia"/>
          <w:b/>
          <w:color w:val="auto"/>
          <w:sz w:val="28"/>
          <w:szCs w:val="28"/>
          <w:highlight w:val="none"/>
        </w:rPr>
        <w:t>：</w:t>
      </w:r>
    </w:p>
    <w:p w14:paraId="32DCBFD2">
      <w:pPr>
        <w:pStyle w:val="22"/>
        <w:shd w:val="clear"/>
        <w:wordWrap w:val="0"/>
        <w:spacing w:line="360" w:lineRule="auto"/>
        <w:jc w:val="center"/>
        <w:outlineLvl w:val="2"/>
        <w:rPr>
          <w:rFonts w:hAnsi="宋体" w:cs="宋体"/>
          <w:b/>
          <w:color w:val="auto"/>
          <w:sz w:val="28"/>
          <w:szCs w:val="28"/>
          <w:highlight w:val="none"/>
        </w:rPr>
      </w:pPr>
      <w:bookmarkStart w:id="855" w:name="_Toc10328"/>
      <w:bookmarkStart w:id="856" w:name="_Toc31495"/>
      <w:bookmarkStart w:id="857" w:name="_Toc1014"/>
      <w:bookmarkStart w:id="858" w:name="_Toc29956"/>
      <w:bookmarkStart w:id="859" w:name="_Toc481694854"/>
      <w:bookmarkStart w:id="860" w:name="_Toc213141099"/>
      <w:bookmarkStart w:id="861" w:name="_Toc488633626"/>
      <w:bookmarkStart w:id="862" w:name="_Toc489145761"/>
      <w:bookmarkStart w:id="863" w:name="_Toc489197865"/>
      <w:bookmarkStart w:id="864" w:name="_Toc7967"/>
      <w:bookmarkStart w:id="865" w:name="_Toc862"/>
      <w:bookmarkStart w:id="866" w:name="_Toc5320"/>
      <w:r>
        <w:rPr>
          <w:rFonts w:hint="eastAsia" w:hAnsi="宋体" w:cs="宋体"/>
          <w:b/>
          <w:color w:val="auto"/>
          <w:sz w:val="28"/>
          <w:szCs w:val="28"/>
          <w:highlight w:val="none"/>
        </w:rPr>
        <w:t>项目服务实施方案</w:t>
      </w:r>
      <w:bookmarkEnd w:id="855"/>
      <w:bookmarkEnd w:id="856"/>
      <w:bookmarkEnd w:id="857"/>
    </w:p>
    <w:p w14:paraId="2BE0C06D">
      <w:pPr>
        <w:pStyle w:val="22"/>
        <w:shd w:val="clear"/>
        <w:wordWrap w:val="0"/>
        <w:spacing w:line="360" w:lineRule="auto"/>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（格式自拟）</w:t>
      </w:r>
    </w:p>
    <w:p w14:paraId="3A1B48E7">
      <w:pPr>
        <w:pStyle w:val="22"/>
        <w:shd w:val="clear"/>
        <w:wordWrap w:val="0"/>
        <w:spacing w:line="360" w:lineRule="auto"/>
        <w:rPr>
          <w:rFonts w:cs="宋体" w:asciiTheme="minorEastAsia" w:hAnsiTheme="minorEastAsia" w:eastAsiaTheme="minorEastAsia"/>
          <w:bCs/>
          <w:color w:val="auto"/>
          <w:szCs w:val="21"/>
          <w:highlight w:val="none"/>
        </w:rPr>
      </w:pPr>
    </w:p>
    <w:p w14:paraId="67E031E1">
      <w:pPr>
        <w:pStyle w:val="22"/>
        <w:shd w:val="clear"/>
        <w:wordWrap w:val="0"/>
        <w:spacing w:line="360" w:lineRule="auto"/>
        <w:rPr>
          <w:rFonts w:cs="宋体" w:asciiTheme="minorEastAsia" w:hAnsiTheme="minorEastAsia" w:eastAsiaTheme="minorEastAsia"/>
          <w:bCs/>
          <w:color w:val="auto"/>
          <w:szCs w:val="21"/>
          <w:highlight w:val="none"/>
        </w:rPr>
      </w:pPr>
    </w:p>
    <w:p w14:paraId="1A50D423">
      <w:pPr>
        <w:shd w:val="clear"/>
        <w:wordWrap w:val="0"/>
        <w:ind w:firstLine="2" w:firstLineChars="1"/>
        <w:rPr>
          <w:rFonts w:cs="宋体" w:asciiTheme="minorEastAsia" w:hAnsiTheme="minorEastAsia" w:eastAsiaTheme="minorEastAsia"/>
          <w:bCs/>
          <w:color w:val="auto"/>
          <w:szCs w:val="21"/>
          <w:highlight w:val="none"/>
        </w:rPr>
      </w:pPr>
    </w:p>
    <w:p w14:paraId="2455208E">
      <w:pPr>
        <w:shd w:val="clear"/>
        <w:wordWrap w:val="0"/>
        <w:ind w:firstLine="2" w:firstLineChars="1"/>
        <w:rPr>
          <w:rFonts w:cs="宋体" w:asciiTheme="minorEastAsia" w:hAnsiTheme="minorEastAsia" w:eastAsiaTheme="minorEastAsia"/>
          <w:bCs/>
          <w:color w:val="auto"/>
          <w:szCs w:val="21"/>
          <w:highlight w:val="none"/>
        </w:rPr>
      </w:pPr>
    </w:p>
    <w:p w14:paraId="6452E644">
      <w:pPr>
        <w:shd w:val="clear"/>
        <w:wordWrap w:val="0"/>
        <w:ind w:firstLine="2" w:firstLineChars="1"/>
        <w:rPr>
          <w:rFonts w:cs="宋体" w:asciiTheme="minorEastAsia" w:hAnsiTheme="minorEastAsia" w:eastAsiaTheme="minorEastAsia"/>
          <w:bCs/>
          <w:color w:val="auto"/>
          <w:szCs w:val="21"/>
          <w:highlight w:val="none"/>
        </w:rPr>
      </w:pPr>
    </w:p>
    <w:p w14:paraId="6266E621">
      <w:pPr>
        <w:shd w:val="clear"/>
        <w:wordWrap w:val="0"/>
        <w:ind w:firstLine="2" w:firstLineChars="1"/>
        <w:rPr>
          <w:rFonts w:cs="宋体" w:asciiTheme="minorEastAsia" w:hAnsiTheme="minorEastAsia" w:eastAsiaTheme="minorEastAsia"/>
          <w:bCs/>
          <w:color w:val="auto"/>
          <w:szCs w:val="21"/>
          <w:highlight w:val="none"/>
        </w:rPr>
      </w:pPr>
    </w:p>
    <w:p w14:paraId="58027406">
      <w:pPr>
        <w:shd w:val="clear"/>
        <w:wordWrap w:val="0"/>
        <w:ind w:firstLine="2" w:firstLineChars="1"/>
        <w:rPr>
          <w:rFonts w:cs="宋体" w:asciiTheme="minorEastAsia" w:hAnsiTheme="minorEastAsia" w:eastAsiaTheme="minorEastAsia"/>
          <w:bCs/>
          <w:color w:val="auto"/>
          <w:szCs w:val="21"/>
          <w:highlight w:val="none"/>
        </w:rPr>
      </w:pPr>
    </w:p>
    <w:p w14:paraId="3D50883A">
      <w:pPr>
        <w:shd w:val="clear"/>
        <w:wordWrap w:val="0"/>
        <w:ind w:firstLine="2" w:firstLineChars="1"/>
        <w:rPr>
          <w:rFonts w:cs="宋体" w:asciiTheme="minorEastAsia" w:hAnsiTheme="minorEastAsia" w:eastAsiaTheme="minorEastAsia"/>
          <w:bCs/>
          <w:color w:val="auto"/>
          <w:szCs w:val="21"/>
          <w:highlight w:val="none"/>
        </w:rPr>
      </w:pPr>
    </w:p>
    <w:p w14:paraId="361E01E4">
      <w:pPr>
        <w:shd w:val="clear"/>
        <w:wordWrap w:val="0"/>
        <w:ind w:firstLine="2" w:firstLineChars="1"/>
        <w:rPr>
          <w:rFonts w:cs="宋体" w:asciiTheme="minorEastAsia" w:hAnsiTheme="minorEastAsia" w:eastAsiaTheme="minorEastAsia"/>
          <w:bCs/>
          <w:color w:val="auto"/>
          <w:szCs w:val="21"/>
          <w:highlight w:val="none"/>
        </w:rPr>
      </w:pPr>
    </w:p>
    <w:p w14:paraId="14E1A7DA">
      <w:pPr>
        <w:shd w:val="clear"/>
        <w:wordWrap w:val="0"/>
        <w:ind w:firstLine="2" w:firstLineChars="1"/>
        <w:rPr>
          <w:rFonts w:cs="宋体" w:asciiTheme="minorEastAsia" w:hAnsiTheme="minorEastAsia" w:eastAsiaTheme="minorEastAsia"/>
          <w:bCs/>
          <w:color w:val="auto"/>
          <w:szCs w:val="21"/>
          <w:highlight w:val="none"/>
        </w:rPr>
      </w:pPr>
    </w:p>
    <w:p w14:paraId="4E86EC56">
      <w:pPr>
        <w:shd w:val="clear"/>
        <w:wordWrap w:val="0"/>
        <w:ind w:firstLine="2" w:firstLineChars="1"/>
        <w:rPr>
          <w:rFonts w:cs="宋体" w:asciiTheme="minorEastAsia" w:hAnsiTheme="minorEastAsia" w:eastAsiaTheme="minorEastAsia"/>
          <w:bCs/>
          <w:color w:val="auto"/>
          <w:szCs w:val="21"/>
          <w:highlight w:val="none"/>
        </w:rPr>
      </w:pPr>
    </w:p>
    <w:p w14:paraId="2F0F94C3">
      <w:pPr>
        <w:shd w:val="clear"/>
        <w:wordWrap w:val="0"/>
        <w:ind w:firstLine="2" w:firstLineChars="1"/>
        <w:rPr>
          <w:rFonts w:cs="宋体" w:asciiTheme="minorEastAsia" w:hAnsiTheme="minorEastAsia" w:eastAsiaTheme="minorEastAsia"/>
          <w:bCs/>
          <w:color w:val="auto"/>
          <w:szCs w:val="21"/>
          <w:highlight w:val="none"/>
        </w:rPr>
      </w:pPr>
    </w:p>
    <w:p w14:paraId="6902E611">
      <w:pPr>
        <w:shd w:val="clear"/>
        <w:wordWrap w:val="0"/>
        <w:ind w:firstLine="2" w:firstLineChars="1"/>
        <w:rPr>
          <w:rFonts w:cs="宋体" w:asciiTheme="minorEastAsia" w:hAnsiTheme="minorEastAsia" w:eastAsiaTheme="minorEastAsia"/>
          <w:bCs/>
          <w:color w:val="auto"/>
          <w:szCs w:val="21"/>
          <w:highlight w:val="none"/>
        </w:rPr>
      </w:pPr>
    </w:p>
    <w:p w14:paraId="1E0C3C49">
      <w:pPr>
        <w:shd w:val="clear"/>
        <w:wordWrap w:val="0"/>
        <w:ind w:firstLine="2" w:firstLineChars="1"/>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投标人（加盖投标人电子公章）：</w:t>
      </w:r>
    </w:p>
    <w:p w14:paraId="1F7EE9F5">
      <w:pPr>
        <w:shd w:val="clear"/>
        <w:wordWrap w:val="0"/>
        <w:ind w:firstLine="2" w:firstLineChars="1"/>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法定代表人（电子签名或签章）：</w:t>
      </w:r>
    </w:p>
    <w:p w14:paraId="3AD4686B">
      <w:pPr>
        <w:shd w:val="clear"/>
        <w:wordWrap w:val="0"/>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szCs w:val="21"/>
          <w:highlight w:val="none"/>
        </w:rPr>
        <w:t>日期：</w:t>
      </w:r>
    </w:p>
    <w:p w14:paraId="09F94A46">
      <w:pPr>
        <w:widowControl/>
        <w:shd w:val="clear"/>
        <w:wordWrap w:val="0"/>
        <w:spacing w:line="420" w:lineRule="exact"/>
        <w:jc w:val="left"/>
        <w:rPr>
          <w:rFonts w:cs="宋体" w:asciiTheme="minorEastAsia" w:hAnsiTheme="minorEastAsia" w:eastAsiaTheme="minorEastAsia"/>
          <w:b/>
          <w:color w:val="auto"/>
          <w:sz w:val="28"/>
          <w:szCs w:val="28"/>
          <w:highlight w:val="none"/>
        </w:rPr>
        <w:sectPr>
          <w:footerReference r:id="rId8" w:type="default"/>
          <w:pgSz w:w="12240" w:h="15840"/>
          <w:pgMar w:top="1240" w:right="1800" w:bottom="1440" w:left="1800" w:header="720" w:footer="720" w:gutter="0"/>
          <w:cols w:space="708" w:num="1"/>
          <w:docGrid w:linePitch="286" w:charSpace="0"/>
        </w:sectPr>
      </w:pPr>
    </w:p>
    <w:p w14:paraId="750B83CD">
      <w:pPr>
        <w:pStyle w:val="22"/>
        <w:shd w:val="clear"/>
        <w:spacing w:line="400" w:lineRule="exact"/>
        <w:jc w:val="left"/>
        <w:rPr>
          <w:rFonts w:cs="宋体" w:asciiTheme="minorEastAsia" w:hAnsiTheme="minorEastAsia" w:eastAsiaTheme="minorEastAsia"/>
          <w:b/>
          <w:color w:val="auto"/>
          <w:kern w:val="0"/>
          <w:sz w:val="28"/>
          <w:szCs w:val="28"/>
          <w:highlight w:val="none"/>
        </w:rPr>
      </w:pPr>
      <w:r>
        <w:rPr>
          <w:rFonts w:hint="eastAsia" w:cs="宋体" w:asciiTheme="minorEastAsia" w:hAnsiTheme="minorEastAsia" w:eastAsiaTheme="minorEastAsia"/>
          <w:b/>
          <w:color w:val="auto"/>
          <w:kern w:val="0"/>
          <w:sz w:val="28"/>
          <w:szCs w:val="28"/>
          <w:highlight w:val="none"/>
        </w:rPr>
        <w:t>格式</w:t>
      </w:r>
      <w:r>
        <w:rPr>
          <w:rFonts w:hint="eastAsia" w:cs="宋体" w:asciiTheme="minorEastAsia" w:hAnsiTheme="minorEastAsia" w:eastAsiaTheme="minorEastAsia"/>
          <w:b/>
          <w:color w:val="auto"/>
          <w:kern w:val="0"/>
          <w:sz w:val="28"/>
          <w:szCs w:val="28"/>
          <w:highlight w:val="none"/>
          <w:lang w:val="en-US" w:eastAsia="zh-CN"/>
        </w:rPr>
        <w:t>4</w:t>
      </w:r>
      <w:r>
        <w:rPr>
          <w:rFonts w:hint="eastAsia" w:cs="宋体" w:asciiTheme="minorEastAsia" w:hAnsiTheme="minorEastAsia" w:eastAsiaTheme="minorEastAsia"/>
          <w:b/>
          <w:color w:val="auto"/>
          <w:kern w:val="0"/>
          <w:sz w:val="28"/>
          <w:szCs w:val="28"/>
          <w:highlight w:val="none"/>
        </w:rPr>
        <w:t>：</w:t>
      </w:r>
    </w:p>
    <w:p w14:paraId="74591177">
      <w:pPr>
        <w:pStyle w:val="12"/>
        <w:shd w:val="clear"/>
        <w:spacing w:line="360" w:lineRule="auto"/>
        <w:ind w:firstLine="480"/>
        <w:jc w:val="center"/>
        <w:rPr>
          <w:rFonts w:ascii="宋体" w:hAnsi="宋体" w:cs="宋体"/>
          <w:b/>
          <w:bCs/>
          <w:color w:val="auto"/>
          <w:sz w:val="24"/>
          <w:szCs w:val="24"/>
          <w:highlight w:val="none"/>
        </w:rPr>
      </w:pPr>
      <w:bookmarkStart w:id="867" w:name="_Hlk78989341"/>
      <w:r>
        <w:rPr>
          <w:rFonts w:hint="eastAsia" w:ascii="宋体" w:hAnsi="宋体" w:cs="宋体"/>
          <w:b/>
          <w:bCs/>
          <w:color w:val="auto"/>
          <w:sz w:val="24"/>
          <w:szCs w:val="24"/>
          <w:highlight w:val="none"/>
        </w:rPr>
        <w:t>本项目人员投入配置</w:t>
      </w:r>
    </w:p>
    <w:p w14:paraId="677067C4">
      <w:pPr>
        <w:pStyle w:val="12"/>
        <w:shd w:val="clear"/>
        <w:spacing w:line="360" w:lineRule="auto"/>
        <w:ind w:firstLine="480"/>
        <w:jc w:val="center"/>
        <w:rPr>
          <w:rFonts w:ascii="宋体" w:hAnsi="宋体" w:cs="宋体"/>
          <w:color w:val="auto"/>
          <w:sz w:val="28"/>
          <w:szCs w:val="28"/>
          <w:highlight w:val="none"/>
        </w:rPr>
      </w:pPr>
      <w:r>
        <w:rPr>
          <w:rFonts w:hint="eastAsia" w:ascii="宋体" w:hAnsi="宋体" w:cs="宋体"/>
          <w:color w:val="auto"/>
          <w:sz w:val="24"/>
          <w:szCs w:val="24"/>
          <w:highlight w:val="none"/>
        </w:rPr>
        <w:t>（投标人根据招标文件要求自行编写）</w:t>
      </w:r>
    </w:p>
    <w:p w14:paraId="792861F9">
      <w:pPr>
        <w:shd w:val="clear"/>
        <w:wordWrap w:val="0"/>
        <w:jc w:val="center"/>
        <w:rPr>
          <w:rFonts w:cs="宋体" w:asciiTheme="minorEastAsia" w:hAnsiTheme="minorEastAsia" w:eastAsiaTheme="minorEastAsia"/>
          <w:color w:val="auto"/>
          <w:highlight w:val="none"/>
        </w:rPr>
      </w:pPr>
    </w:p>
    <w:bookmarkEnd w:id="867"/>
    <w:p w14:paraId="59EC105D">
      <w:pPr>
        <w:shd w:val="clear"/>
        <w:wordWrap w:val="0"/>
        <w:ind w:firstLine="2" w:firstLineChars="1"/>
        <w:jc w:val="center"/>
        <w:rPr>
          <w:rFonts w:cs="宋体" w:asciiTheme="minorEastAsia" w:hAnsiTheme="minorEastAsia" w:eastAsiaTheme="minorEastAsia"/>
          <w:color w:val="auto"/>
          <w:highlight w:val="none"/>
        </w:rPr>
      </w:pPr>
    </w:p>
    <w:p w14:paraId="1A42162F">
      <w:pPr>
        <w:shd w:val="clear"/>
        <w:wordWrap w:val="0"/>
        <w:ind w:firstLine="2" w:firstLineChars="1"/>
        <w:rPr>
          <w:rFonts w:cs="宋体" w:asciiTheme="minorEastAsia" w:hAnsiTheme="minorEastAsia" w:eastAsiaTheme="minorEastAsia"/>
          <w:color w:val="auto"/>
          <w:highlight w:val="none"/>
        </w:rPr>
      </w:pPr>
    </w:p>
    <w:p w14:paraId="5682E12C">
      <w:pPr>
        <w:shd w:val="clear"/>
        <w:wordWrap w:val="0"/>
        <w:ind w:firstLine="2" w:firstLineChars="1"/>
        <w:rPr>
          <w:rFonts w:cs="宋体" w:asciiTheme="minorEastAsia" w:hAnsiTheme="minorEastAsia" w:eastAsiaTheme="minorEastAsia"/>
          <w:color w:val="auto"/>
          <w:highlight w:val="none"/>
        </w:rPr>
      </w:pPr>
    </w:p>
    <w:p w14:paraId="617ED0BC">
      <w:pPr>
        <w:shd w:val="clear"/>
        <w:wordWrap w:val="0"/>
        <w:ind w:firstLine="2" w:firstLineChars="1"/>
        <w:rPr>
          <w:rFonts w:cs="宋体" w:asciiTheme="minorEastAsia" w:hAnsiTheme="minorEastAsia" w:eastAsiaTheme="minorEastAsia"/>
          <w:color w:val="auto"/>
          <w:highlight w:val="none"/>
        </w:rPr>
      </w:pPr>
    </w:p>
    <w:p w14:paraId="53F5BBC1">
      <w:pPr>
        <w:shd w:val="clear"/>
        <w:wordWrap w:val="0"/>
        <w:ind w:firstLine="2" w:firstLineChars="1"/>
        <w:rPr>
          <w:rFonts w:cs="宋体" w:asciiTheme="minorEastAsia" w:hAnsiTheme="minorEastAsia" w:eastAsiaTheme="minorEastAsia"/>
          <w:color w:val="auto"/>
          <w:highlight w:val="none"/>
        </w:rPr>
      </w:pPr>
    </w:p>
    <w:p w14:paraId="6B757004">
      <w:pPr>
        <w:shd w:val="clear"/>
        <w:wordWrap w:val="0"/>
        <w:ind w:firstLine="2" w:firstLineChars="1"/>
        <w:rPr>
          <w:rFonts w:cs="宋体" w:asciiTheme="minorEastAsia" w:hAnsiTheme="minorEastAsia" w:eastAsiaTheme="minorEastAsia"/>
          <w:color w:val="auto"/>
          <w:highlight w:val="none"/>
        </w:rPr>
      </w:pPr>
    </w:p>
    <w:p w14:paraId="7D74B63B">
      <w:pPr>
        <w:shd w:val="clear"/>
        <w:wordWrap w:val="0"/>
        <w:ind w:firstLine="2" w:firstLineChars="1"/>
        <w:rPr>
          <w:rFonts w:cs="宋体" w:asciiTheme="minorEastAsia" w:hAnsiTheme="minorEastAsia" w:eastAsiaTheme="minorEastAsia"/>
          <w:color w:val="auto"/>
          <w:highlight w:val="none"/>
        </w:rPr>
      </w:pPr>
    </w:p>
    <w:p w14:paraId="02AC46FC">
      <w:pPr>
        <w:shd w:val="clear"/>
        <w:wordWrap w:val="0"/>
        <w:ind w:firstLine="2" w:firstLineChars="1"/>
        <w:rPr>
          <w:rFonts w:cs="宋体" w:asciiTheme="minorEastAsia" w:hAnsiTheme="minorEastAsia" w:eastAsiaTheme="minorEastAsia"/>
          <w:color w:val="auto"/>
          <w:highlight w:val="none"/>
        </w:rPr>
      </w:pPr>
    </w:p>
    <w:p w14:paraId="1B2C53CC">
      <w:pPr>
        <w:shd w:val="clear"/>
        <w:wordWrap w:val="0"/>
        <w:ind w:firstLine="2" w:firstLineChars="1"/>
        <w:rPr>
          <w:rFonts w:cs="宋体" w:asciiTheme="minorEastAsia" w:hAnsiTheme="minorEastAsia" w:eastAsiaTheme="minorEastAsia"/>
          <w:color w:val="auto"/>
          <w:highlight w:val="none"/>
        </w:rPr>
      </w:pPr>
    </w:p>
    <w:p w14:paraId="19B1EDBA">
      <w:pPr>
        <w:shd w:val="clear"/>
        <w:wordWrap w:val="0"/>
        <w:ind w:firstLine="2" w:firstLineChars="1"/>
        <w:rPr>
          <w:rFonts w:cs="宋体" w:asciiTheme="minorEastAsia" w:hAnsiTheme="minorEastAsia" w:eastAsiaTheme="minorEastAsia"/>
          <w:color w:val="auto"/>
          <w:highlight w:val="none"/>
        </w:rPr>
      </w:pPr>
    </w:p>
    <w:p w14:paraId="395A1AEE">
      <w:pPr>
        <w:shd w:val="clear"/>
        <w:wordWrap w:val="0"/>
        <w:ind w:firstLine="2" w:firstLineChars="1"/>
        <w:rPr>
          <w:rFonts w:cs="宋体" w:asciiTheme="minorEastAsia" w:hAnsiTheme="minorEastAsia" w:eastAsiaTheme="minorEastAsia"/>
          <w:color w:val="auto"/>
          <w:highlight w:val="none"/>
        </w:rPr>
      </w:pPr>
    </w:p>
    <w:p w14:paraId="5882281C">
      <w:pPr>
        <w:shd w:val="clear"/>
        <w:wordWrap w:val="0"/>
        <w:ind w:firstLine="2" w:firstLineChars="1"/>
        <w:rPr>
          <w:rFonts w:cs="宋体" w:asciiTheme="minorEastAsia" w:hAnsiTheme="minorEastAsia" w:eastAsiaTheme="minorEastAsia"/>
          <w:color w:val="auto"/>
          <w:highlight w:val="none"/>
        </w:rPr>
      </w:pPr>
    </w:p>
    <w:p w14:paraId="1C056C23">
      <w:pPr>
        <w:shd w:val="clear"/>
        <w:wordWrap w:val="0"/>
        <w:ind w:firstLine="2" w:firstLineChars="1"/>
        <w:rPr>
          <w:rFonts w:cs="宋体" w:asciiTheme="minorEastAsia" w:hAnsiTheme="minorEastAsia" w:eastAsiaTheme="minorEastAsia"/>
          <w:color w:val="auto"/>
          <w:highlight w:val="none"/>
        </w:rPr>
      </w:pPr>
    </w:p>
    <w:p w14:paraId="5E022436">
      <w:pPr>
        <w:shd w:val="clear"/>
        <w:wordWrap w:val="0"/>
        <w:ind w:firstLine="2" w:firstLineChars="1"/>
        <w:rPr>
          <w:rFonts w:cs="宋体" w:asciiTheme="minorEastAsia" w:hAnsiTheme="minorEastAsia" w:eastAsiaTheme="minorEastAsia"/>
          <w:color w:val="auto"/>
          <w:highlight w:val="none"/>
        </w:rPr>
      </w:pPr>
    </w:p>
    <w:p w14:paraId="7F45F569">
      <w:pPr>
        <w:shd w:val="clear"/>
        <w:wordWrap w:val="0"/>
        <w:ind w:firstLine="2" w:firstLineChars="1"/>
        <w:rPr>
          <w:rFonts w:cs="宋体" w:asciiTheme="minorEastAsia" w:hAnsiTheme="minorEastAsia" w:eastAsiaTheme="minorEastAsia"/>
          <w:color w:val="auto"/>
          <w:highlight w:val="none"/>
        </w:rPr>
      </w:pPr>
    </w:p>
    <w:p w14:paraId="786CADE6">
      <w:pPr>
        <w:shd w:val="clear"/>
        <w:wordWrap w:val="0"/>
        <w:ind w:firstLine="2" w:firstLineChars="1"/>
        <w:rPr>
          <w:rFonts w:cs="宋体" w:asciiTheme="minorEastAsia" w:hAnsiTheme="minorEastAsia" w:eastAsiaTheme="minorEastAsia"/>
          <w:color w:val="auto"/>
          <w:highlight w:val="none"/>
        </w:rPr>
      </w:pPr>
    </w:p>
    <w:p w14:paraId="05D93F1E">
      <w:pPr>
        <w:shd w:val="clear"/>
        <w:wordWrap w:val="0"/>
        <w:ind w:firstLine="2" w:firstLineChars="1"/>
        <w:rPr>
          <w:rFonts w:cs="宋体" w:asciiTheme="minorEastAsia" w:hAnsiTheme="minorEastAsia" w:eastAsiaTheme="minorEastAsia"/>
          <w:color w:val="auto"/>
          <w:highlight w:val="none"/>
        </w:rPr>
      </w:pPr>
    </w:p>
    <w:p w14:paraId="72932CB5">
      <w:pPr>
        <w:shd w:val="clear"/>
        <w:wordWrap w:val="0"/>
        <w:ind w:firstLine="2" w:firstLineChars="1"/>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投标人（加盖电子公章）：</w:t>
      </w:r>
    </w:p>
    <w:p w14:paraId="1586F1BE">
      <w:pPr>
        <w:shd w:val="clear"/>
        <w:wordWrap w:val="0"/>
        <w:ind w:firstLine="2" w:firstLineChars="1"/>
        <w:rPr>
          <w:rFonts w:cs="宋体" w:asciiTheme="minorEastAsia" w:hAnsiTheme="minorEastAsia" w:eastAsiaTheme="minorEastAsia"/>
          <w:color w:val="auto"/>
          <w:highlight w:val="none"/>
        </w:rPr>
      </w:pPr>
    </w:p>
    <w:p w14:paraId="5C05FD76">
      <w:pPr>
        <w:shd w:val="clear"/>
        <w:wordWrap w:val="0"/>
        <w:ind w:firstLine="2" w:firstLineChars="1"/>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法定代表人（电子签名或签章）：</w:t>
      </w:r>
    </w:p>
    <w:p w14:paraId="3AF60DEC">
      <w:pPr>
        <w:shd w:val="clear"/>
        <w:wordWrap w:val="0"/>
        <w:ind w:firstLine="2" w:firstLineChars="1"/>
        <w:rPr>
          <w:rFonts w:cs="宋体" w:asciiTheme="minorEastAsia" w:hAnsiTheme="minorEastAsia" w:eastAsiaTheme="minorEastAsia"/>
          <w:color w:val="auto"/>
          <w:highlight w:val="none"/>
        </w:rPr>
      </w:pPr>
    </w:p>
    <w:p w14:paraId="1A6D39B0">
      <w:pPr>
        <w:shd w:val="clear"/>
        <w:wordWrap w:val="0"/>
        <w:ind w:firstLine="2" w:firstLineChars="1"/>
        <w:rPr>
          <w:rFonts w:cs="宋体" w:asciiTheme="minorEastAsia" w:hAnsiTheme="minorEastAsia" w:eastAsiaTheme="minorEastAsia"/>
          <w:color w:val="auto"/>
          <w:highlight w:val="none"/>
        </w:rPr>
      </w:pPr>
      <w:bookmarkStart w:id="868" w:name="_Toc17216"/>
      <w:r>
        <w:rPr>
          <w:rFonts w:hint="eastAsia" w:cs="宋体" w:asciiTheme="minorEastAsia" w:hAnsiTheme="minorEastAsia" w:eastAsiaTheme="minorEastAsia"/>
          <w:color w:val="auto"/>
          <w:highlight w:val="none"/>
        </w:rPr>
        <w:t>日期：</w:t>
      </w:r>
      <w:bookmarkEnd w:id="868"/>
    </w:p>
    <w:p w14:paraId="60C6A2A4">
      <w:pPr>
        <w:shd w:val="clear"/>
        <w:wordWrap w:val="0"/>
        <w:ind w:firstLine="2" w:firstLineChars="1"/>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color w:val="auto"/>
          <w:highlight w:val="none"/>
        </w:rPr>
        <w:br w:type="page"/>
      </w:r>
      <w:r>
        <w:rPr>
          <w:rFonts w:hint="eastAsia" w:cs="宋体" w:asciiTheme="minorEastAsia" w:hAnsiTheme="minorEastAsia" w:eastAsiaTheme="minorEastAsia"/>
          <w:b/>
          <w:color w:val="auto"/>
          <w:sz w:val="28"/>
          <w:szCs w:val="28"/>
          <w:highlight w:val="none"/>
        </w:rPr>
        <w:t>格式</w:t>
      </w:r>
      <w:r>
        <w:rPr>
          <w:rFonts w:hint="eastAsia" w:cs="宋体" w:asciiTheme="minorEastAsia" w:hAnsiTheme="minorEastAsia" w:eastAsiaTheme="minorEastAsia"/>
          <w:b/>
          <w:color w:val="auto"/>
          <w:sz w:val="28"/>
          <w:szCs w:val="28"/>
          <w:highlight w:val="none"/>
          <w:lang w:val="en-US" w:eastAsia="zh-CN"/>
        </w:rPr>
        <w:t>5</w:t>
      </w:r>
      <w:r>
        <w:rPr>
          <w:rFonts w:hint="eastAsia" w:cs="宋体" w:asciiTheme="minorEastAsia" w:hAnsiTheme="minorEastAsia" w:eastAsiaTheme="minorEastAsia"/>
          <w:b/>
          <w:color w:val="auto"/>
          <w:sz w:val="28"/>
          <w:szCs w:val="28"/>
          <w:highlight w:val="none"/>
        </w:rPr>
        <w:t>:</w:t>
      </w:r>
      <w:bookmarkEnd w:id="858"/>
      <w:bookmarkEnd w:id="859"/>
      <w:bookmarkEnd w:id="860"/>
      <w:bookmarkEnd w:id="861"/>
      <w:bookmarkEnd w:id="862"/>
      <w:bookmarkEnd w:id="863"/>
      <w:bookmarkEnd w:id="864"/>
      <w:bookmarkEnd w:id="865"/>
    </w:p>
    <w:p w14:paraId="2531BD6A">
      <w:pPr>
        <w:pStyle w:val="12"/>
        <w:shd w:val="clear"/>
        <w:spacing w:line="360" w:lineRule="auto"/>
        <w:ind w:firstLine="480"/>
        <w:jc w:val="center"/>
        <w:rPr>
          <w:rFonts w:ascii="宋体" w:hAnsi="宋体" w:cs="宋体"/>
          <w:b/>
          <w:bCs/>
          <w:color w:val="auto"/>
          <w:sz w:val="24"/>
          <w:szCs w:val="24"/>
          <w:highlight w:val="none"/>
        </w:rPr>
      </w:pPr>
      <w:bookmarkStart w:id="869" w:name="_Toc5524"/>
      <w:r>
        <w:rPr>
          <w:rFonts w:hint="eastAsia" w:ascii="宋体" w:hAnsi="宋体" w:cs="宋体"/>
          <w:b/>
          <w:bCs/>
          <w:color w:val="auto"/>
          <w:sz w:val="24"/>
          <w:szCs w:val="24"/>
          <w:highlight w:val="none"/>
        </w:rPr>
        <w:t>项目装备情况</w:t>
      </w:r>
    </w:p>
    <w:p w14:paraId="486769CD">
      <w:pPr>
        <w:pStyle w:val="12"/>
        <w:shd w:val="clear"/>
        <w:spacing w:line="360" w:lineRule="auto"/>
        <w:ind w:firstLine="480"/>
        <w:jc w:val="center"/>
        <w:rPr>
          <w:rFonts w:ascii="宋体" w:hAnsi="宋体" w:cs="宋体"/>
          <w:color w:val="auto"/>
          <w:sz w:val="28"/>
          <w:szCs w:val="28"/>
          <w:highlight w:val="none"/>
        </w:rPr>
      </w:pPr>
      <w:r>
        <w:rPr>
          <w:rFonts w:hint="eastAsia" w:ascii="宋体" w:hAnsi="宋体" w:cs="宋体"/>
          <w:color w:val="auto"/>
          <w:sz w:val="24"/>
          <w:szCs w:val="24"/>
          <w:highlight w:val="none"/>
        </w:rPr>
        <w:t>（投标人根据招标文件要求自行编写）</w:t>
      </w:r>
    </w:p>
    <w:p w14:paraId="534604D2">
      <w:pPr>
        <w:shd w:val="clear"/>
        <w:wordWrap w:val="0"/>
        <w:rPr>
          <w:rFonts w:cs="宋体" w:asciiTheme="minorEastAsia" w:hAnsiTheme="minorEastAsia" w:eastAsiaTheme="minorEastAsia"/>
          <w:bCs/>
          <w:color w:val="auto"/>
          <w:szCs w:val="21"/>
          <w:highlight w:val="none"/>
        </w:rPr>
      </w:pPr>
    </w:p>
    <w:p w14:paraId="3A486490">
      <w:pPr>
        <w:pStyle w:val="15"/>
        <w:shd w:val="clear"/>
        <w:rPr>
          <w:color w:val="auto"/>
          <w:highlight w:val="none"/>
        </w:rPr>
      </w:pPr>
    </w:p>
    <w:p w14:paraId="45F244B3">
      <w:pPr>
        <w:shd w:val="clear"/>
        <w:rPr>
          <w:color w:val="auto"/>
          <w:highlight w:val="none"/>
        </w:rPr>
      </w:pPr>
    </w:p>
    <w:p w14:paraId="366EC311">
      <w:pPr>
        <w:pStyle w:val="15"/>
        <w:shd w:val="clear"/>
        <w:rPr>
          <w:color w:val="auto"/>
          <w:highlight w:val="none"/>
        </w:rPr>
      </w:pPr>
    </w:p>
    <w:p w14:paraId="2B6D68D6">
      <w:pPr>
        <w:shd w:val="clear"/>
        <w:rPr>
          <w:color w:val="auto"/>
          <w:highlight w:val="none"/>
        </w:rPr>
      </w:pPr>
    </w:p>
    <w:p w14:paraId="17958722">
      <w:pPr>
        <w:pStyle w:val="15"/>
        <w:shd w:val="clear"/>
        <w:rPr>
          <w:color w:val="auto"/>
          <w:highlight w:val="none"/>
        </w:rPr>
      </w:pPr>
    </w:p>
    <w:p w14:paraId="131EE714">
      <w:pPr>
        <w:shd w:val="clear"/>
        <w:rPr>
          <w:color w:val="auto"/>
          <w:highlight w:val="none"/>
        </w:rPr>
      </w:pPr>
    </w:p>
    <w:p w14:paraId="736AEC37">
      <w:pPr>
        <w:pStyle w:val="15"/>
        <w:shd w:val="clear"/>
        <w:rPr>
          <w:color w:val="auto"/>
          <w:highlight w:val="none"/>
        </w:rPr>
      </w:pPr>
    </w:p>
    <w:p w14:paraId="0451C14E">
      <w:pPr>
        <w:shd w:val="clear"/>
        <w:rPr>
          <w:color w:val="auto"/>
          <w:highlight w:val="none"/>
        </w:rPr>
      </w:pPr>
    </w:p>
    <w:p w14:paraId="2AD97D51">
      <w:pPr>
        <w:shd w:val="clear"/>
        <w:rPr>
          <w:color w:val="auto"/>
          <w:highlight w:val="none"/>
        </w:rPr>
      </w:pPr>
    </w:p>
    <w:p w14:paraId="5F2D56D1">
      <w:pPr>
        <w:pStyle w:val="199"/>
        <w:shd w:val="clear"/>
        <w:wordWrap w:val="0"/>
        <w:rPr>
          <w:rFonts w:cs="宋体" w:asciiTheme="minorEastAsia" w:hAnsiTheme="minorEastAsia" w:eastAsiaTheme="minorEastAsia"/>
          <w:color w:val="auto"/>
          <w:highlight w:val="none"/>
        </w:rPr>
      </w:pPr>
    </w:p>
    <w:p w14:paraId="4B3FA8E9">
      <w:pPr>
        <w:pStyle w:val="199"/>
        <w:shd w:val="clear"/>
        <w:wordWrap w:val="0"/>
        <w:rPr>
          <w:rFonts w:cs="宋体" w:asciiTheme="minorEastAsia" w:hAnsiTheme="minorEastAsia" w:eastAsiaTheme="minorEastAsia"/>
          <w:color w:val="auto"/>
          <w:highlight w:val="none"/>
        </w:rPr>
      </w:pPr>
    </w:p>
    <w:p w14:paraId="62853DAC">
      <w:pPr>
        <w:pStyle w:val="199"/>
        <w:shd w:val="clear"/>
        <w:wordWrap w:val="0"/>
        <w:rPr>
          <w:rFonts w:cs="宋体" w:asciiTheme="minorEastAsia" w:hAnsiTheme="minorEastAsia" w:eastAsiaTheme="minorEastAsia"/>
          <w:color w:val="auto"/>
          <w:highlight w:val="none"/>
        </w:rPr>
      </w:pPr>
    </w:p>
    <w:p w14:paraId="1ECCFC94">
      <w:pPr>
        <w:pStyle w:val="199"/>
        <w:shd w:val="clear"/>
        <w:wordWrap w:val="0"/>
        <w:rPr>
          <w:rFonts w:cs="宋体" w:asciiTheme="minorEastAsia" w:hAnsiTheme="minorEastAsia" w:eastAsiaTheme="minorEastAsia"/>
          <w:color w:val="auto"/>
          <w:highlight w:val="none"/>
        </w:rPr>
      </w:pPr>
    </w:p>
    <w:p w14:paraId="09D82E96">
      <w:pPr>
        <w:pStyle w:val="199"/>
        <w:shd w:val="clear"/>
        <w:wordWrap w:val="0"/>
        <w:rPr>
          <w:rFonts w:cs="宋体" w:asciiTheme="minorEastAsia" w:hAnsiTheme="minorEastAsia" w:eastAsiaTheme="minorEastAsia"/>
          <w:color w:val="auto"/>
          <w:highlight w:val="none"/>
        </w:rPr>
      </w:pPr>
    </w:p>
    <w:p w14:paraId="5003EF83">
      <w:pPr>
        <w:shd w:val="clear"/>
        <w:wordWrap w:val="0"/>
        <w:ind w:firstLine="2" w:firstLineChars="1"/>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投标人（加盖电子公章）：</w:t>
      </w:r>
    </w:p>
    <w:p w14:paraId="26415496">
      <w:pPr>
        <w:shd w:val="clear"/>
        <w:wordWrap w:val="0"/>
        <w:ind w:firstLine="2" w:firstLineChars="1"/>
        <w:rPr>
          <w:rFonts w:cs="宋体" w:asciiTheme="minorEastAsia" w:hAnsiTheme="minorEastAsia" w:eastAsiaTheme="minorEastAsia"/>
          <w:color w:val="auto"/>
          <w:highlight w:val="none"/>
        </w:rPr>
      </w:pPr>
    </w:p>
    <w:p w14:paraId="4780C05E">
      <w:pPr>
        <w:shd w:val="clear"/>
        <w:wordWrap w:val="0"/>
        <w:ind w:firstLine="2" w:firstLineChars="1"/>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法定代表人（电子签名或签章）：</w:t>
      </w:r>
    </w:p>
    <w:p w14:paraId="634A4DBA">
      <w:pPr>
        <w:shd w:val="clear"/>
        <w:wordWrap w:val="0"/>
        <w:ind w:firstLine="2" w:firstLineChars="1"/>
        <w:rPr>
          <w:rFonts w:cs="宋体" w:asciiTheme="minorEastAsia" w:hAnsiTheme="minorEastAsia" w:eastAsiaTheme="minorEastAsia"/>
          <w:color w:val="auto"/>
          <w:highlight w:val="none"/>
        </w:rPr>
      </w:pPr>
    </w:p>
    <w:p w14:paraId="0046087E">
      <w:pPr>
        <w:shd w:val="clear"/>
        <w:wordWrap w:val="0"/>
        <w:ind w:firstLine="2" w:firstLineChars="1"/>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日期：</w:t>
      </w:r>
    </w:p>
    <w:p w14:paraId="40F97014">
      <w:pPr>
        <w:shd w:val="clear"/>
        <w:wordWrap w:val="0"/>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sz w:val="28"/>
          <w:szCs w:val="28"/>
          <w:highlight w:val="none"/>
        </w:rPr>
        <w:br w:type="page"/>
      </w:r>
      <w:bookmarkEnd w:id="866"/>
      <w:bookmarkEnd w:id="869"/>
      <w:bookmarkStart w:id="870" w:name="_Toc20721"/>
      <w:bookmarkStart w:id="871" w:name="_Toc26879"/>
      <w:bookmarkStart w:id="872" w:name="_Toc489145757"/>
      <w:bookmarkStart w:id="873" w:name="_Toc32717"/>
      <w:bookmarkStart w:id="874" w:name="_Toc213141100"/>
      <w:bookmarkStart w:id="875" w:name="_Toc481694851"/>
      <w:bookmarkStart w:id="876" w:name="_Toc24161"/>
      <w:bookmarkStart w:id="877" w:name="_Toc488633622"/>
      <w:bookmarkStart w:id="878" w:name="_Toc489197861"/>
    </w:p>
    <w:p w14:paraId="5B01FE35">
      <w:pPr>
        <w:pStyle w:val="22"/>
        <w:shd w:val="clear"/>
        <w:wordWrap w:val="0"/>
        <w:spacing w:line="360" w:lineRule="auto"/>
        <w:jc w:val="left"/>
        <w:rPr>
          <w:rFonts w:cs="宋体" w:asciiTheme="minorEastAsia" w:hAnsiTheme="minorEastAsia" w:eastAsiaTheme="minorEastAsia"/>
          <w:b/>
          <w:color w:val="auto"/>
          <w:highlight w:val="none"/>
        </w:rPr>
      </w:pPr>
      <w:r>
        <w:rPr>
          <w:rFonts w:hint="eastAsia" w:cs="宋体" w:asciiTheme="minorEastAsia" w:hAnsiTheme="minorEastAsia" w:eastAsiaTheme="minorEastAsia"/>
          <w:b/>
          <w:color w:val="auto"/>
          <w:kern w:val="0"/>
          <w:sz w:val="28"/>
          <w:szCs w:val="28"/>
          <w:highlight w:val="none"/>
        </w:rPr>
        <w:t>格式</w:t>
      </w:r>
      <w:r>
        <w:rPr>
          <w:rFonts w:hint="eastAsia" w:cs="宋体" w:asciiTheme="minorEastAsia" w:hAnsiTheme="minorEastAsia" w:eastAsiaTheme="minorEastAsia"/>
          <w:b/>
          <w:color w:val="auto"/>
          <w:kern w:val="0"/>
          <w:sz w:val="28"/>
          <w:szCs w:val="28"/>
          <w:highlight w:val="none"/>
          <w:lang w:val="en-US" w:eastAsia="zh-CN"/>
        </w:rPr>
        <w:t>6</w:t>
      </w:r>
      <w:r>
        <w:rPr>
          <w:rFonts w:hint="eastAsia" w:cs="宋体" w:asciiTheme="minorEastAsia" w:hAnsiTheme="minorEastAsia" w:eastAsiaTheme="minorEastAsia"/>
          <w:b/>
          <w:color w:val="auto"/>
          <w:kern w:val="0"/>
          <w:sz w:val="28"/>
          <w:szCs w:val="28"/>
          <w:highlight w:val="none"/>
        </w:rPr>
        <w:t>：</w:t>
      </w:r>
    </w:p>
    <w:p w14:paraId="2FBE39C5">
      <w:pPr>
        <w:pStyle w:val="12"/>
        <w:shd w:val="clear"/>
        <w:spacing w:line="360" w:lineRule="auto"/>
        <w:ind w:firstLine="48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应急预案</w:t>
      </w:r>
    </w:p>
    <w:p w14:paraId="07E4ECB6">
      <w:pPr>
        <w:pStyle w:val="12"/>
        <w:shd w:val="clear"/>
        <w:spacing w:line="360" w:lineRule="auto"/>
        <w:ind w:firstLine="480"/>
        <w:jc w:val="center"/>
        <w:rPr>
          <w:rFonts w:ascii="宋体" w:hAnsi="宋体" w:cs="宋体"/>
          <w:color w:val="auto"/>
          <w:sz w:val="28"/>
          <w:szCs w:val="28"/>
          <w:highlight w:val="none"/>
        </w:rPr>
      </w:pPr>
      <w:r>
        <w:rPr>
          <w:rFonts w:hint="eastAsia" w:ascii="宋体" w:hAnsi="宋体" w:cs="宋体"/>
          <w:color w:val="auto"/>
          <w:sz w:val="24"/>
          <w:szCs w:val="24"/>
          <w:highlight w:val="none"/>
        </w:rPr>
        <w:t>（投标人根据招标文件要求自行编写）</w:t>
      </w:r>
    </w:p>
    <w:p w14:paraId="1009533D">
      <w:pPr>
        <w:widowControl/>
        <w:shd w:val="clear"/>
        <w:wordWrap w:val="0"/>
        <w:spacing w:line="420" w:lineRule="exact"/>
        <w:jc w:val="left"/>
        <w:rPr>
          <w:rFonts w:cs="宋体" w:asciiTheme="minorEastAsia" w:hAnsiTheme="minorEastAsia" w:eastAsiaTheme="minorEastAsia"/>
          <w:b/>
          <w:color w:val="auto"/>
          <w:sz w:val="28"/>
          <w:szCs w:val="28"/>
          <w:highlight w:val="none"/>
        </w:rPr>
      </w:pPr>
    </w:p>
    <w:p w14:paraId="54D4003B">
      <w:pPr>
        <w:pStyle w:val="15"/>
        <w:shd w:val="clear"/>
        <w:rPr>
          <w:color w:val="auto"/>
          <w:highlight w:val="none"/>
        </w:rPr>
      </w:pPr>
    </w:p>
    <w:p w14:paraId="58FC1059">
      <w:pPr>
        <w:shd w:val="clear"/>
        <w:rPr>
          <w:color w:val="auto"/>
          <w:highlight w:val="none"/>
        </w:rPr>
      </w:pPr>
    </w:p>
    <w:p w14:paraId="37A6F1F0">
      <w:pPr>
        <w:pStyle w:val="15"/>
        <w:shd w:val="clear"/>
        <w:rPr>
          <w:color w:val="auto"/>
          <w:highlight w:val="none"/>
        </w:rPr>
      </w:pPr>
    </w:p>
    <w:p w14:paraId="5C5783C0">
      <w:pPr>
        <w:shd w:val="clear"/>
        <w:rPr>
          <w:color w:val="auto"/>
          <w:highlight w:val="none"/>
        </w:rPr>
      </w:pPr>
    </w:p>
    <w:p w14:paraId="18B02E03">
      <w:pPr>
        <w:pStyle w:val="15"/>
        <w:shd w:val="clear"/>
        <w:rPr>
          <w:color w:val="auto"/>
          <w:highlight w:val="none"/>
        </w:rPr>
      </w:pPr>
    </w:p>
    <w:p w14:paraId="71094B17">
      <w:pPr>
        <w:shd w:val="clear"/>
        <w:rPr>
          <w:color w:val="auto"/>
          <w:highlight w:val="none"/>
        </w:rPr>
      </w:pPr>
    </w:p>
    <w:p w14:paraId="7CC44829">
      <w:pPr>
        <w:pStyle w:val="15"/>
        <w:shd w:val="clear"/>
        <w:rPr>
          <w:color w:val="auto"/>
          <w:highlight w:val="none"/>
        </w:rPr>
      </w:pPr>
    </w:p>
    <w:p w14:paraId="17DAE390">
      <w:pPr>
        <w:shd w:val="clear"/>
        <w:rPr>
          <w:color w:val="auto"/>
          <w:highlight w:val="none"/>
        </w:rPr>
      </w:pPr>
    </w:p>
    <w:p w14:paraId="33818700">
      <w:pPr>
        <w:pStyle w:val="15"/>
        <w:shd w:val="clear"/>
        <w:rPr>
          <w:color w:val="auto"/>
          <w:highlight w:val="none"/>
        </w:rPr>
      </w:pPr>
    </w:p>
    <w:p w14:paraId="6C419DE1">
      <w:pPr>
        <w:shd w:val="clear"/>
        <w:rPr>
          <w:color w:val="auto"/>
          <w:highlight w:val="none"/>
        </w:rPr>
      </w:pPr>
    </w:p>
    <w:p w14:paraId="7EED310D">
      <w:pPr>
        <w:pStyle w:val="15"/>
        <w:shd w:val="clear"/>
        <w:rPr>
          <w:color w:val="auto"/>
          <w:highlight w:val="none"/>
        </w:rPr>
      </w:pPr>
    </w:p>
    <w:p w14:paraId="02F2BE4C">
      <w:pPr>
        <w:shd w:val="clear"/>
        <w:rPr>
          <w:color w:val="auto"/>
          <w:highlight w:val="none"/>
        </w:rPr>
      </w:pPr>
    </w:p>
    <w:p w14:paraId="1783CD55">
      <w:pPr>
        <w:pStyle w:val="15"/>
        <w:shd w:val="clear"/>
        <w:rPr>
          <w:color w:val="auto"/>
          <w:highlight w:val="none"/>
        </w:rPr>
      </w:pPr>
    </w:p>
    <w:p w14:paraId="6DB30113">
      <w:pPr>
        <w:shd w:val="clear"/>
        <w:rPr>
          <w:color w:val="auto"/>
          <w:highlight w:val="none"/>
        </w:rPr>
      </w:pPr>
    </w:p>
    <w:p w14:paraId="68671F01">
      <w:pPr>
        <w:pStyle w:val="55"/>
        <w:shd w:val="clear"/>
        <w:rPr>
          <w:color w:val="auto"/>
          <w:highlight w:val="none"/>
        </w:rPr>
      </w:pPr>
    </w:p>
    <w:p w14:paraId="6AF8C529">
      <w:pPr>
        <w:shd w:val="clear"/>
        <w:wordWrap w:val="0"/>
        <w:ind w:firstLine="2" w:firstLineChars="1"/>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投标人（加盖电子公章）：</w:t>
      </w:r>
    </w:p>
    <w:p w14:paraId="31909CC1">
      <w:pPr>
        <w:shd w:val="clear"/>
        <w:wordWrap w:val="0"/>
        <w:ind w:firstLine="2" w:firstLineChars="1"/>
        <w:rPr>
          <w:rFonts w:cs="宋体" w:asciiTheme="minorEastAsia" w:hAnsiTheme="minorEastAsia" w:eastAsiaTheme="minorEastAsia"/>
          <w:color w:val="auto"/>
          <w:highlight w:val="none"/>
        </w:rPr>
      </w:pPr>
    </w:p>
    <w:p w14:paraId="53546417">
      <w:pPr>
        <w:shd w:val="clear"/>
        <w:wordWrap w:val="0"/>
        <w:ind w:firstLine="2" w:firstLineChars="1"/>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法定代表人（电子签名或签章）：</w:t>
      </w:r>
    </w:p>
    <w:p w14:paraId="4A7BF434">
      <w:pPr>
        <w:shd w:val="clear"/>
        <w:wordWrap w:val="0"/>
        <w:ind w:firstLine="2" w:firstLineChars="1"/>
        <w:rPr>
          <w:rFonts w:cs="宋体" w:asciiTheme="minorEastAsia" w:hAnsiTheme="minorEastAsia" w:eastAsiaTheme="minorEastAsia"/>
          <w:color w:val="auto"/>
          <w:highlight w:val="none"/>
        </w:rPr>
      </w:pPr>
    </w:p>
    <w:p w14:paraId="7836F230">
      <w:pPr>
        <w:shd w:val="clear"/>
        <w:wordWrap w:val="0"/>
        <w:ind w:firstLine="2" w:firstLineChars="1"/>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日期：</w:t>
      </w:r>
    </w:p>
    <w:p w14:paraId="1CB57686">
      <w:pPr>
        <w:shd w:val="clear"/>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br w:type="page"/>
      </w:r>
    </w:p>
    <w:p w14:paraId="468596C0">
      <w:pPr>
        <w:widowControl/>
        <w:shd w:val="clear"/>
        <w:wordWrap w:val="0"/>
        <w:spacing w:line="420" w:lineRule="exact"/>
        <w:jc w:val="left"/>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格式</w:t>
      </w:r>
      <w:r>
        <w:rPr>
          <w:rFonts w:hint="eastAsia" w:cs="宋体" w:asciiTheme="minorEastAsia" w:hAnsiTheme="minorEastAsia" w:eastAsiaTheme="minorEastAsia"/>
          <w:b/>
          <w:color w:val="auto"/>
          <w:sz w:val="28"/>
          <w:szCs w:val="28"/>
          <w:highlight w:val="none"/>
          <w:lang w:val="en-US" w:eastAsia="zh-CN"/>
        </w:rPr>
        <w:t>7</w:t>
      </w:r>
      <w:r>
        <w:rPr>
          <w:rFonts w:hint="eastAsia" w:cs="宋体" w:asciiTheme="minorEastAsia" w:hAnsiTheme="minorEastAsia" w:eastAsiaTheme="minorEastAsia"/>
          <w:b/>
          <w:color w:val="auto"/>
          <w:sz w:val="28"/>
          <w:szCs w:val="28"/>
          <w:highlight w:val="none"/>
        </w:rPr>
        <w:t>：</w:t>
      </w:r>
    </w:p>
    <w:p w14:paraId="2DDD014B">
      <w:pPr>
        <w:shd w:val="clear"/>
        <w:wordWrap w:val="0"/>
        <w:rPr>
          <w:rFonts w:asciiTheme="minorEastAsia" w:hAnsiTheme="minorEastAsia" w:eastAsiaTheme="minorEastAsia"/>
          <w:color w:val="auto"/>
          <w:highlight w:val="none"/>
        </w:rPr>
      </w:pPr>
      <w:bookmarkStart w:id="879" w:name="_Toc28599"/>
      <w:bookmarkStart w:id="880" w:name="_Toc6496691"/>
      <w:bookmarkStart w:id="881" w:name="_Toc14798"/>
    </w:p>
    <w:bookmarkEnd w:id="879"/>
    <w:bookmarkEnd w:id="880"/>
    <w:bookmarkEnd w:id="881"/>
    <w:p w14:paraId="52E7C7D0">
      <w:pPr>
        <w:pStyle w:val="12"/>
        <w:shd w:val="clear"/>
        <w:spacing w:line="360" w:lineRule="auto"/>
        <w:ind w:firstLine="48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服务质量及安全保障措施</w:t>
      </w:r>
    </w:p>
    <w:p w14:paraId="1E74FD35">
      <w:pPr>
        <w:pStyle w:val="12"/>
        <w:shd w:val="clear"/>
        <w:spacing w:line="360" w:lineRule="auto"/>
        <w:ind w:firstLine="480"/>
        <w:jc w:val="center"/>
        <w:rPr>
          <w:rFonts w:ascii="宋体" w:hAnsi="宋体" w:cs="宋体"/>
          <w:color w:val="auto"/>
          <w:sz w:val="28"/>
          <w:szCs w:val="28"/>
          <w:highlight w:val="none"/>
        </w:rPr>
      </w:pPr>
      <w:r>
        <w:rPr>
          <w:rFonts w:hint="eastAsia" w:ascii="宋体" w:hAnsi="宋体" w:cs="宋体"/>
          <w:color w:val="auto"/>
          <w:sz w:val="24"/>
          <w:szCs w:val="24"/>
          <w:highlight w:val="none"/>
        </w:rPr>
        <w:t>（投标人根据招标文件要求自行编写）</w:t>
      </w:r>
    </w:p>
    <w:p w14:paraId="7E2EA035">
      <w:pPr>
        <w:shd w:val="clear"/>
        <w:wordWrap w:val="0"/>
        <w:spacing w:line="360" w:lineRule="auto"/>
        <w:rPr>
          <w:rFonts w:cs="宋体" w:asciiTheme="minorEastAsia" w:hAnsiTheme="minorEastAsia" w:eastAsiaTheme="minorEastAsia"/>
          <w:bCs/>
          <w:color w:val="auto"/>
          <w:highlight w:val="none"/>
        </w:rPr>
      </w:pPr>
    </w:p>
    <w:p w14:paraId="590C218F">
      <w:pPr>
        <w:shd w:val="clear"/>
        <w:wordWrap w:val="0"/>
        <w:spacing w:line="360" w:lineRule="auto"/>
        <w:rPr>
          <w:rFonts w:cs="宋体" w:asciiTheme="minorEastAsia" w:hAnsiTheme="minorEastAsia" w:eastAsiaTheme="minorEastAsia"/>
          <w:bCs/>
          <w:color w:val="auto"/>
          <w:highlight w:val="none"/>
        </w:rPr>
      </w:pPr>
    </w:p>
    <w:p w14:paraId="3516F53B">
      <w:pPr>
        <w:shd w:val="clear"/>
        <w:wordWrap w:val="0"/>
        <w:spacing w:line="360" w:lineRule="auto"/>
        <w:rPr>
          <w:rFonts w:cs="宋体" w:asciiTheme="minorEastAsia" w:hAnsiTheme="minorEastAsia" w:eastAsiaTheme="minorEastAsia"/>
          <w:bCs/>
          <w:color w:val="auto"/>
          <w:highlight w:val="none"/>
        </w:rPr>
      </w:pPr>
    </w:p>
    <w:p w14:paraId="0E2C51C1">
      <w:pPr>
        <w:shd w:val="clear"/>
        <w:wordWrap w:val="0"/>
        <w:spacing w:line="360" w:lineRule="auto"/>
        <w:rPr>
          <w:rFonts w:cs="宋体" w:asciiTheme="minorEastAsia" w:hAnsiTheme="minorEastAsia" w:eastAsiaTheme="minorEastAsia"/>
          <w:bCs/>
          <w:color w:val="auto"/>
          <w:highlight w:val="none"/>
        </w:rPr>
      </w:pPr>
    </w:p>
    <w:p w14:paraId="08A12E8C">
      <w:pPr>
        <w:pStyle w:val="12"/>
        <w:shd w:val="clear"/>
        <w:rPr>
          <w:rFonts w:cs="宋体" w:asciiTheme="minorEastAsia" w:hAnsiTheme="minorEastAsia" w:eastAsiaTheme="minorEastAsia"/>
          <w:bCs/>
          <w:color w:val="auto"/>
          <w:highlight w:val="none"/>
        </w:rPr>
      </w:pPr>
    </w:p>
    <w:p w14:paraId="7C97F84C">
      <w:pPr>
        <w:shd w:val="clear"/>
        <w:rPr>
          <w:rFonts w:cs="宋体" w:asciiTheme="minorEastAsia" w:hAnsiTheme="minorEastAsia" w:eastAsiaTheme="minorEastAsia"/>
          <w:bCs/>
          <w:color w:val="auto"/>
          <w:highlight w:val="none"/>
        </w:rPr>
      </w:pPr>
    </w:p>
    <w:p w14:paraId="1C564A6A">
      <w:pPr>
        <w:pStyle w:val="12"/>
        <w:shd w:val="clear"/>
        <w:rPr>
          <w:rFonts w:cs="宋体" w:asciiTheme="minorEastAsia" w:hAnsiTheme="minorEastAsia" w:eastAsiaTheme="minorEastAsia"/>
          <w:bCs/>
          <w:color w:val="auto"/>
          <w:highlight w:val="none"/>
        </w:rPr>
      </w:pPr>
    </w:p>
    <w:p w14:paraId="7E31E1A6">
      <w:pPr>
        <w:shd w:val="clear"/>
        <w:rPr>
          <w:rFonts w:cs="宋体" w:asciiTheme="minorEastAsia" w:hAnsiTheme="minorEastAsia" w:eastAsiaTheme="minorEastAsia"/>
          <w:bCs/>
          <w:color w:val="auto"/>
          <w:highlight w:val="none"/>
        </w:rPr>
      </w:pPr>
    </w:p>
    <w:p w14:paraId="3B59F15D">
      <w:pPr>
        <w:pStyle w:val="12"/>
        <w:shd w:val="clear"/>
        <w:rPr>
          <w:rFonts w:cs="宋体" w:asciiTheme="minorEastAsia" w:hAnsiTheme="minorEastAsia" w:eastAsiaTheme="minorEastAsia"/>
          <w:bCs/>
          <w:color w:val="auto"/>
          <w:highlight w:val="none"/>
        </w:rPr>
      </w:pPr>
    </w:p>
    <w:p w14:paraId="3AD45EA5">
      <w:pPr>
        <w:shd w:val="clear"/>
        <w:rPr>
          <w:rFonts w:cs="宋体" w:asciiTheme="minorEastAsia" w:hAnsiTheme="minorEastAsia" w:eastAsiaTheme="minorEastAsia"/>
          <w:bCs/>
          <w:color w:val="auto"/>
          <w:highlight w:val="none"/>
        </w:rPr>
      </w:pPr>
    </w:p>
    <w:p w14:paraId="5D9BB4F6">
      <w:pPr>
        <w:pStyle w:val="12"/>
        <w:shd w:val="clear"/>
        <w:rPr>
          <w:color w:val="auto"/>
          <w:highlight w:val="none"/>
        </w:rPr>
      </w:pPr>
    </w:p>
    <w:p w14:paraId="053562A0">
      <w:pPr>
        <w:shd w:val="clear"/>
        <w:wordWrap w:val="0"/>
        <w:spacing w:line="360" w:lineRule="auto"/>
        <w:rPr>
          <w:rFonts w:cs="宋体" w:asciiTheme="minorEastAsia" w:hAnsiTheme="minorEastAsia" w:eastAsiaTheme="minorEastAsia"/>
          <w:bCs/>
          <w:color w:val="auto"/>
          <w:highlight w:val="none"/>
        </w:rPr>
      </w:pPr>
    </w:p>
    <w:p w14:paraId="7CF7810A">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投标人（加盖电子公章）：</w:t>
      </w:r>
    </w:p>
    <w:p w14:paraId="4EC13705">
      <w:pPr>
        <w:shd w:val="clear"/>
        <w:wordWrap w:val="0"/>
        <w:spacing w:line="360" w:lineRule="auto"/>
        <w:rPr>
          <w:rFonts w:cs="宋体" w:asciiTheme="minorEastAsia" w:hAnsiTheme="minorEastAsia" w:eastAsiaTheme="minorEastAsia"/>
          <w:bCs/>
          <w:color w:val="auto"/>
          <w:highlight w:val="none"/>
        </w:rPr>
      </w:pPr>
    </w:p>
    <w:p w14:paraId="4B8195A3">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法定代表人（电子签名或签章）：</w:t>
      </w:r>
    </w:p>
    <w:p w14:paraId="4EEB1796">
      <w:pPr>
        <w:shd w:val="clear"/>
        <w:wordWrap w:val="0"/>
        <w:spacing w:line="360" w:lineRule="auto"/>
        <w:rPr>
          <w:rFonts w:cs="宋体" w:asciiTheme="minorEastAsia" w:hAnsiTheme="minorEastAsia" w:eastAsiaTheme="minorEastAsia"/>
          <w:bCs/>
          <w:color w:val="auto"/>
          <w:highlight w:val="none"/>
        </w:rPr>
      </w:pPr>
    </w:p>
    <w:p w14:paraId="4A82EFCF">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日期：</w:t>
      </w:r>
    </w:p>
    <w:p w14:paraId="3D4A0AF1">
      <w:pPr>
        <w:pStyle w:val="22"/>
        <w:shd w:val="clear"/>
        <w:wordWrap w:val="0"/>
        <w:spacing w:line="360" w:lineRule="auto"/>
        <w:jc w:val="left"/>
        <w:rPr>
          <w:rFonts w:hAnsi="宋体" w:cs="宋体"/>
          <w:color w:val="auto"/>
          <w:sz w:val="28"/>
          <w:szCs w:val="28"/>
          <w:highlight w:val="none"/>
        </w:rPr>
      </w:pPr>
      <w:r>
        <w:rPr>
          <w:rFonts w:hint="eastAsia" w:cs="宋体" w:asciiTheme="minorEastAsia" w:hAnsiTheme="minorEastAsia" w:eastAsiaTheme="minorEastAsia"/>
          <w:bCs/>
          <w:color w:val="auto"/>
          <w:szCs w:val="21"/>
          <w:highlight w:val="none"/>
        </w:rPr>
        <w:br w:type="page"/>
      </w:r>
      <w:bookmarkEnd w:id="870"/>
      <w:bookmarkEnd w:id="871"/>
      <w:bookmarkEnd w:id="872"/>
      <w:bookmarkEnd w:id="873"/>
      <w:bookmarkEnd w:id="874"/>
      <w:bookmarkEnd w:id="875"/>
      <w:bookmarkEnd w:id="876"/>
      <w:bookmarkEnd w:id="877"/>
      <w:bookmarkEnd w:id="878"/>
    </w:p>
    <w:bookmarkEnd w:id="851"/>
    <w:bookmarkEnd w:id="852"/>
    <w:bookmarkEnd w:id="853"/>
    <w:bookmarkEnd w:id="854"/>
    <w:p w14:paraId="013A8E63">
      <w:pPr>
        <w:widowControl/>
        <w:shd w:val="clear"/>
        <w:wordWrap w:val="0"/>
        <w:spacing w:line="420" w:lineRule="exact"/>
        <w:jc w:val="left"/>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格式</w:t>
      </w:r>
      <w:r>
        <w:rPr>
          <w:rFonts w:hint="eastAsia" w:cs="宋体" w:asciiTheme="minorEastAsia" w:hAnsiTheme="minorEastAsia" w:eastAsiaTheme="minorEastAsia"/>
          <w:b/>
          <w:color w:val="auto"/>
          <w:sz w:val="28"/>
          <w:szCs w:val="28"/>
          <w:highlight w:val="none"/>
          <w:lang w:val="en-US" w:eastAsia="zh-CN"/>
        </w:rPr>
        <w:t>8</w:t>
      </w:r>
      <w:r>
        <w:rPr>
          <w:rFonts w:hint="eastAsia" w:cs="宋体" w:asciiTheme="minorEastAsia" w:hAnsiTheme="minorEastAsia" w:eastAsiaTheme="minorEastAsia"/>
          <w:b/>
          <w:color w:val="auto"/>
          <w:sz w:val="28"/>
          <w:szCs w:val="28"/>
          <w:highlight w:val="none"/>
        </w:rPr>
        <w:t>：</w:t>
      </w:r>
    </w:p>
    <w:p w14:paraId="51FCFE16">
      <w:pPr>
        <w:shd w:val="clear"/>
        <w:wordWrap w:val="0"/>
        <w:rPr>
          <w:rFonts w:asciiTheme="minorEastAsia" w:hAnsiTheme="minorEastAsia" w:eastAsiaTheme="minorEastAsia"/>
          <w:color w:val="auto"/>
          <w:highlight w:val="none"/>
        </w:rPr>
      </w:pPr>
    </w:p>
    <w:p w14:paraId="339D9CF4">
      <w:pPr>
        <w:pStyle w:val="12"/>
        <w:shd w:val="clear"/>
        <w:spacing w:line="360" w:lineRule="auto"/>
        <w:ind w:firstLine="480"/>
        <w:jc w:val="center"/>
        <w:rPr>
          <w:b/>
          <w:bCs/>
          <w:color w:val="auto"/>
          <w:sz w:val="24"/>
          <w:szCs w:val="24"/>
          <w:highlight w:val="none"/>
        </w:rPr>
      </w:pPr>
      <w:r>
        <w:rPr>
          <w:b/>
          <w:bCs/>
          <w:color w:val="auto"/>
          <w:sz w:val="24"/>
          <w:szCs w:val="24"/>
          <w:highlight w:val="none"/>
        </w:rPr>
        <w:t>队伍建设</w:t>
      </w:r>
    </w:p>
    <w:p w14:paraId="5503EDB3">
      <w:pPr>
        <w:pStyle w:val="12"/>
        <w:shd w:val="clear"/>
        <w:spacing w:line="360" w:lineRule="auto"/>
        <w:ind w:firstLine="480"/>
        <w:jc w:val="center"/>
        <w:rPr>
          <w:rFonts w:ascii="宋体" w:hAnsi="宋体" w:cs="宋体"/>
          <w:color w:val="auto"/>
          <w:sz w:val="28"/>
          <w:szCs w:val="28"/>
          <w:highlight w:val="none"/>
        </w:rPr>
      </w:pPr>
      <w:r>
        <w:rPr>
          <w:rFonts w:hint="eastAsia" w:ascii="宋体" w:hAnsi="宋体" w:cs="宋体"/>
          <w:color w:val="auto"/>
          <w:sz w:val="24"/>
          <w:szCs w:val="24"/>
          <w:highlight w:val="none"/>
        </w:rPr>
        <w:t>（投标人根据招标文件要求自行编写）</w:t>
      </w:r>
    </w:p>
    <w:p w14:paraId="003D8178">
      <w:pPr>
        <w:shd w:val="clear"/>
        <w:wordWrap w:val="0"/>
        <w:spacing w:line="360" w:lineRule="auto"/>
        <w:rPr>
          <w:rFonts w:cs="宋体" w:asciiTheme="minorEastAsia" w:hAnsiTheme="minorEastAsia" w:eastAsiaTheme="minorEastAsia"/>
          <w:bCs/>
          <w:color w:val="auto"/>
          <w:highlight w:val="none"/>
        </w:rPr>
      </w:pPr>
    </w:p>
    <w:p w14:paraId="29D7F199">
      <w:pPr>
        <w:shd w:val="clear"/>
        <w:wordWrap w:val="0"/>
        <w:spacing w:line="360" w:lineRule="auto"/>
        <w:rPr>
          <w:rFonts w:cs="宋体" w:asciiTheme="minorEastAsia" w:hAnsiTheme="minorEastAsia" w:eastAsiaTheme="minorEastAsia"/>
          <w:bCs/>
          <w:color w:val="auto"/>
          <w:highlight w:val="none"/>
        </w:rPr>
      </w:pPr>
    </w:p>
    <w:p w14:paraId="53FFFAD5">
      <w:pPr>
        <w:shd w:val="clear"/>
        <w:wordWrap w:val="0"/>
        <w:spacing w:line="360" w:lineRule="auto"/>
        <w:rPr>
          <w:rFonts w:cs="宋体" w:asciiTheme="minorEastAsia" w:hAnsiTheme="minorEastAsia" w:eastAsiaTheme="minorEastAsia"/>
          <w:bCs/>
          <w:color w:val="auto"/>
          <w:highlight w:val="none"/>
        </w:rPr>
      </w:pPr>
    </w:p>
    <w:p w14:paraId="19DE646A">
      <w:pPr>
        <w:shd w:val="clear"/>
        <w:wordWrap w:val="0"/>
        <w:spacing w:line="360" w:lineRule="auto"/>
        <w:rPr>
          <w:rFonts w:cs="宋体" w:asciiTheme="minorEastAsia" w:hAnsiTheme="minorEastAsia" w:eastAsiaTheme="minorEastAsia"/>
          <w:bCs/>
          <w:color w:val="auto"/>
          <w:highlight w:val="none"/>
        </w:rPr>
      </w:pPr>
    </w:p>
    <w:p w14:paraId="0169D7B7">
      <w:pPr>
        <w:pStyle w:val="12"/>
        <w:shd w:val="clear"/>
        <w:rPr>
          <w:rFonts w:cs="宋体" w:asciiTheme="minorEastAsia" w:hAnsiTheme="minorEastAsia" w:eastAsiaTheme="minorEastAsia"/>
          <w:bCs/>
          <w:color w:val="auto"/>
          <w:highlight w:val="none"/>
        </w:rPr>
      </w:pPr>
    </w:p>
    <w:p w14:paraId="7C4DD3AE">
      <w:pPr>
        <w:shd w:val="clear"/>
        <w:rPr>
          <w:rFonts w:cs="宋体" w:asciiTheme="minorEastAsia" w:hAnsiTheme="minorEastAsia" w:eastAsiaTheme="minorEastAsia"/>
          <w:bCs/>
          <w:color w:val="auto"/>
          <w:highlight w:val="none"/>
        </w:rPr>
      </w:pPr>
    </w:p>
    <w:p w14:paraId="1226DC3F">
      <w:pPr>
        <w:pStyle w:val="12"/>
        <w:shd w:val="clear"/>
        <w:rPr>
          <w:rFonts w:cs="宋体" w:asciiTheme="minorEastAsia" w:hAnsiTheme="minorEastAsia" w:eastAsiaTheme="minorEastAsia"/>
          <w:bCs/>
          <w:color w:val="auto"/>
          <w:highlight w:val="none"/>
        </w:rPr>
      </w:pPr>
    </w:p>
    <w:p w14:paraId="16DF53C8">
      <w:pPr>
        <w:shd w:val="clear"/>
        <w:rPr>
          <w:rFonts w:cs="宋体" w:asciiTheme="minorEastAsia" w:hAnsiTheme="minorEastAsia" w:eastAsiaTheme="minorEastAsia"/>
          <w:bCs/>
          <w:color w:val="auto"/>
          <w:highlight w:val="none"/>
        </w:rPr>
      </w:pPr>
    </w:p>
    <w:p w14:paraId="13E7D47E">
      <w:pPr>
        <w:pStyle w:val="12"/>
        <w:shd w:val="clear"/>
        <w:rPr>
          <w:rFonts w:cs="宋体" w:asciiTheme="minorEastAsia" w:hAnsiTheme="minorEastAsia" w:eastAsiaTheme="minorEastAsia"/>
          <w:bCs/>
          <w:color w:val="auto"/>
          <w:highlight w:val="none"/>
        </w:rPr>
      </w:pPr>
    </w:p>
    <w:p w14:paraId="7E673E54">
      <w:pPr>
        <w:shd w:val="clear"/>
        <w:rPr>
          <w:rFonts w:cs="宋体" w:asciiTheme="minorEastAsia" w:hAnsiTheme="minorEastAsia" w:eastAsiaTheme="minorEastAsia"/>
          <w:bCs/>
          <w:color w:val="auto"/>
          <w:highlight w:val="none"/>
        </w:rPr>
      </w:pPr>
    </w:p>
    <w:p w14:paraId="1D1E610C">
      <w:pPr>
        <w:pStyle w:val="12"/>
        <w:shd w:val="clear"/>
        <w:rPr>
          <w:color w:val="auto"/>
          <w:highlight w:val="none"/>
        </w:rPr>
      </w:pPr>
    </w:p>
    <w:p w14:paraId="07887E89">
      <w:pPr>
        <w:shd w:val="clear"/>
        <w:wordWrap w:val="0"/>
        <w:spacing w:line="360" w:lineRule="auto"/>
        <w:rPr>
          <w:rFonts w:cs="宋体" w:asciiTheme="minorEastAsia" w:hAnsiTheme="minorEastAsia" w:eastAsiaTheme="minorEastAsia"/>
          <w:bCs/>
          <w:color w:val="auto"/>
          <w:highlight w:val="none"/>
        </w:rPr>
      </w:pPr>
    </w:p>
    <w:p w14:paraId="27758DB1">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投标人（加盖电子公章）：</w:t>
      </w:r>
    </w:p>
    <w:p w14:paraId="47C510BD">
      <w:pPr>
        <w:shd w:val="clear"/>
        <w:wordWrap w:val="0"/>
        <w:spacing w:line="360" w:lineRule="auto"/>
        <w:rPr>
          <w:rFonts w:cs="宋体" w:asciiTheme="minorEastAsia" w:hAnsiTheme="minorEastAsia" w:eastAsiaTheme="minorEastAsia"/>
          <w:bCs/>
          <w:color w:val="auto"/>
          <w:highlight w:val="none"/>
        </w:rPr>
      </w:pPr>
    </w:p>
    <w:p w14:paraId="2F5B358D">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法定代表人（电子签名或签章）：</w:t>
      </w:r>
    </w:p>
    <w:p w14:paraId="59098C7B">
      <w:pPr>
        <w:shd w:val="clear"/>
        <w:wordWrap w:val="0"/>
        <w:spacing w:line="360" w:lineRule="auto"/>
        <w:rPr>
          <w:rFonts w:cs="宋体" w:asciiTheme="minorEastAsia" w:hAnsiTheme="minorEastAsia" w:eastAsiaTheme="minorEastAsia"/>
          <w:bCs/>
          <w:color w:val="auto"/>
          <w:highlight w:val="none"/>
        </w:rPr>
      </w:pPr>
    </w:p>
    <w:p w14:paraId="6D579091">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日期：</w:t>
      </w:r>
    </w:p>
    <w:p w14:paraId="702E3352">
      <w:pPr>
        <w:pStyle w:val="22"/>
        <w:shd w:val="clear"/>
        <w:wordWrap w:val="0"/>
        <w:spacing w:line="360" w:lineRule="auto"/>
        <w:jc w:val="left"/>
        <w:rPr>
          <w:rFonts w:hAnsi="宋体" w:cs="宋体"/>
          <w:color w:val="auto"/>
          <w:sz w:val="28"/>
          <w:szCs w:val="28"/>
          <w:highlight w:val="none"/>
        </w:rPr>
      </w:pPr>
      <w:r>
        <w:rPr>
          <w:rFonts w:hint="eastAsia" w:cs="宋体" w:asciiTheme="minorEastAsia" w:hAnsiTheme="minorEastAsia" w:eastAsiaTheme="minorEastAsia"/>
          <w:bCs/>
          <w:color w:val="auto"/>
          <w:szCs w:val="21"/>
          <w:highlight w:val="none"/>
        </w:rPr>
        <w:br w:type="page"/>
      </w:r>
    </w:p>
    <w:p w14:paraId="23ABA19A">
      <w:pPr>
        <w:widowControl/>
        <w:shd w:val="clear"/>
        <w:wordWrap w:val="0"/>
        <w:spacing w:line="420" w:lineRule="exact"/>
        <w:jc w:val="left"/>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格式</w:t>
      </w:r>
      <w:r>
        <w:rPr>
          <w:rFonts w:hint="eastAsia" w:cs="宋体" w:asciiTheme="minorEastAsia" w:hAnsiTheme="minorEastAsia" w:eastAsiaTheme="minorEastAsia"/>
          <w:b/>
          <w:color w:val="auto"/>
          <w:sz w:val="28"/>
          <w:szCs w:val="28"/>
          <w:highlight w:val="none"/>
          <w:lang w:val="en-US" w:eastAsia="zh-CN"/>
        </w:rPr>
        <w:t>9</w:t>
      </w:r>
      <w:r>
        <w:rPr>
          <w:rFonts w:hint="eastAsia" w:cs="宋体" w:asciiTheme="minorEastAsia" w:hAnsiTheme="minorEastAsia" w:eastAsiaTheme="minorEastAsia"/>
          <w:b/>
          <w:color w:val="auto"/>
          <w:sz w:val="28"/>
          <w:szCs w:val="28"/>
          <w:highlight w:val="none"/>
        </w:rPr>
        <w:t>：</w:t>
      </w:r>
    </w:p>
    <w:p w14:paraId="1DEFDD28">
      <w:pPr>
        <w:shd w:val="clear"/>
        <w:wordWrap w:val="0"/>
        <w:rPr>
          <w:rFonts w:asciiTheme="minorEastAsia" w:hAnsiTheme="minorEastAsia" w:eastAsiaTheme="minorEastAsia"/>
          <w:color w:val="auto"/>
          <w:highlight w:val="none"/>
        </w:rPr>
      </w:pPr>
    </w:p>
    <w:p w14:paraId="5D8EBE0B">
      <w:pPr>
        <w:pStyle w:val="12"/>
        <w:shd w:val="clear"/>
        <w:spacing w:line="360" w:lineRule="auto"/>
        <w:ind w:firstLine="48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类似业绩</w:t>
      </w:r>
    </w:p>
    <w:p w14:paraId="4BCF85B1">
      <w:pPr>
        <w:pStyle w:val="12"/>
        <w:shd w:val="clear"/>
        <w:spacing w:line="360" w:lineRule="auto"/>
        <w:ind w:firstLine="480"/>
        <w:jc w:val="center"/>
        <w:rPr>
          <w:rFonts w:ascii="宋体" w:hAnsi="宋体" w:cs="宋体"/>
          <w:color w:val="auto"/>
          <w:sz w:val="28"/>
          <w:szCs w:val="28"/>
          <w:highlight w:val="none"/>
        </w:rPr>
      </w:pPr>
      <w:r>
        <w:rPr>
          <w:rFonts w:hint="eastAsia" w:ascii="宋体" w:hAnsi="宋体" w:cs="宋体"/>
          <w:color w:val="auto"/>
          <w:sz w:val="24"/>
          <w:szCs w:val="24"/>
          <w:highlight w:val="none"/>
        </w:rPr>
        <w:t>（投标人根据招标文件要求自行编写）</w:t>
      </w:r>
    </w:p>
    <w:p w14:paraId="5ACFCDA9">
      <w:pPr>
        <w:shd w:val="clear"/>
        <w:wordWrap w:val="0"/>
        <w:spacing w:line="360" w:lineRule="auto"/>
        <w:rPr>
          <w:rFonts w:cs="宋体" w:asciiTheme="minorEastAsia" w:hAnsiTheme="minorEastAsia" w:eastAsiaTheme="minorEastAsia"/>
          <w:bCs/>
          <w:color w:val="auto"/>
          <w:highlight w:val="none"/>
        </w:rPr>
      </w:pPr>
    </w:p>
    <w:p w14:paraId="7C919682">
      <w:pPr>
        <w:shd w:val="clear"/>
        <w:wordWrap w:val="0"/>
        <w:spacing w:line="360" w:lineRule="auto"/>
        <w:rPr>
          <w:rFonts w:cs="宋体" w:asciiTheme="minorEastAsia" w:hAnsiTheme="minorEastAsia" w:eastAsiaTheme="minorEastAsia"/>
          <w:bCs/>
          <w:color w:val="auto"/>
          <w:highlight w:val="none"/>
        </w:rPr>
      </w:pPr>
    </w:p>
    <w:p w14:paraId="05429D7C">
      <w:pPr>
        <w:shd w:val="clear"/>
        <w:wordWrap w:val="0"/>
        <w:spacing w:line="360" w:lineRule="auto"/>
        <w:rPr>
          <w:rFonts w:cs="宋体" w:asciiTheme="minorEastAsia" w:hAnsiTheme="minorEastAsia" w:eastAsiaTheme="minorEastAsia"/>
          <w:bCs/>
          <w:color w:val="auto"/>
          <w:highlight w:val="none"/>
        </w:rPr>
      </w:pPr>
    </w:p>
    <w:p w14:paraId="3F39745F">
      <w:pPr>
        <w:shd w:val="clear"/>
        <w:wordWrap w:val="0"/>
        <w:spacing w:line="360" w:lineRule="auto"/>
        <w:rPr>
          <w:rFonts w:cs="宋体" w:asciiTheme="minorEastAsia" w:hAnsiTheme="minorEastAsia" w:eastAsiaTheme="minorEastAsia"/>
          <w:bCs/>
          <w:color w:val="auto"/>
          <w:highlight w:val="none"/>
        </w:rPr>
      </w:pPr>
    </w:p>
    <w:p w14:paraId="17A5FDF0">
      <w:pPr>
        <w:pStyle w:val="12"/>
        <w:shd w:val="clear"/>
        <w:rPr>
          <w:rFonts w:cs="宋体" w:asciiTheme="minorEastAsia" w:hAnsiTheme="minorEastAsia" w:eastAsiaTheme="minorEastAsia"/>
          <w:bCs/>
          <w:color w:val="auto"/>
          <w:highlight w:val="none"/>
        </w:rPr>
      </w:pPr>
    </w:p>
    <w:p w14:paraId="51698F8F">
      <w:pPr>
        <w:shd w:val="clear"/>
        <w:rPr>
          <w:rFonts w:cs="宋体" w:asciiTheme="minorEastAsia" w:hAnsiTheme="minorEastAsia" w:eastAsiaTheme="minorEastAsia"/>
          <w:bCs/>
          <w:color w:val="auto"/>
          <w:highlight w:val="none"/>
        </w:rPr>
      </w:pPr>
    </w:p>
    <w:p w14:paraId="5A583C28">
      <w:pPr>
        <w:pStyle w:val="12"/>
        <w:shd w:val="clear"/>
        <w:rPr>
          <w:rFonts w:cs="宋体" w:asciiTheme="minorEastAsia" w:hAnsiTheme="minorEastAsia" w:eastAsiaTheme="minorEastAsia"/>
          <w:bCs/>
          <w:color w:val="auto"/>
          <w:highlight w:val="none"/>
        </w:rPr>
      </w:pPr>
    </w:p>
    <w:p w14:paraId="23C136DB">
      <w:pPr>
        <w:shd w:val="clear"/>
        <w:rPr>
          <w:rFonts w:cs="宋体" w:asciiTheme="minorEastAsia" w:hAnsiTheme="minorEastAsia" w:eastAsiaTheme="minorEastAsia"/>
          <w:bCs/>
          <w:color w:val="auto"/>
          <w:highlight w:val="none"/>
        </w:rPr>
      </w:pPr>
    </w:p>
    <w:p w14:paraId="0395286B">
      <w:pPr>
        <w:pStyle w:val="12"/>
        <w:shd w:val="clear"/>
        <w:rPr>
          <w:rFonts w:cs="宋体" w:asciiTheme="minorEastAsia" w:hAnsiTheme="minorEastAsia" w:eastAsiaTheme="minorEastAsia"/>
          <w:bCs/>
          <w:color w:val="auto"/>
          <w:highlight w:val="none"/>
        </w:rPr>
      </w:pPr>
    </w:p>
    <w:p w14:paraId="56F06A36">
      <w:pPr>
        <w:shd w:val="clear"/>
        <w:rPr>
          <w:rFonts w:cs="宋体" w:asciiTheme="minorEastAsia" w:hAnsiTheme="minorEastAsia" w:eastAsiaTheme="minorEastAsia"/>
          <w:bCs/>
          <w:color w:val="auto"/>
          <w:highlight w:val="none"/>
        </w:rPr>
      </w:pPr>
    </w:p>
    <w:p w14:paraId="7BC29FF8">
      <w:pPr>
        <w:pStyle w:val="12"/>
        <w:shd w:val="clear"/>
        <w:rPr>
          <w:color w:val="auto"/>
          <w:highlight w:val="none"/>
        </w:rPr>
      </w:pPr>
    </w:p>
    <w:p w14:paraId="1DE44D19">
      <w:pPr>
        <w:shd w:val="clear"/>
        <w:wordWrap w:val="0"/>
        <w:spacing w:line="360" w:lineRule="auto"/>
        <w:rPr>
          <w:rFonts w:cs="宋体" w:asciiTheme="minorEastAsia" w:hAnsiTheme="minorEastAsia" w:eastAsiaTheme="minorEastAsia"/>
          <w:bCs/>
          <w:color w:val="auto"/>
          <w:highlight w:val="none"/>
        </w:rPr>
      </w:pPr>
    </w:p>
    <w:p w14:paraId="532E3F4A">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投标人（加盖电子公章）：</w:t>
      </w:r>
    </w:p>
    <w:p w14:paraId="5E9C348A">
      <w:pPr>
        <w:shd w:val="clear"/>
        <w:wordWrap w:val="0"/>
        <w:spacing w:line="360" w:lineRule="auto"/>
        <w:rPr>
          <w:rFonts w:cs="宋体" w:asciiTheme="minorEastAsia" w:hAnsiTheme="minorEastAsia" w:eastAsiaTheme="minorEastAsia"/>
          <w:bCs/>
          <w:color w:val="auto"/>
          <w:highlight w:val="none"/>
        </w:rPr>
      </w:pPr>
    </w:p>
    <w:p w14:paraId="7FA705B3">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法定代表人（电子签名或签章）：</w:t>
      </w:r>
    </w:p>
    <w:p w14:paraId="07D9BA3B">
      <w:pPr>
        <w:shd w:val="clear"/>
        <w:wordWrap w:val="0"/>
        <w:spacing w:line="360" w:lineRule="auto"/>
        <w:rPr>
          <w:rFonts w:cs="宋体" w:asciiTheme="minorEastAsia" w:hAnsiTheme="minorEastAsia" w:eastAsiaTheme="minorEastAsia"/>
          <w:bCs/>
          <w:color w:val="auto"/>
          <w:highlight w:val="none"/>
        </w:rPr>
      </w:pPr>
    </w:p>
    <w:p w14:paraId="6AF0B199">
      <w:pPr>
        <w:shd w:val="clear"/>
        <w:wordWrap w:val="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日期：</w:t>
      </w:r>
    </w:p>
    <w:p w14:paraId="055B6D07">
      <w:pPr>
        <w:pStyle w:val="22"/>
        <w:shd w:val="clear"/>
        <w:wordWrap w:val="0"/>
        <w:spacing w:line="360" w:lineRule="auto"/>
        <w:jc w:val="left"/>
        <w:rPr>
          <w:rFonts w:hAnsi="宋体" w:cs="宋体"/>
          <w:color w:val="auto"/>
          <w:sz w:val="28"/>
          <w:szCs w:val="28"/>
          <w:highlight w:val="none"/>
        </w:rPr>
      </w:pPr>
      <w:r>
        <w:rPr>
          <w:rFonts w:hint="eastAsia" w:cs="宋体" w:asciiTheme="minorEastAsia" w:hAnsiTheme="minorEastAsia" w:eastAsiaTheme="minorEastAsia"/>
          <w:bCs/>
          <w:color w:val="auto"/>
          <w:szCs w:val="21"/>
          <w:highlight w:val="none"/>
        </w:rPr>
        <w:br w:type="page"/>
      </w:r>
    </w:p>
    <w:p w14:paraId="4EA75433">
      <w:pPr>
        <w:shd w:val="clear"/>
        <w:wordWrap w:val="0"/>
        <w:rPr>
          <w:rFonts w:cs="宋体" w:asciiTheme="minorEastAsia" w:hAnsiTheme="minorEastAsia" w:eastAsiaTheme="minorEastAsia"/>
          <w:b/>
          <w:color w:val="auto"/>
          <w:szCs w:val="32"/>
          <w:highlight w:val="none"/>
        </w:rPr>
      </w:pPr>
      <w:r>
        <w:rPr>
          <w:rFonts w:hint="eastAsia" w:cs="宋体" w:asciiTheme="minorEastAsia" w:hAnsiTheme="minorEastAsia" w:eastAsiaTheme="minorEastAsia"/>
          <w:b/>
          <w:color w:val="auto"/>
          <w:sz w:val="28"/>
          <w:szCs w:val="28"/>
          <w:highlight w:val="none"/>
        </w:rPr>
        <w:t>格式1</w:t>
      </w:r>
      <w:r>
        <w:rPr>
          <w:rFonts w:hint="eastAsia" w:cs="宋体" w:asciiTheme="minorEastAsia" w:hAnsiTheme="minorEastAsia" w:eastAsiaTheme="minorEastAsia"/>
          <w:b/>
          <w:color w:val="auto"/>
          <w:sz w:val="28"/>
          <w:szCs w:val="28"/>
          <w:highlight w:val="none"/>
          <w:lang w:val="en-US" w:eastAsia="zh-CN"/>
        </w:rPr>
        <w:t>0</w:t>
      </w:r>
      <w:r>
        <w:rPr>
          <w:rFonts w:hint="eastAsia" w:cs="宋体" w:asciiTheme="minorEastAsia" w:hAnsiTheme="minorEastAsia" w:eastAsiaTheme="minorEastAsia"/>
          <w:b/>
          <w:color w:val="auto"/>
          <w:sz w:val="28"/>
          <w:szCs w:val="28"/>
          <w:highlight w:val="none"/>
        </w:rPr>
        <w:t>：</w:t>
      </w:r>
    </w:p>
    <w:p w14:paraId="73FFCB8D">
      <w:pPr>
        <w:pStyle w:val="4"/>
        <w:shd w:val="clear"/>
        <w:wordWrap w:val="0"/>
        <w:ind w:firstLine="0"/>
        <w:jc w:val="center"/>
        <w:rPr>
          <w:rFonts w:cs="宋体" w:asciiTheme="minorEastAsia" w:hAnsiTheme="minorEastAsia" w:eastAsiaTheme="minorEastAsia"/>
          <w:color w:val="auto"/>
          <w:sz w:val="32"/>
          <w:szCs w:val="32"/>
          <w:highlight w:val="none"/>
        </w:rPr>
      </w:pPr>
      <w:bookmarkStart w:id="882" w:name="_Toc27409"/>
      <w:bookmarkStart w:id="883" w:name="_Toc10019"/>
      <w:bookmarkStart w:id="884" w:name="_Toc23577"/>
      <w:bookmarkStart w:id="885" w:name="_Toc18287443"/>
      <w:r>
        <w:rPr>
          <w:rFonts w:hint="eastAsia" w:cs="宋体" w:asciiTheme="minorEastAsia" w:hAnsiTheme="minorEastAsia" w:eastAsiaTheme="minorEastAsia"/>
          <w:color w:val="auto"/>
          <w:sz w:val="32"/>
          <w:szCs w:val="32"/>
          <w:highlight w:val="none"/>
        </w:rPr>
        <w:t>法定代表人身份证明书</w:t>
      </w:r>
      <w:bookmarkEnd w:id="882"/>
      <w:bookmarkEnd w:id="883"/>
      <w:bookmarkEnd w:id="884"/>
      <w:bookmarkEnd w:id="885"/>
    </w:p>
    <w:p w14:paraId="42C2AC69">
      <w:pPr>
        <w:shd w:val="clear"/>
        <w:wordWrap w:val="0"/>
        <w:jc w:val="center"/>
        <w:rPr>
          <w:rFonts w:cs="宋体" w:asciiTheme="minorEastAsia" w:hAnsiTheme="minorEastAsia" w:eastAsiaTheme="minorEastAsia"/>
          <w:bCs/>
          <w:color w:val="auto"/>
          <w:sz w:val="30"/>
          <w:szCs w:val="30"/>
          <w:highlight w:val="none"/>
        </w:rPr>
      </w:pPr>
    </w:p>
    <w:p w14:paraId="60BC97C7">
      <w:pPr>
        <w:shd w:val="clear"/>
        <w:wordWrap w:val="0"/>
        <w:spacing w:line="360"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投标人名称：</w:t>
      </w:r>
      <w:r>
        <w:rPr>
          <w:rFonts w:hint="eastAsia" w:cs="宋体" w:asciiTheme="minorEastAsia" w:hAnsiTheme="minorEastAsia" w:eastAsiaTheme="minorEastAsia"/>
          <w:bCs/>
          <w:color w:val="auto"/>
          <w:szCs w:val="21"/>
          <w:highlight w:val="none"/>
          <w:u w:val="single"/>
        </w:rPr>
        <w:t xml:space="preserve">                        </w:t>
      </w:r>
    </w:p>
    <w:p w14:paraId="791811D6">
      <w:pPr>
        <w:shd w:val="clear"/>
        <w:wordWrap w:val="0"/>
        <w:spacing w:line="360"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单位性质：</w:t>
      </w:r>
      <w:r>
        <w:rPr>
          <w:rFonts w:hint="eastAsia" w:cs="宋体" w:asciiTheme="minorEastAsia" w:hAnsiTheme="minorEastAsia" w:eastAsiaTheme="minorEastAsia"/>
          <w:bCs/>
          <w:color w:val="auto"/>
          <w:szCs w:val="21"/>
          <w:highlight w:val="none"/>
          <w:u w:val="single"/>
        </w:rPr>
        <w:t xml:space="preserve">                          </w:t>
      </w:r>
    </w:p>
    <w:p w14:paraId="380D45BE">
      <w:pPr>
        <w:shd w:val="clear"/>
        <w:wordWrap w:val="0"/>
        <w:spacing w:line="360"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成立时间：</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年</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月</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日</w:t>
      </w:r>
    </w:p>
    <w:p w14:paraId="43462DA6">
      <w:pPr>
        <w:shd w:val="clear"/>
        <w:wordWrap w:val="0"/>
        <w:spacing w:line="360"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经营期限：</w:t>
      </w:r>
      <w:r>
        <w:rPr>
          <w:rFonts w:hint="eastAsia" w:cs="宋体" w:asciiTheme="minorEastAsia" w:hAnsiTheme="minorEastAsia" w:eastAsiaTheme="minorEastAsia"/>
          <w:bCs/>
          <w:color w:val="auto"/>
          <w:szCs w:val="21"/>
          <w:highlight w:val="none"/>
          <w:u w:val="single"/>
        </w:rPr>
        <w:t xml:space="preserve">                          </w:t>
      </w:r>
    </w:p>
    <w:p w14:paraId="16DD2908">
      <w:pPr>
        <w:shd w:val="clear"/>
        <w:wordWrap w:val="0"/>
        <w:spacing w:line="360"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姓名：</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性别：</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年龄：</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职务：</w:t>
      </w:r>
      <w:r>
        <w:rPr>
          <w:rFonts w:hint="eastAsia" w:cs="宋体" w:asciiTheme="minorEastAsia" w:hAnsiTheme="minorEastAsia" w:eastAsiaTheme="minorEastAsia"/>
          <w:bCs/>
          <w:color w:val="auto"/>
          <w:szCs w:val="21"/>
          <w:highlight w:val="none"/>
          <w:u w:val="single"/>
        </w:rPr>
        <w:t xml:space="preserve">            。</w:t>
      </w:r>
    </w:p>
    <w:p w14:paraId="02FC5F25">
      <w:pPr>
        <w:shd w:val="clear"/>
        <w:wordWrap w:val="0"/>
        <w:spacing w:line="360"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系</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（投标人名称）的法定代表人。</w:t>
      </w:r>
    </w:p>
    <w:p w14:paraId="080FE565">
      <w:pPr>
        <w:shd w:val="clear"/>
        <w:wordWrap w:val="0"/>
        <w:spacing w:line="360" w:lineRule="auto"/>
        <w:rPr>
          <w:rFonts w:cs="宋体" w:asciiTheme="minorEastAsia" w:hAnsiTheme="minorEastAsia" w:eastAsiaTheme="minorEastAsia"/>
          <w:bCs/>
          <w:color w:val="auto"/>
          <w:szCs w:val="21"/>
          <w:highlight w:val="none"/>
        </w:rPr>
      </w:pPr>
    </w:p>
    <w:p w14:paraId="6F4117EC">
      <w:pPr>
        <w:shd w:val="clear"/>
        <w:wordWrap w:val="0"/>
        <w:spacing w:line="360" w:lineRule="auto"/>
        <w:ind w:firstLine="420" w:firstLineChars="200"/>
        <w:rPr>
          <w:rFonts w:cs="宋体" w:asciiTheme="minorEastAsia" w:hAnsiTheme="minorEastAsia" w:eastAsiaTheme="minorEastAsia"/>
          <w:bCs/>
          <w:color w:val="auto"/>
          <w:szCs w:val="21"/>
          <w:highlight w:val="none"/>
        </w:rPr>
      </w:pPr>
    </w:p>
    <w:p w14:paraId="434D9886">
      <w:pPr>
        <w:shd w:val="clear"/>
        <w:wordWrap w:val="0"/>
        <w:spacing w:line="360" w:lineRule="auto"/>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特此证明。</w:t>
      </w:r>
    </w:p>
    <w:p w14:paraId="791B85CF">
      <w:pPr>
        <w:shd w:val="clear"/>
        <w:wordWrap w:val="0"/>
        <w:spacing w:line="360" w:lineRule="auto"/>
        <w:rPr>
          <w:rFonts w:cs="宋体" w:asciiTheme="minorEastAsia" w:hAnsiTheme="minorEastAsia" w:eastAsiaTheme="minorEastAsia"/>
          <w:bCs/>
          <w:color w:val="auto"/>
          <w:szCs w:val="21"/>
          <w:highlight w:val="none"/>
        </w:rPr>
      </w:pPr>
    </w:p>
    <w:p w14:paraId="1F5D4C2E">
      <w:pPr>
        <w:shd w:val="clear"/>
        <w:wordWrap w:val="0"/>
        <w:spacing w:line="360" w:lineRule="auto"/>
        <w:rPr>
          <w:rFonts w:cs="宋体" w:asciiTheme="minorEastAsia" w:hAnsiTheme="minorEastAsia" w:eastAsiaTheme="minorEastAsia"/>
          <w:bCs/>
          <w:color w:val="auto"/>
          <w:szCs w:val="21"/>
          <w:highlight w:val="none"/>
        </w:rPr>
      </w:pPr>
    </w:p>
    <w:p w14:paraId="4D39474C">
      <w:pPr>
        <w:shd w:val="clear"/>
        <w:wordWrap w:val="0"/>
        <w:spacing w:line="360" w:lineRule="auto"/>
        <w:rPr>
          <w:rFonts w:cs="宋体" w:asciiTheme="minorEastAsia" w:hAnsiTheme="minorEastAsia" w:eastAsiaTheme="minorEastAsia"/>
          <w:bCs/>
          <w:color w:val="auto"/>
          <w:szCs w:val="21"/>
          <w:highlight w:val="none"/>
        </w:rPr>
      </w:pPr>
    </w:p>
    <w:p w14:paraId="64750167">
      <w:pPr>
        <w:shd w:val="clear"/>
        <w:wordWrap w:val="0"/>
        <w:spacing w:line="360" w:lineRule="auto"/>
        <w:rPr>
          <w:rFonts w:cs="宋体" w:asciiTheme="minorEastAsia" w:hAnsiTheme="minorEastAsia" w:eastAsiaTheme="minorEastAsia"/>
          <w:bCs/>
          <w:color w:val="auto"/>
          <w:szCs w:val="21"/>
          <w:highlight w:val="none"/>
        </w:rPr>
      </w:pPr>
    </w:p>
    <w:p w14:paraId="4DF68D46">
      <w:pPr>
        <w:shd w:val="clear"/>
        <w:wordWrap w:val="0"/>
        <w:spacing w:line="360" w:lineRule="auto"/>
        <w:ind w:left="5397" w:leftChars="257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投标人（加盖投标人电子公章）：</w:t>
      </w:r>
    </w:p>
    <w:p w14:paraId="7AE9A39F">
      <w:pPr>
        <w:shd w:val="clear"/>
        <w:wordWrap w:val="0"/>
        <w:spacing w:line="360" w:lineRule="auto"/>
        <w:ind w:left="5397" w:leftChars="2570"/>
        <w:rPr>
          <w:rFonts w:cs="宋体" w:asciiTheme="minorEastAsia" w:hAnsiTheme="minorEastAsia" w:eastAsiaTheme="minorEastAsia"/>
          <w:bCs/>
          <w:color w:val="auto"/>
          <w:szCs w:val="21"/>
          <w:highlight w:val="none"/>
        </w:rPr>
      </w:pPr>
    </w:p>
    <w:p w14:paraId="72C090B7">
      <w:pPr>
        <w:shd w:val="clear"/>
        <w:wordWrap w:val="0"/>
        <w:spacing w:line="360" w:lineRule="auto"/>
        <w:ind w:left="5397" w:leftChars="257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日期：</w:t>
      </w:r>
    </w:p>
    <w:p w14:paraId="4E90E0FC">
      <w:pPr>
        <w:pStyle w:val="22"/>
        <w:shd w:val="clear"/>
        <w:wordWrap w:val="0"/>
        <w:spacing w:line="500" w:lineRule="exact"/>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注</w:t>
      </w:r>
      <w:r>
        <w:rPr>
          <w:rFonts w:hint="eastAsia" w:cs="宋体" w:asciiTheme="minorEastAsia" w:hAnsiTheme="minorEastAsia" w:eastAsiaTheme="minorEastAsia"/>
          <w:bCs/>
          <w:color w:val="auto"/>
          <w:szCs w:val="21"/>
          <w:highlight w:val="none"/>
          <w:lang w:eastAsia="zh-CN"/>
        </w:rPr>
        <w:t>：</w:t>
      </w:r>
    </w:p>
    <w:p w14:paraId="3B60A747">
      <w:pPr>
        <w:pStyle w:val="22"/>
        <w:shd w:val="clear"/>
        <w:wordWrap w:val="0"/>
        <w:spacing w:line="500" w:lineRule="exact"/>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1.法定代表人出席开标会时，应提供本人居民身份证（如非中国国籍应提供护照）原件交由工作人员现场登记。</w:t>
      </w:r>
    </w:p>
    <w:p w14:paraId="0520D80A">
      <w:pPr>
        <w:pStyle w:val="22"/>
        <w:shd w:val="clear"/>
        <w:wordWrap w:val="0"/>
        <w:spacing w:line="500" w:lineRule="exact"/>
        <w:ind w:firstLine="420"/>
        <w:outlineLvl w:val="1"/>
        <w:rPr>
          <w:rFonts w:cs="宋体" w:asciiTheme="minorEastAsia" w:hAnsiTheme="minorEastAsia" w:eastAsiaTheme="minorEastAsia"/>
          <w:bCs/>
          <w:color w:val="auto"/>
          <w:szCs w:val="21"/>
          <w:highlight w:val="none"/>
        </w:rPr>
      </w:pPr>
      <w:bookmarkStart w:id="886" w:name="_Toc6476"/>
      <w:bookmarkStart w:id="887" w:name="_Toc21651"/>
      <w:bookmarkStart w:id="888" w:name="_Toc21015"/>
      <w:bookmarkStart w:id="889" w:name="_Toc18443"/>
      <w:r>
        <w:rPr>
          <w:rFonts w:hint="eastAsia" w:cs="宋体" w:asciiTheme="minorEastAsia" w:hAnsiTheme="minorEastAsia" w:eastAsiaTheme="minorEastAsia"/>
          <w:bCs/>
          <w:color w:val="auto"/>
          <w:szCs w:val="21"/>
          <w:highlight w:val="none"/>
        </w:rPr>
        <w:t>2.附法定代表人居民身份证扫描件。</w:t>
      </w:r>
      <w:bookmarkEnd w:id="886"/>
      <w:bookmarkEnd w:id="887"/>
      <w:bookmarkEnd w:id="888"/>
      <w:bookmarkEnd w:id="889"/>
    </w:p>
    <w:p w14:paraId="683D6E9B">
      <w:pPr>
        <w:shd w:val="clear"/>
        <w:wordWrap w:val="0"/>
        <w:spacing w:line="360" w:lineRule="auto"/>
        <w:rPr>
          <w:rFonts w:cs="宋体" w:asciiTheme="minorEastAsia" w:hAnsiTheme="minorEastAsia" w:eastAsiaTheme="minorEastAsia"/>
          <w:bCs/>
          <w:color w:val="auto"/>
          <w:szCs w:val="21"/>
          <w:highlight w:val="none"/>
        </w:rPr>
      </w:pPr>
    </w:p>
    <w:p w14:paraId="2548DFC5">
      <w:pPr>
        <w:pStyle w:val="22"/>
        <w:shd w:val="clear"/>
        <w:wordWrap w:val="0"/>
        <w:spacing w:line="360" w:lineRule="auto"/>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Cs/>
          <w:color w:val="auto"/>
          <w:sz w:val="28"/>
          <w:szCs w:val="28"/>
          <w:highlight w:val="none"/>
        </w:rPr>
        <w:br w:type="page"/>
      </w:r>
      <w:r>
        <w:rPr>
          <w:rFonts w:hint="eastAsia" w:cs="宋体" w:asciiTheme="minorEastAsia" w:hAnsiTheme="minorEastAsia" w:eastAsiaTheme="minorEastAsia"/>
          <w:b/>
          <w:color w:val="auto"/>
          <w:sz w:val="28"/>
          <w:szCs w:val="28"/>
          <w:highlight w:val="none"/>
        </w:rPr>
        <w:t>格式</w:t>
      </w:r>
      <w:r>
        <w:rPr>
          <w:rFonts w:cs="宋体" w:asciiTheme="minorEastAsia" w:hAnsiTheme="minorEastAsia" w:eastAsiaTheme="minorEastAsia"/>
          <w:b/>
          <w:color w:val="auto"/>
          <w:sz w:val="28"/>
          <w:szCs w:val="28"/>
          <w:highlight w:val="none"/>
        </w:rPr>
        <w:t>1</w:t>
      </w:r>
      <w:r>
        <w:rPr>
          <w:rFonts w:hint="eastAsia" w:cs="宋体" w:asciiTheme="minorEastAsia" w:hAnsiTheme="minorEastAsia" w:eastAsiaTheme="minorEastAsia"/>
          <w:b/>
          <w:color w:val="auto"/>
          <w:sz w:val="28"/>
          <w:szCs w:val="28"/>
          <w:highlight w:val="none"/>
          <w:lang w:val="en-US" w:eastAsia="zh-CN"/>
        </w:rPr>
        <w:t>1</w:t>
      </w:r>
      <w:r>
        <w:rPr>
          <w:rFonts w:hint="eastAsia" w:cs="宋体" w:asciiTheme="minorEastAsia" w:hAnsiTheme="minorEastAsia" w:eastAsiaTheme="minorEastAsia"/>
          <w:b/>
          <w:color w:val="auto"/>
          <w:sz w:val="28"/>
          <w:szCs w:val="28"/>
          <w:highlight w:val="none"/>
        </w:rPr>
        <w:t>：</w:t>
      </w:r>
    </w:p>
    <w:p w14:paraId="585FAD93">
      <w:pPr>
        <w:pStyle w:val="4"/>
        <w:shd w:val="clear"/>
        <w:wordWrap w:val="0"/>
        <w:ind w:firstLine="0"/>
        <w:jc w:val="center"/>
        <w:rPr>
          <w:rFonts w:cs="宋体" w:asciiTheme="minorEastAsia" w:hAnsiTheme="minorEastAsia" w:eastAsiaTheme="minorEastAsia"/>
          <w:color w:val="auto"/>
          <w:sz w:val="32"/>
          <w:szCs w:val="32"/>
          <w:highlight w:val="none"/>
        </w:rPr>
      </w:pPr>
      <w:bookmarkStart w:id="890" w:name="_Toc489145765"/>
      <w:bookmarkStart w:id="891" w:name="_Toc20955"/>
      <w:bookmarkStart w:id="892" w:name="_Toc20663"/>
      <w:bookmarkStart w:id="893" w:name="_Toc14603921"/>
      <w:bookmarkStart w:id="894" w:name="_Toc18287444"/>
      <w:bookmarkStart w:id="895" w:name="_Toc488633630"/>
      <w:bookmarkStart w:id="896" w:name="_Toc481694858"/>
      <w:bookmarkStart w:id="897" w:name="_Toc4001"/>
      <w:bookmarkStart w:id="898" w:name="_Toc10312"/>
      <w:bookmarkStart w:id="899" w:name="_Toc489197869"/>
      <w:bookmarkStart w:id="900" w:name="_Toc213141107"/>
      <w:bookmarkStart w:id="901" w:name="_Toc8667"/>
      <w:bookmarkStart w:id="902" w:name="_Toc1109"/>
      <w:r>
        <w:rPr>
          <w:rFonts w:hint="eastAsia" w:cs="宋体" w:asciiTheme="minorEastAsia" w:hAnsiTheme="minorEastAsia" w:eastAsiaTheme="minorEastAsia"/>
          <w:color w:val="auto"/>
          <w:sz w:val="32"/>
          <w:szCs w:val="32"/>
          <w:highlight w:val="none"/>
        </w:rPr>
        <w:t>法定代表人授权委托书</w:t>
      </w:r>
      <w:bookmarkEnd w:id="890"/>
      <w:bookmarkEnd w:id="891"/>
      <w:bookmarkEnd w:id="892"/>
      <w:bookmarkEnd w:id="893"/>
      <w:bookmarkEnd w:id="894"/>
      <w:bookmarkEnd w:id="895"/>
      <w:bookmarkEnd w:id="896"/>
      <w:bookmarkEnd w:id="897"/>
      <w:bookmarkEnd w:id="898"/>
      <w:bookmarkEnd w:id="899"/>
      <w:bookmarkEnd w:id="900"/>
      <w:bookmarkEnd w:id="901"/>
      <w:bookmarkEnd w:id="902"/>
    </w:p>
    <w:p w14:paraId="6B41F95E">
      <w:pPr>
        <w:shd w:val="clear"/>
        <w:wordWrap w:val="0"/>
        <w:spacing w:line="360" w:lineRule="auto"/>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本授权书声明：</w:t>
      </w:r>
      <w:r>
        <w:rPr>
          <w:rFonts w:hint="eastAsia" w:cs="宋体" w:asciiTheme="minorEastAsia" w:hAnsiTheme="minorEastAsia" w:eastAsiaTheme="minorEastAsia"/>
          <w:bCs/>
          <w:color w:val="auto"/>
          <w:szCs w:val="21"/>
          <w:highlight w:val="none"/>
          <w:u w:val="single"/>
        </w:rPr>
        <w:t xml:space="preserve">（投标人全称） </w:t>
      </w:r>
      <w:r>
        <w:rPr>
          <w:rFonts w:hint="eastAsia" w:cs="宋体" w:asciiTheme="minorEastAsia" w:hAnsiTheme="minorEastAsia" w:eastAsiaTheme="minorEastAsia"/>
          <w:bCs/>
          <w:color w:val="auto"/>
          <w:szCs w:val="21"/>
          <w:highlight w:val="none"/>
        </w:rPr>
        <w:t>的法定代表人代表本公司授权</w:t>
      </w:r>
      <w:r>
        <w:rPr>
          <w:rFonts w:hint="eastAsia" w:cs="宋体" w:asciiTheme="minorEastAsia" w:hAnsiTheme="minorEastAsia" w:eastAsiaTheme="minorEastAsia"/>
          <w:bCs/>
          <w:color w:val="auto"/>
          <w:szCs w:val="21"/>
          <w:highlight w:val="none"/>
          <w:u w:val="single"/>
        </w:rPr>
        <w:t>（委托代理人姓名）</w:t>
      </w:r>
      <w:r>
        <w:rPr>
          <w:rFonts w:hint="eastAsia" w:cs="宋体" w:asciiTheme="minorEastAsia" w:hAnsiTheme="minorEastAsia" w:eastAsiaTheme="minorEastAsia"/>
          <w:bCs/>
          <w:color w:val="auto"/>
          <w:szCs w:val="21"/>
          <w:highlight w:val="none"/>
        </w:rPr>
        <w:t>为本公司合法代理人，就贵方组织的有关</w:t>
      </w:r>
      <w:r>
        <w:rPr>
          <w:rFonts w:hint="eastAsia" w:cs="宋体" w:asciiTheme="minorEastAsia" w:hAnsiTheme="minorEastAsia" w:eastAsiaTheme="minorEastAsia"/>
          <w:bCs/>
          <w:color w:val="auto"/>
          <w:szCs w:val="21"/>
          <w:highlight w:val="none"/>
          <w:u w:val="single"/>
        </w:rPr>
        <w:t>（项目名称）</w:t>
      </w:r>
      <w:r>
        <w:rPr>
          <w:rFonts w:hint="eastAsia" w:cs="宋体" w:asciiTheme="minorEastAsia" w:hAnsiTheme="minorEastAsia" w:eastAsiaTheme="minorEastAsia"/>
          <w:bCs/>
          <w:color w:val="auto"/>
          <w:szCs w:val="21"/>
          <w:highlight w:val="none"/>
        </w:rPr>
        <w:t>项目（项目编号：</w:t>
      </w:r>
      <w:r>
        <w:rPr>
          <w:rFonts w:hint="eastAsia" w:cs="宋体" w:asciiTheme="minorEastAsia" w:hAnsiTheme="minorEastAsia" w:eastAsiaTheme="minorEastAsia"/>
          <w:bCs/>
          <w:color w:val="auto"/>
          <w:szCs w:val="21"/>
          <w:highlight w:val="none"/>
          <w:u w:val="single"/>
        </w:rPr>
        <w:t xml:space="preserve">            </w:t>
      </w:r>
      <w:r>
        <w:rPr>
          <w:rFonts w:hint="eastAsia" w:cs="宋体" w:asciiTheme="minorEastAsia" w:hAnsiTheme="minorEastAsia" w:eastAsiaTheme="minorEastAsia"/>
          <w:bCs/>
          <w:color w:val="auto"/>
          <w:szCs w:val="21"/>
          <w:highlight w:val="none"/>
        </w:rPr>
        <w:t>）的招标，以本单位名义投标。代理人在本项目投标过程中所签署的一切文件和处理与之有关的一切事务，我方均予承认。</w:t>
      </w:r>
    </w:p>
    <w:p w14:paraId="4BBDF657">
      <w:pPr>
        <w:pStyle w:val="22"/>
        <w:shd w:val="clear"/>
        <w:wordWrap w:val="0"/>
        <w:spacing w:line="500" w:lineRule="exact"/>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代理人无转委托权。</w:t>
      </w:r>
    </w:p>
    <w:p w14:paraId="209034BB">
      <w:pPr>
        <w:pStyle w:val="22"/>
        <w:shd w:val="clear"/>
        <w:wordWrap w:val="0"/>
        <w:spacing w:line="500" w:lineRule="exact"/>
        <w:jc w:val="left"/>
        <w:rPr>
          <w:rFonts w:cs="宋体" w:asciiTheme="minorEastAsia" w:hAnsiTheme="minorEastAsia" w:eastAsiaTheme="minorEastAsia"/>
          <w:bCs/>
          <w:color w:val="auto"/>
          <w:szCs w:val="21"/>
          <w:highlight w:val="none"/>
        </w:rPr>
      </w:pPr>
    </w:p>
    <w:p w14:paraId="42BCE719">
      <w:pPr>
        <w:pStyle w:val="22"/>
        <w:shd w:val="clear"/>
        <w:wordWrap w:val="0"/>
        <w:spacing w:line="500" w:lineRule="exact"/>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投标人（加盖投标人电子公章）：</w:t>
      </w:r>
    </w:p>
    <w:p w14:paraId="2239A486">
      <w:pPr>
        <w:pStyle w:val="22"/>
        <w:shd w:val="clear"/>
        <w:wordWrap w:val="0"/>
        <w:spacing w:line="500" w:lineRule="exact"/>
        <w:jc w:val="left"/>
        <w:rPr>
          <w:rFonts w:cs="宋体" w:asciiTheme="minorEastAsia" w:hAnsiTheme="minorEastAsia" w:eastAsiaTheme="minorEastAsia"/>
          <w:bCs/>
          <w:color w:val="auto"/>
          <w:szCs w:val="21"/>
          <w:highlight w:val="none"/>
        </w:rPr>
      </w:pPr>
    </w:p>
    <w:p w14:paraId="4C0D07A7">
      <w:pPr>
        <w:pStyle w:val="22"/>
        <w:shd w:val="clear"/>
        <w:wordWrap w:val="0"/>
        <w:spacing w:line="500" w:lineRule="exact"/>
        <w:jc w:val="left"/>
        <w:rPr>
          <w:rFonts w:cs="宋体" w:asciiTheme="minorEastAsia" w:hAnsiTheme="minorEastAsia" w:eastAsiaTheme="minorEastAsia"/>
          <w:bCs/>
          <w:color w:val="auto"/>
          <w:szCs w:val="21"/>
          <w:highlight w:val="none"/>
          <w:u w:val="single"/>
        </w:rPr>
      </w:pPr>
      <w:r>
        <w:rPr>
          <w:rFonts w:hint="eastAsia" w:cs="宋体" w:asciiTheme="minorEastAsia" w:hAnsiTheme="minorEastAsia" w:eastAsiaTheme="minorEastAsia"/>
          <w:bCs/>
          <w:color w:val="auto"/>
          <w:szCs w:val="21"/>
          <w:highlight w:val="none"/>
        </w:rPr>
        <w:t>法定代表人（电子签名或签章）：</w:t>
      </w:r>
      <w:r>
        <w:rPr>
          <w:rFonts w:hint="eastAsia" w:cs="宋体" w:asciiTheme="minorEastAsia" w:hAnsiTheme="minorEastAsia" w:eastAsiaTheme="minorEastAsia"/>
          <w:bCs/>
          <w:color w:val="auto"/>
          <w:szCs w:val="21"/>
          <w:highlight w:val="none"/>
          <w:u w:val="single"/>
        </w:rPr>
        <w:t xml:space="preserve">  </w:t>
      </w:r>
    </w:p>
    <w:p w14:paraId="4BC526DC">
      <w:pPr>
        <w:pStyle w:val="22"/>
        <w:shd w:val="clear"/>
        <w:wordWrap w:val="0"/>
        <w:spacing w:line="500" w:lineRule="exact"/>
        <w:jc w:val="left"/>
        <w:rPr>
          <w:rFonts w:cs="宋体" w:asciiTheme="minorEastAsia" w:hAnsiTheme="minorEastAsia" w:eastAsiaTheme="minorEastAsia"/>
          <w:bCs/>
          <w:color w:val="auto"/>
          <w:szCs w:val="21"/>
          <w:highlight w:val="none"/>
          <w:u w:val="single"/>
        </w:rPr>
      </w:pPr>
      <w:r>
        <w:rPr>
          <w:rFonts w:hint="eastAsia" w:cs="宋体" w:asciiTheme="minorEastAsia" w:hAnsiTheme="minorEastAsia" w:eastAsiaTheme="minorEastAsia"/>
          <w:bCs/>
          <w:color w:val="auto"/>
          <w:szCs w:val="21"/>
          <w:highlight w:val="none"/>
          <w:u w:val="single"/>
        </w:rPr>
        <w:t xml:space="preserve">           </w:t>
      </w:r>
    </w:p>
    <w:p w14:paraId="342426AF">
      <w:pPr>
        <w:pStyle w:val="22"/>
        <w:shd w:val="clear"/>
        <w:wordWrap w:val="0"/>
        <w:spacing w:line="50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日期</w:t>
      </w:r>
    </w:p>
    <w:tbl>
      <w:tblPr>
        <w:tblStyle w:val="40"/>
        <w:tblW w:w="5868" w:type="dxa"/>
        <w:tblInd w:w="720" w:type="dxa"/>
        <w:tblLayout w:type="fixed"/>
        <w:tblCellMar>
          <w:top w:w="0" w:type="dxa"/>
          <w:left w:w="108" w:type="dxa"/>
          <w:bottom w:w="0" w:type="dxa"/>
          <w:right w:w="108" w:type="dxa"/>
        </w:tblCellMar>
      </w:tblPr>
      <w:tblGrid>
        <w:gridCol w:w="1908"/>
        <w:gridCol w:w="3960"/>
      </w:tblGrid>
      <w:tr w14:paraId="6C886B95">
        <w:tblPrEx>
          <w:tblCellMar>
            <w:top w:w="0" w:type="dxa"/>
            <w:left w:w="108" w:type="dxa"/>
            <w:bottom w:w="0" w:type="dxa"/>
            <w:right w:w="108" w:type="dxa"/>
          </w:tblCellMar>
        </w:tblPrEx>
        <w:tc>
          <w:tcPr>
            <w:tcW w:w="1908" w:type="dxa"/>
            <w:tcBorders>
              <w:top w:val="nil"/>
              <w:left w:val="nil"/>
              <w:bottom w:val="nil"/>
              <w:right w:val="nil"/>
            </w:tcBorders>
          </w:tcPr>
          <w:p w14:paraId="0B207637">
            <w:pPr>
              <w:pStyle w:val="22"/>
              <w:shd w:val="clear"/>
              <w:wordWrap w:val="0"/>
              <w:spacing w:line="50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附： </w:t>
            </w:r>
          </w:p>
        </w:tc>
        <w:tc>
          <w:tcPr>
            <w:tcW w:w="3960" w:type="dxa"/>
            <w:tcBorders>
              <w:top w:val="nil"/>
              <w:left w:val="nil"/>
              <w:bottom w:val="nil"/>
              <w:right w:val="nil"/>
            </w:tcBorders>
          </w:tcPr>
          <w:p w14:paraId="2726C825">
            <w:pPr>
              <w:pStyle w:val="22"/>
              <w:shd w:val="clear"/>
              <w:wordWrap w:val="0"/>
              <w:spacing w:line="50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ab/>
            </w:r>
            <w:r>
              <w:rPr>
                <w:rFonts w:hint="eastAsia" w:cs="宋体" w:asciiTheme="minorEastAsia" w:hAnsiTheme="minorEastAsia" w:eastAsiaTheme="minorEastAsia"/>
                <w:bCs/>
                <w:color w:val="auto"/>
                <w:szCs w:val="21"/>
                <w:highlight w:val="none"/>
              </w:rPr>
              <w:tab/>
            </w:r>
            <w:r>
              <w:rPr>
                <w:rFonts w:hint="eastAsia" w:cs="宋体" w:asciiTheme="minorEastAsia" w:hAnsiTheme="minorEastAsia" w:eastAsiaTheme="minorEastAsia"/>
                <w:bCs/>
                <w:color w:val="auto"/>
                <w:szCs w:val="21"/>
                <w:highlight w:val="none"/>
              </w:rPr>
              <w:tab/>
            </w:r>
            <w:r>
              <w:rPr>
                <w:rFonts w:hint="eastAsia" w:cs="宋体" w:asciiTheme="minorEastAsia" w:hAnsiTheme="minorEastAsia" w:eastAsiaTheme="minorEastAsia"/>
                <w:bCs/>
                <w:color w:val="auto"/>
                <w:szCs w:val="21"/>
                <w:highlight w:val="none"/>
              </w:rPr>
              <w:tab/>
            </w:r>
            <w:r>
              <w:rPr>
                <w:rFonts w:hint="eastAsia" w:cs="宋体" w:asciiTheme="minorEastAsia" w:hAnsiTheme="minorEastAsia" w:eastAsiaTheme="minorEastAsia"/>
                <w:bCs/>
                <w:color w:val="auto"/>
                <w:szCs w:val="21"/>
                <w:highlight w:val="none"/>
              </w:rPr>
              <w:tab/>
            </w:r>
          </w:p>
        </w:tc>
      </w:tr>
      <w:tr w14:paraId="3A2B3D08">
        <w:tblPrEx>
          <w:tblCellMar>
            <w:top w:w="0" w:type="dxa"/>
            <w:left w:w="108" w:type="dxa"/>
            <w:bottom w:w="0" w:type="dxa"/>
            <w:right w:w="108" w:type="dxa"/>
          </w:tblCellMar>
        </w:tblPrEx>
        <w:tc>
          <w:tcPr>
            <w:tcW w:w="1908" w:type="dxa"/>
            <w:tcBorders>
              <w:top w:val="nil"/>
              <w:left w:val="nil"/>
              <w:bottom w:val="nil"/>
              <w:right w:val="nil"/>
            </w:tcBorders>
          </w:tcPr>
          <w:p w14:paraId="358A82AC">
            <w:pPr>
              <w:pStyle w:val="22"/>
              <w:shd w:val="clear"/>
              <w:wordWrap w:val="0"/>
              <w:spacing w:line="500" w:lineRule="exact"/>
              <w:jc w:val="distribute"/>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委托代理人姓名：</w:t>
            </w:r>
          </w:p>
        </w:tc>
        <w:tc>
          <w:tcPr>
            <w:tcW w:w="3960" w:type="dxa"/>
            <w:tcBorders>
              <w:top w:val="nil"/>
              <w:left w:val="nil"/>
              <w:bottom w:val="nil"/>
              <w:right w:val="nil"/>
            </w:tcBorders>
          </w:tcPr>
          <w:p w14:paraId="664F85A3">
            <w:pPr>
              <w:pStyle w:val="22"/>
              <w:shd w:val="clear"/>
              <w:wordWrap w:val="0"/>
              <w:spacing w:line="500" w:lineRule="exact"/>
              <w:rPr>
                <w:rFonts w:cs="宋体" w:asciiTheme="minorEastAsia" w:hAnsiTheme="minorEastAsia" w:eastAsiaTheme="minorEastAsia"/>
                <w:bCs/>
                <w:color w:val="auto"/>
                <w:szCs w:val="21"/>
                <w:highlight w:val="none"/>
              </w:rPr>
            </w:pPr>
          </w:p>
        </w:tc>
      </w:tr>
      <w:tr w14:paraId="20D1CF14">
        <w:tblPrEx>
          <w:tblCellMar>
            <w:top w:w="0" w:type="dxa"/>
            <w:left w:w="108" w:type="dxa"/>
            <w:bottom w:w="0" w:type="dxa"/>
            <w:right w:w="108" w:type="dxa"/>
          </w:tblCellMar>
        </w:tblPrEx>
        <w:tc>
          <w:tcPr>
            <w:tcW w:w="1908" w:type="dxa"/>
            <w:tcBorders>
              <w:top w:val="nil"/>
              <w:left w:val="nil"/>
              <w:bottom w:val="nil"/>
              <w:right w:val="nil"/>
            </w:tcBorders>
          </w:tcPr>
          <w:p w14:paraId="0829359D">
            <w:pPr>
              <w:pStyle w:val="22"/>
              <w:shd w:val="clear"/>
              <w:wordWrap w:val="0"/>
              <w:spacing w:line="500" w:lineRule="exact"/>
              <w:jc w:val="distribute"/>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职       务：</w:t>
            </w:r>
          </w:p>
        </w:tc>
        <w:tc>
          <w:tcPr>
            <w:tcW w:w="3960" w:type="dxa"/>
            <w:tcBorders>
              <w:top w:val="nil"/>
              <w:left w:val="nil"/>
              <w:bottom w:val="nil"/>
              <w:right w:val="nil"/>
            </w:tcBorders>
          </w:tcPr>
          <w:p w14:paraId="1EA35971">
            <w:pPr>
              <w:pStyle w:val="22"/>
              <w:shd w:val="clear"/>
              <w:wordWrap w:val="0"/>
              <w:spacing w:line="500" w:lineRule="exact"/>
              <w:rPr>
                <w:rFonts w:cs="宋体" w:asciiTheme="minorEastAsia" w:hAnsiTheme="minorEastAsia" w:eastAsiaTheme="minorEastAsia"/>
                <w:bCs/>
                <w:color w:val="auto"/>
                <w:szCs w:val="21"/>
                <w:highlight w:val="none"/>
              </w:rPr>
            </w:pPr>
          </w:p>
        </w:tc>
      </w:tr>
      <w:tr w14:paraId="52DDDE32">
        <w:tblPrEx>
          <w:tblCellMar>
            <w:top w:w="0" w:type="dxa"/>
            <w:left w:w="108" w:type="dxa"/>
            <w:bottom w:w="0" w:type="dxa"/>
            <w:right w:w="108" w:type="dxa"/>
          </w:tblCellMar>
        </w:tblPrEx>
        <w:tc>
          <w:tcPr>
            <w:tcW w:w="1908" w:type="dxa"/>
            <w:tcBorders>
              <w:top w:val="nil"/>
              <w:left w:val="nil"/>
              <w:bottom w:val="nil"/>
              <w:right w:val="nil"/>
            </w:tcBorders>
          </w:tcPr>
          <w:p w14:paraId="0250543F">
            <w:pPr>
              <w:pStyle w:val="22"/>
              <w:shd w:val="clear"/>
              <w:wordWrap w:val="0"/>
              <w:spacing w:line="500" w:lineRule="exact"/>
              <w:jc w:val="distribute"/>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居民身份证号码：</w:t>
            </w:r>
          </w:p>
        </w:tc>
        <w:tc>
          <w:tcPr>
            <w:tcW w:w="3960" w:type="dxa"/>
            <w:tcBorders>
              <w:top w:val="nil"/>
              <w:left w:val="nil"/>
              <w:bottom w:val="nil"/>
              <w:right w:val="nil"/>
            </w:tcBorders>
          </w:tcPr>
          <w:p w14:paraId="26EEB789">
            <w:pPr>
              <w:pStyle w:val="22"/>
              <w:shd w:val="clear"/>
              <w:wordWrap w:val="0"/>
              <w:spacing w:line="500" w:lineRule="exact"/>
              <w:rPr>
                <w:rFonts w:cs="宋体" w:asciiTheme="minorEastAsia" w:hAnsiTheme="minorEastAsia" w:eastAsiaTheme="minorEastAsia"/>
                <w:bCs/>
                <w:color w:val="auto"/>
                <w:szCs w:val="21"/>
                <w:highlight w:val="none"/>
              </w:rPr>
            </w:pPr>
          </w:p>
        </w:tc>
      </w:tr>
      <w:tr w14:paraId="1B033F90">
        <w:tblPrEx>
          <w:tblCellMar>
            <w:top w:w="0" w:type="dxa"/>
            <w:left w:w="108" w:type="dxa"/>
            <w:bottom w:w="0" w:type="dxa"/>
            <w:right w:w="108" w:type="dxa"/>
          </w:tblCellMar>
        </w:tblPrEx>
        <w:tc>
          <w:tcPr>
            <w:tcW w:w="1908" w:type="dxa"/>
            <w:tcBorders>
              <w:top w:val="nil"/>
              <w:left w:val="nil"/>
              <w:bottom w:val="nil"/>
              <w:right w:val="nil"/>
            </w:tcBorders>
          </w:tcPr>
          <w:p w14:paraId="1135BD46">
            <w:pPr>
              <w:pStyle w:val="22"/>
              <w:shd w:val="clear"/>
              <w:wordWrap w:val="0"/>
              <w:spacing w:line="500" w:lineRule="exact"/>
              <w:jc w:val="distribute"/>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详 细  地 址：</w:t>
            </w:r>
          </w:p>
        </w:tc>
        <w:tc>
          <w:tcPr>
            <w:tcW w:w="3960" w:type="dxa"/>
            <w:tcBorders>
              <w:top w:val="nil"/>
              <w:left w:val="nil"/>
              <w:bottom w:val="nil"/>
              <w:right w:val="nil"/>
            </w:tcBorders>
          </w:tcPr>
          <w:p w14:paraId="0BEE026B">
            <w:pPr>
              <w:pStyle w:val="22"/>
              <w:shd w:val="clear"/>
              <w:wordWrap w:val="0"/>
              <w:spacing w:line="500" w:lineRule="exact"/>
              <w:rPr>
                <w:rFonts w:cs="宋体" w:asciiTheme="minorEastAsia" w:hAnsiTheme="minorEastAsia" w:eastAsiaTheme="minorEastAsia"/>
                <w:bCs/>
                <w:color w:val="auto"/>
                <w:szCs w:val="21"/>
                <w:highlight w:val="none"/>
              </w:rPr>
            </w:pPr>
          </w:p>
        </w:tc>
      </w:tr>
      <w:tr w14:paraId="4021D2A7">
        <w:tblPrEx>
          <w:tblCellMar>
            <w:top w:w="0" w:type="dxa"/>
            <w:left w:w="108" w:type="dxa"/>
            <w:bottom w:w="0" w:type="dxa"/>
            <w:right w:w="108" w:type="dxa"/>
          </w:tblCellMar>
        </w:tblPrEx>
        <w:tc>
          <w:tcPr>
            <w:tcW w:w="1908" w:type="dxa"/>
            <w:tcBorders>
              <w:top w:val="nil"/>
              <w:left w:val="nil"/>
              <w:bottom w:val="nil"/>
              <w:right w:val="nil"/>
            </w:tcBorders>
          </w:tcPr>
          <w:p w14:paraId="32254008">
            <w:pPr>
              <w:pStyle w:val="22"/>
              <w:shd w:val="clear"/>
              <w:wordWrap w:val="0"/>
              <w:spacing w:line="500" w:lineRule="exact"/>
              <w:jc w:val="distribute"/>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电       话：</w:t>
            </w:r>
          </w:p>
        </w:tc>
        <w:tc>
          <w:tcPr>
            <w:tcW w:w="3960" w:type="dxa"/>
            <w:tcBorders>
              <w:top w:val="nil"/>
              <w:left w:val="nil"/>
              <w:bottom w:val="nil"/>
              <w:right w:val="nil"/>
            </w:tcBorders>
          </w:tcPr>
          <w:p w14:paraId="5EE4F249">
            <w:pPr>
              <w:pStyle w:val="22"/>
              <w:shd w:val="clear"/>
              <w:wordWrap w:val="0"/>
              <w:spacing w:line="500" w:lineRule="exact"/>
              <w:rPr>
                <w:rFonts w:cs="宋体" w:asciiTheme="minorEastAsia" w:hAnsiTheme="minorEastAsia" w:eastAsiaTheme="minorEastAsia"/>
                <w:bCs/>
                <w:color w:val="auto"/>
                <w:szCs w:val="21"/>
                <w:highlight w:val="none"/>
              </w:rPr>
            </w:pPr>
          </w:p>
        </w:tc>
      </w:tr>
    </w:tbl>
    <w:p w14:paraId="58C71E4B">
      <w:pPr>
        <w:pStyle w:val="22"/>
        <w:shd w:val="clear"/>
        <w:wordWrap w:val="0"/>
        <w:spacing w:line="500" w:lineRule="exact"/>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注</w:t>
      </w:r>
      <w:r>
        <w:rPr>
          <w:rFonts w:hint="eastAsia" w:cs="宋体" w:asciiTheme="minorEastAsia" w:hAnsiTheme="minorEastAsia" w:eastAsiaTheme="minorEastAsia"/>
          <w:bCs/>
          <w:color w:val="auto"/>
          <w:szCs w:val="21"/>
          <w:highlight w:val="none"/>
          <w:lang w:eastAsia="zh-CN"/>
        </w:rPr>
        <w:t>：</w:t>
      </w:r>
    </w:p>
    <w:p w14:paraId="479EC778">
      <w:pPr>
        <w:pStyle w:val="22"/>
        <w:shd w:val="clear"/>
        <w:wordWrap w:val="0"/>
        <w:spacing w:line="500" w:lineRule="exact"/>
        <w:ind w:firstLine="42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1.委托代理人出席开标会时，应提供本人居民身份证（如非中国国籍应提供护照）原件交由工作人员现场登记。</w:t>
      </w:r>
    </w:p>
    <w:p w14:paraId="0942558C">
      <w:pPr>
        <w:pStyle w:val="22"/>
        <w:shd w:val="clear"/>
        <w:wordWrap w:val="0"/>
        <w:spacing w:line="500" w:lineRule="exact"/>
        <w:ind w:firstLine="420"/>
        <w:outlineLvl w:val="1"/>
        <w:rPr>
          <w:rFonts w:cs="宋体" w:asciiTheme="minorEastAsia" w:hAnsiTheme="minorEastAsia" w:eastAsiaTheme="minorEastAsia"/>
          <w:bCs/>
          <w:color w:val="auto"/>
          <w:szCs w:val="21"/>
          <w:highlight w:val="none"/>
        </w:rPr>
      </w:pPr>
      <w:bookmarkStart w:id="903" w:name="_Toc20528"/>
      <w:bookmarkStart w:id="904" w:name="_Toc22152"/>
      <w:bookmarkStart w:id="905" w:name="_Toc12316"/>
      <w:bookmarkStart w:id="906" w:name="_Toc24994"/>
      <w:r>
        <w:rPr>
          <w:rFonts w:hint="eastAsia" w:cs="宋体" w:asciiTheme="minorEastAsia" w:hAnsiTheme="minorEastAsia" w:eastAsiaTheme="minorEastAsia"/>
          <w:bCs/>
          <w:color w:val="auto"/>
          <w:szCs w:val="21"/>
          <w:highlight w:val="none"/>
        </w:rPr>
        <w:t>2.附委托代理人居民身份证扫描件。</w:t>
      </w:r>
      <w:bookmarkEnd w:id="903"/>
      <w:bookmarkEnd w:id="904"/>
      <w:bookmarkEnd w:id="905"/>
      <w:bookmarkEnd w:id="906"/>
    </w:p>
    <w:p w14:paraId="7245368F">
      <w:pPr>
        <w:pStyle w:val="22"/>
        <w:shd w:val="clear"/>
        <w:wordWrap w:val="0"/>
        <w:spacing w:line="360" w:lineRule="auto"/>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Cs/>
          <w:color w:val="auto"/>
          <w:sz w:val="28"/>
          <w:szCs w:val="28"/>
          <w:highlight w:val="none"/>
        </w:rPr>
        <w:br w:type="page"/>
      </w:r>
      <w:r>
        <w:rPr>
          <w:rFonts w:hint="eastAsia" w:cs="宋体" w:asciiTheme="minorEastAsia" w:hAnsiTheme="minorEastAsia" w:eastAsiaTheme="minorEastAsia"/>
          <w:b/>
          <w:color w:val="auto"/>
          <w:sz w:val="28"/>
          <w:szCs w:val="28"/>
          <w:highlight w:val="none"/>
        </w:rPr>
        <w:t>格式</w:t>
      </w:r>
      <w:r>
        <w:rPr>
          <w:rFonts w:cs="宋体" w:asciiTheme="minorEastAsia" w:hAnsiTheme="minorEastAsia" w:eastAsiaTheme="minorEastAsia"/>
          <w:b/>
          <w:color w:val="auto"/>
          <w:sz w:val="28"/>
          <w:szCs w:val="28"/>
          <w:highlight w:val="none"/>
        </w:rPr>
        <w:t>1</w:t>
      </w:r>
      <w:r>
        <w:rPr>
          <w:rFonts w:hint="eastAsia" w:cs="宋体" w:asciiTheme="minorEastAsia" w:hAnsiTheme="minorEastAsia" w:eastAsiaTheme="minorEastAsia"/>
          <w:b/>
          <w:color w:val="auto"/>
          <w:sz w:val="28"/>
          <w:szCs w:val="28"/>
          <w:highlight w:val="none"/>
          <w:lang w:val="en-US" w:eastAsia="zh-CN"/>
        </w:rPr>
        <w:t>2</w:t>
      </w:r>
      <w:r>
        <w:rPr>
          <w:rFonts w:hint="eastAsia" w:cs="宋体" w:asciiTheme="minorEastAsia" w:hAnsiTheme="minorEastAsia" w:eastAsiaTheme="minorEastAsia"/>
          <w:b/>
          <w:color w:val="auto"/>
          <w:sz w:val="28"/>
          <w:szCs w:val="28"/>
          <w:highlight w:val="none"/>
        </w:rPr>
        <w:t>：</w:t>
      </w:r>
    </w:p>
    <w:p w14:paraId="20CA6D06">
      <w:pPr>
        <w:pStyle w:val="4"/>
        <w:shd w:val="clear"/>
        <w:wordWrap w:val="0"/>
        <w:ind w:firstLine="0"/>
        <w:jc w:val="center"/>
        <w:rPr>
          <w:rFonts w:cs="宋体" w:asciiTheme="minorEastAsia" w:hAnsiTheme="minorEastAsia" w:eastAsiaTheme="minorEastAsia"/>
          <w:color w:val="auto"/>
          <w:sz w:val="32"/>
          <w:szCs w:val="32"/>
          <w:highlight w:val="none"/>
        </w:rPr>
      </w:pPr>
      <w:bookmarkStart w:id="907" w:name="_Toc14603922"/>
      <w:bookmarkStart w:id="908" w:name="_Toc12666"/>
      <w:bookmarkStart w:id="909" w:name="_Toc488633631"/>
      <w:bookmarkStart w:id="910" w:name="_Toc16654"/>
      <w:bookmarkStart w:id="911" w:name="_Toc2741"/>
      <w:bookmarkStart w:id="912" w:name="_Toc24835"/>
      <w:bookmarkStart w:id="913" w:name="_Toc481694859"/>
      <w:bookmarkStart w:id="914" w:name="_Toc15445"/>
      <w:bookmarkStart w:id="915" w:name="_Toc18287445"/>
      <w:bookmarkStart w:id="916" w:name="_Toc489197870"/>
      <w:bookmarkStart w:id="917" w:name="_Toc489145766"/>
      <w:bookmarkStart w:id="918" w:name="_Toc21642"/>
      <w:r>
        <w:rPr>
          <w:rFonts w:hint="eastAsia" w:cs="宋体" w:asciiTheme="minorEastAsia" w:hAnsiTheme="minorEastAsia" w:eastAsiaTheme="minorEastAsia"/>
          <w:color w:val="auto"/>
          <w:sz w:val="32"/>
          <w:szCs w:val="32"/>
          <w:highlight w:val="none"/>
        </w:rPr>
        <w:t>投标人具备参加政府采购活动条件承诺书</w:t>
      </w:r>
      <w:bookmarkEnd w:id="907"/>
      <w:bookmarkEnd w:id="908"/>
      <w:bookmarkEnd w:id="909"/>
      <w:bookmarkEnd w:id="910"/>
      <w:bookmarkEnd w:id="911"/>
      <w:bookmarkEnd w:id="912"/>
      <w:bookmarkEnd w:id="913"/>
      <w:bookmarkEnd w:id="914"/>
      <w:bookmarkEnd w:id="915"/>
      <w:bookmarkEnd w:id="916"/>
      <w:bookmarkEnd w:id="917"/>
      <w:bookmarkEnd w:id="918"/>
    </w:p>
    <w:p w14:paraId="08489460">
      <w:pPr>
        <w:shd w:val="clear"/>
        <w:wordWrap w:val="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致：（采购人名称）</w:t>
      </w:r>
    </w:p>
    <w:p w14:paraId="3BBA0905">
      <w:pPr>
        <w:shd w:val="clear"/>
        <w:wordWrap w:val="0"/>
        <w:ind w:firstLine="420" w:firstLineChars="200"/>
        <w:jc w:val="center"/>
        <w:rPr>
          <w:rFonts w:cs="宋体" w:asciiTheme="minorEastAsia" w:hAnsiTheme="minorEastAsia" w:eastAsiaTheme="minorEastAsia"/>
          <w:bCs/>
          <w:color w:val="auto"/>
          <w:szCs w:val="21"/>
          <w:highlight w:val="none"/>
        </w:rPr>
      </w:pPr>
    </w:p>
    <w:p w14:paraId="32BE7C32">
      <w:pPr>
        <w:shd w:val="clear"/>
        <w:wordWrap w:val="0"/>
        <w:ind w:firstLine="420" w:firstLineChars="200"/>
        <w:jc w:val="center"/>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（投标人自行承诺及说明，内容自拟）</w:t>
      </w:r>
    </w:p>
    <w:p w14:paraId="03CCECF4">
      <w:pPr>
        <w:shd w:val="clear"/>
        <w:wordWrap w:val="0"/>
        <w:ind w:firstLine="420" w:firstLineChars="200"/>
        <w:rPr>
          <w:rFonts w:cs="宋体" w:asciiTheme="minorEastAsia" w:hAnsiTheme="minorEastAsia" w:eastAsiaTheme="minorEastAsia"/>
          <w:bCs/>
          <w:color w:val="auto"/>
          <w:szCs w:val="21"/>
          <w:highlight w:val="none"/>
        </w:rPr>
      </w:pPr>
    </w:p>
    <w:p w14:paraId="24FD49B1">
      <w:pPr>
        <w:shd w:val="clear"/>
        <w:wordWrap w:val="0"/>
        <w:ind w:firstLine="420" w:firstLineChars="200"/>
        <w:rPr>
          <w:rFonts w:cs="宋体" w:asciiTheme="minorEastAsia" w:hAnsiTheme="minorEastAsia" w:eastAsiaTheme="minorEastAsia"/>
          <w:bCs/>
          <w:color w:val="auto"/>
          <w:szCs w:val="21"/>
          <w:highlight w:val="none"/>
        </w:rPr>
      </w:pPr>
    </w:p>
    <w:p w14:paraId="524ABE53">
      <w:pPr>
        <w:shd w:val="clear"/>
        <w:wordWrap w:val="0"/>
        <w:ind w:firstLine="420" w:firstLineChars="200"/>
        <w:rPr>
          <w:rFonts w:cs="宋体" w:asciiTheme="minorEastAsia" w:hAnsiTheme="minorEastAsia" w:eastAsiaTheme="minorEastAsia"/>
          <w:bCs/>
          <w:color w:val="auto"/>
          <w:szCs w:val="21"/>
          <w:highlight w:val="none"/>
        </w:rPr>
      </w:pPr>
    </w:p>
    <w:p w14:paraId="3F2F101C">
      <w:pPr>
        <w:shd w:val="clear"/>
        <w:wordWrap w:val="0"/>
        <w:ind w:firstLine="420" w:firstLineChars="200"/>
        <w:rPr>
          <w:rFonts w:cs="宋体" w:asciiTheme="minorEastAsia" w:hAnsiTheme="minorEastAsia" w:eastAsiaTheme="minorEastAsia"/>
          <w:bCs/>
          <w:color w:val="auto"/>
          <w:szCs w:val="21"/>
          <w:highlight w:val="none"/>
        </w:rPr>
      </w:pPr>
    </w:p>
    <w:p w14:paraId="1F06B8EF">
      <w:pPr>
        <w:shd w:val="clear"/>
        <w:wordWrap w:val="0"/>
        <w:ind w:firstLine="420" w:firstLineChars="200"/>
        <w:rPr>
          <w:rFonts w:cs="宋体" w:asciiTheme="minorEastAsia" w:hAnsiTheme="minorEastAsia" w:eastAsiaTheme="minorEastAsia"/>
          <w:bCs/>
          <w:color w:val="auto"/>
          <w:szCs w:val="21"/>
          <w:highlight w:val="none"/>
        </w:rPr>
      </w:pPr>
    </w:p>
    <w:p w14:paraId="771CAFE5">
      <w:pPr>
        <w:shd w:val="clear"/>
        <w:wordWrap w:val="0"/>
        <w:ind w:firstLine="420" w:firstLineChars="200"/>
        <w:rPr>
          <w:rFonts w:cs="宋体" w:asciiTheme="minorEastAsia" w:hAnsiTheme="minorEastAsia" w:eastAsiaTheme="minorEastAsia"/>
          <w:bCs/>
          <w:color w:val="auto"/>
          <w:szCs w:val="21"/>
          <w:highlight w:val="none"/>
        </w:rPr>
      </w:pPr>
    </w:p>
    <w:p w14:paraId="1C3CC635">
      <w:pPr>
        <w:shd w:val="clear"/>
        <w:wordWrap w:val="0"/>
        <w:ind w:firstLine="420" w:firstLineChars="200"/>
        <w:rPr>
          <w:rFonts w:cs="宋体" w:asciiTheme="minorEastAsia" w:hAnsiTheme="minorEastAsia" w:eastAsiaTheme="minorEastAsia"/>
          <w:bCs/>
          <w:color w:val="auto"/>
          <w:szCs w:val="21"/>
          <w:highlight w:val="none"/>
        </w:rPr>
      </w:pPr>
    </w:p>
    <w:p w14:paraId="054F2350">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投标人（加盖投标人电子公章）：</w:t>
      </w:r>
    </w:p>
    <w:p w14:paraId="175B3354">
      <w:pPr>
        <w:shd w:val="clear"/>
        <w:wordWrap w:val="0"/>
        <w:ind w:firstLine="420" w:firstLineChars="200"/>
        <w:rPr>
          <w:rFonts w:cs="宋体" w:asciiTheme="minorEastAsia" w:hAnsiTheme="minorEastAsia" w:eastAsiaTheme="minorEastAsia"/>
          <w:bCs/>
          <w:color w:val="auto"/>
          <w:szCs w:val="21"/>
          <w:highlight w:val="none"/>
        </w:rPr>
      </w:pPr>
    </w:p>
    <w:p w14:paraId="73544BFD">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法定代表人（电子签名或签章）：</w:t>
      </w:r>
    </w:p>
    <w:p w14:paraId="6AF16DEF">
      <w:pPr>
        <w:shd w:val="clear"/>
        <w:wordWrap w:val="0"/>
        <w:ind w:firstLine="420" w:firstLineChars="200"/>
        <w:rPr>
          <w:rFonts w:cs="宋体" w:asciiTheme="minorEastAsia" w:hAnsiTheme="minorEastAsia" w:eastAsiaTheme="minorEastAsia"/>
          <w:bCs/>
          <w:color w:val="auto"/>
          <w:szCs w:val="21"/>
          <w:highlight w:val="none"/>
        </w:rPr>
      </w:pPr>
    </w:p>
    <w:p w14:paraId="64CB9297">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日期：</w:t>
      </w:r>
    </w:p>
    <w:p w14:paraId="7FECEC6E">
      <w:pPr>
        <w:shd w:val="clear"/>
        <w:wordWrap w:val="0"/>
        <w:ind w:firstLine="420" w:firstLineChars="200"/>
        <w:rPr>
          <w:rFonts w:cs="宋体" w:asciiTheme="minorEastAsia" w:hAnsiTheme="minorEastAsia" w:eastAsiaTheme="minorEastAsia"/>
          <w:bCs/>
          <w:color w:val="auto"/>
          <w:szCs w:val="21"/>
          <w:highlight w:val="none"/>
        </w:rPr>
      </w:pPr>
    </w:p>
    <w:p w14:paraId="08705CD4">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注：</w:t>
      </w:r>
    </w:p>
    <w:p w14:paraId="67BFE5B9">
      <w:pPr>
        <w:shd w:val="clear"/>
        <w:wordWrap w:val="0"/>
        <w:ind w:firstLine="420" w:firstLineChars="20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1.投标人应对是否满足“具有独立承担民事责任的能力；良好的商业信誉和健全的财务会计制度；具有履行合同所必需的设备和专业技术能力</w:t>
      </w:r>
      <w:r>
        <w:rPr>
          <w:rFonts w:hint="eastAsia" w:cs="宋体" w:asciiTheme="minorEastAsia" w:hAnsiTheme="minorEastAsia" w:eastAsiaTheme="minorEastAsia"/>
          <w:bCs/>
          <w:color w:val="auto"/>
          <w:szCs w:val="21"/>
          <w:highlight w:val="none"/>
          <w:lang w:eastAsia="zh-CN"/>
        </w:rPr>
        <w:t>；具</w:t>
      </w:r>
      <w:r>
        <w:rPr>
          <w:rFonts w:hint="eastAsia" w:cs="宋体" w:asciiTheme="minorEastAsia" w:hAnsiTheme="minorEastAsia" w:eastAsiaTheme="minorEastAsia"/>
          <w:bCs/>
          <w:color w:val="auto"/>
          <w:szCs w:val="21"/>
          <w:highlight w:val="none"/>
        </w:rPr>
        <w:t>有依法缴纳税收和社会保障资金的良好记录；参加政府采购活动前三年内，在经营活动中没有重大违法记录；法律、行政法规规定的其他条件。”（《政府采购法》第二十二条规定）进行说明和承诺；</w:t>
      </w:r>
    </w:p>
    <w:p w14:paraId="457F2791">
      <w:pPr>
        <w:shd w:val="clear"/>
        <w:wordWrap w:val="0"/>
        <w:ind w:firstLine="420" w:firstLineChars="200"/>
        <w:outlineLvl w:val="1"/>
        <w:rPr>
          <w:rFonts w:cs="宋体" w:asciiTheme="minorEastAsia" w:hAnsiTheme="minorEastAsia" w:eastAsiaTheme="minorEastAsia"/>
          <w:bCs/>
          <w:color w:val="auto"/>
          <w:szCs w:val="21"/>
          <w:highlight w:val="none"/>
        </w:rPr>
      </w:pPr>
      <w:bookmarkStart w:id="919" w:name="_Toc23722"/>
      <w:bookmarkStart w:id="920" w:name="_Toc6427"/>
      <w:bookmarkStart w:id="921" w:name="_Toc13151"/>
      <w:bookmarkStart w:id="922" w:name="_Toc19134"/>
      <w:r>
        <w:rPr>
          <w:rFonts w:hint="eastAsia" w:cs="宋体" w:asciiTheme="minorEastAsia" w:hAnsiTheme="minorEastAsia" w:eastAsiaTheme="minorEastAsia"/>
          <w:bCs/>
          <w:color w:val="auto"/>
          <w:szCs w:val="21"/>
          <w:highlight w:val="none"/>
        </w:rPr>
        <w:t>2.若招标文件中明确要求提供证明资料的，以证明资料为准。</w:t>
      </w:r>
      <w:bookmarkEnd w:id="919"/>
      <w:bookmarkEnd w:id="920"/>
      <w:bookmarkEnd w:id="921"/>
      <w:bookmarkEnd w:id="922"/>
    </w:p>
    <w:p w14:paraId="5730E4EE">
      <w:pPr>
        <w:shd w:val="clear"/>
        <w:wordWrap w:val="0"/>
        <w:ind w:firstLine="4410" w:firstLineChars="2100"/>
        <w:rPr>
          <w:rFonts w:cs="宋体" w:asciiTheme="minorEastAsia" w:hAnsiTheme="minorEastAsia" w:eastAsiaTheme="minorEastAsia"/>
          <w:bCs/>
          <w:color w:val="auto"/>
          <w:szCs w:val="21"/>
          <w:highlight w:val="none"/>
        </w:rPr>
      </w:pPr>
    </w:p>
    <w:p w14:paraId="574445B4">
      <w:pPr>
        <w:shd w:val="clear"/>
        <w:wordWrap w:val="0"/>
        <w:spacing w:line="360" w:lineRule="auto"/>
        <w:jc w:val="left"/>
        <w:rPr>
          <w:rFonts w:cs="宋体" w:asciiTheme="minorEastAsia" w:hAnsiTheme="minorEastAsia" w:eastAsiaTheme="minorEastAsia"/>
          <w:bCs/>
          <w:color w:val="auto"/>
          <w:szCs w:val="21"/>
          <w:highlight w:val="none"/>
        </w:rPr>
      </w:pPr>
    </w:p>
    <w:p w14:paraId="34D9B0B0">
      <w:pPr>
        <w:shd w:val="clear"/>
        <w:wordWrap w:val="0"/>
        <w:spacing w:line="360" w:lineRule="auto"/>
        <w:jc w:val="left"/>
        <w:rPr>
          <w:rFonts w:cs="宋体" w:asciiTheme="minorEastAsia" w:hAnsiTheme="minorEastAsia" w:eastAsiaTheme="minorEastAsia"/>
          <w:bCs/>
          <w:color w:val="auto"/>
          <w:szCs w:val="21"/>
          <w:highlight w:val="none"/>
        </w:rPr>
      </w:pPr>
    </w:p>
    <w:p w14:paraId="4003058D">
      <w:pPr>
        <w:pStyle w:val="22"/>
        <w:shd w:val="clear"/>
        <w:wordWrap w:val="0"/>
        <w:spacing w:line="360" w:lineRule="auto"/>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Cs/>
          <w:color w:val="auto"/>
          <w:sz w:val="28"/>
          <w:szCs w:val="28"/>
          <w:highlight w:val="none"/>
        </w:rPr>
        <w:br w:type="page"/>
      </w:r>
      <w:r>
        <w:rPr>
          <w:rFonts w:hint="eastAsia" w:cs="宋体" w:asciiTheme="minorEastAsia" w:hAnsiTheme="minorEastAsia" w:eastAsiaTheme="minorEastAsia"/>
          <w:b/>
          <w:color w:val="auto"/>
          <w:sz w:val="28"/>
          <w:szCs w:val="28"/>
          <w:highlight w:val="none"/>
        </w:rPr>
        <w:t>格式</w:t>
      </w:r>
      <w:r>
        <w:rPr>
          <w:rFonts w:cs="宋体" w:asciiTheme="minorEastAsia" w:hAnsiTheme="minorEastAsia" w:eastAsiaTheme="minorEastAsia"/>
          <w:b/>
          <w:color w:val="auto"/>
          <w:sz w:val="28"/>
          <w:szCs w:val="28"/>
          <w:highlight w:val="none"/>
        </w:rPr>
        <w:t>1</w:t>
      </w:r>
      <w:r>
        <w:rPr>
          <w:rFonts w:hint="eastAsia" w:cs="宋体" w:asciiTheme="minorEastAsia" w:hAnsiTheme="minorEastAsia" w:eastAsiaTheme="minorEastAsia"/>
          <w:b/>
          <w:color w:val="auto"/>
          <w:sz w:val="28"/>
          <w:szCs w:val="28"/>
          <w:highlight w:val="none"/>
          <w:lang w:val="en-US" w:eastAsia="zh-CN"/>
        </w:rPr>
        <w:t>3</w:t>
      </w:r>
      <w:r>
        <w:rPr>
          <w:rFonts w:hint="eastAsia" w:cs="宋体" w:asciiTheme="minorEastAsia" w:hAnsiTheme="minorEastAsia" w:eastAsiaTheme="minorEastAsia"/>
          <w:b/>
          <w:color w:val="auto"/>
          <w:sz w:val="28"/>
          <w:szCs w:val="28"/>
          <w:highlight w:val="none"/>
        </w:rPr>
        <w:t>：</w:t>
      </w:r>
    </w:p>
    <w:p w14:paraId="49B4A204">
      <w:pPr>
        <w:shd w:val="clear"/>
        <w:tabs>
          <w:tab w:val="left" w:pos="5580"/>
        </w:tabs>
        <w:wordWrap w:val="0"/>
        <w:spacing w:line="240" w:lineRule="atLeast"/>
        <w:jc w:val="center"/>
        <w:rPr>
          <w:rFonts w:cs="宋体" w:asciiTheme="minorEastAsia" w:hAnsiTheme="minorEastAsia" w:eastAsiaTheme="minorEastAsia"/>
          <w:b/>
          <w:color w:val="auto"/>
          <w:sz w:val="28"/>
          <w:highlight w:val="none"/>
        </w:rPr>
      </w:pPr>
      <w:bookmarkStart w:id="923" w:name="_Toc419059324"/>
      <w:r>
        <w:rPr>
          <w:rFonts w:hint="eastAsia" w:cs="宋体" w:asciiTheme="minorEastAsia" w:hAnsiTheme="minorEastAsia" w:eastAsiaTheme="minorEastAsia"/>
          <w:b/>
          <w:color w:val="auto"/>
          <w:sz w:val="28"/>
          <w:highlight w:val="none"/>
        </w:rPr>
        <w:t>《中小企业声明函》（符合《政府采购促进中小企业发展管理办法》（财库[2020]46号）价格扣减条件的投标人需提交）</w:t>
      </w:r>
    </w:p>
    <w:p w14:paraId="437D6218">
      <w:pPr>
        <w:pStyle w:val="4"/>
        <w:shd w:val="clear"/>
        <w:wordWrap w:val="0"/>
        <w:ind w:firstLine="0"/>
        <w:jc w:val="center"/>
        <w:rPr>
          <w:rFonts w:cs="宋体" w:asciiTheme="minorEastAsia" w:hAnsiTheme="minorEastAsia" w:eastAsiaTheme="minorEastAsia"/>
          <w:color w:val="auto"/>
          <w:szCs w:val="32"/>
          <w:highlight w:val="none"/>
        </w:rPr>
      </w:pPr>
      <w:bookmarkStart w:id="924" w:name="_Toc10743"/>
      <w:bookmarkStart w:id="925" w:name="_Toc9204"/>
      <w:bookmarkStart w:id="926" w:name="_Toc23390"/>
      <w:bookmarkStart w:id="927" w:name="_Toc24745"/>
      <w:bookmarkStart w:id="928" w:name="_Toc10683"/>
      <w:bookmarkStart w:id="929" w:name="_Toc30420"/>
      <w:r>
        <w:rPr>
          <w:rFonts w:hint="eastAsia" w:cs="宋体" w:asciiTheme="minorEastAsia" w:hAnsiTheme="minorEastAsia" w:eastAsiaTheme="minorEastAsia"/>
          <w:color w:val="auto"/>
          <w:szCs w:val="32"/>
          <w:highlight w:val="none"/>
        </w:rPr>
        <w:t>中小企业声明函</w:t>
      </w:r>
      <w:bookmarkEnd w:id="924"/>
      <w:bookmarkEnd w:id="925"/>
      <w:bookmarkEnd w:id="926"/>
    </w:p>
    <w:p w14:paraId="0AE959F6">
      <w:pPr>
        <w:shd w:val="clear"/>
        <w:wordWrap w:val="0"/>
        <w:spacing w:line="432" w:lineRule="auto"/>
        <w:ind w:firstLine="444" w:firstLineChars="200"/>
        <w:rPr>
          <w:rFonts w:cs="宋体" w:asciiTheme="minorEastAsia" w:hAnsiTheme="minorEastAsia" w:eastAsiaTheme="minorEastAsia"/>
          <w:bCs/>
          <w:color w:val="auto"/>
          <w:spacing w:val="6"/>
          <w:szCs w:val="21"/>
          <w:highlight w:val="none"/>
        </w:rPr>
      </w:pPr>
    </w:p>
    <w:p w14:paraId="2FF87697">
      <w:pPr>
        <w:widowControl/>
        <w:shd w:val="clear"/>
        <w:wordWrap w:val="0"/>
        <w:spacing w:line="360" w:lineRule="auto"/>
        <w:ind w:firstLine="420" w:firstLineChars="200"/>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lang w:bidi="ar"/>
        </w:rPr>
        <w:t>本公司（联合体）郑重声明，根据《政府采购促进中小企业发展管理办法》（财库﹝2020﹞46 号）的规定，本公司（联合体）参加</w:t>
      </w:r>
      <w:r>
        <w:rPr>
          <w:rFonts w:hint="eastAsia" w:cs="宋体" w:asciiTheme="minorEastAsia" w:hAnsiTheme="minorEastAsia" w:eastAsiaTheme="minorEastAsia"/>
          <w:bCs/>
          <w:snapToGrid w:val="0"/>
          <w:color w:val="auto"/>
          <w:kern w:val="0"/>
          <w:szCs w:val="21"/>
          <w:highlight w:val="none"/>
          <w:u w:val="single"/>
          <w:lang w:bidi="ar"/>
        </w:rPr>
        <w:t xml:space="preserve">   （单位名称）   </w:t>
      </w:r>
      <w:r>
        <w:rPr>
          <w:rFonts w:hint="eastAsia" w:cs="宋体" w:asciiTheme="minorEastAsia" w:hAnsiTheme="minorEastAsia" w:eastAsiaTheme="minorEastAsia"/>
          <w:bCs/>
          <w:snapToGrid w:val="0"/>
          <w:color w:val="auto"/>
          <w:kern w:val="0"/>
          <w:szCs w:val="21"/>
          <w:highlight w:val="none"/>
          <w:lang w:bidi="ar"/>
        </w:rPr>
        <w:t>的</w:t>
      </w:r>
      <w:r>
        <w:rPr>
          <w:rFonts w:hint="eastAsia" w:cs="宋体" w:asciiTheme="minorEastAsia" w:hAnsiTheme="minorEastAsia" w:eastAsiaTheme="minorEastAsia"/>
          <w:bCs/>
          <w:snapToGrid w:val="0"/>
          <w:color w:val="auto"/>
          <w:kern w:val="0"/>
          <w:szCs w:val="21"/>
          <w:highlight w:val="none"/>
          <w:u w:val="single"/>
          <w:lang w:bidi="ar"/>
        </w:rPr>
        <w:t xml:space="preserve">   （项目名称）   </w:t>
      </w:r>
      <w:r>
        <w:rPr>
          <w:rFonts w:hint="eastAsia" w:cs="宋体" w:asciiTheme="minorEastAsia" w:hAnsiTheme="minorEastAsia" w:eastAsiaTheme="minorEastAsia"/>
          <w:bCs/>
          <w:snapToGrid w:val="0"/>
          <w:color w:val="auto"/>
          <w:kern w:val="0"/>
          <w:szCs w:val="21"/>
          <w:highlight w:val="none"/>
          <w:lang w:bidi="ar"/>
        </w:rPr>
        <w:t>采购活动，服务全部由符合政策要求的中小企业承接。相关企业（含联合体中的中小企业、签订分包意向协议的中小企业）的具体情况如下：</w:t>
      </w:r>
    </w:p>
    <w:p w14:paraId="380B961B">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lang w:bidi="ar"/>
        </w:rPr>
        <w:t>1.</w:t>
      </w:r>
      <w:r>
        <w:rPr>
          <w:rFonts w:hint="eastAsia" w:cs="宋体" w:asciiTheme="minorEastAsia" w:hAnsiTheme="minorEastAsia" w:eastAsiaTheme="minorEastAsia"/>
          <w:bCs/>
          <w:snapToGrid w:val="0"/>
          <w:color w:val="auto"/>
          <w:kern w:val="0"/>
          <w:szCs w:val="21"/>
          <w:highlight w:val="none"/>
          <w:u w:val="single"/>
          <w:lang w:bidi="ar"/>
        </w:rPr>
        <w:t xml:space="preserve"> （标的名称） </w:t>
      </w:r>
      <w:r>
        <w:rPr>
          <w:rFonts w:hint="eastAsia" w:cs="宋体" w:asciiTheme="minorEastAsia" w:hAnsiTheme="minorEastAsia" w:eastAsiaTheme="minorEastAsia"/>
          <w:bCs/>
          <w:snapToGrid w:val="0"/>
          <w:color w:val="auto"/>
          <w:kern w:val="0"/>
          <w:szCs w:val="21"/>
          <w:highlight w:val="none"/>
          <w:lang w:bidi="ar"/>
        </w:rPr>
        <w:t>，属于</w:t>
      </w:r>
      <w:r>
        <w:rPr>
          <w:rFonts w:hint="eastAsia" w:cs="宋体" w:asciiTheme="minorEastAsia" w:hAnsiTheme="minorEastAsia" w:eastAsiaTheme="minorEastAsia"/>
          <w:bCs/>
          <w:snapToGrid w:val="0"/>
          <w:color w:val="auto"/>
          <w:kern w:val="0"/>
          <w:szCs w:val="21"/>
          <w:highlight w:val="none"/>
          <w:u w:val="single"/>
          <w:lang w:bidi="ar"/>
        </w:rPr>
        <w:t>（采购文件中明确的所属行业）</w:t>
      </w:r>
      <w:r>
        <w:rPr>
          <w:rFonts w:hint="eastAsia" w:cs="宋体" w:asciiTheme="minorEastAsia" w:hAnsiTheme="minorEastAsia" w:eastAsiaTheme="minorEastAsia"/>
          <w:bCs/>
          <w:snapToGrid w:val="0"/>
          <w:color w:val="auto"/>
          <w:kern w:val="0"/>
          <w:szCs w:val="21"/>
          <w:highlight w:val="none"/>
          <w:lang w:bidi="ar"/>
        </w:rPr>
        <w:t>；承建（承接）企业为</w:t>
      </w:r>
      <w:r>
        <w:rPr>
          <w:rFonts w:hint="eastAsia" w:cs="宋体" w:asciiTheme="minorEastAsia" w:hAnsiTheme="minorEastAsia" w:eastAsiaTheme="minorEastAsia"/>
          <w:bCs/>
          <w:snapToGrid w:val="0"/>
          <w:color w:val="auto"/>
          <w:kern w:val="0"/>
          <w:szCs w:val="21"/>
          <w:highlight w:val="none"/>
          <w:u w:val="single"/>
          <w:lang w:bidi="ar"/>
        </w:rPr>
        <w:t xml:space="preserve">   （企业名称）   </w:t>
      </w:r>
      <w:r>
        <w:rPr>
          <w:rFonts w:hint="eastAsia" w:cs="宋体" w:asciiTheme="minorEastAsia" w:hAnsiTheme="minorEastAsia" w:eastAsiaTheme="minorEastAsia"/>
          <w:bCs/>
          <w:snapToGrid w:val="0"/>
          <w:color w:val="auto"/>
          <w:kern w:val="0"/>
          <w:szCs w:val="21"/>
          <w:highlight w:val="none"/>
          <w:lang w:bidi="ar"/>
        </w:rPr>
        <w:t>，从业人员</w:t>
      </w:r>
      <w:r>
        <w:rPr>
          <w:rFonts w:hint="eastAsia" w:cs="宋体" w:asciiTheme="minorEastAsia" w:hAnsiTheme="minorEastAsia" w:eastAsiaTheme="minorEastAsia"/>
          <w:bCs/>
          <w:snapToGrid w:val="0"/>
          <w:color w:val="auto"/>
          <w:kern w:val="0"/>
          <w:szCs w:val="21"/>
          <w:highlight w:val="none"/>
          <w:u w:val="single"/>
          <w:lang w:bidi="ar"/>
        </w:rPr>
        <w:t xml:space="preserve">   </w:t>
      </w:r>
      <w:r>
        <w:rPr>
          <w:rFonts w:hint="eastAsia" w:cs="宋体" w:asciiTheme="minorEastAsia" w:hAnsiTheme="minorEastAsia" w:eastAsiaTheme="minorEastAsia"/>
          <w:bCs/>
          <w:snapToGrid w:val="0"/>
          <w:color w:val="auto"/>
          <w:kern w:val="0"/>
          <w:szCs w:val="21"/>
          <w:highlight w:val="none"/>
          <w:lang w:bidi="ar"/>
        </w:rPr>
        <w:t>人，营业收入为</w:t>
      </w:r>
      <w:r>
        <w:rPr>
          <w:rFonts w:hint="eastAsia" w:cs="宋体" w:asciiTheme="minorEastAsia" w:hAnsiTheme="minorEastAsia" w:eastAsiaTheme="minorEastAsia"/>
          <w:bCs/>
          <w:snapToGrid w:val="0"/>
          <w:color w:val="auto"/>
          <w:kern w:val="0"/>
          <w:szCs w:val="21"/>
          <w:highlight w:val="none"/>
          <w:u w:val="single"/>
          <w:lang w:bidi="ar"/>
        </w:rPr>
        <w:t xml:space="preserve">   </w:t>
      </w:r>
      <w:r>
        <w:rPr>
          <w:rFonts w:hint="eastAsia" w:cs="宋体" w:asciiTheme="minorEastAsia" w:hAnsiTheme="minorEastAsia" w:eastAsiaTheme="minorEastAsia"/>
          <w:bCs/>
          <w:snapToGrid w:val="0"/>
          <w:color w:val="auto"/>
          <w:kern w:val="0"/>
          <w:szCs w:val="21"/>
          <w:highlight w:val="none"/>
          <w:lang w:bidi="ar"/>
        </w:rPr>
        <w:t>万元，资产总额为</w:t>
      </w:r>
      <w:r>
        <w:rPr>
          <w:rFonts w:hint="eastAsia" w:cs="宋体" w:asciiTheme="minorEastAsia" w:hAnsiTheme="minorEastAsia" w:eastAsiaTheme="minorEastAsia"/>
          <w:bCs/>
          <w:snapToGrid w:val="0"/>
          <w:color w:val="auto"/>
          <w:kern w:val="0"/>
          <w:szCs w:val="21"/>
          <w:highlight w:val="none"/>
          <w:u w:val="single"/>
          <w:lang w:bidi="ar"/>
        </w:rPr>
        <w:t xml:space="preserve">   </w:t>
      </w:r>
      <w:r>
        <w:rPr>
          <w:rFonts w:hint="eastAsia" w:cs="宋体" w:asciiTheme="minorEastAsia" w:hAnsiTheme="minorEastAsia" w:eastAsiaTheme="minorEastAsia"/>
          <w:bCs/>
          <w:snapToGrid w:val="0"/>
          <w:color w:val="auto"/>
          <w:kern w:val="0"/>
          <w:szCs w:val="21"/>
          <w:highlight w:val="none"/>
          <w:lang w:bidi="ar"/>
        </w:rPr>
        <w:t>万元</w:t>
      </w:r>
      <w:r>
        <w:rPr>
          <w:rFonts w:hint="eastAsia" w:cs="宋体" w:asciiTheme="minorEastAsia" w:hAnsiTheme="minorEastAsia" w:eastAsiaTheme="minorEastAsia"/>
          <w:bCs/>
          <w:snapToGrid w:val="0"/>
          <w:color w:val="auto"/>
          <w:kern w:val="0"/>
          <w:szCs w:val="21"/>
          <w:highlight w:val="none"/>
          <w:vertAlign w:val="superscript"/>
          <w:lang w:bidi="ar"/>
        </w:rPr>
        <w:t>1</w:t>
      </w:r>
      <w:r>
        <w:rPr>
          <w:rFonts w:hint="eastAsia" w:cs="宋体" w:asciiTheme="minorEastAsia" w:hAnsiTheme="minorEastAsia" w:eastAsiaTheme="minorEastAsia"/>
          <w:bCs/>
          <w:snapToGrid w:val="0"/>
          <w:color w:val="auto"/>
          <w:kern w:val="0"/>
          <w:szCs w:val="21"/>
          <w:highlight w:val="none"/>
          <w:lang w:bidi="ar"/>
        </w:rPr>
        <w:t>，属于</w:t>
      </w:r>
      <w:r>
        <w:rPr>
          <w:rFonts w:hint="eastAsia" w:cs="宋体" w:asciiTheme="minorEastAsia" w:hAnsiTheme="minorEastAsia" w:eastAsiaTheme="minorEastAsia"/>
          <w:bCs/>
          <w:snapToGrid w:val="0"/>
          <w:color w:val="auto"/>
          <w:kern w:val="0"/>
          <w:szCs w:val="21"/>
          <w:highlight w:val="none"/>
          <w:u w:val="single"/>
          <w:lang w:bidi="ar"/>
        </w:rPr>
        <w:t>（中型企业、小型企业、微型企业）</w:t>
      </w:r>
      <w:r>
        <w:rPr>
          <w:rFonts w:hint="eastAsia" w:cs="宋体" w:asciiTheme="minorEastAsia" w:hAnsiTheme="minorEastAsia" w:eastAsiaTheme="minorEastAsia"/>
          <w:bCs/>
          <w:snapToGrid w:val="0"/>
          <w:color w:val="auto"/>
          <w:kern w:val="0"/>
          <w:szCs w:val="21"/>
          <w:highlight w:val="none"/>
          <w:lang w:bidi="ar"/>
        </w:rPr>
        <w:t>；</w:t>
      </w:r>
    </w:p>
    <w:p w14:paraId="115A0B36">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lang w:bidi="ar"/>
        </w:rPr>
        <w:t>2</w:t>
      </w:r>
      <w:r>
        <w:rPr>
          <w:rFonts w:hint="eastAsia" w:cs="宋体" w:asciiTheme="minorEastAsia" w:hAnsiTheme="minorEastAsia" w:eastAsiaTheme="minorEastAsia"/>
          <w:bCs/>
          <w:snapToGrid w:val="0"/>
          <w:color w:val="auto"/>
          <w:kern w:val="0"/>
          <w:szCs w:val="21"/>
          <w:highlight w:val="none"/>
          <w:u w:val="single"/>
          <w:lang w:bidi="ar"/>
        </w:rPr>
        <w:t xml:space="preserve">. （标的名称） </w:t>
      </w:r>
      <w:r>
        <w:rPr>
          <w:rFonts w:hint="eastAsia" w:cs="宋体" w:asciiTheme="minorEastAsia" w:hAnsiTheme="minorEastAsia" w:eastAsiaTheme="minorEastAsia"/>
          <w:bCs/>
          <w:snapToGrid w:val="0"/>
          <w:color w:val="auto"/>
          <w:kern w:val="0"/>
          <w:szCs w:val="21"/>
          <w:highlight w:val="none"/>
          <w:lang w:bidi="ar"/>
        </w:rPr>
        <w:t>，属于</w:t>
      </w:r>
      <w:r>
        <w:rPr>
          <w:rFonts w:hint="eastAsia" w:cs="宋体" w:asciiTheme="minorEastAsia" w:hAnsiTheme="minorEastAsia" w:eastAsiaTheme="minorEastAsia"/>
          <w:bCs/>
          <w:snapToGrid w:val="0"/>
          <w:color w:val="auto"/>
          <w:kern w:val="0"/>
          <w:szCs w:val="21"/>
          <w:highlight w:val="none"/>
          <w:u w:val="single"/>
          <w:lang w:bidi="ar"/>
        </w:rPr>
        <w:t>（采购文件中明确的所属行业）</w:t>
      </w:r>
      <w:r>
        <w:rPr>
          <w:rFonts w:hint="eastAsia" w:cs="宋体" w:asciiTheme="minorEastAsia" w:hAnsiTheme="minorEastAsia" w:eastAsiaTheme="minorEastAsia"/>
          <w:bCs/>
          <w:snapToGrid w:val="0"/>
          <w:color w:val="auto"/>
          <w:kern w:val="0"/>
          <w:szCs w:val="21"/>
          <w:highlight w:val="none"/>
          <w:lang w:bidi="ar"/>
        </w:rPr>
        <w:t>；承建（承接）企业为</w:t>
      </w:r>
      <w:r>
        <w:rPr>
          <w:rFonts w:hint="eastAsia" w:cs="宋体" w:asciiTheme="minorEastAsia" w:hAnsiTheme="minorEastAsia" w:eastAsiaTheme="minorEastAsia"/>
          <w:bCs/>
          <w:snapToGrid w:val="0"/>
          <w:color w:val="auto"/>
          <w:kern w:val="0"/>
          <w:szCs w:val="21"/>
          <w:highlight w:val="none"/>
          <w:u w:val="single"/>
          <w:lang w:bidi="ar"/>
        </w:rPr>
        <w:t>（企业名称）</w:t>
      </w:r>
      <w:r>
        <w:rPr>
          <w:rFonts w:hint="eastAsia" w:cs="宋体" w:asciiTheme="minorEastAsia" w:hAnsiTheme="minorEastAsia" w:eastAsiaTheme="minorEastAsia"/>
          <w:bCs/>
          <w:snapToGrid w:val="0"/>
          <w:color w:val="auto"/>
          <w:kern w:val="0"/>
          <w:szCs w:val="21"/>
          <w:highlight w:val="none"/>
          <w:lang w:bidi="ar"/>
        </w:rPr>
        <w:t>，从业人员</w:t>
      </w:r>
      <w:r>
        <w:rPr>
          <w:rFonts w:hint="eastAsia" w:cs="宋体" w:asciiTheme="minorEastAsia" w:hAnsiTheme="minorEastAsia" w:eastAsiaTheme="minorEastAsia"/>
          <w:bCs/>
          <w:snapToGrid w:val="0"/>
          <w:color w:val="auto"/>
          <w:kern w:val="0"/>
          <w:szCs w:val="21"/>
          <w:highlight w:val="none"/>
          <w:u w:val="single"/>
          <w:lang w:bidi="ar"/>
        </w:rPr>
        <w:t xml:space="preserve">   </w:t>
      </w:r>
      <w:r>
        <w:rPr>
          <w:rFonts w:hint="eastAsia" w:cs="宋体" w:asciiTheme="minorEastAsia" w:hAnsiTheme="minorEastAsia" w:eastAsiaTheme="minorEastAsia"/>
          <w:bCs/>
          <w:snapToGrid w:val="0"/>
          <w:color w:val="auto"/>
          <w:kern w:val="0"/>
          <w:szCs w:val="21"/>
          <w:highlight w:val="none"/>
          <w:lang w:bidi="ar"/>
        </w:rPr>
        <w:t>人，营业收入为</w:t>
      </w:r>
      <w:r>
        <w:rPr>
          <w:rFonts w:hint="eastAsia" w:cs="宋体" w:asciiTheme="minorEastAsia" w:hAnsiTheme="minorEastAsia" w:eastAsiaTheme="minorEastAsia"/>
          <w:bCs/>
          <w:snapToGrid w:val="0"/>
          <w:color w:val="auto"/>
          <w:kern w:val="0"/>
          <w:szCs w:val="21"/>
          <w:highlight w:val="none"/>
          <w:u w:val="single"/>
          <w:lang w:bidi="ar"/>
        </w:rPr>
        <w:t xml:space="preserve">   </w:t>
      </w:r>
      <w:r>
        <w:rPr>
          <w:rFonts w:hint="eastAsia" w:cs="宋体" w:asciiTheme="minorEastAsia" w:hAnsiTheme="minorEastAsia" w:eastAsiaTheme="minorEastAsia"/>
          <w:bCs/>
          <w:snapToGrid w:val="0"/>
          <w:color w:val="auto"/>
          <w:kern w:val="0"/>
          <w:szCs w:val="21"/>
          <w:highlight w:val="none"/>
          <w:lang w:bidi="ar"/>
        </w:rPr>
        <w:t>万元，资产总额为</w:t>
      </w:r>
      <w:r>
        <w:rPr>
          <w:rFonts w:hint="eastAsia" w:cs="宋体" w:asciiTheme="minorEastAsia" w:hAnsiTheme="minorEastAsia" w:eastAsiaTheme="minorEastAsia"/>
          <w:bCs/>
          <w:snapToGrid w:val="0"/>
          <w:color w:val="auto"/>
          <w:kern w:val="0"/>
          <w:szCs w:val="21"/>
          <w:highlight w:val="none"/>
          <w:u w:val="single"/>
          <w:lang w:bidi="ar"/>
        </w:rPr>
        <w:t xml:space="preserve">   </w:t>
      </w:r>
      <w:r>
        <w:rPr>
          <w:rFonts w:hint="eastAsia" w:cs="宋体" w:asciiTheme="minorEastAsia" w:hAnsiTheme="minorEastAsia" w:eastAsiaTheme="minorEastAsia"/>
          <w:bCs/>
          <w:snapToGrid w:val="0"/>
          <w:color w:val="auto"/>
          <w:kern w:val="0"/>
          <w:szCs w:val="21"/>
          <w:highlight w:val="none"/>
          <w:lang w:bidi="ar"/>
        </w:rPr>
        <w:t>万元，属于</w:t>
      </w:r>
      <w:r>
        <w:rPr>
          <w:rFonts w:hint="eastAsia" w:cs="宋体" w:asciiTheme="minorEastAsia" w:hAnsiTheme="minorEastAsia" w:eastAsiaTheme="minorEastAsia"/>
          <w:bCs/>
          <w:snapToGrid w:val="0"/>
          <w:color w:val="auto"/>
          <w:kern w:val="0"/>
          <w:szCs w:val="21"/>
          <w:highlight w:val="none"/>
          <w:u w:val="single"/>
          <w:lang w:bidi="ar"/>
        </w:rPr>
        <w:t>（中型企业、小型企业、微型企业）</w:t>
      </w:r>
      <w:r>
        <w:rPr>
          <w:rFonts w:hint="eastAsia" w:cs="宋体" w:asciiTheme="minorEastAsia" w:hAnsiTheme="minorEastAsia" w:eastAsiaTheme="minorEastAsia"/>
          <w:bCs/>
          <w:snapToGrid w:val="0"/>
          <w:color w:val="auto"/>
          <w:kern w:val="0"/>
          <w:szCs w:val="21"/>
          <w:highlight w:val="none"/>
          <w:lang w:bidi="ar"/>
        </w:rPr>
        <w:t>；</w:t>
      </w:r>
    </w:p>
    <w:p w14:paraId="1153515A">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lang w:bidi="ar"/>
        </w:rPr>
        <w:t>……</w:t>
      </w:r>
    </w:p>
    <w:p w14:paraId="71F84EEB">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lang w:bidi="ar"/>
        </w:rPr>
        <w:t>以上企业，不属于大企业的分支机构，不存在控股股东为大企业的情形，也不存在与大企业的负责人为同一人的情形。</w:t>
      </w:r>
    </w:p>
    <w:p w14:paraId="57E5C61B">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lang w:bidi="ar"/>
        </w:rPr>
        <w:t>本企业对上述声明内容的真实性负责。如有虚假，将依法承担相应责任。</w:t>
      </w:r>
    </w:p>
    <w:p w14:paraId="7D8EF348">
      <w:pPr>
        <w:widowControl/>
        <w:shd w:val="clear"/>
        <w:wordWrap w:val="0"/>
        <w:spacing w:line="360" w:lineRule="auto"/>
        <w:jc w:val="left"/>
        <w:rPr>
          <w:rFonts w:cs="宋体" w:asciiTheme="minorEastAsia" w:hAnsiTheme="minorEastAsia" w:eastAsiaTheme="minorEastAsia"/>
          <w:bCs/>
          <w:snapToGrid w:val="0"/>
          <w:color w:val="auto"/>
          <w:kern w:val="0"/>
          <w:szCs w:val="21"/>
          <w:highlight w:val="none"/>
          <w:lang w:bidi="ar"/>
        </w:rPr>
      </w:pPr>
    </w:p>
    <w:p w14:paraId="502E60FC">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lang w:bidi="ar"/>
        </w:rPr>
        <w:t>企业名称（盖章）：</w:t>
      </w:r>
    </w:p>
    <w:p w14:paraId="4EB310E0">
      <w:pPr>
        <w:widowControl/>
        <w:shd w:val="clear"/>
        <w:wordWrap w:val="0"/>
        <w:spacing w:line="360" w:lineRule="auto"/>
        <w:jc w:val="left"/>
        <w:rPr>
          <w:rFonts w:cs="宋体" w:asciiTheme="minorEastAsia" w:hAnsiTheme="minorEastAsia" w:eastAsiaTheme="minorEastAsia"/>
          <w:bCs/>
          <w:snapToGrid w:val="0"/>
          <w:color w:val="auto"/>
          <w:kern w:val="0"/>
          <w:szCs w:val="21"/>
          <w:highlight w:val="none"/>
          <w:lang w:bidi="ar"/>
        </w:rPr>
      </w:pPr>
    </w:p>
    <w:p w14:paraId="15865E0B">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lang w:bidi="ar"/>
        </w:rPr>
        <w:t>日 期：</w:t>
      </w:r>
    </w:p>
    <w:p w14:paraId="24314E4B">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snapToGrid w:val="0"/>
          <w:color w:val="auto"/>
          <w:kern w:val="0"/>
          <w:szCs w:val="21"/>
          <w:highlight w:val="none"/>
          <w:vertAlign w:val="superscript"/>
          <w:lang w:bidi="ar"/>
        </w:rPr>
        <w:t>1</w:t>
      </w:r>
      <w:r>
        <w:rPr>
          <w:rFonts w:hint="eastAsia" w:cs="宋体" w:asciiTheme="minorEastAsia" w:hAnsiTheme="minorEastAsia" w:eastAsiaTheme="minorEastAsia"/>
          <w:bCs/>
          <w:snapToGrid w:val="0"/>
          <w:color w:val="auto"/>
          <w:kern w:val="0"/>
          <w:szCs w:val="21"/>
          <w:highlight w:val="none"/>
          <w:lang w:bidi="ar"/>
        </w:rPr>
        <w:t>从业人员、营业收入、资产总额填报上一年度数据，无上一年度数据的新成立企业可不填报。</w:t>
      </w:r>
    </w:p>
    <w:p w14:paraId="4F7CCB7F">
      <w:pPr>
        <w:pStyle w:val="36"/>
        <w:shd w:val="clear"/>
        <w:wordWrap w:val="0"/>
        <w:spacing w:before="0" w:beforeAutospacing="0" w:after="0" w:afterAutospacing="0" w:line="360"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注：1、符合《</w:t>
      </w:r>
      <w:bookmarkStart w:id="930" w:name="OLE_LINK21"/>
      <w:r>
        <w:rPr>
          <w:rFonts w:hint="eastAsia" w:cs="宋体" w:asciiTheme="minorEastAsia" w:hAnsiTheme="minorEastAsia" w:eastAsiaTheme="minorEastAsia"/>
          <w:bCs/>
          <w:color w:val="auto"/>
          <w:sz w:val="21"/>
          <w:szCs w:val="21"/>
          <w:highlight w:val="none"/>
        </w:rPr>
        <w:t>政府采购促进中小企业发展管理办法</w:t>
      </w:r>
      <w:bookmarkEnd w:id="930"/>
      <w:r>
        <w:rPr>
          <w:rFonts w:hint="eastAsia" w:cs="宋体" w:asciiTheme="minorEastAsia" w:hAnsiTheme="minorEastAsia" w:eastAsiaTheme="minorEastAsia"/>
          <w:bCs/>
          <w:color w:val="auto"/>
          <w:sz w:val="21"/>
          <w:szCs w:val="21"/>
          <w:highlight w:val="none"/>
        </w:rPr>
        <w:t>》（财库[2020]46号）价格扣减条件的投标人需提供《中小企业声明函》。</w:t>
      </w:r>
    </w:p>
    <w:p w14:paraId="1637597F">
      <w:pPr>
        <w:pStyle w:val="36"/>
        <w:shd w:val="clear"/>
        <w:wordWrap w:val="0"/>
        <w:spacing w:before="0" w:beforeAutospacing="0" w:after="0" w:afterAutospacing="0" w:line="360"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2.从业人员、营业收入、资产总额填报上一年度数据，无上一年度数据的新成立企业可不填报。</w:t>
      </w:r>
    </w:p>
    <w:p w14:paraId="5525B5D7">
      <w:pPr>
        <w:widowControl/>
        <w:shd w:val="clear"/>
        <w:wordWrap w:val="0"/>
        <w:spacing w:line="360" w:lineRule="auto"/>
        <w:jc w:val="lef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3.不享受中小企业优先采购政策的投标人不需填写《中小企业声明函》。</w:t>
      </w:r>
      <w:bookmarkEnd w:id="927"/>
      <w:bookmarkEnd w:id="928"/>
      <w:bookmarkEnd w:id="929"/>
    </w:p>
    <w:p w14:paraId="1FAAFA63">
      <w:pPr>
        <w:pStyle w:val="22"/>
        <w:shd w:val="clear"/>
        <w:wordWrap w:val="0"/>
        <w:spacing w:line="360" w:lineRule="auto"/>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Cs/>
          <w:color w:val="auto"/>
          <w:szCs w:val="21"/>
          <w:highlight w:val="none"/>
        </w:rPr>
        <w:br w:type="page"/>
      </w:r>
      <w:bookmarkEnd w:id="923"/>
      <w:r>
        <w:rPr>
          <w:rFonts w:hint="eastAsia" w:cs="宋体" w:asciiTheme="minorEastAsia" w:hAnsiTheme="minorEastAsia" w:eastAsiaTheme="minorEastAsia"/>
          <w:b/>
          <w:color w:val="auto"/>
          <w:sz w:val="28"/>
          <w:szCs w:val="28"/>
          <w:highlight w:val="none"/>
        </w:rPr>
        <w:t>格式</w:t>
      </w:r>
      <w:r>
        <w:rPr>
          <w:rFonts w:cs="宋体" w:asciiTheme="minorEastAsia" w:hAnsiTheme="minorEastAsia" w:eastAsiaTheme="minorEastAsia"/>
          <w:b/>
          <w:color w:val="auto"/>
          <w:sz w:val="28"/>
          <w:szCs w:val="28"/>
          <w:highlight w:val="none"/>
        </w:rPr>
        <w:t>1</w:t>
      </w:r>
      <w:r>
        <w:rPr>
          <w:rFonts w:hint="eastAsia" w:cs="宋体" w:asciiTheme="minorEastAsia" w:hAnsiTheme="minorEastAsia" w:eastAsiaTheme="minorEastAsia"/>
          <w:b/>
          <w:color w:val="auto"/>
          <w:sz w:val="28"/>
          <w:szCs w:val="28"/>
          <w:highlight w:val="none"/>
          <w:lang w:val="en-US" w:eastAsia="zh-CN"/>
        </w:rPr>
        <w:t>4</w:t>
      </w:r>
      <w:r>
        <w:rPr>
          <w:rFonts w:hint="eastAsia" w:cs="宋体" w:asciiTheme="minorEastAsia" w:hAnsiTheme="minorEastAsia" w:eastAsiaTheme="minorEastAsia"/>
          <w:b/>
          <w:color w:val="auto"/>
          <w:sz w:val="28"/>
          <w:szCs w:val="28"/>
          <w:highlight w:val="none"/>
        </w:rPr>
        <w:t>：</w:t>
      </w:r>
    </w:p>
    <w:p w14:paraId="0EE752D3">
      <w:pPr>
        <w:shd w:val="clear"/>
        <w:tabs>
          <w:tab w:val="left" w:pos="5580"/>
        </w:tabs>
        <w:wordWrap w:val="0"/>
        <w:spacing w:line="240" w:lineRule="atLeast"/>
        <w:jc w:val="center"/>
        <w:rPr>
          <w:rFonts w:cs="宋体" w:asciiTheme="minorEastAsia" w:hAnsiTheme="minorEastAsia" w:eastAsiaTheme="minorEastAsia"/>
          <w:b/>
          <w:color w:val="auto"/>
          <w:sz w:val="28"/>
          <w:highlight w:val="none"/>
        </w:rPr>
      </w:pPr>
      <w:r>
        <w:rPr>
          <w:rFonts w:hint="eastAsia" w:cs="宋体" w:asciiTheme="minorEastAsia" w:hAnsiTheme="minorEastAsia" w:eastAsiaTheme="minorEastAsia"/>
          <w:b/>
          <w:color w:val="auto"/>
          <w:sz w:val="28"/>
          <w:highlight w:val="none"/>
        </w:rPr>
        <w:t>《残疾人福利性单位声明函》（符合《三部门联合发布关于促进残疾人就业政府采购政策的通知》（财库〔2017〕141号）价格扣减条件的投标人需提交）</w:t>
      </w:r>
    </w:p>
    <w:p w14:paraId="6A47781F">
      <w:pPr>
        <w:pStyle w:val="4"/>
        <w:shd w:val="clear"/>
        <w:wordWrap w:val="0"/>
        <w:ind w:firstLine="0"/>
        <w:jc w:val="center"/>
        <w:rPr>
          <w:rFonts w:cs="宋体" w:asciiTheme="minorEastAsia" w:hAnsiTheme="minorEastAsia" w:eastAsiaTheme="minorEastAsia"/>
          <w:color w:val="auto"/>
          <w:sz w:val="32"/>
          <w:szCs w:val="32"/>
          <w:highlight w:val="none"/>
        </w:rPr>
      </w:pPr>
      <w:bookmarkStart w:id="931" w:name="_Toc17466"/>
      <w:bookmarkStart w:id="932" w:name="_Toc27970"/>
      <w:bookmarkStart w:id="933" w:name="_Toc5803"/>
      <w:bookmarkStart w:id="934" w:name="_Toc14603926"/>
      <w:bookmarkStart w:id="935" w:name="_Toc23369"/>
      <w:bookmarkStart w:id="936" w:name="_Toc2563"/>
      <w:bookmarkStart w:id="937" w:name="_Toc20291"/>
      <w:bookmarkStart w:id="938" w:name="_Toc18287449"/>
      <w:bookmarkStart w:id="939" w:name="OLE_LINK13"/>
      <w:bookmarkStart w:id="940" w:name="OLE_LINK14"/>
      <w:r>
        <w:rPr>
          <w:rFonts w:hint="eastAsia" w:cs="宋体" w:asciiTheme="minorEastAsia" w:hAnsiTheme="minorEastAsia" w:eastAsiaTheme="minorEastAsia"/>
          <w:color w:val="auto"/>
          <w:sz w:val="32"/>
          <w:szCs w:val="32"/>
          <w:highlight w:val="none"/>
        </w:rPr>
        <w:t>残疾人福利性单位声明函</w:t>
      </w:r>
      <w:bookmarkEnd w:id="931"/>
      <w:bookmarkEnd w:id="932"/>
      <w:bookmarkEnd w:id="933"/>
      <w:bookmarkEnd w:id="934"/>
      <w:bookmarkEnd w:id="935"/>
      <w:bookmarkEnd w:id="936"/>
      <w:bookmarkEnd w:id="937"/>
      <w:bookmarkEnd w:id="938"/>
    </w:p>
    <w:bookmarkEnd w:id="939"/>
    <w:bookmarkEnd w:id="940"/>
    <w:p w14:paraId="7486B74D">
      <w:pPr>
        <w:shd w:val="clear"/>
        <w:wordWrap w:val="0"/>
        <w:spacing w:line="588" w:lineRule="exact"/>
        <w:ind w:firstLine="444" w:firstLineChars="200"/>
        <w:rPr>
          <w:rFonts w:cs="宋体" w:asciiTheme="minorEastAsia" w:hAnsiTheme="minorEastAsia" w:eastAsiaTheme="minorEastAsia"/>
          <w:bCs/>
          <w:color w:val="auto"/>
          <w:spacing w:val="6"/>
          <w:szCs w:val="21"/>
          <w:highlight w:val="none"/>
        </w:rPr>
      </w:pPr>
      <w:r>
        <w:rPr>
          <w:rFonts w:hint="eastAsia" w:cs="宋体" w:asciiTheme="minorEastAsia" w:hAnsiTheme="minorEastAsia" w:eastAsiaTheme="minorEastAsia"/>
          <w:bCs/>
          <w:color w:val="auto"/>
          <w:spacing w:val="6"/>
          <w:szCs w:val="21"/>
          <w:highlight w:val="none"/>
        </w:rPr>
        <w:t>本单位郑重声明，根据《财政部 民政部 中国残疾人联合会关于促进残疾人就业政府采购政策的通知》（财库</w:t>
      </w:r>
      <w:r>
        <w:rPr>
          <w:rFonts w:hint="eastAsia" w:cs="宋体" w:asciiTheme="minorEastAsia" w:hAnsiTheme="minorEastAsia" w:eastAsiaTheme="minorEastAsia"/>
          <w:bCs/>
          <w:color w:val="auto"/>
          <w:szCs w:val="21"/>
          <w:highlight w:val="none"/>
        </w:rPr>
        <w:t>〔2017〕 141</w:t>
      </w:r>
      <w:r>
        <w:rPr>
          <w:rFonts w:hint="eastAsia" w:cs="宋体" w:asciiTheme="minorEastAsia" w:hAnsiTheme="minorEastAsia" w:eastAsiaTheme="minorEastAsia"/>
          <w:bCs/>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D12D1A5">
      <w:pPr>
        <w:shd w:val="clear"/>
        <w:wordWrap w:val="0"/>
        <w:spacing w:line="588" w:lineRule="exact"/>
        <w:ind w:firstLine="444" w:firstLineChars="200"/>
        <w:rPr>
          <w:rFonts w:cs="宋体" w:asciiTheme="minorEastAsia" w:hAnsiTheme="minorEastAsia" w:eastAsiaTheme="minorEastAsia"/>
          <w:bCs/>
          <w:color w:val="auto"/>
          <w:spacing w:val="6"/>
          <w:szCs w:val="21"/>
          <w:highlight w:val="none"/>
        </w:rPr>
      </w:pPr>
      <w:r>
        <w:rPr>
          <w:rFonts w:hint="eastAsia" w:cs="宋体" w:asciiTheme="minorEastAsia" w:hAnsiTheme="minorEastAsia" w:eastAsiaTheme="minorEastAsia"/>
          <w:bCs/>
          <w:color w:val="auto"/>
          <w:spacing w:val="6"/>
          <w:szCs w:val="21"/>
          <w:highlight w:val="none"/>
        </w:rPr>
        <w:t>本单位对上述声明的真实性负责。如有虚假，将依法承担相应责任。</w:t>
      </w:r>
    </w:p>
    <w:p w14:paraId="248BC4F8">
      <w:pPr>
        <w:shd w:val="clear"/>
        <w:wordWrap w:val="0"/>
        <w:spacing w:line="588" w:lineRule="exact"/>
        <w:ind w:firstLine="444" w:firstLineChars="200"/>
        <w:rPr>
          <w:rFonts w:cs="宋体" w:asciiTheme="minorEastAsia" w:hAnsiTheme="minorEastAsia" w:eastAsiaTheme="minorEastAsia"/>
          <w:bCs/>
          <w:color w:val="auto"/>
          <w:spacing w:val="6"/>
          <w:szCs w:val="21"/>
          <w:highlight w:val="none"/>
        </w:rPr>
      </w:pPr>
    </w:p>
    <w:p w14:paraId="6943A6F2">
      <w:pPr>
        <w:shd w:val="clear"/>
        <w:wordWrap w:val="0"/>
        <w:spacing w:line="588" w:lineRule="exact"/>
        <w:ind w:firstLine="444" w:firstLineChars="200"/>
        <w:rPr>
          <w:rFonts w:cs="宋体" w:asciiTheme="minorEastAsia" w:hAnsiTheme="minorEastAsia" w:eastAsiaTheme="minorEastAsia"/>
          <w:bCs/>
          <w:color w:val="auto"/>
          <w:spacing w:val="6"/>
          <w:szCs w:val="21"/>
          <w:highlight w:val="none"/>
        </w:rPr>
      </w:pPr>
    </w:p>
    <w:p w14:paraId="51C6550A">
      <w:pPr>
        <w:shd w:val="clear"/>
        <w:tabs>
          <w:tab w:val="left" w:pos="4860"/>
        </w:tabs>
        <w:wordWrap w:val="0"/>
        <w:spacing w:line="588" w:lineRule="exact"/>
        <w:ind w:right="1560" w:firstLine="444" w:firstLineChars="200"/>
        <w:jc w:val="center"/>
        <w:rPr>
          <w:rFonts w:cs="宋体" w:asciiTheme="minorEastAsia" w:hAnsiTheme="minorEastAsia" w:eastAsiaTheme="minorEastAsia"/>
          <w:bCs/>
          <w:color w:val="auto"/>
          <w:spacing w:val="6"/>
          <w:szCs w:val="21"/>
          <w:highlight w:val="none"/>
        </w:rPr>
      </w:pPr>
      <w:r>
        <w:rPr>
          <w:rFonts w:hint="eastAsia" w:cs="宋体" w:asciiTheme="minorEastAsia" w:hAnsiTheme="minorEastAsia" w:eastAsiaTheme="minorEastAsia"/>
          <w:bCs/>
          <w:color w:val="auto"/>
          <w:spacing w:val="6"/>
          <w:szCs w:val="21"/>
          <w:highlight w:val="none"/>
        </w:rPr>
        <w:t xml:space="preserve">         单位名称（盖章）：</w:t>
      </w:r>
    </w:p>
    <w:p w14:paraId="13D8D086">
      <w:pPr>
        <w:shd w:val="clear"/>
        <w:tabs>
          <w:tab w:val="left" w:pos="4860"/>
        </w:tabs>
        <w:wordWrap w:val="0"/>
        <w:spacing w:line="588" w:lineRule="exact"/>
        <w:ind w:right="1560" w:firstLine="444" w:firstLineChars="200"/>
        <w:jc w:val="center"/>
        <w:rPr>
          <w:rFonts w:cs="宋体" w:asciiTheme="minorEastAsia" w:hAnsiTheme="minorEastAsia" w:eastAsiaTheme="minorEastAsia"/>
          <w:bCs/>
          <w:color w:val="auto"/>
          <w:spacing w:val="6"/>
          <w:szCs w:val="21"/>
          <w:highlight w:val="none"/>
        </w:rPr>
      </w:pPr>
      <w:r>
        <w:rPr>
          <w:rFonts w:hint="eastAsia" w:cs="宋体" w:asciiTheme="minorEastAsia" w:hAnsiTheme="minorEastAsia" w:eastAsiaTheme="minorEastAsia"/>
          <w:bCs/>
          <w:color w:val="auto"/>
          <w:spacing w:val="6"/>
          <w:szCs w:val="21"/>
          <w:highlight w:val="none"/>
        </w:rPr>
        <w:t>日  期：</w:t>
      </w:r>
    </w:p>
    <w:p w14:paraId="37E51B3A">
      <w:pPr>
        <w:shd w:val="clear"/>
        <w:wordWrap w:val="0"/>
        <w:rPr>
          <w:rFonts w:cs="宋体" w:asciiTheme="minorEastAsia" w:hAnsiTheme="minorEastAsia" w:eastAsiaTheme="minorEastAsia"/>
          <w:bCs/>
          <w:color w:val="auto"/>
          <w:szCs w:val="21"/>
          <w:highlight w:val="none"/>
        </w:rPr>
      </w:pPr>
    </w:p>
    <w:p w14:paraId="51140BC5">
      <w:pPr>
        <w:shd w:val="clear"/>
        <w:wordWrap w:val="0"/>
        <w:rPr>
          <w:rFonts w:cs="宋体" w:asciiTheme="minorEastAsia" w:hAnsiTheme="minorEastAsia" w:eastAsiaTheme="minorEastAsia"/>
          <w:bCs/>
          <w:color w:val="auto"/>
          <w:szCs w:val="21"/>
          <w:highlight w:val="none"/>
        </w:rPr>
      </w:pPr>
    </w:p>
    <w:p w14:paraId="382AEF26">
      <w:pPr>
        <w:shd w:val="clear"/>
        <w:wordWrap w:val="0"/>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173000A8">
      <w:pPr>
        <w:pStyle w:val="22"/>
        <w:shd w:val="clear"/>
        <w:wordWrap w:val="0"/>
        <w:spacing w:line="360" w:lineRule="auto"/>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Cs/>
          <w:color w:val="auto"/>
          <w:szCs w:val="21"/>
          <w:highlight w:val="none"/>
        </w:rPr>
        <w:br w:type="page"/>
      </w:r>
      <w:bookmarkStart w:id="941" w:name="_Toc20636"/>
      <w:r>
        <w:rPr>
          <w:rFonts w:hint="eastAsia" w:cs="宋体" w:asciiTheme="minorEastAsia" w:hAnsiTheme="minorEastAsia" w:eastAsiaTheme="minorEastAsia"/>
          <w:b/>
          <w:color w:val="auto"/>
          <w:sz w:val="28"/>
          <w:szCs w:val="28"/>
          <w:highlight w:val="none"/>
        </w:rPr>
        <w:t>格式1</w:t>
      </w:r>
      <w:r>
        <w:rPr>
          <w:rFonts w:hint="eastAsia" w:cs="宋体" w:asciiTheme="minorEastAsia" w:hAnsiTheme="minorEastAsia" w:eastAsiaTheme="minorEastAsia"/>
          <w:b/>
          <w:color w:val="auto"/>
          <w:sz w:val="28"/>
          <w:szCs w:val="28"/>
          <w:highlight w:val="none"/>
          <w:lang w:val="en-US" w:eastAsia="zh-CN"/>
        </w:rPr>
        <w:t>5</w:t>
      </w:r>
      <w:r>
        <w:rPr>
          <w:rFonts w:hint="eastAsia" w:cs="宋体" w:asciiTheme="minorEastAsia" w:hAnsiTheme="minorEastAsia" w:eastAsiaTheme="minorEastAsia"/>
          <w:b/>
          <w:color w:val="auto"/>
          <w:sz w:val="28"/>
          <w:szCs w:val="28"/>
          <w:highlight w:val="none"/>
        </w:rPr>
        <w:t>：</w:t>
      </w:r>
    </w:p>
    <w:p w14:paraId="042B2B00">
      <w:pPr>
        <w:pStyle w:val="4"/>
        <w:shd w:val="clear"/>
        <w:wordWrap w:val="0"/>
        <w:ind w:firstLine="0"/>
        <w:jc w:val="center"/>
        <w:rPr>
          <w:rFonts w:cs="宋体" w:asciiTheme="minorEastAsia" w:hAnsiTheme="minorEastAsia" w:eastAsiaTheme="minorEastAsia"/>
          <w:color w:val="auto"/>
          <w:sz w:val="32"/>
          <w:szCs w:val="32"/>
          <w:highlight w:val="none"/>
        </w:rPr>
      </w:pPr>
      <w:bookmarkStart w:id="942" w:name="_Toc17980"/>
      <w:bookmarkStart w:id="943" w:name="_Toc9364"/>
      <w:bookmarkStart w:id="944" w:name="_Toc14603927"/>
      <w:bookmarkStart w:id="945" w:name="_Toc18731"/>
      <w:bookmarkStart w:id="946" w:name="_Toc3559"/>
      <w:bookmarkStart w:id="947" w:name="_Toc22008"/>
      <w:bookmarkStart w:id="948" w:name="_Toc18287450"/>
      <w:r>
        <w:rPr>
          <w:rFonts w:hint="eastAsia" w:cs="宋体" w:asciiTheme="minorEastAsia" w:hAnsiTheme="minorEastAsia" w:eastAsiaTheme="minorEastAsia"/>
          <w:color w:val="auto"/>
          <w:sz w:val="32"/>
          <w:szCs w:val="32"/>
          <w:highlight w:val="none"/>
        </w:rPr>
        <w:t>构成投标文件</w:t>
      </w:r>
      <w:r>
        <w:rPr>
          <w:rFonts w:hint="eastAsia" w:cs="宋体" w:asciiTheme="minorEastAsia" w:hAnsiTheme="minorEastAsia" w:eastAsiaTheme="minorEastAsia"/>
          <w:color w:val="auto"/>
          <w:sz w:val="32"/>
          <w:szCs w:val="32"/>
          <w:highlight w:val="none"/>
          <w:lang w:eastAsia="zh-CN"/>
        </w:rPr>
        <w:t>的其他</w:t>
      </w:r>
      <w:r>
        <w:rPr>
          <w:rFonts w:hint="eastAsia" w:cs="宋体" w:asciiTheme="minorEastAsia" w:hAnsiTheme="minorEastAsia" w:eastAsiaTheme="minorEastAsia"/>
          <w:color w:val="auto"/>
          <w:sz w:val="32"/>
          <w:szCs w:val="32"/>
          <w:highlight w:val="none"/>
        </w:rPr>
        <w:t>资料</w:t>
      </w:r>
      <w:bookmarkEnd w:id="941"/>
      <w:bookmarkEnd w:id="942"/>
      <w:bookmarkEnd w:id="943"/>
      <w:bookmarkEnd w:id="944"/>
      <w:bookmarkEnd w:id="945"/>
      <w:bookmarkEnd w:id="946"/>
      <w:bookmarkEnd w:id="947"/>
      <w:bookmarkEnd w:id="948"/>
    </w:p>
    <w:p w14:paraId="7D217180">
      <w:pPr>
        <w:widowControl/>
        <w:shd w:val="clear"/>
        <w:wordWrap w:val="0"/>
        <w:jc w:val="left"/>
        <w:outlineLvl w:val="1"/>
        <w:rPr>
          <w:rFonts w:cs="宋体" w:asciiTheme="minorEastAsia" w:hAnsiTheme="minorEastAsia" w:eastAsiaTheme="minorEastAsia"/>
          <w:bCs/>
          <w:color w:val="auto"/>
          <w:kern w:val="0"/>
          <w:szCs w:val="21"/>
          <w:highlight w:val="none"/>
        </w:rPr>
      </w:pPr>
      <w:bookmarkStart w:id="949" w:name="_Toc955"/>
      <w:bookmarkStart w:id="950" w:name="_Toc8204"/>
      <w:bookmarkStart w:id="951" w:name="_Toc28256"/>
      <w:bookmarkStart w:id="952" w:name="_Toc1359"/>
      <w:r>
        <w:rPr>
          <w:rFonts w:hint="eastAsia" w:cs="宋体" w:asciiTheme="minorEastAsia" w:hAnsiTheme="minorEastAsia" w:eastAsiaTheme="minorEastAsia"/>
          <w:bCs/>
          <w:color w:val="auto"/>
          <w:kern w:val="0"/>
          <w:szCs w:val="21"/>
          <w:highlight w:val="none"/>
        </w:rPr>
        <w:t>1.招标文件第五章《采购需求》中要求提供的其他资料；</w:t>
      </w:r>
      <w:bookmarkEnd w:id="949"/>
      <w:bookmarkEnd w:id="950"/>
      <w:bookmarkEnd w:id="951"/>
      <w:bookmarkEnd w:id="952"/>
    </w:p>
    <w:p w14:paraId="583C8E92">
      <w:pPr>
        <w:widowControl/>
        <w:shd w:val="clear"/>
        <w:wordWrap w:val="0"/>
        <w:jc w:val="left"/>
        <w:rPr>
          <w:rFonts w:cs="宋体" w:asciiTheme="minorEastAsia" w:hAnsiTheme="minorEastAsia" w:eastAsiaTheme="minorEastAsia"/>
          <w:bCs/>
          <w:color w:val="auto"/>
          <w:kern w:val="0"/>
          <w:szCs w:val="21"/>
          <w:highlight w:val="none"/>
        </w:rPr>
      </w:pPr>
      <w:r>
        <w:rPr>
          <w:rFonts w:cs="宋体" w:asciiTheme="minorEastAsia" w:hAnsiTheme="minorEastAsia" w:eastAsiaTheme="minorEastAsia"/>
          <w:bCs/>
          <w:color w:val="auto"/>
          <w:kern w:val="0"/>
          <w:szCs w:val="21"/>
          <w:highlight w:val="none"/>
        </w:rPr>
        <w:t>2</w:t>
      </w:r>
      <w:r>
        <w:rPr>
          <w:rFonts w:hint="eastAsia" w:cs="宋体" w:asciiTheme="minorEastAsia" w:hAnsiTheme="minorEastAsia" w:eastAsiaTheme="minorEastAsia"/>
          <w:bCs/>
          <w:color w:val="auto"/>
          <w:kern w:val="0"/>
          <w:szCs w:val="21"/>
          <w:highlight w:val="none"/>
        </w:rPr>
        <w:t>.招标文件中所</w:t>
      </w:r>
      <w:r>
        <w:rPr>
          <w:rFonts w:hint="eastAsia" w:cs="宋体" w:asciiTheme="minorEastAsia" w:hAnsiTheme="minorEastAsia" w:eastAsiaTheme="minorEastAsia"/>
          <w:bCs/>
          <w:color w:val="auto"/>
          <w:kern w:val="0"/>
          <w:szCs w:val="21"/>
          <w:highlight w:val="none"/>
          <w:lang w:eastAsia="zh-CN"/>
        </w:rPr>
        <w:t>涉及的</w:t>
      </w:r>
      <w:r>
        <w:rPr>
          <w:rFonts w:hint="eastAsia" w:cs="宋体" w:asciiTheme="minorEastAsia" w:hAnsiTheme="minorEastAsia" w:eastAsiaTheme="minorEastAsia"/>
          <w:bCs/>
          <w:color w:val="auto"/>
          <w:kern w:val="0"/>
          <w:szCs w:val="21"/>
          <w:highlight w:val="none"/>
        </w:rPr>
        <w:t>相关资料及证明文件或投标人认为必须提供的其他相关资料。</w:t>
      </w:r>
    </w:p>
    <w:p w14:paraId="76DA80DB">
      <w:pPr>
        <w:widowControl/>
        <w:shd w:val="clear"/>
        <w:wordWrap w:val="0"/>
        <w:jc w:val="left"/>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Cs w:val="21"/>
          <w:highlight w:val="none"/>
        </w:rPr>
        <w:br w:type="page"/>
      </w:r>
    </w:p>
    <w:bookmarkEnd w:id="26"/>
    <w:bookmarkEnd w:id="27"/>
    <w:p w14:paraId="02FD9265">
      <w:pPr>
        <w:pStyle w:val="2"/>
        <w:shd w:val="clear"/>
        <w:wordWrap w:val="0"/>
        <w:outlineLvl w:val="0"/>
        <w:rPr>
          <w:rFonts w:hint="eastAsia" w:ascii="黑体" w:hAnsi="黑体" w:eastAsia="黑体" w:cs="黑体"/>
          <w:b/>
          <w:bCs/>
          <w:color w:val="auto"/>
          <w:highlight w:val="none"/>
          <w:lang w:eastAsia="zh-CN"/>
        </w:rPr>
      </w:pPr>
      <w:bookmarkStart w:id="953" w:name="_Toc1366"/>
      <w:bookmarkStart w:id="954" w:name="_Toc489145771"/>
      <w:bookmarkStart w:id="955" w:name="_Toc18496"/>
      <w:bookmarkStart w:id="956" w:name="_Toc489197876"/>
      <w:bookmarkStart w:id="957" w:name="_Toc488633637"/>
      <w:bookmarkStart w:id="958" w:name="_Toc489145772"/>
      <w:r>
        <w:rPr>
          <w:rFonts w:hint="eastAsia" w:ascii="黑体" w:hAnsi="黑体" w:eastAsia="黑体" w:cs="黑体"/>
          <w:b/>
          <w:bCs/>
          <w:color w:val="auto"/>
          <w:highlight w:val="none"/>
          <w:lang w:eastAsia="zh-CN"/>
        </w:rPr>
        <w:t>第五章 采购需求</w:t>
      </w:r>
      <w:bookmarkEnd w:id="953"/>
      <w:bookmarkEnd w:id="954"/>
      <w:bookmarkEnd w:id="955"/>
    </w:p>
    <w:p w14:paraId="471950F7">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rPr>
      </w:pPr>
      <w:bookmarkStart w:id="959" w:name="_Toc13971"/>
      <w:r>
        <w:rPr>
          <w:rFonts w:hint="eastAsia" w:ascii="黑体" w:hAnsi="黑体" w:eastAsia="黑体" w:cs="黑体"/>
          <w:b/>
          <w:bCs w:val="0"/>
          <w:color w:val="auto"/>
          <w:sz w:val="30"/>
          <w:szCs w:val="30"/>
          <w:highlight w:val="none"/>
          <w:lang w:val="en-US" w:eastAsia="zh-CN"/>
        </w:rPr>
        <w:t>一、</w:t>
      </w:r>
      <w:r>
        <w:rPr>
          <w:rFonts w:hint="eastAsia" w:ascii="黑体" w:hAnsi="黑体" w:eastAsia="黑体" w:cs="黑体"/>
          <w:b/>
          <w:bCs w:val="0"/>
          <w:color w:val="auto"/>
          <w:sz w:val="30"/>
          <w:szCs w:val="30"/>
          <w:highlight w:val="none"/>
          <w:lang w:eastAsia="zh-CN"/>
        </w:rPr>
        <w:t>商务要求</w:t>
      </w:r>
      <w:bookmarkEnd w:id="959"/>
    </w:p>
    <w:p w14:paraId="6C5A02B5">
      <w:pPr>
        <w:shd w:val="clear"/>
        <w:wordWrap w:val="0"/>
        <w:spacing w:line="360" w:lineRule="auto"/>
        <w:ind w:firstLine="600" w:firstLineChars="200"/>
        <w:outlineLvl w:val="2"/>
        <w:rPr>
          <w:rFonts w:hint="eastAsia" w:ascii="黑体" w:hAnsi="黑体" w:eastAsia="黑体" w:cs="黑体"/>
          <w:bCs/>
          <w:color w:val="auto"/>
          <w:sz w:val="30"/>
          <w:szCs w:val="30"/>
          <w:highlight w:val="none"/>
        </w:rPr>
      </w:pPr>
      <w:bookmarkStart w:id="960" w:name="_Toc1775"/>
      <w:r>
        <w:rPr>
          <w:rFonts w:hint="eastAsia" w:ascii="黑体" w:hAnsi="黑体" w:eastAsia="黑体" w:cs="黑体"/>
          <w:bCs/>
          <w:color w:val="auto"/>
          <w:sz w:val="30"/>
          <w:szCs w:val="30"/>
          <w:highlight w:val="none"/>
          <w:lang w:val="en-US" w:eastAsia="zh-CN"/>
        </w:rPr>
        <w:t>1.</w:t>
      </w:r>
      <w:r>
        <w:rPr>
          <w:rFonts w:hint="eastAsia" w:ascii="黑体" w:hAnsi="黑体" w:eastAsia="黑体" w:cs="黑体"/>
          <w:bCs/>
          <w:color w:val="auto"/>
          <w:sz w:val="30"/>
          <w:szCs w:val="30"/>
          <w:highlight w:val="none"/>
        </w:rPr>
        <w:t>交付（服务）时间、地点和方式</w:t>
      </w:r>
      <w:bookmarkEnd w:id="960"/>
    </w:p>
    <w:p w14:paraId="54ADCFF8">
      <w:pPr>
        <w:shd w:val="clear"/>
        <w:snapToGrid w:val="0"/>
        <w:spacing w:line="360" w:lineRule="auto"/>
        <w:ind w:firstLine="420" w:firstLineChars="200"/>
        <w:outlineLvl w:val="2"/>
        <w:rPr>
          <w:rFonts w:hint="eastAsia" w:ascii="宋体" w:hAnsi="宋体" w:cs="宋体"/>
          <w:color w:val="auto"/>
          <w:szCs w:val="24"/>
          <w:highlight w:val="none"/>
        </w:rPr>
      </w:pPr>
      <w:bookmarkStart w:id="961" w:name="_Toc22097"/>
      <w:bookmarkStart w:id="962" w:name="_Toc15013"/>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.交付（服务）时间：</w:t>
      </w:r>
      <w:r>
        <w:rPr>
          <w:rFonts w:hint="eastAsia" w:ascii="宋体" w:hAnsi="宋体" w:cs="宋体"/>
          <w:color w:val="auto"/>
          <w:szCs w:val="24"/>
          <w:highlight w:val="none"/>
          <w:lang w:eastAsia="zh-CN"/>
        </w:rPr>
        <w:t>以合同为准</w:t>
      </w:r>
      <w:r>
        <w:rPr>
          <w:rFonts w:hint="eastAsia" w:ascii="宋体" w:hAnsi="宋体" w:cs="宋体"/>
          <w:color w:val="auto"/>
          <w:szCs w:val="24"/>
          <w:highlight w:val="none"/>
        </w:rPr>
        <w:t>。</w:t>
      </w:r>
      <w:bookmarkEnd w:id="961"/>
      <w:bookmarkEnd w:id="962"/>
    </w:p>
    <w:p w14:paraId="220F3C8C">
      <w:pPr>
        <w:shd w:val="clear"/>
        <w:snapToGrid w:val="0"/>
        <w:spacing w:line="360" w:lineRule="auto"/>
        <w:ind w:firstLine="420" w:firstLineChars="200"/>
        <w:outlineLvl w:val="2"/>
        <w:rPr>
          <w:rFonts w:hint="eastAsia" w:ascii="宋体" w:hAnsi="宋体" w:cs="宋体"/>
          <w:color w:val="auto"/>
          <w:szCs w:val="24"/>
          <w:highlight w:val="none"/>
        </w:rPr>
      </w:pPr>
      <w:bookmarkStart w:id="963" w:name="_Toc17782"/>
      <w:bookmarkStart w:id="964" w:name="_Toc8377"/>
      <w:r>
        <w:rPr>
          <w:rFonts w:hint="eastAsia" w:ascii="宋体" w:hAnsi="宋体" w:cs="宋体"/>
          <w:color w:val="auto"/>
          <w:szCs w:val="24"/>
          <w:highlight w:val="none"/>
          <w:lang w:val="en-US" w:eastAsia="zh-CN"/>
        </w:rPr>
        <w:t>(</w:t>
      </w:r>
      <w:r>
        <w:rPr>
          <w:rFonts w:hint="eastAsia" w:ascii="宋体" w:hAnsi="宋体" w:cs="宋体"/>
          <w:color w:val="auto"/>
          <w:szCs w:val="24"/>
          <w:highlight w:val="none"/>
        </w:rPr>
        <w:t>2</w:t>
      </w:r>
      <w:r>
        <w:rPr>
          <w:rFonts w:hint="eastAsia" w:ascii="宋体" w:hAnsi="宋体" w:cs="宋体"/>
          <w:color w:val="auto"/>
          <w:szCs w:val="24"/>
          <w:highlight w:val="none"/>
          <w:lang w:val="en-US" w:eastAsia="zh-CN"/>
        </w:rPr>
        <w:t>)</w:t>
      </w:r>
      <w:r>
        <w:rPr>
          <w:rFonts w:hint="eastAsia" w:ascii="宋体" w:hAnsi="宋体" w:cs="宋体"/>
          <w:color w:val="auto"/>
          <w:szCs w:val="24"/>
          <w:highlight w:val="none"/>
        </w:rPr>
        <w:t>.交付（服务）地点：</w:t>
      </w:r>
      <w:r>
        <w:rPr>
          <w:rFonts w:hint="eastAsia" w:ascii="宋体" w:hAnsi="宋体" w:cs="宋体"/>
          <w:color w:val="auto"/>
          <w:highlight w:val="none"/>
          <w:lang w:eastAsia="zh-CN"/>
        </w:rPr>
        <w:t>标段内各公办义务教育学校食堂</w:t>
      </w:r>
      <w:r>
        <w:rPr>
          <w:rFonts w:hint="eastAsia" w:ascii="宋体" w:hAnsi="宋体" w:cs="宋体"/>
          <w:color w:val="auto"/>
          <w:szCs w:val="24"/>
          <w:highlight w:val="none"/>
        </w:rPr>
        <w:t>。</w:t>
      </w:r>
      <w:bookmarkEnd w:id="963"/>
      <w:bookmarkEnd w:id="964"/>
    </w:p>
    <w:p w14:paraId="1604C656">
      <w:pPr>
        <w:shd w:val="clear"/>
        <w:snapToGrid w:val="0"/>
        <w:spacing w:line="360" w:lineRule="auto"/>
        <w:ind w:firstLine="420" w:firstLineChars="200"/>
        <w:outlineLvl w:val="2"/>
        <w:rPr>
          <w:rFonts w:hint="eastAsia" w:ascii="宋体" w:hAnsi="宋体" w:cs="宋体"/>
          <w:color w:val="auto"/>
          <w:szCs w:val="24"/>
          <w:highlight w:val="none"/>
        </w:rPr>
      </w:pPr>
      <w:bookmarkStart w:id="965" w:name="_Toc27142"/>
      <w:bookmarkStart w:id="966" w:name="_Toc5543"/>
      <w:r>
        <w:rPr>
          <w:rFonts w:hint="eastAsia" w:ascii="宋体" w:hAnsi="宋体" w:cs="宋体"/>
          <w:color w:val="auto"/>
          <w:szCs w:val="24"/>
          <w:highlight w:val="none"/>
          <w:lang w:val="en-US" w:eastAsia="zh-CN"/>
        </w:rPr>
        <w:t>(</w:t>
      </w: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w:t>
      </w:r>
      <w:r>
        <w:rPr>
          <w:rFonts w:hint="eastAsia" w:ascii="宋体" w:hAnsi="宋体" w:cs="宋体"/>
          <w:color w:val="auto"/>
          <w:szCs w:val="24"/>
          <w:highlight w:val="none"/>
        </w:rPr>
        <w:t>. 交付（服务）方式：按照约定时间和要求将</w:t>
      </w:r>
      <w:r>
        <w:rPr>
          <w:rFonts w:hint="eastAsia" w:ascii="宋体" w:hAnsi="宋体" w:cs="宋体"/>
          <w:color w:val="auto"/>
          <w:szCs w:val="24"/>
          <w:highlight w:val="none"/>
          <w:lang w:eastAsia="zh-CN"/>
        </w:rPr>
        <w:t>食堂大宗食材</w:t>
      </w:r>
      <w:r>
        <w:rPr>
          <w:rFonts w:hint="eastAsia" w:ascii="宋体" w:hAnsi="宋体" w:cs="宋体"/>
          <w:color w:val="auto"/>
          <w:szCs w:val="24"/>
          <w:highlight w:val="none"/>
        </w:rPr>
        <w:t>配送至</w:t>
      </w:r>
      <w:r>
        <w:rPr>
          <w:rFonts w:hint="eastAsia" w:ascii="宋体" w:hAnsi="宋体" w:cs="宋体"/>
          <w:color w:val="auto"/>
          <w:highlight w:val="none"/>
          <w:lang w:eastAsia="zh-CN"/>
        </w:rPr>
        <w:t>标段内各公办义务教育学校食堂，现场完成复称、查验等程序</w:t>
      </w:r>
      <w:r>
        <w:rPr>
          <w:rFonts w:hint="eastAsia" w:ascii="宋体" w:hAnsi="宋体" w:cs="宋体"/>
          <w:color w:val="auto"/>
          <w:szCs w:val="24"/>
          <w:highlight w:val="none"/>
        </w:rPr>
        <w:t>。</w:t>
      </w:r>
      <w:bookmarkEnd w:id="965"/>
      <w:bookmarkEnd w:id="966"/>
    </w:p>
    <w:p w14:paraId="723530D1">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967" w:name="_Toc30215"/>
      <w:r>
        <w:rPr>
          <w:rFonts w:hint="eastAsia" w:ascii="黑体" w:hAnsi="黑体" w:eastAsia="黑体" w:cs="黑体"/>
          <w:bCs/>
          <w:color w:val="auto"/>
          <w:sz w:val="30"/>
          <w:szCs w:val="30"/>
          <w:highlight w:val="none"/>
          <w:lang w:val="en-US" w:eastAsia="zh-CN"/>
        </w:rPr>
        <w:t>2.</w:t>
      </w:r>
      <w:r>
        <w:rPr>
          <w:rFonts w:hint="eastAsia" w:ascii="黑体" w:hAnsi="黑体" w:eastAsia="黑体" w:cs="黑体"/>
          <w:bCs/>
          <w:color w:val="auto"/>
          <w:sz w:val="30"/>
          <w:szCs w:val="30"/>
          <w:highlight w:val="none"/>
          <w:lang w:eastAsia="zh-CN"/>
        </w:rPr>
        <w:t>付款方式。</w:t>
      </w:r>
      <w:bookmarkEnd w:id="967"/>
    </w:p>
    <w:p w14:paraId="51EBBE79">
      <w:pPr>
        <w:shd w:val="clear"/>
        <w:snapToGrid w:val="0"/>
        <w:spacing w:line="360" w:lineRule="auto"/>
        <w:ind w:firstLine="420" w:firstLineChars="200"/>
        <w:outlineLvl w:val="2"/>
        <w:rPr>
          <w:rFonts w:hint="eastAsia" w:ascii="宋体" w:hAnsi="宋体" w:cs="宋体"/>
          <w:color w:val="auto"/>
          <w:highlight w:val="none"/>
          <w:lang w:val="zh-CN" w:eastAsia="zh-CN"/>
        </w:rPr>
      </w:pPr>
      <w:bookmarkStart w:id="968" w:name="_Toc25841"/>
      <w:bookmarkStart w:id="969" w:name="_Toc26353"/>
      <w:r>
        <w:rPr>
          <w:rFonts w:hint="eastAsia" w:ascii="宋体" w:hAnsi="宋体" w:cs="宋体"/>
          <w:color w:val="auto"/>
          <w:highlight w:val="none"/>
          <w:lang w:val="zh-CN" w:eastAsia="zh-CN"/>
        </w:rPr>
        <w:t>本项目不支付预付款，供应商应按日提供配送清单（双方当日现场在原始配送三联单上进行验收确认签字，作为采购人（学校）货物验收原始凭证），每半月提供一次结算发票，包含税款及其他各类费用，列明销货明细。采购人视资金情况进行结算，所有结算资金往来均通过银行账户支付。</w:t>
      </w:r>
      <w:bookmarkEnd w:id="968"/>
      <w:bookmarkEnd w:id="969"/>
    </w:p>
    <w:p w14:paraId="36919DFB">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970" w:name="_Toc27287"/>
      <w:r>
        <w:rPr>
          <w:rFonts w:hint="eastAsia" w:ascii="黑体" w:hAnsi="黑体" w:eastAsia="黑体" w:cs="黑体"/>
          <w:bCs/>
          <w:color w:val="auto"/>
          <w:sz w:val="30"/>
          <w:szCs w:val="30"/>
          <w:highlight w:val="none"/>
          <w:lang w:val="en-US" w:eastAsia="zh-CN"/>
        </w:rPr>
        <w:t>3.</w:t>
      </w:r>
      <w:r>
        <w:rPr>
          <w:rFonts w:hint="eastAsia" w:ascii="黑体" w:hAnsi="黑体" w:eastAsia="黑体" w:cs="黑体"/>
          <w:bCs/>
          <w:color w:val="auto"/>
          <w:sz w:val="30"/>
          <w:szCs w:val="30"/>
          <w:highlight w:val="none"/>
          <w:lang w:eastAsia="zh-CN"/>
        </w:rPr>
        <w:t>履约保证金</w:t>
      </w:r>
      <w:bookmarkEnd w:id="970"/>
    </w:p>
    <w:p w14:paraId="3F3BA79D">
      <w:pPr>
        <w:shd w:val="clear"/>
        <w:snapToGrid w:val="0"/>
        <w:spacing w:line="360" w:lineRule="auto"/>
        <w:ind w:firstLine="420" w:firstLineChars="200"/>
        <w:outlineLvl w:val="2"/>
        <w:rPr>
          <w:rFonts w:hint="eastAsia" w:ascii="宋体" w:hAnsi="宋体" w:cs="宋体"/>
          <w:color w:val="auto"/>
          <w:highlight w:val="none"/>
          <w:lang w:val="zh-CN" w:eastAsia="zh-CN"/>
        </w:rPr>
      </w:pPr>
      <w:bookmarkStart w:id="971" w:name="_Toc6376"/>
      <w:bookmarkStart w:id="972" w:name="_Toc25850"/>
      <w:r>
        <w:rPr>
          <w:rFonts w:hint="eastAsia" w:ascii="宋体" w:hAnsi="宋体" w:cs="宋体"/>
          <w:color w:val="auto"/>
          <w:highlight w:val="none"/>
          <w:lang w:val="zh-CN" w:eastAsia="zh-CN"/>
        </w:rPr>
        <w:t>签订正式合同前，本次招标由采购人（学校）收取标段中标总金额中各学校资金占比的</w:t>
      </w:r>
      <w:r>
        <w:rPr>
          <w:rFonts w:hint="eastAsia" w:ascii="宋体" w:hAnsi="宋体" w:cs="宋体"/>
          <w:color w:val="auto"/>
          <w:highlight w:val="none"/>
          <w:lang w:val="en-US" w:eastAsia="zh-CN"/>
        </w:rPr>
        <w:t>2%为合</w:t>
      </w:r>
      <w:r>
        <w:rPr>
          <w:rFonts w:hint="eastAsia" w:ascii="宋体" w:hAnsi="宋体" w:cs="宋体"/>
          <w:color w:val="auto"/>
          <w:highlight w:val="none"/>
          <w:lang w:val="zh-CN" w:eastAsia="zh-CN"/>
        </w:rPr>
        <w:t>同履约保证金。供应商若未按要求提供食堂大宗食材配送服务，或未能达到指定要求时，采购人（学校）有权解除合同，没收合同履约保证金。</w:t>
      </w:r>
      <w:bookmarkEnd w:id="971"/>
      <w:bookmarkEnd w:id="972"/>
    </w:p>
    <w:p w14:paraId="561DE165">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973" w:name="_Toc27866"/>
      <w:r>
        <w:rPr>
          <w:rFonts w:hint="eastAsia" w:ascii="黑体" w:hAnsi="黑体" w:eastAsia="黑体" w:cs="黑体"/>
          <w:bCs/>
          <w:color w:val="auto"/>
          <w:sz w:val="30"/>
          <w:szCs w:val="30"/>
          <w:highlight w:val="none"/>
          <w:lang w:val="en-US" w:eastAsia="zh-CN"/>
        </w:rPr>
        <w:t>4.</w:t>
      </w:r>
      <w:r>
        <w:rPr>
          <w:rFonts w:hint="eastAsia" w:ascii="黑体" w:hAnsi="黑体" w:eastAsia="黑体" w:cs="黑体"/>
          <w:bCs/>
          <w:color w:val="auto"/>
          <w:sz w:val="30"/>
          <w:szCs w:val="30"/>
          <w:highlight w:val="none"/>
          <w:lang w:eastAsia="zh-CN"/>
        </w:rPr>
        <w:t>违约责任</w:t>
      </w:r>
      <w:bookmarkEnd w:id="973"/>
    </w:p>
    <w:p w14:paraId="44568233">
      <w:pPr>
        <w:shd w:val="clear"/>
        <w:snapToGrid w:val="0"/>
        <w:spacing w:line="360" w:lineRule="auto"/>
        <w:ind w:firstLine="420" w:firstLineChars="200"/>
        <w:outlineLvl w:val="2"/>
        <w:rPr>
          <w:rFonts w:hint="eastAsia" w:ascii="宋体" w:hAnsi="宋体" w:cs="宋体"/>
          <w:color w:val="auto"/>
          <w:highlight w:val="none"/>
          <w:lang w:eastAsia="zh-CN"/>
        </w:rPr>
      </w:pPr>
      <w:bookmarkStart w:id="974" w:name="_Toc19404"/>
      <w:bookmarkStart w:id="975" w:name="_Toc29758"/>
      <w:r>
        <w:rPr>
          <w:rFonts w:hint="eastAsia" w:ascii="宋体" w:hAnsi="宋体" w:cs="宋体"/>
          <w:color w:val="auto"/>
          <w:highlight w:val="none"/>
          <w:lang w:eastAsia="zh-CN"/>
        </w:rPr>
        <w:t>供应商出现一般违约条款，如果造成</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损失的，应赔偿损失，并有权单方面终止合同。对供应商出现重大违约条款，采购人（学校）可单方终止合同，没收供应商全部履约保证金，如果造成采购人（学校）其他损失的，有权要求供应商赔偿损失，并依照有关规定对供应商进行责任追究。</w:t>
      </w:r>
      <w:bookmarkEnd w:id="974"/>
      <w:bookmarkEnd w:id="975"/>
    </w:p>
    <w:p w14:paraId="25E0119E">
      <w:pPr>
        <w:shd w:val="clear"/>
        <w:snapToGrid w:val="0"/>
        <w:spacing w:line="360" w:lineRule="auto"/>
        <w:ind w:firstLine="420" w:firstLineChars="200"/>
        <w:outlineLvl w:val="2"/>
        <w:rPr>
          <w:rFonts w:hint="eastAsia" w:ascii="宋体" w:hAnsi="宋体" w:cs="宋体"/>
          <w:color w:val="auto"/>
          <w:highlight w:val="none"/>
          <w:lang w:eastAsia="zh-CN"/>
        </w:rPr>
      </w:pPr>
      <w:bookmarkStart w:id="976" w:name="_Toc13459"/>
      <w:bookmarkStart w:id="977" w:name="_Toc1465"/>
      <w:r>
        <w:rPr>
          <w:rFonts w:hint="eastAsia" w:ascii="宋体" w:hAnsi="宋体" w:cs="宋体"/>
          <w:color w:val="auto"/>
          <w:highlight w:val="none"/>
          <w:lang w:eastAsia="zh-CN"/>
        </w:rPr>
        <w:t>一般违约责任：</w:t>
      </w:r>
      <w:bookmarkEnd w:id="976"/>
      <w:bookmarkEnd w:id="977"/>
    </w:p>
    <w:p w14:paraId="3CA40435">
      <w:pPr>
        <w:shd w:val="clear"/>
        <w:snapToGrid w:val="0"/>
        <w:spacing w:line="360" w:lineRule="auto"/>
        <w:ind w:firstLine="420" w:firstLineChars="200"/>
        <w:outlineLvl w:val="2"/>
        <w:rPr>
          <w:rFonts w:hint="eastAsia" w:ascii="宋体" w:hAnsi="宋体" w:cs="宋体"/>
          <w:color w:val="auto"/>
          <w:highlight w:val="none"/>
          <w:lang w:eastAsia="zh-CN"/>
        </w:rPr>
      </w:pPr>
      <w:bookmarkStart w:id="978" w:name="_Toc3969"/>
      <w:bookmarkStart w:id="979" w:name="_Toc25653"/>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w:t>
      </w:r>
      <w:r>
        <w:rPr>
          <w:rFonts w:hint="eastAsia" w:ascii="宋体" w:hAnsi="宋体" w:cs="宋体"/>
          <w:color w:val="auto"/>
          <w:highlight w:val="none"/>
          <w:lang w:eastAsia="zh-CN"/>
        </w:rPr>
        <w:t>供应商不能按合同约定的时间、地点、方式配送（含原始配送三联单不能随货按时送达的），除</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同意外，采购人（学校）按合同对供应商进行处理。</w:t>
      </w:r>
      <w:bookmarkEnd w:id="978"/>
      <w:bookmarkEnd w:id="979"/>
    </w:p>
    <w:p w14:paraId="45B59AB4">
      <w:pPr>
        <w:shd w:val="clear"/>
        <w:snapToGrid w:val="0"/>
        <w:spacing w:line="360" w:lineRule="auto"/>
        <w:ind w:firstLine="420" w:firstLineChars="200"/>
        <w:outlineLvl w:val="2"/>
        <w:rPr>
          <w:rFonts w:hint="eastAsia" w:ascii="宋体" w:hAnsi="宋体" w:cs="宋体"/>
          <w:color w:val="auto"/>
          <w:highlight w:val="none"/>
          <w:lang w:eastAsia="zh-CN"/>
        </w:rPr>
      </w:pPr>
      <w:bookmarkStart w:id="980" w:name="_Toc3233"/>
      <w:bookmarkStart w:id="981" w:name="_Toc1898"/>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w:t>
      </w:r>
      <w:r>
        <w:rPr>
          <w:rFonts w:hint="eastAsia" w:ascii="宋体" w:hAnsi="宋体" w:cs="宋体"/>
          <w:color w:val="auto"/>
          <w:highlight w:val="none"/>
          <w:lang w:eastAsia="zh-CN"/>
        </w:rPr>
        <w:t>供应商配送的大宗食材不符合要求且不按指定时间重新配送的（时间一般不超过2小时，不得耽搁</w:t>
      </w:r>
      <w:r>
        <w:rPr>
          <w:rFonts w:hint="eastAsia" w:ascii="宋体" w:hAnsi="宋体" w:cs="宋体"/>
          <w:color w:val="auto"/>
          <w:highlight w:val="none"/>
          <w:lang w:val="zh-CN" w:eastAsia="zh-CN"/>
        </w:rPr>
        <w:t>采购人（学校）食堂</w:t>
      </w:r>
      <w:r>
        <w:rPr>
          <w:rFonts w:hint="eastAsia" w:ascii="宋体" w:hAnsi="宋体" w:cs="宋体"/>
          <w:color w:val="auto"/>
          <w:highlight w:val="none"/>
          <w:lang w:eastAsia="zh-CN"/>
        </w:rPr>
        <w:t>正常办伙）。</w:t>
      </w:r>
      <w:bookmarkEnd w:id="980"/>
      <w:bookmarkEnd w:id="981"/>
    </w:p>
    <w:p w14:paraId="5E6AB181">
      <w:pPr>
        <w:shd w:val="clear"/>
        <w:snapToGrid w:val="0"/>
        <w:spacing w:line="360" w:lineRule="auto"/>
        <w:ind w:firstLine="420" w:firstLineChars="200"/>
        <w:outlineLvl w:val="2"/>
        <w:rPr>
          <w:rFonts w:hint="eastAsia" w:ascii="宋体" w:hAnsi="宋体" w:cs="宋体"/>
          <w:color w:val="auto"/>
          <w:highlight w:val="none"/>
          <w:lang w:eastAsia="zh-CN"/>
        </w:rPr>
      </w:pPr>
      <w:bookmarkStart w:id="982" w:name="_Toc1652"/>
      <w:bookmarkStart w:id="983" w:name="_Toc30591"/>
      <w:r>
        <w:rPr>
          <w:rFonts w:hint="eastAsia" w:ascii="宋体" w:hAnsi="宋体" w:cs="宋体"/>
          <w:color w:val="auto"/>
          <w:szCs w:val="24"/>
          <w:highlight w:val="none"/>
          <w:lang w:val="en-US" w:eastAsia="zh-CN"/>
        </w:rPr>
        <w:t>(3)</w:t>
      </w:r>
      <w:r>
        <w:rPr>
          <w:rFonts w:hint="eastAsia" w:ascii="宋体" w:hAnsi="宋体" w:cs="宋体"/>
          <w:color w:val="auto"/>
          <w:highlight w:val="none"/>
          <w:lang w:eastAsia="zh-CN"/>
        </w:rPr>
        <w:t>.供应商所配送提供大宗食材如发现缺斤短两（①蔬菜及调料类大宗食材不得出现短斤缺两；②冰冻制品差额超2%、水产品差额超2%、禽肉类差额超1%；③不按配送计划进行配送，擅自窜改价格的）或以次充好（如肉注水，水果掺杂坏果、次果，蔬菜掺杂泥土烂叶等）。</w:t>
      </w:r>
      <w:bookmarkEnd w:id="982"/>
      <w:bookmarkEnd w:id="983"/>
    </w:p>
    <w:p w14:paraId="24BA3563">
      <w:pPr>
        <w:shd w:val="clear"/>
        <w:snapToGrid w:val="0"/>
        <w:spacing w:line="360" w:lineRule="auto"/>
        <w:ind w:firstLine="420" w:firstLineChars="200"/>
        <w:outlineLvl w:val="2"/>
        <w:rPr>
          <w:rFonts w:hint="eastAsia" w:ascii="宋体" w:hAnsi="宋体" w:cs="宋体"/>
          <w:color w:val="auto"/>
          <w:highlight w:val="none"/>
          <w:lang w:eastAsia="zh-CN"/>
        </w:rPr>
      </w:pPr>
      <w:bookmarkStart w:id="984" w:name="_Toc6422"/>
      <w:bookmarkStart w:id="985" w:name="_Toc13461"/>
      <w:r>
        <w:rPr>
          <w:rFonts w:hint="eastAsia" w:ascii="宋体" w:hAnsi="宋体" w:cs="宋体"/>
          <w:color w:val="auto"/>
          <w:szCs w:val="24"/>
          <w:highlight w:val="none"/>
          <w:lang w:val="en-US" w:eastAsia="zh-CN"/>
        </w:rPr>
        <w:t>(4)</w:t>
      </w:r>
      <w:r>
        <w:rPr>
          <w:rFonts w:hint="eastAsia" w:ascii="宋体" w:hAnsi="宋体" w:cs="宋体"/>
          <w:color w:val="auto"/>
          <w:szCs w:val="24"/>
          <w:highlight w:val="none"/>
        </w:rPr>
        <w:t>.</w:t>
      </w:r>
      <w:r>
        <w:rPr>
          <w:rFonts w:hint="eastAsia" w:ascii="宋体" w:hAnsi="宋体" w:cs="宋体"/>
          <w:color w:val="auto"/>
          <w:highlight w:val="none"/>
          <w:lang w:eastAsia="zh-CN"/>
        </w:rPr>
        <w:t>未按规定出具检测报告或违背招标承诺书等情况。</w:t>
      </w:r>
      <w:bookmarkEnd w:id="984"/>
      <w:bookmarkEnd w:id="985"/>
    </w:p>
    <w:p w14:paraId="65124874">
      <w:pPr>
        <w:shd w:val="clear"/>
        <w:snapToGrid w:val="0"/>
        <w:spacing w:line="360" w:lineRule="auto"/>
        <w:ind w:firstLine="420" w:firstLineChars="200"/>
        <w:outlineLvl w:val="2"/>
        <w:rPr>
          <w:rFonts w:hint="eastAsia" w:ascii="宋体" w:hAnsi="宋体" w:cs="宋体"/>
          <w:color w:val="auto"/>
          <w:highlight w:val="none"/>
          <w:lang w:eastAsia="zh-CN"/>
        </w:rPr>
      </w:pPr>
      <w:bookmarkStart w:id="986" w:name="_Toc8701"/>
      <w:bookmarkStart w:id="987" w:name="_Toc18901"/>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w:t>
      </w:r>
      <w:r>
        <w:rPr>
          <w:rFonts w:hint="eastAsia" w:ascii="宋体" w:hAnsi="宋体" w:cs="宋体"/>
          <w:color w:val="auto"/>
          <w:highlight w:val="none"/>
          <w:lang w:eastAsia="zh-CN"/>
        </w:rPr>
        <w:t>不按时向</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提供结算票据，影响</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正常工作。</w:t>
      </w:r>
      <w:bookmarkEnd w:id="986"/>
      <w:bookmarkEnd w:id="987"/>
    </w:p>
    <w:p w14:paraId="65E67567">
      <w:pPr>
        <w:shd w:val="clear"/>
        <w:snapToGrid w:val="0"/>
        <w:spacing w:line="360" w:lineRule="auto"/>
        <w:ind w:firstLine="420" w:firstLineChars="200"/>
        <w:outlineLvl w:val="2"/>
        <w:rPr>
          <w:rFonts w:hint="eastAsia" w:ascii="宋体" w:hAnsi="宋体" w:cs="宋体"/>
          <w:color w:val="auto"/>
          <w:highlight w:val="none"/>
          <w:lang w:eastAsia="zh-CN"/>
        </w:rPr>
      </w:pPr>
      <w:bookmarkStart w:id="988" w:name="_Toc13493"/>
      <w:bookmarkStart w:id="989" w:name="_Toc5086"/>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w:t>
      </w:r>
      <w:r>
        <w:rPr>
          <w:rFonts w:hint="eastAsia" w:ascii="宋体" w:hAnsi="宋体" w:cs="宋体"/>
          <w:color w:val="auto"/>
          <w:highlight w:val="none"/>
          <w:lang w:eastAsia="zh-CN"/>
        </w:rPr>
        <w:t>供应商承诺提供的其他服务条款未履行的。</w:t>
      </w:r>
      <w:bookmarkEnd w:id="988"/>
      <w:bookmarkEnd w:id="989"/>
    </w:p>
    <w:p w14:paraId="77F7C95D">
      <w:pPr>
        <w:shd w:val="clear"/>
        <w:snapToGrid w:val="0"/>
        <w:spacing w:line="360" w:lineRule="auto"/>
        <w:ind w:firstLine="420" w:firstLineChars="200"/>
        <w:outlineLvl w:val="2"/>
        <w:rPr>
          <w:rFonts w:hint="eastAsia" w:ascii="宋体" w:hAnsi="宋体" w:cs="宋体"/>
          <w:color w:val="auto"/>
          <w:highlight w:val="none"/>
          <w:lang w:eastAsia="zh-CN"/>
        </w:rPr>
      </w:pPr>
      <w:bookmarkStart w:id="990" w:name="_Toc7769"/>
      <w:bookmarkStart w:id="991" w:name="_Toc20719"/>
      <w:r>
        <w:rPr>
          <w:rFonts w:hint="eastAsia" w:ascii="宋体" w:hAnsi="宋体" w:cs="宋体"/>
          <w:color w:val="auto"/>
          <w:highlight w:val="none"/>
          <w:lang w:eastAsia="zh-CN"/>
        </w:rPr>
        <w:t>重大违约责任：</w:t>
      </w:r>
      <w:bookmarkEnd w:id="990"/>
      <w:bookmarkEnd w:id="991"/>
    </w:p>
    <w:p w14:paraId="51187A5E">
      <w:pPr>
        <w:shd w:val="clear"/>
        <w:snapToGrid w:val="0"/>
        <w:spacing w:line="360" w:lineRule="auto"/>
        <w:ind w:firstLine="420" w:firstLineChars="200"/>
        <w:outlineLvl w:val="2"/>
        <w:rPr>
          <w:rFonts w:hint="eastAsia" w:ascii="宋体" w:hAnsi="宋体" w:cs="宋体"/>
          <w:color w:val="auto"/>
          <w:highlight w:val="none"/>
          <w:lang w:eastAsia="zh-CN"/>
        </w:rPr>
      </w:pPr>
      <w:bookmarkStart w:id="992" w:name="_Toc29525"/>
      <w:bookmarkStart w:id="993" w:name="_Toc10508"/>
      <w:r>
        <w:rPr>
          <w:rFonts w:hint="eastAsia" w:ascii="宋体" w:hAnsi="宋体" w:cs="宋体"/>
          <w:color w:val="auto"/>
          <w:highlight w:val="none"/>
          <w:lang w:val="en-US" w:eastAsia="zh-CN"/>
        </w:rPr>
        <w:t>6.1</w:t>
      </w:r>
      <w:r>
        <w:rPr>
          <w:rFonts w:hint="eastAsia" w:ascii="宋体" w:hAnsi="宋体" w:cs="宋体"/>
          <w:color w:val="auto"/>
          <w:highlight w:val="none"/>
          <w:lang w:eastAsia="zh-CN"/>
        </w:rPr>
        <w:t>供应商出现3次一般性违约责任条款的，视为重大违约。</w:t>
      </w:r>
      <w:bookmarkEnd w:id="992"/>
      <w:bookmarkEnd w:id="993"/>
    </w:p>
    <w:p w14:paraId="30761132">
      <w:pPr>
        <w:shd w:val="clear"/>
        <w:snapToGrid w:val="0"/>
        <w:spacing w:line="360" w:lineRule="auto"/>
        <w:ind w:firstLine="420" w:firstLineChars="200"/>
        <w:outlineLvl w:val="2"/>
        <w:rPr>
          <w:rFonts w:hint="eastAsia" w:ascii="宋体" w:hAnsi="宋体" w:cs="宋体"/>
          <w:color w:val="auto"/>
          <w:highlight w:val="none"/>
          <w:lang w:eastAsia="zh-CN"/>
        </w:rPr>
      </w:pPr>
      <w:bookmarkStart w:id="994" w:name="_Toc23687"/>
      <w:bookmarkStart w:id="995" w:name="_Toc19590"/>
      <w:r>
        <w:rPr>
          <w:rFonts w:hint="eastAsia" w:ascii="宋体" w:hAnsi="宋体" w:cs="宋体"/>
          <w:color w:val="auto"/>
          <w:highlight w:val="none"/>
          <w:lang w:val="en-US" w:eastAsia="zh-CN"/>
        </w:rPr>
        <w:t>6.2</w:t>
      </w:r>
      <w:r>
        <w:rPr>
          <w:rFonts w:hint="eastAsia" w:ascii="宋体" w:hAnsi="宋体" w:cs="宋体"/>
          <w:color w:val="auto"/>
          <w:highlight w:val="none"/>
          <w:lang w:eastAsia="zh-CN"/>
        </w:rPr>
        <w:t>供应商配送无产品检验合格证、农残检验超标、未通过食品检验检疫等有质量问题大宗食材的。</w:t>
      </w:r>
      <w:bookmarkEnd w:id="994"/>
      <w:bookmarkEnd w:id="995"/>
    </w:p>
    <w:p w14:paraId="16712613">
      <w:pPr>
        <w:shd w:val="clear"/>
        <w:snapToGrid w:val="0"/>
        <w:spacing w:line="360" w:lineRule="auto"/>
        <w:ind w:firstLine="420" w:firstLineChars="200"/>
        <w:outlineLvl w:val="2"/>
        <w:rPr>
          <w:rFonts w:hint="eastAsia" w:ascii="宋体" w:hAnsi="宋体" w:cs="宋体"/>
          <w:color w:val="auto"/>
          <w:highlight w:val="none"/>
          <w:lang w:eastAsia="zh-CN"/>
        </w:rPr>
      </w:pPr>
      <w:bookmarkStart w:id="996" w:name="_Toc2070"/>
      <w:bookmarkStart w:id="997" w:name="_Toc22581"/>
      <w:r>
        <w:rPr>
          <w:rFonts w:hint="eastAsia" w:ascii="宋体" w:hAnsi="宋体" w:cs="宋体"/>
          <w:color w:val="auto"/>
          <w:highlight w:val="none"/>
          <w:lang w:val="en-US" w:eastAsia="zh-CN"/>
        </w:rPr>
        <w:t>6.3</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在开展食品质量抽查或配送服务跟踪检查中，发现严重问题的。</w:t>
      </w:r>
      <w:bookmarkEnd w:id="996"/>
      <w:bookmarkEnd w:id="997"/>
    </w:p>
    <w:p w14:paraId="0EAE0AC3">
      <w:pPr>
        <w:shd w:val="clear"/>
        <w:snapToGrid w:val="0"/>
        <w:spacing w:line="360" w:lineRule="auto"/>
        <w:ind w:firstLine="420" w:firstLineChars="200"/>
        <w:outlineLvl w:val="2"/>
        <w:rPr>
          <w:rFonts w:hint="eastAsia" w:ascii="宋体" w:hAnsi="宋体" w:cs="宋体"/>
          <w:color w:val="auto"/>
          <w:highlight w:val="none"/>
          <w:lang w:eastAsia="zh-CN"/>
        </w:rPr>
      </w:pPr>
      <w:bookmarkStart w:id="998" w:name="_Toc1813"/>
      <w:bookmarkStart w:id="999" w:name="_Toc20559"/>
      <w:r>
        <w:rPr>
          <w:rFonts w:hint="eastAsia" w:ascii="宋体" w:hAnsi="宋体" w:cs="宋体"/>
          <w:color w:val="auto"/>
          <w:highlight w:val="none"/>
          <w:lang w:val="en-US" w:eastAsia="zh-CN"/>
        </w:rPr>
        <w:t>6.4</w:t>
      </w:r>
      <w:r>
        <w:rPr>
          <w:rFonts w:hint="eastAsia" w:ascii="宋体" w:hAnsi="宋体" w:cs="宋体"/>
          <w:color w:val="auto"/>
          <w:highlight w:val="none"/>
          <w:lang w:eastAsia="zh-CN"/>
        </w:rPr>
        <w:t>无故出现断供情况的。</w:t>
      </w:r>
      <w:bookmarkEnd w:id="998"/>
      <w:bookmarkEnd w:id="999"/>
    </w:p>
    <w:p w14:paraId="49A0EDB8">
      <w:pPr>
        <w:shd w:val="clear"/>
        <w:snapToGrid w:val="0"/>
        <w:spacing w:line="360" w:lineRule="auto"/>
        <w:ind w:firstLine="420" w:firstLineChars="200"/>
        <w:outlineLvl w:val="2"/>
        <w:rPr>
          <w:rFonts w:hint="eastAsia" w:ascii="宋体" w:hAnsi="宋体" w:cs="宋体"/>
          <w:color w:val="auto"/>
          <w:highlight w:val="none"/>
          <w:lang w:eastAsia="zh-CN"/>
        </w:rPr>
      </w:pPr>
      <w:bookmarkStart w:id="1000" w:name="_Toc18947"/>
      <w:bookmarkStart w:id="1001" w:name="_Toc13249"/>
      <w:r>
        <w:rPr>
          <w:rFonts w:hint="eastAsia" w:ascii="宋体" w:hAnsi="宋体" w:cs="宋体"/>
          <w:color w:val="auto"/>
          <w:highlight w:val="none"/>
          <w:lang w:val="en-US" w:eastAsia="zh-CN"/>
        </w:rPr>
        <w:t>6.5</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对供应商违约情形有权提出整改意见，对供应商整改不合格或拒不整改的。</w:t>
      </w:r>
      <w:bookmarkEnd w:id="1000"/>
      <w:bookmarkEnd w:id="1001"/>
    </w:p>
    <w:p w14:paraId="11CE0259">
      <w:pPr>
        <w:shd w:val="clear"/>
        <w:snapToGrid w:val="0"/>
        <w:spacing w:line="360" w:lineRule="auto"/>
        <w:ind w:firstLine="420" w:firstLineChars="200"/>
        <w:outlineLvl w:val="2"/>
        <w:rPr>
          <w:rFonts w:hint="eastAsia" w:ascii="宋体" w:hAnsi="宋体" w:cs="宋体"/>
          <w:color w:val="auto"/>
          <w:highlight w:val="none"/>
          <w:lang w:eastAsia="zh-CN"/>
        </w:rPr>
      </w:pPr>
      <w:bookmarkStart w:id="1002" w:name="_Toc12970"/>
      <w:bookmarkStart w:id="1003" w:name="_Toc3741"/>
      <w:r>
        <w:rPr>
          <w:rFonts w:hint="eastAsia" w:ascii="宋体" w:hAnsi="宋体" w:cs="宋体"/>
          <w:color w:val="auto"/>
          <w:highlight w:val="none"/>
          <w:lang w:val="en-US" w:eastAsia="zh-CN"/>
        </w:rPr>
        <w:t>6.6</w:t>
      </w:r>
      <w:r>
        <w:rPr>
          <w:rFonts w:hint="eastAsia" w:ascii="宋体" w:hAnsi="宋体" w:cs="宋体"/>
          <w:color w:val="auto"/>
          <w:highlight w:val="none"/>
          <w:lang w:eastAsia="zh-CN"/>
        </w:rPr>
        <w:t>因供应商配送的大宗食材不符合质量要求，造成</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人员食物中毒或影响身体健康的，追究相关法律责任。</w:t>
      </w:r>
      <w:bookmarkEnd w:id="1002"/>
      <w:bookmarkEnd w:id="1003"/>
    </w:p>
    <w:p w14:paraId="3EBF70D2">
      <w:pPr>
        <w:shd w:val="clear"/>
        <w:snapToGrid w:val="0"/>
        <w:spacing w:line="360" w:lineRule="auto"/>
        <w:ind w:firstLine="420" w:firstLineChars="200"/>
        <w:outlineLvl w:val="2"/>
        <w:rPr>
          <w:rFonts w:hint="eastAsia" w:ascii="宋体" w:hAnsi="宋体" w:cs="宋体"/>
          <w:color w:val="auto"/>
          <w:highlight w:val="none"/>
          <w:lang w:eastAsia="zh-CN"/>
        </w:rPr>
      </w:pPr>
      <w:bookmarkStart w:id="1004" w:name="_Toc20690"/>
      <w:bookmarkStart w:id="1005" w:name="_Toc29987"/>
      <w:r>
        <w:rPr>
          <w:rFonts w:hint="eastAsia" w:ascii="宋体" w:hAnsi="宋体" w:cs="宋体"/>
          <w:color w:val="auto"/>
          <w:highlight w:val="none"/>
          <w:lang w:val="en-US" w:eastAsia="zh-CN"/>
        </w:rPr>
        <w:t>6.7</w:t>
      </w:r>
      <w:r>
        <w:rPr>
          <w:rFonts w:hint="eastAsia" w:ascii="宋体" w:hAnsi="宋体" w:cs="宋体"/>
          <w:color w:val="auto"/>
          <w:highlight w:val="none"/>
          <w:lang w:eastAsia="zh-CN"/>
        </w:rPr>
        <w:t>因供应商行为造成</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不良影响的</w:t>
      </w:r>
      <w:bookmarkEnd w:id="1004"/>
      <w:bookmarkEnd w:id="1005"/>
      <w:r>
        <w:rPr>
          <w:rFonts w:hint="eastAsia" w:ascii="宋体" w:hAnsi="宋体" w:cs="宋体"/>
          <w:color w:val="auto"/>
          <w:highlight w:val="none"/>
          <w:lang w:eastAsia="zh-CN"/>
        </w:rPr>
        <w:t>。</w:t>
      </w:r>
    </w:p>
    <w:p w14:paraId="5A355FB3">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006" w:name="_Toc2099"/>
      <w:r>
        <w:rPr>
          <w:rFonts w:hint="eastAsia" w:ascii="黑体" w:hAnsi="黑体" w:eastAsia="黑体" w:cs="黑体"/>
          <w:bCs/>
          <w:color w:val="auto"/>
          <w:sz w:val="30"/>
          <w:szCs w:val="30"/>
          <w:highlight w:val="none"/>
          <w:lang w:val="en-US" w:eastAsia="zh-CN"/>
        </w:rPr>
        <w:t>5.</w:t>
      </w:r>
      <w:r>
        <w:rPr>
          <w:rFonts w:hint="eastAsia" w:ascii="黑体" w:hAnsi="黑体" w:eastAsia="黑体" w:cs="黑体"/>
          <w:bCs/>
          <w:color w:val="auto"/>
          <w:sz w:val="30"/>
          <w:szCs w:val="30"/>
          <w:highlight w:val="none"/>
          <w:lang w:eastAsia="zh-CN"/>
        </w:rPr>
        <w:t>项目价格要求</w:t>
      </w:r>
      <w:bookmarkEnd w:id="1006"/>
    </w:p>
    <w:p w14:paraId="3E377851">
      <w:pPr>
        <w:shd w:val="clear"/>
        <w:snapToGrid w:val="0"/>
        <w:spacing w:line="360" w:lineRule="auto"/>
        <w:ind w:firstLine="420" w:firstLineChars="200"/>
        <w:outlineLvl w:val="2"/>
        <w:rPr>
          <w:rFonts w:hint="eastAsia" w:ascii="宋体" w:hAnsi="宋体" w:eastAsia="宋体" w:cs="宋体"/>
          <w:color w:val="auto"/>
          <w:kern w:val="0"/>
          <w:sz w:val="21"/>
          <w:szCs w:val="21"/>
          <w:highlight w:val="none"/>
          <w:lang w:val="en-US" w:eastAsia="zh-CN" w:bidi="ar-SA"/>
        </w:rPr>
      </w:pPr>
      <w:bookmarkStart w:id="1007" w:name="_Toc6672"/>
      <w:bookmarkStart w:id="1008" w:name="_Toc14159"/>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w:t>
      </w:r>
      <w:r>
        <w:rPr>
          <w:rFonts w:hint="eastAsia" w:ascii="宋体" w:hAnsi="宋体" w:cs="宋体"/>
          <w:color w:val="auto"/>
          <w:highlight w:val="none"/>
          <w:lang w:eastAsia="zh-CN"/>
        </w:rPr>
        <w:t>市场考察方式为每</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月至少组织1次，通常月下旬组织，由</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及供应商组成不少于2个询价小组（每组不少于3人，其中采购人（学校）2人，供应商1人），随机从蒙自主城区大型农贸市场（包括但不仅限于观音桥农贸市场、学校驻地的各乡镇农贸市场等）和大型超市（包括但不仅限于大尔多超市、金方超市、学校驻地的各乡镇超市等）中抽取不少于3个进行询价，求平均值后作为询价价格。如有收录在州发改委、市发改局公布的《重要民生商品价格信息公布表》中的品类，以公布价作为基准价；未收录的品类，以询价单价作为基准价，</w:t>
      </w:r>
      <w:r>
        <w:rPr>
          <w:rFonts w:hint="eastAsia" w:ascii="宋体" w:hAnsi="宋体" w:cs="宋体"/>
          <w:color w:val="auto"/>
          <w:highlight w:val="none"/>
          <w:lang w:val="en-US" w:eastAsia="zh-CN"/>
        </w:rPr>
        <w:t>询价结果经甲方公示无异议后，定价周期内价格不作调整。</w:t>
      </w:r>
      <w:r>
        <w:rPr>
          <w:rFonts w:hint="eastAsia" w:ascii="宋体" w:hAnsi="宋体" w:eastAsia="宋体" w:cs="宋体"/>
          <w:color w:val="auto"/>
          <w:kern w:val="0"/>
          <w:sz w:val="21"/>
          <w:szCs w:val="21"/>
          <w:highlight w:val="none"/>
          <w:lang w:val="en-US" w:eastAsia="zh-CN" w:bidi="ar-SA"/>
        </w:rPr>
        <w:t>学校食堂大宗食材配送服务结算价为：</w:t>
      </w:r>
      <w:r>
        <w:rPr>
          <w:rFonts w:hint="eastAsia" w:ascii="宋体" w:hAnsi="宋体" w:cs="宋体"/>
          <w:color w:val="auto"/>
          <w:kern w:val="0"/>
          <w:sz w:val="21"/>
          <w:szCs w:val="21"/>
          <w:highlight w:val="none"/>
          <w:lang w:val="en-US" w:eastAsia="zh-CN" w:bidi="ar-SA"/>
        </w:rPr>
        <w:t>每月询单</w:t>
      </w:r>
      <w:r>
        <w:rPr>
          <w:rFonts w:hint="eastAsia" w:ascii="宋体" w:hAnsi="宋体" w:eastAsia="宋体" w:cs="宋体"/>
          <w:color w:val="auto"/>
          <w:kern w:val="0"/>
          <w:sz w:val="21"/>
          <w:szCs w:val="21"/>
          <w:highlight w:val="none"/>
          <w:lang w:val="en-US" w:eastAsia="zh-CN" w:bidi="ar-SA"/>
        </w:rPr>
        <w:t>价（含检验费、运费、税金等所有其他费用）</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en-US" w:eastAsia="zh-CN" w:bidi="ar-SA"/>
        </w:rPr>
        <w:t>（1</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中标下浮率）</w:t>
      </w:r>
      <w:r>
        <w:rPr>
          <w:rFonts w:hint="eastAsia" w:ascii="宋体" w:hAnsi="宋体" w:cs="宋体"/>
          <w:color w:val="auto"/>
          <w:kern w:val="0"/>
          <w:sz w:val="21"/>
          <w:szCs w:val="21"/>
          <w:highlight w:val="none"/>
          <w:lang w:val="en-US" w:eastAsia="zh-CN" w:bidi="ar-SA"/>
        </w:rPr>
        <w:t>×数量，（全年结算总价不得超过标段中标总金额）</w:t>
      </w:r>
      <w:r>
        <w:rPr>
          <w:rFonts w:hint="eastAsia" w:ascii="宋体" w:hAnsi="宋体" w:eastAsia="宋体" w:cs="宋体"/>
          <w:color w:val="auto"/>
          <w:kern w:val="0"/>
          <w:sz w:val="21"/>
          <w:szCs w:val="21"/>
          <w:highlight w:val="none"/>
          <w:lang w:val="en-US" w:eastAsia="zh-CN" w:bidi="ar-SA"/>
        </w:rPr>
        <w:t>。</w:t>
      </w:r>
      <w:bookmarkEnd w:id="1007"/>
      <w:bookmarkEnd w:id="1008"/>
      <w:bookmarkStart w:id="1009" w:name="_Toc31878"/>
      <w:bookmarkStart w:id="1010" w:name="_Toc27449"/>
    </w:p>
    <w:p w14:paraId="6F2B7BCB">
      <w:pPr>
        <w:shd w:val="clear"/>
        <w:snapToGrid w:val="0"/>
        <w:spacing w:line="360" w:lineRule="auto"/>
        <w:ind w:firstLine="420" w:firstLineChars="200"/>
        <w:outlineLvl w:val="2"/>
        <w:rPr>
          <w:rFonts w:hint="eastAsia" w:ascii="宋体" w:hAnsi="宋体" w:cs="宋体"/>
          <w:color w:val="auto"/>
          <w:highlight w:val="none"/>
          <w:lang w:eastAsia="zh-CN"/>
        </w:rPr>
      </w:pP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w:t>
      </w:r>
      <w:r>
        <w:rPr>
          <w:rFonts w:hint="eastAsia" w:ascii="宋体" w:hAnsi="宋体" w:cs="宋体"/>
          <w:color w:val="auto"/>
          <w:highlight w:val="none"/>
          <w:lang w:eastAsia="zh-CN"/>
        </w:rPr>
        <w:t>市场询价原则上一次性组织完成，除个别食材价格受市场影响波动较大的，可视情况重新询价定价外，其他食材通常不得随意调整价格。</w:t>
      </w:r>
      <w:bookmarkEnd w:id="1009"/>
      <w:bookmarkEnd w:id="1010"/>
    </w:p>
    <w:p w14:paraId="5E268FB8">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011" w:name="_Toc21228"/>
      <w:r>
        <w:rPr>
          <w:rFonts w:hint="eastAsia" w:ascii="黑体" w:hAnsi="黑体" w:eastAsia="黑体" w:cs="黑体"/>
          <w:bCs/>
          <w:color w:val="auto"/>
          <w:sz w:val="30"/>
          <w:szCs w:val="30"/>
          <w:highlight w:val="none"/>
          <w:lang w:val="en-US" w:eastAsia="zh-CN"/>
        </w:rPr>
        <w:t>6.</w:t>
      </w:r>
      <w:r>
        <w:rPr>
          <w:rFonts w:hint="eastAsia" w:ascii="黑体" w:hAnsi="黑体" w:eastAsia="黑体" w:cs="黑体"/>
          <w:bCs/>
          <w:color w:val="auto"/>
          <w:sz w:val="30"/>
          <w:szCs w:val="30"/>
          <w:highlight w:val="none"/>
          <w:lang w:eastAsia="zh-CN"/>
        </w:rPr>
        <w:t>服务终止</w:t>
      </w:r>
      <w:bookmarkEnd w:id="1011"/>
    </w:p>
    <w:p w14:paraId="376A93FA">
      <w:pPr>
        <w:shd w:val="clear"/>
        <w:wordWrap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w:t>
      </w:r>
      <w:r>
        <w:rPr>
          <w:rFonts w:hint="eastAsia" w:ascii="宋体" w:hAnsi="宋体" w:cs="宋体"/>
          <w:color w:val="auto"/>
          <w:highlight w:val="none"/>
          <w:lang w:eastAsia="zh-CN"/>
        </w:rPr>
        <w:t>出现重大违约责任条款之一者，合同即告终止。</w:t>
      </w:r>
    </w:p>
    <w:p w14:paraId="48F70493">
      <w:pPr>
        <w:shd w:val="clear"/>
        <w:wordWrap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w:t>
      </w:r>
      <w:r>
        <w:rPr>
          <w:rFonts w:hint="eastAsia" w:ascii="宋体" w:hAnsi="宋体" w:cs="宋体"/>
          <w:color w:val="auto"/>
          <w:highlight w:val="none"/>
          <w:lang w:eastAsia="zh-CN"/>
        </w:rPr>
        <w:t>合同期内，采购人（学校）对供应商各次测评打分环节，需要实地考察供应商投标时对质量控制、仓储能力、配送能力、供应能力的响应承诺，如发现与投标文件承诺不相符，合同即告终止。</w:t>
      </w:r>
    </w:p>
    <w:p w14:paraId="42403734">
      <w:pPr>
        <w:shd w:val="clear"/>
        <w:wordWrap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szCs w:val="24"/>
          <w:highlight w:val="none"/>
          <w:lang w:val="en-US" w:eastAsia="zh-CN"/>
        </w:rPr>
        <w:t>(3)</w:t>
      </w:r>
      <w:r>
        <w:rPr>
          <w:rFonts w:hint="eastAsia" w:ascii="宋体" w:hAnsi="宋体" w:cs="宋体"/>
          <w:color w:val="auto"/>
          <w:szCs w:val="24"/>
          <w:highlight w:val="none"/>
        </w:rPr>
        <w:t>.</w:t>
      </w:r>
      <w:r>
        <w:rPr>
          <w:rFonts w:hint="eastAsia" w:ascii="宋体" w:hAnsi="宋体" w:cs="宋体"/>
          <w:color w:val="auto"/>
          <w:highlight w:val="none"/>
          <w:lang w:eastAsia="zh-CN"/>
        </w:rPr>
        <w:t>如因政策等不可抗力因素需终止服务的，以及供应商及人员发生重大事故致</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利益受损的，合同即告终止。</w:t>
      </w:r>
    </w:p>
    <w:p w14:paraId="091DFC29">
      <w:pPr>
        <w:shd w:val="clear"/>
        <w:wordWrap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szCs w:val="24"/>
          <w:highlight w:val="none"/>
          <w:lang w:val="en-US" w:eastAsia="zh-CN"/>
        </w:rPr>
        <w:t>(4)</w:t>
      </w:r>
      <w:r>
        <w:rPr>
          <w:rFonts w:hint="eastAsia" w:ascii="宋体" w:hAnsi="宋体" w:cs="宋体"/>
          <w:color w:val="auto"/>
          <w:szCs w:val="24"/>
          <w:highlight w:val="none"/>
        </w:rPr>
        <w:t>.</w:t>
      </w:r>
      <w:r>
        <w:rPr>
          <w:rFonts w:hint="eastAsia" w:ascii="宋体" w:hAnsi="宋体" w:cs="宋体"/>
          <w:color w:val="auto"/>
          <w:highlight w:val="none"/>
          <w:lang w:eastAsia="zh-CN"/>
        </w:rPr>
        <w:t>合同即告终止后，</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支付已发生的相应服务费用，不再支付合同终止后未发生的服务费用，且不做任何赔偿与补偿；如供应商及人员行为给</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造成损失的，</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有权要求配送供应商及人员赔偿损失。</w:t>
      </w:r>
      <w:bookmarkStart w:id="1012" w:name="_Toc14766"/>
      <w:bookmarkStart w:id="1013" w:name="_Toc17540"/>
    </w:p>
    <w:p w14:paraId="77328246">
      <w:pPr>
        <w:shd w:val="clear"/>
        <w:wordWrap w:val="0"/>
        <w:spacing w:line="360" w:lineRule="auto"/>
        <w:ind w:firstLine="602" w:firstLineChars="200"/>
        <w:rPr>
          <w:rFonts w:hint="eastAsia" w:ascii="黑体" w:hAnsi="黑体" w:eastAsia="黑体" w:cs="黑体"/>
          <w:b/>
          <w:bCs w:val="0"/>
          <w:color w:val="auto"/>
          <w:sz w:val="30"/>
          <w:szCs w:val="30"/>
          <w:highlight w:val="none"/>
        </w:rPr>
      </w:pPr>
      <w:r>
        <w:rPr>
          <w:rFonts w:hint="eastAsia" w:ascii="黑体" w:hAnsi="黑体" w:eastAsia="黑体" w:cs="黑体"/>
          <w:b/>
          <w:bCs w:val="0"/>
          <w:color w:val="auto"/>
          <w:sz w:val="30"/>
          <w:szCs w:val="30"/>
          <w:highlight w:val="none"/>
        </w:rPr>
        <w:t>二、</w:t>
      </w:r>
      <w:r>
        <w:rPr>
          <w:rFonts w:hint="eastAsia" w:ascii="黑体" w:hAnsi="黑体" w:eastAsia="黑体" w:cs="黑体"/>
          <w:b/>
          <w:bCs w:val="0"/>
          <w:color w:val="auto"/>
          <w:sz w:val="30"/>
          <w:szCs w:val="30"/>
          <w:highlight w:val="none"/>
          <w:lang w:eastAsia="zh-CN"/>
        </w:rPr>
        <w:t>技术</w:t>
      </w:r>
      <w:r>
        <w:rPr>
          <w:rFonts w:hint="eastAsia" w:ascii="黑体" w:hAnsi="黑体" w:eastAsia="黑体" w:cs="黑体"/>
          <w:b/>
          <w:bCs w:val="0"/>
          <w:color w:val="auto"/>
          <w:sz w:val="30"/>
          <w:szCs w:val="30"/>
          <w:highlight w:val="none"/>
        </w:rPr>
        <w:t>要求</w:t>
      </w:r>
      <w:bookmarkEnd w:id="1012"/>
      <w:bookmarkEnd w:id="1013"/>
    </w:p>
    <w:p w14:paraId="6CA73870">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014" w:name="_Toc7313"/>
      <w:r>
        <w:rPr>
          <w:rFonts w:hint="eastAsia" w:ascii="黑体" w:hAnsi="黑体" w:eastAsia="黑体" w:cs="黑体"/>
          <w:bCs/>
          <w:color w:val="auto"/>
          <w:sz w:val="30"/>
          <w:szCs w:val="30"/>
          <w:highlight w:val="none"/>
          <w:lang w:val="en-US" w:eastAsia="zh-CN"/>
        </w:rPr>
        <w:t>1.</w:t>
      </w:r>
      <w:r>
        <w:rPr>
          <w:rFonts w:hint="eastAsia" w:ascii="黑体" w:hAnsi="黑体" w:eastAsia="黑体" w:cs="黑体"/>
          <w:bCs/>
          <w:color w:val="auto"/>
          <w:sz w:val="30"/>
          <w:szCs w:val="30"/>
          <w:highlight w:val="none"/>
          <w:lang w:eastAsia="zh-CN"/>
        </w:rPr>
        <w:t>食品安全及质量要求</w:t>
      </w:r>
      <w:bookmarkEnd w:id="1014"/>
    </w:p>
    <w:p w14:paraId="013BEB2B">
      <w:pPr>
        <w:shd w:val="clear"/>
        <w:snapToGrid w:val="0"/>
        <w:spacing w:line="360" w:lineRule="auto"/>
        <w:ind w:firstLine="900" w:firstLineChars="300"/>
        <w:outlineLvl w:val="2"/>
        <w:rPr>
          <w:rFonts w:hint="eastAsia" w:ascii="黑体" w:hAnsi="黑体" w:eastAsia="黑体" w:cs="黑体"/>
          <w:color w:val="auto"/>
          <w:sz w:val="30"/>
          <w:szCs w:val="30"/>
          <w:highlight w:val="none"/>
          <w:lang w:eastAsia="zh-CN"/>
        </w:rPr>
      </w:pPr>
      <w:bookmarkStart w:id="1015" w:name="_Toc18063"/>
      <w:bookmarkStart w:id="1016" w:name="_Toc11356"/>
      <w:bookmarkStart w:id="1017" w:name="OLE_LINK1"/>
      <w:r>
        <w:rPr>
          <w:rFonts w:hint="eastAsia" w:ascii="黑体" w:hAnsi="黑体" w:eastAsia="黑体" w:cs="黑体"/>
          <w:color w:val="auto"/>
          <w:sz w:val="30"/>
          <w:szCs w:val="30"/>
          <w:highlight w:val="none"/>
          <w:lang w:eastAsia="zh-CN"/>
        </w:rPr>
        <w:t>1.</w:t>
      </w:r>
      <w:r>
        <w:rPr>
          <w:rFonts w:hint="eastAsia" w:ascii="黑体" w:hAnsi="黑体" w:eastAsia="黑体" w:cs="黑体"/>
          <w:color w:val="auto"/>
          <w:sz w:val="30"/>
          <w:szCs w:val="30"/>
          <w:highlight w:val="none"/>
          <w:lang w:val="en-US" w:eastAsia="zh-CN"/>
        </w:rPr>
        <w:t>1</w:t>
      </w:r>
      <w:r>
        <w:rPr>
          <w:rFonts w:hint="eastAsia" w:ascii="黑体" w:hAnsi="黑体" w:eastAsia="黑体" w:cs="黑体"/>
          <w:color w:val="auto"/>
          <w:sz w:val="30"/>
          <w:szCs w:val="30"/>
          <w:highlight w:val="none"/>
          <w:lang w:eastAsia="zh-CN"/>
        </w:rPr>
        <w:t>食品安全要求</w:t>
      </w:r>
      <w:bookmarkEnd w:id="1015"/>
      <w:bookmarkEnd w:id="1016"/>
      <w:bookmarkEnd w:id="1017"/>
    </w:p>
    <w:p w14:paraId="005DBDF0">
      <w:pPr>
        <w:shd w:val="clear"/>
        <w:snapToGrid w:val="0"/>
        <w:spacing w:line="360" w:lineRule="auto"/>
        <w:ind w:firstLine="420" w:firstLineChars="200"/>
        <w:outlineLvl w:val="2"/>
        <w:rPr>
          <w:rFonts w:hint="eastAsia" w:ascii="宋体" w:hAnsi="宋体" w:cs="宋体"/>
          <w:color w:val="auto"/>
          <w:highlight w:val="none"/>
          <w:lang w:eastAsia="zh-CN"/>
        </w:rPr>
      </w:pPr>
      <w:bookmarkStart w:id="1018" w:name="_Toc6613"/>
      <w:bookmarkStart w:id="1019" w:name="_Toc30763"/>
      <w:bookmarkStart w:id="1020" w:name="OLE_LINK2"/>
      <w:r>
        <w:rPr>
          <w:rFonts w:hint="eastAsia" w:ascii="宋体" w:hAnsi="宋体" w:cs="宋体"/>
          <w:color w:val="auto"/>
          <w:highlight w:val="none"/>
          <w:lang w:eastAsia="zh-CN"/>
        </w:rPr>
        <w:t>（1）供应商必须依据国家有关法律法规要求建立健全各项管理制度，保证食品安全，有明确的食品安全责任人。全权对提供的食材全面负责，并承担因提供问题食材所造成饮食安全上的全部法律责任。</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验收人员在配送三联单签字的行为，并不免除供应商因供应大宗食材不合格产生的全部责任。</w:t>
      </w:r>
      <w:bookmarkEnd w:id="1018"/>
      <w:bookmarkEnd w:id="1019"/>
    </w:p>
    <w:p w14:paraId="4311F187">
      <w:pPr>
        <w:shd w:val="clear"/>
        <w:snapToGrid w:val="0"/>
        <w:spacing w:line="360" w:lineRule="auto"/>
        <w:ind w:firstLine="420" w:firstLineChars="200"/>
        <w:outlineLvl w:val="2"/>
        <w:rPr>
          <w:rFonts w:hint="eastAsia" w:ascii="宋体" w:hAnsi="宋体" w:cs="宋体"/>
          <w:color w:val="auto"/>
          <w:highlight w:val="none"/>
          <w:lang w:eastAsia="zh-CN"/>
        </w:rPr>
      </w:pPr>
      <w:bookmarkStart w:id="1021" w:name="_Toc12300"/>
      <w:bookmarkStart w:id="1022" w:name="_Toc3272"/>
      <w:r>
        <w:rPr>
          <w:rFonts w:hint="eastAsia" w:ascii="宋体" w:hAnsi="宋体" w:cs="宋体"/>
          <w:color w:val="auto"/>
          <w:highlight w:val="none"/>
          <w:lang w:eastAsia="zh-CN"/>
        </w:rPr>
        <w:t>（2）供应商所配送的大宗食材必须满足《中华人民共和国食品安全法》《中华人民共和国农产品质量安全法》和</w:t>
      </w:r>
      <w:r>
        <w:rPr>
          <w:rFonts w:hint="eastAsia" w:ascii="宋体" w:hAnsi="宋体" w:cs="宋体"/>
          <w:color w:val="auto"/>
          <w:highlight w:val="none"/>
          <w:lang w:val="zh-CN" w:eastAsia="zh-CN"/>
        </w:rPr>
        <w:t>采购人（学校）行业管理</w:t>
      </w:r>
      <w:r>
        <w:rPr>
          <w:rFonts w:hint="eastAsia" w:ascii="宋体" w:hAnsi="宋体" w:cs="宋体"/>
          <w:color w:val="auto"/>
          <w:highlight w:val="none"/>
          <w:lang w:eastAsia="zh-CN"/>
        </w:rPr>
        <w:t>有关要求，符合国家质量技术监督和食品卫生标准，杜绝“三无”产品和来源不清产品，确保安全。</w:t>
      </w:r>
      <w:bookmarkEnd w:id="1021"/>
      <w:bookmarkEnd w:id="1022"/>
    </w:p>
    <w:p w14:paraId="50243FA4">
      <w:pPr>
        <w:shd w:val="clear"/>
        <w:snapToGrid w:val="0"/>
        <w:spacing w:line="360" w:lineRule="auto"/>
        <w:ind w:firstLine="420" w:firstLineChars="200"/>
        <w:outlineLvl w:val="2"/>
        <w:rPr>
          <w:rFonts w:hint="eastAsia" w:ascii="宋体" w:hAnsi="宋体" w:cs="宋体"/>
          <w:color w:val="auto"/>
          <w:highlight w:val="none"/>
          <w:lang w:eastAsia="zh-CN"/>
        </w:rPr>
      </w:pPr>
      <w:bookmarkStart w:id="1023" w:name="_Toc22586"/>
      <w:bookmarkStart w:id="1024" w:name="_Toc3082"/>
      <w:r>
        <w:rPr>
          <w:rFonts w:hint="eastAsia" w:ascii="宋体" w:hAnsi="宋体" w:cs="宋体"/>
          <w:color w:val="auto"/>
          <w:highlight w:val="none"/>
          <w:lang w:eastAsia="zh-CN"/>
        </w:rPr>
        <w:t>（3）因配送大宗食材造成安全事件的，供应商负全部责任，承担所产生的一切费用和赔偿，包括但不限于直接损失和间接损失，以及</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为主张权利支出的费用，包括但不限于诉讼费（仲裁费）、保全费、保全担保费、鉴定费、差旅费、律师费等。</w:t>
      </w:r>
      <w:bookmarkEnd w:id="1023"/>
      <w:bookmarkEnd w:id="1024"/>
    </w:p>
    <w:p w14:paraId="5D34A5D9">
      <w:pPr>
        <w:shd w:val="clear"/>
        <w:snapToGrid w:val="0"/>
        <w:spacing w:line="360" w:lineRule="auto"/>
        <w:ind w:firstLine="420" w:firstLineChars="200"/>
        <w:outlineLvl w:val="2"/>
        <w:rPr>
          <w:rFonts w:hint="eastAsia" w:ascii="宋体" w:hAnsi="宋体" w:cs="宋体"/>
          <w:color w:val="auto"/>
          <w:highlight w:val="none"/>
          <w:lang w:eastAsia="zh-CN"/>
        </w:rPr>
      </w:pPr>
      <w:bookmarkStart w:id="1025" w:name="_Toc3691"/>
      <w:bookmarkStart w:id="1026" w:name="_Toc10088"/>
      <w:r>
        <w:rPr>
          <w:rFonts w:hint="eastAsia" w:ascii="宋体" w:hAnsi="宋体" w:cs="宋体"/>
          <w:color w:val="auto"/>
          <w:highlight w:val="none"/>
          <w:lang w:eastAsia="zh-CN"/>
        </w:rPr>
        <w:t>（4）</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每季度可随机依托第三方检测机构对供应商所配送大宗食材进行食品安全检测或农残安全检测，费用由供应商承担。</w:t>
      </w:r>
      <w:bookmarkEnd w:id="1025"/>
      <w:bookmarkEnd w:id="1026"/>
    </w:p>
    <w:p w14:paraId="2B018739">
      <w:pPr>
        <w:shd w:val="clear"/>
        <w:snapToGrid w:val="0"/>
        <w:spacing w:line="360" w:lineRule="auto"/>
        <w:ind w:firstLine="420" w:firstLineChars="200"/>
        <w:outlineLvl w:val="2"/>
        <w:rPr>
          <w:rFonts w:hint="eastAsia" w:ascii="宋体" w:hAnsi="宋体" w:cs="宋体"/>
          <w:color w:val="auto"/>
          <w:highlight w:val="none"/>
          <w:lang w:eastAsia="zh-CN"/>
        </w:rPr>
      </w:pPr>
      <w:bookmarkStart w:id="1027" w:name="_Toc17688"/>
      <w:bookmarkStart w:id="1028" w:name="_Toc26004"/>
      <w:r>
        <w:rPr>
          <w:rFonts w:hint="eastAsia" w:ascii="宋体" w:hAnsi="宋体" w:cs="宋体"/>
          <w:color w:val="auto"/>
          <w:highlight w:val="none"/>
          <w:lang w:eastAsia="zh-CN"/>
        </w:rPr>
        <w:t>（5）供应商投保食品安全责任保险。</w:t>
      </w:r>
      <w:bookmarkEnd w:id="1027"/>
      <w:bookmarkEnd w:id="1028"/>
    </w:p>
    <w:bookmarkEnd w:id="1020"/>
    <w:p w14:paraId="5F101CC8">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029" w:name="_Toc10027"/>
      <w:r>
        <w:rPr>
          <w:rFonts w:hint="eastAsia" w:ascii="黑体" w:hAnsi="黑体" w:eastAsia="黑体" w:cs="黑体"/>
          <w:bCs/>
          <w:color w:val="auto"/>
          <w:sz w:val="30"/>
          <w:szCs w:val="30"/>
          <w:highlight w:val="none"/>
          <w:lang w:val="en-US" w:eastAsia="zh-CN"/>
        </w:rPr>
        <w:t>1.2</w:t>
      </w:r>
      <w:r>
        <w:rPr>
          <w:rFonts w:hint="eastAsia" w:ascii="黑体" w:hAnsi="黑体" w:eastAsia="黑体" w:cs="黑体"/>
          <w:bCs/>
          <w:color w:val="auto"/>
          <w:sz w:val="30"/>
          <w:szCs w:val="30"/>
          <w:highlight w:val="none"/>
          <w:lang w:eastAsia="zh-CN"/>
        </w:rPr>
        <w:t>质量要求（供应商响应，验收时把关核查）</w:t>
      </w:r>
      <w:bookmarkEnd w:id="1029"/>
    </w:p>
    <w:p w14:paraId="168B359B">
      <w:pPr>
        <w:shd w:val="clear"/>
        <w:snapToGrid w:val="0"/>
        <w:spacing w:line="360" w:lineRule="auto"/>
        <w:ind w:firstLine="420" w:firstLineChars="200"/>
        <w:outlineLvl w:val="2"/>
        <w:rPr>
          <w:rFonts w:hint="eastAsia" w:ascii="宋体" w:hAnsi="宋体" w:cs="宋体"/>
          <w:color w:val="auto"/>
          <w:highlight w:val="none"/>
          <w:lang w:eastAsia="zh-CN"/>
        </w:rPr>
      </w:pPr>
      <w:bookmarkStart w:id="1030" w:name="_Toc10048"/>
      <w:bookmarkStart w:id="1031" w:name="_Toc2664"/>
      <w:r>
        <w:rPr>
          <w:rFonts w:hint="eastAsia" w:ascii="宋体" w:hAnsi="宋体" w:cs="宋体"/>
          <w:color w:val="auto"/>
          <w:highlight w:val="none"/>
          <w:lang w:eastAsia="zh-CN"/>
        </w:rPr>
        <w:t>（1）鲜畜，禽产品必须来源于具有行政主管部门颁发的生猪定点屠宰证的屠宰企业（场），提供《动物检疫合格证》和《肉品品质检验合格证》，加盖动物检疫合格验讫印章和肉品品质检验合格讫印章，符合GB2707-2016国标，色泽正常，无异味，无注水，脂肪洁白，外表微干或微湿润。</w:t>
      </w:r>
      <w:bookmarkEnd w:id="1030"/>
      <w:bookmarkEnd w:id="1031"/>
    </w:p>
    <w:p w14:paraId="51BD1C72">
      <w:pPr>
        <w:shd w:val="clear"/>
        <w:snapToGrid w:val="0"/>
        <w:spacing w:line="360" w:lineRule="auto"/>
        <w:ind w:firstLine="420" w:firstLineChars="200"/>
        <w:outlineLvl w:val="2"/>
        <w:rPr>
          <w:rFonts w:hint="eastAsia" w:ascii="宋体" w:hAnsi="宋体" w:cs="宋体"/>
          <w:color w:val="auto"/>
          <w:highlight w:val="none"/>
          <w:lang w:eastAsia="zh-CN"/>
        </w:rPr>
      </w:pPr>
      <w:bookmarkStart w:id="1032" w:name="_Toc27876"/>
      <w:bookmarkStart w:id="1033" w:name="_Toc22527"/>
      <w:r>
        <w:rPr>
          <w:rFonts w:hint="eastAsia" w:ascii="宋体" w:hAnsi="宋体" w:cs="宋体"/>
          <w:color w:val="auto"/>
          <w:highlight w:val="none"/>
          <w:lang w:eastAsia="zh-CN"/>
        </w:rPr>
        <w:t>（2）家禽禽产品类需提供《动物检疫合格证》《肉品品质检验合格证》和养殖基地有效证件，符合GB2707-2016国标，色泽正常，无异味，无注水，冻禽类外观滋润，呈乳白或微黄色，基本无血脉、风干现象，无白、黄、绿、紫斑，无冰衣，解冻后与鲜禽特征相同。</w:t>
      </w:r>
      <w:bookmarkEnd w:id="1032"/>
      <w:bookmarkEnd w:id="1033"/>
    </w:p>
    <w:p w14:paraId="435ECAFD">
      <w:pPr>
        <w:shd w:val="clear"/>
        <w:snapToGrid w:val="0"/>
        <w:spacing w:line="360" w:lineRule="auto"/>
        <w:ind w:firstLine="420" w:firstLineChars="200"/>
        <w:outlineLvl w:val="2"/>
        <w:rPr>
          <w:rFonts w:hint="eastAsia" w:ascii="宋体" w:hAnsi="宋体" w:cs="宋体"/>
          <w:color w:val="auto"/>
          <w:highlight w:val="none"/>
          <w:lang w:eastAsia="zh-CN"/>
        </w:rPr>
      </w:pPr>
      <w:bookmarkStart w:id="1034" w:name="_Toc19717"/>
      <w:bookmarkStart w:id="1035" w:name="_Toc3656"/>
      <w:r>
        <w:rPr>
          <w:rFonts w:hint="eastAsia" w:ascii="宋体" w:hAnsi="宋体" w:cs="宋体"/>
          <w:color w:val="auto"/>
          <w:highlight w:val="none"/>
          <w:lang w:eastAsia="zh-CN"/>
        </w:rPr>
        <w:t>（3）鲜、冻动物性水产品必须符合GB2733－2015、GB10136－2015国标，鲜鱼类体表黏液透明、滑而不粘，气味正常；鲜虾类：头尾完整，有一定的弯曲度，虾身较挺，呈表白色，半透明不发红，红壳光泽，稍湿润，无异味。冷冻水产须提供厂家质量报告，符合国家标准及相关规定。</w:t>
      </w:r>
      <w:bookmarkEnd w:id="1034"/>
      <w:bookmarkEnd w:id="1035"/>
    </w:p>
    <w:p w14:paraId="6B905C70">
      <w:pPr>
        <w:shd w:val="clear"/>
        <w:snapToGrid w:val="0"/>
        <w:spacing w:line="360" w:lineRule="auto"/>
        <w:ind w:firstLine="420" w:firstLineChars="200"/>
        <w:outlineLvl w:val="2"/>
        <w:rPr>
          <w:rFonts w:hint="eastAsia" w:ascii="宋体" w:hAnsi="宋体" w:cs="宋体"/>
          <w:color w:val="auto"/>
          <w:highlight w:val="none"/>
          <w:lang w:eastAsia="zh-CN"/>
        </w:rPr>
      </w:pPr>
      <w:bookmarkStart w:id="1036" w:name="_Toc1265"/>
      <w:bookmarkStart w:id="1037" w:name="_Toc20842"/>
      <w:r>
        <w:rPr>
          <w:rFonts w:hint="eastAsia" w:ascii="宋体" w:hAnsi="宋体" w:cs="宋体"/>
          <w:color w:val="auto"/>
          <w:highlight w:val="none"/>
          <w:lang w:eastAsia="zh-CN"/>
        </w:rPr>
        <w:t>（4）豆制品类食品外包装具有“SC”标志，无酸、涩等不良气味，并提供产品合格证明文件，符合GB2712－2014国标，为非转基因产品。</w:t>
      </w:r>
      <w:bookmarkEnd w:id="1036"/>
      <w:bookmarkEnd w:id="1037"/>
    </w:p>
    <w:p w14:paraId="3AECBC69">
      <w:pPr>
        <w:shd w:val="clear"/>
        <w:snapToGrid w:val="0"/>
        <w:spacing w:line="360" w:lineRule="auto"/>
        <w:ind w:firstLine="420" w:firstLineChars="200"/>
        <w:outlineLvl w:val="2"/>
        <w:rPr>
          <w:rFonts w:hint="eastAsia" w:ascii="宋体" w:hAnsi="宋体" w:cs="宋体"/>
          <w:color w:val="auto"/>
          <w:highlight w:val="none"/>
          <w:lang w:eastAsia="zh-CN"/>
        </w:rPr>
      </w:pPr>
      <w:bookmarkStart w:id="1038" w:name="_Toc28178"/>
      <w:bookmarkStart w:id="1039" w:name="_Toc12372"/>
      <w:r>
        <w:rPr>
          <w:rFonts w:hint="eastAsia" w:ascii="宋体" w:hAnsi="宋体" w:cs="宋体"/>
          <w:color w:val="auto"/>
          <w:highlight w:val="none"/>
          <w:lang w:eastAsia="zh-CN"/>
        </w:rPr>
        <w:t>（5）奶制品类食品标明食品生产许可证编号，符合乳制品国家标准：GB19645、GB25190，必须采用经超高温灭菌或巴氏杀菌法等工序制得的纯牛奶或调味乳，调味乳的纯牛奶比例不低于80%。单件包装规格为：180ml (g)≤净含量≤250ml (g)。纯牛奶：每100克牛奶中，蛋白质含量&gt;2.9克，脂肪含量≥3.1克，非脂乳固体≥8.1克，保质期≤6个月。调味乳：每100克牛奶中，蛋白质含量≥2.3克，脂肪含量&gt;2.5克，保质期&lt;6个月。</w:t>
      </w:r>
      <w:bookmarkEnd w:id="1038"/>
      <w:bookmarkEnd w:id="1039"/>
    </w:p>
    <w:p w14:paraId="651E2D75">
      <w:pPr>
        <w:shd w:val="clear"/>
        <w:snapToGrid w:val="0"/>
        <w:spacing w:line="360" w:lineRule="auto"/>
        <w:ind w:firstLine="420" w:firstLineChars="200"/>
        <w:outlineLvl w:val="2"/>
        <w:rPr>
          <w:rFonts w:hint="eastAsia" w:ascii="宋体" w:hAnsi="宋体" w:cs="宋体"/>
          <w:color w:val="auto"/>
          <w:highlight w:val="none"/>
          <w:lang w:eastAsia="zh-CN"/>
        </w:rPr>
      </w:pPr>
      <w:bookmarkStart w:id="1040" w:name="_Toc4612"/>
      <w:bookmarkStart w:id="1041" w:name="_Toc11331"/>
      <w:r>
        <w:rPr>
          <w:rFonts w:hint="eastAsia" w:ascii="宋体" w:hAnsi="宋体" w:cs="宋体"/>
          <w:color w:val="auto"/>
          <w:highlight w:val="none"/>
          <w:lang w:eastAsia="zh-CN"/>
        </w:rPr>
        <w:t>（6）调味类食品外包装具有“SC”标志，外包装显示商品名称、净含量、生产日期及保质期等标识，并提供产品合格证明文件，符合国家标准及相关规定。</w:t>
      </w:r>
      <w:bookmarkEnd w:id="1040"/>
      <w:bookmarkEnd w:id="1041"/>
    </w:p>
    <w:p w14:paraId="7622DA10">
      <w:pPr>
        <w:shd w:val="clear"/>
        <w:snapToGrid w:val="0"/>
        <w:spacing w:line="360" w:lineRule="auto"/>
        <w:ind w:firstLine="420" w:firstLineChars="200"/>
        <w:outlineLvl w:val="2"/>
        <w:rPr>
          <w:rFonts w:hint="eastAsia" w:ascii="宋体" w:hAnsi="宋体" w:cs="宋体"/>
          <w:color w:val="auto"/>
          <w:highlight w:val="none"/>
          <w:lang w:eastAsia="zh-CN"/>
        </w:rPr>
      </w:pPr>
      <w:bookmarkStart w:id="1042" w:name="_Toc239"/>
      <w:bookmarkStart w:id="1043" w:name="_Toc31134"/>
      <w:r>
        <w:rPr>
          <w:rFonts w:hint="eastAsia" w:ascii="宋体" w:hAnsi="宋体" w:cs="宋体"/>
          <w:color w:val="auto"/>
          <w:highlight w:val="none"/>
          <w:lang w:eastAsia="zh-CN"/>
        </w:rPr>
        <w:t>（7）鲜蛋与蛋制品，保证新鲜，且符合GB2749－2015国标，蛋壳无裂纹，色泽鲜明，手掂感较重，能提供养殖基地有效证件。</w:t>
      </w:r>
      <w:bookmarkEnd w:id="1042"/>
      <w:bookmarkEnd w:id="1043"/>
    </w:p>
    <w:p w14:paraId="72DF914D">
      <w:pPr>
        <w:shd w:val="clear"/>
        <w:snapToGrid w:val="0"/>
        <w:spacing w:line="360" w:lineRule="auto"/>
        <w:ind w:firstLine="420" w:firstLineChars="200"/>
        <w:outlineLvl w:val="2"/>
        <w:rPr>
          <w:rFonts w:hint="eastAsia" w:ascii="宋体" w:hAnsi="宋体" w:cs="宋体"/>
          <w:color w:val="auto"/>
          <w:highlight w:val="none"/>
          <w:lang w:eastAsia="zh-CN"/>
        </w:rPr>
      </w:pPr>
      <w:bookmarkStart w:id="1044" w:name="_Toc23494"/>
      <w:bookmarkStart w:id="1045" w:name="_Toc3660"/>
      <w:r>
        <w:rPr>
          <w:rFonts w:hint="eastAsia" w:ascii="宋体" w:hAnsi="宋体" w:cs="宋体"/>
          <w:color w:val="auto"/>
          <w:highlight w:val="none"/>
          <w:lang w:eastAsia="zh-CN"/>
        </w:rPr>
        <w:t>（8）蔬菜类必须符合GB2762－2017、GB2763－2021国标，必须提供农药残留检测报告，保证新鲜，色泽鲜亮，叶身肥壮、饱满、无伤痕，质地脆嫩、坚挺，不得出现霉烂、霉臭、黄叶、变质、存放时间长的蔬菜类，蔬菜的残余农药等各项指标含量均不能超过国家有关标准，且符合《中华人民共和国</w:t>
      </w:r>
      <w:r>
        <w:rPr>
          <w:rFonts w:hint="default" w:ascii="宋体" w:hAnsi="宋体" w:cs="宋体"/>
          <w:color w:val="auto"/>
          <w:highlight w:val="none"/>
          <w:lang w:eastAsia="zh-CN"/>
        </w:rPr>
        <w:t>农产品质量安全法</w:t>
      </w:r>
      <w:r>
        <w:rPr>
          <w:rFonts w:hint="eastAsia" w:ascii="宋体" w:hAnsi="宋体" w:cs="宋体"/>
          <w:color w:val="auto"/>
          <w:highlight w:val="none"/>
          <w:lang w:eastAsia="zh-CN"/>
        </w:rPr>
        <w:t>》要求。</w:t>
      </w:r>
      <w:bookmarkEnd w:id="1044"/>
      <w:bookmarkEnd w:id="1045"/>
    </w:p>
    <w:p w14:paraId="23599E08">
      <w:pPr>
        <w:shd w:val="clear"/>
        <w:snapToGrid w:val="0"/>
        <w:spacing w:line="360" w:lineRule="auto"/>
        <w:ind w:firstLine="420" w:firstLineChars="200"/>
        <w:outlineLvl w:val="2"/>
        <w:rPr>
          <w:rFonts w:hint="eastAsia" w:ascii="宋体" w:hAnsi="宋体" w:cs="宋体"/>
          <w:color w:val="auto"/>
          <w:highlight w:val="none"/>
          <w:lang w:eastAsia="zh-CN"/>
        </w:rPr>
      </w:pPr>
      <w:bookmarkStart w:id="1046" w:name="_Toc28050"/>
      <w:bookmarkStart w:id="1047" w:name="_Toc9015"/>
      <w:r>
        <w:rPr>
          <w:rFonts w:hint="eastAsia" w:ascii="宋体" w:hAnsi="宋体" w:cs="宋体"/>
          <w:color w:val="auto"/>
          <w:highlight w:val="none"/>
          <w:lang w:eastAsia="zh-CN"/>
        </w:rPr>
        <w:t>（9）供人食用的原粮和成品粮类必须符合GB2715－2016国标，保证质量，无腐烂、无变质、无变味、无变色、无虫咬、无鼠咬、无破袋，有生产日期、保质期；</w:t>
      </w:r>
      <w:bookmarkEnd w:id="1046"/>
      <w:bookmarkEnd w:id="1047"/>
    </w:p>
    <w:p w14:paraId="405141C7">
      <w:pPr>
        <w:shd w:val="clear"/>
        <w:snapToGrid w:val="0"/>
        <w:spacing w:line="360" w:lineRule="auto"/>
        <w:ind w:firstLine="420" w:firstLineChars="200"/>
        <w:outlineLvl w:val="2"/>
        <w:rPr>
          <w:rFonts w:hint="eastAsia" w:ascii="宋体" w:hAnsi="宋体" w:cs="宋体"/>
          <w:color w:val="auto"/>
          <w:highlight w:val="none"/>
          <w:lang w:eastAsia="zh-CN"/>
        </w:rPr>
      </w:pPr>
      <w:bookmarkStart w:id="1048" w:name="_Toc3621"/>
      <w:bookmarkStart w:id="1049" w:name="_Toc2703"/>
      <w:r>
        <w:rPr>
          <w:rFonts w:hint="eastAsia" w:ascii="宋体" w:hAnsi="宋体" w:cs="宋体"/>
          <w:color w:val="auto"/>
          <w:highlight w:val="none"/>
          <w:lang w:eastAsia="zh-CN"/>
        </w:rPr>
        <w:t>（10）水果类必须符合GB2762－2017、GB2763－2021国标，保证新鲜，大小均匀，不腐烂、不变质，无压、伤疤痕，不干皱，口感质感良好。</w:t>
      </w:r>
      <w:bookmarkEnd w:id="1048"/>
      <w:bookmarkEnd w:id="1049"/>
    </w:p>
    <w:p w14:paraId="48A58410">
      <w:pPr>
        <w:shd w:val="clear"/>
        <w:snapToGrid w:val="0"/>
        <w:spacing w:line="360" w:lineRule="auto"/>
        <w:ind w:firstLine="420" w:firstLineChars="200"/>
        <w:outlineLvl w:val="2"/>
        <w:rPr>
          <w:rFonts w:hint="eastAsia" w:ascii="宋体" w:hAnsi="宋体" w:cs="宋体"/>
          <w:color w:val="auto"/>
          <w:highlight w:val="none"/>
          <w:lang w:eastAsia="zh-CN"/>
        </w:rPr>
      </w:pPr>
      <w:bookmarkStart w:id="1050" w:name="_Toc28222"/>
      <w:bookmarkStart w:id="1051" w:name="_Toc2790"/>
      <w:r>
        <w:rPr>
          <w:rFonts w:hint="eastAsia" w:ascii="宋体" w:hAnsi="宋体" w:cs="宋体"/>
          <w:color w:val="auto"/>
          <w:highlight w:val="none"/>
          <w:lang w:eastAsia="zh-CN"/>
        </w:rPr>
        <w:t>（11）饮料类食品外包装具有“SC”标志，外包标明产品名称、配料表、净含量、制造者、生产日期、保质期等，并提供产品合格证明文件。</w:t>
      </w:r>
      <w:bookmarkEnd w:id="1050"/>
      <w:bookmarkEnd w:id="1051"/>
    </w:p>
    <w:p w14:paraId="68C121D9">
      <w:pPr>
        <w:shd w:val="clear"/>
        <w:snapToGrid w:val="0"/>
        <w:spacing w:line="360" w:lineRule="auto"/>
        <w:ind w:firstLine="420" w:firstLineChars="200"/>
        <w:outlineLvl w:val="2"/>
        <w:rPr>
          <w:rFonts w:hint="eastAsia" w:ascii="宋体" w:hAnsi="宋体" w:cs="宋体"/>
          <w:color w:val="auto"/>
          <w:highlight w:val="none"/>
          <w:lang w:eastAsia="zh-CN"/>
        </w:rPr>
      </w:pPr>
      <w:bookmarkStart w:id="1052" w:name="_Toc20857"/>
      <w:bookmarkStart w:id="1053" w:name="_Toc22696"/>
      <w:r>
        <w:rPr>
          <w:rFonts w:hint="eastAsia" w:ascii="宋体" w:hAnsi="宋体" w:cs="宋体"/>
          <w:color w:val="auto"/>
          <w:highlight w:val="none"/>
          <w:lang w:eastAsia="zh-CN"/>
        </w:rPr>
        <w:t>（12）西点类食品外包装具有“SC”标志，并提供产品合格证明文件，符合GB2711-2014国标。</w:t>
      </w:r>
      <w:bookmarkEnd w:id="1052"/>
      <w:bookmarkEnd w:id="1053"/>
    </w:p>
    <w:p w14:paraId="0A61ADD2">
      <w:pPr>
        <w:shd w:val="clear"/>
        <w:snapToGrid w:val="0"/>
        <w:spacing w:line="360" w:lineRule="auto"/>
        <w:ind w:firstLine="420" w:firstLineChars="200"/>
        <w:outlineLvl w:val="2"/>
        <w:rPr>
          <w:rFonts w:hint="eastAsia" w:ascii="宋体" w:hAnsi="宋体" w:cs="宋体"/>
          <w:color w:val="auto"/>
          <w:highlight w:val="none"/>
          <w:lang w:eastAsia="zh-CN"/>
        </w:rPr>
      </w:pPr>
      <w:bookmarkStart w:id="1054" w:name="_Toc17659"/>
      <w:bookmarkStart w:id="1055" w:name="_Toc10922"/>
      <w:r>
        <w:rPr>
          <w:rFonts w:hint="eastAsia" w:ascii="宋体" w:hAnsi="宋体" w:cs="宋体"/>
          <w:color w:val="auto"/>
          <w:highlight w:val="none"/>
          <w:lang w:eastAsia="zh-CN"/>
        </w:rPr>
        <w:t>（13）干果类食品外包装具有“SC”标志，并提供产品合格证明文件，保证新鲜，无腐烂、无变质、无变味，包装显示商品名称、净含量、生产日期及保质期等标识。</w:t>
      </w:r>
      <w:bookmarkEnd w:id="1054"/>
      <w:bookmarkEnd w:id="1055"/>
    </w:p>
    <w:p w14:paraId="78D46F54">
      <w:pPr>
        <w:shd w:val="clear"/>
        <w:snapToGrid w:val="0"/>
        <w:spacing w:line="360" w:lineRule="auto"/>
        <w:ind w:firstLine="420" w:firstLineChars="200"/>
        <w:outlineLvl w:val="2"/>
        <w:rPr>
          <w:rFonts w:hint="eastAsia" w:ascii="宋体" w:hAnsi="宋体" w:cs="宋体"/>
          <w:color w:val="auto"/>
          <w:highlight w:val="none"/>
          <w:lang w:eastAsia="zh-CN"/>
        </w:rPr>
      </w:pPr>
      <w:bookmarkStart w:id="1056" w:name="_Toc11808"/>
      <w:bookmarkStart w:id="1057" w:name="_Toc31081"/>
      <w:r>
        <w:rPr>
          <w:rFonts w:hint="eastAsia" w:ascii="宋体" w:hAnsi="宋体" w:cs="宋体"/>
          <w:color w:val="auto"/>
          <w:highlight w:val="none"/>
          <w:lang w:eastAsia="zh-CN"/>
        </w:rPr>
        <w:t>（14）酱腌菜类亚硝酸盐定期抽检合格，符合GB2714－2015国标。</w:t>
      </w:r>
      <w:bookmarkEnd w:id="1056"/>
      <w:bookmarkEnd w:id="1057"/>
    </w:p>
    <w:p w14:paraId="36EBDA60">
      <w:pPr>
        <w:shd w:val="clear"/>
        <w:snapToGrid w:val="0"/>
        <w:spacing w:line="360" w:lineRule="auto"/>
        <w:ind w:firstLine="420" w:firstLineChars="200"/>
        <w:outlineLvl w:val="2"/>
        <w:rPr>
          <w:rFonts w:hint="eastAsia" w:ascii="宋体" w:hAnsi="宋体" w:cs="宋体"/>
          <w:color w:val="auto"/>
          <w:highlight w:val="none"/>
          <w:lang w:eastAsia="zh-CN"/>
        </w:rPr>
      </w:pPr>
      <w:bookmarkStart w:id="1058" w:name="_Toc16734"/>
      <w:bookmarkStart w:id="1059" w:name="_Toc28559"/>
      <w:r>
        <w:rPr>
          <w:rFonts w:hint="eastAsia" w:ascii="宋体" w:hAnsi="宋体" w:cs="宋体"/>
          <w:color w:val="auto"/>
          <w:highlight w:val="none"/>
          <w:lang w:eastAsia="zh-CN"/>
        </w:rPr>
        <w:t>（15）所有包含食品添加剂的大宗食材必须符合《国家食品安全标准食品添加剂使用标准》（GB2760）规定。</w:t>
      </w:r>
      <w:bookmarkEnd w:id="1058"/>
      <w:bookmarkEnd w:id="1059"/>
    </w:p>
    <w:p w14:paraId="1EF4DBE0">
      <w:pPr>
        <w:shd w:val="clear"/>
        <w:snapToGrid w:val="0"/>
        <w:spacing w:line="360" w:lineRule="auto"/>
        <w:ind w:firstLine="420" w:firstLineChars="200"/>
        <w:outlineLvl w:val="2"/>
        <w:rPr>
          <w:rFonts w:hint="eastAsia" w:ascii="宋体" w:hAnsi="宋体" w:cs="宋体"/>
          <w:color w:val="auto"/>
          <w:highlight w:val="none"/>
          <w:lang w:eastAsia="zh-CN"/>
        </w:rPr>
      </w:pPr>
      <w:bookmarkStart w:id="1060" w:name="_Toc1394"/>
      <w:bookmarkStart w:id="1061" w:name="_Toc7416"/>
      <w:r>
        <w:rPr>
          <w:rFonts w:hint="eastAsia" w:ascii="宋体" w:hAnsi="宋体" w:cs="宋体"/>
          <w:color w:val="auto"/>
          <w:highlight w:val="none"/>
          <w:lang w:eastAsia="zh-CN"/>
        </w:rPr>
        <w:t>（16）食品重量按净重计算，不含包装物重量。</w:t>
      </w:r>
      <w:bookmarkEnd w:id="1060"/>
      <w:bookmarkEnd w:id="1061"/>
    </w:p>
    <w:p w14:paraId="4EA21D89">
      <w:pPr>
        <w:shd w:val="clear"/>
        <w:snapToGrid w:val="0"/>
        <w:spacing w:line="360" w:lineRule="auto"/>
        <w:ind w:firstLine="420" w:firstLineChars="200"/>
        <w:outlineLvl w:val="2"/>
        <w:rPr>
          <w:rFonts w:hint="eastAsia" w:ascii="宋体" w:hAnsi="宋体" w:cs="宋体"/>
          <w:color w:val="auto"/>
          <w:highlight w:val="none"/>
          <w:lang w:eastAsia="zh-CN"/>
        </w:rPr>
      </w:pPr>
      <w:bookmarkStart w:id="1062" w:name="_Toc16976"/>
      <w:bookmarkStart w:id="1063" w:name="_Toc13"/>
      <w:r>
        <w:rPr>
          <w:rFonts w:hint="eastAsia" w:ascii="宋体" w:hAnsi="宋体" w:cs="宋体"/>
          <w:color w:val="auto"/>
          <w:highlight w:val="none"/>
          <w:lang w:eastAsia="zh-CN"/>
        </w:rPr>
        <w:t>（17）其他技术要求或未列明情况由双方协商确定。</w:t>
      </w:r>
      <w:bookmarkEnd w:id="1062"/>
      <w:bookmarkEnd w:id="1063"/>
    </w:p>
    <w:p w14:paraId="2BEC2B23">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064" w:name="_Toc5006"/>
      <w:r>
        <w:rPr>
          <w:rFonts w:hint="eastAsia" w:ascii="黑体" w:hAnsi="黑体" w:eastAsia="黑体" w:cs="黑体"/>
          <w:bCs/>
          <w:color w:val="auto"/>
          <w:sz w:val="30"/>
          <w:szCs w:val="30"/>
          <w:highlight w:val="none"/>
          <w:lang w:val="en-US" w:eastAsia="zh-CN"/>
        </w:rPr>
        <w:t>1.3质量和技术</w:t>
      </w:r>
      <w:r>
        <w:rPr>
          <w:rFonts w:hint="eastAsia" w:ascii="黑体" w:hAnsi="黑体" w:eastAsia="黑体" w:cs="黑体"/>
          <w:bCs/>
          <w:color w:val="auto"/>
          <w:sz w:val="30"/>
          <w:szCs w:val="30"/>
          <w:highlight w:val="none"/>
          <w:lang w:eastAsia="zh-CN"/>
        </w:rPr>
        <w:t>验收要求</w:t>
      </w:r>
      <w:bookmarkEnd w:id="1064"/>
    </w:p>
    <w:p w14:paraId="1163A7C4">
      <w:pPr>
        <w:shd w:val="clear"/>
        <w:snapToGrid w:val="0"/>
        <w:spacing w:line="360" w:lineRule="auto"/>
        <w:ind w:firstLine="420" w:firstLineChars="200"/>
        <w:outlineLvl w:val="2"/>
        <w:rPr>
          <w:rFonts w:hint="eastAsia" w:ascii="宋体" w:hAnsi="宋体" w:cs="宋体"/>
          <w:color w:val="auto"/>
          <w:highlight w:val="none"/>
          <w:lang w:eastAsia="zh-CN"/>
        </w:rPr>
      </w:pPr>
      <w:bookmarkStart w:id="1065" w:name="_Toc26300"/>
      <w:bookmarkStart w:id="1066" w:name="_Toc11893"/>
      <w:r>
        <w:rPr>
          <w:rFonts w:hint="eastAsia" w:ascii="宋体" w:hAnsi="宋体" w:cs="宋体"/>
          <w:color w:val="auto"/>
          <w:highlight w:val="none"/>
          <w:lang w:eastAsia="zh-CN"/>
        </w:rPr>
        <w:t>大宗食材验收由</w:t>
      </w:r>
      <w:r>
        <w:rPr>
          <w:rFonts w:hint="eastAsia" w:ascii="宋体" w:hAnsi="宋体" w:cs="宋体"/>
          <w:color w:val="auto"/>
          <w:highlight w:val="none"/>
          <w:lang w:val="zh-CN" w:eastAsia="zh-CN"/>
        </w:rPr>
        <w:t>采购人（学校）</w:t>
      </w:r>
      <w:r>
        <w:rPr>
          <w:rFonts w:hint="eastAsia" w:ascii="宋体" w:hAnsi="宋体" w:cs="宋体"/>
          <w:color w:val="auto"/>
          <w:highlight w:val="none"/>
          <w:lang w:eastAsia="zh-CN"/>
        </w:rPr>
        <w:t>指定人员</w:t>
      </w:r>
      <w:bookmarkStart w:id="1067" w:name="_Hlk161565161"/>
      <w:r>
        <w:rPr>
          <w:rFonts w:hint="eastAsia" w:ascii="宋体" w:hAnsi="宋体" w:cs="宋体"/>
          <w:color w:val="auto"/>
          <w:highlight w:val="none"/>
          <w:lang w:eastAsia="zh-CN"/>
        </w:rPr>
        <w:t>与供应商进行联合验收</w:t>
      </w:r>
      <w:bookmarkEnd w:id="1067"/>
      <w:r>
        <w:rPr>
          <w:rFonts w:hint="eastAsia" w:ascii="宋体" w:hAnsi="宋体" w:cs="宋体"/>
          <w:color w:val="auto"/>
          <w:highlight w:val="none"/>
          <w:lang w:eastAsia="zh-CN"/>
        </w:rPr>
        <w:t>，双方对大宗食材的品种、产地、单价、数量、质量、总额、保质期等7个方面查验核对无异议后，在验收单上签字，各自留存作为结算依据。</w:t>
      </w:r>
      <w:bookmarkEnd w:id="1065"/>
      <w:bookmarkEnd w:id="1066"/>
    </w:p>
    <w:p w14:paraId="29A4720C">
      <w:pPr>
        <w:shd w:val="clear"/>
        <w:snapToGrid w:val="0"/>
        <w:spacing w:line="360" w:lineRule="auto"/>
        <w:ind w:firstLine="420" w:firstLineChars="200"/>
        <w:outlineLvl w:val="2"/>
        <w:rPr>
          <w:rFonts w:hint="eastAsia" w:ascii="宋体" w:hAnsi="宋体" w:cs="宋体"/>
          <w:color w:val="auto"/>
          <w:highlight w:val="none"/>
          <w:lang w:eastAsia="zh-CN"/>
        </w:rPr>
      </w:pPr>
      <w:bookmarkStart w:id="1068" w:name="_Toc4706"/>
      <w:bookmarkStart w:id="1069" w:name="_Toc14418"/>
      <w:r>
        <w:rPr>
          <w:rFonts w:hint="eastAsia" w:ascii="宋体" w:hAnsi="宋体" w:cs="宋体"/>
          <w:color w:val="auto"/>
          <w:highlight w:val="none"/>
          <w:lang w:eastAsia="zh-CN"/>
        </w:rPr>
        <w:t>供应商不得提供无批准文号标注的商品以及未经检疫和检测不合格的鲜畜、禽产品、水产品，其中：鲜畜、禽产品类须每日提供同批次动物检疫合格证明，鲜蛋与蛋制品产品须标明生产日期，产品保质期在7日以内，冷冻食品类配送日期不超过保质期的二分之一。</w:t>
      </w:r>
      <w:bookmarkEnd w:id="1068"/>
      <w:bookmarkEnd w:id="1069"/>
    </w:p>
    <w:p w14:paraId="43EBB8D1">
      <w:pPr>
        <w:shd w:val="clear"/>
        <w:snapToGrid w:val="0"/>
        <w:spacing w:line="360" w:lineRule="auto"/>
        <w:ind w:firstLine="420" w:firstLineChars="200"/>
        <w:outlineLvl w:val="2"/>
        <w:rPr>
          <w:rFonts w:hint="eastAsia" w:ascii="宋体" w:hAnsi="宋体" w:cs="宋体"/>
          <w:color w:val="auto"/>
          <w:highlight w:val="none"/>
          <w:lang w:eastAsia="zh-CN"/>
        </w:rPr>
      </w:pPr>
      <w:bookmarkStart w:id="1070" w:name="_Toc26400"/>
      <w:bookmarkStart w:id="1071" w:name="_Toc17819"/>
      <w:r>
        <w:rPr>
          <w:rFonts w:hint="eastAsia" w:ascii="宋体" w:hAnsi="宋体" w:cs="宋体"/>
          <w:color w:val="auto"/>
          <w:highlight w:val="none"/>
          <w:lang w:eastAsia="zh-CN"/>
        </w:rPr>
        <w:t>要求供应商所供应的产品，有外包装的必须符合国家有关法规、标准的要求，标明产品名称、配料表（单一制品可以免除）、净含量、制造者及经营者的名称和地址、生产（或分装、包装）日期、产品标准号、保质期或保存期，要求配送日期不超过保质期的二分之一；无外包装的必须保证商品干净卫生、无杂质、无虫蚀虫蛀现象，保证商品新鲜，确保商品质量完好。不得有腐败变质、油脂酸败、霉变、生虫、混有异物或者其他感官性状异常及对人身体健康有害物质；不得含有致病性寄生虫、微生物或者微生物含量超过国家限定标准；</w:t>
      </w:r>
      <w:bookmarkStart w:id="1072" w:name="OLE_LINK3"/>
      <w:r>
        <w:rPr>
          <w:rFonts w:hint="eastAsia" w:ascii="宋体" w:hAnsi="宋体" w:cs="宋体"/>
          <w:color w:val="auto"/>
          <w:highlight w:val="none"/>
          <w:lang w:eastAsia="zh-CN"/>
        </w:rPr>
        <w:t>不得喷洒有毒有害物质对食品进行保鲜或保质处理</w:t>
      </w:r>
      <w:bookmarkEnd w:id="1072"/>
      <w:r>
        <w:rPr>
          <w:rFonts w:hint="eastAsia" w:ascii="宋体" w:hAnsi="宋体" w:cs="宋体"/>
          <w:color w:val="auto"/>
          <w:highlight w:val="none"/>
          <w:lang w:eastAsia="zh-CN"/>
        </w:rPr>
        <w:t>；应没有掺假、掺杂、伪造、过期临期食品。</w:t>
      </w:r>
      <w:bookmarkEnd w:id="1070"/>
      <w:bookmarkEnd w:id="1071"/>
    </w:p>
    <w:p w14:paraId="500AB5FD">
      <w:pPr>
        <w:shd w:val="clear"/>
        <w:snapToGrid w:val="0"/>
        <w:spacing w:line="360" w:lineRule="auto"/>
        <w:ind w:firstLine="420" w:firstLineChars="200"/>
        <w:outlineLvl w:val="2"/>
        <w:rPr>
          <w:rFonts w:hint="eastAsia" w:ascii="宋体" w:hAnsi="宋体" w:cs="宋体"/>
          <w:color w:val="auto"/>
          <w:highlight w:val="none"/>
          <w:lang w:eastAsia="zh-CN"/>
        </w:rPr>
      </w:pPr>
      <w:bookmarkStart w:id="1073" w:name="_Toc28554"/>
      <w:bookmarkStart w:id="1074" w:name="_Toc11604"/>
      <w:r>
        <w:rPr>
          <w:rFonts w:hint="eastAsia" w:ascii="宋体" w:hAnsi="宋体" w:cs="宋体"/>
          <w:color w:val="auto"/>
          <w:highlight w:val="none"/>
          <w:lang w:eastAsia="zh-CN"/>
        </w:rPr>
        <w:t>供应商</w:t>
      </w:r>
      <w:bookmarkStart w:id="1075" w:name="OLE_LINK4"/>
      <w:r>
        <w:rPr>
          <w:rFonts w:hint="eastAsia" w:ascii="宋体" w:hAnsi="宋体" w:cs="宋体"/>
          <w:color w:val="auto"/>
          <w:highlight w:val="none"/>
          <w:lang w:eastAsia="zh-CN"/>
        </w:rPr>
        <w:t>不论以何种形式进行供货，都必须按照投标文件中做出的服务承诺履行相关义务，不得出现缺斤短两、以次充好等情况。</w:t>
      </w:r>
      <w:bookmarkEnd w:id="1073"/>
      <w:bookmarkEnd w:id="1074"/>
    </w:p>
    <w:bookmarkEnd w:id="1075"/>
    <w:p w14:paraId="0C23B3B6">
      <w:pPr>
        <w:shd w:val="clear"/>
        <w:snapToGrid w:val="0"/>
        <w:spacing w:line="360" w:lineRule="auto"/>
        <w:ind w:firstLine="420" w:firstLineChars="200"/>
        <w:outlineLvl w:val="2"/>
        <w:rPr>
          <w:rFonts w:hint="default" w:ascii="宋体" w:hAnsi="宋体" w:cs="宋体"/>
          <w:color w:val="auto"/>
          <w:highlight w:val="none"/>
          <w:lang w:eastAsia="zh-CN"/>
        </w:rPr>
      </w:pPr>
      <w:bookmarkStart w:id="1076" w:name="_Toc27090"/>
      <w:bookmarkStart w:id="1077" w:name="_Toc18014"/>
      <w:r>
        <w:rPr>
          <w:rFonts w:hint="default" w:ascii="宋体" w:hAnsi="宋体" w:cs="宋体"/>
          <w:color w:val="auto"/>
          <w:highlight w:val="none"/>
          <w:lang w:eastAsia="zh-CN"/>
        </w:rPr>
        <w:t>粮油类</w:t>
      </w:r>
      <w:r>
        <w:rPr>
          <w:rFonts w:hint="eastAsia" w:ascii="宋体" w:hAnsi="宋体" w:cs="宋体"/>
          <w:color w:val="auto"/>
          <w:highlight w:val="none"/>
          <w:lang w:eastAsia="zh-CN"/>
        </w:rPr>
        <w:t>：</w:t>
      </w:r>
      <w:r>
        <w:rPr>
          <w:rFonts w:hint="default" w:ascii="宋体" w:hAnsi="宋体" w:cs="宋体"/>
          <w:color w:val="auto"/>
          <w:highlight w:val="none"/>
          <w:lang w:eastAsia="zh-CN"/>
        </w:rPr>
        <w:t>粳米（国标二级以上）、籼米（国标三级以上）、面粉（国标特制一等）、大豆油（国标一级）、菜籽油（国标四级），所有粮油产品必须是非转基因原料加工。</w:t>
      </w:r>
      <w:bookmarkEnd w:id="1076"/>
      <w:bookmarkEnd w:id="1077"/>
    </w:p>
    <w:p w14:paraId="0EE9998F">
      <w:pPr>
        <w:shd w:val="clear"/>
        <w:snapToGrid w:val="0"/>
        <w:spacing w:line="360" w:lineRule="auto"/>
        <w:ind w:firstLine="420" w:firstLineChars="200"/>
        <w:outlineLvl w:val="2"/>
        <w:rPr>
          <w:rFonts w:hint="eastAsia" w:ascii="宋体" w:hAnsi="宋体" w:cs="宋体"/>
          <w:color w:val="auto"/>
          <w:highlight w:val="none"/>
          <w:lang w:eastAsia="zh-CN"/>
        </w:rPr>
      </w:pPr>
      <w:bookmarkStart w:id="1078" w:name="_Toc2580"/>
      <w:bookmarkStart w:id="1079" w:name="_Toc19915"/>
      <w:r>
        <w:rPr>
          <w:rFonts w:hint="eastAsia" w:ascii="宋体" w:hAnsi="宋体" w:cs="宋体"/>
          <w:color w:val="auto"/>
          <w:highlight w:val="none"/>
          <w:lang w:eastAsia="zh-CN"/>
        </w:rPr>
        <w:t>肉类：1.边散猪肉：肉质有弹性，手指轻按，凹陷地方马上恢复，脂肪为白色或乳白色，整体色泽光润，切面红色、微微湿润但不沾手；无淤血、无注水，无寄生虫。2.上肉：瘦肉较多，带有肥肉或瘦肉。3.五花肉：带皮的肥瘦肉，或瘦肉。4.瘦肉：基本为瘦肉，无肥肉，肌腱少。5.猪扒：圆而长的通脊肉，全部都是瘦肉，肉质细嫩，紧密。6.排骨：带肉的排骨，排骨带少量肉，不带肥油，厚实，骨肉不分离。7.龙骨：剔除了里脊肉的脊椎骨，色泽肉红，不带皮，不带油。8.汤骨：腿骨，圆筒形，浅黄骨髓充满全部管状骨腔，带部分肌肉。9.猪蹄：干净、完整、无毛、无黑斑、无指甲、表皮光滑、肉质有弹性。10.猪肝：肝叶完整、暗红、质地柔软、湿润、有光泽、边缘薄。11.猪心：心冠脂肪洁白，组织结实有弹性，用手可挤出鲜红的血液和血凝结块。12.猪肺：内呈红色，有光泽。13.猪腰：表面有一层光亮的薄膜，呈浅红色，柔软有光泽，有弹性。14.猪大肠：呈浅黄，无黑斑，柔软，表面光滑湿润，无异味，极小味道。15.猪肚：呈浅白，色泽光润，不带肥油，内部干净，无异味，极小味道。16.猪耳：无毛或少毛，无异味，色泽正常。17.鲜牛肉：肉色深红，肉质有弹性，指压凹陷部分会立刻恢复，切面有光泽及微湿润，极少渗出物；具有浓郁牛肉气味，脂肪白色或乳白色；无寄生虫，无注水。18.鸭：表皮光滑而有光泽，肉质弹性好且丰满，表皮无毛或少毛，无破皮，无花皮，无显眼瘀块，无注水，肚内无一切内脏、无血水、无异味。19.鸡：大小符合要求，鸡肚内无一切内脏，眼球饱满，皮肤有光泽，因品种不同而呈淡黄、淡红、灰白或灰黑等色，外表微干或微湿润不沾手，指压立即恢复，具有鲜鸡肉正常气味，无淤血斑或极少，无打水症状，无破皮。20.鸡中翼：无黄衣，大小均匀，无异味，无碎杂，有光泽；无明显瘀块，无破皮，外表色泽正常，无肉质淡红，无鸡毛。21.鸡爪：大小均匀，色泽乳白；无粘手，无异味，无黑斑，无碎架，瓜底部无硬结。22.鸡全翼：大小均匀，无碎杂，有光泽；无异味，肉色淡红，无骨折和破皮，无黄衣，无异味，无鸡毛。23.鸡腿：大小均匀，无碎杂，无黄衣，无淤血斑，有光泽，肉质淡红，无异味。24.鸡肾：呈鸡肾特有色泽，无病斑，外表及切面湿润，但不粘手；无污物及其他肉眼可见杂质；无异味。</w:t>
      </w:r>
      <w:bookmarkEnd w:id="1078"/>
      <w:bookmarkEnd w:id="1079"/>
    </w:p>
    <w:p w14:paraId="6768684C">
      <w:pPr>
        <w:shd w:val="clear"/>
        <w:snapToGrid w:val="0"/>
        <w:spacing w:line="360" w:lineRule="auto"/>
        <w:ind w:firstLine="420" w:firstLineChars="200"/>
        <w:outlineLvl w:val="2"/>
        <w:rPr>
          <w:rFonts w:hint="eastAsia" w:ascii="宋体" w:hAnsi="宋体" w:cs="宋体"/>
          <w:color w:val="auto"/>
          <w:highlight w:val="none"/>
          <w:lang w:eastAsia="zh-CN"/>
        </w:rPr>
      </w:pPr>
      <w:bookmarkStart w:id="1080" w:name="_Toc13908"/>
      <w:bookmarkStart w:id="1081" w:name="_Toc24299"/>
      <w:r>
        <w:rPr>
          <w:rFonts w:hint="eastAsia" w:ascii="宋体" w:hAnsi="宋体" w:cs="宋体"/>
          <w:color w:val="auto"/>
          <w:highlight w:val="none"/>
          <w:lang w:eastAsia="zh-CN"/>
        </w:rPr>
        <w:t>干货：有外包装的必须标明产品名称、配料表、净含量、制造者及经营者的名称和地址、生产（或分装、包装）日期、保质期或保存期、产品标准号。</w:t>
      </w:r>
      <w:bookmarkEnd w:id="1080"/>
      <w:bookmarkEnd w:id="1081"/>
    </w:p>
    <w:p w14:paraId="562D782F">
      <w:pPr>
        <w:shd w:val="clear"/>
        <w:snapToGrid w:val="0"/>
        <w:spacing w:line="360" w:lineRule="auto"/>
        <w:ind w:firstLine="420" w:firstLineChars="200"/>
        <w:outlineLvl w:val="2"/>
        <w:rPr>
          <w:rFonts w:hint="eastAsia" w:ascii="宋体" w:hAnsi="宋体" w:cs="宋体"/>
          <w:color w:val="auto"/>
          <w:highlight w:val="none"/>
          <w:lang w:eastAsia="zh-CN"/>
        </w:rPr>
      </w:pPr>
      <w:bookmarkStart w:id="1082" w:name="_Toc23802"/>
      <w:bookmarkStart w:id="1083" w:name="_Toc22210"/>
      <w:r>
        <w:rPr>
          <w:rFonts w:hint="eastAsia" w:ascii="宋体" w:hAnsi="宋体" w:cs="宋体"/>
          <w:color w:val="auto"/>
          <w:highlight w:val="none"/>
          <w:lang w:eastAsia="zh-CN"/>
        </w:rPr>
        <w:t>牛奶：盒装牛奶：具有SC（QS）标志，独立纸质盒装；必须采用超高温瞬时灭菌或保持灭菌支撑，无菌罐装；外包装无污物，无泄漏。</w:t>
      </w:r>
      <w:bookmarkEnd w:id="1082"/>
      <w:bookmarkEnd w:id="1083"/>
    </w:p>
    <w:p w14:paraId="318D868A">
      <w:pPr>
        <w:shd w:val="clear"/>
        <w:snapToGrid w:val="0"/>
        <w:spacing w:line="360" w:lineRule="auto"/>
        <w:ind w:firstLine="420" w:firstLineChars="200"/>
        <w:outlineLvl w:val="2"/>
        <w:rPr>
          <w:rFonts w:hint="eastAsia" w:ascii="宋体" w:hAnsi="宋体" w:cs="宋体"/>
          <w:color w:val="auto"/>
          <w:highlight w:val="none"/>
          <w:lang w:eastAsia="zh-CN"/>
        </w:rPr>
      </w:pPr>
      <w:bookmarkStart w:id="1084" w:name="_Toc29235"/>
      <w:bookmarkStart w:id="1085" w:name="_Toc1688"/>
      <w:r>
        <w:rPr>
          <w:rFonts w:hint="eastAsia" w:ascii="宋体" w:hAnsi="宋体" w:cs="宋体"/>
          <w:color w:val="auto"/>
          <w:highlight w:val="none"/>
          <w:lang w:eastAsia="zh-CN"/>
        </w:rPr>
        <w:t>豆类淀粉制品：1.粉皮：乳白色，半透明有光泽，无酸味，方或圆形，揭开完整不碎，稍有韧性。2.麻腐：乳白色，半透明有光泽，无酸味，块形完整，有弹性。3.水粉丝：乳白色，半透明有光泽，无酸味，长线型，无珠籽粒，有韧性。</w:t>
      </w:r>
      <w:bookmarkEnd w:id="1084"/>
      <w:bookmarkEnd w:id="1085"/>
    </w:p>
    <w:p w14:paraId="17FA5EC5">
      <w:pPr>
        <w:shd w:val="clear"/>
        <w:snapToGrid w:val="0"/>
        <w:spacing w:line="360" w:lineRule="auto"/>
        <w:ind w:firstLine="420" w:firstLineChars="200"/>
        <w:outlineLvl w:val="2"/>
        <w:rPr>
          <w:rFonts w:hint="eastAsia" w:ascii="宋体" w:hAnsi="宋体" w:cs="宋体"/>
          <w:color w:val="auto"/>
          <w:highlight w:val="none"/>
          <w:lang w:eastAsia="zh-CN"/>
        </w:rPr>
      </w:pPr>
      <w:bookmarkStart w:id="1086" w:name="_Toc433"/>
      <w:bookmarkStart w:id="1087" w:name="_Toc22839"/>
      <w:r>
        <w:rPr>
          <w:rFonts w:hint="eastAsia" w:ascii="宋体" w:hAnsi="宋体" w:cs="宋体"/>
          <w:color w:val="auto"/>
          <w:highlight w:val="none"/>
          <w:lang w:eastAsia="zh-CN"/>
        </w:rPr>
        <w:t>调料：具有SC（QS）标志，外包装无污物，无泄漏，无胀袋或胖袋或鼓盖现象，无变质发霉现象，色泽正常，具有该品种固定的香味、滋味无异味；酱体油酱均匀或无结块的粉状固体，封口平整，无破包，夹包、漏包，无污染；香辛料要求干燥、无虫蛀、无霉变、无异味、无污染、无杂质；验收时，调料生产日期不超过保质期的三分之一。</w:t>
      </w:r>
      <w:bookmarkEnd w:id="1086"/>
      <w:bookmarkEnd w:id="1087"/>
    </w:p>
    <w:p w14:paraId="62F0BB17">
      <w:pPr>
        <w:shd w:val="clear"/>
        <w:snapToGrid w:val="0"/>
        <w:spacing w:line="360" w:lineRule="auto"/>
        <w:ind w:firstLine="420" w:firstLineChars="200"/>
        <w:outlineLvl w:val="2"/>
        <w:rPr>
          <w:rFonts w:hint="eastAsia" w:ascii="宋体" w:hAnsi="宋体" w:cs="宋体"/>
          <w:color w:val="auto"/>
          <w:highlight w:val="none"/>
          <w:lang w:eastAsia="zh-CN"/>
        </w:rPr>
      </w:pPr>
      <w:bookmarkStart w:id="1088" w:name="_Toc16007"/>
      <w:bookmarkStart w:id="1089" w:name="_Toc10637"/>
      <w:r>
        <w:rPr>
          <w:rFonts w:hint="eastAsia" w:ascii="宋体" w:hAnsi="宋体" w:cs="宋体"/>
          <w:color w:val="auto"/>
          <w:highlight w:val="none"/>
          <w:lang w:eastAsia="zh-CN"/>
        </w:rPr>
        <w:t>果蔬类（包括不限于下列应季生鲜果蔬）：1.小白菜：梗白色，较嫩较短，叶子淡绿色，整棵菜水分充足，无根。2.青菜：梗白色或浅绿色，较嫩，叶子深绿色，整棵菜水分充足，无根。3.菜秧：梗较细较嫩，叶子细长，淡绿色，棵小似鸡毛，水分充足。4.油菜：梗粗短，呈淡绿色或白色，叶子肥厚大，主茎无花蕾，水分充足，无根。5.韭菜：叶较宽，挺直，翠绿色，根部洁白软嫩且有韭菜味，根株均匀，长20厘米以内。6.韭黄：叶肥挺，稍弯曲，色泽淡黄，香味浓郁，长20厘米以内。7.香芹：叶翠绿，无主茎分支少，根细，茎挺直，脆，芹菜香味，水分充足，长约30厘米。8.水芹：叶嫩绿黄绿，茎、根部呈白色，茎细软，中间空，水分充足，有清香味，长约30厘米。9.西芹：叶茎宽厚，验收深绿，新鲜肥嫩，爽口无渣。10.菠菜：颜色碧绿，平嫩，叶子大，挺直，根桃红，无主茎且无柄无红色。11.生菜：颜色碧绿，淡绿，叶子水分充足，脆嫩薄，可竖起，棵株挺直。12.空心菜：叶薄小而翠绿，有光泽，棵株挺直，梗细脆嫩，淡绿色易折断，水分充足，棵株挺直。13.西洋菜：颜色淡绿或深绿，茎细脆嫩，易折断，水分充足，棵株挺直。14.麦菜：叶淡绿，肥厚，脆嫩，无主茎，叶株挺直，水分充足，根部的切面嫩绿色稍有苦涩味。15.芥菜：叶大而薄，深绿色，柄嫩绿脆，无主茎，叶株挺直，水分充足。16.苋菜：有红绿两种，叶子为绿色或红色，叶大薄软，有光泽，茎细短，光滑嫩脆，棵株挺直，水分充足。17.潺菜：颜色碧绿，叶厚实，有光泽，梗细短，光滑嫩绿，掐之易断。18.菜心：颜色碧绿，梗脆嫩，掐之易断，棵株挺直，水分充足。19.芥蓝：颜色墨绿，叶短少，有白霜，挺直，梗皮有光泽，绿色，粗长，断面绿白色，湿润。20.小葱：叶翠绿，饱满充气，均匀细长，鳞茎洁白，挺直，香味浓郁，长15—30厘米。21.胡葱：叶翠绿，饱满充气，均匀细长，鳞茎洁白，挺直，香味浓郁，长15—31厘米。22.青蒜：叶翠绿，薄嫩，挺直，蒜茎洁白，水分充足。23.香菜：翠绿，挺直，根部无泥，香气重。24.青椒：颜色碧绿，有光泽，表面光滑。25.西椒：柿形或灯笼形，较大，颜色碧绿，肉厚少籽。26.辣椒：细长圆锥形，颜色黄绿或碧绿，有光泽，饱满有一定硬度，辣味重。27.红椒：颜色红艳，有光泽，表面光滑，饱满有一定硬度。28.番茄：颜色大红，粉色，或黄色，光泽亮眼，个大圆整，酸中带甜。29.大白：外叶淡绿色，叶新鲜光泽，棵株大，包心坚实紧密。30.包菜：外叶淡绿色，内叶淡黄色，叶肥厚嫩脆，棵株大，根部断面洁白完整。31.大葱：叶为管状，浅绿色，葱白长，挺直，长约50厘米。32.茄子：色正形正，表面光滑有光泽，有弹性不软，皮薄肉嫩籽少，个体均匀。33.莴笋：形粗壮，条直，均匀，叶绿色，茎皮光泽。34.蒜苔：颜色深绿，梗细滑，有光泽，挺直，鲜嫩，指甲掐之易断。35.花菜：花蕾颜色洁白或乳白，球形完整，表面湿润，外叶绿色较少，断面洁白。36.西兰花：花蕾颜色深绿，球形完整表面有白霜，花梗深绿色，紧凑，主茎短。37.黄瓜：颜色青绿，瓜身细短，条直均匀，瓜把小，顶花带刺，有白霜或光泽，肉脆甜。38.冬瓜：皮青翠，有白霜，肉洁白，厚嫩，紧密，有一定硬度。39.苦瓜：淡绿色，有光泽，凸处明显，条直均匀，有一定硬度，籽小，苦味。40.丝瓜：有棱和无棱两种，皮颜色翠绿，薄嫩，有白霜，条直均匀，易断无弹性，肉洁白软嫩，籽小。41.毛瓜：颜色翠绿有光泽，有细绒毛，皮薄嫩，肉洁白籽小，形正有一定硬度。42.南瓜：颜色金黄色或橙黄色，瓜形周正，肉金黄色紧密，粉甜表面硬实。43.佛手瓜：颜色浅绿，佛手型，有一定硬度，皮脆硬，肉晶莹剔透，瓜形正。44.角瓜：颜色黄绿色，表皮光滑有花纹和棱边，皮薄肉嫩，籽小，有一定硬度。45.新豆：颜色淡绿有光泽，豆荚细长，均匀，饱满，有花蒂，有弹性折之易断。46.毛豆：颜色青绿，表面有黄色绒毛，豆荚饱满，剥开后豆粒呈淡绿色，有清香。47.青豆：颜色青绿单一，有光泽，豆粒大，均匀完整，较嫩。48.四季豆：颜色脆绿色，表面有细绒毛，豆荚细长均匀，水分充足，饱满有韧性，能弯曲，指甲掐之后有痕，断之容易。49.荷兰豆：颜色嫩绿有光泽，豆荚挺直，折之易断，筋丝不明显，豆粒小而无。50.绿豆芽：豆芽挺直，芽身短而粗，根须少，芽色洁白晶莹。51.土豆：颜色为淡黄色或奶白色，个形大，大小整齐，表皮光滑，体硬不软，饱满。52.洋葱：鳞片颜色粉白或紫白，鳞片肥厚，完整无损，饱和紧实，球茎干度适中，有一定硬度。53.红薯：颜色粉红或淡黄色，依品种而定，个大形正，大小整齐，表面无伤，体硬不软，饱满。54.生姜：颜色淡黄，表皮完整，姜体脆硬，肥大有姜味。55.蒜头：颜色白色，或紫色，蒜皮干燥，蒜瓣结实不散，有硬度。56.青萝卜：颜色青绿，皮薄且较细，肉质紧密，形体完整，水分大，分量重。57.胡萝卜：颜色红色或橘黄色，表面光滑，条直均匀，粗壮，硬实不软，肉质甜脆，中心柱细小。58.白萝卜：颜色洁白光亮，表面光滑细腻，形体完整，分量重，底部切面洁白，水分大，肉嫩脆。59.芋头：颜色红褐色，表皮粗糙，个体方面均中，断面肉质洁白，有紫色斑点，不硬心。60.莲藕：表皮颜色白中带黄，藕节肥大，无叉水分充足，肉质白嫩脆，藕节一般为3-4节。61.冬笋：笋壳淡黄色，有光泽，完整清洁，壳肉紧贴，饱满，肉质洁白较嫩，很小。62.竹笋：笋壳淡黄色，有光泽，笋体强壮，充实，饱满，肉质洁白较嫩，水分多。63.香菇：菌盖颜色褐色，有光泽，菌耀为淡米色或乳白色，菌身完整无损，不湿，菌盖大，有弹性，柄短小，香味浓，重量轻。64.平菇：菌为洁白色或浅黑色，菌身完整，大小均匀，菌盖与柄，菌环相连未展开根短。65.草菇：顶部颜色为鼠灰色，根部为乳白色，蛋或卵圆形，饱满，菌膜未破，湿度适中。66.金针菇：菌盖颜色乳白，菌柄淡黄色，根部淡褐色，菌身细短。</w:t>
      </w:r>
      <w:bookmarkEnd w:id="1088"/>
      <w:bookmarkEnd w:id="1089"/>
    </w:p>
    <w:p w14:paraId="7DAFE357">
      <w:pPr>
        <w:shd w:val="clear"/>
        <w:snapToGrid w:val="0"/>
        <w:spacing w:line="360" w:lineRule="auto"/>
        <w:ind w:firstLine="420" w:firstLineChars="200"/>
        <w:outlineLvl w:val="2"/>
        <w:rPr>
          <w:rFonts w:hint="eastAsia" w:ascii="宋体" w:hAnsi="宋体" w:cs="宋体"/>
          <w:color w:val="auto"/>
          <w:highlight w:val="none"/>
          <w:lang w:eastAsia="zh-CN"/>
        </w:rPr>
      </w:pPr>
      <w:bookmarkStart w:id="1090" w:name="_Toc31767"/>
      <w:bookmarkStart w:id="1091" w:name="_Toc21461"/>
      <w:r>
        <w:rPr>
          <w:rFonts w:hint="eastAsia" w:ascii="宋体" w:hAnsi="宋体" w:cs="宋体"/>
          <w:color w:val="auto"/>
          <w:highlight w:val="none"/>
          <w:lang w:eastAsia="zh-CN"/>
        </w:rPr>
        <w:t>鲜（冻）水产品类：1.鱼类（活）：游水生猛，对外刺激敏感，无翻肚，无嘴烂及其他外表损伤，鱼鳞完整有光泽，不易脱落，眼隔膜有光泽，透明，眼球突出，腹部坚实部膨胀，肛门内部洁净，无异常红尾，大小均匀。2.虾类（活）：游水快，对外界刺激敏感，头尾完善，有一定的弯曲度，虾眼突起，虾身较挺，肉质坚实，虾壳发亮，发硬，呈青绿色或青白色。3.蟹类（活）：蟹腿坚实，肥壮，手捏有硬感，脐部饱满，体重，翻扣在地上能很快翻转过来，外壳呈青色冷亮，腹部发白。4.鳖（活）：体色正常，体态完好，四肢，尾巴，颈，裙边等完好，无腐烂，用手翻个后能很快翻转过来。5.蛙类（活）：大小均匀，没有伤痕，没有异味，表皮光滑，有较强的跳动活力。6.黄鳝（活）：体色正常，体态完整，在水中头朝上直立，捞离水后，挣扎有力，身上黏度较多，个体较大。7.贝类：肉质新鲜，无臭味，两贝壳相碰发出实响，且响声均匀，在静水中会伸出触角，表面清洁完整，无寄生物，外观美观，有光泽。8.冰鲜鱼：体表黏液透明，而不粘，气味正常，腮盖紧闭，淡水鱼鳃鲜红或粉红，海水鱼鳃紫色或紫红，鱼眼澄清透明，眼球突出，鱼鳞完整，不易脱落，鱼腹发白，不膨胀，肛内缩，鱼体肌肉有弹性，不易压出凹陷或凹陷能迅速复平，大小均匀，体表无伤痕。9.冰鲜虾：头尾完整，有一定弯曲度，虾身较挺，半透明不发红，外壳有光泽，稍湿润，气味正常。10.冰鲜蟹：蟹腿坚实，蟹壳纹理清楚，光亮，用手挟持背腹两面平直，腿不下垂，体重，气味正常。11.冰鱿鱼：色鲜红，皮微红，有光泽，多黏液，体形完整，肌肉柔软光滑，有弹性。</w:t>
      </w:r>
      <w:bookmarkEnd w:id="1090"/>
      <w:bookmarkEnd w:id="1091"/>
    </w:p>
    <w:p w14:paraId="5233DAFE">
      <w:pPr>
        <w:shd w:val="clear"/>
        <w:snapToGrid w:val="0"/>
        <w:spacing w:line="360" w:lineRule="auto"/>
        <w:ind w:firstLine="420" w:firstLineChars="200"/>
        <w:outlineLvl w:val="2"/>
        <w:rPr>
          <w:rFonts w:hint="eastAsia" w:ascii="宋体" w:hAnsi="宋体" w:cs="宋体"/>
          <w:color w:val="auto"/>
          <w:highlight w:val="none"/>
          <w:lang w:eastAsia="zh-CN"/>
        </w:rPr>
      </w:pPr>
      <w:bookmarkStart w:id="1092" w:name="_Toc32452"/>
      <w:bookmarkStart w:id="1093" w:name="_Toc28137"/>
      <w:r>
        <w:rPr>
          <w:rFonts w:hint="eastAsia" w:ascii="宋体" w:hAnsi="宋体" w:cs="宋体"/>
          <w:color w:val="auto"/>
          <w:highlight w:val="none"/>
          <w:lang w:eastAsia="zh-CN"/>
        </w:rPr>
        <w:t>鲜蛋类：1.鸡蛋：蛋壳粗糙，色泽鲜明，表面干净，无任何斑点，斑块，敲击声音坚实，清脆似碰击石头，摇晃无响声，无异味或有轻微腥味，内容物透亮，呈淡橘红色。2.咸蛋：咸蛋壳应完整，无裂纹，无破损，表面清洁，气室高度应小于7毫米，蛋白纯白，无斑点，细嫩，蛋黄色泽红黄，煮熟后黄中起油或有油析出，滋味咸味适中，无异味，蛋壳无裂痕。</w:t>
      </w:r>
      <w:bookmarkEnd w:id="1092"/>
      <w:bookmarkEnd w:id="1093"/>
    </w:p>
    <w:p w14:paraId="63108CDF">
      <w:pPr>
        <w:shd w:val="clear"/>
        <w:snapToGrid w:val="0"/>
        <w:spacing w:line="360" w:lineRule="auto"/>
        <w:ind w:firstLine="420" w:firstLineChars="200"/>
        <w:outlineLvl w:val="2"/>
        <w:rPr>
          <w:rFonts w:hint="eastAsia" w:ascii="宋体" w:hAnsi="宋体" w:cs="宋体"/>
          <w:color w:val="auto"/>
          <w:highlight w:val="none"/>
          <w:lang w:eastAsia="zh-CN"/>
        </w:rPr>
      </w:pPr>
      <w:bookmarkStart w:id="1094" w:name="_Toc6500"/>
      <w:bookmarkStart w:id="1095" w:name="_Toc30991"/>
      <w:r>
        <w:rPr>
          <w:rFonts w:hint="eastAsia" w:ascii="宋体" w:hAnsi="宋体" w:cs="宋体"/>
          <w:color w:val="auto"/>
          <w:highlight w:val="none"/>
          <w:lang w:eastAsia="zh-CN"/>
        </w:rPr>
        <w:t>豆制品：1.盒装内酯嫩豆腐：白色或乳白色，略有豆香、持水性较好，刀切后不塌、不裂、细腻、嫩滑、无涩味。2.盒装内酯老豆腐：白色或乳白色，略有豆香、持水性较好，刀切后不塌、不裂、细腻、嫩滑、无涩味。3.石膏嫩豆腐：乳白色，有豆香，不酸，揭布后，不脱皮，不塌，切口光亮，持水性好，滑爽不粗，有石膏脚。4.石膏老豆腐：乳白色，有豆香，不酸，揭布后，不脱皮，不塌，切口光亮，持水性好，滑爽不粗，较密实，有石膏脚。5.豆腐干（香干）：淡黄色或黄色，有豆香，块型整齐，厚薄均匀，密实，有韧性。6.五香豆腐干：褐色，有光泽，五香味，块形整齐，厚薄均匀，有韧性。7.熏香干：淡褐色和淡黄色相间，有辛香料柴火香，块形整齐，厚薄均匀，有韧性。8.柴火干：淡褐色和淡黄色相间，有辛香料柴火香，块形整齐，厚薄均匀，有韧性。9.油豆腐：金黄色或黄色，有油香和豆香，方形、三角形或长条形，皮薄软糯，内呈蜂蜜状，不实心。10.油划方：金黄色或黄色，有油香和豆香，方形或菱形，大小均匀，不碎。11.素鸡：乳白色或淡米色，稍带碱味，圆柱形，无裂缝，不烂心。12.薄百页：淡黄色，有豆香，方形薄张，无白边，白头，花洞厚薄均匀，有韧性，稍有拉力。13.豆腐衣：乳白色，有豆香，方形薄张，无白边、白头、花洞厚薄均匀，有韧性，稍有拉力。14.豆浆：乳白色或淡黄色，有豆香，有光泽，呈混悬液型，质地细腻，无结块。15.腐竹：淡黄色，有光泽，透过光线可见纤维组织，有弹性。16.豆豉：黑褐色或黑色，有豆香，无异味，质地较硬。</w:t>
      </w:r>
      <w:bookmarkEnd w:id="1094"/>
      <w:bookmarkEnd w:id="1095"/>
    </w:p>
    <w:p w14:paraId="2DAF62DB">
      <w:pPr>
        <w:shd w:val="clear"/>
        <w:snapToGrid w:val="0"/>
        <w:spacing w:line="360" w:lineRule="auto"/>
        <w:ind w:firstLine="420" w:firstLineChars="200"/>
        <w:outlineLvl w:val="2"/>
        <w:rPr>
          <w:rFonts w:hint="eastAsia" w:ascii="宋体" w:hAnsi="宋体" w:cs="宋体"/>
          <w:color w:val="auto"/>
          <w:highlight w:val="none"/>
          <w:lang w:eastAsia="zh-CN"/>
        </w:rPr>
      </w:pPr>
      <w:bookmarkStart w:id="1096" w:name="_Toc28587"/>
      <w:bookmarkStart w:id="1097" w:name="_Toc21187"/>
      <w:r>
        <w:rPr>
          <w:rFonts w:hint="eastAsia" w:ascii="宋体" w:hAnsi="宋体" w:cs="宋体"/>
          <w:color w:val="auto"/>
          <w:highlight w:val="none"/>
          <w:lang w:eastAsia="zh-CN"/>
        </w:rPr>
        <w:t>面筋制品：1.栗子面筋：灰白色、有麦色、无酸味、栗子状，有韧性。2.素肠：灰白色、有麦色、无酸味、猪肠状，不包头，有韧性。3.烤麸：米黄色，有麦色、无异味、蜂窝状，松软，僵底高度≤5mm。4.油面筋：金黄色，有油香，无异味，呈球状，内呈丝网状。</w:t>
      </w:r>
      <w:bookmarkEnd w:id="1096"/>
      <w:bookmarkEnd w:id="1097"/>
    </w:p>
    <w:p w14:paraId="040E9A68">
      <w:pPr>
        <w:shd w:val="clear"/>
        <w:snapToGrid w:val="0"/>
        <w:spacing w:line="360" w:lineRule="auto"/>
        <w:ind w:firstLine="420" w:firstLineChars="200"/>
        <w:outlineLvl w:val="2"/>
        <w:rPr>
          <w:rFonts w:hint="eastAsia" w:ascii="宋体" w:hAnsi="宋体" w:cs="宋体"/>
          <w:color w:val="auto"/>
          <w:highlight w:val="none"/>
          <w:lang w:eastAsia="zh-CN"/>
        </w:rPr>
      </w:pPr>
      <w:bookmarkStart w:id="1098" w:name="_Toc22026"/>
      <w:bookmarkStart w:id="1099" w:name="_Toc14438"/>
      <w:r>
        <w:rPr>
          <w:rFonts w:hint="eastAsia" w:ascii="宋体" w:hAnsi="宋体" w:cs="宋体"/>
          <w:color w:val="auto"/>
          <w:highlight w:val="none"/>
          <w:lang w:eastAsia="zh-CN"/>
        </w:rPr>
        <w:t>米制品：符合《云南省食品安全地方标准 米线、卷粉、饵丝（块）》（DBS53/017-2023 ），配送学校食堂的米线、卷粉、饵丝（块）及花色湿米制品应为预包装产品。散装食品应当在容器、外包装上标明产品的名称、生产日期或者生产批号、保质期以及生产经营者名称、地址、联系方式等内容。</w:t>
      </w:r>
      <w:bookmarkEnd w:id="1098"/>
      <w:bookmarkEnd w:id="1099"/>
    </w:p>
    <w:p w14:paraId="59A9E07A">
      <w:pPr>
        <w:shd w:val="clear"/>
        <w:snapToGrid w:val="0"/>
        <w:spacing w:line="360" w:lineRule="auto"/>
        <w:ind w:firstLine="420" w:firstLineChars="200"/>
        <w:outlineLvl w:val="2"/>
        <w:rPr>
          <w:rFonts w:hint="eastAsia" w:ascii="宋体" w:hAnsi="宋体" w:cs="宋体"/>
          <w:color w:val="auto"/>
          <w:highlight w:val="none"/>
          <w:lang w:eastAsia="zh-CN"/>
        </w:rPr>
      </w:pPr>
      <w:bookmarkStart w:id="1100" w:name="_Toc5188"/>
      <w:bookmarkStart w:id="1101" w:name="_Toc17065"/>
      <w:r>
        <w:rPr>
          <w:rFonts w:hint="eastAsia" w:ascii="宋体" w:hAnsi="宋体" w:cs="宋体"/>
          <w:color w:val="auto"/>
          <w:highlight w:val="none"/>
          <w:lang w:eastAsia="zh-CN"/>
        </w:rPr>
        <w:t>大米符合：GB1354-86的规定；猪肉符合：GB2707-1994的规定；蔬果符合：GB2763-2014的规定；海产品符合：GB2733-1994的规定；蛋类符合：GB2748-2003的规定；豆类及制品符合：GB2711-2003、GB2712-2003的规定；食用油符合：GB2716-88的规定；食盐符合：GB2721-2003的规定；酱油符合：GB2717-2003的规定；醋符合：GB2719-2003的规定；绵白糖符合：GB1445-2000的规定；味精符合：GB2720-2003的规定；淀粉类符合：GB2713-2003的规定。</w:t>
      </w:r>
      <w:bookmarkEnd w:id="1100"/>
      <w:bookmarkEnd w:id="1101"/>
    </w:p>
    <w:p w14:paraId="6CA057CA">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102" w:name="_Toc21956"/>
      <w:r>
        <w:rPr>
          <w:rFonts w:hint="eastAsia" w:ascii="黑体" w:hAnsi="黑体" w:eastAsia="黑体" w:cs="黑体"/>
          <w:b/>
          <w:bCs w:val="0"/>
          <w:color w:val="auto"/>
          <w:sz w:val="30"/>
          <w:szCs w:val="30"/>
          <w:highlight w:val="none"/>
          <w:lang w:eastAsia="zh-CN"/>
        </w:rPr>
        <w:t>三、服务要求</w:t>
      </w:r>
      <w:bookmarkEnd w:id="1102"/>
    </w:p>
    <w:p w14:paraId="75509E38">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103" w:name="_Toc27692"/>
      <w:r>
        <w:rPr>
          <w:rFonts w:hint="eastAsia" w:ascii="黑体" w:hAnsi="黑体" w:eastAsia="黑体" w:cs="黑体"/>
          <w:bCs/>
          <w:color w:val="auto"/>
          <w:sz w:val="30"/>
          <w:szCs w:val="30"/>
          <w:highlight w:val="none"/>
          <w:lang w:eastAsia="zh-CN"/>
        </w:rPr>
        <w:t>1.服务模式</w:t>
      </w:r>
      <w:bookmarkEnd w:id="1103"/>
    </w:p>
    <w:p w14:paraId="1EE5E116">
      <w:pPr>
        <w:shd w:val="clear"/>
        <w:snapToGrid w:val="0"/>
        <w:spacing w:line="360" w:lineRule="auto"/>
        <w:ind w:firstLine="420" w:firstLineChars="200"/>
        <w:outlineLvl w:val="2"/>
        <w:rPr>
          <w:rFonts w:hint="eastAsia" w:ascii="宋体" w:hAnsi="宋体" w:cs="宋体"/>
          <w:color w:val="auto"/>
          <w:highlight w:val="none"/>
          <w:lang w:eastAsia="zh-CN"/>
        </w:rPr>
      </w:pPr>
      <w:bookmarkStart w:id="1104" w:name="_Toc27115"/>
      <w:bookmarkStart w:id="1105" w:name="_Toc19841"/>
      <w:r>
        <w:rPr>
          <w:rFonts w:hint="eastAsia" w:ascii="宋体" w:hAnsi="宋体" w:cs="宋体"/>
          <w:color w:val="auto"/>
          <w:highlight w:val="none"/>
          <w:lang w:eastAsia="zh-CN"/>
        </w:rPr>
        <w:t>采购人（学校）每</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月对供应商进行一次测评打分，一个周期六个月汇总三次考评情况作为供应商当期测评得分；考核基准分为100分，供应商最终考核得分：①低于70分的供应商，取消配送资格淘汰出库；②对未按合同履约或供货服务质量达不到合同明确要求的满意度或采购人（学校）师生反映强烈的供应商，全程实行强制退出</w:t>
      </w:r>
      <w:bookmarkEnd w:id="1104"/>
      <w:bookmarkEnd w:id="1105"/>
      <w:r>
        <w:rPr>
          <w:rFonts w:hint="eastAsia" w:ascii="宋体" w:hAnsi="宋体" w:cs="宋体"/>
          <w:color w:val="auto"/>
          <w:highlight w:val="none"/>
          <w:lang w:eastAsia="zh-CN"/>
        </w:rPr>
        <w:t>。</w:t>
      </w:r>
      <w:r>
        <w:rPr>
          <w:rFonts w:hint="default" w:ascii="Calibri" w:hAnsi="Calibri" w:cs="Calibri"/>
          <w:color w:val="auto"/>
          <w:highlight w:val="none"/>
          <w:lang w:eastAsia="zh-CN"/>
        </w:rPr>
        <w:t>③</w:t>
      </w:r>
      <w:r>
        <w:rPr>
          <w:rFonts w:hint="eastAsia" w:ascii="宋体" w:hAnsi="宋体" w:cs="宋体"/>
          <w:color w:val="auto"/>
          <w:highlight w:val="none"/>
          <w:lang w:eastAsia="zh-CN"/>
        </w:rPr>
        <w:t>取消配送资格淘汰出库或全程实行强制退出或服务合同即告终止后，由该标段第二中标候选人自然递补，签订合同（以下类推）。</w:t>
      </w:r>
    </w:p>
    <w:p w14:paraId="73BD7367">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106" w:name="_Toc30906"/>
      <w:r>
        <w:rPr>
          <w:rFonts w:hint="eastAsia" w:ascii="黑体" w:hAnsi="黑体" w:eastAsia="黑体" w:cs="黑体"/>
          <w:bCs/>
          <w:color w:val="auto"/>
          <w:sz w:val="30"/>
          <w:szCs w:val="30"/>
          <w:highlight w:val="none"/>
          <w:lang w:eastAsia="zh-CN"/>
        </w:rPr>
        <w:t>2.配送要求</w:t>
      </w:r>
      <w:bookmarkEnd w:id="1106"/>
    </w:p>
    <w:p w14:paraId="675D6E6E">
      <w:pPr>
        <w:shd w:val="clear"/>
        <w:snapToGrid w:val="0"/>
        <w:spacing w:line="360" w:lineRule="auto"/>
        <w:ind w:firstLine="420" w:firstLineChars="200"/>
        <w:outlineLvl w:val="2"/>
        <w:rPr>
          <w:rFonts w:hint="eastAsia" w:ascii="宋体" w:hAnsi="宋体" w:cs="宋体"/>
          <w:color w:val="auto"/>
          <w:highlight w:val="none"/>
          <w:lang w:eastAsia="zh-CN"/>
        </w:rPr>
      </w:pPr>
      <w:bookmarkStart w:id="1107" w:name="_Toc30010"/>
      <w:bookmarkStart w:id="1108" w:name="_Toc4947"/>
      <w:r>
        <w:rPr>
          <w:rFonts w:hint="eastAsia" w:ascii="宋体" w:hAnsi="宋体" w:cs="宋体"/>
          <w:color w:val="auto"/>
          <w:highlight w:val="none"/>
          <w:lang w:eastAsia="zh-CN"/>
        </w:rPr>
        <w:t>（1）供应商应当使用符合食品安全要求且能封闭配送、配备车辆行驶轨迹监控、装卸视频监控的箱式冷藏车辆进行食品运输，不得与其他物资混装混运，且不得喷洒有毒有害物质对食品进行保鲜或保质处理。供货前应将相关的证件复印件（驾驶员的驾驶证复印件及身份证复印件、车辆行驶证复印件等）交采购人（学校）备案，并办理出入手续。人员、车辆一经固定，无特殊理由不能临时变更，若更换车辆或人员，供应商应提前10个工作日向采购人（学校）提交相关书面资料并经采购人（学校）审批通过后配送方方可更换符合约定及相关规定的车辆或人员。</w:t>
      </w:r>
      <w:bookmarkEnd w:id="1107"/>
      <w:bookmarkEnd w:id="1108"/>
    </w:p>
    <w:p w14:paraId="15497ADD">
      <w:pPr>
        <w:shd w:val="clear"/>
        <w:snapToGrid w:val="0"/>
        <w:spacing w:line="360" w:lineRule="auto"/>
        <w:ind w:firstLine="420" w:firstLineChars="200"/>
        <w:outlineLvl w:val="2"/>
        <w:rPr>
          <w:rFonts w:hint="eastAsia" w:ascii="宋体" w:hAnsi="宋体" w:cs="宋体"/>
          <w:color w:val="auto"/>
          <w:highlight w:val="none"/>
          <w:lang w:eastAsia="zh-CN"/>
        </w:rPr>
      </w:pPr>
      <w:bookmarkStart w:id="1109" w:name="_Toc4327"/>
      <w:bookmarkStart w:id="1110" w:name="_Toc1739"/>
      <w:r>
        <w:rPr>
          <w:rFonts w:hint="eastAsia" w:ascii="宋体" w:hAnsi="宋体" w:cs="宋体"/>
          <w:color w:val="auto"/>
          <w:highlight w:val="none"/>
          <w:lang w:eastAsia="zh-CN"/>
        </w:rPr>
        <w:t>（2）须安排供应商缴纳社保的员工按时配送，着具有供应商公司标识服装，员工必须政治清白、身体健康，无犯罪记录，无传染性疾病，持有公共卫生从业人员健康检查证（且每半年需进行一次健康体检），热情服务、遵规守法，具备较强的沟通能力和临时紧急配送调换的处置能力。</w:t>
      </w:r>
      <w:bookmarkEnd w:id="1109"/>
      <w:bookmarkEnd w:id="1110"/>
    </w:p>
    <w:p w14:paraId="5A4FF534">
      <w:pPr>
        <w:shd w:val="clear"/>
        <w:snapToGrid w:val="0"/>
        <w:spacing w:line="360" w:lineRule="auto"/>
        <w:ind w:firstLine="420" w:firstLineChars="200"/>
        <w:outlineLvl w:val="2"/>
        <w:rPr>
          <w:rFonts w:hint="eastAsia" w:ascii="宋体" w:hAnsi="宋体" w:cs="宋体"/>
          <w:color w:val="auto"/>
          <w:highlight w:val="none"/>
          <w:lang w:eastAsia="zh-CN"/>
        </w:rPr>
      </w:pPr>
      <w:bookmarkStart w:id="1111" w:name="_Toc30766"/>
      <w:bookmarkStart w:id="1112" w:name="_Toc2242"/>
      <w:r>
        <w:rPr>
          <w:rFonts w:hint="eastAsia" w:ascii="宋体" w:hAnsi="宋体" w:cs="宋体"/>
          <w:color w:val="auto"/>
          <w:highlight w:val="none"/>
          <w:lang w:eastAsia="zh-CN"/>
        </w:rPr>
        <w:t>（3）采购人（学校）向供应商提出的合理配送要求，供应商不得以任何理由拒绝配送，否则采购人（学校）有权终止合同。如因不可抗拒因素导致无法满足配送需求的，供应商应及时告知采购人（学校），并以书面形式对情况进行详细说明。</w:t>
      </w:r>
      <w:bookmarkEnd w:id="1111"/>
      <w:bookmarkEnd w:id="1112"/>
    </w:p>
    <w:p w14:paraId="7BC1D35F">
      <w:pPr>
        <w:shd w:val="clear"/>
        <w:snapToGrid w:val="0"/>
        <w:spacing w:line="360" w:lineRule="auto"/>
        <w:ind w:firstLine="420" w:firstLineChars="200"/>
        <w:outlineLvl w:val="2"/>
        <w:rPr>
          <w:rFonts w:hint="eastAsia" w:ascii="宋体" w:hAnsi="宋体" w:cs="宋体"/>
          <w:color w:val="auto"/>
          <w:highlight w:val="none"/>
          <w:lang w:eastAsia="zh-CN"/>
        </w:rPr>
      </w:pPr>
      <w:bookmarkStart w:id="1113" w:name="_Toc1379"/>
      <w:bookmarkStart w:id="1114" w:name="_Toc22578"/>
      <w:r>
        <w:rPr>
          <w:rFonts w:hint="eastAsia" w:ascii="宋体" w:hAnsi="宋体" w:cs="宋体"/>
          <w:color w:val="auto"/>
          <w:highlight w:val="none"/>
          <w:lang w:eastAsia="zh-CN"/>
        </w:rPr>
        <w:t>（4）供应商应当按照采购人（学校）的配送需求，在规定时间内将所需食材（含原始配送三联单，供双方现场签字验收）送至采购人（学校）食堂，时限通常不超过采购人（学校）发出订购通知后2小时，具体要求由采购人（学校）和供应商协商决定。因采购人（学校）工作实际需要，临时通知供货，供应商必须在2小时内完成供货，不得以人为、不良天气等因素（不可抗力除外）的影响为由迟滞配送。</w:t>
      </w:r>
      <w:bookmarkEnd w:id="1113"/>
      <w:bookmarkEnd w:id="1114"/>
    </w:p>
    <w:p w14:paraId="60B3F358">
      <w:pPr>
        <w:shd w:val="clear"/>
        <w:snapToGrid w:val="0"/>
        <w:spacing w:line="360" w:lineRule="auto"/>
        <w:ind w:firstLine="420" w:firstLineChars="200"/>
        <w:outlineLvl w:val="2"/>
        <w:rPr>
          <w:rFonts w:hint="eastAsia" w:ascii="宋体" w:hAnsi="宋体" w:cs="宋体"/>
          <w:color w:val="auto"/>
          <w:highlight w:val="none"/>
          <w:lang w:eastAsia="zh-CN"/>
        </w:rPr>
      </w:pPr>
      <w:bookmarkStart w:id="1115" w:name="_Toc282"/>
      <w:bookmarkStart w:id="1116" w:name="_Toc26707"/>
      <w:r>
        <w:rPr>
          <w:rFonts w:hint="eastAsia" w:ascii="宋体" w:hAnsi="宋体" w:cs="宋体"/>
          <w:color w:val="auto"/>
          <w:highlight w:val="none"/>
          <w:lang w:eastAsia="zh-CN"/>
        </w:rPr>
        <w:t>（5）合同履约过程中，因客观实际配送地点、配送数量发生变化，供应商应无条件接受，并按照采购人（学校）要求完成相关配送工作。</w:t>
      </w:r>
      <w:bookmarkEnd w:id="1115"/>
      <w:bookmarkEnd w:id="1116"/>
    </w:p>
    <w:p w14:paraId="6943259C">
      <w:pPr>
        <w:shd w:val="clear"/>
        <w:snapToGrid w:val="0"/>
        <w:spacing w:line="360" w:lineRule="auto"/>
        <w:ind w:firstLine="420" w:firstLineChars="200"/>
        <w:outlineLvl w:val="2"/>
        <w:rPr>
          <w:rFonts w:hint="eastAsia" w:ascii="宋体" w:hAnsi="宋体" w:cs="宋体"/>
          <w:color w:val="auto"/>
          <w:highlight w:val="none"/>
          <w:lang w:eastAsia="zh-CN"/>
        </w:rPr>
      </w:pPr>
      <w:bookmarkStart w:id="1117" w:name="_Toc7828"/>
      <w:bookmarkStart w:id="1118" w:name="_Toc343"/>
      <w:r>
        <w:rPr>
          <w:rFonts w:hint="eastAsia" w:ascii="宋体" w:hAnsi="宋体" w:cs="宋体"/>
          <w:color w:val="auto"/>
          <w:highlight w:val="none"/>
          <w:lang w:eastAsia="zh-CN"/>
        </w:rPr>
        <w:t>（6）配送过程中，供应商需提供菜筐或收纳箱进行盛放，不得随意丢弃在地面上，且菜筐或收纳箱应保持清洁、干燥、牢固、无异味、无霉变；预包装食品应符合国家有关法规、标准的要求，包装完好无破损。</w:t>
      </w:r>
      <w:bookmarkEnd w:id="1117"/>
      <w:bookmarkEnd w:id="1118"/>
    </w:p>
    <w:p w14:paraId="3BE28BD4">
      <w:pPr>
        <w:shd w:val="clear"/>
        <w:snapToGrid w:val="0"/>
        <w:spacing w:line="360" w:lineRule="auto"/>
        <w:ind w:firstLine="420" w:firstLineChars="200"/>
        <w:outlineLvl w:val="2"/>
        <w:rPr>
          <w:rFonts w:hint="eastAsia" w:ascii="宋体" w:hAnsi="宋体" w:cs="宋体"/>
          <w:color w:val="auto"/>
          <w:highlight w:val="none"/>
          <w:lang w:eastAsia="zh-CN"/>
        </w:rPr>
      </w:pPr>
      <w:bookmarkStart w:id="1119" w:name="_Toc3141"/>
      <w:bookmarkStart w:id="1120" w:name="_Toc9206"/>
      <w:r>
        <w:rPr>
          <w:rFonts w:hint="eastAsia" w:ascii="宋体" w:hAnsi="宋体" w:cs="宋体"/>
          <w:color w:val="auto"/>
          <w:highlight w:val="none"/>
          <w:lang w:eastAsia="zh-CN"/>
        </w:rPr>
        <w:t>（7） 不论以何种形式进行供货，都必须按照其在投标书中做出的服务承诺履行相关义务。</w:t>
      </w:r>
      <w:bookmarkEnd w:id="1119"/>
      <w:bookmarkEnd w:id="1120"/>
    </w:p>
    <w:p w14:paraId="6E8BFE3A">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121" w:name="_Toc2897"/>
      <w:r>
        <w:rPr>
          <w:rFonts w:hint="eastAsia" w:ascii="黑体" w:hAnsi="黑体" w:eastAsia="黑体" w:cs="黑体"/>
          <w:bCs/>
          <w:color w:val="auto"/>
          <w:sz w:val="30"/>
          <w:szCs w:val="30"/>
          <w:highlight w:val="none"/>
          <w:lang w:val="en-US" w:eastAsia="zh-CN"/>
        </w:rPr>
        <w:t>3</w:t>
      </w:r>
      <w:r>
        <w:rPr>
          <w:rFonts w:hint="eastAsia" w:ascii="黑体" w:hAnsi="黑体" w:eastAsia="黑体" w:cs="黑体"/>
          <w:bCs/>
          <w:color w:val="auto"/>
          <w:sz w:val="30"/>
          <w:szCs w:val="30"/>
          <w:highlight w:val="none"/>
          <w:lang w:eastAsia="zh-CN"/>
        </w:rPr>
        <w:t>.服务验收要求</w:t>
      </w:r>
      <w:bookmarkEnd w:id="1121"/>
    </w:p>
    <w:p w14:paraId="0FAD97F5">
      <w:pPr>
        <w:shd w:val="clear"/>
        <w:snapToGrid w:val="0"/>
        <w:spacing w:line="360" w:lineRule="auto"/>
        <w:ind w:firstLine="420" w:firstLineChars="200"/>
        <w:outlineLvl w:val="2"/>
        <w:rPr>
          <w:rFonts w:hint="eastAsia" w:ascii="宋体" w:hAnsi="宋体" w:cs="宋体"/>
          <w:color w:val="auto"/>
          <w:highlight w:val="none"/>
          <w:lang w:eastAsia="zh-CN"/>
        </w:rPr>
      </w:pPr>
      <w:r>
        <w:rPr>
          <w:rFonts w:hint="eastAsia" w:ascii="宋体" w:hAnsi="宋体" w:cs="宋体"/>
          <w:color w:val="auto"/>
          <w:highlight w:val="none"/>
          <w:lang w:eastAsia="zh-CN"/>
        </w:rPr>
        <w:t xml:space="preserve"> </w:t>
      </w:r>
      <w:bookmarkStart w:id="1122" w:name="_Toc31722"/>
      <w:bookmarkStart w:id="1123" w:name="_Toc19476"/>
      <w:r>
        <w:rPr>
          <w:rFonts w:hint="eastAsia" w:ascii="宋体" w:hAnsi="宋体" w:cs="宋体"/>
          <w:color w:val="auto"/>
          <w:highlight w:val="none"/>
          <w:lang w:eastAsia="zh-CN"/>
        </w:rPr>
        <w:t>（1）验收由采购人（学校）指定人员与供应商配送人员进行联合验收，双方对品种、产地、单价、数量、质量、总额、保质期等7个方面查验核对无异议后，现场在配送三联单上签字确认，各自留存作为结算依据。</w:t>
      </w:r>
      <w:bookmarkEnd w:id="1122"/>
      <w:bookmarkEnd w:id="1123"/>
    </w:p>
    <w:p w14:paraId="261167C9">
      <w:pPr>
        <w:shd w:val="clear"/>
        <w:snapToGrid w:val="0"/>
        <w:spacing w:line="360" w:lineRule="auto"/>
        <w:ind w:firstLine="420" w:firstLineChars="200"/>
        <w:outlineLvl w:val="2"/>
        <w:rPr>
          <w:rFonts w:hint="eastAsia" w:ascii="宋体" w:hAnsi="宋体" w:cs="宋体"/>
          <w:color w:val="auto"/>
          <w:highlight w:val="none"/>
          <w:lang w:eastAsia="zh-CN"/>
        </w:rPr>
      </w:pPr>
      <w:bookmarkStart w:id="1124" w:name="_Toc20110"/>
      <w:bookmarkStart w:id="1125" w:name="_Toc11787"/>
      <w:r>
        <w:rPr>
          <w:rFonts w:hint="eastAsia" w:ascii="宋体" w:hAnsi="宋体" w:cs="宋体"/>
          <w:color w:val="auto"/>
          <w:highlight w:val="none"/>
          <w:lang w:eastAsia="zh-CN"/>
        </w:rPr>
        <w:t>（2）提供的生鲜类原材料，必须通过检疫检验，且不得喷洒有毒有害物质对食品进行保鲜或保质处理；有害物残留要符合国家标准；预包装原料必须为原公司（厂）生产的全新产品，符合国家相关规定的质量标准、环保标准、技术参数和规格要求，配送日期不超过保质期的二分之一；不得提供假冒伪劣、有毒有害食品；特殊食品必须符合国家有关特殊标准和规定；满足甲方对食材的其他要求（详细验收标准见附件）。否则，采购人（学校）有权拒收，并视为供应商严重违约。</w:t>
      </w:r>
      <w:bookmarkEnd w:id="1124"/>
      <w:bookmarkEnd w:id="1125"/>
    </w:p>
    <w:p w14:paraId="18829623">
      <w:pPr>
        <w:shd w:val="clear"/>
        <w:snapToGrid w:val="0"/>
        <w:spacing w:line="360" w:lineRule="auto"/>
        <w:ind w:firstLine="420" w:firstLineChars="200"/>
        <w:outlineLvl w:val="2"/>
        <w:rPr>
          <w:rFonts w:hint="eastAsia" w:ascii="宋体" w:hAnsi="宋体" w:cs="宋体"/>
          <w:color w:val="auto"/>
          <w:highlight w:val="none"/>
          <w:lang w:eastAsia="zh-CN"/>
        </w:rPr>
      </w:pPr>
      <w:bookmarkStart w:id="1126" w:name="_Toc16771"/>
      <w:bookmarkStart w:id="1127" w:name="_Toc24584"/>
      <w:r>
        <w:rPr>
          <w:rFonts w:hint="eastAsia" w:ascii="宋体" w:hAnsi="宋体" w:cs="宋体"/>
          <w:color w:val="auto"/>
          <w:szCs w:val="24"/>
          <w:highlight w:val="none"/>
          <w:lang w:val="en-US" w:eastAsia="zh-CN"/>
        </w:rPr>
        <w:t>(3)</w:t>
      </w:r>
      <w:r>
        <w:rPr>
          <w:rFonts w:hint="eastAsia" w:ascii="宋体" w:hAnsi="宋体" w:cs="宋体"/>
          <w:color w:val="auto"/>
          <w:highlight w:val="none"/>
          <w:lang w:eastAsia="zh-CN"/>
        </w:rPr>
        <w:t>.采购人（学校）在验收过程中如发现数质量有问题（带泥沙杂物、霉烂变质、缺斤少两等），采购人（学校）有权当场拒收，供应商必须在当日2小时内为采购人（学校）调换补充，因此产生的全部费用由供应商自行承担，采购人（学校）给予供应商适当处理。</w:t>
      </w:r>
      <w:bookmarkEnd w:id="1126"/>
      <w:bookmarkEnd w:id="1127"/>
    </w:p>
    <w:p w14:paraId="68DB58B5">
      <w:pPr>
        <w:shd w:val="clear"/>
        <w:snapToGrid w:val="0"/>
        <w:spacing w:line="360" w:lineRule="auto"/>
        <w:ind w:firstLine="420" w:firstLineChars="200"/>
        <w:outlineLvl w:val="2"/>
        <w:rPr>
          <w:rFonts w:hint="eastAsia" w:ascii="宋体" w:hAnsi="宋体" w:cs="宋体"/>
          <w:color w:val="auto"/>
          <w:highlight w:val="none"/>
          <w:lang w:eastAsia="zh-CN"/>
        </w:rPr>
      </w:pPr>
      <w:bookmarkStart w:id="1128" w:name="_Toc27481"/>
      <w:bookmarkStart w:id="1129" w:name="_Toc30580"/>
      <w:r>
        <w:rPr>
          <w:rFonts w:hint="eastAsia" w:ascii="宋体" w:hAnsi="宋体" w:cs="宋体"/>
          <w:color w:val="auto"/>
          <w:szCs w:val="24"/>
          <w:highlight w:val="none"/>
          <w:lang w:val="en-US" w:eastAsia="zh-CN"/>
        </w:rPr>
        <w:t>(4)</w:t>
      </w:r>
      <w:r>
        <w:rPr>
          <w:rFonts w:hint="eastAsia" w:ascii="宋体" w:hAnsi="宋体" w:cs="宋体"/>
          <w:color w:val="auto"/>
          <w:szCs w:val="24"/>
          <w:highlight w:val="none"/>
        </w:rPr>
        <w:t>.</w:t>
      </w:r>
      <w:r>
        <w:rPr>
          <w:rFonts w:hint="eastAsia" w:ascii="宋体" w:hAnsi="宋体" w:cs="宋体"/>
          <w:color w:val="auto"/>
          <w:highlight w:val="none"/>
          <w:lang w:eastAsia="zh-CN"/>
        </w:rPr>
        <w:t>定量包装商品由采购人（学校）指定人员现场清点验收，箱装、筐装物资以实物为准。采购人（学校）订购大宗食材涉及</w:t>
      </w:r>
      <w:r>
        <w:rPr>
          <w:rFonts w:hint="eastAsia" w:ascii="宋体" w:hAnsi="宋体"/>
          <w:color w:val="auto"/>
          <w:szCs w:val="21"/>
          <w:highlight w:val="none"/>
          <w:lang w:eastAsia="zh-CN"/>
        </w:rPr>
        <w:t>重量单位的以市斤为计量单位</w:t>
      </w:r>
      <w:r>
        <w:rPr>
          <w:rFonts w:hint="eastAsia" w:ascii="宋体" w:hAnsi="宋体" w:cs="宋体"/>
          <w:color w:val="auto"/>
          <w:highlight w:val="none"/>
          <w:lang w:eastAsia="zh-CN"/>
        </w:rPr>
        <w:t>，供应商不得多送或少送（①蔬菜及调料类大宗食材不得出现短斤缺两；②冰冻制品差额不超±2%、水产品差额不超±2%、禽肉类差额不超±1%），多送部分不予结算（乙方可自行收回），少送部分必须在时限内补齐。</w:t>
      </w:r>
      <w:bookmarkEnd w:id="1128"/>
      <w:bookmarkEnd w:id="1129"/>
    </w:p>
    <w:p w14:paraId="7DC22E33">
      <w:pPr>
        <w:shd w:val="clear"/>
        <w:snapToGrid w:val="0"/>
        <w:spacing w:line="360" w:lineRule="auto"/>
        <w:ind w:firstLine="420" w:firstLineChars="200"/>
        <w:outlineLvl w:val="2"/>
        <w:rPr>
          <w:rFonts w:hint="eastAsia" w:ascii="宋体" w:hAnsi="宋体" w:cs="宋体"/>
          <w:color w:val="auto"/>
          <w:highlight w:val="none"/>
          <w:lang w:eastAsia="zh-CN"/>
        </w:rPr>
      </w:pPr>
      <w:bookmarkStart w:id="1130" w:name="_Toc28480"/>
      <w:bookmarkStart w:id="1131" w:name="_Toc13917"/>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w:t>
      </w:r>
      <w:r>
        <w:rPr>
          <w:rFonts w:hint="eastAsia" w:ascii="宋体" w:hAnsi="宋体" w:cs="宋体"/>
          <w:color w:val="auto"/>
          <w:highlight w:val="none"/>
          <w:lang w:eastAsia="zh-CN"/>
        </w:rPr>
        <w:t>不论以何种形式进行供货，都必须按照投标文件中做出的服务承诺履行相关义务，不得出现以次充好情况。</w:t>
      </w:r>
      <w:bookmarkEnd w:id="1130"/>
      <w:bookmarkEnd w:id="1131"/>
    </w:p>
    <w:p w14:paraId="1D1600E4">
      <w:pPr>
        <w:shd w:val="clear"/>
        <w:wordWrap w:val="0"/>
        <w:spacing w:line="360" w:lineRule="auto"/>
        <w:ind w:firstLine="600" w:firstLineChars="200"/>
        <w:outlineLvl w:val="2"/>
        <w:rPr>
          <w:rFonts w:hint="eastAsia" w:ascii="黑体" w:hAnsi="黑体" w:eastAsia="黑体" w:cs="黑体"/>
          <w:bCs/>
          <w:color w:val="auto"/>
          <w:sz w:val="30"/>
          <w:szCs w:val="30"/>
          <w:highlight w:val="none"/>
          <w:lang w:eastAsia="zh-CN"/>
        </w:rPr>
      </w:pPr>
      <w:bookmarkStart w:id="1132" w:name="_Toc18904"/>
      <w:r>
        <w:rPr>
          <w:rFonts w:hint="eastAsia" w:ascii="黑体" w:hAnsi="黑体" w:eastAsia="黑体" w:cs="黑体"/>
          <w:bCs/>
          <w:color w:val="auto"/>
          <w:sz w:val="30"/>
          <w:szCs w:val="30"/>
          <w:highlight w:val="none"/>
          <w:lang w:val="en-US" w:eastAsia="zh-CN"/>
        </w:rPr>
        <w:t>4</w:t>
      </w:r>
      <w:r>
        <w:rPr>
          <w:rFonts w:hint="eastAsia" w:ascii="黑体" w:hAnsi="黑体" w:eastAsia="黑体" w:cs="黑体"/>
          <w:bCs/>
          <w:color w:val="auto"/>
          <w:sz w:val="30"/>
          <w:szCs w:val="30"/>
          <w:highlight w:val="none"/>
          <w:lang w:eastAsia="zh-CN"/>
        </w:rPr>
        <w:t>.其他要求</w:t>
      </w:r>
      <w:bookmarkEnd w:id="1132"/>
    </w:p>
    <w:p w14:paraId="67B3A1A8">
      <w:pPr>
        <w:shd w:val="clear"/>
        <w:snapToGrid w:val="0"/>
        <w:spacing w:line="360" w:lineRule="auto"/>
        <w:ind w:firstLine="420" w:firstLineChars="200"/>
        <w:outlineLvl w:val="2"/>
        <w:rPr>
          <w:rFonts w:hint="eastAsia" w:ascii="宋体" w:hAnsi="宋体" w:cs="宋体"/>
          <w:color w:val="auto"/>
          <w:highlight w:val="none"/>
          <w:lang w:eastAsia="zh-CN"/>
        </w:rPr>
      </w:pPr>
      <w:bookmarkStart w:id="1133" w:name="_Toc16256"/>
      <w:bookmarkStart w:id="1134" w:name="_Toc32478"/>
      <w:r>
        <w:rPr>
          <w:rFonts w:hint="eastAsia" w:ascii="宋体" w:hAnsi="宋体" w:cs="宋体"/>
          <w:color w:val="auto"/>
          <w:highlight w:val="none"/>
          <w:lang w:eastAsia="zh-CN"/>
        </w:rPr>
        <w:t>（1）供应商应与采购人（学校）签订应急保障协议，</w:t>
      </w:r>
      <w:bookmarkStart w:id="1135" w:name="_Hlk161586214"/>
      <w:r>
        <w:rPr>
          <w:rFonts w:hint="eastAsia" w:ascii="宋体" w:hAnsi="宋体" w:cs="宋体"/>
          <w:color w:val="auto"/>
          <w:highlight w:val="none"/>
          <w:lang w:eastAsia="zh-CN"/>
        </w:rPr>
        <w:t>采购人（学校）提出的应急保障需求，供应商应2小时内提供应急采购物资。</w:t>
      </w:r>
      <w:bookmarkEnd w:id="1133"/>
      <w:bookmarkEnd w:id="1134"/>
      <w:bookmarkEnd w:id="1135"/>
    </w:p>
    <w:p w14:paraId="2FC98BB3">
      <w:pPr>
        <w:shd w:val="clear"/>
        <w:snapToGrid w:val="0"/>
        <w:spacing w:line="360" w:lineRule="auto"/>
        <w:ind w:firstLine="420" w:firstLineChars="200"/>
        <w:outlineLvl w:val="2"/>
        <w:rPr>
          <w:rFonts w:hint="eastAsia" w:ascii="宋体" w:hAnsi="宋体" w:cs="宋体"/>
          <w:color w:val="auto"/>
          <w:highlight w:val="none"/>
          <w:lang w:eastAsia="zh-CN"/>
        </w:rPr>
      </w:pPr>
      <w:bookmarkStart w:id="1136" w:name="_Toc25900"/>
      <w:bookmarkStart w:id="1137" w:name="_Toc15764"/>
      <w:r>
        <w:rPr>
          <w:rFonts w:hint="eastAsia" w:ascii="宋体" w:hAnsi="宋体" w:cs="宋体"/>
          <w:color w:val="auto"/>
          <w:highlight w:val="none"/>
          <w:lang w:eastAsia="zh-CN"/>
        </w:rPr>
        <w:t>（2）供应商应有固定的供货渠道，且供货渠道生产商应具备相关许可证和检验检疫合格证。注：投标供应商须在投标文件中作出承诺，采购人（学校）签订合同前实地考察，提供固定供货渠道证明资料，否则取消中标资格，不予签订合同；合同履行期间，采购人（学校）有权随时核查供货渠道相关资料，无法提供合格供货渠道证明资料，采购人（学校）有权终止合同，涉及违规违约行为的，按照相关规定进行处理。</w:t>
      </w:r>
      <w:bookmarkEnd w:id="1136"/>
      <w:bookmarkEnd w:id="1137"/>
    </w:p>
    <w:p w14:paraId="0A95A092">
      <w:pPr>
        <w:shd w:val="clear"/>
        <w:snapToGrid w:val="0"/>
        <w:spacing w:line="360" w:lineRule="auto"/>
        <w:ind w:firstLine="420" w:firstLineChars="200"/>
        <w:outlineLvl w:val="2"/>
        <w:rPr>
          <w:rFonts w:hint="eastAsia" w:ascii="宋体" w:hAnsi="宋体" w:cs="宋体"/>
          <w:color w:val="auto"/>
          <w:highlight w:val="none"/>
          <w:lang w:eastAsia="zh-CN"/>
        </w:rPr>
      </w:pPr>
      <w:bookmarkStart w:id="1138" w:name="_Toc9108"/>
      <w:bookmarkStart w:id="1139" w:name="_Toc23402"/>
      <w:r>
        <w:rPr>
          <w:rFonts w:hint="eastAsia" w:ascii="宋体" w:hAnsi="宋体" w:cs="宋体"/>
          <w:color w:val="auto"/>
          <w:highlight w:val="none"/>
          <w:lang w:eastAsia="zh-CN"/>
        </w:rPr>
        <w:t>（3）供应商至少每半月提供与配送清单一致的货物发票（含税控清单），不得影响采购人（学校）正常结算报销。</w:t>
      </w:r>
      <w:bookmarkEnd w:id="1138"/>
      <w:bookmarkEnd w:id="1139"/>
    </w:p>
    <w:p w14:paraId="43F0562E">
      <w:pPr>
        <w:shd w:val="clear"/>
        <w:snapToGrid w:val="0"/>
        <w:spacing w:line="360" w:lineRule="auto"/>
        <w:ind w:firstLine="420" w:firstLineChars="200"/>
        <w:outlineLvl w:val="2"/>
        <w:rPr>
          <w:rFonts w:hint="eastAsia" w:ascii="宋体" w:hAnsi="宋体" w:cs="宋体"/>
          <w:color w:val="auto"/>
          <w:highlight w:val="none"/>
          <w:lang w:eastAsia="zh-CN"/>
        </w:rPr>
      </w:pPr>
      <w:bookmarkStart w:id="1140" w:name="_Toc4446"/>
      <w:bookmarkStart w:id="1141" w:name="_Toc1564"/>
      <w:r>
        <w:rPr>
          <w:rFonts w:hint="eastAsia" w:ascii="宋体" w:hAnsi="宋体" w:cs="宋体"/>
          <w:color w:val="auto"/>
          <w:highlight w:val="none"/>
          <w:lang w:eastAsia="zh-CN"/>
        </w:rPr>
        <w:t>（4）供应商</w:t>
      </w:r>
      <w:bookmarkStart w:id="1142" w:name="_Hlk161592134"/>
      <w:r>
        <w:rPr>
          <w:rFonts w:hint="eastAsia" w:ascii="宋体" w:hAnsi="宋体" w:cs="宋体"/>
          <w:color w:val="auto"/>
          <w:highlight w:val="none"/>
          <w:lang w:eastAsia="zh-CN"/>
        </w:rPr>
        <w:t>对大宗食材入库、检验、分拣、包装、出库、运输等全过程进行视频监控，监控录像保留时间不少于三个月（实地考察中，采购人（学校）将对监控画面及时长进行检查）。</w:t>
      </w:r>
      <w:bookmarkEnd w:id="1140"/>
      <w:bookmarkEnd w:id="1141"/>
    </w:p>
    <w:bookmarkEnd w:id="1142"/>
    <w:p w14:paraId="6766184C">
      <w:pPr>
        <w:shd w:val="clear"/>
        <w:snapToGrid w:val="0"/>
        <w:spacing w:line="360" w:lineRule="auto"/>
        <w:ind w:firstLine="420" w:firstLineChars="200"/>
        <w:outlineLvl w:val="2"/>
        <w:rPr>
          <w:rFonts w:hint="eastAsia" w:ascii="宋体" w:hAnsi="宋体" w:cs="宋体"/>
          <w:color w:val="auto"/>
          <w:highlight w:val="none"/>
          <w:lang w:eastAsia="zh-CN"/>
        </w:rPr>
      </w:pPr>
      <w:bookmarkStart w:id="1143" w:name="_Toc31272"/>
      <w:bookmarkStart w:id="1144" w:name="_Toc28694"/>
      <w:r>
        <w:rPr>
          <w:rFonts w:hint="eastAsia" w:ascii="宋体" w:hAnsi="宋体" w:cs="宋体"/>
          <w:color w:val="auto"/>
          <w:highlight w:val="none"/>
          <w:lang w:eastAsia="zh-CN"/>
        </w:rPr>
        <w:t>（5）双方对质量有争议，可将货物送至采购人（学校）指定的具有资质的质量检测机构进行检测，若检测结果合格，检测费用由采购人（学校）支付；若检测结果不合格，则检测费用由大宗食材配送供应商支付。</w:t>
      </w:r>
      <w:bookmarkEnd w:id="1143"/>
      <w:bookmarkEnd w:id="1144"/>
    </w:p>
    <w:p w14:paraId="70800C1F">
      <w:pPr>
        <w:pStyle w:val="55"/>
        <w:shd w:val="clear"/>
        <w:rPr>
          <w:color w:val="auto"/>
          <w:highlight w:val="none"/>
        </w:rPr>
      </w:pPr>
    </w:p>
    <w:bookmarkEnd w:id="956"/>
    <w:bookmarkEnd w:id="957"/>
    <w:bookmarkEnd w:id="958"/>
    <w:p w14:paraId="3D59B255">
      <w:pPr>
        <w:pStyle w:val="2"/>
        <w:shd w:val="clear"/>
        <w:wordWrap w:val="0"/>
        <w:outlineLvl w:val="0"/>
        <w:rPr>
          <w:rFonts w:hint="eastAsia" w:ascii="宋体" w:hAnsi="宋体" w:eastAsia="宋体" w:cs="宋体"/>
          <w:bCs/>
          <w:color w:val="auto"/>
          <w:highlight w:val="none"/>
          <w:lang w:eastAsia="zh-CN"/>
        </w:rPr>
      </w:pPr>
      <w:bookmarkStart w:id="1145" w:name="_Toc25028"/>
      <w:bookmarkStart w:id="1146" w:name="_Toc18345"/>
      <w:r>
        <w:rPr>
          <w:rFonts w:hint="eastAsia" w:ascii="黑体" w:hAnsi="黑体" w:eastAsia="黑体" w:cs="黑体"/>
          <w:b/>
          <w:bCs/>
          <w:color w:val="auto"/>
          <w:highlight w:val="none"/>
          <w:lang w:eastAsia="zh-CN"/>
        </w:rPr>
        <w:t>第六章 评标方法（综合</w:t>
      </w:r>
      <w:bookmarkStart w:id="1147" w:name="_Toc979"/>
      <w:r>
        <w:rPr>
          <w:rFonts w:hint="eastAsia" w:ascii="黑体" w:hAnsi="黑体" w:eastAsia="黑体" w:cs="黑体"/>
          <w:b/>
          <w:bCs/>
          <w:color w:val="auto"/>
          <w:highlight w:val="none"/>
          <w:lang w:eastAsia="zh-CN"/>
        </w:rPr>
        <w:t>评</w:t>
      </w:r>
      <w:bookmarkStart w:id="1148" w:name="_Toc480817655"/>
      <w:r>
        <w:rPr>
          <w:rFonts w:hint="eastAsia" w:ascii="黑体" w:hAnsi="黑体" w:eastAsia="黑体" w:cs="黑体"/>
          <w:b/>
          <w:bCs/>
          <w:color w:val="auto"/>
          <w:highlight w:val="none"/>
          <w:lang w:eastAsia="zh-CN"/>
        </w:rPr>
        <w:t>分法）</w:t>
      </w:r>
      <w:bookmarkEnd w:id="1145"/>
      <w:bookmarkEnd w:id="1146"/>
      <w:bookmarkStart w:id="1149" w:name="_Toc481694866"/>
    </w:p>
    <w:bookmarkEnd w:id="1147"/>
    <w:bookmarkEnd w:id="1148"/>
    <w:bookmarkEnd w:id="1149"/>
    <w:p w14:paraId="4952826A">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150" w:name="_Toc17435"/>
      <w:bookmarkStart w:id="1151" w:name="_Toc16182"/>
      <w:r>
        <w:rPr>
          <w:rFonts w:hint="eastAsia" w:ascii="黑体" w:hAnsi="黑体" w:eastAsia="黑体" w:cs="黑体"/>
          <w:b/>
          <w:bCs w:val="0"/>
          <w:color w:val="auto"/>
          <w:sz w:val="30"/>
          <w:szCs w:val="30"/>
          <w:highlight w:val="none"/>
          <w:lang w:eastAsia="zh-CN"/>
        </w:rPr>
        <w:t>一、评标机构</w:t>
      </w:r>
      <w:bookmarkEnd w:id="1150"/>
      <w:bookmarkEnd w:id="1151"/>
    </w:p>
    <w:p w14:paraId="098D462D">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评标机构为评标委员会，评标委员会的组成见投标人须知前附表28.2。</w:t>
      </w:r>
    </w:p>
    <w:p w14:paraId="498ECC0A">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152" w:name="_Toc15230"/>
      <w:bookmarkStart w:id="1153" w:name="_Toc27517"/>
      <w:r>
        <w:rPr>
          <w:rFonts w:hint="eastAsia" w:ascii="黑体" w:hAnsi="黑体" w:eastAsia="黑体" w:cs="黑体"/>
          <w:b/>
          <w:bCs w:val="0"/>
          <w:color w:val="auto"/>
          <w:sz w:val="30"/>
          <w:szCs w:val="30"/>
          <w:highlight w:val="none"/>
          <w:lang w:eastAsia="zh-CN"/>
        </w:rPr>
        <w:t>二、采购人或者采购代理机构职责</w:t>
      </w:r>
      <w:bookmarkEnd w:id="1152"/>
      <w:bookmarkEnd w:id="1153"/>
    </w:p>
    <w:p w14:paraId="7D5C024E">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采购人或者采购代理机构负责组织评标工作，并履行下列职责：</w:t>
      </w:r>
    </w:p>
    <w:p w14:paraId="4AC3EB0E">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w:t>
      </w:r>
      <w:r>
        <w:rPr>
          <w:rFonts w:hint="eastAsia" w:cs="宋体" w:asciiTheme="minorEastAsia" w:hAnsiTheme="minorEastAsia" w:eastAsiaTheme="minorEastAsia"/>
          <w:color w:val="auto"/>
          <w:szCs w:val="24"/>
          <w:highlight w:val="none"/>
        </w:rPr>
        <w:t>核对评审专家身份和采购人代表授权函，对评审专家在政府采购活动中的职责履行情况予以记录，并及时将有关违法违规行为向财政部门报告。</w:t>
      </w:r>
    </w:p>
    <w:p w14:paraId="7FFEC86E">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2.</w:t>
      </w:r>
      <w:r>
        <w:rPr>
          <w:rFonts w:hint="eastAsia" w:cs="宋体" w:asciiTheme="minorEastAsia" w:hAnsiTheme="minorEastAsia" w:eastAsiaTheme="minorEastAsia"/>
          <w:color w:val="auto"/>
          <w:szCs w:val="24"/>
          <w:highlight w:val="none"/>
        </w:rPr>
        <w:t>宣布评标纪律。</w:t>
      </w:r>
    </w:p>
    <w:p w14:paraId="3936957F">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3.</w:t>
      </w:r>
      <w:r>
        <w:rPr>
          <w:rFonts w:hint="eastAsia" w:cs="宋体" w:asciiTheme="minorEastAsia" w:hAnsiTheme="minorEastAsia" w:eastAsiaTheme="minorEastAsia"/>
          <w:color w:val="auto"/>
          <w:szCs w:val="24"/>
          <w:highlight w:val="none"/>
        </w:rPr>
        <w:t>公布投标人名单，告知评审专家应当回避的情形。</w:t>
      </w:r>
    </w:p>
    <w:p w14:paraId="784C0A33">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4.</w:t>
      </w:r>
      <w:r>
        <w:rPr>
          <w:rFonts w:hint="eastAsia" w:cs="宋体" w:asciiTheme="minorEastAsia" w:hAnsiTheme="minorEastAsia" w:eastAsiaTheme="minorEastAsia"/>
          <w:color w:val="auto"/>
          <w:szCs w:val="24"/>
          <w:highlight w:val="none"/>
        </w:rPr>
        <w:t>组织评标委员会推选评标组长，采购人代表不得担任组长。</w:t>
      </w:r>
    </w:p>
    <w:p w14:paraId="302967F5">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5.</w:t>
      </w:r>
      <w:r>
        <w:rPr>
          <w:rFonts w:hint="eastAsia" w:cs="宋体" w:asciiTheme="minorEastAsia" w:hAnsiTheme="minorEastAsia" w:eastAsiaTheme="minorEastAsia"/>
          <w:color w:val="auto"/>
          <w:szCs w:val="24"/>
          <w:highlight w:val="none"/>
        </w:rPr>
        <w:t>在评标期间采取必要的通讯管理措施，保证评标活动不受外界干扰。</w:t>
      </w:r>
    </w:p>
    <w:p w14:paraId="6F60AB2F">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6.</w:t>
      </w:r>
      <w:r>
        <w:rPr>
          <w:rFonts w:hint="eastAsia" w:cs="宋体" w:asciiTheme="minorEastAsia" w:hAnsiTheme="minorEastAsia" w:eastAsiaTheme="minorEastAsia"/>
          <w:color w:val="auto"/>
          <w:szCs w:val="24"/>
          <w:highlight w:val="none"/>
        </w:rPr>
        <w:t>根据评标委员会的要求介绍政府采购相关政策法规、招标文件。</w:t>
      </w:r>
    </w:p>
    <w:p w14:paraId="6C0CC7B1">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7.</w:t>
      </w:r>
      <w:r>
        <w:rPr>
          <w:rFonts w:hint="eastAsia" w:cs="宋体" w:asciiTheme="minorEastAsia" w:hAnsiTheme="minorEastAsia" w:eastAsiaTheme="minorEastAsia"/>
          <w:color w:val="auto"/>
          <w:szCs w:val="24"/>
          <w:highlight w:val="none"/>
        </w:rPr>
        <w:t>维护评标秩序，监督评标委员会依照招标文件规定的评标程序、方法和标准进行独立评审，及时制止和纠正采购人代表、评审专家的倾向性言论或者违法违规行为。</w:t>
      </w:r>
    </w:p>
    <w:p w14:paraId="5AAD9057">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8.</w:t>
      </w:r>
      <w:r>
        <w:rPr>
          <w:rFonts w:hint="eastAsia" w:cs="宋体" w:asciiTheme="minorEastAsia" w:hAnsiTheme="minorEastAsia" w:eastAsiaTheme="minorEastAsia"/>
          <w:color w:val="auto"/>
          <w:szCs w:val="24"/>
          <w:highlight w:val="none"/>
        </w:rPr>
        <w:t>核对评标结果，有《政府采购货物和服务招标投标管理办法》（财政部第87号令）第六十四条规定情形的，要求评标委员会复核或者书面说明理由，评标委员会拒绝的，应予记录并向本级财政部门报告。</w:t>
      </w:r>
    </w:p>
    <w:p w14:paraId="52A6C968">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9.</w:t>
      </w:r>
      <w:r>
        <w:rPr>
          <w:rFonts w:hint="eastAsia" w:cs="宋体" w:asciiTheme="minorEastAsia" w:hAnsiTheme="minorEastAsia" w:eastAsiaTheme="minorEastAsia"/>
          <w:color w:val="auto"/>
          <w:szCs w:val="24"/>
          <w:highlight w:val="none"/>
        </w:rPr>
        <w:t>评审工作完成后，按照规定向评审专家支付劳务报酬和异地评审差旅费，不得向评审专家以外的其他人员支付评审劳务报酬。</w:t>
      </w:r>
    </w:p>
    <w:p w14:paraId="06FD6386">
      <w:pPr>
        <w:pStyle w:val="18"/>
        <w:shd w:val="clear"/>
        <w:spacing w:line="500" w:lineRule="exact"/>
        <w:ind w:firstLine="480"/>
        <w:outlineLvl w:val="2"/>
        <w:rPr>
          <w:rFonts w:cs="宋体" w:asciiTheme="minorEastAsia" w:hAnsiTheme="minorEastAsia" w:eastAsiaTheme="minorEastAsia"/>
          <w:color w:val="auto"/>
          <w:szCs w:val="24"/>
          <w:highlight w:val="none"/>
        </w:rPr>
      </w:pPr>
      <w:bookmarkStart w:id="1154" w:name="_Toc24593"/>
      <w:bookmarkStart w:id="1155" w:name="_Toc21625"/>
      <w:bookmarkStart w:id="1156" w:name="_Toc8480"/>
      <w:r>
        <w:rPr>
          <w:rFonts w:hint="eastAsia" w:cs="宋体" w:asciiTheme="minorEastAsia" w:hAnsiTheme="minorEastAsia" w:eastAsiaTheme="minorEastAsia"/>
          <w:color w:val="auto"/>
          <w:szCs w:val="24"/>
          <w:highlight w:val="none"/>
          <w:lang w:val="en-US" w:eastAsia="zh-CN"/>
        </w:rPr>
        <w:t>10.</w:t>
      </w:r>
      <w:r>
        <w:rPr>
          <w:rFonts w:hint="eastAsia" w:cs="宋体" w:asciiTheme="minorEastAsia" w:hAnsiTheme="minorEastAsia" w:eastAsiaTheme="minorEastAsia"/>
          <w:color w:val="auto"/>
          <w:szCs w:val="24"/>
          <w:highlight w:val="none"/>
        </w:rPr>
        <w:t>处理与评标有关的其他事项。</w:t>
      </w:r>
      <w:bookmarkEnd w:id="1154"/>
      <w:bookmarkEnd w:id="1155"/>
      <w:bookmarkEnd w:id="1156"/>
    </w:p>
    <w:p w14:paraId="753A5057">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采购人可以在评标前说明项目背景和采购需求，说明内容不得含有歧视性、倾向性意见，不得超出招标文件所述范围。说明应当提交书面材料，并随采购文件一并存档。</w:t>
      </w:r>
    </w:p>
    <w:p w14:paraId="15D72018">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157" w:name="_Toc14093"/>
      <w:bookmarkStart w:id="1158" w:name="_Toc15618"/>
      <w:r>
        <w:rPr>
          <w:rFonts w:hint="eastAsia" w:ascii="黑体" w:hAnsi="黑体" w:eastAsia="黑体" w:cs="黑体"/>
          <w:b/>
          <w:bCs w:val="0"/>
          <w:color w:val="auto"/>
          <w:sz w:val="30"/>
          <w:szCs w:val="30"/>
          <w:highlight w:val="none"/>
          <w:lang w:eastAsia="zh-CN"/>
        </w:rPr>
        <w:t>三、评标委员会职责</w:t>
      </w:r>
      <w:bookmarkEnd w:id="1157"/>
      <w:bookmarkEnd w:id="1158"/>
    </w:p>
    <w:p w14:paraId="4F8B0E7F">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评标委员会负责具体评标事务，并独立履行下列职责：</w:t>
      </w:r>
    </w:p>
    <w:p w14:paraId="257F4114">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w:t>
      </w:r>
      <w:r>
        <w:rPr>
          <w:rFonts w:hint="eastAsia" w:cs="宋体" w:asciiTheme="minorEastAsia" w:hAnsiTheme="minorEastAsia" w:eastAsiaTheme="minorEastAsia"/>
          <w:color w:val="auto"/>
          <w:szCs w:val="24"/>
          <w:highlight w:val="none"/>
        </w:rPr>
        <w:t>审查、评价投标文件是否符合招标文件的商务、技术等实质性要求。</w:t>
      </w:r>
    </w:p>
    <w:p w14:paraId="041EDB1A">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2.</w:t>
      </w:r>
      <w:r>
        <w:rPr>
          <w:rFonts w:hint="eastAsia" w:cs="宋体" w:asciiTheme="minorEastAsia" w:hAnsiTheme="minorEastAsia" w:eastAsiaTheme="minorEastAsia"/>
          <w:color w:val="auto"/>
          <w:szCs w:val="24"/>
          <w:highlight w:val="none"/>
        </w:rPr>
        <w:t>要求投标人对投标文件有关事项作出澄清或者说明。</w:t>
      </w:r>
    </w:p>
    <w:p w14:paraId="5AD770E6">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3.</w:t>
      </w:r>
      <w:r>
        <w:rPr>
          <w:rFonts w:hint="eastAsia" w:cs="宋体" w:asciiTheme="minorEastAsia" w:hAnsiTheme="minorEastAsia" w:eastAsiaTheme="minorEastAsia"/>
          <w:color w:val="auto"/>
          <w:szCs w:val="24"/>
          <w:highlight w:val="none"/>
        </w:rPr>
        <w:t>对投标文件进行独立评审或评价。</w:t>
      </w:r>
    </w:p>
    <w:p w14:paraId="0B0BD41A">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4.</w:t>
      </w:r>
      <w:r>
        <w:rPr>
          <w:rFonts w:hint="eastAsia" w:cs="宋体" w:asciiTheme="minorEastAsia" w:hAnsiTheme="minorEastAsia" w:eastAsiaTheme="minorEastAsia"/>
          <w:color w:val="auto"/>
          <w:szCs w:val="24"/>
          <w:highlight w:val="none"/>
        </w:rPr>
        <w:t>确定中标候选人名单，确定1名成交人。</w:t>
      </w:r>
    </w:p>
    <w:p w14:paraId="164D43A3">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5.</w:t>
      </w:r>
      <w:r>
        <w:rPr>
          <w:rFonts w:hint="eastAsia" w:cs="宋体" w:asciiTheme="minorEastAsia" w:hAnsiTheme="minorEastAsia" w:eastAsiaTheme="minorEastAsia"/>
          <w:color w:val="auto"/>
          <w:szCs w:val="24"/>
          <w:highlight w:val="none"/>
        </w:rPr>
        <w:t>向采购人、采购代理机构或者有关部门报告评标中发现的违法行为。</w:t>
      </w:r>
    </w:p>
    <w:p w14:paraId="3FA7E50D">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159" w:name="_Toc4653"/>
      <w:bookmarkStart w:id="1160" w:name="_Toc25143"/>
      <w:r>
        <w:rPr>
          <w:rFonts w:hint="eastAsia" w:ascii="黑体" w:hAnsi="黑体" w:eastAsia="黑体" w:cs="黑体"/>
          <w:b/>
          <w:bCs w:val="0"/>
          <w:color w:val="auto"/>
          <w:sz w:val="30"/>
          <w:szCs w:val="30"/>
          <w:highlight w:val="none"/>
          <w:lang w:eastAsia="zh-CN"/>
        </w:rPr>
        <w:t>四、评标纪律</w:t>
      </w:r>
      <w:bookmarkEnd w:id="1159"/>
      <w:bookmarkEnd w:id="1160"/>
    </w:p>
    <w:p w14:paraId="3579CC50">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w:t>
      </w:r>
      <w:r>
        <w:rPr>
          <w:rFonts w:hint="eastAsia" w:cs="宋体" w:asciiTheme="minorEastAsia" w:hAnsiTheme="minorEastAsia" w:eastAsiaTheme="minorEastAsia"/>
          <w:color w:val="auto"/>
          <w:szCs w:val="24"/>
          <w:highlight w:val="none"/>
        </w:rPr>
        <w:t>对评标内容和评标过程要严格保密，不得向投标人或与该过程无关</w:t>
      </w:r>
      <w:r>
        <w:rPr>
          <w:rFonts w:hint="eastAsia" w:cs="宋体" w:asciiTheme="minorEastAsia" w:hAnsiTheme="minorEastAsia" w:eastAsiaTheme="minorEastAsia"/>
          <w:color w:val="auto"/>
          <w:szCs w:val="24"/>
          <w:highlight w:val="none"/>
          <w:lang w:eastAsia="zh-CN"/>
        </w:rPr>
        <w:t>的其他</w:t>
      </w:r>
      <w:r>
        <w:rPr>
          <w:rFonts w:hint="eastAsia" w:cs="宋体" w:asciiTheme="minorEastAsia" w:hAnsiTheme="minorEastAsia" w:eastAsiaTheme="minorEastAsia"/>
          <w:color w:val="auto"/>
          <w:szCs w:val="24"/>
          <w:highlight w:val="none"/>
        </w:rPr>
        <w:t>人员泄露。</w:t>
      </w:r>
    </w:p>
    <w:p w14:paraId="1F3804BC">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2.</w:t>
      </w:r>
      <w:r>
        <w:rPr>
          <w:rFonts w:hint="eastAsia" w:cs="宋体" w:asciiTheme="minorEastAsia" w:hAnsiTheme="minorEastAsia" w:eastAsiaTheme="minorEastAsia"/>
          <w:color w:val="auto"/>
          <w:szCs w:val="24"/>
          <w:highlight w:val="none"/>
        </w:rPr>
        <w:t>评标期间的一切资料，包括评标意见、评标记录和评标结论，一律不得向外传和泄露。</w:t>
      </w:r>
    </w:p>
    <w:p w14:paraId="1852C94D">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3.</w:t>
      </w:r>
      <w:r>
        <w:rPr>
          <w:rFonts w:hint="eastAsia" w:cs="宋体" w:asciiTheme="minorEastAsia" w:hAnsiTheme="minorEastAsia" w:eastAsiaTheme="minorEastAsia"/>
          <w:color w:val="auto"/>
          <w:szCs w:val="24"/>
          <w:highlight w:val="none"/>
        </w:rPr>
        <w:t>任何属于投标文件审查、澄清、评价和比较的资料，不得向投标人或与该过程无关</w:t>
      </w:r>
      <w:r>
        <w:rPr>
          <w:rFonts w:hint="eastAsia" w:cs="宋体" w:asciiTheme="minorEastAsia" w:hAnsiTheme="minorEastAsia" w:eastAsiaTheme="minorEastAsia"/>
          <w:color w:val="auto"/>
          <w:szCs w:val="24"/>
          <w:highlight w:val="none"/>
          <w:lang w:eastAsia="zh-CN"/>
        </w:rPr>
        <w:t>的其他</w:t>
      </w:r>
      <w:r>
        <w:rPr>
          <w:rFonts w:hint="eastAsia" w:cs="宋体" w:asciiTheme="minorEastAsia" w:hAnsiTheme="minorEastAsia" w:eastAsiaTheme="minorEastAsia"/>
          <w:color w:val="auto"/>
          <w:szCs w:val="24"/>
          <w:highlight w:val="none"/>
        </w:rPr>
        <w:t>人员泄露。</w:t>
      </w:r>
    </w:p>
    <w:p w14:paraId="08AD950B">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4.</w:t>
      </w:r>
      <w:r>
        <w:rPr>
          <w:rFonts w:hint="eastAsia" w:cs="宋体" w:asciiTheme="minorEastAsia" w:hAnsiTheme="minorEastAsia" w:eastAsiaTheme="minorEastAsia"/>
          <w:color w:val="auto"/>
          <w:szCs w:val="24"/>
          <w:highlight w:val="none"/>
        </w:rPr>
        <w:t>所有资料</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包括招标文件、投标文件、评标表格及各种文字记录</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在评标结束后均应分别整理、存档备查，任何人不得复制和保留。</w:t>
      </w:r>
    </w:p>
    <w:p w14:paraId="78E2562A">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5.</w:t>
      </w:r>
      <w:r>
        <w:rPr>
          <w:rFonts w:hint="eastAsia" w:cs="宋体" w:asciiTheme="minorEastAsia" w:hAnsiTheme="minorEastAsia" w:eastAsiaTheme="minorEastAsia"/>
          <w:color w:val="auto"/>
          <w:szCs w:val="24"/>
          <w:highlight w:val="none"/>
        </w:rPr>
        <w:t>工作。</w:t>
      </w:r>
    </w:p>
    <w:p w14:paraId="39FC4D4D">
      <w:pPr>
        <w:pStyle w:val="18"/>
        <w:shd w:val="clear"/>
        <w:spacing w:line="500" w:lineRule="exact"/>
        <w:ind w:firstLine="480"/>
        <w:outlineLvl w:val="2"/>
        <w:rPr>
          <w:rFonts w:cs="宋体" w:asciiTheme="minorEastAsia" w:hAnsiTheme="minorEastAsia" w:eastAsiaTheme="minorEastAsia"/>
          <w:color w:val="auto"/>
          <w:szCs w:val="24"/>
          <w:highlight w:val="none"/>
        </w:rPr>
      </w:pPr>
      <w:bookmarkStart w:id="1161" w:name="_Toc9626"/>
      <w:bookmarkStart w:id="1162" w:name="_Toc10951"/>
      <w:bookmarkStart w:id="1163" w:name="_Toc24152"/>
      <w:r>
        <w:rPr>
          <w:rFonts w:hint="eastAsia" w:cs="宋体" w:asciiTheme="minorEastAsia" w:hAnsiTheme="minorEastAsia" w:eastAsiaTheme="minorEastAsia"/>
          <w:color w:val="auto"/>
          <w:szCs w:val="24"/>
          <w:highlight w:val="none"/>
          <w:lang w:val="en-US" w:eastAsia="zh-CN"/>
        </w:rPr>
        <w:t>6.</w:t>
      </w:r>
      <w:r>
        <w:rPr>
          <w:rFonts w:hint="eastAsia" w:cs="宋体" w:asciiTheme="minorEastAsia" w:hAnsiTheme="minorEastAsia" w:eastAsiaTheme="minorEastAsia"/>
          <w:color w:val="auto"/>
          <w:szCs w:val="24"/>
          <w:highlight w:val="none"/>
        </w:rPr>
        <w:t>评标期间，评标人员不得外出，确需外出时应事先请假。</w:t>
      </w:r>
      <w:bookmarkEnd w:id="1161"/>
      <w:bookmarkEnd w:id="1162"/>
      <w:bookmarkEnd w:id="1163"/>
    </w:p>
    <w:p w14:paraId="3A5221F2">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7.</w:t>
      </w:r>
      <w:r>
        <w:rPr>
          <w:rFonts w:hint="eastAsia" w:cs="宋体" w:asciiTheme="minorEastAsia" w:hAnsiTheme="minorEastAsia" w:eastAsiaTheme="minorEastAsia"/>
          <w:color w:val="auto"/>
          <w:szCs w:val="24"/>
          <w:highlight w:val="none"/>
        </w:rPr>
        <w:t>评标期间，所有与会人员均不得私自以任何方式和投标人进行联系，需询问、澄清的问题由评委会统一组织办理。</w:t>
      </w:r>
    </w:p>
    <w:p w14:paraId="32BF16BA">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8.</w:t>
      </w:r>
      <w:r>
        <w:rPr>
          <w:rFonts w:hint="eastAsia" w:cs="宋体" w:asciiTheme="minorEastAsia" w:hAnsiTheme="minorEastAsia" w:eastAsiaTheme="minorEastAsia"/>
          <w:color w:val="auto"/>
          <w:szCs w:val="24"/>
          <w:highlight w:val="none"/>
        </w:rPr>
        <w:t>评标结束后，与会人员不得向外界透露评标人员的评标意见，如因此造成的后果由责任者承担。</w:t>
      </w:r>
    </w:p>
    <w:p w14:paraId="5709D69E">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164" w:name="_Toc10682"/>
      <w:bookmarkStart w:id="1165" w:name="_Toc2899"/>
      <w:r>
        <w:rPr>
          <w:rFonts w:hint="eastAsia" w:ascii="黑体" w:hAnsi="黑体" w:eastAsia="黑体" w:cs="黑体"/>
          <w:b/>
          <w:bCs w:val="0"/>
          <w:color w:val="auto"/>
          <w:sz w:val="30"/>
          <w:szCs w:val="30"/>
          <w:highlight w:val="none"/>
          <w:lang w:eastAsia="zh-CN"/>
        </w:rPr>
        <w:t>五、评标原则</w:t>
      </w:r>
      <w:bookmarkEnd w:id="1164"/>
      <w:bookmarkEnd w:id="1165"/>
    </w:p>
    <w:p w14:paraId="446A382F">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评标将遵循下列原则：</w:t>
      </w:r>
    </w:p>
    <w:p w14:paraId="197850C3">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w:t>
      </w:r>
      <w:r>
        <w:rPr>
          <w:rFonts w:hint="eastAsia" w:cs="宋体" w:asciiTheme="minorEastAsia" w:hAnsiTheme="minorEastAsia" w:eastAsiaTheme="minorEastAsia"/>
          <w:color w:val="auto"/>
          <w:szCs w:val="24"/>
          <w:highlight w:val="none"/>
        </w:rPr>
        <w:t>坚持公平、公正、科学、择优的原则，本着实事求是的精神，不带有任何主观意愿和偏见，认真负责地做好评标工作，公平、公正地对待每一个投标人。</w:t>
      </w:r>
    </w:p>
    <w:p w14:paraId="54B15706">
      <w:pPr>
        <w:pStyle w:val="18"/>
        <w:shd w:val="clear"/>
        <w:spacing w:line="500" w:lineRule="exact"/>
        <w:ind w:firstLine="480"/>
        <w:outlineLvl w:val="2"/>
        <w:rPr>
          <w:rFonts w:cs="宋体" w:asciiTheme="minorEastAsia" w:hAnsiTheme="minorEastAsia" w:eastAsiaTheme="minorEastAsia"/>
          <w:color w:val="auto"/>
          <w:szCs w:val="24"/>
          <w:highlight w:val="none"/>
        </w:rPr>
      </w:pPr>
      <w:bookmarkStart w:id="1166" w:name="_Toc7089"/>
      <w:bookmarkStart w:id="1167" w:name="_Toc14728"/>
      <w:bookmarkStart w:id="1168" w:name="_Toc21141"/>
      <w:r>
        <w:rPr>
          <w:rFonts w:hint="eastAsia" w:cs="宋体" w:asciiTheme="minorEastAsia" w:hAnsiTheme="minorEastAsia" w:eastAsiaTheme="minorEastAsia"/>
          <w:color w:val="auto"/>
          <w:szCs w:val="24"/>
          <w:highlight w:val="none"/>
          <w:lang w:val="en-US" w:eastAsia="zh-CN"/>
        </w:rPr>
        <w:t>2.</w:t>
      </w:r>
      <w:r>
        <w:rPr>
          <w:rFonts w:hint="eastAsia" w:cs="宋体" w:asciiTheme="minorEastAsia" w:hAnsiTheme="minorEastAsia" w:eastAsiaTheme="minorEastAsia"/>
          <w:color w:val="auto"/>
          <w:szCs w:val="24"/>
          <w:highlight w:val="none"/>
        </w:rPr>
        <w:t>全面分析，综合评审。</w:t>
      </w:r>
      <w:bookmarkEnd w:id="1166"/>
      <w:bookmarkEnd w:id="1167"/>
      <w:bookmarkEnd w:id="1168"/>
    </w:p>
    <w:p w14:paraId="7D7145BA">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3.</w:t>
      </w:r>
      <w:r>
        <w:rPr>
          <w:rFonts w:hint="eastAsia" w:cs="宋体" w:asciiTheme="minorEastAsia" w:hAnsiTheme="minorEastAsia" w:eastAsiaTheme="minorEastAsia"/>
          <w:color w:val="auto"/>
          <w:szCs w:val="24"/>
          <w:highlight w:val="none"/>
        </w:rPr>
        <w:t>评标只对投标人的投标文件进行评审，投标文件以外的资料、信息不应作为评标的依据。</w:t>
      </w:r>
    </w:p>
    <w:p w14:paraId="19674B5C">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169" w:name="_Toc19026"/>
      <w:bookmarkStart w:id="1170" w:name="_Toc20279"/>
      <w:r>
        <w:rPr>
          <w:rFonts w:hint="eastAsia" w:ascii="黑体" w:hAnsi="黑体" w:eastAsia="黑体" w:cs="黑体"/>
          <w:b/>
          <w:bCs w:val="0"/>
          <w:color w:val="auto"/>
          <w:sz w:val="30"/>
          <w:szCs w:val="30"/>
          <w:highlight w:val="none"/>
          <w:lang w:eastAsia="zh-CN"/>
        </w:rPr>
        <w:t>六、评标程序</w:t>
      </w:r>
      <w:bookmarkEnd w:id="1169"/>
      <w:bookmarkEnd w:id="1170"/>
    </w:p>
    <w:p w14:paraId="353BFF4A">
      <w:pPr>
        <w:pStyle w:val="18"/>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本次招标所采用的评标方法为《政府采购货物和服务招标投标管理办法》</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财政部令第87号</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第五十五条规定的“综合评分法”，即：投标文件满足招标文件全部实质性要求，且按照评审因素的量化指标评审得分最高的投标人为中标候选人的评标方法。</w:t>
      </w:r>
    </w:p>
    <w:p w14:paraId="26673750">
      <w:pPr>
        <w:pStyle w:val="18"/>
        <w:shd w:val="clear"/>
        <w:spacing w:line="50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评标只对通过资格审查的投标文件进行评审。评标按：符合性审查→商务和技术评估、综合比较与评价→得分汇总→评标报告编写的程序进行。</w:t>
      </w:r>
    </w:p>
    <w:p w14:paraId="41EDC7DF">
      <w:pPr>
        <w:pStyle w:val="4"/>
        <w:shd w:val="clear"/>
        <w:rPr>
          <w:rFonts w:asciiTheme="minorEastAsia" w:hAnsiTheme="minorEastAsia" w:eastAsiaTheme="minorEastAsia"/>
          <w:color w:val="auto"/>
          <w:highlight w:val="none"/>
        </w:rPr>
      </w:pPr>
      <w:bookmarkStart w:id="1171" w:name="_Toc8705"/>
      <w:bookmarkStart w:id="1172" w:name="_Toc11414"/>
      <w:bookmarkStart w:id="1173" w:name="_Toc19215"/>
      <w:r>
        <w:rPr>
          <w:rFonts w:hint="eastAsia" w:asciiTheme="minorEastAsia" w:hAnsiTheme="minorEastAsia" w:eastAsiaTheme="minorEastAsia"/>
          <w:color w:val="auto"/>
          <w:highlight w:val="none"/>
          <w:lang w:val="en-US" w:eastAsia="zh-CN"/>
        </w:rPr>
        <w:t>1.</w:t>
      </w:r>
      <w:r>
        <w:rPr>
          <w:rFonts w:hint="eastAsia" w:asciiTheme="minorEastAsia" w:hAnsiTheme="minorEastAsia" w:eastAsiaTheme="minorEastAsia"/>
          <w:color w:val="auto"/>
          <w:highlight w:val="none"/>
        </w:rPr>
        <w:t>符合性审查</w:t>
      </w:r>
      <w:bookmarkEnd w:id="1171"/>
      <w:bookmarkEnd w:id="1172"/>
      <w:bookmarkEnd w:id="1173"/>
    </w:p>
    <w:p w14:paraId="06D01815">
      <w:pPr>
        <w:pStyle w:val="18"/>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评标委员会依据符合性评审标准对符合资格的投标人的投标文件进行符合性审查，有一项不符合评审标准的，评标委员会应当否决其投标。</w:t>
      </w:r>
    </w:p>
    <w:p w14:paraId="4A7548F4">
      <w:pPr>
        <w:pStyle w:val="4"/>
        <w:shd w:val="clear"/>
        <w:rPr>
          <w:rFonts w:asciiTheme="minorEastAsia" w:hAnsiTheme="minorEastAsia" w:eastAsiaTheme="minorEastAsia"/>
          <w:color w:val="auto"/>
          <w:highlight w:val="none"/>
        </w:rPr>
      </w:pPr>
      <w:bookmarkStart w:id="1174" w:name="_Toc15419"/>
      <w:bookmarkStart w:id="1175" w:name="_Toc10225"/>
      <w:bookmarkStart w:id="1176" w:name="_Toc9251"/>
      <w:r>
        <w:rPr>
          <w:rFonts w:hint="eastAsia" w:asciiTheme="minorEastAsia" w:hAnsiTheme="minorEastAsia" w:eastAsiaTheme="minorEastAsia"/>
          <w:color w:val="auto"/>
          <w:highlight w:val="none"/>
          <w:lang w:val="en-US" w:eastAsia="zh-CN"/>
        </w:rPr>
        <w:t>2.</w:t>
      </w:r>
      <w:r>
        <w:rPr>
          <w:rFonts w:hint="eastAsia" w:asciiTheme="minorEastAsia" w:hAnsiTheme="minorEastAsia" w:eastAsiaTheme="minorEastAsia"/>
          <w:color w:val="auto"/>
          <w:highlight w:val="none"/>
        </w:rPr>
        <w:t>澄清有关问题</w:t>
      </w:r>
      <w:bookmarkEnd w:id="1174"/>
      <w:bookmarkEnd w:id="1175"/>
      <w:bookmarkEnd w:id="1176"/>
    </w:p>
    <w:p w14:paraId="466B91CA">
      <w:pPr>
        <w:pStyle w:val="18"/>
        <w:shd w:val="clear"/>
        <w:ind w:firstLine="482"/>
        <w:outlineLvl w:val="3"/>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lang w:val="en-US" w:eastAsia="zh-CN"/>
        </w:rPr>
        <w:t>2.1</w:t>
      </w:r>
      <w:r>
        <w:rPr>
          <w:rFonts w:hint="eastAsia" w:cs="宋体" w:asciiTheme="minorEastAsia" w:hAnsiTheme="minorEastAsia" w:eastAsiaTheme="minorEastAsia"/>
          <w:b/>
          <w:bCs/>
          <w:color w:val="auto"/>
          <w:szCs w:val="24"/>
          <w:highlight w:val="none"/>
        </w:rPr>
        <w:t>投标文件内容澄清</w:t>
      </w:r>
    </w:p>
    <w:p w14:paraId="3FE84AF1">
      <w:pPr>
        <w:pStyle w:val="18"/>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58440C64">
      <w:pPr>
        <w:pStyle w:val="18"/>
        <w:shd w:val="clear"/>
        <w:ind w:firstLine="482"/>
        <w:outlineLvl w:val="3"/>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lang w:val="en-US" w:eastAsia="zh-CN"/>
        </w:rPr>
        <w:t>2.2</w:t>
      </w:r>
      <w:r>
        <w:rPr>
          <w:rFonts w:hint="eastAsia" w:cs="宋体" w:asciiTheme="minorEastAsia" w:hAnsiTheme="minorEastAsia" w:eastAsiaTheme="minorEastAsia"/>
          <w:b/>
          <w:bCs/>
          <w:color w:val="auto"/>
          <w:szCs w:val="24"/>
          <w:highlight w:val="none"/>
        </w:rPr>
        <w:t>报价不一致情形澄清</w:t>
      </w:r>
    </w:p>
    <w:p w14:paraId="6084E756">
      <w:pPr>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投标文件报价出现前后不一致的，除招标文件另有规定外，按照下列规定修正：</w:t>
      </w:r>
    </w:p>
    <w:p w14:paraId="47FC6E90">
      <w:pPr>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w:t>
      </w:r>
      <w:r>
        <w:rPr>
          <w:rFonts w:hint="eastAsia" w:cs="宋体" w:asciiTheme="minorEastAsia" w:hAnsiTheme="minorEastAsia" w:eastAsiaTheme="minorEastAsia"/>
          <w:color w:val="auto"/>
          <w:szCs w:val="24"/>
          <w:highlight w:val="none"/>
        </w:rPr>
        <w:t>投标文件中《开标一览表》内容与投标文件中相应内容不一致的，以《开标一览表》为准；</w:t>
      </w:r>
    </w:p>
    <w:p w14:paraId="20653393">
      <w:pPr>
        <w:shd w:val="clear"/>
        <w:ind w:firstLine="480"/>
        <w:outlineLvl w:val="4"/>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lang w:val="en-US" w:eastAsia="zh-CN"/>
        </w:rPr>
        <w:t>2</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大写金额和小写金额不一致的，以大写金额为准；</w:t>
      </w:r>
    </w:p>
    <w:p w14:paraId="2FBE52D9">
      <w:pPr>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lang w:val="en-US" w:eastAsia="zh-CN"/>
        </w:rPr>
        <w:t>3</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单价金额小数点或者百分比有明显错位的，以开标一览表的总价为准，并修改单价；</w:t>
      </w:r>
    </w:p>
    <w:p w14:paraId="3815F805">
      <w:pPr>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lang w:val="en-US" w:eastAsia="zh-CN"/>
        </w:rPr>
        <w:t>4</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总价金额与按单价汇总金额不一致的，以单价金额计算结果为准。</w:t>
      </w:r>
    </w:p>
    <w:p w14:paraId="652F814D">
      <w:pPr>
        <w:pStyle w:val="18"/>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同时出现两种以上不一致的，按照前款规定的顺序修正。修正后的报价经投标人确认后产生约束力，投标人不确认的，其投标无效。</w:t>
      </w:r>
    </w:p>
    <w:p w14:paraId="4D6B1974">
      <w:pPr>
        <w:pStyle w:val="18"/>
        <w:shd w:val="clear"/>
        <w:ind w:firstLine="482"/>
        <w:outlineLvl w:val="3"/>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lang w:val="en-US" w:eastAsia="zh-CN"/>
        </w:rPr>
        <w:t>3.3</w:t>
      </w:r>
      <w:r>
        <w:rPr>
          <w:rFonts w:hint="eastAsia" w:cs="宋体" w:asciiTheme="minorEastAsia" w:hAnsiTheme="minorEastAsia" w:eastAsiaTheme="minorEastAsia"/>
          <w:b/>
          <w:bCs/>
          <w:color w:val="auto"/>
          <w:szCs w:val="24"/>
          <w:highlight w:val="none"/>
        </w:rPr>
        <w:t>报价过低情形澄清</w:t>
      </w:r>
    </w:p>
    <w:p w14:paraId="35A3CC1D">
      <w:pPr>
        <w:pStyle w:val="18"/>
        <w:shd w:val="clear"/>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评标委员会认为投标人的报价</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总价或单价</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明显低于其他通过符合性审</w:t>
      </w:r>
      <w:r>
        <w:rPr>
          <w:rFonts w:hint="eastAsia" w:cs="宋体" w:asciiTheme="minorEastAsia" w:hAnsiTheme="minorEastAsia" w:eastAsiaTheme="minorEastAsia"/>
          <w:color w:val="auto"/>
          <w:szCs w:val="24"/>
          <w:highlight w:val="none"/>
          <w:lang w:eastAsia="zh-CN"/>
        </w:rPr>
        <w:t>查的</w:t>
      </w:r>
      <w:r>
        <w:rPr>
          <w:rFonts w:hint="eastAsia" w:cs="宋体" w:asciiTheme="minorEastAsia" w:hAnsiTheme="minorEastAsia" w:eastAsiaTheme="minorEastAsia"/>
          <w:color w:val="auto"/>
          <w:szCs w:val="24"/>
          <w:highlight w:val="none"/>
        </w:rPr>
        <w:t>投标人的报价</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总价或单价</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，有可能影响产品质量或者不能诚信履约的，应当要求其在评标现场合理的时间内提供书面说明，必要时提交相关证明材料；投标人不能证明其报价合理性的，评标委员会应当将其作为无效投标处理。</w:t>
      </w:r>
    </w:p>
    <w:p w14:paraId="1BF384EF">
      <w:pPr>
        <w:pStyle w:val="4"/>
        <w:shd w:val="clear"/>
        <w:rPr>
          <w:rFonts w:asciiTheme="minorEastAsia" w:hAnsiTheme="minorEastAsia" w:eastAsiaTheme="minorEastAsia"/>
          <w:color w:val="auto"/>
          <w:highlight w:val="none"/>
        </w:rPr>
      </w:pPr>
      <w:bookmarkStart w:id="1177" w:name="_Toc3521"/>
      <w:bookmarkStart w:id="1178" w:name="_Toc21021"/>
      <w:bookmarkStart w:id="1179" w:name="_Toc715"/>
      <w:r>
        <w:rPr>
          <w:rFonts w:hint="eastAsia" w:asciiTheme="minorEastAsia" w:hAnsiTheme="minorEastAsia" w:eastAsiaTheme="minorEastAsia"/>
          <w:color w:val="auto"/>
          <w:highlight w:val="none"/>
          <w:lang w:val="en-US" w:eastAsia="zh-CN"/>
        </w:rPr>
        <w:t>3.</w:t>
      </w:r>
      <w:r>
        <w:rPr>
          <w:rFonts w:hint="eastAsia" w:asciiTheme="minorEastAsia" w:hAnsiTheme="minorEastAsia" w:eastAsiaTheme="minorEastAsia"/>
          <w:color w:val="auto"/>
          <w:highlight w:val="none"/>
        </w:rPr>
        <w:t>商务和技术评估、综合比较与评价</w:t>
      </w:r>
      <w:bookmarkEnd w:id="1177"/>
      <w:bookmarkEnd w:id="1178"/>
      <w:bookmarkEnd w:id="1179"/>
    </w:p>
    <w:p w14:paraId="467DA0FF">
      <w:pPr>
        <w:shd w:val="clear"/>
        <w:autoSpaceDE w:val="0"/>
        <w:autoSpaceDN w:val="0"/>
        <w:spacing w:line="460" w:lineRule="exact"/>
        <w:ind w:firstLine="413" w:firstLineChars="196"/>
        <w:outlineLvl w:val="3"/>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lang w:val="en-US" w:eastAsia="zh-CN"/>
        </w:rPr>
        <w:t>3.</w:t>
      </w:r>
      <w:r>
        <w:rPr>
          <w:rFonts w:hint="eastAsia" w:cs="宋体" w:asciiTheme="minorEastAsia" w:hAnsiTheme="minorEastAsia" w:eastAsiaTheme="minorEastAsia"/>
          <w:b/>
          <w:bCs/>
          <w:color w:val="auto"/>
          <w:szCs w:val="24"/>
          <w:highlight w:val="none"/>
        </w:rPr>
        <w:t>1同品牌产品不同投标人的处理方式</w:t>
      </w:r>
    </w:p>
    <w:p w14:paraId="11A7947A">
      <w:pPr>
        <w:shd w:val="clear"/>
        <w:autoSpaceDE w:val="0"/>
        <w:autoSpaceDN w:val="0"/>
        <w:spacing w:line="360" w:lineRule="auto"/>
        <w:ind w:firstLine="48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4"/>
          <w:highlight w:val="none"/>
        </w:rPr>
        <w:t>相同品牌产品且通过资格审查、符合性审查的不同投标人参加同一合同项下投标的，按一家投标人计算，评审后得分最高的同品牌投标人获得中标人推荐资格；评审得分相同的，由</w:t>
      </w:r>
      <w:r>
        <w:rPr>
          <w:rFonts w:hint="eastAsia" w:cs="宋体" w:asciiTheme="minorEastAsia" w:hAnsiTheme="minorEastAsia" w:eastAsiaTheme="minorEastAsia"/>
          <w:color w:val="auto"/>
          <w:szCs w:val="21"/>
          <w:highlight w:val="none"/>
        </w:rPr>
        <w:t>采购人或者采购人委托评标委员会按照招标文件规定的方式确定一个投标人获得中标人推荐资格，招标文件未规定的采取随机抽取方式确定，其他同品牌投标人不作为中标候选人。</w:t>
      </w:r>
    </w:p>
    <w:p w14:paraId="0A101F35">
      <w:pPr>
        <w:shd w:val="clear"/>
        <w:autoSpaceDE w:val="0"/>
        <w:autoSpaceDN w:val="0"/>
        <w:spacing w:line="360" w:lineRule="auto"/>
        <w:ind w:firstLine="48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非单一产品采购项目，采购人应当根据采购项目技术构成、产品价格比重等合理确定核心产品，并在招标文件中载明。多家投标人提供的核心产品品牌相同的，按前款规定处理。</w:t>
      </w:r>
    </w:p>
    <w:p w14:paraId="1B4DCE3E">
      <w:pPr>
        <w:shd w:val="clear"/>
        <w:spacing w:line="360" w:lineRule="auto"/>
        <w:ind w:firstLine="413" w:firstLineChars="196"/>
        <w:outlineLvl w:val="3"/>
        <w:rPr>
          <w:rFonts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lang w:val="en-US" w:eastAsia="zh-CN"/>
        </w:rPr>
        <w:t>3.</w:t>
      </w:r>
      <w:r>
        <w:rPr>
          <w:rFonts w:hint="eastAsia" w:cs="宋体" w:asciiTheme="minorEastAsia" w:hAnsiTheme="minorEastAsia" w:eastAsiaTheme="minorEastAsia"/>
          <w:b/>
          <w:bCs/>
          <w:color w:val="auto"/>
          <w:szCs w:val="21"/>
          <w:highlight w:val="none"/>
        </w:rPr>
        <w:t>2</w:t>
      </w:r>
      <w:r>
        <w:rPr>
          <w:rFonts w:hint="eastAsia" w:asciiTheme="minorEastAsia" w:hAnsiTheme="minorEastAsia" w:eastAsiaTheme="minorEastAsia"/>
          <w:b/>
          <w:bCs/>
          <w:color w:val="auto"/>
          <w:szCs w:val="21"/>
          <w:highlight w:val="none"/>
        </w:rPr>
        <w:t>小微企业价格评审优惠政策</w:t>
      </w:r>
    </w:p>
    <w:p w14:paraId="40847B28">
      <w:pPr>
        <w:shd w:val="clear"/>
        <w:autoSpaceDE w:val="0"/>
        <w:autoSpaceDN w:val="0"/>
        <w:spacing w:line="360" w:lineRule="auto"/>
        <w:ind w:firstLine="48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根据《政府采购促进中小企业发展管理办法》（财库〔2020〕46号</w:t>
      </w:r>
      <w:r>
        <w:rPr>
          <w:rFonts w:hint="eastAsia" w:cs="宋体" w:asciiTheme="minorEastAsia" w:hAnsiTheme="minorEastAsia" w:eastAsiaTheme="minorEastAsia"/>
          <w:color w:val="auto"/>
          <w:szCs w:val="21"/>
          <w:highlight w:val="none"/>
          <w:lang w:eastAsia="zh-CN"/>
        </w:rPr>
        <w:t>）</w:t>
      </w:r>
      <w:r>
        <w:rPr>
          <w:rFonts w:hint="eastAsia" w:cs="宋体" w:asciiTheme="minorEastAsia" w:hAnsiTheme="minorEastAsia" w:eastAsiaTheme="minorEastAsia"/>
          <w:color w:val="auto"/>
          <w:szCs w:val="21"/>
          <w:highlight w:val="none"/>
        </w:rPr>
        <w:t>的规定，对符合国家统计局《</w:t>
      </w:r>
      <w:bookmarkStart w:id="1180" w:name="OLE_LINK23"/>
      <w:r>
        <w:rPr>
          <w:rFonts w:hint="eastAsia" w:cs="宋体" w:asciiTheme="minorEastAsia" w:hAnsiTheme="minorEastAsia" w:eastAsiaTheme="minorEastAsia"/>
          <w:color w:val="auto"/>
          <w:szCs w:val="21"/>
          <w:highlight w:val="none"/>
        </w:rPr>
        <w:t>统计上大中小微型企业划分办法（2017）</w:t>
      </w:r>
      <w:bookmarkEnd w:id="1180"/>
      <w:r>
        <w:rPr>
          <w:rFonts w:hint="eastAsia" w:cs="宋体" w:asciiTheme="minorEastAsia" w:hAnsiTheme="minorEastAsia" w:eastAsiaTheme="minorEastAsia"/>
          <w:color w:val="auto"/>
          <w:szCs w:val="21"/>
          <w:highlight w:val="none"/>
        </w:rPr>
        <w:t>》规定条件软件和信息技术服务业行业的小微企业报价给予10%的扣除，用扣除后的价格参加评审。</w:t>
      </w:r>
      <w:bookmarkStart w:id="1181" w:name="OLE_LINK32"/>
      <w:r>
        <w:rPr>
          <w:rFonts w:hint="eastAsia" w:cs="宋体" w:asciiTheme="minorEastAsia" w:hAnsiTheme="minorEastAsia" w:eastAsiaTheme="minorEastAsia"/>
          <w:color w:val="auto"/>
          <w:szCs w:val="21"/>
          <w:highlight w:val="none"/>
        </w:rPr>
        <w:t>（</w:t>
      </w:r>
      <w:r>
        <w:rPr>
          <w:rFonts w:hint="eastAsia" w:ascii="宋体" w:hAnsi="宋体"/>
          <w:color w:val="auto"/>
          <w:szCs w:val="21"/>
          <w:highlight w:val="none"/>
        </w:rPr>
        <w:t>中小微企业预留项目不享受价格扣除</w:t>
      </w:r>
      <w:r>
        <w:rPr>
          <w:rFonts w:hint="eastAsia" w:cs="宋体" w:asciiTheme="minorEastAsia" w:hAnsiTheme="minorEastAsia" w:eastAsiaTheme="minorEastAsia"/>
          <w:color w:val="auto"/>
          <w:szCs w:val="21"/>
          <w:highlight w:val="none"/>
        </w:rPr>
        <w:t>）</w:t>
      </w:r>
      <w:bookmarkEnd w:id="1181"/>
    </w:p>
    <w:p w14:paraId="3B68F414">
      <w:pPr>
        <w:shd w:val="clear"/>
        <w:autoSpaceDE w:val="0"/>
        <w:autoSpaceDN w:val="0"/>
        <w:spacing w:line="360" w:lineRule="auto"/>
        <w:ind w:firstLine="48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请投标人根据《政府采购促进中小企业发展管理办法》（财库〔2020〕46号</w:t>
      </w:r>
      <w:r>
        <w:rPr>
          <w:rFonts w:hint="eastAsia" w:cs="宋体" w:asciiTheme="minorEastAsia" w:hAnsiTheme="minorEastAsia" w:eastAsiaTheme="minorEastAsia"/>
          <w:color w:val="auto"/>
          <w:szCs w:val="21"/>
          <w:highlight w:val="none"/>
          <w:lang w:eastAsia="zh-CN"/>
        </w:rPr>
        <w:t>）</w:t>
      </w:r>
      <w:r>
        <w:rPr>
          <w:rFonts w:hint="eastAsia" w:cs="宋体" w:asciiTheme="minorEastAsia" w:hAnsiTheme="minorEastAsia" w:eastAsiaTheme="minorEastAsia"/>
          <w:color w:val="auto"/>
          <w:szCs w:val="21"/>
          <w:highlight w:val="none"/>
        </w:rPr>
        <w:t>的规定，提供《中小企业声明函》，未提供的小微企业不享受价格评审优惠政策。投标人对《中小企业声明函》的真实性负责，如有虚假，采购人将向监管部门反映，投标人依法承担相应责任。</w:t>
      </w:r>
    </w:p>
    <w:p w14:paraId="1D0D6902">
      <w:pPr>
        <w:shd w:val="clear"/>
        <w:autoSpaceDE w:val="0"/>
        <w:autoSpaceDN w:val="0"/>
        <w:spacing w:line="360" w:lineRule="auto"/>
        <w:ind w:firstLine="480"/>
        <w:rPr>
          <w:rFonts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rPr>
        <w:t>其他未尽事宜，按照《政府采</w:t>
      </w:r>
      <w:r>
        <w:rPr>
          <w:rFonts w:hint="eastAsia" w:asciiTheme="minorEastAsia" w:hAnsiTheme="minorEastAsia" w:eastAsiaTheme="minorEastAsia"/>
          <w:color w:val="auto"/>
          <w:szCs w:val="21"/>
          <w:highlight w:val="none"/>
        </w:rPr>
        <w:t>购促进中小企业发展管理办法》（财库〔2020〕46号</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规定执行。</w:t>
      </w:r>
    </w:p>
    <w:p w14:paraId="3A690972">
      <w:pPr>
        <w:shd w:val="clear"/>
        <w:autoSpaceDE w:val="0"/>
        <w:autoSpaceDN w:val="0"/>
        <w:spacing w:line="360" w:lineRule="auto"/>
        <w:ind w:firstLine="413" w:firstLineChars="196"/>
        <w:outlineLvl w:val="3"/>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lang w:val="en-US" w:eastAsia="zh-CN"/>
        </w:rPr>
        <w:t>3.</w:t>
      </w:r>
      <w:r>
        <w:rPr>
          <w:rFonts w:hint="eastAsia" w:cs="宋体" w:asciiTheme="minorEastAsia" w:hAnsiTheme="minorEastAsia" w:eastAsiaTheme="minorEastAsia"/>
          <w:b/>
          <w:bCs/>
          <w:color w:val="auto"/>
          <w:szCs w:val="21"/>
          <w:highlight w:val="none"/>
        </w:rPr>
        <w:t>3残疾人福利性单位优惠政策</w:t>
      </w:r>
    </w:p>
    <w:p w14:paraId="7C768A98">
      <w:pPr>
        <w:shd w:val="clear"/>
        <w:autoSpaceDE w:val="0"/>
        <w:spacing w:line="360" w:lineRule="auto"/>
        <w:ind w:firstLine="48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color w:val="auto"/>
          <w:szCs w:val="21"/>
          <w:highlight w:val="none"/>
        </w:rPr>
        <w:t>根据《关于促进残疾人就业政府采购政策的通知》</w:t>
      </w:r>
      <w:r>
        <w:rPr>
          <w:rFonts w:hint="eastAsia" w:cs="宋体" w:asciiTheme="minorEastAsia" w:hAnsiTheme="minorEastAsia" w:eastAsiaTheme="minorEastAsia"/>
          <w:color w:val="auto"/>
          <w:szCs w:val="21"/>
          <w:highlight w:val="none"/>
          <w:lang w:eastAsia="zh-CN"/>
        </w:rPr>
        <w:t>（</w:t>
      </w:r>
      <w:r>
        <w:rPr>
          <w:rFonts w:hint="eastAsia" w:cs="宋体" w:asciiTheme="minorEastAsia" w:hAnsiTheme="minorEastAsia" w:eastAsiaTheme="minorEastAsia"/>
          <w:color w:val="auto"/>
          <w:szCs w:val="21"/>
          <w:highlight w:val="none"/>
        </w:rPr>
        <w:t>财库[2017]141号</w:t>
      </w:r>
      <w:r>
        <w:rPr>
          <w:rFonts w:hint="eastAsia" w:cs="宋体" w:asciiTheme="minorEastAsia" w:hAnsiTheme="minorEastAsia" w:eastAsiaTheme="minorEastAsia"/>
          <w:color w:val="auto"/>
          <w:szCs w:val="21"/>
          <w:highlight w:val="none"/>
          <w:lang w:eastAsia="zh-CN"/>
        </w:rPr>
        <w:t>）</w:t>
      </w:r>
      <w:r>
        <w:rPr>
          <w:rFonts w:hint="eastAsia" w:cs="宋体" w:asciiTheme="minorEastAsia" w:hAnsiTheme="minorEastAsia" w:eastAsiaTheme="minorEastAsia"/>
          <w:color w:val="auto"/>
          <w:szCs w:val="21"/>
          <w:highlight w:val="none"/>
        </w:rPr>
        <w:t>的规定，残疾人福利性单位优惠政策，残疾人福利性单位参与本项目投标时，提供《残疾人福利性单位声明函》并对声明的真实性负责，视同小型、微型企业享受价格扣除等优惠政策。</w:t>
      </w:r>
      <w:r>
        <w:rPr>
          <w:rFonts w:hint="eastAsia" w:cs="宋体" w:asciiTheme="minorEastAsia" w:hAnsiTheme="minorEastAsia" w:eastAsiaTheme="minorEastAsia"/>
          <w:b/>
          <w:color w:val="auto"/>
          <w:szCs w:val="21"/>
          <w:highlight w:val="none"/>
        </w:rPr>
        <w:t>投标人对《残疾人福利性单位声明函》的真实性负责，如有虚假，自行承担相应责任。</w:t>
      </w:r>
    </w:p>
    <w:p w14:paraId="1182C3E7">
      <w:pPr>
        <w:shd w:val="clear"/>
        <w:autoSpaceDE w:val="0"/>
        <w:autoSpaceDN w:val="0"/>
        <w:spacing w:line="360" w:lineRule="auto"/>
        <w:ind w:firstLine="422" w:firstLineChars="200"/>
        <w:outlineLvl w:val="3"/>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lang w:val="en-US" w:eastAsia="zh-CN"/>
        </w:rPr>
        <w:t>3.</w:t>
      </w:r>
      <w:r>
        <w:rPr>
          <w:rFonts w:hint="eastAsia" w:cs="宋体" w:asciiTheme="minorEastAsia" w:hAnsiTheme="minorEastAsia" w:eastAsiaTheme="minorEastAsia"/>
          <w:b/>
          <w:bCs/>
          <w:color w:val="auto"/>
          <w:szCs w:val="21"/>
          <w:highlight w:val="none"/>
        </w:rPr>
        <w:t>4节能产品及环境标志产品的优惠政策</w:t>
      </w:r>
    </w:p>
    <w:p w14:paraId="23A368FE">
      <w:pPr>
        <w:pStyle w:val="18"/>
        <w:shd w:val="clear"/>
        <w:spacing w:line="360" w:lineRule="auto"/>
        <w:ind w:firstLine="48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按照“财政部 发展改革委 生态环境部 市场监管总局 关于调整优化节能产品、环境标志产品政府采购执行机制的通知”财库〔2019〕9号的规定执行。</w:t>
      </w:r>
    </w:p>
    <w:p w14:paraId="49831A4C">
      <w:pPr>
        <w:numPr>
          <w:ilvl w:val="0"/>
          <w:numId w:val="0"/>
        </w:numPr>
        <w:shd w:val="clear"/>
        <w:autoSpaceDE w:val="0"/>
        <w:autoSpaceDN w:val="0"/>
        <w:spacing w:line="360" w:lineRule="auto"/>
        <w:ind w:firstLine="422" w:firstLineChars="200"/>
        <w:outlineLvl w:val="3"/>
        <w:rPr>
          <w:color w:val="auto"/>
          <w:szCs w:val="21"/>
          <w:highlight w:val="none"/>
        </w:rPr>
      </w:pPr>
      <w:r>
        <w:rPr>
          <w:rFonts w:hint="eastAsia" w:cs="宋体" w:asciiTheme="minorEastAsia" w:hAnsiTheme="minorEastAsia" w:eastAsiaTheme="minorEastAsia"/>
          <w:b/>
          <w:bCs/>
          <w:color w:val="auto"/>
          <w:szCs w:val="21"/>
          <w:highlight w:val="none"/>
          <w:lang w:val="en-US" w:eastAsia="zh-CN"/>
        </w:rPr>
        <w:t>3.5</w:t>
      </w:r>
      <w:r>
        <w:rPr>
          <w:rFonts w:hint="eastAsia" w:cs="宋体" w:asciiTheme="minorEastAsia" w:hAnsiTheme="minorEastAsia" w:eastAsiaTheme="minorEastAsia"/>
          <w:b/>
          <w:bCs/>
          <w:color w:val="auto"/>
          <w:szCs w:val="21"/>
          <w:highlight w:val="none"/>
        </w:rPr>
        <w:t>综合评分方式</w:t>
      </w:r>
    </w:p>
    <w:p w14:paraId="619EA50D">
      <w:pPr>
        <w:pStyle w:val="22"/>
        <w:shd w:val="clear"/>
        <w:spacing w:line="360" w:lineRule="auto"/>
        <w:ind w:left="525" w:leftChars="250"/>
        <w:jc w:val="center"/>
        <w:rPr>
          <w:rFonts w:hAnsi="宋体"/>
          <w:b/>
          <w:bCs/>
          <w:color w:val="auto"/>
          <w:szCs w:val="21"/>
          <w:highlight w:val="none"/>
        </w:rPr>
      </w:pPr>
      <w:r>
        <w:rPr>
          <w:rFonts w:hAnsi="宋体"/>
          <w:b/>
          <w:bCs/>
          <w:color w:val="auto"/>
          <w:szCs w:val="21"/>
          <w:highlight w:val="none"/>
        </w:rPr>
        <w:t>本次评审采用综合评分法</w:t>
      </w:r>
      <w:r>
        <w:rPr>
          <w:rFonts w:hint="eastAsia" w:hAnsi="宋体"/>
          <w:color w:val="auto"/>
          <w:szCs w:val="21"/>
          <w:highlight w:val="none"/>
        </w:rPr>
        <w:t>，</w:t>
      </w:r>
      <w:r>
        <w:rPr>
          <w:rFonts w:hAnsi="宋体"/>
          <w:b/>
          <w:bCs/>
          <w:color w:val="auto"/>
          <w:szCs w:val="21"/>
          <w:highlight w:val="none"/>
        </w:rPr>
        <w:t>具体办法如下：</w:t>
      </w:r>
    </w:p>
    <w:p w14:paraId="70902579">
      <w:pPr>
        <w:rPr>
          <w:b w:val="0"/>
          <w:color w:val="auto"/>
          <w:highlight w:val="none"/>
        </w:rPr>
      </w:pPr>
      <w:bookmarkStart w:id="1182" w:name="_Toc18515"/>
    </w:p>
    <w:p w14:paraId="3E49BB2C">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lang w:val="en-US" w:eastAsia="zh-CN"/>
        </w:rPr>
        <w:t>F1</w:t>
      </w:r>
      <w:r>
        <w:rPr>
          <w:rFonts w:hint="eastAsia" w:ascii="黑体" w:hAnsi="黑体" w:eastAsia="黑体" w:cs="黑体"/>
          <w:bCs/>
          <w:color w:val="auto"/>
          <w:sz w:val="36"/>
          <w:szCs w:val="36"/>
          <w:highlight w:val="none"/>
        </w:rPr>
        <w:t>商务评审标准表（综合评分法</w:t>
      </w:r>
      <w:r>
        <w:rPr>
          <w:rFonts w:ascii="黑体" w:hAnsi="黑体" w:eastAsia="黑体" w:cs="黑体"/>
          <w:bCs/>
          <w:color w:val="auto"/>
          <w:sz w:val="36"/>
          <w:szCs w:val="36"/>
          <w:highlight w:val="none"/>
        </w:rPr>
        <w:t>）</w:t>
      </w:r>
    </w:p>
    <w:tbl>
      <w:tblPr>
        <w:tblStyle w:val="40"/>
        <w:tblW w:w="10135" w:type="dxa"/>
        <w:tblInd w:w="-5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570"/>
        <w:gridCol w:w="675"/>
        <w:gridCol w:w="5535"/>
        <w:gridCol w:w="795"/>
        <w:gridCol w:w="2140"/>
      </w:tblGrid>
      <w:tr w14:paraId="3E37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20" w:type="dxa"/>
            <w:vAlign w:val="center"/>
          </w:tcPr>
          <w:p w14:paraId="019C81D7">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1245" w:type="dxa"/>
            <w:gridSpan w:val="2"/>
            <w:vAlign w:val="center"/>
          </w:tcPr>
          <w:p w14:paraId="432DE22A">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评审项目</w:t>
            </w:r>
          </w:p>
        </w:tc>
        <w:tc>
          <w:tcPr>
            <w:tcW w:w="5535" w:type="dxa"/>
            <w:vAlign w:val="center"/>
          </w:tcPr>
          <w:p w14:paraId="3DDE34A5">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评审内容及规则</w:t>
            </w:r>
          </w:p>
        </w:tc>
        <w:tc>
          <w:tcPr>
            <w:tcW w:w="795" w:type="dxa"/>
            <w:vAlign w:val="center"/>
          </w:tcPr>
          <w:p w14:paraId="5BAB15CA">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标准</w:t>
            </w:r>
          </w:p>
          <w:p w14:paraId="6BCF1A37">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分值</w:t>
            </w:r>
          </w:p>
        </w:tc>
        <w:tc>
          <w:tcPr>
            <w:tcW w:w="2140" w:type="dxa"/>
            <w:vAlign w:val="center"/>
          </w:tcPr>
          <w:p w14:paraId="6DD87135">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说  明</w:t>
            </w:r>
          </w:p>
        </w:tc>
      </w:tr>
      <w:tr w14:paraId="3B13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7" w:hRule="atLeast"/>
        </w:trPr>
        <w:tc>
          <w:tcPr>
            <w:tcW w:w="420" w:type="dxa"/>
            <w:vAlign w:val="center"/>
          </w:tcPr>
          <w:p w14:paraId="79803EEE">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570" w:type="dxa"/>
            <w:vMerge w:val="restart"/>
            <w:vAlign w:val="center"/>
          </w:tcPr>
          <w:p w14:paraId="4985C8C3">
            <w:pPr>
              <w:widowControl/>
              <w:snapToGrid w:val="0"/>
              <w:jc w:val="center"/>
              <w:rPr>
                <w:rFonts w:ascii="宋体" w:hAnsi="宋体" w:cs="宋体"/>
                <w:color w:val="auto"/>
                <w:sz w:val="21"/>
                <w:szCs w:val="21"/>
                <w:highlight w:val="none"/>
              </w:rPr>
            </w:pPr>
          </w:p>
        </w:tc>
        <w:tc>
          <w:tcPr>
            <w:tcW w:w="675" w:type="dxa"/>
            <w:vAlign w:val="center"/>
          </w:tcPr>
          <w:p w14:paraId="094120BF">
            <w:pPr>
              <w:widowControl/>
              <w:snapToGrid w:val="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综合</w:t>
            </w:r>
            <w:r>
              <w:rPr>
                <w:rFonts w:hint="eastAsia" w:ascii="新宋体" w:hAnsi="新宋体" w:eastAsia="新宋体"/>
                <w:color w:val="auto"/>
                <w:sz w:val="21"/>
                <w:szCs w:val="21"/>
                <w:highlight w:val="none"/>
                <w:lang w:eastAsia="zh-CN"/>
              </w:rPr>
              <w:t>介绍</w:t>
            </w:r>
          </w:p>
        </w:tc>
        <w:tc>
          <w:tcPr>
            <w:tcW w:w="5535" w:type="dxa"/>
            <w:vAlign w:val="center"/>
          </w:tcPr>
          <w:p w14:paraId="57A96424">
            <w:pPr>
              <w:snapToGrid w:val="0"/>
              <w:spacing w:line="240" w:lineRule="exact"/>
              <w:jc w:val="left"/>
              <w:rPr>
                <w:rFonts w:hint="eastAsia" w:ascii="宋体" w:hAnsi="宋体" w:cs="宋体"/>
                <w:color w:val="auto"/>
                <w:kern w:val="0"/>
                <w:sz w:val="21"/>
                <w:szCs w:val="21"/>
                <w:highlight w:val="none"/>
                <w:lang w:bidi="ar"/>
              </w:rPr>
            </w:pPr>
          </w:p>
          <w:p w14:paraId="06878609">
            <w:pPr>
              <w:snapToGrid w:val="0"/>
              <w:spacing w:line="240" w:lineRule="exact"/>
              <w:jc w:val="left"/>
              <w:rPr>
                <w:rFonts w:hint="default" w:ascii="宋体" w:hAnsi="宋体" w:eastAsia="新宋体" w:cs="宋体"/>
                <w:color w:val="auto"/>
                <w:kern w:val="0"/>
                <w:sz w:val="21"/>
                <w:szCs w:val="21"/>
                <w:highlight w:val="none"/>
                <w:lang w:val="en-US" w:eastAsia="zh-CN" w:bidi="ar"/>
              </w:rPr>
            </w:pPr>
            <w:r>
              <w:rPr>
                <w:rFonts w:hint="eastAsia" w:ascii="新宋体" w:hAnsi="新宋体" w:eastAsia="新宋体"/>
                <w:color w:val="auto"/>
                <w:sz w:val="21"/>
                <w:szCs w:val="21"/>
                <w:highlight w:val="none"/>
              </w:rPr>
              <w:t>根据供应商提供</w:t>
            </w:r>
            <w:r>
              <w:rPr>
                <w:rFonts w:hint="eastAsia" w:ascii="新宋体" w:hAnsi="新宋体" w:eastAsia="新宋体"/>
                <w:color w:val="auto"/>
                <w:sz w:val="21"/>
                <w:szCs w:val="21"/>
                <w:highlight w:val="none"/>
                <w:lang w:eastAsia="zh-CN"/>
              </w:rPr>
              <w:t>配送服务方案，包括不限于：</w:t>
            </w:r>
            <w:r>
              <w:rPr>
                <w:rFonts w:ascii="新宋体" w:hAnsi="新宋体" w:eastAsia="新宋体"/>
                <w:color w:val="auto"/>
                <w:sz w:val="21"/>
                <w:szCs w:val="21"/>
                <w:highlight w:val="none"/>
              </w:rPr>
              <w:t>1</w:t>
            </w:r>
            <w:r>
              <w:rPr>
                <w:rFonts w:hint="eastAsia" w:ascii="新宋体" w:hAnsi="新宋体" w:eastAsia="新宋体"/>
                <w:color w:val="auto"/>
                <w:sz w:val="21"/>
                <w:szCs w:val="21"/>
                <w:highlight w:val="none"/>
              </w:rPr>
              <w:t>、抗风险能力；</w:t>
            </w:r>
            <w:r>
              <w:rPr>
                <w:rFonts w:ascii="新宋体" w:hAnsi="新宋体" w:eastAsia="新宋体"/>
                <w:color w:val="auto"/>
                <w:sz w:val="21"/>
                <w:szCs w:val="21"/>
                <w:highlight w:val="none"/>
              </w:rPr>
              <w:t>2</w:t>
            </w:r>
            <w:r>
              <w:rPr>
                <w:rFonts w:hint="eastAsia" w:ascii="新宋体" w:hAnsi="新宋体" w:eastAsia="新宋体"/>
                <w:color w:val="auto"/>
                <w:sz w:val="21"/>
                <w:szCs w:val="21"/>
                <w:highlight w:val="none"/>
              </w:rPr>
              <w:t>、外部评价；</w:t>
            </w:r>
            <w:r>
              <w:rPr>
                <w:rFonts w:ascii="新宋体" w:hAnsi="新宋体" w:eastAsia="新宋体"/>
                <w:color w:val="auto"/>
                <w:sz w:val="21"/>
                <w:szCs w:val="21"/>
                <w:highlight w:val="none"/>
              </w:rPr>
              <w:t>3</w:t>
            </w:r>
            <w:r>
              <w:rPr>
                <w:rFonts w:hint="eastAsia" w:ascii="新宋体" w:hAnsi="新宋体" w:eastAsia="新宋体"/>
                <w:color w:val="auto"/>
                <w:sz w:val="21"/>
                <w:szCs w:val="21"/>
                <w:highlight w:val="none"/>
              </w:rPr>
              <w:t>、法人及企业经营理念；4、</w:t>
            </w:r>
            <w:r>
              <w:rPr>
                <w:rFonts w:hint="eastAsia" w:ascii="新宋体" w:hAnsi="新宋体" w:eastAsia="新宋体"/>
                <w:color w:val="auto"/>
                <w:sz w:val="21"/>
                <w:szCs w:val="21"/>
                <w:highlight w:val="none"/>
                <w:lang w:eastAsia="zh-CN"/>
              </w:rPr>
              <w:t>响应采购需求等情况。无方案为</w:t>
            </w:r>
            <w:r>
              <w:rPr>
                <w:rFonts w:hint="eastAsia" w:ascii="新宋体" w:hAnsi="新宋体" w:eastAsia="新宋体"/>
                <w:color w:val="auto"/>
                <w:sz w:val="21"/>
                <w:szCs w:val="21"/>
                <w:highlight w:val="none"/>
                <w:lang w:val="en-US" w:eastAsia="zh-CN"/>
              </w:rPr>
              <w:t>0分，一般为1分，好为2分，较好为3分，非常好为5分。</w:t>
            </w:r>
          </w:p>
        </w:tc>
        <w:tc>
          <w:tcPr>
            <w:tcW w:w="795" w:type="dxa"/>
            <w:vAlign w:val="center"/>
          </w:tcPr>
          <w:p w14:paraId="56502E63">
            <w:pPr>
              <w:snapToGrid w:val="0"/>
              <w:spacing w:line="240" w:lineRule="exact"/>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w:t>
            </w:r>
          </w:p>
        </w:tc>
        <w:tc>
          <w:tcPr>
            <w:tcW w:w="2140" w:type="dxa"/>
            <w:vAlign w:val="center"/>
          </w:tcPr>
          <w:p w14:paraId="6C92FF14">
            <w:pPr>
              <w:spacing w:before="120" w:line="240" w:lineRule="exact"/>
              <w:ind w:left="30" w:right="68" w:hanging="31" w:hangingChars="15"/>
              <w:jc w:val="left"/>
              <w:rPr>
                <w:rFonts w:hint="eastAsia" w:ascii="宋体" w:hAnsi="宋体" w:cs="宋体"/>
                <w:color w:val="auto"/>
                <w:sz w:val="21"/>
                <w:szCs w:val="21"/>
                <w:highlight w:val="none"/>
              </w:rPr>
            </w:pPr>
          </w:p>
        </w:tc>
      </w:tr>
      <w:tr w14:paraId="6942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7" w:hRule="atLeast"/>
        </w:trPr>
        <w:tc>
          <w:tcPr>
            <w:tcW w:w="420" w:type="dxa"/>
            <w:vAlign w:val="center"/>
          </w:tcPr>
          <w:p w14:paraId="37E94354">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570" w:type="dxa"/>
            <w:vMerge w:val="continue"/>
            <w:vAlign w:val="center"/>
          </w:tcPr>
          <w:p w14:paraId="578D9CDD">
            <w:pPr>
              <w:widowControl/>
              <w:snapToGrid w:val="0"/>
              <w:jc w:val="center"/>
              <w:rPr>
                <w:rFonts w:ascii="宋体" w:hAnsi="宋体" w:cs="宋体"/>
                <w:color w:val="auto"/>
                <w:sz w:val="21"/>
                <w:szCs w:val="21"/>
                <w:highlight w:val="none"/>
              </w:rPr>
            </w:pPr>
          </w:p>
        </w:tc>
        <w:tc>
          <w:tcPr>
            <w:tcW w:w="675" w:type="dxa"/>
            <w:vAlign w:val="center"/>
          </w:tcPr>
          <w:p w14:paraId="60FF9470">
            <w:pPr>
              <w:widowControl/>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业绩</w:t>
            </w:r>
          </w:p>
        </w:tc>
        <w:tc>
          <w:tcPr>
            <w:tcW w:w="5535" w:type="dxa"/>
            <w:vAlign w:val="center"/>
          </w:tcPr>
          <w:p w14:paraId="0BA3DFBF">
            <w:pPr>
              <w:widowControl/>
              <w:snapToGrid w:val="0"/>
              <w:spacing w:line="24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投标供应商近3年</w:t>
            </w:r>
            <w:r>
              <w:rPr>
                <w:rFonts w:hint="eastAsia" w:ascii="宋体" w:hAnsi="宋体" w:cs="宋体"/>
                <w:color w:val="auto"/>
                <w:sz w:val="21"/>
                <w:szCs w:val="21"/>
                <w:highlight w:val="none"/>
                <w:lang w:eastAsia="zh-CN"/>
              </w:rPr>
              <w:t>的业绩合同</w:t>
            </w:r>
            <w:r>
              <w:rPr>
                <w:rFonts w:hint="eastAsia" w:ascii="宋体" w:hAnsi="宋体" w:cs="宋体"/>
                <w:color w:val="auto"/>
                <w:sz w:val="21"/>
                <w:szCs w:val="21"/>
                <w:highlight w:val="none"/>
              </w:rPr>
              <w:t>（2021年</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月至开标截止日，以合同签订时间为准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最多提供</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份有效合同，以投标文件中提供的先后顺序，超过5份的以前5份为准，前5份合同若出现无效合同不顺延后面的合同。每提供1份合同得2分，最高得标准分。以提供</w:t>
            </w:r>
            <w:r>
              <w:rPr>
                <w:rFonts w:hint="eastAsia" w:ascii="宋体" w:hAnsi="宋体" w:cs="宋体"/>
                <w:color w:val="auto"/>
                <w:sz w:val="21"/>
                <w:szCs w:val="21"/>
                <w:highlight w:val="none"/>
                <w:lang w:eastAsia="zh-CN"/>
              </w:rPr>
              <w:t>的</w:t>
            </w:r>
            <w:r>
              <w:rPr>
                <w:rFonts w:hint="eastAsia" w:ascii="宋体" w:hAnsi="宋体" w:cs="宋体"/>
                <w:color w:val="auto"/>
                <w:sz w:val="21"/>
                <w:szCs w:val="21"/>
                <w:highlight w:val="none"/>
              </w:rPr>
              <w:t>有效合同签订日期</w:t>
            </w:r>
            <w:r>
              <w:rPr>
                <w:rFonts w:hint="eastAsia" w:ascii="宋体" w:hAnsi="宋体" w:cs="宋体"/>
                <w:color w:val="auto"/>
                <w:sz w:val="21"/>
                <w:szCs w:val="21"/>
                <w:highlight w:val="none"/>
                <w:lang w:eastAsia="zh-CN"/>
              </w:rPr>
              <w:t>内</w:t>
            </w:r>
            <w:r>
              <w:rPr>
                <w:rFonts w:hint="eastAsia" w:ascii="宋体" w:hAnsi="宋体" w:cs="宋体"/>
                <w:color w:val="auto"/>
                <w:sz w:val="21"/>
                <w:szCs w:val="21"/>
                <w:highlight w:val="none"/>
              </w:rPr>
              <w:t>的银行存款进账凭证或发票（显示金额的首页，无需提供清单）</w:t>
            </w:r>
            <w:r>
              <w:rPr>
                <w:rFonts w:hint="eastAsia" w:ascii="宋体" w:hAnsi="宋体" w:cs="宋体"/>
                <w:b w:val="0"/>
                <w:bCs w:val="0"/>
                <w:color w:val="auto"/>
                <w:szCs w:val="21"/>
                <w:highlight w:val="none"/>
                <w:lang w:eastAsia="zh-CN"/>
              </w:rPr>
              <w:t>复印件</w:t>
            </w:r>
            <w:r>
              <w:rPr>
                <w:rFonts w:hint="eastAsia" w:ascii="宋体" w:hAnsi="宋体" w:cs="宋体"/>
                <w:color w:val="auto"/>
                <w:sz w:val="21"/>
                <w:szCs w:val="21"/>
                <w:highlight w:val="none"/>
                <w:lang w:eastAsia="zh-CN"/>
              </w:rPr>
              <w:t>来</w:t>
            </w:r>
            <w:r>
              <w:rPr>
                <w:rFonts w:hint="eastAsia" w:ascii="宋体" w:hAnsi="宋体" w:cs="宋体"/>
                <w:color w:val="auto"/>
                <w:sz w:val="21"/>
                <w:szCs w:val="21"/>
                <w:highlight w:val="none"/>
              </w:rPr>
              <w:t>认定。</w:t>
            </w:r>
          </w:p>
          <w:p w14:paraId="42FD1565">
            <w:pPr>
              <w:widowControl/>
              <w:snapToGrid w:val="0"/>
              <w:spacing w:line="240" w:lineRule="exact"/>
              <w:jc w:val="left"/>
              <w:rPr>
                <w:color w:val="auto"/>
                <w:sz w:val="21"/>
                <w:szCs w:val="21"/>
                <w:highlight w:val="none"/>
              </w:rPr>
            </w:pPr>
            <w:r>
              <w:rPr>
                <w:rFonts w:hint="eastAsia" w:ascii="宋体" w:hAnsi="宋体" w:cs="宋体"/>
                <w:color w:val="auto"/>
                <w:sz w:val="21"/>
                <w:szCs w:val="21"/>
                <w:highlight w:val="none"/>
              </w:rPr>
              <w:t>合同复印件包括但不限于合同首尾页、签字盖章页、合同金额页（如无金额，以发票为准）等能够证明业绩认定的重要信息，否则合同无效。时限不符、内容不清晰的均无效。</w:t>
            </w:r>
          </w:p>
        </w:tc>
        <w:tc>
          <w:tcPr>
            <w:tcW w:w="795" w:type="dxa"/>
            <w:vAlign w:val="center"/>
          </w:tcPr>
          <w:p w14:paraId="306583A0">
            <w:pPr>
              <w:spacing w:line="24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10分</w:t>
            </w:r>
          </w:p>
        </w:tc>
        <w:tc>
          <w:tcPr>
            <w:tcW w:w="2140" w:type="dxa"/>
            <w:vAlign w:val="center"/>
          </w:tcPr>
          <w:p w14:paraId="382670E7">
            <w:pPr>
              <w:spacing w:before="120" w:line="240" w:lineRule="exact"/>
              <w:ind w:left="30" w:right="68" w:hanging="31" w:hangingChars="15"/>
              <w:jc w:val="left"/>
              <w:rPr>
                <w:rFonts w:ascii="宋体" w:hAnsi="宋体" w:cs="宋体"/>
                <w:color w:val="auto"/>
                <w:sz w:val="21"/>
                <w:szCs w:val="21"/>
                <w:highlight w:val="none"/>
              </w:rPr>
            </w:pPr>
            <w:r>
              <w:rPr>
                <w:rFonts w:hint="eastAsia" w:ascii="宋体" w:hAnsi="宋体" w:cs="宋体"/>
                <w:color w:val="auto"/>
                <w:sz w:val="21"/>
                <w:szCs w:val="21"/>
                <w:highlight w:val="none"/>
              </w:rPr>
              <w:t>注：合同原件、发票原件、银行进账单或往来货款结算证明备查。每份合同只计算1次，不得重复计算得分</w:t>
            </w:r>
            <w:r>
              <w:rPr>
                <w:rFonts w:ascii="宋体" w:hAnsi="宋体" w:cs="宋体"/>
                <w:color w:val="auto"/>
                <w:sz w:val="21"/>
                <w:szCs w:val="21"/>
                <w:highlight w:val="none"/>
              </w:rPr>
              <w:t>。</w:t>
            </w:r>
          </w:p>
        </w:tc>
      </w:tr>
      <w:tr w14:paraId="12D78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200" w:type="dxa"/>
            <w:gridSpan w:val="4"/>
            <w:vAlign w:val="center"/>
          </w:tcPr>
          <w:p w14:paraId="79B81D8F">
            <w:pPr>
              <w:widowControl/>
              <w:snapToGrid w:val="0"/>
              <w:spacing w:line="24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合    计</w:t>
            </w:r>
          </w:p>
        </w:tc>
        <w:tc>
          <w:tcPr>
            <w:tcW w:w="795" w:type="dxa"/>
            <w:vAlign w:val="center"/>
          </w:tcPr>
          <w:p w14:paraId="05505B4C">
            <w:pPr>
              <w:widowControl/>
              <w:snapToGrid w:val="0"/>
              <w:spacing w:line="240" w:lineRule="exact"/>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15</w:t>
            </w:r>
            <w:r>
              <w:rPr>
                <w:rFonts w:hint="eastAsia" w:ascii="宋体" w:hAnsi="宋体" w:cs="宋体"/>
                <w:color w:val="auto"/>
                <w:sz w:val="21"/>
                <w:szCs w:val="21"/>
                <w:highlight w:val="none"/>
              </w:rPr>
              <w:t>分</w:t>
            </w:r>
          </w:p>
        </w:tc>
        <w:tc>
          <w:tcPr>
            <w:tcW w:w="2140" w:type="dxa"/>
            <w:vAlign w:val="center"/>
          </w:tcPr>
          <w:p w14:paraId="7EF42885">
            <w:pPr>
              <w:widowControl/>
              <w:spacing w:line="240" w:lineRule="exact"/>
              <w:jc w:val="left"/>
              <w:rPr>
                <w:rFonts w:ascii="宋体" w:hAnsi="宋体" w:cs="宋体"/>
                <w:color w:val="auto"/>
                <w:sz w:val="21"/>
                <w:szCs w:val="21"/>
                <w:highlight w:val="none"/>
              </w:rPr>
            </w:pPr>
          </w:p>
        </w:tc>
      </w:tr>
    </w:tbl>
    <w:p w14:paraId="51CF0374">
      <w:pPr>
        <w:rPr>
          <w:rFonts w:hAnsi="宋体"/>
          <w:b/>
          <w:bCs/>
          <w:color w:val="auto"/>
          <w:szCs w:val="21"/>
          <w:highlight w:val="none"/>
        </w:rPr>
      </w:pPr>
    </w:p>
    <w:p w14:paraId="3CF14F97">
      <w:pPr>
        <w:spacing w:before="120" w:beforeLines="50" w:after="120" w:afterLines="50" w:line="560" w:lineRule="exact"/>
        <w:jc w:val="center"/>
        <w:rPr>
          <w:rFonts w:hint="eastAsia" w:ascii="黑体" w:hAnsi="黑体" w:eastAsia="黑体" w:cs="黑体"/>
          <w:bCs/>
          <w:color w:val="auto"/>
          <w:sz w:val="36"/>
          <w:szCs w:val="36"/>
          <w:highlight w:val="none"/>
        </w:rPr>
      </w:pPr>
    </w:p>
    <w:p w14:paraId="7EE02650">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lang w:val="en-US" w:eastAsia="zh-CN"/>
        </w:rPr>
        <w:t>F2</w:t>
      </w:r>
      <w:r>
        <w:rPr>
          <w:rFonts w:hint="eastAsia" w:ascii="黑体" w:hAnsi="黑体" w:eastAsia="黑体" w:cs="黑体"/>
          <w:bCs/>
          <w:color w:val="auto"/>
          <w:sz w:val="36"/>
          <w:szCs w:val="36"/>
          <w:highlight w:val="none"/>
        </w:rPr>
        <w:t>技术评审标准表（综合评分法</w:t>
      </w:r>
      <w:r>
        <w:rPr>
          <w:rFonts w:ascii="黑体" w:hAnsi="黑体" w:eastAsia="黑体" w:cs="黑体"/>
          <w:bCs/>
          <w:color w:val="auto"/>
          <w:sz w:val="36"/>
          <w:szCs w:val="36"/>
          <w:highlight w:val="none"/>
        </w:rPr>
        <w:t>）</w:t>
      </w:r>
    </w:p>
    <w:tbl>
      <w:tblPr>
        <w:tblStyle w:val="40"/>
        <w:tblW w:w="10142"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568"/>
        <w:gridCol w:w="680"/>
        <w:gridCol w:w="5528"/>
        <w:gridCol w:w="804"/>
        <w:gridCol w:w="2137"/>
      </w:tblGrid>
      <w:tr w14:paraId="67112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5" w:type="dxa"/>
            <w:vAlign w:val="center"/>
          </w:tcPr>
          <w:p w14:paraId="695D1231">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序号</w:t>
            </w:r>
          </w:p>
        </w:tc>
        <w:tc>
          <w:tcPr>
            <w:tcW w:w="1248" w:type="dxa"/>
            <w:gridSpan w:val="2"/>
            <w:vAlign w:val="center"/>
          </w:tcPr>
          <w:p w14:paraId="1AD6BEC8">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评审项目</w:t>
            </w:r>
          </w:p>
        </w:tc>
        <w:tc>
          <w:tcPr>
            <w:tcW w:w="5528" w:type="dxa"/>
            <w:vAlign w:val="center"/>
          </w:tcPr>
          <w:p w14:paraId="6BF7F50E">
            <w:pPr>
              <w:widowControl/>
              <w:snapToGrid w:val="0"/>
              <w:spacing w:line="300" w:lineRule="exact"/>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评审内容及规则</w:t>
            </w:r>
          </w:p>
        </w:tc>
        <w:tc>
          <w:tcPr>
            <w:tcW w:w="804" w:type="dxa"/>
            <w:vAlign w:val="center"/>
          </w:tcPr>
          <w:p w14:paraId="34F1412B">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标准分值</w:t>
            </w:r>
          </w:p>
        </w:tc>
        <w:tc>
          <w:tcPr>
            <w:tcW w:w="2137" w:type="dxa"/>
            <w:vAlign w:val="center"/>
          </w:tcPr>
          <w:p w14:paraId="614075CF">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 xml:space="preserve">说 </w:t>
            </w:r>
            <w:r>
              <w:rPr>
                <w:rFonts w:ascii="宋体" w:hAnsi="宋体" w:cs="宋体"/>
                <w:b w:val="0"/>
                <w:bCs w:val="0"/>
                <w:color w:val="auto"/>
                <w:sz w:val="20"/>
                <w:szCs w:val="20"/>
                <w:highlight w:val="none"/>
              </w:rPr>
              <w:t xml:space="preserve"> </w:t>
            </w:r>
            <w:r>
              <w:rPr>
                <w:rFonts w:hint="eastAsia" w:ascii="宋体" w:hAnsi="宋体" w:cs="宋体"/>
                <w:b w:val="0"/>
                <w:bCs w:val="0"/>
                <w:color w:val="auto"/>
                <w:sz w:val="20"/>
                <w:szCs w:val="20"/>
                <w:highlight w:val="none"/>
              </w:rPr>
              <w:t>明</w:t>
            </w:r>
          </w:p>
        </w:tc>
      </w:tr>
      <w:tr w14:paraId="721D4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425" w:type="dxa"/>
            <w:vMerge w:val="restart"/>
            <w:vAlign w:val="center"/>
          </w:tcPr>
          <w:p w14:paraId="192D56C1">
            <w:pPr>
              <w:widowControl/>
              <w:snapToGrid w:val="0"/>
              <w:jc w:val="center"/>
              <w:rPr>
                <w:rFonts w:ascii="宋体" w:hAnsi="宋体" w:cs="宋体"/>
                <w:b w:val="0"/>
                <w:bCs w:val="0"/>
                <w:color w:val="auto"/>
                <w:sz w:val="20"/>
                <w:szCs w:val="20"/>
                <w:highlight w:val="none"/>
              </w:rPr>
            </w:pPr>
            <w:r>
              <w:rPr>
                <w:rFonts w:ascii="宋体" w:hAnsi="宋体" w:cs="宋体"/>
                <w:b w:val="0"/>
                <w:bCs w:val="0"/>
                <w:color w:val="auto"/>
                <w:sz w:val="20"/>
                <w:szCs w:val="20"/>
                <w:highlight w:val="none"/>
              </w:rPr>
              <w:t>1</w:t>
            </w:r>
          </w:p>
        </w:tc>
        <w:tc>
          <w:tcPr>
            <w:tcW w:w="568" w:type="dxa"/>
            <w:vMerge w:val="restart"/>
            <w:vAlign w:val="center"/>
          </w:tcPr>
          <w:p w14:paraId="33A039A7">
            <w:pPr>
              <w:widowControl/>
              <w:snapToGrid w:val="0"/>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技术评审</w:t>
            </w:r>
          </w:p>
        </w:tc>
        <w:tc>
          <w:tcPr>
            <w:tcW w:w="680" w:type="dxa"/>
            <w:vMerge w:val="restart"/>
            <w:vAlign w:val="center"/>
          </w:tcPr>
          <w:p w14:paraId="6183C631">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质量控制</w:t>
            </w:r>
          </w:p>
        </w:tc>
        <w:tc>
          <w:tcPr>
            <w:tcW w:w="5528" w:type="dxa"/>
            <w:vAlign w:val="center"/>
          </w:tcPr>
          <w:p w14:paraId="43BDAFD5">
            <w:pPr>
              <w:widowControl/>
              <w:snapToGrid w:val="0"/>
              <w:spacing w:line="300" w:lineRule="exact"/>
              <w:jc w:val="left"/>
              <w:rPr>
                <w:rFonts w:ascii="宋体" w:hAnsi="宋体" w:cs="宋体"/>
                <w:b w:val="0"/>
                <w:bCs w:val="0"/>
                <w:color w:val="auto"/>
                <w:sz w:val="20"/>
                <w:szCs w:val="20"/>
                <w:highlight w:val="none"/>
              </w:rPr>
            </w:pPr>
            <w:r>
              <w:rPr>
                <w:b w:val="0"/>
                <w:bCs w:val="0"/>
                <w:color w:val="auto"/>
                <w:sz w:val="20"/>
                <w:szCs w:val="20"/>
                <w:highlight w:val="none"/>
              </w:rPr>
              <w:t>1</w:t>
            </w:r>
            <w:r>
              <w:rPr>
                <w:rFonts w:hint="eastAsia" w:ascii="宋体" w:hAnsi="宋体" w:cs="宋体"/>
                <w:b w:val="0"/>
                <w:bCs w:val="0"/>
                <w:color w:val="auto"/>
                <w:sz w:val="20"/>
                <w:szCs w:val="20"/>
                <w:highlight w:val="none"/>
              </w:rPr>
              <w:t>.</w:t>
            </w:r>
            <w:r>
              <w:rPr>
                <w:rFonts w:hint="eastAsia"/>
                <w:b w:val="0"/>
                <w:bCs w:val="0"/>
                <w:color w:val="auto"/>
                <w:sz w:val="20"/>
                <w:szCs w:val="20"/>
                <w:highlight w:val="none"/>
              </w:rPr>
              <w:t>投标</w:t>
            </w:r>
            <w:r>
              <w:rPr>
                <w:rFonts w:hint="eastAsia" w:ascii="宋体" w:hAnsi="宋体" w:cs="宋体"/>
                <w:b w:val="0"/>
                <w:bCs w:val="0"/>
                <w:color w:val="auto"/>
                <w:sz w:val="20"/>
                <w:szCs w:val="20"/>
                <w:highlight w:val="none"/>
              </w:rPr>
              <w:t>供</w:t>
            </w:r>
            <w:bookmarkStart w:id="1183" w:name="OLE_LINK6"/>
            <w:r>
              <w:rPr>
                <w:rFonts w:hint="eastAsia" w:ascii="宋体" w:hAnsi="宋体" w:cs="宋体"/>
                <w:b w:val="0"/>
                <w:bCs w:val="0"/>
                <w:color w:val="auto"/>
                <w:sz w:val="20"/>
                <w:szCs w:val="20"/>
                <w:highlight w:val="none"/>
              </w:rPr>
              <w:t>应商具有</w:t>
            </w:r>
            <w:bookmarkEnd w:id="1183"/>
            <w:r>
              <w:rPr>
                <w:rFonts w:hint="eastAsia" w:ascii="宋体" w:hAnsi="宋体" w:cs="宋体"/>
                <w:b w:val="0"/>
                <w:bCs w:val="0"/>
                <w:color w:val="auto"/>
                <w:sz w:val="20"/>
                <w:szCs w:val="20"/>
                <w:highlight w:val="none"/>
              </w:rPr>
              <w:t>有效的质量管理体系（ISO9001或GB/T19001）</w:t>
            </w:r>
            <w:r>
              <w:rPr>
                <w:rFonts w:ascii="宋体" w:hAnsi="宋体" w:cs="宋体"/>
                <w:b w:val="0"/>
                <w:bCs w:val="0"/>
                <w:color w:val="auto"/>
                <w:sz w:val="20"/>
                <w:szCs w:val="20"/>
                <w:highlight w:val="none"/>
              </w:rPr>
              <w:t>得标准分，</w:t>
            </w:r>
            <w:r>
              <w:rPr>
                <w:rFonts w:hint="eastAsia" w:ascii="宋体" w:hAnsi="宋体" w:cs="宋体"/>
                <w:b w:val="0"/>
                <w:bCs w:val="0"/>
                <w:color w:val="auto"/>
                <w:sz w:val="20"/>
                <w:szCs w:val="20"/>
                <w:highlight w:val="none"/>
              </w:rPr>
              <w:t>没有不得分。应当年审而未年审的，该认证不得分。</w:t>
            </w:r>
          </w:p>
        </w:tc>
        <w:tc>
          <w:tcPr>
            <w:tcW w:w="804" w:type="dxa"/>
            <w:vAlign w:val="center"/>
          </w:tcPr>
          <w:p w14:paraId="45244910">
            <w:pPr>
              <w:widowControl/>
              <w:snapToGrid w:val="0"/>
              <w:jc w:val="center"/>
              <w:rPr>
                <w:rFonts w:ascii="宋体" w:hAnsi="宋体" w:cs="宋体"/>
                <w:b w:val="0"/>
                <w:bCs w:val="0"/>
                <w:color w:val="auto"/>
                <w:sz w:val="20"/>
                <w:szCs w:val="20"/>
                <w:highlight w:val="none"/>
              </w:rPr>
            </w:pPr>
            <w:r>
              <w:rPr>
                <w:rFonts w:ascii="宋体" w:hAnsi="宋体" w:cs="宋体"/>
                <w:b w:val="0"/>
                <w:bCs w:val="0"/>
                <w:color w:val="auto"/>
                <w:sz w:val="20"/>
                <w:szCs w:val="20"/>
                <w:highlight w:val="none"/>
              </w:rPr>
              <w:t>1</w:t>
            </w:r>
            <w:r>
              <w:rPr>
                <w:rFonts w:hint="eastAsia" w:ascii="宋体" w:hAnsi="宋体" w:cs="宋体"/>
                <w:b w:val="0"/>
                <w:bCs w:val="0"/>
                <w:color w:val="auto"/>
                <w:sz w:val="20"/>
                <w:szCs w:val="20"/>
                <w:highlight w:val="none"/>
              </w:rPr>
              <w:t>分</w:t>
            </w:r>
          </w:p>
        </w:tc>
        <w:tc>
          <w:tcPr>
            <w:tcW w:w="2137" w:type="dxa"/>
            <w:vMerge w:val="restart"/>
            <w:vAlign w:val="center"/>
          </w:tcPr>
          <w:p w14:paraId="56EBDEAA">
            <w:pPr>
              <w:widowControl/>
              <w:snapToGrid w:val="0"/>
              <w:jc w:val="center"/>
              <w:rPr>
                <w:rFonts w:hint="eastAsia" w:ascii="宋体" w:hAnsi="宋体" w:eastAsia="宋体" w:cs="宋体"/>
                <w:b w:val="0"/>
                <w:bCs w:val="0"/>
                <w:color w:val="auto"/>
                <w:sz w:val="20"/>
                <w:szCs w:val="20"/>
                <w:highlight w:val="none"/>
                <w:lang w:eastAsia="zh-CN"/>
              </w:rPr>
            </w:pPr>
            <w:r>
              <w:rPr>
                <w:rFonts w:hint="eastAsia" w:ascii="宋体" w:hAnsi="宋体" w:cs="宋体"/>
                <w:b w:val="0"/>
                <w:bCs w:val="0"/>
                <w:color w:val="auto"/>
                <w:sz w:val="20"/>
                <w:szCs w:val="20"/>
                <w:highlight w:val="none"/>
              </w:rPr>
              <w:t>须提供相关证明</w:t>
            </w:r>
            <w:r>
              <w:rPr>
                <w:rFonts w:hint="eastAsia" w:ascii="宋体" w:hAnsi="宋体" w:cs="宋体"/>
                <w:b w:val="0"/>
                <w:bCs w:val="0"/>
                <w:color w:val="auto"/>
                <w:sz w:val="20"/>
                <w:szCs w:val="20"/>
                <w:highlight w:val="none"/>
                <w:lang w:eastAsia="zh-CN"/>
              </w:rPr>
              <w:t>。</w:t>
            </w:r>
          </w:p>
          <w:p w14:paraId="6A9CAE69">
            <w:pPr>
              <w:snapToGrid w:val="0"/>
              <w:jc w:val="center"/>
              <w:rPr>
                <w:rFonts w:ascii="宋体" w:hAnsi="宋体" w:cs="宋体"/>
                <w:b w:val="0"/>
                <w:bCs w:val="0"/>
                <w:color w:val="auto"/>
                <w:sz w:val="20"/>
                <w:szCs w:val="20"/>
                <w:highlight w:val="none"/>
              </w:rPr>
            </w:pPr>
          </w:p>
        </w:tc>
      </w:tr>
      <w:tr w14:paraId="10F1A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25" w:type="dxa"/>
            <w:vMerge w:val="continue"/>
            <w:vAlign w:val="center"/>
          </w:tcPr>
          <w:p w14:paraId="1FB6D32D">
            <w:pPr>
              <w:widowControl/>
              <w:snapToGrid w:val="0"/>
              <w:jc w:val="center"/>
              <w:rPr>
                <w:rFonts w:ascii="宋体" w:hAnsi="宋体" w:cs="宋体"/>
                <w:b w:val="0"/>
                <w:bCs w:val="0"/>
                <w:color w:val="auto"/>
                <w:sz w:val="20"/>
                <w:szCs w:val="20"/>
                <w:highlight w:val="none"/>
              </w:rPr>
            </w:pPr>
          </w:p>
        </w:tc>
        <w:tc>
          <w:tcPr>
            <w:tcW w:w="568" w:type="dxa"/>
            <w:vMerge w:val="continue"/>
            <w:vAlign w:val="center"/>
          </w:tcPr>
          <w:p w14:paraId="2F97EB16">
            <w:pPr>
              <w:widowControl/>
              <w:snapToGrid w:val="0"/>
              <w:jc w:val="center"/>
              <w:rPr>
                <w:rFonts w:ascii="宋体" w:hAnsi="宋体" w:cs="宋体"/>
                <w:b w:val="0"/>
                <w:bCs w:val="0"/>
                <w:color w:val="auto"/>
                <w:sz w:val="20"/>
                <w:szCs w:val="20"/>
                <w:highlight w:val="none"/>
              </w:rPr>
            </w:pPr>
          </w:p>
        </w:tc>
        <w:tc>
          <w:tcPr>
            <w:tcW w:w="680" w:type="dxa"/>
            <w:vMerge w:val="continue"/>
            <w:vAlign w:val="center"/>
          </w:tcPr>
          <w:p w14:paraId="27BF1165">
            <w:pPr>
              <w:widowControl/>
              <w:snapToGrid w:val="0"/>
              <w:jc w:val="center"/>
              <w:rPr>
                <w:rFonts w:ascii="宋体" w:hAnsi="宋体" w:cs="宋体"/>
                <w:b w:val="0"/>
                <w:bCs w:val="0"/>
                <w:color w:val="auto"/>
                <w:sz w:val="20"/>
                <w:szCs w:val="20"/>
                <w:highlight w:val="none"/>
              </w:rPr>
            </w:pPr>
          </w:p>
        </w:tc>
        <w:tc>
          <w:tcPr>
            <w:tcW w:w="5528" w:type="dxa"/>
            <w:vAlign w:val="center"/>
          </w:tcPr>
          <w:p w14:paraId="05E1CCF1">
            <w:pPr>
              <w:widowControl/>
              <w:snapToGrid w:val="0"/>
              <w:spacing w:line="300" w:lineRule="exact"/>
              <w:jc w:val="left"/>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2.投标供应商具有有效的食品安全管理体系（ISO22000或</w:t>
            </w:r>
            <w:r>
              <w:rPr>
                <w:rFonts w:ascii="宋体" w:hAnsi="宋体" w:cs="宋体"/>
                <w:b w:val="0"/>
                <w:bCs w:val="0"/>
                <w:color w:val="auto"/>
                <w:sz w:val="20"/>
                <w:szCs w:val="20"/>
                <w:highlight w:val="none"/>
              </w:rPr>
              <w:t>GB/T2200</w:t>
            </w:r>
            <w:bookmarkStart w:id="1184" w:name="OLE_LINK7"/>
            <w:r>
              <w:rPr>
                <w:rFonts w:ascii="宋体" w:hAnsi="宋体" w:cs="宋体"/>
                <w:b w:val="0"/>
                <w:bCs w:val="0"/>
                <w:color w:val="auto"/>
                <w:sz w:val="20"/>
                <w:szCs w:val="20"/>
                <w:highlight w:val="none"/>
              </w:rPr>
              <w:t>0</w:t>
            </w:r>
            <w:r>
              <w:rPr>
                <w:rFonts w:hint="eastAsia" w:ascii="宋体" w:hAnsi="宋体" w:cs="宋体"/>
                <w:b w:val="0"/>
                <w:bCs w:val="0"/>
                <w:color w:val="auto"/>
                <w:sz w:val="20"/>
                <w:szCs w:val="20"/>
                <w:highlight w:val="none"/>
              </w:rPr>
              <w:t>）认证证书</w:t>
            </w:r>
            <w:bookmarkEnd w:id="1184"/>
            <w:r>
              <w:rPr>
                <w:rFonts w:hint="eastAsia" w:ascii="宋体" w:hAnsi="宋体" w:cs="宋体"/>
                <w:b w:val="0"/>
                <w:bCs w:val="0"/>
                <w:color w:val="auto"/>
                <w:sz w:val="20"/>
                <w:szCs w:val="20"/>
                <w:highlight w:val="none"/>
              </w:rPr>
              <w:t>的得标准分，没有不得分。应当年审而未年审的，该认证不得分。</w:t>
            </w:r>
          </w:p>
        </w:tc>
        <w:tc>
          <w:tcPr>
            <w:tcW w:w="804" w:type="dxa"/>
            <w:vAlign w:val="center"/>
          </w:tcPr>
          <w:p w14:paraId="0B205944">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1分</w:t>
            </w:r>
          </w:p>
        </w:tc>
        <w:tc>
          <w:tcPr>
            <w:tcW w:w="2137" w:type="dxa"/>
            <w:vMerge w:val="continue"/>
            <w:vAlign w:val="center"/>
          </w:tcPr>
          <w:p w14:paraId="2CB4391D">
            <w:pPr>
              <w:snapToGrid w:val="0"/>
              <w:jc w:val="center"/>
              <w:rPr>
                <w:rFonts w:ascii="宋体" w:hAnsi="宋体" w:cs="宋体"/>
                <w:b w:val="0"/>
                <w:bCs w:val="0"/>
                <w:color w:val="auto"/>
                <w:sz w:val="20"/>
                <w:szCs w:val="20"/>
                <w:highlight w:val="none"/>
              </w:rPr>
            </w:pPr>
          </w:p>
        </w:tc>
      </w:tr>
      <w:tr w14:paraId="2442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25" w:type="dxa"/>
            <w:vMerge w:val="continue"/>
            <w:vAlign w:val="center"/>
          </w:tcPr>
          <w:p w14:paraId="6B632265">
            <w:pPr>
              <w:widowControl/>
              <w:snapToGrid w:val="0"/>
              <w:jc w:val="center"/>
              <w:rPr>
                <w:rFonts w:ascii="宋体" w:hAnsi="宋体" w:cs="宋体"/>
                <w:b w:val="0"/>
                <w:bCs w:val="0"/>
                <w:color w:val="auto"/>
                <w:sz w:val="20"/>
                <w:szCs w:val="20"/>
                <w:highlight w:val="none"/>
              </w:rPr>
            </w:pPr>
          </w:p>
        </w:tc>
        <w:tc>
          <w:tcPr>
            <w:tcW w:w="568" w:type="dxa"/>
            <w:vMerge w:val="continue"/>
            <w:vAlign w:val="center"/>
          </w:tcPr>
          <w:p w14:paraId="371AA44F">
            <w:pPr>
              <w:widowControl/>
              <w:snapToGrid w:val="0"/>
              <w:jc w:val="center"/>
              <w:rPr>
                <w:rFonts w:ascii="宋体" w:hAnsi="宋体" w:cs="宋体"/>
                <w:b w:val="0"/>
                <w:bCs w:val="0"/>
                <w:color w:val="auto"/>
                <w:sz w:val="20"/>
                <w:szCs w:val="20"/>
                <w:highlight w:val="none"/>
              </w:rPr>
            </w:pPr>
          </w:p>
        </w:tc>
        <w:tc>
          <w:tcPr>
            <w:tcW w:w="680" w:type="dxa"/>
            <w:vMerge w:val="continue"/>
            <w:vAlign w:val="center"/>
          </w:tcPr>
          <w:p w14:paraId="66F3248E">
            <w:pPr>
              <w:widowControl/>
              <w:snapToGrid w:val="0"/>
              <w:jc w:val="center"/>
              <w:rPr>
                <w:rFonts w:ascii="宋体" w:hAnsi="宋体" w:cs="宋体"/>
                <w:b w:val="0"/>
                <w:bCs w:val="0"/>
                <w:color w:val="auto"/>
                <w:sz w:val="20"/>
                <w:szCs w:val="20"/>
                <w:highlight w:val="none"/>
              </w:rPr>
            </w:pPr>
          </w:p>
        </w:tc>
        <w:tc>
          <w:tcPr>
            <w:tcW w:w="5528" w:type="dxa"/>
            <w:vAlign w:val="center"/>
          </w:tcPr>
          <w:p w14:paraId="62F73280">
            <w:pPr>
              <w:widowControl/>
              <w:snapToGrid w:val="0"/>
              <w:spacing w:line="300" w:lineRule="exact"/>
              <w:jc w:val="left"/>
              <w:rPr>
                <w:rFonts w:hint="eastAsia" w:ascii="宋体" w:hAnsi="宋体" w:cs="宋体"/>
                <w:b w:val="0"/>
                <w:bCs w:val="0"/>
                <w:color w:val="auto"/>
                <w:sz w:val="20"/>
                <w:szCs w:val="20"/>
                <w:highlight w:val="none"/>
              </w:rPr>
            </w:pPr>
            <w:r>
              <w:rPr>
                <w:rFonts w:ascii="宋体" w:hAnsi="宋体" w:cs="宋体"/>
                <w:b w:val="0"/>
                <w:bCs w:val="0"/>
                <w:color w:val="auto"/>
                <w:sz w:val="20"/>
                <w:szCs w:val="20"/>
                <w:highlight w:val="none"/>
              </w:rPr>
              <w:t>3</w:t>
            </w:r>
            <w:r>
              <w:rPr>
                <w:rFonts w:hint="eastAsia" w:ascii="宋体" w:hAnsi="宋体" w:cs="宋体"/>
                <w:b w:val="0"/>
                <w:bCs w:val="0"/>
                <w:color w:val="auto"/>
                <w:sz w:val="20"/>
                <w:szCs w:val="20"/>
                <w:highlight w:val="none"/>
              </w:rPr>
              <w:t>.投标供</w:t>
            </w:r>
            <w:bookmarkStart w:id="1185" w:name="OLE_LINK8"/>
            <w:r>
              <w:rPr>
                <w:rFonts w:hint="eastAsia" w:ascii="宋体" w:hAnsi="宋体" w:cs="宋体"/>
                <w:b w:val="0"/>
                <w:bCs w:val="0"/>
                <w:color w:val="auto"/>
                <w:sz w:val="20"/>
                <w:szCs w:val="20"/>
                <w:highlight w:val="none"/>
              </w:rPr>
              <w:t>应商具有有效的职业健康与安全管理体系认证证书的得标准分，没有不得分。</w:t>
            </w:r>
            <w:bookmarkEnd w:id="1185"/>
            <w:r>
              <w:rPr>
                <w:rFonts w:hint="eastAsia" w:ascii="宋体" w:hAnsi="宋体" w:cs="宋体"/>
                <w:b w:val="0"/>
                <w:bCs w:val="0"/>
                <w:color w:val="auto"/>
                <w:sz w:val="20"/>
                <w:szCs w:val="20"/>
                <w:highlight w:val="none"/>
              </w:rPr>
              <w:t>应当年审而未年审的，该认证不得分。</w:t>
            </w:r>
          </w:p>
        </w:tc>
        <w:tc>
          <w:tcPr>
            <w:tcW w:w="804" w:type="dxa"/>
            <w:vAlign w:val="center"/>
          </w:tcPr>
          <w:p w14:paraId="31FAE748">
            <w:pPr>
              <w:widowControl/>
              <w:snapToGrid w:val="0"/>
              <w:jc w:val="center"/>
              <w:rPr>
                <w:rFonts w:hint="eastAsia" w:ascii="宋体" w:hAnsi="宋体" w:cs="宋体"/>
                <w:b w:val="0"/>
                <w:bCs w:val="0"/>
                <w:color w:val="auto"/>
                <w:sz w:val="20"/>
                <w:szCs w:val="20"/>
                <w:highlight w:val="none"/>
              </w:rPr>
            </w:pPr>
            <w:r>
              <w:rPr>
                <w:rFonts w:ascii="宋体" w:hAnsi="宋体" w:cs="宋体"/>
                <w:b w:val="0"/>
                <w:bCs w:val="0"/>
                <w:color w:val="auto"/>
                <w:sz w:val="20"/>
                <w:szCs w:val="20"/>
                <w:highlight w:val="none"/>
              </w:rPr>
              <w:t>1</w:t>
            </w:r>
            <w:r>
              <w:rPr>
                <w:rFonts w:hint="eastAsia" w:ascii="宋体" w:hAnsi="宋体" w:cs="宋体"/>
                <w:b w:val="0"/>
                <w:bCs w:val="0"/>
                <w:color w:val="auto"/>
                <w:sz w:val="20"/>
                <w:szCs w:val="20"/>
                <w:highlight w:val="none"/>
              </w:rPr>
              <w:t>分</w:t>
            </w:r>
          </w:p>
        </w:tc>
        <w:tc>
          <w:tcPr>
            <w:tcW w:w="2137" w:type="dxa"/>
            <w:vMerge w:val="continue"/>
            <w:vAlign w:val="center"/>
          </w:tcPr>
          <w:p w14:paraId="2787CE2D">
            <w:pPr>
              <w:snapToGrid w:val="0"/>
              <w:jc w:val="center"/>
              <w:rPr>
                <w:rFonts w:hint="eastAsia" w:ascii="宋体" w:hAnsi="宋体" w:cs="宋体"/>
                <w:b w:val="0"/>
                <w:bCs w:val="0"/>
                <w:color w:val="auto"/>
                <w:sz w:val="20"/>
                <w:szCs w:val="20"/>
                <w:highlight w:val="none"/>
              </w:rPr>
            </w:pPr>
          </w:p>
        </w:tc>
      </w:tr>
      <w:tr w14:paraId="34566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25" w:type="dxa"/>
            <w:vMerge w:val="continue"/>
            <w:vAlign w:val="center"/>
          </w:tcPr>
          <w:p w14:paraId="2F1BEDFD">
            <w:pPr>
              <w:widowControl/>
              <w:snapToGrid w:val="0"/>
              <w:jc w:val="center"/>
              <w:rPr>
                <w:rFonts w:ascii="宋体" w:hAnsi="宋体" w:cs="宋体"/>
                <w:b w:val="0"/>
                <w:bCs w:val="0"/>
                <w:color w:val="auto"/>
                <w:sz w:val="20"/>
                <w:szCs w:val="20"/>
                <w:highlight w:val="none"/>
              </w:rPr>
            </w:pPr>
          </w:p>
        </w:tc>
        <w:tc>
          <w:tcPr>
            <w:tcW w:w="568" w:type="dxa"/>
            <w:vMerge w:val="continue"/>
            <w:vAlign w:val="center"/>
          </w:tcPr>
          <w:p w14:paraId="29102AA7">
            <w:pPr>
              <w:widowControl/>
              <w:snapToGrid w:val="0"/>
              <w:jc w:val="center"/>
              <w:rPr>
                <w:rFonts w:ascii="宋体" w:hAnsi="宋体" w:cs="宋体"/>
                <w:b w:val="0"/>
                <w:bCs w:val="0"/>
                <w:color w:val="auto"/>
                <w:sz w:val="20"/>
                <w:szCs w:val="20"/>
                <w:highlight w:val="none"/>
              </w:rPr>
            </w:pPr>
          </w:p>
        </w:tc>
        <w:tc>
          <w:tcPr>
            <w:tcW w:w="680" w:type="dxa"/>
            <w:vMerge w:val="continue"/>
            <w:vAlign w:val="center"/>
          </w:tcPr>
          <w:p w14:paraId="513861EA">
            <w:pPr>
              <w:widowControl/>
              <w:snapToGrid w:val="0"/>
              <w:jc w:val="center"/>
              <w:rPr>
                <w:rFonts w:ascii="宋体" w:hAnsi="宋体" w:cs="宋体"/>
                <w:b w:val="0"/>
                <w:bCs w:val="0"/>
                <w:color w:val="auto"/>
                <w:sz w:val="20"/>
                <w:szCs w:val="20"/>
                <w:highlight w:val="none"/>
              </w:rPr>
            </w:pPr>
          </w:p>
        </w:tc>
        <w:tc>
          <w:tcPr>
            <w:tcW w:w="5528" w:type="dxa"/>
            <w:vAlign w:val="center"/>
          </w:tcPr>
          <w:p w14:paraId="20211840">
            <w:pPr>
              <w:widowControl/>
              <w:snapToGrid w:val="0"/>
              <w:spacing w:line="30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4.投标供应商具有有</w:t>
            </w:r>
            <w:bookmarkStart w:id="1186" w:name="OLE_LINK9"/>
            <w:r>
              <w:rPr>
                <w:rFonts w:hint="eastAsia" w:ascii="宋体" w:hAnsi="宋体" w:cs="宋体"/>
                <w:b w:val="0"/>
                <w:bCs w:val="0"/>
                <w:color w:val="auto"/>
                <w:sz w:val="20"/>
                <w:szCs w:val="20"/>
                <w:highlight w:val="none"/>
              </w:rPr>
              <w:t>效的HACCP认证证书</w:t>
            </w:r>
            <w:r>
              <w:rPr>
                <w:rFonts w:ascii="宋体" w:hAnsi="宋体" w:cs="宋体"/>
                <w:b w:val="0"/>
                <w:bCs w:val="0"/>
                <w:color w:val="auto"/>
                <w:sz w:val="20"/>
                <w:szCs w:val="20"/>
                <w:highlight w:val="none"/>
              </w:rPr>
              <w:t>的得标准分</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没有的不得分。</w:t>
            </w:r>
            <w:r>
              <w:rPr>
                <w:rFonts w:hint="eastAsia" w:ascii="宋体" w:hAnsi="宋体" w:cs="宋体"/>
                <w:b w:val="0"/>
                <w:bCs w:val="0"/>
                <w:color w:val="auto"/>
                <w:sz w:val="20"/>
                <w:szCs w:val="20"/>
                <w:highlight w:val="none"/>
              </w:rPr>
              <w:t>应当年审而未年审的，该</w:t>
            </w:r>
            <w:bookmarkEnd w:id="1186"/>
            <w:r>
              <w:rPr>
                <w:rFonts w:hint="eastAsia" w:ascii="宋体" w:hAnsi="宋体" w:cs="宋体"/>
                <w:b w:val="0"/>
                <w:bCs w:val="0"/>
                <w:color w:val="auto"/>
                <w:sz w:val="20"/>
                <w:szCs w:val="20"/>
                <w:highlight w:val="none"/>
              </w:rPr>
              <w:t>认证不得分。</w:t>
            </w:r>
          </w:p>
        </w:tc>
        <w:tc>
          <w:tcPr>
            <w:tcW w:w="804" w:type="dxa"/>
            <w:vAlign w:val="center"/>
          </w:tcPr>
          <w:p w14:paraId="0BE91A23">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1分</w:t>
            </w:r>
          </w:p>
        </w:tc>
        <w:tc>
          <w:tcPr>
            <w:tcW w:w="2137" w:type="dxa"/>
            <w:vMerge w:val="continue"/>
            <w:vAlign w:val="center"/>
          </w:tcPr>
          <w:p w14:paraId="636387BE">
            <w:pPr>
              <w:widowControl/>
              <w:snapToGrid w:val="0"/>
              <w:jc w:val="center"/>
              <w:rPr>
                <w:rFonts w:hint="eastAsia" w:ascii="宋体" w:hAnsi="宋体" w:cs="宋体"/>
                <w:b w:val="0"/>
                <w:bCs w:val="0"/>
                <w:color w:val="auto"/>
                <w:sz w:val="20"/>
                <w:szCs w:val="20"/>
                <w:highlight w:val="none"/>
              </w:rPr>
            </w:pPr>
          </w:p>
        </w:tc>
      </w:tr>
      <w:tr w14:paraId="616F2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25" w:type="dxa"/>
            <w:vMerge w:val="continue"/>
            <w:vAlign w:val="center"/>
          </w:tcPr>
          <w:p w14:paraId="2E9E26BD">
            <w:pPr>
              <w:widowControl/>
              <w:snapToGrid w:val="0"/>
              <w:jc w:val="center"/>
              <w:rPr>
                <w:rFonts w:ascii="宋体" w:hAnsi="宋体" w:cs="宋体"/>
                <w:b w:val="0"/>
                <w:bCs w:val="0"/>
                <w:color w:val="auto"/>
                <w:sz w:val="20"/>
                <w:szCs w:val="20"/>
                <w:highlight w:val="none"/>
              </w:rPr>
            </w:pPr>
          </w:p>
        </w:tc>
        <w:tc>
          <w:tcPr>
            <w:tcW w:w="568" w:type="dxa"/>
            <w:vMerge w:val="continue"/>
            <w:vAlign w:val="center"/>
          </w:tcPr>
          <w:p w14:paraId="25F36074">
            <w:pPr>
              <w:widowControl/>
              <w:snapToGrid w:val="0"/>
              <w:jc w:val="center"/>
              <w:rPr>
                <w:rFonts w:ascii="宋体" w:hAnsi="宋体" w:cs="宋体"/>
                <w:b w:val="0"/>
                <w:bCs w:val="0"/>
                <w:color w:val="auto"/>
                <w:sz w:val="20"/>
                <w:szCs w:val="20"/>
                <w:highlight w:val="none"/>
              </w:rPr>
            </w:pPr>
          </w:p>
        </w:tc>
        <w:tc>
          <w:tcPr>
            <w:tcW w:w="680" w:type="dxa"/>
            <w:vMerge w:val="continue"/>
            <w:vAlign w:val="center"/>
          </w:tcPr>
          <w:p w14:paraId="5634F7F8">
            <w:pPr>
              <w:widowControl/>
              <w:snapToGrid w:val="0"/>
              <w:jc w:val="center"/>
              <w:rPr>
                <w:rFonts w:ascii="宋体" w:hAnsi="宋体" w:cs="宋体"/>
                <w:b w:val="0"/>
                <w:bCs w:val="0"/>
                <w:color w:val="auto"/>
                <w:sz w:val="20"/>
                <w:szCs w:val="20"/>
                <w:highlight w:val="none"/>
              </w:rPr>
            </w:pPr>
          </w:p>
        </w:tc>
        <w:tc>
          <w:tcPr>
            <w:tcW w:w="5528" w:type="dxa"/>
            <w:vAlign w:val="center"/>
          </w:tcPr>
          <w:p w14:paraId="6F0C448C">
            <w:pPr>
              <w:widowControl/>
              <w:snapToGrid w:val="0"/>
              <w:spacing w:line="30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5</w:t>
            </w:r>
            <w:r>
              <w:rPr>
                <w:rFonts w:ascii="宋体" w:hAnsi="宋体" w:cs="宋体"/>
                <w:b w:val="0"/>
                <w:bCs w:val="0"/>
                <w:color w:val="auto"/>
                <w:sz w:val="20"/>
                <w:szCs w:val="20"/>
                <w:highlight w:val="none"/>
              </w:rPr>
              <w:t>.</w:t>
            </w:r>
            <w:r>
              <w:rPr>
                <w:rFonts w:hint="eastAsia"/>
                <w:b w:val="0"/>
                <w:bCs w:val="0"/>
                <w:color w:val="auto"/>
                <w:sz w:val="20"/>
                <w:szCs w:val="20"/>
                <w:highlight w:val="none"/>
              </w:rPr>
              <w:t>投标</w:t>
            </w:r>
            <w:r>
              <w:rPr>
                <w:rFonts w:hint="eastAsia" w:ascii="宋体" w:hAnsi="宋体" w:cs="宋体"/>
                <w:b w:val="0"/>
                <w:bCs w:val="0"/>
                <w:color w:val="auto"/>
                <w:sz w:val="20"/>
                <w:szCs w:val="20"/>
                <w:highlight w:val="none"/>
              </w:rPr>
              <w:t>供应商具有有效的环境管理体系（ISO14001或GB/T24001）认证证书</w:t>
            </w:r>
            <w:r>
              <w:rPr>
                <w:rFonts w:hint="eastAsia" w:ascii="宋体" w:hAnsi="宋体" w:cs="宋体"/>
                <w:b w:val="0"/>
                <w:bCs w:val="0"/>
                <w:color w:val="auto"/>
                <w:sz w:val="20"/>
                <w:szCs w:val="20"/>
                <w:highlight w:val="none"/>
                <w:lang w:eastAsia="zh-CN"/>
              </w:rPr>
              <w:t>的</w:t>
            </w:r>
            <w:r>
              <w:rPr>
                <w:rFonts w:ascii="宋体" w:hAnsi="宋体" w:cs="宋体"/>
                <w:b w:val="0"/>
                <w:bCs w:val="0"/>
                <w:color w:val="auto"/>
                <w:sz w:val="20"/>
                <w:szCs w:val="20"/>
                <w:highlight w:val="none"/>
              </w:rPr>
              <w:t>标准分，</w:t>
            </w:r>
            <w:r>
              <w:rPr>
                <w:rFonts w:hint="eastAsia" w:ascii="宋体" w:hAnsi="宋体" w:cs="宋体"/>
                <w:b w:val="0"/>
                <w:bCs w:val="0"/>
                <w:color w:val="auto"/>
                <w:sz w:val="20"/>
                <w:szCs w:val="20"/>
                <w:highlight w:val="none"/>
              </w:rPr>
              <w:t>没有不得分。应当年审而未年审的，该认证不得分。</w:t>
            </w:r>
          </w:p>
        </w:tc>
        <w:tc>
          <w:tcPr>
            <w:tcW w:w="804" w:type="dxa"/>
            <w:vAlign w:val="center"/>
          </w:tcPr>
          <w:p w14:paraId="45F70999">
            <w:pPr>
              <w:widowControl/>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1分</w:t>
            </w:r>
          </w:p>
        </w:tc>
        <w:tc>
          <w:tcPr>
            <w:tcW w:w="2137" w:type="dxa"/>
            <w:vMerge w:val="continue"/>
            <w:vAlign w:val="center"/>
          </w:tcPr>
          <w:p w14:paraId="3DFF867A">
            <w:pPr>
              <w:widowControl/>
              <w:snapToGrid w:val="0"/>
              <w:jc w:val="center"/>
              <w:rPr>
                <w:rFonts w:hint="eastAsia" w:ascii="宋体" w:hAnsi="宋体" w:cs="宋体"/>
                <w:b w:val="0"/>
                <w:bCs w:val="0"/>
                <w:color w:val="auto"/>
                <w:sz w:val="20"/>
                <w:szCs w:val="20"/>
                <w:highlight w:val="none"/>
              </w:rPr>
            </w:pPr>
          </w:p>
        </w:tc>
      </w:tr>
      <w:tr w14:paraId="5C85E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7" w:hRule="atLeast"/>
        </w:trPr>
        <w:tc>
          <w:tcPr>
            <w:tcW w:w="425" w:type="dxa"/>
            <w:vMerge w:val="continue"/>
            <w:vAlign w:val="center"/>
          </w:tcPr>
          <w:p w14:paraId="4903BB72">
            <w:pPr>
              <w:widowControl/>
              <w:snapToGrid w:val="0"/>
              <w:jc w:val="center"/>
              <w:rPr>
                <w:rFonts w:ascii="宋体" w:hAnsi="宋体" w:cs="宋体"/>
                <w:b w:val="0"/>
                <w:bCs w:val="0"/>
                <w:color w:val="auto"/>
                <w:sz w:val="20"/>
                <w:szCs w:val="20"/>
                <w:highlight w:val="none"/>
              </w:rPr>
            </w:pPr>
          </w:p>
        </w:tc>
        <w:tc>
          <w:tcPr>
            <w:tcW w:w="568" w:type="dxa"/>
            <w:vMerge w:val="continue"/>
            <w:vAlign w:val="center"/>
          </w:tcPr>
          <w:p w14:paraId="3A275368">
            <w:pPr>
              <w:widowControl/>
              <w:snapToGrid w:val="0"/>
              <w:jc w:val="center"/>
              <w:rPr>
                <w:rFonts w:ascii="宋体" w:hAnsi="宋体" w:cs="宋体"/>
                <w:b w:val="0"/>
                <w:bCs w:val="0"/>
                <w:color w:val="auto"/>
                <w:sz w:val="20"/>
                <w:szCs w:val="20"/>
                <w:highlight w:val="none"/>
              </w:rPr>
            </w:pPr>
          </w:p>
        </w:tc>
        <w:tc>
          <w:tcPr>
            <w:tcW w:w="680" w:type="dxa"/>
            <w:vMerge w:val="continue"/>
            <w:vAlign w:val="center"/>
          </w:tcPr>
          <w:p w14:paraId="6B25828D">
            <w:pPr>
              <w:widowControl/>
              <w:snapToGrid w:val="0"/>
              <w:jc w:val="center"/>
              <w:rPr>
                <w:rFonts w:ascii="宋体" w:hAnsi="宋体" w:cs="宋体"/>
                <w:b w:val="0"/>
                <w:bCs w:val="0"/>
                <w:color w:val="auto"/>
                <w:sz w:val="20"/>
                <w:szCs w:val="20"/>
                <w:highlight w:val="none"/>
              </w:rPr>
            </w:pPr>
          </w:p>
        </w:tc>
        <w:tc>
          <w:tcPr>
            <w:tcW w:w="5528" w:type="dxa"/>
            <w:vAlign w:val="center"/>
          </w:tcPr>
          <w:p w14:paraId="29C71644">
            <w:pPr>
              <w:widowControl/>
              <w:snapToGrid w:val="0"/>
              <w:spacing w:line="300" w:lineRule="exact"/>
              <w:jc w:val="left"/>
              <w:rPr>
                <w:rFonts w:ascii="宋体" w:hAnsi="宋体" w:cs="宋体"/>
                <w:b w:val="0"/>
                <w:bCs w:val="0"/>
                <w:color w:val="auto"/>
                <w:sz w:val="20"/>
                <w:szCs w:val="20"/>
                <w:highlight w:val="none"/>
              </w:rPr>
            </w:pPr>
            <w:r>
              <w:rPr>
                <w:rFonts w:ascii="宋体" w:hAnsi="宋体" w:cs="宋体"/>
                <w:b w:val="0"/>
                <w:bCs w:val="0"/>
                <w:color w:val="auto"/>
                <w:sz w:val="20"/>
                <w:szCs w:val="20"/>
                <w:highlight w:val="none"/>
              </w:rPr>
              <w:t>6</w:t>
            </w:r>
            <w:r>
              <w:rPr>
                <w:rFonts w:hint="eastAsia" w:ascii="宋体" w:hAnsi="宋体" w:cs="宋体"/>
                <w:b w:val="0"/>
                <w:bCs w:val="0"/>
                <w:color w:val="auto"/>
                <w:sz w:val="20"/>
                <w:szCs w:val="20"/>
                <w:highlight w:val="none"/>
              </w:rPr>
              <w:t>.投标供应商</w:t>
            </w:r>
            <w:r>
              <w:rPr>
                <w:rFonts w:hint="eastAsia" w:ascii="宋体" w:hAnsi="宋体" w:cs="宋体"/>
                <w:b w:val="0"/>
                <w:bCs w:val="0"/>
                <w:color w:val="auto"/>
                <w:sz w:val="20"/>
                <w:szCs w:val="20"/>
                <w:highlight w:val="none"/>
                <w:lang w:eastAsia="zh-CN"/>
              </w:rPr>
              <w:t>进入“云智溯”系统平台</w:t>
            </w:r>
            <w:r>
              <w:rPr>
                <w:rFonts w:hint="eastAsia" w:ascii="宋体" w:hAnsi="宋体" w:cs="宋体"/>
                <w:b w:val="0"/>
                <w:bCs w:val="0"/>
                <w:color w:val="auto"/>
                <w:sz w:val="20"/>
                <w:szCs w:val="20"/>
                <w:highlight w:val="none"/>
              </w:rPr>
              <w:t>的得标准分，没有的不得分。</w:t>
            </w:r>
          </w:p>
        </w:tc>
        <w:tc>
          <w:tcPr>
            <w:tcW w:w="804" w:type="dxa"/>
            <w:vAlign w:val="center"/>
          </w:tcPr>
          <w:p w14:paraId="0E303EC2">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w:t>
            </w:r>
          </w:p>
        </w:tc>
        <w:tc>
          <w:tcPr>
            <w:tcW w:w="2137" w:type="dxa"/>
            <w:vAlign w:val="center"/>
          </w:tcPr>
          <w:p w14:paraId="1D7FA590">
            <w:pPr>
              <w:widowControl/>
              <w:snapToGrid w:val="0"/>
              <w:spacing w:line="240" w:lineRule="auto"/>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eastAsia="zh-CN"/>
              </w:rPr>
              <w:t>需提供有效的证明材料，如“云智溯”系统平台的截图。签订合同前的实地考察过程中需对此项进行核查，如发现与投标文件不相符，则取消中标资格，作无效投标处理，并依据有关规定进行处理。</w:t>
            </w:r>
          </w:p>
        </w:tc>
      </w:tr>
      <w:tr w14:paraId="112D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25" w:type="dxa"/>
            <w:vMerge w:val="continue"/>
            <w:vAlign w:val="center"/>
          </w:tcPr>
          <w:p w14:paraId="71EB2390">
            <w:pPr>
              <w:widowControl/>
              <w:snapToGrid w:val="0"/>
              <w:jc w:val="center"/>
              <w:rPr>
                <w:rFonts w:ascii="宋体" w:hAnsi="宋体" w:cs="宋体"/>
                <w:b w:val="0"/>
                <w:bCs w:val="0"/>
                <w:color w:val="auto"/>
                <w:sz w:val="20"/>
                <w:szCs w:val="20"/>
                <w:highlight w:val="none"/>
              </w:rPr>
            </w:pPr>
          </w:p>
        </w:tc>
        <w:tc>
          <w:tcPr>
            <w:tcW w:w="568" w:type="dxa"/>
            <w:vMerge w:val="continue"/>
            <w:vAlign w:val="center"/>
          </w:tcPr>
          <w:p w14:paraId="692F64D1">
            <w:pPr>
              <w:widowControl/>
              <w:snapToGrid w:val="0"/>
              <w:jc w:val="center"/>
              <w:rPr>
                <w:rFonts w:ascii="宋体" w:hAnsi="宋体" w:cs="宋体"/>
                <w:b w:val="0"/>
                <w:bCs w:val="0"/>
                <w:color w:val="auto"/>
                <w:sz w:val="20"/>
                <w:szCs w:val="20"/>
                <w:highlight w:val="none"/>
              </w:rPr>
            </w:pPr>
          </w:p>
        </w:tc>
        <w:tc>
          <w:tcPr>
            <w:tcW w:w="680" w:type="dxa"/>
            <w:vMerge w:val="continue"/>
            <w:vAlign w:val="center"/>
          </w:tcPr>
          <w:p w14:paraId="31EB043C">
            <w:pPr>
              <w:widowControl/>
              <w:snapToGrid w:val="0"/>
              <w:jc w:val="center"/>
              <w:rPr>
                <w:rFonts w:ascii="宋体" w:hAnsi="宋体" w:cs="宋体"/>
                <w:b w:val="0"/>
                <w:bCs w:val="0"/>
                <w:color w:val="auto"/>
                <w:sz w:val="20"/>
                <w:szCs w:val="20"/>
                <w:highlight w:val="none"/>
              </w:rPr>
            </w:pPr>
          </w:p>
        </w:tc>
        <w:tc>
          <w:tcPr>
            <w:tcW w:w="5528" w:type="dxa"/>
            <w:vAlign w:val="center"/>
          </w:tcPr>
          <w:p w14:paraId="49E2485B">
            <w:pPr>
              <w:widowControl/>
              <w:numPr>
                <w:ilvl w:val="0"/>
                <w:numId w:val="4"/>
              </w:numPr>
              <w:snapToGrid w:val="0"/>
              <w:spacing w:line="30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eastAsia="zh-CN"/>
              </w:rPr>
              <w:t>投标供应商农残安全检测设备场所，符合国家标准（GB/T5009.199-20</w:t>
            </w:r>
            <w:bookmarkStart w:id="1187" w:name="OLE_LINK10"/>
            <w:r>
              <w:rPr>
                <w:rFonts w:hint="eastAsia" w:ascii="宋体" w:hAnsi="宋体" w:cs="宋体"/>
                <w:b w:val="0"/>
                <w:bCs w:val="0"/>
                <w:color w:val="auto"/>
                <w:sz w:val="20"/>
                <w:szCs w:val="20"/>
                <w:highlight w:val="none"/>
                <w:lang w:eastAsia="zh-CN"/>
              </w:rPr>
              <w:t>03）。自有检测能力：开展氨基甲酸酯类、有机磷类农药残留快速检测；对包括不局限于甲氨基阿维菌素苯甲酸盐、阿维菌素、啶虫脒、吡虫啉、氯氟氰菊酯、毒死蜱、噻虫嗪等农药残留进行定性抽查检测；做到每批必检，同时出具检测报告和农产品质量承诺达标合格证。投标供应商自有农残安全检测设备</w:t>
            </w:r>
            <w:r>
              <w:rPr>
                <w:rFonts w:hint="eastAsia" w:ascii="宋体" w:hAnsi="宋体" w:cs="宋体"/>
                <w:b w:val="0"/>
                <w:bCs w:val="0"/>
                <w:color w:val="auto"/>
                <w:sz w:val="20"/>
                <w:szCs w:val="20"/>
                <w:highlight w:val="none"/>
                <w:lang w:val="en-US" w:eastAsia="zh-CN"/>
              </w:rPr>
              <w:t>1套</w:t>
            </w:r>
            <w:r>
              <w:rPr>
                <w:rFonts w:hint="eastAsia" w:ascii="宋体" w:hAnsi="宋体" w:cs="宋体"/>
                <w:b w:val="0"/>
                <w:bCs w:val="0"/>
                <w:color w:val="auto"/>
                <w:sz w:val="20"/>
                <w:szCs w:val="20"/>
                <w:highlight w:val="none"/>
                <w:lang w:eastAsia="zh-CN"/>
              </w:rPr>
              <w:t>的得</w:t>
            </w:r>
            <w:r>
              <w:rPr>
                <w:rFonts w:hint="eastAsia" w:ascii="宋体" w:hAnsi="宋体" w:cs="宋体"/>
                <w:b w:val="0"/>
                <w:bCs w:val="0"/>
                <w:color w:val="auto"/>
                <w:sz w:val="20"/>
                <w:szCs w:val="20"/>
                <w:highlight w:val="none"/>
                <w:lang w:val="en-US" w:eastAsia="zh-CN"/>
              </w:rPr>
              <w:t>2分；</w:t>
            </w:r>
            <w:r>
              <w:rPr>
                <w:rFonts w:hint="eastAsia" w:ascii="宋体" w:hAnsi="宋体" w:cs="宋体"/>
                <w:b w:val="0"/>
                <w:bCs w:val="0"/>
                <w:color w:val="auto"/>
                <w:sz w:val="20"/>
                <w:szCs w:val="20"/>
                <w:highlight w:val="none"/>
                <w:lang w:eastAsia="zh-CN"/>
              </w:rPr>
              <w:t>自有农残安全检测设备</w:t>
            </w:r>
            <w:r>
              <w:rPr>
                <w:rFonts w:hint="eastAsia" w:ascii="宋体" w:hAnsi="宋体" w:cs="宋体"/>
                <w:b w:val="0"/>
                <w:bCs w:val="0"/>
                <w:color w:val="auto"/>
                <w:sz w:val="20"/>
                <w:szCs w:val="20"/>
                <w:highlight w:val="none"/>
                <w:lang w:val="en-US" w:eastAsia="zh-CN"/>
              </w:rPr>
              <w:t>2套</w:t>
            </w:r>
            <w:r>
              <w:rPr>
                <w:rFonts w:hint="eastAsia" w:ascii="宋体" w:hAnsi="宋体" w:cs="宋体"/>
                <w:b w:val="0"/>
                <w:bCs w:val="0"/>
                <w:color w:val="auto"/>
                <w:sz w:val="20"/>
                <w:szCs w:val="20"/>
                <w:highlight w:val="none"/>
                <w:lang w:eastAsia="zh-CN"/>
              </w:rPr>
              <w:t>的得</w:t>
            </w:r>
            <w:r>
              <w:rPr>
                <w:rFonts w:hint="eastAsia" w:ascii="宋体" w:hAnsi="宋体" w:cs="宋体"/>
                <w:b w:val="0"/>
                <w:bCs w:val="0"/>
                <w:color w:val="auto"/>
                <w:sz w:val="20"/>
                <w:szCs w:val="20"/>
                <w:highlight w:val="none"/>
                <w:lang w:val="en-US" w:eastAsia="zh-CN"/>
              </w:rPr>
              <w:t>4分，</w:t>
            </w:r>
            <w:r>
              <w:rPr>
                <w:rFonts w:hint="eastAsia" w:ascii="宋体" w:hAnsi="宋体" w:cs="宋体"/>
                <w:b w:val="0"/>
                <w:bCs w:val="0"/>
                <w:color w:val="auto"/>
                <w:sz w:val="20"/>
                <w:szCs w:val="20"/>
                <w:highlight w:val="none"/>
                <w:lang w:eastAsia="zh-CN"/>
              </w:rPr>
              <w:t>自有农残安全检测设备</w:t>
            </w:r>
            <w:r>
              <w:rPr>
                <w:rFonts w:hint="eastAsia" w:ascii="宋体" w:hAnsi="宋体" w:cs="宋体"/>
                <w:b w:val="0"/>
                <w:bCs w:val="0"/>
                <w:color w:val="auto"/>
                <w:sz w:val="20"/>
                <w:szCs w:val="20"/>
                <w:highlight w:val="none"/>
                <w:lang w:val="en-US" w:eastAsia="zh-CN"/>
              </w:rPr>
              <w:t>3套</w:t>
            </w:r>
            <w:r>
              <w:rPr>
                <w:rFonts w:hint="eastAsia" w:ascii="宋体" w:hAnsi="宋体" w:cs="宋体"/>
                <w:b w:val="0"/>
                <w:bCs w:val="0"/>
                <w:color w:val="auto"/>
                <w:sz w:val="20"/>
                <w:szCs w:val="20"/>
                <w:highlight w:val="none"/>
                <w:lang w:eastAsia="zh-CN"/>
              </w:rPr>
              <w:t>的得标准分；与第三方检测机构有合作协议的得</w:t>
            </w: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lang w:eastAsia="zh-CN"/>
              </w:rPr>
              <w:t>分，没有的不得分。</w:t>
            </w:r>
            <w:bookmarkEnd w:id="1187"/>
          </w:p>
        </w:tc>
        <w:tc>
          <w:tcPr>
            <w:tcW w:w="804" w:type="dxa"/>
            <w:vAlign w:val="center"/>
          </w:tcPr>
          <w:p w14:paraId="069226BE">
            <w:pPr>
              <w:widowControl/>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6</w:t>
            </w:r>
            <w:r>
              <w:rPr>
                <w:rFonts w:hint="eastAsia" w:ascii="宋体" w:hAnsi="宋体" w:cs="宋体"/>
                <w:b w:val="0"/>
                <w:bCs w:val="0"/>
                <w:color w:val="auto"/>
                <w:sz w:val="20"/>
                <w:szCs w:val="20"/>
                <w:highlight w:val="none"/>
              </w:rPr>
              <w:t>分</w:t>
            </w:r>
          </w:p>
        </w:tc>
        <w:tc>
          <w:tcPr>
            <w:tcW w:w="2137" w:type="dxa"/>
            <w:vAlign w:val="center"/>
          </w:tcPr>
          <w:p w14:paraId="6D87D838">
            <w:pPr>
              <w:widowControl/>
              <w:snapToGrid w:val="0"/>
              <w:spacing w:line="240" w:lineRule="auto"/>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自有</w:t>
            </w:r>
            <w:r>
              <w:rPr>
                <w:rFonts w:ascii="宋体" w:hAnsi="宋体" w:cs="宋体"/>
                <w:b w:val="0"/>
                <w:bCs w:val="0"/>
                <w:color w:val="auto"/>
                <w:sz w:val="20"/>
                <w:szCs w:val="20"/>
                <w:highlight w:val="none"/>
              </w:rPr>
              <w:t>的需提供</w:t>
            </w:r>
            <w:r>
              <w:rPr>
                <w:rFonts w:hint="eastAsia" w:ascii="宋体" w:hAnsi="宋体" w:cs="宋体"/>
                <w:b w:val="0"/>
                <w:bCs w:val="0"/>
                <w:color w:val="auto"/>
                <w:sz w:val="20"/>
                <w:szCs w:val="20"/>
                <w:highlight w:val="none"/>
              </w:rPr>
              <w:t>农残检测</w:t>
            </w:r>
            <w:r>
              <w:rPr>
                <w:rFonts w:hint="eastAsia" w:ascii="宋体" w:hAnsi="宋体" w:cs="宋体"/>
                <w:b w:val="0"/>
                <w:bCs w:val="0"/>
                <w:color w:val="auto"/>
                <w:sz w:val="20"/>
                <w:szCs w:val="20"/>
                <w:highlight w:val="none"/>
                <w:lang w:val="en-US" w:eastAsia="zh-CN"/>
              </w:rPr>
              <w:t>设备</w:t>
            </w:r>
            <w:r>
              <w:rPr>
                <w:rFonts w:ascii="宋体" w:hAnsi="宋体" w:cs="宋体"/>
                <w:b w:val="0"/>
                <w:bCs w:val="0"/>
                <w:color w:val="auto"/>
                <w:sz w:val="20"/>
                <w:szCs w:val="20"/>
                <w:highlight w:val="none"/>
              </w:rPr>
              <w:t>购置发票</w:t>
            </w:r>
            <w:r>
              <w:rPr>
                <w:rFonts w:hint="eastAsia" w:ascii="宋体" w:hAnsi="宋体" w:cs="宋体"/>
                <w:b w:val="0"/>
                <w:bCs w:val="0"/>
                <w:color w:val="auto"/>
                <w:sz w:val="20"/>
                <w:szCs w:val="20"/>
                <w:highlight w:val="none"/>
                <w:lang w:eastAsia="zh-CN"/>
              </w:rPr>
              <w:t>复印件；</w:t>
            </w:r>
            <w:r>
              <w:rPr>
                <w:rFonts w:hint="eastAsia" w:ascii="宋体" w:hAnsi="宋体" w:cs="宋体"/>
                <w:b w:val="0"/>
                <w:bCs w:val="0"/>
                <w:color w:val="auto"/>
                <w:sz w:val="20"/>
                <w:szCs w:val="20"/>
                <w:highlight w:val="none"/>
              </w:rPr>
              <w:t>与第三方检测机构合作</w:t>
            </w:r>
            <w:r>
              <w:rPr>
                <w:rFonts w:ascii="宋体" w:hAnsi="宋体" w:cs="宋体"/>
                <w:b w:val="0"/>
                <w:bCs w:val="0"/>
                <w:color w:val="auto"/>
                <w:sz w:val="20"/>
                <w:szCs w:val="20"/>
                <w:highlight w:val="none"/>
              </w:rPr>
              <w:t>的提供合作</w:t>
            </w:r>
            <w:r>
              <w:rPr>
                <w:rFonts w:hint="eastAsia" w:ascii="宋体" w:hAnsi="宋体" w:cs="宋体"/>
                <w:b w:val="0"/>
                <w:bCs w:val="0"/>
                <w:color w:val="auto"/>
                <w:sz w:val="20"/>
                <w:szCs w:val="20"/>
                <w:highlight w:val="none"/>
              </w:rPr>
              <w:t>协议（合同）</w:t>
            </w:r>
            <w:r>
              <w:rPr>
                <w:rFonts w:ascii="宋体" w:hAnsi="宋体" w:cs="宋体"/>
                <w:b w:val="0"/>
                <w:bCs w:val="0"/>
                <w:color w:val="auto"/>
                <w:sz w:val="20"/>
                <w:szCs w:val="20"/>
                <w:highlight w:val="none"/>
              </w:rPr>
              <w:t>复印件。</w:t>
            </w:r>
            <w:r>
              <w:rPr>
                <w:rFonts w:hint="eastAsia" w:ascii="宋体" w:hAnsi="宋体" w:cs="宋体"/>
                <w:b w:val="0"/>
                <w:bCs w:val="0"/>
                <w:color w:val="auto"/>
                <w:sz w:val="20"/>
                <w:szCs w:val="20"/>
                <w:highlight w:val="none"/>
                <w:lang w:eastAsia="zh-CN"/>
              </w:rPr>
              <w:t>签订合同前的</w:t>
            </w:r>
            <w:r>
              <w:rPr>
                <w:rFonts w:hint="eastAsia" w:ascii="宋体" w:hAnsi="宋体" w:cs="宋体"/>
                <w:b w:val="0"/>
                <w:bCs w:val="0"/>
                <w:color w:val="auto"/>
                <w:sz w:val="20"/>
                <w:szCs w:val="20"/>
                <w:highlight w:val="none"/>
              </w:rPr>
              <w:t>实地考察过程中需对</w:t>
            </w:r>
            <w:r>
              <w:rPr>
                <w:rFonts w:hint="eastAsia" w:ascii="宋体" w:hAnsi="宋体" w:cs="宋体"/>
                <w:b w:val="0"/>
                <w:bCs w:val="0"/>
                <w:color w:val="auto"/>
                <w:sz w:val="20"/>
                <w:szCs w:val="20"/>
                <w:highlight w:val="none"/>
                <w:lang w:eastAsia="zh-CN"/>
              </w:rPr>
              <w:t>此事</w:t>
            </w:r>
            <w:r>
              <w:rPr>
                <w:rFonts w:hint="eastAsia" w:ascii="宋体" w:hAnsi="宋体" w:cs="宋体"/>
                <w:b w:val="0"/>
                <w:bCs w:val="0"/>
                <w:color w:val="auto"/>
                <w:sz w:val="20"/>
                <w:szCs w:val="20"/>
                <w:highlight w:val="none"/>
              </w:rPr>
              <w:t>项进行核查，如发现与投标文件中不相符，则取消中标资格，作无效投标处理，并依据有关规定进行</w:t>
            </w:r>
            <w:r>
              <w:rPr>
                <w:rFonts w:hint="eastAsia" w:ascii="宋体" w:hAnsi="宋体" w:cs="宋体"/>
                <w:b w:val="0"/>
                <w:bCs w:val="0"/>
                <w:color w:val="auto"/>
                <w:sz w:val="20"/>
                <w:szCs w:val="20"/>
                <w:highlight w:val="none"/>
                <w:lang w:eastAsia="zh-CN"/>
              </w:rPr>
              <w:t>处理。</w:t>
            </w:r>
          </w:p>
        </w:tc>
      </w:tr>
      <w:tr w14:paraId="1DE73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425" w:type="dxa"/>
            <w:vMerge w:val="continue"/>
            <w:vAlign w:val="center"/>
          </w:tcPr>
          <w:p w14:paraId="4CD09D33">
            <w:pPr>
              <w:widowControl/>
              <w:snapToGrid w:val="0"/>
              <w:jc w:val="center"/>
              <w:rPr>
                <w:rFonts w:ascii="宋体" w:hAnsi="宋体" w:cs="宋体"/>
                <w:b w:val="0"/>
                <w:bCs w:val="0"/>
                <w:color w:val="auto"/>
                <w:sz w:val="20"/>
                <w:szCs w:val="20"/>
                <w:highlight w:val="none"/>
              </w:rPr>
            </w:pPr>
          </w:p>
        </w:tc>
        <w:tc>
          <w:tcPr>
            <w:tcW w:w="568" w:type="dxa"/>
            <w:vMerge w:val="continue"/>
            <w:vAlign w:val="center"/>
          </w:tcPr>
          <w:p w14:paraId="75278B77">
            <w:pPr>
              <w:widowControl/>
              <w:snapToGrid w:val="0"/>
              <w:jc w:val="center"/>
              <w:rPr>
                <w:rFonts w:ascii="宋体" w:hAnsi="宋体" w:cs="宋体"/>
                <w:b w:val="0"/>
                <w:bCs w:val="0"/>
                <w:color w:val="auto"/>
                <w:sz w:val="20"/>
                <w:szCs w:val="20"/>
                <w:highlight w:val="none"/>
              </w:rPr>
            </w:pPr>
          </w:p>
        </w:tc>
        <w:tc>
          <w:tcPr>
            <w:tcW w:w="680" w:type="dxa"/>
            <w:vMerge w:val="continue"/>
            <w:vAlign w:val="center"/>
          </w:tcPr>
          <w:p w14:paraId="6194128E">
            <w:pPr>
              <w:widowControl/>
              <w:snapToGrid w:val="0"/>
              <w:jc w:val="center"/>
              <w:rPr>
                <w:rFonts w:ascii="宋体" w:hAnsi="宋体" w:cs="宋体"/>
                <w:b w:val="0"/>
                <w:bCs w:val="0"/>
                <w:color w:val="auto"/>
                <w:sz w:val="20"/>
                <w:szCs w:val="20"/>
                <w:highlight w:val="none"/>
              </w:rPr>
            </w:pPr>
          </w:p>
        </w:tc>
        <w:tc>
          <w:tcPr>
            <w:tcW w:w="5528" w:type="dxa"/>
            <w:vAlign w:val="center"/>
          </w:tcPr>
          <w:p w14:paraId="4881159B">
            <w:pPr>
              <w:widowControl/>
              <w:numPr>
                <w:ilvl w:val="0"/>
                <w:numId w:val="5"/>
              </w:numPr>
              <w:snapToGrid w:val="0"/>
              <w:spacing w:line="300" w:lineRule="exact"/>
              <w:jc w:val="left"/>
              <w:rPr>
                <w:rFonts w:hint="eastAsia" w:ascii="宋体" w:hAnsi="宋体" w:cs="宋体"/>
                <w:b w:val="0"/>
                <w:bCs w:val="0"/>
                <w:color w:val="auto"/>
                <w:sz w:val="20"/>
                <w:szCs w:val="20"/>
                <w:highlight w:val="none"/>
              </w:rPr>
            </w:pPr>
            <w:bookmarkStart w:id="1188" w:name="OLE_LINK11"/>
            <w:r>
              <w:rPr>
                <w:rFonts w:hint="eastAsia" w:ascii="宋体" w:hAnsi="宋体" w:cs="宋体"/>
                <w:b w:val="0"/>
                <w:bCs w:val="0"/>
                <w:color w:val="auto"/>
                <w:sz w:val="20"/>
                <w:szCs w:val="20"/>
                <w:highlight w:val="none"/>
              </w:rPr>
              <w:t>投标供应商</w:t>
            </w:r>
            <w:r>
              <w:rPr>
                <w:rFonts w:hint="eastAsia" w:ascii="宋体" w:hAnsi="宋体" w:cs="宋体"/>
                <w:b w:val="0"/>
                <w:bCs w:val="0"/>
                <w:color w:val="auto"/>
                <w:sz w:val="20"/>
                <w:szCs w:val="20"/>
                <w:highlight w:val="none"/>
                <w:lang w:eastAsia="zh-CN"/>
              </w:rPr>
              <w:t>食品安全</w:t>
            </w:r>
            <w:r>
              <w:rPr>
                <w:rFonts w:hint="eastAsia" w:ascii="宋体" w:hAnsi="宋体" w:cs="宋体"/>
                <w:b w:val="0"/>
                <w:bCs w:val="0"/>
                <w:color w:val="auto"/>
                <w:sz w:val="20"/>
                <w:szCs w:val="20"/>
                <w:highlight w:val="none"/>
              </w:rPr>
              <w:t>技术队伍：</w:t>
            </w:r>
            <w:r>
              <w:rPr>
                <w:rFonts w:hint="eastAsia" w:ascii="宋体" w:hAnsi="宋体" w:cs="宋体"/>
                <w:b w:val="0"/>
                <w:bCs w:val="0"/>
                <w:color w:val="auto"/>
                <w:sz w:val="20"/>
                <w:szCs w:val="20"/>
                <w:highlight w:val="none"/>
                <w:lang w:eastAsia="zh-CN"/>
              </w:rPr>
              <w:t>食品安全员具备</w:t>
            </w:r>
            <w:r>
              <w:rPr>
                <w:rFonts w:hint="eastAsia" w:ascii="宋体" w:hAnsi="宋体" w:cs="宋体"/>
                <w:b w:val="0"/>
                <w:bCs w:val="0"/>
                <w:color w:val="auto"/>
                <w:sz w:val="20"/>
                <w:szCs w:val="20"/>
                <w:highlight w:val="none"/>
              </w:rPr>
              <w:t>《食品安全员人员能力验证规则》 ( CCAI-R-P13: 2022 )</w:t>
            </w:r>
            <w:r>
              <w:rPr>
                <w:rFonts w:hint="eastAsia" w:ascii="宋体" w:hAnsi="宋体" w:cs="宋体"/>
                <w:b w:val="0"/>
                <w:bCs w:val="0"/>
                <w:color w:val="auto"/>
                <w:sz w:val="20"/>
                <w:szCs w:val="20"/>
                <w:highlight w:val="none"/>
                <w:lang w:eastAsia="zh-CN"/>
              </w:rPr>
              <w:t>验证</w:t>
            </w:r>
            <w:r>
              <w:rPr>
                <w:rFonts w:hint="eastAsia" w:ascii="宋体" w:hAnsi="宋体" w:cs="宋体"/>
                <w:b w:val="0"/>
                <w:bCs w:val="0"/>
                <w:color w:val="auto"/>
                <w:sz w:val="20"/>
                <w:szCs w:val="20"/>
                <w:highlight w:val="none"/>
              </w:rPr>
              <w:t>证书达到</w:t>
            </w:r>
            <w:r>
              <w:rPr>
                <w:rFonts w:hint="eastAsia" w:ascii="宋体" w:hAnsi="宋体" w:cs="宋体"/>
                <w:b w:val="0"/>
                <w:bCs w:val="0"/>
                <w:color w:val="auto"/>
                <w:sz w:val="20"/>
                <w:szCs w:val="20"/>
                <w:highlight w:val="none"/>
                <w:lang w:val="en-US" w:eastAsia="zh-CN"/>
              </w:rPr>
              <w:t>1</w:t>
            </w:r>
            <w:r>
              <w:rPr>
                <w:rFonts w:hint="eastAsia" w:ascii="宋体" w:hAnsi="宋体" w:cs="宋体"/>
                <w:b w:val="0"/>
                <w:bCs w:val="0"/>
                <w:color w:val="auto"/>
                <w:sz w:val="20"/>
                <w:szCs w:val="20"/>
                <w:highlight w:val="none"/>
              </w:rPr>
              <w:t>人</w:t>
            </w:r>
            <w:r>
              <w:rPr>
                <w:rFonts w:ascii="宋体" w:hAnsi="宋体" w:cs="宋体"/>
                <w:b w:val="0"/>
                <w:bCs w:val="0"/>
                <w:color w:val="auto"/>
                <w:sz w:val="20"/>
                <w:szCs w:val="20"/>
                <w:highlight w:val="none"/>
              </w:rPr>
              <w:t>的得</w:t>
            </w:r>
            <w:r>
              <w:rPr>
                <w:rFonts w:hint="eastAsia" w:ascii="宋体" w:hAnsi="宋体" w:cs="宋体"/>
                <w:b w:val="0"/>
                <w:bCs w:val="0"/>
                <w:color w:val="auto"/>
                <w:sz w:val="20"/>
                <w:szCs w:val="20"/>
                <w:highlight w:val="none"/>
                <w:lang w:val="en-US" w:eastAsia="zh-CN"/>
              </w:rPr>
              <w:t>5</w:t>
            </w:r>
            <w:r>
              <w:rPr>
                <w:rFonts w:ascii="宋体" w:hAnsi="宋体" w:cs="宋体"/>
                <w:b w:val="0"/>
                <w:bCs w:val="0"/>
                <w:color w:val="auto"/>
                <w:sz w:val="20"/>
                <w:szCs w:val="20"/>
                <w:highlight w:val="none"/>
              </w:rPr>
              <w:t>分</w:t>
            </w:r>
            <w:r>
              <w:rPr>
                <w:rFonts w:hint="eastAsia" w:ascii="宋体" w:hAnsi="宋体" w:cs="宋体"/>
                <w:b w:val="0"/>
                <w:bCs w:val="0"/>
                <w:color w:val="auto"/>
                <w:sz w:val="20"/>
                <w:szCs w:val="20"/>
                <w:highlight w:val="none"/>
                <w:lang w:eastAsia="zh-CN"/>
              </w:rPr>
              <w:t>，食品</w:t>
            </w:r>
            <w:bookmarkEnd w:id="1188"/>
            <w:r>
              <w:rPr>
                <w:rFonts w:hint="eastAsia" w:ascii="宋体" w:hAnsi="宋体" w:cs="宋体"/>
                <w:b w:val="0"/>
                <w:bCs w:val="0"/>
                <w:color w:val="auto"/>
                <w:sz w:val="20"/>
                <w:szCs w:val="20"/>
                <w:highlight w:val="none"/>
                <w:lang w:eastAsia="zh-CN"/>
              </w:rPr>
              <w:t>安全员具备其他验证</w:t>
            </w:r>
            <w:r>
              <w:rPr>
                <w:rFonts w:hint="eastAsia" w:ascii="宋体" w:hAnsi="宋体" w:cs="宋体"/>
                <w:b w:val="0"/>
                <w:bCs w:val="0"/>
                <w:color w:val="auto"/>
                <w:sz w:val="20"/>
                <w:szCs w:val="20"/>
                <w:highlight w:val="none"/>
              </w:rPr>
              <w:t>证书</w:t>
            </w:r>
            <w:r>
              <w:rPr>
                <w:rFonts w:hint="eastAsia" w:ascii="宋体" w:hAnsi="宋体" w:cs="宋体"/>
                <w:b w:val="0"/>
                <w:bCs w:val="0"/>
                <w:color w:val="auto"/>
                <w:sz w:val="20"/>
                <w:szCs w:val="20"/>
                <w:highlight w:val="none"/>
                <w:lang w:eastAsia="zh-CN"/>
              </w:rPr>
              <w:t>每</w:t>
            </w:r>
            <w:r>
              <w:rPr>
                <w:rFonts w:hint="eastAsia" w:ascii="宋体" w:hAnsi="宋体" w:cs="宋体"/>
                <w:b w:val="0"/>
                <w:bCs w:val="0"/>
                <w:color w:val="auto"/>
                <w:sz w:val="20"/>
                <w:szCs w:val="20"/>
                <w:highlight w:val="none"/>
                <w:lang w:val="en-US" w:eastAsia="zh-CN"/>
              </w:rPr>
              <w:t>1</w:t>
            </w:r>
            <w:r>
              <w:rPr>
                <w:rFonts w:hint="eastAsia" w:ascii="宋体" w:hAnsi="宋体" w:cs="宋体"/>
                <w:b w:val="0"/>
                <w:bCs w:val="0"/>
                <w:color w:val="auto"/>
                <w:sz w:val="20"/>
                <w:szCs w:val="20"/>
                <w:highlight w:val="none"/>
              </w:rPr>
              <w:t>人</w:t>
            </w:r>
            <w:r>
              <w:rPr>
                <w:rFonts w:ascii="宋体" w:hAnsi="宋体" w:cs="宋体"/>
                <w:b w:val="0"/>
                <w:bCs w:val="0"/>
                <w:color w:val="auto"/>
                <w:sz w:val="20"/>
                <w:szCs w:val="20"/>
                <w:highlight w:val="none"/>
              </w:rPr>
              <w:t>得</w:t>
            </w:r>
            <w:r>
              <w:rPr>
                <w:rFonts w:hint="eastAsia" w:ascii="宋体" w:hAnsi="宋体" w:cs="宋体"/>
                <w:b w:val="0"/>
                <w:bCs w:val="0"/>
                <w:color w:val="auto"/>
                <w:sz w:val="20"/>
                <w:szCs w:val="20"/>
                <w:highlight w:val="none"/>
                <w:lang w:val="en-US" w:eastAsia="zh-CN"/>
              </w:rPr>
              <w:t>1</w:t>
            </w:r>
            <w:r>
              <w:rPr>
                <w:rFonts w:ascii="宋体" w:hAnsi="宋体" w:cs="宋体"/>
                <w:b w:val="0"/>
                <w:bCs w:val="0"/>
                <w:color w:val="auto"/>
                <w:sz w:val="20"/>
                <w:szCs w:val="20"/>
                <w:highlight w:val="none"/>
              </w:rPr>
              <w:t>分</w:t>
            </w:r>
            <w:r>
              <w:rPr>
                <w:rFonts w:hint="eastAsia" w:ascii="宋体" w:hAnsi="宋体" w:cs="宋体"/>
                <w:b w:val="0"/>
                <w:bCs w:val="0"/>
                <w:color w:val="auto"/>
                <w:sz w:val="20"/>
                <w:szCs w:val="20"/>
                <w:highlight w:val="none"/>
                <w:lang w:eastAsia="zh-CN"/>
              </w:rPr>
              <w:t>，</w:t>
            </w:r>
            <w:r>
              <w:rPr>
                <w:rFonts w:hint="eastAsia" w:ascii="宋体" w:hAnsi="宋体" w:cs="宋体"/>
                <w:b w:val="0"/>
                <w:bCs w:val="0"/>
                <w:color w:val="auto"/>
                <w:sz w:val="20"/>
                <w:szCs w:val="20"/>
                <w:highlight w:val="none"/>
              </w:rPr>
              <w:t>最高得</w:t>
            </w:r>
            <w:r>
              <w:rPr>
                <w:rFonts w:ascii="宋体" w:hAnsi="宋体" w:cs="宋体"/>
                <w:b w:val="0"/>
                <w:bCs w:val="0"/>
                <w:color w:val="auto"/>
                <w:sz w:val="20"/>
                <w:szCs w:val="20"/>
                <w:highlight w:val="none"/>
              </w:rPr>
              <w:t>标准分。</w:t>
            </w:r>
          </w:p>
        </w:tc>
        <w:tc>
          <w:tcPr>
            <w:tcW w:w="804" w:type="dxa"/>
            <w:vAlign w:val="center"/>
          </w:tcPr>
          <w:p w14:paraId="7FD2B49C">
            <w:pPr>
              <w:widowControl/>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6</w:t>
            </w:r>
            <w:r>
              <w:rPr>
                <w:rFonts w:ascii="宋体" w:hAnsi="宋体" w:cs="宋体"/>
                <w:b w:val="0"/>
                <w:bCs w:val="0"/>
                <w:color w:val="auto"/>
                <w:sz w:val="20"/>
                <w:szCs w:val="20"/>
                <w:highlight w:val="none"/>
              </w:rPr>
              <w:t>分</w:t>
            </w:r>
          </w:p>
        </w:tc>
        <w:tc>
          <w:tcPr>
            <w:tcW w:w="2137" w:type="dxa"/>
            <w:vAlign w:val="center"/>
          </w:tcPr>
          <w:p w14:paraId="5C5A872C">
            <w:pPr>
              <w:widowControl/>
              <w:snapToGrid w:val="0"/>
              <w:spacing w:line="240" w:lineRule="auto"/>
              <w:jc w:val="left"/>
              <w:rPr>
                <w:rFonts w:hint="eastAsia" w:ascii="宋体" w:hAnsi="宋体" w:eastAsia="宋体" w:cs="宋体"/>
                <w:b w:val="0"/>
                <w:bCs w:val="0"/>
                <w:color w:val="auto"/>
                <w:sz w:val="20"/>
                <w:szCs w:val="20"/>
                <w:highlight w:val="none"/>
                <w:lang w:eastAsia="zh-CN"/>
              </w:rPr>
            </w:pPr>
            <w:bookmarkStart w:id="1189" w:name="OLE_LINK25"/>
            <w:r>
              <w:rPr>
                <w:rFonts w:hint="eastAsia" w:ascii="宋体" w:hAnsi="宋体" w:cs="宋体"/>
                <w:b w:val="0"/>
                <w:bCs w:val="0"/>
                <w:color w:val="auto"/>
                <w:sz w:val="20"/>
                <w:szCs w:val="20"/>
                <w:highlight w:val="none"/>
              </w:rPr>
              <w:t>提供承诺，</w:t>
            </w:r>
            <w:bookmarkStart w:id="1190" w:name="OLE_LINK28"/>
            <w:r>
              <w:rPr>
                <w:rFonts w:hint="eastAsia" w:ascii="宋体" w:hAnsi="宋体" w:cs="宋体"/>
                <w:b w:val="0"/>
                <w:bCs w:val="0"/>
                <w:color w:val="auto"/>
                <w:sz w:val="20"/>
                <w:szCs w:val="20"/>
                <w:highlight w:val="none"/>
              </w:rPr>
              <w:t>提供</w:t>
            </w:r>
            <w:r>
              <w:rPr>
                <w:rFonts w:hint="eastAsia" w:ascii="宋体" w:hAnsi="宋体" w:cs="宋体"/>
                <w:b w:val="0"/>
                <w:bCs w:val="0"/>
                <w:color w:val="auto"/>
                <w:sz w:val="20"/>
                <w:szCs w:val="20"/>
                <w:highlight w:val="none"/>
                <w:lang w:eastAsia="zh-CN"/>
              </w:rPr>
              <w:t>食品安全员</w:t>
            </w:r>
            <w:r>
              <w:rPr>
                <w:rFonts w:ascii="宋体" w:hAnsi="宋体" w:cs="宋体"/>
                <w:b w:val="0"/>
                <w:bCs w:val="0"/>
                <w:color w:val="auto"/>
                <w:sz w:val="20"/>
                <w:szCs w:val="20"/>
                <w:highlight w:val="none"/>
              </w:rPr>
              <w:t>资</w:t>
            </w:r>
            <w:bookmarkStart w:id="1191" w:name="OLE_LINK27"/>
            <w:r>
              <w:rPr>
                <w:rFonts w:ascii="宋体" w:hAnsi="宋体" w:cs="宋体"/>
                <w:b w:val="0"/>
                <w:bCs w:val="0"/>
                <w:color w:val="auto"/>
                <w:sz w:val="20"/>
                <w:szCs w:val="20"/>
                <w:highlight w:val="none"/>
              </w:rPr>
              <w:t>格</w:t>
            </w:r>
            <w:bookmarkEnd w:id="1189"/>
            <w:r>
              <w:rPr>
                <w:rFonts w:ascii="宋体" w:hAnsi="宋体" w:cs="宋体"/>
                <w:b w:val="0"/>
                <w:bCs w:val="0"/>
                <w:color w:val="auto"/>
                <w:sz w:val="20"/>
                <w:szCs w:val="20"/>
                <w:highlight w:val="none"/>
              </w:rPr>
              <w:t>证书</w:t>
            </w:r>
            <w:r>
              <w:rPr>
                <w:rFonts w:hint="eastAsia" w:ascii="宋体" w:hAnsi="宋体" w:cs="宋体"/>
                <w:b w:val="0"/>
                <w:bCs w:val="0"/>
                <w:color w:val="auto"/>
                <w:sz w:val="20"/>
                <w:szCs w:val="20"/>
                <w:highlight w:val="none"/>
                <w:lang w:eastAsia="zh-CN"/>
              </w:rPr>
              <w:t>复印件</w:t>
            </w:r>
            <w:r>
              <w:rPr>
                <w:rFonts w:ascii="宋体" w:hAnsi="宋体" w:cs="宋体"/>
                <w:b w:val="0"/>
                <w:bCs w:val="0"/>
                <w:color w:val="auto"/>
                <w:sz w:val="20"/>
                <w:szCs w:val="20"/>
                <w:highlight w:val="none"/>
              </w:rPr>
              <w:t>及</w:t>
            </w:r>
            <w:bookmarkStart w:id="1192" w:name="OLE_LINK29"/>
            <w:r>
              <w:rPr>
                <w:rFonts w:ascii="宋体" w:hAnsi="宋体" w:cs="宋体"/>
                <w:b w:val="0"/>
                <w:bCs w:val="0"/>
                <w:color w:val="auto"/>
                <w:sz w:val="20"/>
                <w:szCs w:val="20"/>
                <w:highlight w:val="none"/>
              </w:rPr>
              <w:t>社保证明资料</w:t>
            </w:r>
            <w:bookmarkEnd w:id="1190"/>
            <w:r>
              <w:rPr>
                <w:rFonts w:ascii="宋体" w:hAnsi="宋体" w:cs="宋体"/>
                <w:b w:val="0"/>
                <w:bCs w:val="0"/>
                <w:color w:val="auto"/>
                <w:sz w:val="20"/>
                <w:szCs w:val="20"/>
                <w:highlight w:val="none"/>
              </w:rPr>
              <w:t>，社保不</w:t>
            </w:r>
            <w:r>
              <w:rPr>
                <w:rFonts w:hint="eastAsia" w:ascii="宋体" w:hAnsi="宋体" w:cs="宋体"/>
                <w:b w:val="0"/>
                <w:bCs w:val="0"/>
                <w:color w:val="auto"/>
                <w:sz w:val="20"/>
                <w:szCs w:val="20"/>
                <w:highlight w:val="none"/>
              </w:rPr>
              <w:t>在本单位</w:t>
            </w:r>
            <w:r>
              <w:rPr>
                <w:rFonts w:ascii="宋体" w:hAnsi="宋体" w:cs="宋体"/>
                <w:b w:val="0"/>
                <w:bCs w:val="0"/>
                <w:color w:val="auto"/>
                <w:sz w:val="20"/>
                <w:szCs w:val="20"/>
                <w:highlight w:val="none"/>
              </w:rPr>
              <w:t>的，不予认可</w:t>
            </w:r>
            <w:bookmarkEnd w:id="1191"/>
            <w:bookmarkEnd w:id="1192"/>
            <w:r>
              <w:rPr>
                <w:rFonts w:hint="eastAsia" w:ascii="宋体" w:hAnsi="宋体" w:cs="宋体"/>
                <w:b w:val="0"/>
                <w:bCs w:val="0"/>
                <w:color w:val="auto"/>
                <w:sz w:val="20"/>
                <w:szCs w:val="20"/>
                <w:highlight w:val="none"/>
                <w:lang w:eastAsia="zh-CN"/>
              </w:rPr>
              <w:t>。签订合同前的</w:t>
            </w:r>
            <w:r>
              <w:rPr>
                <w:rFonts w:hint="eastAsia" w:ascii="宋体" w:hAnsi="宋体" w:cs="宋体"/>
                <w:b w:val="0"/>
                <w:bCs w:val="0"/>
                <w:color w:val="auto"/>
                <w:sz w:val="20"/>
                <w:szCs w:val="20"/>
                <w:highlight w:val="none"/>
              </w:rPr>
              <w:t>实地考察过程中需对</w:t>
            </w:r>
            <w:r>
              <w:rPr>
                <w:rFonts w:hint="eastAsia" w:ascii="宋体" w:hAnsi="宋体" w:cs="宋体"/>
                <w:b w:val="0"/>
                <w:bCs w:val="0"/>
                <w:color w:val="auto"/>
                <w:sz w:val="20"/>
                <w:szCs w:val="20"/>
                <w:highlight w:val="none"/>
                <w:lang w:eastAsia="zh-CN"/>
              </w:rPr>
              <w:t>此事</w:t>
            </w:r>
            <w:r>
              <w:rPr>
                <w:rFonts w:hint="eastAsia" w:ascii="宋体" w:hAnsi="宋体" w:cs="宋体"/>
                <w:b w:val="0"/>
                <w:bCs w:val="0"/>
                <w:color w:val="auto"/>
                <w:sz w:val="20"/>
                <w:szCs w:val="20"/>
                <w:highlight w:val="none"/>
              </w:rPr>
              <w:t>项进行核查，</w:t>
            </w:r>
            <w:bookmarkStart w:id="1193" w:name="OLE_LINK30"/>
            <w:r>
              <w:rPr>
                <w:rFonts w:hint="eastAsia" w:ascii="宋体" w:hAnsi="宋体" w:cs="宋体"/>
                <w:b w:val="0"/>
                <w:bCs w:val="0"/>
                <w:color w:val="auto"/>
                <w:sz w:val="20"/>
                <w:szCs w:val="20"/>
                <w:highlight w:val="none"/>
              </w:rPr>
              <w:t>如发现与投标文件中不相符，则取消中标资格，作无效投标处理，并依据有关规定进行</w:t>
            </w:r>
            <w:r>
              <w:rPr>
                <w:rFonts w:hint="eastAsia" w:ascii="宋体" w:hAnsi="宋体" w:cs="宋体"/>
                <w:b w:val="0"/>
                <w:bCs w:val="0"/>
                <w:color w:val="auto"/>
                <w:sz w:val="20"/>
                <w:szCs w:val="20"/>
                <w:highlight w:val="none"/>
                <w:lang w:eastAsia="zh-CN"/>
              </w:rPr>
              <w:t>处理</w:t>
            </w:r>
            <w:bookmarkEnd w:id="1193"/>
            <w:r>
              <w:rPr>
                <w:rFonts w:hint="eastAsia" w:ascii="宋体" w:hAnsi="宋体" w:cs="宋体"/>
                <w:b w:val="0"/>
                <w:bCs w:val="0"/>
                <w:color w:val="auto"/>
                <w:sz w:val="20"/>
                <w:szCs w:val="20"/>
                <w:highlight w:val="none"/>
                <w:lang w:eastAsia="zh-CN"/>
              </w:rPr>
              <w:t>。</w:t>
            </w:r>
          </w:p>
        </w:tc>
      </w:tr>
      <w:tr w14:paraId="433D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425" w:type="dxa"/>
            <w:vMerge w:val="restart"/>
            <w:vAlign w:val="center"/>
          </w:tcPr>
          <w:p w14:paraId="2C54706A">
            <w:pPr>
              <w:widowControl/>
              <w:snapToGrid w:val="0"/>
              <w:jc w:val="center"/>
              <w:rPr>
                <w:rFonts w:ascii="宋体" w:hAnsi="宋体" w:cs="宋体"/>
                <w:b w:val="0"/>
                <w:bCs w:val="0"/>
                <w:color w:val="auto"/>
                <w:sz w:val="20"/>
                <w:szCs w:val="20"/>
                <w:highlight w:val="none"/>
              </w:rPr>
            </w:pPr>
            <w:r>
              <w:rPr>
                <w:rFonts w:ascii="宋体" w:hAnsi="宋体" w:cs="宋体"/>
                <w:b w:val="0"/>
                <w:bCs w:val="0"/>
                <w:color w:val="auto"/>
                <w:sz w:val="20"/>
                <w:szCs w:val="20"/>
                <w:highlight w:val="none"/>
              </w:rPr>
              <w:t>2</w:t>
            </w:r>
          </w:p>
        </w:tc>
        <w:tc>
          <w:tcPr>
            <w:tcW w:w="568" w:type="dxa"/>
            <w:vMerge w:val="continue"/>
          </w:tcPr>
          <w:p w14:paraId="087EBE04">
            <w:pPr>
              <w:widowControl/>
              <w:snapToGrid w:val="0"/>
              <w:jc w:val="left"/>
              <w:rPr>
                <w:rFonts w:ascii="宋体" w:hAnsi="宋体" w:cs="宋体"/>
                <w:b w:val="0"/>
                <w:bCs w:val="0"/>
                <w:color w:val="auto"/>
                <w:sz w:val="20"/>
                <w:szCs w:val="20"/>
                <w:highlight w:val="none"/>
              </w:rPr>
            </w:pPr>
          </w:p>
        </w:tc>
        <w:tc>
          <w:tcPr>
            <w:tcW w:w="680" w:type="dxa"/>
            <w:vMerge w:val="restart"/>
            <w:vAlign w:val="center"/>
          </w:tcPr>
          <w:p w14:paraId="5E8ADEA8">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仓储</w:t>
            </w:r>
            <w:r>
              <w:rPr>
                <w:rFonts w:ascii="宋体" w:hAnsi="宋体" w:cs="宋体"/>
                <w:b w:val="0"/>
                <w:bCs w:val="0"/>
                <w:color w:val="auto"/>
                <w:sz w:val="20"/>
                <w:szCs w:val="20"/>
                <w:highlight w:val="none"/>
              </w:rPr>
              <w:t>能力</w:t>
            </w:r>
          </w:p>
        </w:tc>
        <w:tc>
          <w:tcPr>
            <w:tcW w:w="5528" w:type="dxa"/>
            <w:vAlign w:val="center"/>
          </w:tcPr>
          <w:p w14:paraId="2E877B03">
            <w:pPr>
              <w:widowControl/>
              <w:snapToGrid w:val="0"/>
              <w:spacing w:line="240" w:lineRule="auto"/>
              <w:jc w:val="left"/>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1.</w:t>
            </w:r>
            <w:r>
              <w:rPr>
                <w:rFonts w:hint="eastAsia" w:ascii="宋体" w:hAnsi="宋体" w:cs="宋体"/>
                <w:b w:val="0"/>
                <w:bCs w:val="0"/>
                <w:color w:val="auto"/>
                <w:sz w:val="20"/>
                <w:szCs w:val="20"/>
                <w:highlight w:val="none"/>
                <w:lang w:val="en-US" w:eastAsia="zh-CN"/>
              </w:rPr>
              <w:t>距配送服务地点80公里运输距离内，</w:t>
            </w:r>
            <w:r>
              <w:rPr>
                <w:rFonts w:hint="eastAsia" w:ascii="宋体" w:hAnsi="宋体" w:cs="宋体"/>
                <w:b w:val="0"/>
                <w:bCs w:val="0"/>
                <w:color w:val="auto"/>
                <w:sz w:val="20"/>
                <w:szCs w:val="20"/>
                <w:highlight w:val="none"/>
              </w:rPr>
              <w:t>自有或租用常温库（仓储、分拣场所）和办公场所面积</w:t>
            </w:r>
            <w:r>
              <w:rPr>
                <w:rFonts w:ascii="宋体" w:hAnsi="宋体" w:cs="宋体"/>
                <w:b w:val="0"/>
                <w:bCs w:val="0"/>
                <w:color w:val="auto"/>
                <w:sz w:val="20"/>
                <w:szCs w:val="20"/>
                <w:highlight w:val="none"/>
              </w:rPr>
              <w:t>300</w:t>
            </w:r>
            <w:r>
              <w:rPr>
                <w:rFonts w:hint="eastAsia" w:ascii="宋体" w:hAnsi="宋体" w:cs="宋体"/>
                <w:b w:val="0"/>
                <w:bCs w:val="0"/>
                <w:color w:val="auto"/>
                <w:sz w:val="20"/>
                <w:szCs w:val="20"/>
                <w:highlight w:val="none"/>
              </w:rPr>
              <w:t>㎡</w:t>
            </w:r>
            <w:r>
              <w:rPr>
                <w:rFonts w:hint="eastAsia" w:ascii="宋体" w:hAnsi="宋体" w:cs="宋体"/>
                <w:b w:val="0"/>
                <w:bCs w:val="0"/>
                <w:color w:val="auto"/>
                <w:sz w:val="20"/>
                <w:szCs w:val="20"/>
                <w:highlight w:val="none"/>
                <w:lang w:eastAsia="zh-CN"/>
              </w:rPr>
              <w:t>以下</w:t>
            </w:r>
            <w:r>
              <w:rPr>
                <w:rFonts w:hint="eastAsia" w:ascii="宋体" w:hAnsi="宋体" w:cs="宋体"/>
                <w:b w:val="0"/>
                <w:bCs w:val="0"/>
                <w:color w:val="auto"/>
                <w:sz w:val="20"/>
                <w:szCs w:val="20"/>
                <w:highlight w:val="none"/>
              </w:rPr>
              <w:t>得</w:t>
            </w: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分，面积为</w:t>
            </w:r>
            <w:r>
              <w:rPr>
                <w:rFonts w:hint="eastAsia" w:ascii="宋体" w:hAnsi="宋体" w:cs="宋体"/>
                <w:b w:val="0"/>
                <w:bCs w:val="0"/>
                <w:color w:val="auto"/>
                <w:sz w:val="20"/>
                <w:szCs w:val="20"/>
                <w:highlight w:val="none"/>
                <w:lang w:val="en-US" w:eastAsia="zh-CN"/>
              </w:rPr>
              <w:t>3</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lang w:val="en-US" w:eastAsia="zh-CN"/>
              </w:rPr>
              <w:t>4</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㎡（包含</w:t>
            </w:r>
            <w:r>
              <w:rPr>
                <w:rFonts w:hint="eastAsia" w:ascii="宋体" w:hAnsi="宋体" w:cs="宋体"/>
                <w:b w:val="0"/>
                <w:bCs w:val="0"/>
                <w:color w:val="auto"/>
                <w:sz w:val="20"/>
                <w:szCs w:val="20"/>
                <w:highlight w:val="none"/>
                <w:lang w:val="en-US" w:eastAsia="zh-CN"/>
              </w:rPr>
              <w:t>3</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不包含</w:t>
            </w:r>
            <w:r>
              <w:rPr>
                <w:rFonts w:hint="eastAsia" w:ascii="宋体" w:hAnsi="宋体" w:cs="宋体"/>
                <w:b w:val="0"/>
                <w:bCs w:val="0"/>
                <w:color w:val="auto"/>
                <w:sz w:val="20"/>
                <w:szCs w:val="20"/>
                <w:highlight w:val="none"/>
                <w:lang w:val="en-US" w:eastAsia="zh-CN"/>
              </w:rPr>
              <w:t>4</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的得</w:t>
            </w:r>
            <w:r>
              <w:rPr>
                <w:rFonts w:hint="eastAsia" w:ascii="宋体" w:hAnsi="宋体" w:cs="宋体"/>
                <w:b w:val="0"/>
                <w:bCs w:val="0"/>
                <w:color w:val="auto"/>
                <w:sz w:val="20"/>
                <w:szCs w:val="20"/>
                <w:highlight w:val="none"/>
                <w:lang w:val="en-US" w:eastAsia="zh-CN"/>
              </w:rPr>
              <w:t>5</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，面积为</w:t>
            </w:r>
            <w:r>
              <w:rPr>
                <w:rFonts w:hint="eastAsia" w:ascii="宋体" w:hAnsi="宋体" w:cs="宋体"/>
                <w:b w:val="0"/>
                <w:bCs w:val="0"/>
                <w:color w:val="auto"/>
                <w:sz w:val="20"/>
                <w:szCs w:val="20"/>
                <w:highlight w:val="none"/>
                <w:lang w:val="en-US" w:eastAsia="zh-CN"/>
              </w:rPr>
              <w:t>4</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lang w:val="en-US" w:eastAsia="zh-CN"/>
              </w:rPr>
              <w:t>5</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㎡（包含</w:t>
            </w:r>
            <w:r>
              <w:rPr>
                <w:rFonts w:hint="eastAsia" w:ascii="宋体" w:hAnsi="宋体" w:cs="宋体"/>
                <w:b w:val="0"/>
                <w:bCs w:val="0"/>
                <w:color w:val="auto"/>
                <w:sz w:val="20"/>
                <w:szCs w:val="20"/>
                <w:highlight w:val="none"/>
                <w:lang w:val="en-US" w:eastAsia="zh-CN"/>
              </w:rPr>
              <w:t>4</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不包含</w:t>
            </w:r>
            <w:r>
              <w:rPr>
                <w:rFonts w:hint="eastAsia" w:ascii="宋体" w:hAnsi="宋体" w:cs="宋体"/>
                <w:b w:val="0"/>
                <w:bCs w:val="0"/>
                <w:color w:val="auto"/>
                <w:sz w:val="20"/>
                <w:szCs w:val="20"/>
                <w:highlight w:val="none"/>
                <w:lang w:val="en-US" w:eastAsia="zh-CN"/>
              </w:rPr>
              <w:t>5</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的得</w:t>
            </w:r>
            <w:r>
              <w:rPr>
                <w:rFonts w:hint="eastAsia" w:ascii="宋体" w:hAnsi="宋体" w:cs="宋体"/>
                <w:b w:val="0"/>
                <w:bCs w:val="0"/>
                <w:color w:val="auto"/>
                <w:sz w:val="20"/>
                <w:szCs w:val="20"/>
                <w:highlight w:val="none"/>
                <w:lang w:val="en-US" w:eastAsia="zh-CN"/>
              </w:rPr>
              <w:t>6</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rPr>
              <w:t>面积为</w:t>
            </w:r>
            <w:r>
              <w:rPr>
                <w:rFonts w:hint="eastAsia" w:ascii="宋体" w:hAnsi="宋体" w:cs="宋体"/>
                <w:b w:val="0"/>
                <w:bCs w:val="0"/>
                <w:color w:val="auto"/>
                <w:sz w:val="20"/>
                <w:szCs w:val="20"/>
                <w:highlight w:val="none"/>
                <w:lang w:val="en-US" w:eastAsia="zh-CN"/>
              </w:rPr>
              <w:t>5</w:t>
            </w:r>
            <w:r>
              <w:rPr>
                <w:rFonts w:ascii="宋体" w:hAnsi="宋体" w:cs="宋体"/>
                <w:b w:val="0"/>
                <w:bCs w:val="0"/>
                <w:color w:val="auto"/>
                <w:sz w:val="20"/>
                <w:szCs w:val="20"/>
                <w:highlight w:val="none"/>
              </w:rPr>
              <w:t>00</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以上（</w:t>
            </w:r>
            <w:r>
              <w:rPr>
                <w:rFonts w:hint="eastAsia" w:ascii="宋体" w:hAnsi="宋体" w:cs="宋体"/>
                <w:b w:val="0"/>
                <w:bCs w:val="0"/>
                <w:color w:val="auto"/>
                <w:sz w:val="20"/>
                <w:szCs w:val="20"/>
                <w:highlight w:val="none"/>
              </w:rPr>
              <w:t>包含</w:t>
            </w:r>
            <w:r>
              <w:rPr>
                <w:rFonts w:ascii="宋体" w:hAnsi="宋体" w:cs="宋体"/>
                <w:b w:val="0"/>
                <w:bCs w:val="0"/>
                <w:color w:val="auto"/>
                <w:sz w:val="20"/>
                <w:szCs w:val="20"/>
                <w:highlight w:val="none"/>
              </w:rPr>
              <w:t>600</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rPr>
              <w:t>的</w:t>
            </w:r>
            <w:r>
              <w:rPr>
                <w:rFonts w:ascii="宋体" w:hAnsi="宋体" w:cs="宋体"/>
                <w:b w:val="0"/>
                <w:bCs w:val="0"/>
                <w:color w:val="auto"/>
                <w:sz w:val="20"/>
                <w:szCs w:val="20"/>
                <w:highlight w:val="none"/>
              </w:rPr>
              <w:t>得</w:t>
            </w:r>
            <w:r>
              <w:rPr>
                <w:rFonts w:hint="eastAsia" w:ascii="宋体" w:hAnsi="宋体" w:cs="宋体"/>
                <w:b w:val="0"/>
                <w:bCs w:val="0"/>
                <w:color w:val="auto"/>
                <w:sz w:val="20"/>
                <w:szCs w:val="20"/>
                <w:highlight w:val="none"/>
                <w:lang w:val="en-US" w:eastAsia="zh-CN"/>
              </w:rPr>
              <w:t>8</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w:t>
            </w:r>
          </w:p>
        </w:tc>
        <w:tc>
          <w:tcPr>
            <w:tcW w:w="804" w:type="dxa"/>
            <w:vAlign w:val="center"/>
          </w:tcPr>
          <w:p w14:paraId="78132F84">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8</w:t>
            </w:r>
            <w:r>
              <w:rPr>
                <w:rFonts w:hint="eastAsia" w:ascii="宋体" w:hAnsi="宋体" w:cs="宋体"/>
                <w:b w:val="0"/>
                <w:bCs w:val="0"/>
                <w:color w:val="auto"/>
                <w:sz w:val="20"/>
                <w:szCs w:val="20"/>
                <w:highlight w:val="none"/>
              </w:rPr>
              <w:t>分</w:t>
            </w:r>
          </w:p>
        </w:tc>
        <w:tc>
          <w:tcPr>
            <w:tcW w:w="2137" w:type="dxa"/>
            <w:vMerge w:val="restart"/>
            <w:vAlign w:val="center"/>
          </w:tcPr>
          <w:p w14:paraId="44E3125A">
            <w:pPr>
              <w:widowControl/>
              <w:snapToGrid w:val="0"/>
              <w:spacing w:line="240" w:lineRule="auto"/>
              <w:jc w:val="left"/>
              <w:rPr>
                <w:rFonts w:hint="eastAsia" w:ascii="宋体" w:hAnsi="宋体" w:eastAsia="宋体" w:cs="宋体"/>
                <w:b w:val="0"/>
                <w:bCs w:val="0"/>
                <w:color w:val="auto"/>
                <w:sz w:val="20"/>
                <w:szCs w:val="20"/>
                <w:highlight w:val="none"/>
                <w:lang w:eastAsia="zh-CN"/>
              </w:rPr>
            </w:pPr>
            <w:bookmarkStart w:id="1194" w:name="OLE_LINK26"/>
            <w:r>
              <w:rPr>
                <w:rFonts w:hint="eastAsia" w:ascii="宋体" w:hAnsi="宋体" w:cs="宋体"/>
                <w:b w:val="0"/>
                <w:bCs w:val="0"/>
                <w:color w:val="auto"/>
                <w:sz w:val="20"/>
                <w:szCs w:val="20"/>
                <w:highlight w:val="none"/>
              </w:rPr>
              <w:t>提供承</w:t>
            </w:r>
            <w:bookmarkEnd w:id="1194"/>
            <w:r>
              <w:rPr>
                <w:rFonts w:hint="eastAsia" w:ascii="宋体" w:hAnsi="宋体" w:cs="宋体"/>
                <w:b w:val="0"/>
                <w:bCs w:val="0"/>
                <w:color w:val="auto"/>
                <w:sz w:val="20"/>
                <w:szCs w:val="20"/>
                <w:highlight w:val="none"/>
              </w:rPr>
              <w:t>诺，</w:t>
            </w:r>
            <w:r>
              <w:rPr>
                <w:rFonts w:hint="eastAsia" w:ascii="宋体" w:hAnsi="宋体" w:cs="宋体"/>
                <w:b w:val="0"/>
                <w:bCs w:val="0"/>
                <w:color w:val="auto"/>
                <w:sz w:val="20"/>
                <w:szCs w:val="20"/>
                <w:highlight w:val="none"/>
                <w:lang w:eastAsia="zh-CN"/>
              </w:rPr>
              <w:t>签订合同前的</w:t>
            </w:r>
            <w:r>
              <w:rPr>
                <w:rFonts w:hint="eastAsia" w:ascii="宋体" w:hAnsi="宋体" w:cs="宋体"/>
                <w:b w:val="0"/>
                <w:bCs w:val="0"/>
                <w:color w:val="auto"/>
                <w:sz w:val="20"/>
                <w:szCs w:val="20"/>
                <w:highlight w:val="none"/>
              </w:rPr>
              <w:t>实地考察过程中需对</w:t>
            </w:r>
            <w:r>
              <w:rPr>
                <w:rFonts w:hint="eastAsia" w:ascii="宋体" w:hAnsi="宋体" w:cs="宋体"/>
                <w:b w:val="0"/>
                <w:bCs w:val="0"/>
                <w:color w:val="auto"/>
                <w:sz w:val="20"/>
                <w:szCs w:val="20"/>
                <w:highlight w:val="none"/>
                <w:lang w:eastAsia="zh-CN"/>
              </w:rPr>
              <w:t>此事</w:t>
            </w:r>
            <w:r>
              <w:rPr>
                <w:rFonts w:hint="eastAsia" w:ascii="宋体" w:hAnsi="宋体" w:cs="宋体"/>
                <w:b w:val="0"/>
                <w:bCs w:val="0"/>
                <w:color w:val="auto"/>
                <w:sz w:val="20"/>
                <w:szCs w:val="20"/>
                <w:highlight w:val="none"/>
              </w:rPr>
              <w:t>项进行核查，如发现与投标文件中不相符，则取消中标资格，作无效投标处理，并依据有关规定进行</w:t>
            </w:r>
            <w:r>
              <w:rPr>
                <w:rFonts w:hint="eastAsia" w:ascii="宋体" w:hAnsi="宋体" w:cs="宋体"/>
                <w:b w:val="0"/>
                <w:bCs w:val="0"/>
                <w:color w:val="auto"/>
                <w:sz w:val="20"/>
                <w:szCs w:val="20"/>
                <w:highlight w:val="none"/>
                <w:lang w:eastAsia="zh-CN"/>
              </w:rPr>
              <w:t>处理。</w:t>
            </w:r>
          </w:p>
        </w:tc>
      </w:tr>
      <w:tr w14:paraId="54F2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425" w:type="dxa"/>
            <w:vMerge w:val="continue"/>
            <w:vAlign w:val="center"/>
          </w:tcPr>
          <w:p w14:paraId="4633DB42">
            <w:pPr>
              <w:widowControl/>
              <w:snapToGrid w:val="0"/>
              <w:jc w:val="center"/>
              <w:rPr>
                <w:rFonts w:ascii="宋体" w:hAnsi="宋体" w:cs="宋体"/>
                <w:b w:val="0"/>
                <w:bCs w:val="0"/>
                <w:color w:val="auto"/>
                <w:sz w:val="20"/>
                <w:szCs w:val="20"/>
                <w:highlight w:val="none"/>
              </w:rPr>
            </w:pPr>
          </w:p>
        </w:tc>
        <w:tc>
          <w:tcPr>
            <w:tcW w:w="568" w:type="dxa"/>
            <w:vMerge w:val="continue"/>
          </w:tcPr>
          <w:p w14:paraId="11514EBC">
            <w:pPr>
              <w:widowControl/>
              <w:snapToGrid w:val="0"/>
              <w:jc w:val="left"/>
              <w:rPr>
                <w:rFonts w:ascii="宋体" w:hAnsi="宋体" w:cs="宋体"/>
                <w:b w:val="0"/>
                <w:bCs w:val="0"/>
                <w:color w:val="auto"/>
                <w:sz w:val="20"/>
                <w:szCs w:val="20"/>
                <w:highlight w:val="none"/>
              </w:rPr>
            </w:pPr>
          </w:p>
        </w:tc>
        <w:tc>
          <w:tcPr>
            <w:tcW w:w="680" w:type="dxa"/>
            <w:vMerge w:val="continue"/>
            <w:vAlign w:val="center"/>
          </w:tcPr>
          <w:p w14:paraId="6EBEE471">
            <w:pPr>
              <w:widowControl/>
              <w:snapToGrid w:val="0"/>
              <w:jc w:val="center"/>
              <w:rPr>
                <w:rFonts w:hint="eastAsia" w:ascii="宋体" w:hAnsi="宋体" w:cs="宋体"/>
                <w:b w:val="0"/>
                <w:bCs w:val="0"/>
                <w:color w:val="auto"/>
                <w:sz w:val="20"/>
                <w:szCs w:val="20"/>
                <w:highlight w:val="none"/>
              </w:rPr>
            </w:pPr>
          </w:p>
        </w:tc>
        <w:tc>
          <w:tcPr>
            <w:tcW w:w="5528" w:type="dxa"/>
            <w:vAlign w:val="center"/>
          </w:tcPr>
          <w:p w14:paraId="7757ACC7">
            <w:pPr>
              <w:widowControl/>
              <w:snapToGrid w:val="0"/>
              <w:spacing w:line="240" w:lineRule="auto"/>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2.</w:t>
            </w:r>
            <w:r>
              <w:rPr>
                <w:rFonts w:hint="eastAsia" w:ascii="宋体" w:hAnsi="宋体" w:cs="宋体"/>
                <w:b w:val="0"/>
                <w:bCs w:val="0"/>
                <w:color w:val="auto"/>
                <w:sz w:val="20"/>
                <w:szCs w:val="20"/>
                <w:highlight w:val="none"/>
                <w:lang w:val="en-US" w:eastAsia="zh-CN"/>
              </w:rPr>
              <w:t>距配送服务地点80公里运输距离内，</w:t>
            </w:r>
            <w:r>
              <w:rPr>
                <w:rFonts w:hint="eastAsia" w:ascii="宋体" w:hAnsi="宋体" w:cs="宋体"/>
                <w:b w:val="0"/>
                <w:bCs w:val="0"/>
                <w:color w:val="auto"/>
                <w:sz w:val="20"/>
                <w:szCs w:val="20"/>
                <w:highlight w:val="none"/>
              </w:rPr>
              <w:t>自有或租用冷库</w:t>
            </w:r>
            <w:r>
              <w:rPr>
                <w:rFonts w:hint="eastAsia" w:ascii="宋体" w:hAnsi="宋体" w:cs="宋体"/>
                <w:b w:val="0"/>
                <w:bCs w:val="0"/>
                <w:color w:val="auto"/>
                <w:sz w:val="20"/>
                <w:szCs w:val="20"/>
                <w:highlight w:val="none"/>
                <w:lang w:eastAsia="zh-CN"/>
              </w:rPr>
              <w:t>容</w:t>
            </w:r>
            <w:r>
              <w:rPr>
                <w:rFonts w:hint="eastAsia" w:ascii="宋体" w:hAnsi="宋体" w:cs="宋体"/>
                <w:b w:val="0"/>
                <w:bCs w:val="0"/>
                <w:color w:val="auto"/>
                <w:sz w:val="20"/>
                <w:szCs w:val="20"/>
                <w:highlight w:val="none"/>
              </w:rPr>
              <w:t>积</w:t>
            </w:r>
            <w:r>
              <w:rPr>
                <w:rFonts w:hint="eastAsia" w:ascii="宋体" w:hAnsi="宋体" w:cs="宋体"/>
                <w:b w:val="0"/>
                <w:bCs w:val="0"/>
                <w:color w:val="auto"/>
                <w:sz w:val="20"/>
                <w:szCs w:val="20"/>
                <w:highlight w:val="none"/>
                <w:lang w:val="en-US" w:eastAsia="zh-CN"/>
              </w:rPr>
              <w:t>200</w:t>
            </w:r>
            <w:r>
              <w:rPr>
                <w:rFonts w:ascii="宋体" w:hAnsi="宋体" w:eastAsia="宋体" w:cs="宋体"/>
                <w:b w:val="0"/>
                <w:bCs w:val="0"/>
                <w:color w:val="auto"/>
                <w:sz w:val="20"/>
                <w:szCs w:val="20"/>
                <w:highlight w:val="none"/>
              </w:rPr>
              <w:t>m³</w:t>
            </w:r>
            <w:r>
              <w:rPr>
                <w:rFonts w:hint="eastAsia" w:ascii="宋体" w:hAnsi="宋体" w:cs="宋体"/>
                <w:b w:val="0"/>
                <w:bCs w:val="0"/>
                <w:color w:val="auto"/>
                <w:sz w:val="20"/>
                <w:szCs w:val="20"/>
                <w:highlight w:val="none"/>
                <w:lang w:eastAsia="zh-CN"/>
              </w:rPr>
              <w:t>以下</w:t>
            </w:r>
            <w:r>
              <w:rPr>
                <w:rFonts w:hint="eastAsia" w:ascii="宋体" w:hAnsi="宋体" w:cs="宋体"/>
                <w:b w:val="0"/>
                <w:bCs w:val="0"/>
                <w:color w:val="auto"/>
                <w:sz w:val="20"/>
                <w:szCs w:val="20"/>
                <w:highlight w:val="none"/>
              </w:rPr>
              <w:t>得</w:t>
            </w:r>
            <w:r>
              <w:rPr>
                <w:rFonts w:hint="eastAsia" w:ascii="宋体" w:hAnsi="宋体" w:cs="宋体"/>
                <w:b w:val="0"/>
                <w:bCs w:val="0"/>
                <w:color w:val="auto"/>
                <w:sz w:val="20"/>
                <w:szCs w:val="20"/>
                <w:highlight w:val="none"/>
                <w:lang w:val="en-US" w:eastAsia="zh-CN"/>
              </w:rPr>
              <w:t>4</w:t>
            </w:r>
            <w:r>
              <w:rPr>
                <w:rFonts w:hint="eastAsia" w:ascii="宋体" w:hAnsi="宋体" w:cs="宋体"/>
                <w:b w:val="0"/>
                <w:bCs w:val="0"/>
                <w:color w:val="auto"/>
                <w:sz w:val="20"/>
                <w:szCs w:val="20"/>
                <w:highlight w:val="none"/>
              </w:rPr>
              <w:t>分，</w:t>
            </w:r>
            <w:r>
              <w:rPr>
                <w:rFonts w:hint="eastAsia" w:ascii="宋体" w:hAnsi="宋体" w:cs="宋体"/>
                <w:b w:val="0"/>
                <w:bCs w:val="0"/>
                <w:color w:val="auto"/>
                <w:sz w:val="20"/>
                <w:szCs w:val="20"/>
                <w:highlight w:val="none"/>
                <w:lang w:val="en-US" w:eastAsia="zh-CN"/>
              </w:rPr>
              <w:t>容</w:t>
            </w:r>
            <w:r>
              <w:rPr>
                <w:rFonts w:hint="eastAsia" w:ascii="宋体" w:hAnsi="宋体" w:cs="宋体"/>
                <w:b w:val="0"/>
                <w:bCs w:val="0"/>
                <w:color w:val="auto"/>
                <w:sz w:val="20"/>
                <w:szCs w:val="20"/>
                <w:highlight w:val="none"/>
              </w:rPr>
              <w:t>积为</w:t>
            </w:r>
            <w:r>
              <w:rPr>
                <w:rFonts w:hint="eastAsia" w:ascii="宋体" w:hAnsi="宋体" w:cs="宋体"/>
                <w:b w:val="0"/>
                <w:bCs w:val="0"/>
                <w:color w:val="auto"/>
                <w:sz w:val="20"/>
                <w:szCs w:val="20"/>
                <w:highlight w:val="none"/>
                <w:lang w:val="en-US" w:eastAsia="zh-CN"/>
              </w:rPr>
              <w:t>200</w:t>
            </w:r>
            <w:r>
              <w:rPr>
                <w:rFonts w:ascii="宋体" w:hAnsi="宋体" w:eastAsia="宋体" w:cs="宋体"/>
                <w:b w:val="0"/>
                <w:bCs w:val="0"/>
                <w:color w:val="auto"/>
                <w:sz w:val="20"/>
                <w:szCs w:val="20"/>
                <w:highlight w:val="none"/>
              </w:rPr>
              <w:t>m³</w:t>
            </w:r>
            <w:r>
              <w:rPr>
                <w:rFonts w:hint="eastAsia" w:ascii="宋体" w:hAnsi="宋体" w:cs="宋体"/>
                <w:b w:val="0"/>
                <w:bCs w:val="0"/>
                <w:color w:val="auto"/>
                <w:sz w:val="20"/>
                <w:szCs w:val="20"/>
                <w:highlight w:val="none"/>
                <w:lang w:val="en-US" w:eastAsia="zh-CN"/>
              </w:rPr>
              <w:t>—300</w:t>
            </w:r>
            <w:r>
              <w:rPr>
                <w:rFonts w:ascii="宋体" w:hAnsi="宋体" w:eastAsia="宋体" w:cs="宋体"/>
                <w:b w:val="0"/>
                <w:bCs w:val="0"/>
                <w:color w:val="auto"/>
                <w:sz w:val="20"/>
                <w:szCs w:val="20"/>
                <w:highlight w:val="none"/>
              </w:rPr>
              <w:t>m³</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rPr>
              <w:t>包含</w:t>
            </w:r>
            <w:r>
              <w:rPr>
                <w:rFonts w:ascii="宋体" w:hAnsi="宋体" w:cs="宋体"/>
                <w:b w:val="0"/>
                <w:bCs w:val="0"/>
                <w:color w:val="auto"/>
                <w:sz w:val="20"/>
                <w:szCs w:val="20"/>
                <w:highlight w:val="none"/>
              </w:rPr>
              <w:t>200</w:t>
            </w:r>
            <w:r>
              <w:rPr>
                <w:rFonts w:ascii="宋体" w:hAnsi="宋体" w:eastAsia="宋体" w:cs="宋体"/>
                <w:b w:val="0"/>
                <w:bCs w:val="0"/>
                <w:color w:val="auto"/>
                <w:sz w:val="20"/>
                <w:szCs w:val="20"/>
                <w:highlight w:val="none"/>
              </w:rPr>
              <w:t>m³</w:t>
            </w:r>
            <w:r>
              <w:rPr>
                <w:rFonts w:hint="eastAsia" w:ascii="宋体" w:hAnsi="宋体" w:cs="宋体"/>
                <w:b w:val="0"/>
                <w:bCs w:val="0"/>
                <w:color w:val="auto"/>
                <w:sz w:val="20"/>
                <w:szCs w:val="20"/>
                <w:highlight w:val="none"/>
              </w:rPr>
              <w:t>，</w:t>
            </w:r>
            <w:r>
              <w:rPr>
                <w:rFonts w:ascii="宋体" w:hAnsi="宋体" w:cs="宋体"/>
                <w:b w:val="0"/>
                <w:bCs w:val="0"/>
                <w:color w:val="auto"/>
                <w:sz w:val="20"/>
                <w:szCs w:val="20"/>
                <w:highlight w:val="none"/>
              </w:rPr>
              <w:t>不包含300</w:t>
            </w:r>
            <w:r>
              <w:rPr>
                <w:rFonts w:ascii="宋体" w:hAnsi="宋体" w:eastAsia="宋体" w:cs="宋体"/>
                <w:b w:val="0"/>
                <w:bCs w:val="0"/>
                <w:color w:val="auto"/>
                <w:sz w:val="20"/>
                <w:szCs w:val="20"/>
                <w:highlight w:val="none"/>
              </w:rPr>
              <w:t>m³</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rPr>
              <w:t>的</w:t>
            </w:r>
            <w:r>
              <w:rPr>
                <w:rFonts w:ascii="宋体" w:hAnsi="宋体" w:cs="宋体"/>
                <w:b w:val="0"/>
                <w:bCs w:val="0"/>
                <w:color w:val="auto"/>
                <w:sz w:val="20"/>
                <w:szCs w:val="20"/>
                <w:highlight w:val="none"/>
              </w:rPr>
              <w:t>得</w:t>
            </w:r>
            <w:r>
              <w:rPr>
                <w:rFonts w:hint="eastAsia" w:ascii="宋体" w:hAnsi="宋体" w:cs="宋体"/>
                <w:b w:val="0"/>
                <w:bCs w:val="0"/>
                <w:color w:val="auto"/>
                <w:sz w:val="20"/>
                <w:szCs w:val="20"/>
                <w:highlight w:val="none"/>
                <w:lang w:val="en-US" w:eastAsia="zh-CN"/>
              </w:rPr>
              <w:t>5</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lang w:val="en-US" w:eastAsia="zh-CN"/>
              </w:rPr>
              <w:t>容</w:t>
            </w:r>
            <w:r>
              <w:rPr>
                <w:rFonts w:ascii="宋体" w:hAnsi="宋体" w:cs="宋体"/>
                <w:b w:val="0"/>
                <w:bCs w:val="0"/>
                <w:color w:val="auto"/>
                <w:sz w:val="20"/>
                <w:szCs w:val="20"/>
                <w:highlight w:val="none"/>
              </w:rPr>
              <w:t>积为</w:t>
            </w:r>
            <w:r>
              <w:rPr>
                <w:rFonts w:hint="eastAsia" w:ascii="宋体" w:hAnsi="宋体" w:cs="宋体"/>
                <w:b w:val="0"/>
                <w:bCs w:val="0"/>
                <w:color w:val="auto"/>
                <w:sz w:val="20"/>
                <w:szCs w:val="20"/>
                <w:highlight w:val="none"/>
                <w:lang w:val="en-US" w:eastAsia="zh-CN"/>
              </w:rPr>
              <w:t>300m³-350m³（</w:t>
            </w:r>
            <w:r>
              <w:rPr>
                <w:rFonts w:hint="eastAsia" w:ascii="宋体" w:hAnsi="宋体" w:cs="宋体"/>
                <w:b w:val="0"/>
                <w:bCs w:val="0"/>
                <w:color w:val="auto"/>
                <w:sz w:val="20"/>
                <w:szCs w:val="20"/>
                <w:highlight w:val="none"/>
              </w:rPr>
              <w:t>包含</w:t>
            </w:r>
            <w:r>
              <w:rPr>
                <w:rFonts w:hint="eastAsia" w:ascii="宋体" w:hAnsi="宋体" w:cs="宋体"/>
                <w:b w:val="0"/>
                <w:bCs w:val="0"/>
                <w:color w:val="auto"/>
                <w:sz w:val="20"/>
                <w:szCs w:val="20"/>
                <w:highlight w:val="none"/>
                <w:lang w:val="en-US" w:eastAsia="zh-CN"/>
              </w:rPr>
              <w:t>30</w:t>
            </w:r>
            <w:r>
              <w:rPr>
                <w:rFonts w:ascii="宋体" w:hAnsi="宋体" w:cs="宋体"/>
                <w:b w:val="0"/>
                <w:bCs w:val="0"/>
                <w:color w:val="auto"/>
                <w:sz w:val="20"/>
                <w:szCs w:val="20"/>
                <w:highlight w:val="none"/>
              </w:rPr>
              <w:t>0</w:t>
            </w:r>
            <w:r>
              <w:rPr>
                <w:rFonts w:ascii="宋体" w:hAnsi="宋体" w:eastAsia="宋体" w:cs="宋体"/>
                <w:b w:val="0"/>
                <w:bCs w:val="0"/>
                <w:color w:val="auto"/>
                <w:sz w:val="20"/>
                <w:szCs w:val="20"/>
                <w:highlight w:val="none"/>
              </w:rPr>
              <w:t>m³</w:t>
            </w:r>
            <w:r>
              <w:rPr>
                <w:rFonts w:hint="eastAsia" w:ascii="宋体" w:hAnsi="宋体" w:cs="宋体"/>
                <w:b w:val="0"/>
                <w:bCs w:val="0"/>
                <w:color w:val="auto"/>
                <w:sz w:val="20"/>
                <w:szCs w:val="20"/>
                <w:highlight w:val="none"/>
                <w:lang w:eastAsia="zh-CN"/>
              </w:rPr>
              <w:t>，</w:t>
            </w:r>
            <w:r>
              <w:rPr>
                <w:rFonts w:ascii="宋体" w:hAnsi="宋体" w:cs="宋体"/>
                <w:b w:val="0"/>
                <w:bCs w:val="0"/>
                <w:color w:val="auto"/>
                <w:sz w:val="20"/>
                <w:szCs w:val="20"/>
                <w:highlight w:val="none"/>
              </w:rPr>
              <w:t>不包含3</w:t>
            </w:r>
            <w:r>
              <w:rPr>
                <w:rFonts w:hint="eastAsia" w:ascii="宋体" w:hAnsi="宋体" w:cs="宋体"/>
                <w:b w:val="0"/>
                <w:bCs w:val="0"/>
                <w:color w:val="auto"/>
                <w:sz w:val="20"/>
                <w:szCs w:val="20"/>
                <w:highlight w:val="none"/>
                <w:lang w:val="en-US" w:eastAsia="zh-CN"/>
              </w:rPr>
              <w:t>5</w:t>
            </w:r>
            <w:r>
              <w:rPr>
                <w:rFonts w:ascii="宋体" w:hAnsi="宋体" w:cs="宋体"/>
                <w:b w:val="0"/>
                <w:bCs w:val="0"/>
                <w:color w:val="auto"/>
                <w:sz w:val="20"/>
                <w:szCs w:val="20"/>
                <w:highlight w:val="none"/>
              </w:rPr>
              <w:t>0</w:t>
            </w:r>
            <w:r>
              <w:rPr>
                <w:rFonts w:hint="eastAsia" w:ascii="宋体" w:hAnsi="宋体" w:cs="宋体"/>
                <w:b w:val="0"/>
                <w:bCs w:val="0"/>
                <w:color w:val="auto"/>
                <w:sz w:val="20"/>
                <w:szCs w:val="20"/>
                <w:highlight w:val="none"/>
                <w:lang w:val="en-US" w:eastAsia="zh-CN"/>
              </w:rPr>
              <w:t>m³</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rPr>
              <w:t>以上</w:t>
            </w:r>
            <w:r>
              <w:rPr>
                <w:rFonts w:ascii="宋体" w:hAnsi="宋体" w:cs="宋体"/>
                <w:b w:val="0"/>
                <w:bCs w:val="0"/>
                <w:color w:val="auto"/>
                <w:sz w:val="20"/>
                <w:szCs w:val="20"/>
                <w:highlight w:val="none"/>
              </w:rPr>
              <w:t>的得</w:t>
            </w:r>
            <w:r>
              <w:rPr>
                <w:rFonts w:hint="eastAsia" w:ascii="宋体" w:hAnsi="宋体" w:cs="宋体"/>
                <w:b w:val="0"/>
                <w:bCs w:val="0"/>
                <w:color w:val="auto"/>
                <w:sz w:val="20"/>
                <w:szCs w:val="20"/>
                <w:highlight w:val="none"/>
                <w:lang w:val="en-US" w:eastAsia="zh-CN"/>
              </w:rPr>
              <w:t>6</w:t>
            </w:r>
            <w:r>
              <w:rPr>
                <w:rFonts w:hint="eastAsia" w:ascii="宋体" w:hAnsi="宋体" w:cs="宋体"/>
                <w:b w:val="0"/>
                <w:bCs w:val="0"/>
                <w:color w:val="auto"/>
                <w:sz w:val="20"/>
                <w:szCs w:val="20"/>
                <w:highlight w:val="none"/>
              </w:rPr>
              <w:t>分</w:t>
            </w:r>
            <w:r>
              <w:rPr>
                <w:rFonts w:hint="eastAsia" w:ascii="宋体" w:hAnsi="宋体" w:cs="宋体"/>
                <w:b w:val="0"/>
                <w:bCs w:val="0"/>
                <w:color w:val="auto"/>
                <w:sz w:val="20"/>
                <w:szCs w:val="20"/>
                <w:highlight w:val="none"/>
                <w:lang w:eastAsia="zh-CN"/>
              </w:rPr>
              <w:t>，</w:t>
            </w:r>
            <w:r>
              <w:rPr>
                <w:rFonts w:hint="eastAsia" w:ascii="宋体" w:hAnsi="宋体" w:cs="宋体"/>
                <w:b w:val="0"/>
                <w:bCs w:val="0"/>
                <w:color w:val="auto"/>
                <w:sz w:val="20"/>
                <w:szCs w:val="20"/>
                <w:highlight w:val="none"/>
                <w:lang w:val="en-US" w:eastAsia="zh-CN"/>
              </w:rPr>
              <w:t>容</w:t>
            </w:r>
            <w:r>
              <w:rPr>
                <w:rFonts w:ascii="宋体" w:hAnsi="宋体" w:cs="宋体"/>
                <w:b w:val="0"/>
                <w:bCs w:val="0"/>
                <w:color w:val="auto"/>
                <w:sz w:val="20"/>
                <w:szCs w:val="20"/>
                <w:highlight w:val="none"/>
              </w:rPr>
              <w:t>积为</w:t>
            </w:r>
            <w:r>
              <w:rPr>
                <w:rFonts w:hint="eastAsia" w:ascii="宋体" w:hAnsi="宋体" w:cs="宋体"/>
                <w:b w:val="0"/>
                <w:bCs w:val="0"/>
                <w:color w:val="auto"/>
                <w:sz w:val="20"/>
                <w:szCs w:val="20"/>
                <w:highlight w:val="none"/>
                <w:lang w:val="en-US" w:eastAsia="zh-CN"/>
              </w:rPr>
              <w:t>350m³以上的得8分</w:t>
            </w:r>
            <w:r>
              <w:rPr>
                <w:rFonts w:ascii="宋体" w:hAnsi="宋体" w:cs="宋体"/>
                <w:b w:val="0"/>
                <w:bCs w:val="0"/>
                <w:color w:val="auto"/>
                <w:sz w:val="20"/>
                <w:szCs w:val="20"/>
                <w:highlight w:val="none"/>
              </w:rPr>
              <w:t>。</w:t>
            </w:r>
          </w:p>
        </w:tc>
        <w:tc>
          <w:tcPr>
            <w:tcW w:w="804" w:type="dxa"/>
            <w:vAlign w:val="center"/>
          </w:tcPr>
          <w:p w14:paraId="45C18939">
            <w:pPr>
              <w:widowControl/>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8</w:t>
            </w:r>
            <w:r>
              <w:rPr>
                <w:rFonts w:hint="eastAsia" w:ascii="宋体" w:hAnsi="宋体" w:cs="宋体"/>
                <w:b w:val="0"/>
                <w:bCs w:val="0"/>
                <w:color w:val="auto"/>
                <w:sz w:val="20"/>
                <w:szCs w:val="20"/>
                <w:highlight w:val="none"/>
              </w:rPr>
              <w:t>分</w:t>
            </w:r>
          </w:p>
        </w:tc>
        <w:tc>
          <w:tcPr>
            <w:tcW w:w="2137" w:type="dxa"/>
            <w:vMerge w:val="continue"/>
            <w:vAlign w:val="center"/>
          </w:tcPr>
          <w:p w14:paraId="19D03F90">
            <w:pPr>
              <w:widowControl/>
              <w:snapToGrid w:val="0"/>
              <w:jc w:val="center"/>
              <w:rPr>
                <w:rFonts w:ascii="宋体" w:hAnsi="宋体" w:cs="宋体"/>
                <w:b w:val="0"/>
                <w:bCs w:val="0"/>
                <w:color w:val="auto"/>
                <w:sz w:val="20"/>
                <w:szCs w:val="20"/>
                <w:highlight w:val="none"/>
              </w:rPr>
            </w:pPr>
          </w:p>
        </w:tc>
      </w:tr>
      <w:tr w14:paraId="019A6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9" w:hRule="atLeast"/>
        </w:trPr>
        <w:tc>
          <w:tcPr>
            <w:tcW w:w="425" w:type="dxa"/>
            <w:vMerge w:val="restart"/>
            <w:vAlign w:val="center"/>
          </w:tcPr>
          <w:p w14:paraId="7D081620">
            <w:pPr>
              <w:widowControl/>
              <w:snapToGrid w:val="0"/>
              <w:jc w:val="center"/>
              <w:rPr>
                <w:rFonts w:ascii="宋体" w:hAnsi="宋体" w:cs="宋体"/>
                <w:b w:val="0"/>
                <w:bCs w:val="0"/>
                <w:color w:val="auto"/>
                <w:sz w:val="20"/>
                <w:szCs w:val="20"/>
                <w:highlight w:val="none"/>
              </w:rPr>
            </w:pPr>
            <w:r>
              <w:rPr>
                <w:rFonts w:ascii="宋体" w:hAnsi="宋体" w:cs="宋体"/>
                <w:b w:val="0"/>
                <w:bCs w:val="0"/>
                <w:color w:val="auto"/>
                <w:sz w:val="20"/>
                <w:szCs w:val="20"/>
                <w:highlight w:val="none"/>
              </w:rPr>
              <w:t>3</w:t>
            </w:r>
          </w:p>
        </w:tc>
        <w:tc>
          <w:tcPr>
            <w:tcW w:w="568" w:type="dxa"/>
            <w:vMerge w:val="continue"/>
          </w:tcPr>
          <w:p w14:paraId="33D9479C">
            <w:pPr>
              <w:widowControl/>
              <w:snapToGrid w:val="0"/>
              <w:jc w:val="left"/>
              <w:rPr>
                <w:rFonts w:ascii="宋体" w:hAnsi="宋体" w:cs="宋体"/>
                <w:b w:val="0"/>
                <w:bCs w:val="0"/>
                <w:color w:val="auto"/>
                <w:sz w:val="20"/>
                <w:szCs w:val="20"/>
                <w:highlight w:val="none"/>
              </w:rPr>
            </w:pPr>
          </w:p>
        </w:tc>
        <w:tc>
          <w:tcPr>
            <w:tcW w:w="680" w:type="dxa"/>
            <w:vMerge w:val="restart"/>
            <w:vAlign w:val="center"/>
          </w:tcPr>
          <w:p w14:paraId="2F27B118">
            <w:pPr>
              <w:widowControl/>
              <w:snapToGrid w:val="0"/>
              <w:jc w:val="center"/>
              <w:rPr>
                <w:b w:val="0"/>
                <w:bCs w:val="0"/>
                <w:color w:val="auto"/>
                <w:sz w:val="20"/>
                <w:szCs w:val="20"/>
                <w:highlight w:val="none"/>
              </w:rPr>
            </w:pPr>
            <w:r>
              <w:rPr>
                <w:rFonts w:hint="eastAsia"/>
                <w:b w:val="0"/>
                <w:bCs w:val="0"/>
                <w:color w:val="auto"/>
                <w:sz w:val="20"/>
                <w:szCs w:val="20"/>
                <w:highlight w:val="none"/>
              </w:rPr>
              <w:t>配送能力</w:t>
            </w:r>
          </w:p>
        </w:tc>
        <w:tc>
          <w:tcPr>
            <w:tcW w:w="5528" w:type="dxa"/>
            <w:vAlign w:val="center"/>
          </w:tcPr>
          <w:p w14:paraId="7C087567">
            <w:pPr>
              <w:snapToGrid w:val="0"/>
              <w:spacing w:line="26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1.投标供应商提</w:t>
            </w:r>
            <w:r>
              <w:rPr>
                <w:rFonts w:hint="eastAsia" w:ascii="宋体" w:hAnsi="宋体" w:cs="宋体"/>
                <w:color w:val="auto"/>
                <w:sz w:val="20"/>
                <w:szCs w:val="20"/>
                <w:highlight w:val="none"/>
                <w:lang w:eastAsia="zh-CN"/>
              </w:rPr>
              <w:t>配备车辆行驶轨迹监控、装卸视频监控等设备的</w:t>
            </w:r>
            <w:r>
              <w:rPr>
                <w:rFonts w:hint="eastAsia" w:ascii="宋体" w:hAnsi="宋体" w:cs="宋体"/>
                <w:b w:val="0"/>
                <w:bCs w:val="0"/>
                <w:color w:val="auto"/>
                <w:sz w:val="20"/>
                <w:szCs w:val="20"/>
                <w:highlight w:val="none"/>
              </w:rPr>
              <w:t>供箱式冷藏配送车辆（越野车</w:t>
            </w:r>
            <w:r>
              <w:rPr>
                <w:rFonts w:ascii="宋体" w:hAnsi="宋体" w:cs="宋体"/>
                <w:b w:val="0"/>
                <w:bCs w:val="0"/>
                <w:color w:val="auto"/>
                <w:sz w:val="20"/>
                <w:szCs w:val="20"/>
                <w:highlight w:val="none"/>
              </w:rPr>
              <w:t>、小轿车</w:t>
            </w:r>
            <w:r>
              <w:rPr>
                <w:rFonts w:hint="eastAsia" w:ascii="宋体" w:hAnsi="宋体" w:cs="宋体"/>
                <w:b w:val="0"/>
                <w:bCs w:val="0"/>
                <w:color w:val="auto"/>
                <w:sz w:val="20"/>
                <w:szCs w:val="20"/>
                <w:highlight w:val="none"/>
              </w:rPr>
              <w:t>不</w:t>
            </w:r>
            <w:r>
              <w:rPr>
                <w:rFonts w:ascii="宋体" w:hAnsi="宋体" w:cs="宋体"/>
                <w:b w:val="0"/>
                <w:bCs w:val="0"/>
                <w:color w:val="auto"/>
                <w:sz w:val="20"/>
                <w:szCs w:val="20"/>
                <w:highlight w:val="none"/>
              </w:rPr>
              <w:t>计算在内</w:t>
            </w:r>
            <w:r>
              <w:rPr>
                <w:rFonts w:hint="eastAsia" w:ascii="宋体" w:hAnsi="宋体" w:cs="宋体"/>
                <w:b w:val="0"/>
                <w:bCs w:val="0"/>
                <w:color w:val="auto"/>
                <w:sz w:val="20"/>
                <w:szCs w:val="20"/>
                <w:highlight w:val="none"/>
              </w:rPr>
              <w:t>）自有证明或与</w:t>
            </w:r>
            <w:r>
              <w:rPr>
                <w:rFonts w:hint="eastAsia" w:ascii="宋体" w:hAnsi="宋体" w:cs="宋体"/>
                <w:b w:val="0"/>
                <w:bCs w:val="0"/>
                <w:color w:val="auto"/>
                <w:sz w:val="20"/>
                <w:szCs w:val="20"/>
                <w:highlight w:val="none"/>
                <w:lang w:eastAsia="zh-CN"/>
              </w:rPr>
              <w:t>租赁</w:t>
            </w:r>
            <w:r>
              <w:rPr>
                <w:rFonts w:hint="eastAsia" w:ascii="宋体" w:hAnsi="宋体" w:cs="宋体"/>
                <w:b w:val="0"/>
                <w:bCs w:val="0"/>
                <w:color w:val="auto"/>
                <w:sz w:val="20"/>
                <w:szCs w:val="20"/>
                <w:highlight w:val="none"/>
              </w:rPr>
              <w:t>有效协议：有</w:t>
            </w:r>
            <w:r>
              <w:rPr>
                <w:rFonts w:hint="eastAsia" w:ascii="宋体" w:hAnsi="宋体" w:cs="宋体"/>
                <w:b w:val="0"/>
                <w:bCs w:val="0"/>
                <w:color w:val="auto"/>
                <w:sz w:val="20"/>
                <w:szCs w:val="20"/>
                <w:highlight w:val="none"/>
                <w:lang w:val="en-US" w:eastAsia="zh-CN"/>
              </w:rPr>
              <w:t>5</w:t>
            </w:r>
            <w:r>
              <w:rPr>
                <w:rFonts w:hint="eastAsia" w:ascii="宋体" w:hAnsi="宋体" w:cs="宋体"/>
                <w:b w:val="0"/>
                <w:bCs w:val="0"/>
                <w:color w:val="auto"/>
                <w:sz w:val="20"/>
                <w:szCs w:val="20"/>
                <w:highlight w:val="none"/>
              </w:rPr>
              <w:t>辆箱式冷藏配送车的</w:t>
            </w:r>
            <w:r>
              <w:rPr>
                <w:rFonts w:ascii="宋体" w:hAnsi="宋体" w:cs="宋体"/>
                <w:b w:val="0"/>
                <w:bCs w:val="0"/>
                <w:color w:val="auto"/>
                <w:sz w:val="20"/>
                <w:szCs w:val="20"/>
                <w:highlight w:val="none"/>
              </w:rPr>
              <w:t>得</w:t>
            </w:r>
            <w:r>
              <w:rPr>
                <w:rFonts w:hint="eastAsia" w:ascii="宋体" w:hAnsi="宋体" w:cs="宋体"/>
                <w:b w:val="0"/>
                <w:bCs w:val="0"/>
                <w:color w:val="auto"/>
                <w:sz w:val="20"/>
                <w:szCs w:val="20"/>
                <w:highlight w:val="none"/>
                <w:lang w:val="en-US" w:eastAsia="zh-CN"/>
              </w:rPr>
              <w:t>4</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，每</w:t>
            </w:r>
            <w:r>
              <w:rPr>
                <w:rFonts w:hint="eastAsia" w:ascii="宋体" w:hAnsi="宋体" w:cs="宋体"/>
                <w:b w:val="0"/>
                <w:bCs w:val="0"/>
                <w:color w:val="auto"/>
                <w:sz w:val="20"/>
                <w:szCs w:val="20"/>
                <w:highlight w:val="none"/>
              </w:rPr>
              <w:t>提供</w:t>
            </w:r>
            <w:r>
              <w:rPr>
                <w:rFonts w:hint="eastAsia" w:ascii="宋体" w:hAnsi="宋体" w:cs="宋体"/>
                <w:b w:val="0"/>
                <w:bCs w:val="0"/>
                <w:color w:val="auto"/>
                <w:sz w:val="20"/>
                <w:szCs w:val="20"/>
                <w:highlight w:val="none"/>
                <w:lang w:val="en-US" w:eastAsia="zh-CN"/>
              </w:rPr>
              <w:t>1</w:t>
            </w:r>
            <w:r>
              <w:rPr>
                <w:rFonts w:hint="eastAsia" w:ascii="宋体" w:hAnsi="宋体" w:cs="宋体"/>
                <w:b w:val="0"/>
                <w:bCs w:val="0"/>
                <w:color w:val="auto"/>
                <w:sz w:val="20"/>
                <w:szCs w:val="20"/>
                <w:highlight w:val="none"/>
              </w:rPr>
              <w:t>辆多得</w:t>
            </w:r>
            <w:r>
              <w:rPr>
                <w:rFonts w:ascii="宋体" w:hAnsi="宋体" w:cs="宋体"/>
                <w:b w:val="0"/>
                <w:bCs w:val="0"/>
                <w:color w:val="auto"/>
                <w:sz w:val="20"/>
                <w:szCs w:val="20"/>
                <w:highlight w:val="none"/>
              </w:rPr>
              <w:t>1</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rPr>
              <w:t>最高得</w:t>
            </w:r>
            <w:r>
              <w:rPr>
                <w:rFonts w:ascii="宋体" w:hAnsi="宋体" w:cs="宋体"/>
                <w:b w:val="0"/>
                <w:bCs w:val="0"/>
                <w:color w:val="auto"/>
                <w:sz w:val="20"/>
                <w:szCs w:val="20"/>
                <w:highlight w:val="none"/>
              </w:rPr>
              <w:t>标准分。</w:t>
            </w:r>
          </w:p>
        </w:tc>
        <w:tc>
          <w:tcPr>
            <w:tcW w:w="804" w:type="dxa"/>
            <w:vAlign w:val="center"/>
          </w:tcPr>
          <w:p w14:paraId="7AC2531A">
            <w:pPr>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6</w:t>
            </w:r>
            <w:r>
              <w:rPr>
                <w:rFonts w:hint="eastAsia" w:ascii="宋体" w:hAnsi="宋体" w:cs="宋体"/>
                <w:b w:val="0"/>
                <w:bCs w:val="0"/>
                <w:color w:val="auto"/>
                <w:sz w:val="20"/>
                <w:szCs w:val="20"/>
                <w:highlight w:val="none"/>
              </w:rPr>
              <w:t>分</w:t>
            </w:r>
          </w:p>
        </w:tc>
        <w:tc>
          <w:tcPr>
            <w:tcW w:w="2137" w:type="dxa"/>
            <w:vAlign w:val="center"/>
          </w:tcPr>
          <w:p w14:paraId="07FCAC56">
            <w:pPr>
              <w:widowControl/>
              <w:snapToGrid w:val="0"/>
              <w:spacing w:line="240" w:lineRule="auto"/>
              <w:jc w:val="left"/>
              <w:rPr>
                <w:rFonts w:hint="eastAsia" w:ascii="宋体" w:hAnsi="宋体" w:eastAsia="宋体" w:cs="宋体"/>
                <w:b w:val="0"/>
                <w:bCs w:val="0"/>
                <w:color w:val="auto"/>
                <w:sz w:val="20"/>
                <w:szCs w:val="20"/>
                <w:highlight w:val="none"/>
                <w:lang w:eastAsia="zh-CN"/>
              </w:rPr>
            </w:pPr>
            <w:r>
              <w:rPr>
                <w:rFonts w:hint="eastAsia" w:ascii="宋体" w:hAnsi="宋体" w:cs="宋体"/>
                <w:b w:val="0"/>
                <w:bCs w:val="0"/>
                <w:color w:val="auto"/>
                <w:sz w:val="20"/>
                <w:szCs w:val="20"/>
                <w:highlight w:val="none"/>
              </w:rPr>
              <w:t>提供承诺，</w:t>
            </w:r>
            <w:r>
              <w:rPr>
                <w:rFonts w:hint="eastAsia" w:ascii="宋体" w:hAnsi="宋体" w:cs="宋体"/>
                <w:b w:val="0"/>
                <w:bCs w:val="0"/>
                <w:color w:val="auto"/>
                <w:sz w:val="20"/>
                <w:szCs w:val="20"/>
                <w:highlight w:val="none"/>
                <w:lang w:eastAsia="zh-CN"/>
              </w:rPr>
              <w:t>签订合同前的</w:t>
            </w:r>
            <w:r>
              <w:rPr>
                <w:rFonts w:hint="eastAsia" w:ascii="宋体" w:hAnsi="宋体" w:cs="宋体"/>
                <w:b w:val="0"/>
                <w:bCs w:val="0"/>
                <w:color w:val="auto"/>
                <w:sz w:val="20"/>
                <w:szCs w:val="20"/>
                <w:highlight w:val="none"/>
              </w:rPr>
              <w:t>实地考察过程中需对此项进行核查，如发现与投标</w:t>
            </w:r>
            <w:r>
              <w:rPr>
                <w:rFonts w:hint="eastAsia" w:ascii="宋体" w:hAnsi="宋体" w:cs="宋体"/>
                <w:b w:val="0"/>
                <w:bCs w:val="0"/>
                <w:color w:val="auto"/>
                <w:sz w:val="20"/>
                <w:szCs w:val="20"/>
                <w:highlight w:val="none"/>
                <w:lang w:eastAsia="zh-CN"/>
              </w:rPr>
              <w:t>文件</w:t>
            </w:r>
            <w:r>
              <w:rPr>
                <w:rFonts w:hint="eastAsia" w:ascii="宋体" w:hAnsi="宋体" w:cs="宋体"/>
                <w:b w:val="0"/>
                <w:bCs w:val="0"/>
                <w:color w:val="auto"/>
                <w:sz w:val="20"/>
                <w:szCs w:val="20"/>
                <w:highlight w:val="none"/>
              </w:rPr>
              <w:t>不相符，则取消中标资格，作无效投标处理，并依据有关规定进行</w:t>
            </w:r>
            <w:r>
              <w:rPr>
                <w:rFonts w:hint="eastAsia" w:ascii="宋体" w:hAnsi="宋体" w:cs="宋体"/>
                <w:b w:val="0"/>
                <w:bCs w:val="0"/>
                <w:color w:val="auto"/>
                <w:sz w:val="20"/>
                <w:szCs w:val="20"/>
                <w:highlight w:val="none"/>
                <w:lang w:eastAsia="zh-CN"/>
              </w:rPr>
              <w:t>处理。</w:t>
            </w:r>
          </w:p>
        </w:tc>
      </w:tr>
      <w:tr w14:paraId="58825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trPr>
        <w:tc>
          <w:tcPr>
            <w:tcW w:w="425" w:type="dxa"/>
            <w:vMerge w:val="continue"/>
            <w:vAlign w:val="center"/>
          </w:tcPr>
          <w:p w14:paraId="694361E9">
            <w:pPr>
              <w:widowControl/>
              <w:snapToGrid w:val="0"/>
              <w:jc w:val="center"/>
              <w:rPr>
                <w:rFonts w:ascii="宋体" w:hAnsi="宋体" w:cs="宋体"/>
                <w:b w:val="0"/>
                <w:bCs w:val="0"/>
                <w:color w:val="auto"/>
                <w:sz w:val="20"/>
                <w:szCs w:val="20"/>
                <w:highlight w:val="none"/>
              </w:rPr>
            </w:pPr>
          </w:p>
        </w:tc>
        <w:tc>
          <w:tcPr>
            <w:tcW w:w="568" w:type="dxa"/>
            <w:vMerge w:val="continue"/>
          </w:tcPr>
          <w:p w14:paraId="10C16541">
            <w:pPr>
              <w:widowControl/>
              <w:snapToGrid w:val="0"/>
              <w:jc w:val="left"/>
              <w:rPr>
                <w:rFonts w:ascii="宋体" w:hAnsi="宋体" w:cs="宋体"/>
                <w:b w:val="0"/>
                <w:bCs w:val="0"/>
                <w:color w:val="auto"/>
                <w:sz w:val="20"/>
                <w:szCs w:val="20"/>
                <w:highlight w:val="none"/>
              </w:rPr>
            </w:pPr>
          </w:p>
        </w:tc>
        <w:tc>
          <w:tcPr>
            <w:tcW w:w="680" w:type="dxa"/>
            <w:vMerge w:val="continue"/>
            <w:vAlign w:val="center"/>
          </w:tcPr>
          <w:p w14:paraId="113E5D4E">
            <w:pPr>
              <w:widowControl/>
              <w:snapToGrid w:val="0"/>
              <w:jc w:val="center"/>
              <w:rPr>
                <w:rFonts w:hint="eastAsia"/>
                <w:b w:val="0"/>
                <w:bCs w:val="0"/>
                <w:color w:val="auto"/>
                <w:sz w:val="20"/>
                <w:szCs w:val="20"/>
                <w:highlight w:val="none"/>
              </w:rPr>
            </w:pPr>
          </w:p>
        </w:tc>
        <w:tc>
          <w:tcPr>
            <w:tcW w:w="5528" w:type="dxa"/>
            <w:vAlign w:val="center"/>
          </w:tcPr>
          <w:p w14:paraId="13C5EBC6">
            <w:pPr>
              <w:snapToGrid w:val="0"/>
              <w:spacing w:line="26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2</w:t>
            </w:r>
            <w:r>
              <w:rPr>
                <w:rFonts w:ascii="宋体" w:hAnsi="宋体" w:cs="宋体"/>
                <w:b w:val="0"/>
                <w:bCs w:val="0"/>
                <w:color w:val="auto"/>
                <w:sz w:val="20"/>
                <w:szCs w:val="20"/>
                <w:highlight w:val="none"/>
              </w:rPr>
              <w:t>.</w:t>
            </w:r>
            <w:r>
              <w:rPr>
                <w:rFonts w:hint="eastAsia" w:ascii="宋体" w:hAnsi="宋体" w:cs="宋体"/>
                <w:b w:val="0"/>
                <w:bCs w:val="0"/>
                <w:color w:val="auto"/>
                <w:sz w:val="20"/>
                <w:szCs w:val="20"/>
                <w:highlight w:val="none"/>
              </w:rPr>
              <w:t>投标供应商承诺</w:t>
            </w:r>
            <w:r>
              <w:rPr>
                <w:rFonts w:ascii="宋体" w:hAnsi="宋体" w:cs="宋体"/>
                <w:b w:val="0"/>
                <w:bCs w:val="0"/>
                <w:color w:val="auto"/>
                <w:sz w:val="20"/>
                <w:szCs w:val="20"/>
                <w:highlight w:val="none"/>
              </w:rPr>
              <w:t>提供</w:t>
            </w:r>
            <w:r>
              <w:rPr>
                <w:rFonts w:hint="eastAsia" w:ascii="宋体" w:hAnsi="宋体" w:cs="宋体"/>
                <w:b w:val="0"/>
                <w:bCs w:val="0"/>
                <w:color w:val="auto"/>
                <w:sz w:val="20"/>
                <w:szCs w:val="20"/>
                <w:highlight w:val="none"/>
              </w:rPr>
              <w:t>保障该项目的</w:t>
            </w:r>
            <w:r>
              <w:rPr>
                <w:rFonts w:hint="eastAsia" w:ascii="宋体" w:hAnsi="宋体" w:cs="宋体"/>
                <w:b w:val="0"/>
                <w:bCs w:val="0"/>
                <w:color w:val="auto"/>
                <w:sz w:val="20"/>
                <w:szCs w:val="20"/>
                <w:highlight w:val="none"/>
                <w:lang w:eastAsia="zh-CN"/>
              </w:rPr>
              <w:t>配送</w:t>
            </w:r>
            <w:r>
              <w:rPr>
                <w:rFonts w:hint="eastAsia" w:ascii="宋体" w:hAnsi="宋体" w:cs="宋体"/>
                <w:b w:val="0"/>
                <w:bCs w:val="0"/>
                <w:color w:val="auto"/>
                <w:sz w:val="20"/>
                <w:szCs w:val="20"/>
                <w:highlight w:val="none"/>
              </w:rPr>
              <w:t>车</w:t>
            </w:r>
            <w:r>
              <w:rPr>
                <w:rFonts w:hint="eastAsia" w:ascii="宋体" w:hAnsi="宋体" w:cs="宋体"/>
                <w:b w:val="0"/>
                <w:bCs w:val="0"/>
                <w:color w:val="auto"/>
                <w:sz w:val="20"/>
                <w:szCs w:val="20"/>
                <w:highlight w:val="none"/>
                <w:lang w:eastAsia="zh-CN"/>
              </w:rPr>
              <w:t>辆驾驶员</w:t>
            </w:r>
            <w:r>
              <w:rPr>
                <w:rFonts w:hint="eastAsia" w:ascii="宋体" w:hAnsi="宋体" w:cs="宋体"/>
                <w:b w:val="0"/>
                <w:bCs w:val="0"/>
                <w:color w:val="auto"/>
                <w:sz w:val="20"/>
                <w:szCs w:val="20"/>
                <w:highlight w:val="none"/>
                <w:lang w:val="en-US" w:eastAsia="zh-CN"/>
              </w:rPr>
              <w:t>及随车</w:t>
            </w:r>
            <w:r>
              <w:rPr>
                <w:rFonts w:hint="eastAsia" w:ascii="宋体" w:hAnsi="宋体" w:cs="宋体"/>
                <w:b w:val="0"/>
                <w:bCs w:val="0"/>
                <w:color w:val="auto"/>
                <w:sz w:val="20"/>
                <w:szCs w:val="20"/>
                <w:highlight w:val="none"/>
              </w:rPr>
              <w:t>配货</w:t>
            </w:r>
            <w:r>
              <w:rPr>
                <w:rFonts w:ascii="宋体" w:hAnsi="宋体" w:cs="宋体"/>
                <w:b w:val="0"/>
                <w:bCs w:val="0"/>
                <w:color w:val="auto"/>
                <w:sz w:val="20"/>
                <w:szCs w:val="20"/>
                <w:highlight w:val="none"/>
              </w:rPr>
              <w:t>人员</w:t>
            </w:r>
            <w:r>
              <w:rPr>
                <w:rFonts w:hint="eastAsia" w:ascii="宋体" w:hAnsi="宋体" w:cs="宋体"/>
                <w:b w:val="0"/>
                <w:bCs w:val="0"/>
                <w:color w:val="auto"/>
                <w:sz w:val="20"/>
                <w:szCs w:val="20"/>
                <w:highlight w:val="none"/>
                <w:lang w:val="en-US" w:eastAsia="zh-CN"/>
              </w:rPr>
              <w:t>的</w:t>
            </w:r>
            <w:r>
              <w:rPr>
                <w:rFonts w:hint="eastAsia" w:ascii="宋体" w:hAnsi="宋体" w:cs="宋体"/>
                <w:b w:val="0"/>
                <w:bCs w:val="0"/>
                <w:color w:val="auto"/>
                <w:sz w:val="20"/>
                <w:szCs w:val="20"/>
                <w:highlight w:val="none"/>
              </w:rPr>
              <w:t>数量进行评分，人员</w:t>
            </w:r>
            <w:r>
              <w:rPr>
                <w:rFonts w:ascii="宋体" w:hAnsi="宋体" w:cs="宋体"/>
                <w:b w:val="0"/>
                <w:bCs w:val="0"/>
                <w:color w:val="auto"/>
                <w:sz w:val="20"/>
                <w:szCs w:val="20"/>
                <w:highlight w:val="none"/>
              </w:rPr>
              <w:t>数量达到6</w:t>
            </w:r>
            <w:r>
              <w:rPr>
                <w:rFonts w:hint="eastAsia" w:ascii="宋体" w:hAnsi="宋体" w:cs="宋体"/>
                <w:b w:val="0"/>
                <w:bCs w:val="0"/>
                <w:color w:val="auto"/>
                <w:sz w:val="20"/>
                <w:szCs w:val="20"/>
                <w:highlight w:val="none"/>
              </w:rPr>
              <w:t>人</w:t>
            </w:r>
            <w:r>
              <w:rPr>
                <w:rFonts w:ascii="宋体" w:hAnsi="宋体" w:cs="宋体"/>
                <w:b w:val="0"/>
                <w:bCs w:val="0"/>
                <w:color w:val="auto"/>
                <w:sz w:val="20"/>
                <w:szCs w:val="20"/>
                <w:highlight w:val="none"/>
              </w:rPr>
              <w:t>的得</w:t>
            </w:r>
            <w:r>
              <w:rPr>
                <w:rFonts w:hint="eastAsia" w:ascii="宋体" w:hAnsi="宋体" w:cs="宋体"/>
                <w:b w:val="0"/>
                <w:bCs w:val="0"/>
                <w:color w:val="auto"/>
                <w:sz w:val="20"/>
                <w:szCs w:val="20"/>
                <w:highlight w:val="none"/>
              </w:rPr>
              <w:t>2分</w:t>
            </w:r>
            <w:r>
              <w:rPr>
                <w:rFonts w:ascii="宋体" w:hAnsi="宋体" w:cs="宋体"/>
                <w:b w:val="0"/>
                <w:bCs w:val="0"/>
                <w:color w:val="auto"/>
                <w:sz w:val="20"/>
                <w:szCs w:val="20"/>
                <w:highlight w:val="none"/>
              </w:rPr>
              <w:t>，每增加</w:t>
            </w:r>
            <w:r>
              <w:rPr>
                <w:rFonts w:hint="eastAsia" w:ascii="宋体" w:hAnsi="宋体" w:cs="宋体"/>
                <w:b w:val="0"/>
                <w:bCs w:val="0"/>
                <w:color w:val="auto"/>
                <w:sz w:val="20"/>
                <w:szCs w:val="20"/>
                <w:highlight w:val="none"/>
              </w:rPr>
              <w:t>2人</w:t>
            </w:r>
            <w:r>
              <w:rPr>
                <w:rFonts w:ascii="宋体" w:hAnsi="宋体" w:cs="宋体"/>
                <w:b w:val="0"/>
                <w:bCs w:val="0"/>
                <w:color w:val="auto"/>
                <w:sz w:val="20"/>
                <w:szCs w:val="20"/>
                <w:highlight w:val="none"/>
              </w:rPr>
              <w:t>多得1</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，最高</w:t>
            </w:r>
            <w:r>
              <w:rPr>
                <w:rFonts w:hint="eastAsia" w:ascii="宋体" w:hAnsi="宋体" w:cs="宋体"/>
                <w:b w:val="0"/>
                <w:bCs w:val="0"/>
                <w:color w:val="auto"/>
                <w:sz w:val="20"/>
                <w:szCs w:val="20"/>
                <w:highlight w:val="none"/>
              </w:rPr>
              <w:t>得</w:t>
            </w:r>
            <w:r>
              <w:rPr>
                <w:rFonts w:ascii="宋体" w:hAnsi="宋体" w:cs="宋体"/>
                <w:b w:val="0"/>
                <w:bCs w:val="0"/>
                <w:color w:val="auto"/>
                <w:sz w:val="20"/>
                <w:szCs w:val="20"/>
                <w:highlight w:val="none"/>
              </w:rPr>
              <w:t>标准分。</w:t>
            </w:r>
          </w:p>
        </w:tc>
        <w:tc>
          <w:tcPr>
            <w:tcW w:w="804" w:type="dxa"/>
            <w:vAlign w:val="center"/>
          </w:tcPr>
          <w:p w14:paraId="602D7FAA">
            <w:pPr>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5</w:t>
            </w:r>
            <w:r>
              <w:rPr>
                <w:rFonts w:hint="eastAsia" w:ascii="宋体" w:hAnsi="宋体" w:cs="宋体"/>
                <w:b w:val="0"/>
                <w:bCs w:val="0"/>
                <w:color w:val="auto"/>
                <w:sz w:val="20"/>
                <w:szCs w:val="20"/>
                <w:highlight w:val="none"/>
              </w:rPr>
              <w:t>分</w:t>
            </w:r>
          </w:p>
        </w:tc>
        <w:tc>
          <w:tcPr>
            <w:tcW w:w="2137" w:type="dxa"/>
            <w:vAlign w:val="center"/>
          </w:tcPr>
          <w:p w14:paraId="691D05A3">
            <w:pPr>
              <w:widowControl/>
              <w:snapToGrid w:val="0"/>
              <w:spacing w:line="240" w:lineRule="auto"/>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提供承诺，提供</w:t>
            </w:r>
            <w:r>
              <w:rPr>
                <w:rFonts w:hint="eastAsia" w:ascii="宋体" w:hAnsi="宋体" w:cs="宋体"/>
                <w:b w:val="0"/>
                <w:bCs w:val="0"/>
                <w:color w:val="auto"/>
                <w:sz w:val="20"/>
                <w:szCs w:val="20"/>
                <w:highlight w:val="none"/>
                <w:lang w:eastAsia="zh-CN"/>
              </w:rPr>
              <w:t>配送车辆驾驶员名单、与配送车辆准驾车型相符的驾驶证复印件、</w:t>
            </w:r>
            <w:r>
              <w:rPr>
                <w:rFonts w:hint="eastAsia" w:ascii="宋体" w:hAnsi="宋体" w:eastAsia="宋体" w:cs="宋体"/>
                <w:b w:val="0"/>
                <w:bCs w:val="0"/>
                <w:color w:val="auto"/>
                <w:sz w:val="20"/>
                <w:szCs w:val="20"/>
                <w:highlight w:val="none"/>
                <w:lang w:val="en-US" w:eastAsia="zh-CN"/>
              </w:rPr>
              <w:t>有效期</w:t>
            </w:r>
            <w:r>
              <w:rPr>
                <w:rFonts w:hint="eastAsia" w:ascii="宋体" w:hAnsi="宋体" w:cs="宋体"/>
                <w:b w:val="0"/>
                <w:bCs w:val="0"/>
                <w:color w:val="auto"/>
                <w:sz w:val="20"/>
                <w:szCs w:val="20"/>
                <w:highlight w:val="none"/>
                <w:lang w:eastAsia="zh-CN"/>
              </w:rPr>
              <w:t>健康证复印件</w:t>
            </w:r>
            <w:r>
              <w:rPr>
                <w:rFonts w:hint="eastAsia" w:ascii="宋体" w:hAnsi="宋体" w:eastAsia="宋体" w:cs="宋体"/>
                <w:b w:val="0"/>
                <w:bCs w:val="0"/>
                <w:color w:val="auto"/>
                <w:sz w:val="20"/>
                <w:szCs w:val="20"/>
                <w:highlight w:val="none"/>
                <w:lang w:val="en-US" w:eastAsia="zh-CN"/>
              </w:rPr>
              <w:t>及社保证明资料，社保不在本单位的，不予认可</w:t>
            </w:r>
            <w:r>
              <w:rPr>
                <w:rFonts w:hint="eastAsia" w:ascii="宋体" w:hAnsi="宋体" w:cs="宋体"/>
                <w:b w:val="0"/>
                <w:bCs w:val="0"/>
                <w:color w:val="auto"/>
                <w:sz w:val="20"/>
                <w:szCs w:val="20"/>
                <w:highlight w:val="none"/>
                <w:lang w:val="en-US" w:eastAsia="zh-CN"/>
              </w:rPr>
              <w:t>；</w:t>
            </w:r>
            <w:r>
              <w:rPr>
                <w:rFonts w:hint="eastAsia" w:ascii="宋体" w:hAnsi="宋体" w:cs="宋体"/>
                <w:b w:val="0"/>
                <w:bCs w:val="0"/>
                <w:color w:val="auto"/>
                <w:sz w:val="20"/>
                <w:szCs w:val="20"/>
                <w:highlight w:val="none"/>
              </w:rPr>
              <w:t>提供</w:t>
            </w:r>
            <w:r>
              <w:rPr>
                <w:rFonts w:hint="eastAsia" w:ascii="宋体" w:hAnsi="宋体" w:cs="宋体"/>
                <w:b w:val="0"/>
                <w:bCs w:val="0"/>
                <w:color w:val="auto"/>
                <w:sz w:val="20"/>
                <w:szCs w:val="20"/>
                <w:highlight w:val="none"/>
                <w:lang w:val="en-US" w:eastAsia="zh-CN"/>
              </w:rPr>
              <w:t>随车</w:t>
            </w:r>
            <w:r>
              <w:rPr>
                <w:rFonts w:hint="eastAsia" w:ascii="宋体" w:hAnsi="宋体" w:cs="宋体"/>
                <w:b w:val="0"/>
                <w:bCs w:val="0"/>
                <w:color w:val="auto"/>
                <w:sz w:val="20"/>
                <w:szCs w:val="20"/>
                <w:highlight w:val="none"/>
              </w:rPr>
              <w:t>配货</w:t>
            </w:r>
            <w:r>
              <w:rPr>
                <w:rFonts w:ascii="宋体" w:hAnsi="宋体" w:cs="宋体"/>
                <w:b w:val="0"/>
                <w:bCs w:val="0"/>
                <w:color w:val="auto"/>
                <w:sz w:val="20"/>
                <w:szCs w:val="20"/>
                <w:highlight w:val="none"/>
              </w:rPr>
              <w:t>人员</w:t>
            </w:r>
            <w:r>
              <w:rPr>
                <w:rFonts w:hint="eastAsia" w:ascii="宋体" w:hAnsi="宋体" w:cs="宋体"/>
                <w:b w:val="0"/>
                <w:bCs w:val="0"/>
                <w:color w:val="auto"/>
                <w:sz w:val="20"/>
                <w:szCs w:val="20"/>
                <w:highlight w:val="none"/>
                <w:lang w:eastAsia="zh-CN"/>
              </w:rPr>
              <w:t>名单及</w:t>
            </w:r>
            <w:r>
              <w:rPr>
                <w:rFonts w:hint="eastAsia" w:ascii="宋体" w:hAnsi="宋体" w:eastAsia="宋体" w:cs="宋体"/>
                <w:b w:val="0"/>
                <w:bCs w:val="0"/>
                <w:color w:val="auto"/>
                <w:sz w:val="20"/>
                <w:szCs w:val="20"/>
                <w:highlight w:val="none"/>
                <w:lang w:val="en-US" w:eastAsia="zh-CN"/>
              </w:rPr>
              <w:t>有效期</w:t>
            </w:r>
            <w:r>
              <w:rPr>
                <w:rFonts w:hint="eastAsia" w:ascii="宋体" w:hAnsi="宋体" w:cs="宋体"/>
                <w:b w:val="0"/>
                <w:bCs w:val="0"/>
                <w:color w:val="auto"/>
                <w:sz w:val="20"/>
                <w:szCs w:val="20"/>
                <w:highlight w:val="none"/>
                <w:lang w:eastAsia="zh-CN"/>
              </w:rPr>
              <w:t>健康证复印件</w:t>
            </w:r>
            <w:r>
              <w:rPr>
                <w:rFonts w:hint="eastAsia" w:ascii="宋体" w:hAnsi="宋体" w:eastAsia="宋体" w:cs="宋体"/>
                <w:b w:val="0"/>
                <w:bCs w:val="0"/>
                <w:color w:val="auto"/>
                <w:sz w:val="20"/>
                <w:szCs w:val="20"/>
                <w:highlight w:val="none"/>
                <w:lang w:val="en-US" w:eastAsia="zh-CN"/>
              </w:rPr>
              <w:t>及社保证明资料，社保不在本单位的，不予认可。</w:t>
            </w:r>
            <w:r>
              <w:rPr>
                <w:rFonts w:hint="eastAsia" w:ascii="宋体" w:hAnsi="宋体" w:cs="宋体"/>
                <w:b w:val="0"/>
                <w:bCs w:val="0"/>
                <w:color w:val="auto"/>
                <w:sz w:val="20"/>
                <w:szCs w:val="20"/>
                <w:highlight w:val="none"/>
                <w:lang w:eastAsia="zh-CN"/>
              </w:rPr>
              <w:t>签订合同前的</w:t>
            </w:r>
            <w:r>
              <w:rPr>
                <w:rFonts w:hint="eastAsia" w:ascii="宋体" w:hAnsi="宋体" w:cs="宋体"/>
                <w:b w:val="0"/>
                <w:bCs w:val="0"/>
                <w:color w:val="auto"/>
                <w:sz w:val="20"/>
                <w:szCs w:val="20"/>
                <w:highlight w:val="none"/>
              </w:rPr>
              <w:t>实地考察过程中需对此项进行核查，如发现与投标</w:t>
            </w:r>
            <w:r>
              <w:rPr>
                <w:rFonts w:hint="eastAsia" w:ascii="宋体" w:hAnsi="宋体" w:cs="宋体"/>
                <w:b w:val="0"/>
                <w:bCs w:val="0"/>
                <w:color w:val="auto"/>
                <w:sz w:val="20"/>
                <w:szCs w:val="20"/>
                <w:highlight w:val="none"/>
                <w:lang w:eastAsia="zh-CN"/>
              </w:rPr>
              <w:t>文件</w:t>
            </w:r>
            <w:r>
              <w:rPr>
                <w:rFonts w:hint="eastAsia" w:ascii="宋体" w:hAnsi="宋体" w:cs="宋体"/>
                <w:b w:val="0"/>
                <w:bCs w:val="0"/>
                <w:color w:val="auto"/>
                <w:sz w:val="20"/>
                <w:szCs w:val="20"/>
                <w:highlight w:val="none"/>
              </w:rPr>
              <w:t>不相符，则取消中标资格，作无效投标处理，并依据有关规定进行</w:t>
            </w:r>
            <w:r>
              <w:rPr>
                <w:rFonts w:hint="eastAsia" w:ascii="宋体" w:hAnsi="宋体" w:cs="宋体"/>
                <w:b w:val="0"/>
                <w:bCs w:val="0"/>
                <w:color w:val="auto"/>
                <w:sz w:val="20"/>
                <w:szCs w:val="20"/>
                <w:highlight w:val="none"/>
                <w:lang w:eastAsia="zh-CN"/>
              </w:rPr>
              <w:t>处理。</w:t>
            </w:r>
            <w:r>
              <w:rPr>
                <w:rFonts w:ascii="宋体" w:hAnsi="宋体" w:cs="宋体"/>
                <w:b w:val="0"/>
                <w:bCs w:val="0"/>
                <w:color w:val="auto"/>
                <w:sz w:val="20"/>
                <w:szCs w:val="20"/>
                <w:highlight w:val="none"/>
              </w:rPr>
              <w:t>服务过程中</w:t>
            </w:r>
            <w:r>
              <w:rPr>
                <w:rFonts w:hint="eastAsia" w:ascii="宋体" w:hAnsi="宋体" w:cs="宋体"/>
                <w:b w:val="0"/>
                <w:bCs w:val="0"/>
                <w:color w:val="auto"/>
                <w:sz w:val="20"/>
                <w:szCs w:val="20"/>
                <w:highlight w:val="none"/>
              </w:rPr>
              <w:t>未经</w:t>
            </w:r>
            <w:r>
              <w:rPr>
                <w:rFonts w:hint="eastAsia" w:ascii="宋体" w:hAnsi="宋体" w:cs="宋体"/>
                <w:b w:val="0"/>
                <w:bCs w:val="0"/>
                <w:color w:val="auto"/>
                <w:sz w:val="20"/>
                <w:szCs w:val="20"/>
                <w:highlight w:val="none"/>
                <w:lang w:eastAsia="zh-CN"/>
              </w:rPr>
              <w:t>采购人（学校）</w:t>
            </w:r>
            <w:r>
              <w:rPr>
                <w:rFonts w:hint="eastAsia" w:ascii="宋体" w:hAnsi="宋体" w:cs="宋体"/>
                <w:b w:val="0"/>
                <w:bCs w:val="0"/>
                <w:color w:val="auto"/>
                <w:sz w:val="20"/>
                <w:szCs w:val="20"/>
                <w:highlight w:val="none"/>
              </w:rPr>
              <w:t>同意不得随意变更。</w:t>
            </w:r>
          </w:p>
        </w:tc>
      </w:tr>
      <w:tr w14:paraId="2796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3" w:hRule="atLeast"/>
        </w:trPr>
        <w:tc>
          <w:tcPr>
            <w:tcW w:w="425" w:type="dxa"/>
            <w:vMerge w:val="restart"/>
            <w:vAlign w:val="center"/>
          </w:tcPr>
          <w:p w14:paraId="119D4F21">
            <w:pPr>
              <w:pStyle w:val="22"/>
              <w:rPr>
                <w:rFonts w:hAnsi="宋体" w:cs="宋体"/>
                <w:b w:val="0"/>
                <w:bCs w:val="0"/>
                <w:color w:val="auto"/>
                <w:sz w:val="20"/>
                <w:szCs w:val="20"/>
                <w:highlight w:val="none"/>
              </w:rPr>
            </w:pPr>
            <w:r>
              <w:rPr>
                <w:rFonts w:hint="eastAsia" w:hAnsi="宋体" w:cs="宋体"/>
                <w:b w:val="0"/>
                <w:bCs w:val="0"/>
                <w:color w:val="auto"/>
                <w:sz w:val="20"/>
                <w:szCs w:val="20"/>
                <w:highlight w:val="none"/>
              </w:rPr>
              <w:t>4</w:t>
            </w:r>
          </w:p>
        </w:tc>
        <w:tc>
          <w:tcPr>
            <w:tcW w:w="568" w:type="dxa"/>
            <w:vMerge w:val="continue"/>
          </w:tcPr>
          <w:p w14:paraId="2E5145CC">
            <w:pPr>
              <w:widowControl/>
              <w:snapToGrid w:val="0"/>
              <w:jc w:val="left"/>
              <w:rPr>
                <w:rFonts w:ascii="宋体" w:hAnsi="宋体" w:cs="宋体"/>
                <w:b w:val="0"/>
                <w:bCs w:val="0"/>
                <w:color w:val="auto"/>
                <w:sz w:val="20"/>
                <w:szCs w:val="20"/>
                <w:highlight w:val="none"/>
              </w:rPr>
            </w:pPr>
          </w:p>
        </w:tc>
        <w:tc>
          <w:tcPr>
            <w:tcW w:w="680" w:type="dxa"/>
            <w:vMerge w:val="restart"/>
            <w:vAlign w:val="center"/>
          </w:tcPr>
          <w:p w14:paraId="4F90B495">
            <w:pPr>
              <w:widowControl/>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供应</w:t>
            </w:r>
            <w:r>
              <w:rPr>
                <w:rFonts w:ascii="宋体" w:hAnsi="宋体" w:cs="宋体"/>
                <w:b w:val="0"/>
                <w:bCs w:val="0"/>
                <w:color w:val="auto"/>
                <w:sz w:val="20"/>
                <w:szCs w:val="20"/>
                <w:highlight w:val="none"/>
              </w:rPr>
              <w:t>能力</w:t>
            </w:r>
          </w:p>
        </w:tc>
        <w:tc>
          <w:tcPr>
            <w:tcW w:w="5528" w:type="dxa"/>
            <w:vAlign w:val="center"/>
          </w:tcPr>
          <w:p w14:paraId="7B48B1BA">
            <w:pPr>
              <w:numPr>
                <w:ilvl w:val="0"/>
                <w:numId w:val="6"/>
              </w:numPr>
              <w:snapToGrid w:val="0"/>
              <w:spacing w:line="260" w:lineRule="exact"/>
              <w:jc w:val="left"/>
              <w:rPr>
                <w:rFonts w:hint="eastAsia" w:ascii="宋体" w:hAnsi="宋体" w:cs="宋体"/>
                <w:b w:val="0"/>
                <w:bCs w:val="0"/>
                <w:color w:val="auto"/>
                <w:sz w:val="20"/>
                <w:szCs w:val="20"/>
                <w:highlight w:val="none"/>
                <w:lang w:val="en-US" w:eastAsia="zh-CN"/>
              </w:rPr>
            </w:pPr>
            <w:bookmarkStart w:id="1195" w:name="OLE_LINK17"/>
            <w:r>
              <w:rPr>
                <w:rFonts w:hint="eastAsia" w:ascii="宋体" w:hAnsi="宋体" w:cs="宋体"/>
                <w:b w:val="0"/>
                <w:bCs w:val="0"/>
                <w:color w:val="auto"/>
                <w:sz w:val="20"/>
                <w:szCs w:val="20"/>
                <w:highlight w:val="none"/>
              </w:rPr>
              <w:t>投标供应商承诺</w:t>
            </w:r>
            <w:r>
              <w:rPr>
                <w:rFonts w:ascii="宋体" w:hAnsi="宋体" w:cs="宋体"/>
                <w:b w:val="0"/>
                <w:bCs w:val="0"/>
                <w:color w:val="auto"/>
                <w:sz w:val="20"/>
                <w:szCs w:val="20"/>
                <w:highlight w:val="none"/>
              </w:rPr>
              <w:t>提供</w:t>
            </w:r>
            <w:r>
              <w:rPr>
                <w:rFonts w:hint="eastAsia" w:ascii="宋体" w:hAnsi="宋体" w:cs="宋体"/>
                <w:b w:val="0"/>
                <w:bCs w:val="0"/>
                <w:color w:val="auto"/>
                <w:sz w:val="20"/>
                <w:szCs w:val="20"/>
                <w:highlight w:val="none"/>
              </w:rPr>
              <w:t>保障该项目的</w:t>
            </w:r>
            <w:r>
              <w:rPr>
                <w:rFonts w:hint="eastAsia" w:ascii="宋体" w:hAnsi="宋体" w:cs="宋体"/>
                <w:b w:val="0"/>
                <w:bCs w:val="0"/>
                <w:color w:val="auto"/>
                <w:sz w:val="20"/>
                <w:szCs w:val="20"/>
                <w:highlight w:val="none"/>
                <w:lang w:val="en-US" w:eastAsia="zh-CN"/>
              </w:rPr>
              <w:t>订货、分拣、包装、</w:t>
            </w:r>
            <w:r>
              <w:rPr>
                <w:rFonts w:hint="eastAsia" w:ascii="宋体" w:hAnsi="宋体" w:cs="宋体"/>
                <w:b w:val="0"/>
                <w:bCs w:val="0"/>
                <w:color w:val="auto"/>
                <w:sz w:val="20"/>
                <w:szCs w:val="20"/>
                <w:highlight w:val="none"/>
              </w:rPr>
              <w:t>配货</w:t>
            </w:r>
            <w:r>
              <w:rPr>
                <w:rFonts w:hint="eastAsia" w:ascii="宋体" w:hAnsi="宋体" w:cs="宋体"/>
                <w:b w:val="0"/>
                <w:bCs w:val="0"/>
                <w:color w:val="auto"/>
                <w:sz w:val="20"/>
                <w:szCs w:val="20"/>
                <w:highlight w:val="none"/>
                <w:lang w:eastAsia="zh-CN"/>
              </w:rPr>
              <w:t>、</w:t>
            </w:r>
            <w:r>
              <w:rPr>
                <w:rFonts w:hint="eastAsia" w:ascii="宋体" w:hAnsi="宋体" w:cs="宋体"/>
                <w:b w:val="0"/>
                <w:bCs w:val="0"/>
                <w:color w:val="auto"/>
                <w:sz w:val="20"/>
                <w:szCs w:val="20"/>
                <w:highlight w:val="none"/>
                <w:lang w:val="en-US" w:eastAsia="zh-CN"/>
              </w:rPr>
              <w:t>售后</w:t>
            </w:r>
            <w:r>
              <w:rPr>
                <w:rFonts w:ascii="宋体" w:hAnsi="宋体" w:cs="宋体"/>
                <w:b w:val="0"/>
                <w:bCs w:val="0"/>
                <w:color w:val="auto"/>
                <w:sz w:val="20"/>
                <w:szCs w:val="20"/>
                <w:highlight w:val="none"/>
              </w:rPr>
              <w:t>人员</w:t>
            </w:r>
            <w:r>
              <w:rPr>
                <w:rFonts w:hint="eastAsia" w:ascii="宋体" w:hAnsi="宋体" w:cs="宋体"/>
                <w:b w:val="0"/>
                <w:bCs w:val="0"/>
                <w:color w:val="auto"/>
                <w:sz w:val="20"/>
                <w:szCs w:val="20"/>
                <w:highlight w:val="none"/>
                <w:lang w:val="en-US" w:eastAsia="zh-CN"/>
              </w:rPr>
              <w:t>的</w:t>
            </w:r>
            <w:r>
              <w:rPr>
                <w:rFonts w:hint="eastAsia" w:ascii="宋体" w:hAnsi="宋体" w:cs="宋体"/>
                <w:b w:val="0"/>
                <w:bCs w:val="0"/>
                <w:color w:val="auto"/>
                <w:sz w:val="20"/>
                <w:szCs w:val="20"/>
                <w:highlight w:val="none"/>
              </w:rPr>
              <w:t>数量进行评分，人员</w:t>
            </w:r>
            <w:r>
              <w:rPr>
                <w:rFonts w:ascii="宋体" w:hAnsi="宋体" w:cs="宋体"/>
                <w:b w:val="0"/>
                <w:bCs w:val="0"/>
                <w:color w:val="auto"/>
                <w:sz w:val="20"/>
                <w:szCs w:val="20"/>
                <w:highlight w:val="none"/>
              </w:rPr>
              <w:t>数量达到</w:t>
            </w:r>
            <w:r>
              <w:rPr>
                <w:rFonts w:hint="eastAsia" w:ascii="宋体" w:hAnsi="宋体" w:cs="宋体"/>
                <w:b w:val="0"/>
                <w:bCs w:val="0"/>
                <w:color w:val="auto"/>
                <w:sz w:val="20"/>
                <w:szCs w:val="20"/>
                <w:highlight w:val="none"/>
                <w:lang w:val="en-US" w:eastAsia="zh-CN"/>
              </w:rPr>
              <w:t>10</w:t>
            </w:r>
            <w:r>
              <w:rPr>
                <w:rFonts w:hint="eastAsia" w:ascii="宋体" w:hAnsi="宋体" w:cs="宋体"/>
                <w:b w:val="0"/>
                <w:bCs w:val="0"/>
                <w:color w:val="auto"/>
                <w:sz w:val="20"/>
                <w:szCs w:val="20"/>
                <w:highlight w:val="none"/>
              </w:rPr>
              <w:t>人</w:t>
            </w:r>
            <w:r>
              <w:rPr>
                <w:rFonts w:ascii="宋体" w:hAnsi="宋体" w:cs="宋体"/>
                <w:b w:val="0"/>
                <w:bCs w:val="0"/>
                <w:color w:val="auto"/>
                <w:sz w:val="20"/>
                <w:szCs w:val="20"/>
                <w:highlight w:val="none"/>
              </w:rPr>
              <w:t>的得</w:t>
            </w: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，每增加</w:t>
            </w: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人</w:t>
            </w:r>
            <w:r>
              <w:rPr>
                <w:rFonts w:ascii="宋体" w:hAnsi="宋体" w:cs="宋体"/>
                <w:b w:val="0"/>
                <w:bCs w:val="0"/>
                <w:color w:val="auto"/>
                <w:sz w:val="20"/>
                <w:szCs w:val="20"/>
                <w:highlight w:val="none"/>
              </w:rPr>
              <w:t>多得1</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，最高</w:t>
            </w:r>
            <w:r>
              <w:rPr>
                <w:rFonts w:hint="eastAsia" w:ascii="宋体" w:hAnsi="宋体" w:cs="宋体"/>
                <w:b w:val="0"/>
                <w:bCs w:val="0"/>
                <w:color w:val="auto"/>
                <w:sz w:val="20"/>
                <w:szCs w:val="20"/>
                <w:highlight w:val="none"/>
              </w:rPr>
              <w:t>得</w:t>
            </w:r>
            <w:r>
              <w:rPr>
                <w:rFonts w:ascii="宋体" w:hAnsi="宋体" w:cs="宋体"/>
                <w:b w:val="0"/>
                <w:bCs w:val="0"/>
                <w:color w:val="auto"/>
                <w:sz w:val="20"/>
                <w:szCs w:val="20"/>
                <w:highlight w:val="none"/>
              </w:rPr>
              <w:t>标准分</w:t>
            </w:r>
            <w:bookmarkEnd w:id="1195"/>
            <w:r>
              <w:rPr>
                <w:rFonts w:ascii="宋体" w:hAnsi="宋体" w:cs="宋体"/>
                <w:b w:val="0"/>
                <w:bCs w:val="0"/>
                <w:color w:val="auto"/>
                <w:sz w:val="20"/>
                <w:szCs w:val="20"/>
                <w:highlight w:val="none"/>
              </w:rPr>
              <w:t>。</w:t>
            </w:r>
          </w:p>
        </w:tc>
        <w:tc>
          <w:tcPr>
            <w:tcW w:w="804" w:type="dxa"/>
            <w:vAlign w:val="center"/>
          </w:tcPr>
          <w:p w14:paraId="5DC246FA">
            <w:pPr>
              <w:widowControl/>
              <w:snapToGrid w:val="0"/>
              <w:jc w:val="center"/>
              <w:rPr>
                <w:rFonts w:hint="eastAsia" w:ascii="宋体" w:hAnsi="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6</w:t>
            </w:r>
            <w:r>
              <w:rPr>
                <w:rFonts w:hint="eastAsia" w:ascii="宋体" w:hAnsi="宋体" w:cs="宋体"/>
                <w:b w:val="0"/>
                <w:bCs w:val="0"/>
                <w:color w:val="auto"/>
                <w:sz w:val="20"/>
                <w:szCs w:val="20"/>
                <w:highlight w:val="none"/>
              </w:rPr>
              <w:t>分</w:t>
            </w:r>
          </w:p>
        </w:tc>
        <w:tc>
          <w:tcPr>
            <w:tcW w:w="2137" w:type="dxa"/>
            <w:vAlign w:val="center"/>
          </w:tcPr>
          <w:p w14:paraId="79F6994F">
            <w:pPr>
              <w:widowControl/>
              <w:snapToGrid w:val="0"/>
              <w:spacing w:line="240" w:lineRule="auto"/>
              <w:jc w:val="left"/>
              <w:rPr>
                <w:rFonts w:hint="eastAsia" w:ascii="宋体" w:hAnsi="宋体" w:cs="宋体"/>
                <w:b w:val="0"/>
                <w:bCs w:val="0"/>
                <w:color w:val="auto"/>
                <w:sz w:val="20"/>
                <w:szCs w:val="20"/>
                <w:highlight w:val="none"/>
              </w:rPr>
            </w:pPr>
            <w:bookmarkStart w:id="1196" w:name="OLE_LINK18"/>
            <w:r>
              <w:rPr>
                <w:rFonts w:hint="eastAsia" w:ascii="宋体" w:hAnsi="宋体" w:eastAsia="宋体" w:cs="宋体"/>
                <w:b w:val="0"/>
                <w:bCs w:val="0"/>
                <w:color w:val="auto"/>
                <w:sz w:val="20"/>
                <w:szCs w:val="20"/>
                <w:highlight w:val="none"/>
                <w:lang w:val="en-US" w:eastAsia="zh-CN"/>
              </w:rPr>
              <w:t>提供承诺，提供人员岗位名单、有效期健康证</w:t>
            </w:r>
            <w:r>
              <w:rPr>
                <w:rFonts w:hint="eastAsia" w:ascii="宋体" w:hAnsi="宋体" w:cs="宋体"/>
                <w:b w:val="0"/>
                <w:bCs w:val="0"/>
                <w:color w:val="auto"/>
                <w:sz w:val="20"/>
                <w:szCs w:val="20"/>
                <w:highlight w:val="none"/>
                <w:lang w:eastAsia="zh-CN"/>
              </w:rPr>
              <w:t>复印件</w:t>
            </w:r>
            <w:r>
              <w:rPr>
                <w:rFonts w:hint="eastAsia" w:ascii="宋体" w:hAnsi="宋体" w:eastAsia="宋体" w:cs="宋体"/>
                <w:b w:val="0"/>
                <w:bCs w:val="0"/>
                <w:color w:val="auto"/>
                <w:sz w:val="20"/>
                <w:szCs w:val="20"/>
                <w:highlight w:val="none"/>
                <w:lang w:val="en-US" w:eastAsia="zh-CN"/>
              </w:rPr>
              <w:t>及社保证明资料，社保不在本单位的，不予认可。签订合同前的实地考察过程中需对此项进行核查，如发现与投标文件不相符，则取消中标资格，作无效投标处理，并依据有关规定进行处理。</w:t>
            </w:r>
            <w:bookmarkEnd w:id="1196"/>
          </w:p>
        </w:tc>
      </w:tr>
      <w:tr w14:paraId="4699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3" w:hRule="atLeast"/>
        </w:trPr>
        <w:tc>
          <w:tcPr>
            <w:tcW w:w="425" w:type="dxa"/>
            <w:vMerge w:val="continue"/>
            <w:vAlign w:val="center"/>
          </w:tcPr>
          <w:p w14:paraId="729FD752">
            <w:pPr>
              <w:pStyle w:val="22"/>
              <w:rPr>
                <w:rFonts w:hint="eastAsia" w:hAnsi="宋体" w:cs="宋体"/>
                <w:b w:val="0"/>
                <w:bCs w:val="0"/>
                <w:color w:val="auto"/>
                <w:sz w:val="20"/>
                <w:szCs w:val="20"/>
                <w:highlight w:val="none"/>
              </w:rPr>
            </w:pPr>
          </w:p>
        </w:tc>
        <w:tc>
          <w:tcPr>
            <w:tcW w:w="568" w:type="dxa"/>
            <w:vMerge w:val="continue"/>
          </w:tcPr>
          <w:p w14:paraId="4CD4EB47">
            <w:pPr>
              <w:widowControl/>
              <w:snapToGrid w:val="0"/>
              <w:jc w:val="left"/>
              <w:rPr>
                <w:rFonts w:ascii="宋体" w:hAnsi="宋体" w:cs="宋体"/>
                <w:b w:val="0"/>
                <w:bCs w:val="0"/>
                <w:color w:val="auto"/>
                <w:sz w:val="20"/>
                <w:szCs w:val="20"/>
                <w:highlight w:val="none"/>
              </w:rPr>
            </w:pPr>
          </w:p>
        </w:tc>
        <w:tc>
          <w:tcPr>
            <w:tcW w:w="680" w:type="dxa"/>
            <w:vMerge w:val="continue"/>
            <w:vAlign w:val="center"/>
          </w:tcPr>
          <w:p w14:paraId="74B9379D">
            <w:pPr>
              <w:widowControl/>
              <w:snapToGrid w:val="0"/>
              <w:jc w:val="center"/>
              <w:rPr>
                <w:rFonts w:hint="eastAsia" w:ascii="宋体" w:hAnsi="宋体" w:cs="宋体"/>
                <w:b w:val="0"/>
                <w:bCs w:val="0"/>
                <w:color w:val="auto"/>
                <w:sz w:val="20"/>
                <w:szCs w:val="20"/>
                <w:highlight w:val="none"/>
              </w:rPr>
            </w:pPr>
          </w:p>
        </w:tc>
        <w:tc>
          <w:tcPr>
            <w:tcW w:w="5528" w:type="dxa"/>
            <w:vAlign w:val="center"/>
          </w:tcPr>
          <w:p w14:paraId="57C54505">
            <w:pPr>
              <w:numPr>
                <w:ilvl w:val="0"/>
                <w:numId w:val="6"/>
              </w:numPr>
              <w:snapToGrid w:val="0"/>
              <w:spacing w:line="26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投标</w:t>
            </w:r>
            <w:bookmarkStart w:id="1197" w:name="OLE_LINK12"/>
            <w:r>
              <w:rPr>
                <w:rFonts w:hint="eastAsia" w:ascii="宋体" w:hAnsi="宋体" w:cs="宋体"/>
                <w:b w:val="0"/>
                <w:bCs w:val="0"/>
                <w:color w:val="auto"/>
                <w:sz w:val="20"/>
                <w:szCs w:val="20"/>
                <w:highlight w:val="none"/>
              </w:rPr>
              <w:t>供应商承诺</w:t>
            </w:r>
            <w:r>
              <w:rPr>
                <w:rFonts w:ascii="宋体" w:hAnsi="宋体" w:cs="宋体"/>
                <w:b w:val="0"/>
                <w:bCs w:val="0"/>
                <w:color w:val="auto"/>
                <w:sz w:val="20"/>
                <w:szCs w:val="20"/>
                <w:highlight w:val="none"/>
              </w:rPr>
              <w:t>提供</w:t>
            </w:r>
            <w:r>
              <w:rPr>
                <w:rFonts w:hint="eastAsia" w:ascii="宋体" w:hAnsi="宋体" w:cs="宋体"/>
                <w:b w:val="0"/>
                <w:bCs w:val="0"/>
                <w:color w:val="auto"/>
                <w:sz w:val="20"/>
                <w:szCs w:val="20"/>
                <w:highlight w:val="none"/>
              </w:rPr>
              <w:t>保障该项目</w:t>
            </w:r>
            <w:r>
              <w:rPr>
                <w:rFonts w:hint="eastAsia" w:ascii="宋体" w:hAnsi="宋体" w:cs="宋体"/>
                <w:b w:val="0"/>
                <w:bCs w:val="0"/>
                <w:color w:val="auto"/>
                <w:sz w:val="20"/>
                <w:szCs w:val="20"/>
                <w:highlight w:val="none"/>
                <w:lang w:eastAsia="zh-CN"/>
              </w:rPr>
              <w:t>具备</w:t>
            </w:r>
            <w:r>
              <w:rPr>
                <w:rFonts w:ascii="宋体" w:hAnsi="宋体" w:cs="宋体"/>
                <w:b w:val="0"/>
                <w:bCs w:val="0"/>
                <w:color w:val="auto"/>
                <w:sz w:val="20"/>
                <w:szCs w:val="20"/>
                <w:highlight w:val="none"/>
              </w:rPr>
              <w:t>会计专业技术资格</w:t>
            </w:r>
            <w:r>
              <w:rPr>
                <w:rFonts w:hint="eastAsia" w:ascii="宋体" w:hAnsi="宋体" w:cs="宋体"/>
                <w:b w:val="0"/>
                <w:bCs w:val="0"/>
                <w:color w:val="auto"/>
                <w:sz w:val="20"/>
                <w:szCs w:val="20"/>
                <w:highlight w:val="none"/>
              </w:rPr>
              <w:t>的</w:t>
            </w:r>
            <w:r>
              <w:rPr>
                <w:rFonts w:hint="eastAsia" w:ascii="宋体" w:hAnsi="宋体" w:cs="宋体"/>
                <w:b w:val="0"/>
                <w:bCs w:val="0"/>
                <w:color w:val="auto"/>
                <w:sz w:val="20"/>
                <w:szCs w:val="20"/>
                <w:highlight w:val="none"/>
                <w:lang w:val="en-US" w:eastAsia="zh-CN"/>
              </w:rPr>
              <w:t>结算</w:t>
            </w:r>
            <w:r>
              <w:rPr>
                <w:rFonts w:ascii="宋体" w:hAnsi="宋体" w:cs="宋体"/>
                <w:b w:val="0"/>
                <w:bCs w:val="0"/>
                <w:color w:val="auto"/>
                <w:sz w:val="20"/>
                <w:szCs w:val="20"/>
                <w:highlight w:val="none"/>
              </w:rPr>
              <w:t>人员</w:t>
            </w:r>
            <w:r>
              <w:rPr>
                <w:rFonts w:hint="eastAsia" w:ascii="宋体" w:hAnsi="宋体" w:cs="宋体"/>
                <w:b w:val="0"/>
                <w:bCs w:val="0"/>
                <w:color w:val="auto"/>
                <w:sz w:val="20"/>
                <w:szCs w:val="20"/>
                <w:highlight w:val="none"/>
                <w:lang w:eastAsia="zh-CN"/>
              </w:rPr>
              <w:t>、财务</w:t>
            </w:r>
            <w:r>
              <w:rPr>
                <w:rFonts w:ascii="宋体" w:hAnsi="宋体" w:cs="宋体"/>
                <w:b w:val="0"/>
                <w:bCs w:val="0"/>
                <w:color w:val="auto"/>
                <w:sz w:val="20"/>
                <w:szCs w:val="20"/>
                <w:highlight w:val="none"/>
              </w:rPr>
              <w:t>人员</w:t>
            </w:r>
            <w:r>
              <w:rPr>
                <w:rFonts w:hint="eastAsia" w:ascii="宋体" w:hAnsi="宋体" w:cs="宋体"/>
                <w:b w:val="0"/>
                <w:bCs w:val="0"/>
                <w:color w:val="auto"/>
                <w:sz w:val="20"/>
                <w:szCs w:val="20"/>
                <w:highlight w:val="none"/>
                <w:lang w:val="en-US" w:eastAsia="zh-CN"/>
              </w:rPr>
              <w:t>的</w:t>
            </w:r>
            <w:r>
              <w:rPr>
                <w:rFonts w:hint="eastAsia" w:ascii="宋体" w:hAnsi="宋体" w:cs="宋体"/>
                <w:b w:val="0"/>
                <w:bCs w:val="0"/>
                <w:color w:val="auto"/>
                <w:sz w:val="20"/>
                <w:szCs w:val="20"/>
                <w:highlight w:val="none"/>
              </w:rPr>
              <w:t>数量进行</w:t>
            </w:r>
            <w:bookmarkEnd w:id="1197"/>
            <w:r>
              <w:rPr>
                <w:rFonts w:hint="eastAsia" w:ascii="宋体" w:hAnsi="宋体" w:cs="宋体"/>
                <w:b w:val="0"/>
                <w:bCs w:val="0"/>
                <w:color w:val="auto"/>
                <w:sz w:val="20"/>
                <w:szCs w:val="20"/>
                <w:highlight w:val="none"/>
              </w:rPr>
              <w:t>评分，人员</w:t>
            </w:r>
            <w:r>
              <w:rPr>
                <w:rFonts w:ascii="宋体" w:hAnsi="宋体" w:cs="宋体"/>
                <w:b w:val="0"/>
                <w:bCs w:val="0"/>
                <w:color w:val="auto"/>
                <w:sz w:val="20"/>
                <w:szCs w:val="20"/>
                <w:highlight w:val="none"/>
              </w:rPr>
              <w:t>数量达到</w:t>
            </w:r>
            <w:r>
              <w:rPr>
                <w:rFonts w:hint="eastAsia" w:ascii="宋体" w:hAnsi="宋体" w:cs="宋体"/>
                <w:b w:val="0"/>
                <w:bCs w:val="0"/>
                <w:color w:val="auto"/>
                <w:sz w:val="20"/>
                <w:szCs w:val="20"/>
                <w:highlight w:val="none"/>
                <w:lang w:val="en-US" w:eastAsia="zh-CN"/>
              </w:rPr>
              <w:t>1</w:t>
            </w:r>
            <w:r>
              <w:rPr>
                <w:rFonts w:hint="eastAsia" w:ascii="宋体" w:hAnsi="宋体" w:cs="宋体"/>
                <w:b w:val="0"/>
                <w:bCs w:val="0"/>
                <w:color w:val="auto"/>
                <w:sz w:val="20"/>
                <w:szCs w:val="20"/>
                <w:highlight w:val="none"/>
              </w:rPr>
              <w:t>人</w:t>
            </w:r>
            <w:r>
              <w:rPr>
                <w:rFonts w:ascii="宋体" w:hAnsi="宋体" w:cs="宋体"/>
                <w:b w:val="0"/>
                <w:bCs w:val="0"/>
                <w:color w:val="auto"/>
                <w:sz w:val="20"/>
                <w:szCs w:val="20"/>
                <w:highlight w:val="none"/>
              </w:rPr>
              <w:t>的得</w:t>
            </w:r>
            <w:r>
              <w:rPr>
                <w:rFonts w:hint="eastAsia" w:ascii="宋体" w:hAnsi="宋体" w:cs="宋体"/>
                <w:b w:val="0"/>
                <w:bCs w:val="0"/>
                <w:color w:val="auto"/>
                <w:sz w:val="20"/>
                <w:szCs w:val="20"/>
                <w:highlight w:val="none"/>
                <w:lang w:val="en-US" w:eastAsia="zh-CN"/>
              </w:rPr>
              <w:t>1</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，每增加</w:t>
            </w:r>
            <w:r>
              <w:rPr>
                <w:rFonts w:hint="eastAsia" w:ascii="宋体" w:hAnsi="宋体" w:cs="宋体"/>
                <w:b w:val="0"/>
                <w:bCs w:val="0"/>
                <w:color w:val="auto"/>
                <w:sz w:val="20"/>
                <w:szCs w:val="20"/>
                <w:highlight w:val="none"/>
                <w:lang w:val="en-US" w:eastAsia="zh-CN"/>
              </w:rPr>
              <w:t>1</w:t>
            </w:r>
            <w:r>
              <w:rPr>
                <w:rFonts w:hint="eastAsia" w:ascii="宋体" w:hAnsi="宋体" w:cs="宋体"/>
                <w:b w:val="0"/>
                <w:bCs w:val="0"/>
                <w:color w:val="auto"/>
                <w:sz w:val="20"/>
                <w:szCs w:val="20"/>
                <w:highlight w:val="none"/>
              </w:rPr>
              <w:t>人</w:t>
            </w:r>
            <w:r>
              <w:rPr>
                <w:rFonts w:ascii="宋体" w:hAnsi="宋体" w:cs="宋体"/>
                <w:b w:val="0"/>
                <w:bCs w:val="0"/>
                <w:color w:val="auto"/>
                <w:sz w:val="20"/>
                <w:szCs w:val="20"/>
                <w:highlight w:val="none"/>
              </w:rPr>
              <w:t>多得1</w:t>
            </w:r>
            <w:r>
              <w:rPr>
                <w:rFonts w:hint="eastAsia" w:ascii="宋体" w:hAnsi="宋体" w:cs="宋体"/>
                <w:b w:val="0"/>
                <w:bCs w:val="0"/>
                <w:color w:val="auto"/>
                <w:sz w:val="20"/>
                <w:szCs w:val="20"/>
                <w:highlight w:val="none"/>
              </w:rPr>
              <w:t>分</w:t>
            </w:r>
            <w:r>
              <w:rPr>
                <w:rFonts w:ascii="宋体" w:hAnsi="宋体" w:cs="宋体"/>
                <w:b w:val="0"/>
                <w:bCs w:val="0"/>
                <w:color w:val="auto"/>
                <w:sz w:val="20"/>
                <w:szCs w:val="20"/>
                <w:highlight w:val="none"/>
              </w:rPr>
              <w:t>，最高</w:t>
            </w:r>
            <w:r>
              <w:rPr>
                <w:rFonts w:hint="eastAsia" w:ascii="宋体" w:hAnsi="宋体" w:cs="宋体"/>
                <w:b w:val="0"/>
                <w:bCs w:val="0"/>
                <w:color w:val="auto"/>
                <w:sz w:val="20"/>
                <w:szCs w:val="20"/>
                <w:highlight w:val="none"/>
              </w:rPr>
              <w:t>得</w:t>
            </w:r>
            <w:r>
              <w:rPr>
                <w:rFonts w:ascii="宋体" w:hAnsi="宋体" w:cs="宋体"/>
                <w:b w:val="0"/>
                <w:bCs w:val="0"/>
                <w:color w:val="auto"/>
                <w:sz w:val="20"/>
                <w:szCs w:val="20"/>
                <w:highlight w:val="none"/>
              </w:rPr>
              <w:t>标准分。</w:t>
            </w:r>
          </w:p>
        </w:tc>
        <w:tc>
          <w:tcPr>
            <w:tcW w:w="804" w:type="dxa"/>
            <w:vAlign w:val="center"/>
          </w:tcPr>
          <w:p w14:paraId="3B281E3F">
            <w:pPr>
              <w:widowControl/>
              <w:snapToGrid w:val="0"/>
              <w:jc w:val="center"/>
              <w:rPr>
                <w:rFonts w:hint="default" w:ascii="宋体" w:hAnsi="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2分</w:t>
            </w:r>
          </w:p>
        </w:tc>
        <w:tc>
          <w:tcPr>
            <w:tcW w:w="2137" w:type="dxa"/>
            <w:vAlign w:val="center"/>
          </w:tcPr>
          <w:p w14:paraId="13B38FA9">
            <w:pPr>
              <w:widowControl/>
              <w:snapToGrid w:val="0"/>
              <w:spacing w:line="240" w:lineRule="auto"/>
              <w:jc w:val="left"/>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提供承诺，</w:t>
            </w:r>
            <w:bookmarkStart w:id="1198" w:name="OLE_LINK16"/>
            <w:r>
              <w:rPr>
                <w:rFonts w:hint="eastAsia" w:ascii="宋体" w:hAnsi="宋体" w:eastAsia="宋体" w:cs="宋体"/>
                <w:b w:val="0"/>
                <w:bCs w:val="0"/>
                <w:color w:val="auto"/>
                <w:sz w:val="20"/>
                <w:szCs w:val="20"/>
                <w:highlight w:val="none"/>
                <w:lang w:val="en-US" w:eastAsia="zh-CN"/>
              </w:rPr>
              <w:t>提供人员岗位</w:t>
            </w:r>
            <w:bookmarkStart w:id="1199" w:name="OLE_LINK15"/>
            <w:r>
              <w:rPr>
                <w:rFonts w:hint="eastAsia" w:ascii="宋体" w:hAnsi="宋体" w:eastAsia="宋体" w:cs="宋体"/>
                <w:b w:val="0"/>
                <w:bCs w:val="0"/>
                <w:color w:val="auto"/>
                <w:sz w:val="20"/>
                <w:szCs w:val="20"/>
                <w:highlight w:val="none"/>
                <w:lang w:val="en-US" w:eastAsia="zh-CN"/>
              </w:rPr>
              <w:t>名单、</w:t>
            </w:r>
            <w:r>
              <w:rPr>
                <w:rFonts w:ascii="宋体" w:hAnsi="宋体" w:cs="宋体"/>
                <w:b w:val="0"/>
                <w:bCs w:val="0"/>
                <w:color w:val="auto"/>
                <w:sz w:val="20"/>
                <w:szCs w:val="20"/>
                <w:highlight w:val="none"/>
              </w:rPr>
              <w:t>会计专业技术资格</w:t>
            </w:r>
            <w:r>
              <w:rPr>
                <w:rFonts w:hint="eastAsia" w:ascii="宋体" w:hAnsi="宋体" w:cs="宋体"/>
                <w:b w:val="0"/>
                <w:bCs w:val="0"/>
                <w:color w:val="auto"/>
                <w:sz w:val="20"/>
                <w:szCs w:val="20"/>
                <w:highlight w:val="none"/>
                <w:lang w:eastAsia="zh-CN"/>
              </w:rPr>
              <w:t>复印件</w:t>
            </w:r>
            <w:r>
              <w:rPr>
                <w:rFonts w:hint="eastAsia" w:ascii="宋体" w:hAnsi="宋体" w:eastAsia="宋体" w:cs="宋体"/>
                <w:b w:val="0"/>
                <w:bCs w:val="0"/>
                <w:color w:val="auto"/>
                <w:sz w:val="20"/>
                <w:szCs w:val="20"/>
                <w:highlight w:val="none"/>
                <w:lang w:val="en-US" w:eastAsia="zh-CN"/>
              </w:rPr>
              <w:t>及社保证明资料</w:t>
            </w:r>
            <w:bookmarkEnd w:id="1199"/>
            <w:r>
              <w:rPr>
                <w:rFonts w:hint="eastAsia" w:ascii="宋体" w:hAnsi="宋体" w:eastAsia="宋体" w:cs="宋体"/>
                <w:b w:val="0"/>
                <w:bCs w:val="0"/>
                <w:color w:val="auto"/>
                <w:sz w:val="20"/>
                <w:szCs w:val="20"/>
                <w:highlight w:val="none"/>
                <w:lang w:val="en-US" w:eastAsia="zh-CN"/>
              </w:rPr>
              <w:t>，社保不在本单位的，不予认可。签订合同前的实地考察过程中需对此项进行核查，如发现与投标文件不相符，则取消中标资格，作无效投标处理，并依据有关规定进</w:t>
            </w:r>
            <w:bookmarkEnd w:id="1198"/>
            <w:r>
              <w:rPr>
                <w:rFonts w:hint="eastAsia" w:ascii="宋体" w:hAnsi="宋体" w:eastAsia="宋体" w:cs="宋体"/>
                <w:b w:val="0"/>
                <w:bCs w:val="0"/>
                <w:color w:val="auto"/>
                <w:sz w:val="20"/>
                <w:szCs w:val="20"/>
                <w:highlight w:val="none"/>
                <w:lang w:val="en-US" w:eastAsia="zh-CN"/>
              </w:rPr>
              <w:t>行处理。</w:t>
            </w:r>
          </w:p>
        </w:tc>
      </w:tr>
      <w:tr w14:paraId="59E2B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3" w:hRule="atLeast"/>
        </w:trPr>
        <w:tc>
          <w:tcPr>
            <w:tcW w:w="425" w:type="dxa"/>
            <w:vMerge w:val="continue"/>
            <w:vAlign w:val="center"/>
          </w:tcPr>
          <w:p w14:paraId="2677E57D">
            <w:pPr>
              <w:pStyle w:val="22"/>
              <w:rPr>
                <w:rFonts w:hAnsi="宋体" w:cs="宋体"/>
                <w:b w:val="0"/>
                <w:bCs w:val="0"/>
                <w:color w:val="auto"/>
                <w:sz w:val="20"/>
                <w:szCs w:val="20"/>
                <w:highlight w:val="none"/>
              </w:rPr>
            </w:pPr>
          </w:p>
        </w:tc>
        <w:tc>
          <w:tcPr>
            <w:tcW w:w="568" w:type="dxa"/>
            <w:vMerge w:val="continue"/>
          </w:tcPr>
          <w:p w14:paraId="0B5EA8AC">
            <w:pPr>
              <w:widowControl/>
              <w:snapToGrid w:val="0"/>
              <w:jc w:val="left"/>
              <w:rPr>
                <w:rFonts w:ascii="宋体" w:hAnsi="宋体" w:cs="宋体"/>
                <w:b w:val="0"/>
                <w:bCs w:val="0"/>
                <w:color w:val="auto"/>
                <w:sz w:val="20"/>
                <w:szCs w:val="20"/>
                <w:highlight w:val="none"/>
              </w:rPr>
            </w:pPr>
          </w:p>
        </w:tc>
        <w:tc>
          <w:tcPr>
            <w:tcW w:w="680" w:type="dxa"/>
            <w:vMerge w:val="continue"/>
            <w:vAlign w:val="center"/>
          </w:tcPr>
          <w:p w14:paraId="2AB0D642">
            <w:pPr>
              <w:widowControl/>
              <w:snapToGrid w:val="0"/>
              <w:jc w:val="center"/>
              <w:rPr>
                <w:rFonts w:hint="eastAsia" w:ascii="宋体" w:hAnsi="宋体" w:cs="宋体"/>
                <w:b w:val="0"/>
                <w:bCs w:val="0"/>
                <w:color w:val="auto"/>
                <w:sz w:val="20"/>
                <w:szCs w:val="20"/>
                <w:highlight w:val="none"/>
              </w:rPr>
            </w:pPr>
          </w:p>
        </w:tc>
        <w:tc>
          <w:tcPr>
            <w:tcW w:w="5528" w:type="dxa"/>
            <w:vAlign w:val="center"/>
          </w:tcPr>
          <w:p w14:paraId="5E73C670">
            <w:pPr>
              <w:numPr>
                <w:ilvl w:val="0"/>
                <w:numId w:val="6"/>
              </w:numPr>
              <w:snapToGrid w:val="0"/>
              <w:spacing w:line="260" w:lineRule="exact"/>
              <w:jc w:val="left"/>
              <w:rPr>
                <w:rFonts w:hint="eastAsia"/>
                <w:sz w:val="20"/>
                <w:szCs w:val="20"/>
                <w:highlight w:val="none"/>
                <w:lang w:eastAsia="zh-CN"/>
              </w:rPr>
            </w:pPr>
            <w:r>
              <w:rPr>
                <w:rFonts w:hint="eastAsia" w:ascii="宋体" w:hAnsi="宋体" w:cs="宋体"/>
                <w:b w:val="0"/>
                <w:bCs w:val="0"/>
                <w:color w:val="auto"/>
                <w:sz w:val="20"/>
                <w:szCs w:val="20"/>
                <w:highlight w:val="none"/>
                <w:lang w:val="en-US" w:eastAsia="zh-CN"/>
              </w:rPr>
              <w:t>配送供应的大米、面、食用油，要取得符合《云南省教育厅 云南省粮食和物资储备局</w:t>
            </w:r>
            <w:r>
              <w:rPr>
                <w:rFonts w:hint="default" w:ascii="宋体" w:hAnsi="宋体" w:cs="宋体"/>
                <w:b w:val="0"/>
                <w:bCs w:val="0"/>
                <w:color w:val="auto"/>
                <w:sz w:val="20"/>
                <w:szCs w:val="20"/>
                <w:highlight w:val="none"/>
                <w:lang w:val="en-US" w:eastAsia="zh-CN"/>
              </w:rPr>
              <w:t>关于进一步规范学校食堂粮油采购工作的通知</w:t>
            </w:r>
            <w:r>
              <w:rPr>
                <w:rFonts w:hint="eastAsia" w:ascii="宋体" w:hAnsi="宋体" w:cs="宋体"/>
                <w:b w:val="0"/>
                <w:bCs w:val="0"/>
                <w:color w:val="auto"/>
                <w:sz w:val="20"/>
                <w:szCs w:val="20"/>
                <w:highlight w:val="none"/>
                <w:lang w:val="en-US" w:eastAsia="zh-CN"/>
              </w:rPr>
              <w:t>》（云教发〔</w:t>
            </w:r>
            <w:r>
              <w:rPr>
                <w:rFonts w:hint="default" w:ascii="宋体" w:hAnsi="宋体" w:cs="宋体"/>
                <w:b w:val="0"/>
                <w:bCs w:val="0"/>
                <w:color w:val="auto"/>
                <w:sz w:val="20"/>
                <w:szCs w:val="20"/>
                <w:highlight w:val="none"/>
                <w:lang w:val="en-US" w:eastAsia="zh-CN"/>
              </w:rPr>
              <w:t>2022〕62 号</w:t>
            </w:r>
            <w:r>
              <w:rPr>
                <w:rFonts w:hint="eastAsia" w:ascii="宋体" w:hAnsi="宋体" w:cs="宋体"/>
                <w:b w:val="0"/>
                <w:bCs w:val="0"/>
                <w:color w:val="auto"/>
                <w:sz w:val="20"/>
                <w:szCs w:val="20"/>
                <w:highlight w:val="none"/>
                <w:lang w:val="en-US" w:eastAsia="zh-CN"/>
              </w:rPr>
              <w:t>）关于“全面规范粮油采购工作及供货商条件”的粮油供货商对直销大米、面、食用油的授权。提供粮油供货商11项具体条件的声明文件和授权供应文件齐全的得5分，仅提供授权供应文件，粮油供货商11项具体条件不全的，每缺少一项扣1分。</w:t>
            </w:r>
          </w:p>
        </w:tc>
        <w:tc>
          <w:tcPr>
            <w:tcW w:w="804" w:type="dxa"/>
            <w:vAlign w:val="center"/>
          </w:tcPr>
          <w:p w14:paraId="62DDCC30">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5</w:t>
            </w:r>
            <w:r>
              <w:rPr>
                <w:rFonts w:hint="eastAsia" w:ascii="宋体" w:hAnsi="宋体" w:cs="宋体"/>
                <w:b w:val="0"/>
                <w:bCs w:val="0"/>
                <w:color w:val="auto"/>
                <w:sz w:val="20"/>
                <w:szCs w:val="20"/>
                <w:highlight w:val="none"/>
              </w:rPr>
              <w:t>分</w:t>
            </w:r>
          </w:p>
        </w:tc>
        <w:tc>
          <w:tcPr>
            <w:tcW w:w="2137" w:type="dxa"/>
            <w:vAlign w:val="center"/>
          </w:tcPr>
          <w:p w14:paraId="02A7972C">
            <w:pPr>
              <w:widowControl/>
              <w:snapToGrid w:val="0"/>
              <w:spacing w:line="240" w:lineRule="auto"/>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eastAsia="zh-CN"/>
              </w:rPr>
              <w:t>签订合同前的</w:t>
            </w:r>
            <w:r>
              <w:rPr>
                <w:rFonts w:hint="eastAsia" w:ascii="宋体" w:hAnsi="宋体" w:cs="宋体"/>
                <w:b w:val="0"/>
                <w:bCs w:val="0"/>
                <w:color w:val="auto"/>
                <w:sz w:val="20"/>
                <w:szCs w:val="20"/>
                <w:highlight w:val="none"/>
              </w:rPr>
              <w:t>实地考察过程中需对此项进行核查，如发现与投标文件中不相符，则取消中标资格，作无效投标处理，并依据有关规定进行</w:t>
            </w:r>
            <w:r>
              <w:rPr>
                <w:rFonts w:hint="eastAsia" w:ascii="宋体" w:hAnsi="宋体" w:cs="宋体"/>
                <w:b w:val="0"/>
                <w:bCs w:val="0"/>
                <w:color w:val="auto"/>
                <w:sz w:val="20"/>
                <w:szCs w:val="20"/>
                <w:highlight w:val="none"/>
                <w:lang w:eastAsia="zh-CN"/>
              </w:rPr>
              <w:t>处理。</w:t>
            </w:r>
          </w:p>
        </w:tc>
      </w:tr>
      <w:tr w14:paraId="12420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25" w:type="dxa"/>
            <w:vMerge w:val="restart"/>
            <w:vAlign w:val="center"/>
          </w:tcPr>
          <w:p w14:paraId="6C12AE9A">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5</w:t>
            </w:r>
          </w:p>
        </w:tc>
        <w:tc>
          <w:tcPr>
            <w:tcW w:w="568" w:type="dxa"/>
            <w:vMerge w:val="continue"/>
          </w:tcPr>
          <w:p w14:paraId="27C1BD53">
            <w:pPr>
              <w:widowControl/>
              <w:snapToGrid w:val="0"/>
              <w:jc w:val="left"/>
              <w:rPr>
                <w:rFonts w:ascii="宋体" w:hAnsi="宋体" w:cs="宋体"/>
                <w:b w:val="0"/>
                <w:bCs w:val="0"/>
                <w:color w:val="auto"/>
                <w:sz w:val="20"/>
                <w:szCs w:val="20"/>
                <w:highlight w:val="none"/>
              </w:rPr>
            </w:pPr>
          </w:p>
        </w:tc>
        <w:tc>
          <w:tcPr>
            <w:tcW w:w="680" w:type="dxa"/>
            <w:vMerge w:val="restart"/>
            <w:vAlign w:val="center"/>
          </w:tcPr>
          <w:p w14:paraId="4E403E2E">
            <w:pPr>
              <w:widowControl/>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应急保障</w:t>
            </w:r>
            <w:r>
              <w:rPr>
                <w:rFonts w:ascii="宋体" w:hAnsi="宋体" w:cs="宋体"/>
                <w:b w:val="0"/>
                <w:bCs w:val="0"/>
                <w:color w:val="auto"/>
                <w:sz w:val="20"/>
                <w:szCs w:val="20"/>
                <w:highlight w:val="none"/>
              </w:rPr>
              <w:t>方案</w:t>
            </w:r>
          </w:p>
        </w:tc>
        <w:tc>
          <w:tcPr>
            <w:tcW w:w="5528" w:type="dxa"/>
            <w:vAlign w:val="center"/>
          </w:tcPr>
          <w:p w14:paraId="3AE3DA51">
            <w:pPr>
              <w:snapToGrid w:val="0"/>
              <w:spacing w:line="260" w:lineRule="exact"/>
              <w:jc w:val="left"/>
              <w:rPr>
                <w:rFonts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1.根据投标供应商应急保障队伍是否完备进行</w:t>
            </w:r>
            <w:r>
              <w:rPr>
                <w:rFonts w:ascii="宋体" w:hAnsi="宋体" w:eastAsia="宋体" w:cs="宋体"/>
                <w:b w:val="0"/>
                <w:bCs w:val="0"/>
                <w:color w:val="auto"/>
                <w:sz w:val="20"/>
                <w:szCs w:val="20"/>
                <w:highlight w:val="none"/>
              </w:rPr>
              <w:t>评分</w:t>
            </w:r>
            <w:r>
              <w:rPr>
                <w:rFonts w:hint="eastAsia" w:ascii="宋体" w:hAnsi="宋体" w:eastAsia="宋体" w:cs="宋体"/>
                <w:b w:val="0"/>
                <w:bCs w:val="0"/>
                <w:color w:val="auto"/>
                <w:sz w:val="20"/>
                <w:szCs w:val="20"/>
                <w:highlight w:val="none"/>
              </w:rPr>
              <w:t>，优秀的得</w:t>
            </w:r>
            <w:r>
              <w:rPr>
                <w:rFonts w:hint="eastAsia" w:ascii="宋体" w:hAnsi="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分，一般的得</w:t>
            </w:r>
            <w:r>
              <w:rPr>
                <w:rFonts w:hint="eastAsia" w:ascii="宋体" w:hAnsi="宋体" w:cs="宋体"/>
                <w:b w:val="0"/>
                <w:bCs w:val="0"/>
                <w:color w:val="auto"/>
                <w:sz w:val="20"/>
                <w:szCs w:val="20"/>
                <w:highlight w:val="none"/>
                <w:lang w:val="en-US" w:eastAsia="zh-CN"/>
              </w:rPr>
              <w:t>1分</w:t>
            </w:r>
            <w:bookmarkStart w:id="1200" w:name="OLE_LINK20"/>
            <w:r>
              <w:rPr>
                <w:rFonts w:hint="eastAsia" w:ascii="宋体" w:hAnsi="宋体" w:cs="宋体"/>
                <w:b w:val="0"/>
                <w:bCs w:val="0"/>
                <w:color w:val="auto"/>
                <w:sz w:val="20"/>
                <w:szCs w:val="20"/>
                <w:highlight w:val="none"/>
                <w:lang w:val="en-US" w:eastAsia="zh-CN"/>
              </w:rPr>
              <w:t>,</w:t>
            </w:r>
            <w:bookmarkStart w:id="1201" w:name="OLE_LINK19"/>
            <w:r>
              <w:rPr>
                <w:rFonts w:hint="eastAsia" w:ascii="宋体" w:hAnsi="宋体" w:cs="宋体"/>
                <w:b w:val="0"/>
                <w:bCs w:val="0"/>
                <w:color w:val="auto"/>
                <w:sz w:val="20"/>
                <w:szCs w:val="20"/>
                <w:highlight w:val="none"/>
                <w:lang w:val="en-US" w:eastAsia="zh-CN"/>
              </w:rPr>
              <w:t>未提供的不得分</w:t>
            </w:r>
            <w:bookmarkEnd w:id="1200"/>
            <w:bookmarkEnd w:id="1201"/>
            <w:r>
              <w:rPr>
                <w:rFonts w:hint="eastAsia" w:ascii="宋体" w:hAnsi="宋体" w:cs="宋体"/>
                <w:b w:val="0"/>
                <w:bCs w:val="0"/>
                <w:color w:val="auto"/>
                <w:sz w:val="20"/>
                <w:szCs w:val="20"/>
                <w:highlight w:val="none"/>
                <w:lang w:val="en-US" w:eastAsia="zh-CN"/>
              </w:rPr>
              <w:t>。</w:t>
            </w:r>
          </w:p>
        </w:tc>
        <w:tc>
          <w:tcPr>
            <w:tcW w:w="804" w:type="dxa"/>
            <w:vAlign w:val="center"/>
          </w:tcPr>
          <w:p w14:paraId="4460A642">
            <w:pPr>
              <w:widowControl/>
              <w:snapToGrid w:val="0"/>
              <w:spacing w:line="260" w:lineRule="exact"/>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2</w:t>
            </w:r>
            <w:r>
              <w:rPr>
                <w:rFonts w:hint="eastAsia" w:ascii="宋体" w:hAnsi="宋体" w:cs="宋体"/>
                <w:b w:val="0"/>
                <w:bCs w:val="0"/>
                <w:color w:val="auto"/>
                <w:sz w:val="20"/>
                <w:szCs w:val="20"/>
                <w:highlight w:val="none"/>
              </w:rPr>
              <w:t>分</w:t>
            </w:r>
          </w:p>
        </w:tc>
        <w:tc>
          <w:tcPr>
            <w:tcW w:w="2137" w:type="dxa"/>
            <w:vMerge w:val="restart"/>
            <w:vAlign w:val="center"/>
          </w:tcPr>
          <w:p w14:paraId="560AF00D">
            <w:pPr>
              <w:widowControl/>
              <w:snapToGrid w:val="0"/>
              <w:spacing w:line="260" w:lineRule="exact"/>
              <w:jc w:val="left"/>
              <w:rPr>
                <w:rFonts w:hint="eastAsia" w:ascii="宋体" w:hAnsi="宋体" w:eastAsia="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rPr>
              <w:t>从保障队伍、保障机制、违约赔偿责任、保障设施等方面拟写方案</w:t>
            </w:r>
            <w:r>
              <w:rPr>
                <w:rFonts w:hint="eastAsia" w:ascii="宋体" w:hAnsi="宋体" w:cs="宋体"/>
                <w:b w:val="0"/>
                <w:bCs w:val="0"/>
                <w:color w:val="auto"/>
                <w:sz w:val="20"/>
                <w:szCs w:val="20"/>
                <w:highlight w:val="none"/>
                <w:lang w:eastAsia="zh-CN"/>
              </w:rPr>
              <w:t>。</w:t>
            </w:r>
          </w:p>
        </w:tc>
      </w:tr>
      <w:tr w14:paraId="2555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425" w:type="dxa"/>
            <w:vMerge w:val="continue"/>
            <w:vAlign w:val="center"/>
          </w:tcPr>
          <w:p w14:paraId="44AA0AC7">
            <w:pPr>
              <w:widowControl/>
              <w:snapToGrid w:val="0"/>
              <w:jc w:val="center"/>
              <w:rPr>
                <w:rFonts w:hint="eastAsia" w:ascii="宋体" w:hAnsi="宋体" w:cs="宋体"/>
                <w:b w:val="0"/>
                <w:bCs w:val="0"/>
                <w:color w:val="auto"/>
                <w:sz w:val="20"/>
                <w:szCs w:val="20"/>
                <w:highlight w:val="none"/>
              </w:rPr>
            </w:pPr>
          </w:p>
        </w:tc>
        <w:tc>
          <w:tcPr>
            <w:tcW w:w="568" w:type="dxa"/>
            <w:vMerge w:val="continue"/>
          </w:tcPr>
          <w:p w14:paraId="27042BC4">
            <w:pPr>
              <w:widowControl/>
              <w:snapToGrid w:val="0"/>
              <w:jc w:val="left"/>
              <w:rPr>
                <w:rFonts w:ascii="宋体" w:hAnsi="宋体" w:cs="宋体"/>
                <w:b w:val="0"/>
                <w:bCs w:val="0"/>
                <w:color w:val="auto"/>
                <w:sz w:val="20"/>
                <w:szCs w:val="20"/>
                <w:highlight w:val="none"/>
              </w:rPr>
            </w:pPr>
          </w:p>
        </w:tc>
        <w:tc>
          <w:tcPr>
            <w:tcW w:w="680" w:type="dxa"/>
            <w:vMerge w:val="continue"/>
            <w:vAlign w:val="center"/>
          </w:tcPr>
          <w:p w14:paraId="45536730">
            <w:pPr>
              <w:widowControl/>
              <w:snapToGrid w:val="0"/>
              <w:jc w:val="center"/>
              <w:rPr>
                <w:rFonts w:hint="eastAsia" w:ascii="宋体" w:hAnsi="宋体" w:cs="宋体"/>
                <w:b w:val="0"/>
                <w:bCs w:val="0"/>
                <w:color w:val="auto"/>
                <w:sz w:val="20"/>
                <w:szCs w:val="20"/>
                <w:highlight w:val="none"/>
              </w:rPr>
            </w:pPr>
          </w:p>
        </w:tc>
        <w:tc>
          <w:tcPr>
            <w:tcW w:w="5528" w:type="dxa"/>
            <w:vAlign w:val="center"/>
          </w:tcPr>
          <w:p w14:paraId="72925AEB">
            <w:pPr>
              <w:snapToGrid w:val="0"/>
              <w:spacing w:line="260" w:lineRule="exact"/>
              <w:jc w:val="left"/>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2.根据投标供应商应急保障机制是否健全进行</w:t>
            </w:r>
            <w:r>
              <w:rPr>
                <w:rFonts w:ascii="宋体" w:hAnsi="宋体" w:eastAsia="宋体" w:cs="宋体"/>
                <w:b w:val="0"/>
                <w:bCs w:val="0"/>
                <w:color w:val="auto"/>
                <w:sz w:val="20"/>
                <w:szCs w:val="20"/>
                <w:highlight w:val="none"/>
              </w:rPr>
              <w:t>评分，</w:t>
            </w:r>
            <w:r>
              <w:rPr>
                <w:rFonts w:hint="eastAsia" w:ascii="宋体" w:hAnsi="宋体" w:eastAsia="宋体" w:cs="宋体"/>
                <w:b w:val="0"/>
                <w:bCs w:val="0"/>
                <w:color w:val="auto"/>
                <w:sz w:val="20"/>
                <w:szCs w:val="20"/>
                <w:highlight w:val="none"/>
              </w:rPr>
              <w:t>优秀的得</w:t>
            </w:r>
            <w:r>
              <w:rPr>
                <w:rFonts w:hint="eastAsia" w:ascii="宋体" w:hAnsi="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分，一般的得</w:t>
            </w:r>
            <w:r>
              <w:rPr>
                <w:rFonts w:hint="eastAsia" w:ascii="宋体" w:hAnsi="宋体" w:cs="宋体"/>
                <w:b w:val="0"/>
                <w:bCs w:val="0"/>
                <w:color w:val="auto"/>
                <w:sz w:val="20"/>
                <w:szCs w:val="20"/>
                <w:highlight w:val="none"/>
                <w:lang w:val="en-US" w:eastAsia="zh-CN"/>
              </w:rPr>
              <w:t>1</w:t>
            </w:r>
            <w:r>
              <w:rPr>
                <w:rFonts w:hint="eastAsia" w:ascii="宋体" w:hAnsi="宋体" w:eastAsia="宋体" w:cs="宋体"/>
                <w:b w:val="0"/>
                <w:bCs w:val="0"/>
                <w:color w:val="auto"/>
                <w:sz w:val="20"/>
                <w:szCs w:val="20"/>
                <w:highlight w:val="none"/>
              </w:rPr>
              <w:t>分</w:t>
            </w:r>
            <w:r>
              <w:rPr>
                <w:rFonts w:hint="eastAsia" w:ascii="宋体" w:hAnsi="宋体" w:cs="宋体"/>
                <w:b w:val="0"/>
                <w:bCs w:val="0"/>
                <w:color w:val="auto"/>
                <w:sz w:val="20"/>
                <w:szCs w:val="20"/>
                <w:highlight w:val="none"/>
                <w:lang w:eastAsia="zh-CN"/>
              </w:rPr>
              <w:t>，</w:t>
            </w:r>
            <w:r>
              <w:rPr>
                <w:rFonts w:hint="eastAsia" w:ascii="宋体" w:hAnsi="宋体" w:cs="宋体"/>
                <w:b w:val="0"/>
                <w:bCs w:val="0"/>
                <w:color w:val="auto"/>
                <w:sz w:val="20"/>
                <w:szCs w:val="20"/>
                <w:highlight w:val="none"/>
                <w:lang w:val="en-US" w:eastAsia="zh-CN"/>
              </w:rPr>
              <w:t>未提供的不得分</w:t>
            </w:r>
            <w:r>
              <w:rPr>
                <w:rFonts w:hint="eastAsia" w:ascii="宋体" w:hAnsi="宋体" w:eastAsia="宋体" w:cs="宋体"/>
                <w:b w:val="0"/>
                <w:bCs w:val="0"/>
                <w:color w:val="auto"/>
                <w:sz w:val="20"/>
                <w:szCs w:val="20"/>
                <w:highlight w:val="none"/>
              </w:rPr>
              <w:t>。</w:t>
            </w:r>
          </w:p>
        </w:tc>
        <w:tc>
          <w:tcPr>
            <w:tcW w:w="804" w:type="dxa"/>
            <w:vAlign w:val="center"/>
          </w:tcPr>
          <w:p w14:paraId="2887BD63">
            <w:pPr>
              <w:widowControl/>
              <w:snapToGrid w:val="0"/>
              <w:spacing w:line="260" w:lineRule="exact"/>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2</w:t>
            </w:r>
            <w:r>
              <w:rPr>
                <w:rFonts w:hint="eastAsia" w:ascii="宋体" w:hAnsi="宋体" w:cs="宋体"/>
                <w:b w:val="0"/>
                <w:bCs w:val="0"/>
                <w:color w:val="auto"/>
                <w:sz w:val="20"/>
                <w:szCs w:val="20"/>
                <w:highlight w:val="none"/>
              </w:rPr>
              <w:t>分</w:t>
            </w:r>
          </w:p>
        </w:tc>
        <w:tc>
          <w:tcPr>
            <w:tcW w:w="2137" w:type="dxa"/>
            <w:vMerge w:val="continue"/>
            <w:vAlign w:val="center"/>
          </w:tcPr>
          <w:p w14:paraId="1B5A0580">
            <w:pPr>
              <w:widowControl/>
              <w:snapToGrid w:val="0"/>
              <w:spacing w:line="260" w:lineRule="exact"/>
              <w:jc w:val="left"/>
              <w:rPr>
                <w:rFonts w:hint="eastAsia" w:ascii="宋体" w:hAnsi="宋体" w:cs="宋体"/>
                <w:b w:val="0"/>
                <w:bCs w:val="0"/>
                <w:color w:val="auto"/>
                <w:sz w:val="20"/>
                <w:szCs w:val="20"/>
                <w:highlight w:val="none"/>
              </w:rPr>
            </w:pPr>
          </w:p>
        </w:tc>
      </w:tr>
      <w:tr w14:paraId="7D3A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425" w:type="dxa"/>
            <w:vMerge w:val="continue"/>
            <w:vAlign w:val="center"/>
          </w:tcPr>
          <w:p w14:paraId="58F7042F">
            <w:pPr>
              <w:widowControl/>
              <w:snapToGrid w:val="0"/>
              <w:jc w:val="center"/>
              <w:rPr>
                <w:rFonts w:hint="eastAsia" w:ascii="宋体" w:hAnsi="宋体" w:cs="宋体"/>
                <w:b w:val="0"/>
                <w:bCs w:val="0"/>
                <w:color w:val="auto"/>
                <w:sz w:val="20"/>
                <w:szCs w:val="20"/>
                <w:highlight w:val="none"/>
              </w:rPr>
            </w:pPr>
          </w:p>
        </w:tc>
        <w:tc>
          <w:tcPr>
            <w:tcW w:w="568" w:type="dxa"/>
            <w:vMerge w:val="continue"/>
          </w:tcPr>
          <w:p w14:paraId="77094196">
            <w:pPr>
              <w:widowControl/>
              <w:snapToGrid w:val="0"/>
              <w:jc w:val="left"/>
              <w:rPr>
                <w:rFonts w:ascii="宋体" w:hAnsi="宋体" w:cs="宋体"/>
                <w:b w:val="0"/>
                <w:bCs w:val="0"/>
                <w:color w:val="auto"/>
                <w:sz w:val="20"/>
                <w:szCs w:val="20"/>
                <w:highlight w:val="none"/>
              </w:rPr>
            </w:pPr>
          </w:p>
        </w:tc>
        <w:tc>
          <w:tcPr>
            <w:tcW w:w="680" w:type="dxa"/>
            <w:vMerge w:val="continue"/>
            <w:vAlign w:val="center"/>
          </w:tcPr>
          <w:p w14:paraId="39B3D4D5">
            <w:pPr>
              <w:widowControl/>
              <w:snapToGrid w:val="0"/>
              <w:jc w:val="center"/>
              <w:rPr>
                <w:rFonts w:hint="eastAsia" w:ascii="宋体" w:hAnsi="宋体" w:cs="宋体"/>
                <w:b w:val="0"/>
                <w:bCs w:val="0"/>
                <w:color w:val="auto"/>
                <w:sz w:val="20"/>
                <w:szCs w:val="20"/>
                <w:highlight w:val="none"/>
              </w:rPr>
            </w:pPr>
          </w:p>
        </w:tc>
        <w:tc>
          <w:tcPr>
            <w:tcW w:w="5528" w:type="dxa"/>
            <w:vAlign w:val="center"/>
          </w:tcPr>
          <w:p w14:paraId="7488FE21">
            <w:pPr>
              <w:snapToGrid w:val="0"/>
              <w:spacing w:line="26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3.根据投标供应商应急保障设施是否配套进行评分，</w:t>
            </w:r>
            <w:r>
              <w:rPr>
                <w:rFonts w:hint="eastAsia" w:ascii="宋体" w:hAnsi="宋体" w:eastAsia="宋体" w:cs="宋体"/>
                <w:b w:val="0"/>
                <w:bCs w:val="0"/>
                <w:color w:val="auto"/>
                <w:sz w:val="20"/>
                <w:szCs w:val="20"/>
                <w:highlight w:val="none"/>
              </w:rPr>
              <w:t>优秀的得</w:t>
            </w:r>
            <w:r>
              <w:rPr>
                <w:rFonts w:hint="eastAsia" w:ascii="宋体" w:hAnsi="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分，一般的得</w:t>
            </w:r>
            <w:r>
              <w:rPr>
                <w:rFonts w:hint="eastAsia" w:ascii="宋体" w:hAnsi="宋体" w:cs="宋体"/>
                <w:b w:val="0"/>
                <w:bCs w:val="0"/>
                <w:color w:val="auto"/>
                <w:sz w:val="20"/>
                <w:szCs w:val="20"/>
                <w:highlight w:val="none"/>
                <w:lang w:val="en-US" w:eastAsia="zh-CN"/>
              </w:rPr>
              <w:t>1</w:t>
            </w:r>
            <w:r>
              <w:rPr>
                <w:rFonts w:hint="eastAsia" w:ascii="宋体" w:hAnsi="宋体" w:eastAsia="宋体" w:cs="宋体"/>
                <w:b w:val="0"/>
                <w:bCs w:val="0"/>
                <w:color w:val="auto"/>
                <w:sz w:val="20"/>
                <w:szCs w:val="20"/>
                <w:highlight w:val="none"/>
              </w:rPr>
              <w:t>分</w:t>
            </w:r>
            <w:r>
              <w:rPr>
                <w:rFonts w:hint="eastAsia" w:ascii="宋体" w:hAnsi="宋体" w:cs="宋体"/>
                <w:b w:val="0"/>
                <w:bCs w:val="0"/>
                <w:color w:val="auto"/>
                <w:sz w:val="20"/>
                <w:szCs w:val="20"/>
                <w:highlight w:val="none"/>
                <w:lang w:val="en-US" w:eastAsia="zh-CN"/>
              </w:rPr>
              <w:t>,未提供的不得分</w:t>
            </w:r>
            <w:r>
              <w:rPr>
                <w:rFonts w:hint="eastAsia" w:ascii="宋体" w:hAnsi="宋体" w:eastAsia="宋体" w:cs="宋体"/>
                <w:b w:val="0"/>
                <w:bCs w:val="0"/>
                <w:color w:val="auto"/>
                <w:sz w:val="20"/>
                <w:szCs w:val="20"/>
                <w:highlight w:val="none"/>
              </w:rPr>
              <w:t>。</w:t>
            </w:r>
          </w:p>
        </w:tc>
        <w:tc>
          <w:tcPr>
            <w:tcW w:w="804" w:type="dxa"/>
            <w:vAlign w:val="center"/>
          </w:tcPr>
          <w:p w14:paraId="6C499015">
            <w:pPr>
              <w:widowControl/>
              <w:snapToGrid w:val="0"/>
              <w:spacing w:line="260" w:lineRule="exact"/>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2</w:t>
            </w:r>
            <w:r>
              <w:rPr>
                <w:rFonts w:hint="eastAsia" w:ascii="宋体" w:hAnsi="宋体" w:cs="宋体"/>
                <w:b w:val="0"/>
                <w:bCs w:val="0"/>
                <w:color w:val="auto"/>
                <w:sz w:val="20"/>
                <w:szCs w:val="20"/>
                <w:highlight w:val="none"/>
              </w:rPr>
              <w:t>分</w:t>
            </w:r>
          </w:p>
        </w:tc>
        <w:tc>
          <w:tcPr>
            <w:tcW w:w="2137" w:type="dxa"/>
            <w:vMerge w:val="continue"/>
            <w:vAlign w:val="center"/>
          </w:tcPr>
          <w:p w14:paraId="6C0C393F">
            <w:pPr>
              <w:widowControl/>
              <w:snapToGrid w:val="0"/>
              <w:spacing w:line="260" w:lineRule="exact"/>
              <w:jc w:val="left"/>
              <w:rPr>
                <w:rFonts w:hint="eastAsia" w:ascii="宋体" w:hAnsi="宋体" w:cs="宋体"/>
                <w:b w:val="0"/>
                <w:bCs w:val="0"/>
                <w:color w:val="auto"/>
                <w:sz w:val="20"/>
                <w:szCs w:val="20"/>
                <w:highlight w:val="none"/>
              </w:rPr>
            </w:pPr>
          </w:p>
        </w:tc>
      </w:tr>
      <w:tr w14:paraId="2D17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425" w:type="dxa"/>
            <w:vMerge w:val="restart"/>
            <w:vAlign w:val="center"/>
          </w:tcPr>
          <w:p w14:paraId="09197F7F">
            <w:pPr>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6</w:t>
            </w:r>
          </w:p>
        </w:tc>
        <w:tc>
          <w:tcPr>
            <w:tcW w:w="568" w:type="dxa"/>
            <w:vMerge w:val="continue"/>
          </w:tcPr>
          <w:p w14:paraId="75793FCA">
            <w:pPr>
              <w:widowControl/>
              <w:snapToGrid w:val="0"/>
              <w:jc w:val="left"/>
              <w:rPr>
                <w:rFonts w:ascii="宋体" w:hAnsi="宋体" w:cs="宋体"/>
                <w:b w:val="0"/>
                <w:bCs w:val="0"/>
                <w:color w:val="auto"/>
                <w:sz w:val="20"/>
                <w:szCs w:val="20"/>
                <w:highlight w:val="none"/>
              </w:rPr>
            </w:pPr>
          </w:p>
        </w:tc>
        <w:tc>
          <w:tcPr>
            <w:tcW w:w="680" w:type="dxa"/>
            <w:vMerge w:val="restart"/>
            <w:vAlign w:val="center"/>
          </w:tcPr>
          <w:p w14:paraId="227F5A71">
            <w:pPr>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售后</w:t>
            </w:r>
            <w:r>
              <w:rPr>
                <w:rFonts w:ascii="宋体" w:hAnsi="宋体" w:cs="宋体"/>
                <w:b w:val="0"/>
                <w:bCs w:val="0"/>
                <w:color w:val="auto"/>
                <w:sz w:val="20"/>
                <w:szCs w:val="20"/>
                <w:highlight w:val="none"/>
              </w:rPr>
              <w:t>及</w:t>
            </w:r>
            <w:r>
              <w:rPr>
                <w:rFonts w:hint="eastAsia" w:ascii="宋体" w:hAnsi="宋体" w:cs="宋体"/>
                <w:b w:val="0"/>
                <w:bCs w:val="0"/>
                <w:color w:val="auto"/>
                <w:sz w:val="20"/>
                <w:szCs w:val="20"/>
                <w:highlight w:val="none"/>
              </w:rPr>
              <w:t>保障方案</w:t>
            </w:r>
          </w:p>
        </w:tc>
        <w:tc>
          <w:tcPr>
            <w:tcW w:w="5528" w:type="dxa"/>
            <w:vAlign w:val="center"/>
          </w:tcPr>
          <w:p w14:paraId="3316762B">
            <w:pPr>
              <w:widowControl/>
              <w:snapToGrid w:val="0"/>
              <w:spacing w:line="26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1.根据投标供应商响应机制进行</w:t>
            </w:r>
            <w:r>
              <w:rPr>
                <w:rFonts w:ascii="宋体" w:hAnsi="宋体" w:cs="宋体"/>
                <w:b w:val="0"/>
                <w:bCs w:val="0"/>
                <w:color w:val="auto"/>
                <w:sz w:val="20"/>
                <w:szCs w:val="20"/>
                <w:highlight w:val="none"/>
              </w:rPr>
              <w:t>评分，</w:t>
            </w:r>
            <w:r>
              <w:rPr>
                <w:rFonts w:hint="eastAsia" w:ascii="宋体" w:hAnsi="宋体" w:cs="宋体"/>
                <w:b w:val="0"/>
                <w:bCs w:val="0"/>
                <w:color w:val="auto"/>
                <w:sz w:val="20"/>
                <w:szCs w:val="20"/>
                <w:highlight w:val="none"/>
              </w:rPr>
              <w:t>优秀的得</w:t>
            </w: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分，良好的得</w:t>
            </w:r>
            <w:r>
              <w:rPr>
                <w:rFonts w:hint="eastAsia" w:ascii="宋体" w:hAnsi="宋体" w:cs="宋体"/>
                <w:b w:val="0"/>
                <w:bCs w:val="0"/>
                <w:color w:val="auto"/>
                <w:sz w:val="20"/>
                <w:szCs w:val="20"/>
                <w:highlight w:val="none"/>
                <w:lang w:val="en-US" w:eastAsia="zh-CN"/>
              </w:rPr>
              <w:t>2</w:t>
            </w:r>
            <w:r>
              <w:rPr>
                <w:rFonts w:hint="eastAsia" w:ascii="宋体" w:hAnsi="宋体" w:cs="宋体"/>
                <w:b w:val="0"/>
                <w:bCs w:val="0"/>
                <w:color w:val="auto"/>
                <w:sz w:val="20"/>
                <w:szCs w:val="20"/>
                <w:highlight w:val="none"/>
              </w:rPr>
              <w:t>分，一般的得1分</w:t>
            </w:r>
            <w:r>
              <w:rPr>
                <w:rFonts w:hint="eastAsia" w:ascii="宋体" w:hAnsi="宋体" w:cs="宋体"/>
                <w:b w:val="0"/>
                <w:bCs w:val="0"/>
                <w:color w:val="auto"/>
                <w:sz w:val="20"/>
                <w:szCs w:val="20"/>
                <w:highlight w:val="none"/>
                <w:lang w:val="en-US" w:eastAsia="zh-CN"/>
              </w:rPr>
              <w:t>,未提供的不得分</w:t>
            </w:r>
            <w:r>
              <w:rPr>
                <w:rFonts w:hint="eastAsia" w:ascii="宋体" w:hAnsi="宋体" w:cs="宋体"/>
                <w:b w:val="0"/>
                <w:bCs w:val="0"/>
                <w:color w:val="auto"/>
                <w:sz w:val="20"/>
                <w:szCs w:val="20"/>
                <w:highlight w:val="none"/>
              </w:rPr>
              <w:t>。</w:t>
            </w:r>
          </w:p>
        </w:tc>
        <w:tc>
          <w:tcPr>
            <w:tcW w:w="804" w:type="dxa"/>
            <w:vAlign w:val="center"/>
          </w:tcPr>
          <w:p w14:paraId="0493B90A">
            <w:pPr>
              <w:widowControl/>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w:t>
            </w:r>
          </w:p>
        </w:tc>
        <w:tc>
          <w:tcPr>
            <w:tcW w:w="2137" w:type="dxa"/>
            <w:vMerge w:val="restart"/>
            <w:vAlign w:val="center"/>
          </w:tcPr>
          <w:p w14:paraId="3D110F7D">
            <w:pPr>
              <w:snapToGrid w:val="0"/>
              <w:spacing w:line="240" w:lineRule="auto"/>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从响应</w:t>
            </w:r>
            <w:r>
              <w:rPr>
                <w:rFonts w:ascii="宋体" w:hAnsi="宋体" w:cs="宋体"/>
                <w:b w:val="0"/>
                <w:bCs w:val="0"/>
                <w:color w:val="auto"/>
                <w:sz w:val="20"/>
                <w:szCs w:val="20"/>
                <w:highlight w:val="none"/>
              </w:rPr>
              <w:t>机制、配送服务承诺、违约赔偿责任、保障</w:t>
            </w:r>
            <w:r>
              <w:rPr>
                <w:rFonts w:hint="eastAsia" w:ascii="宋体" w:hAnsi="宋体" w:cs="宋体"/>
                <w:b w:val="0"/>
                <w:bCs w:val="0"/>
                <w:color w:val="auto"/>
                <w:sz w:val="20"/>
                <w:szCs w:val="20"/>
                <w:highlight w:val="none"/>
              </w:rPr>
              <w:t>方案等方面拟写方案</w:t>
            </w:r>
          </w:p>
        </w:tc>
      </w:tr>
      <w:tr w14:paraId="0D54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425" w:type="dxa"/>
            <w:vMerge w:val="continue"/>
            <w:vAlign w:val="center"/>
          </w:tcPr>
          <w:p w14:paraId="671B668C">
            <w:pPr>
              <w:snapToGrid w:val="0"/>
              <w:jc w:val="center"/>
              <w:rPr>
                <w:rFonts w:hint="eastAsia" w:ascii="宋体" w:hAnsi="宋体" w:cs="宋体"/>
                <w:b w:val="0"/>
                <w:bCs w:val="0"/>
                <w:color w:val="auto"/>
                <w:sz w:val="20"/>
                <w:szCs w:val="20"/>
                <w:highlight w:val="none"/>
              </w:rPr>
            </w:pPr>
          </w:p>
        </w:tc>
        <w:tc>
          <w:tcPr>
            <w:tcW w:w="568" w:type="dxa"/>
            <w:vMerge w:val="continue"/>
          </w:tcPr>
          <w:p w14:paraId="2448CB64">
            <w:pPr>
              <w:widowControl/>
              <w:snapToGrid w:val="0"/>
              <w:jc w:val="left"/>
              <w:rPr>
                <w:rFonts w:ascii="宋体" w:hAnsi="宋体" w:cs="宋体"/>
                <w:b w:val="0"/>
                <w:bCs w:val="0"/>
                <w:color w:val="auto"/>
                <w:sz w:val="20"/>
                <w:szCs w:val="20"/>
                <w:highlight w:val="none"/>
              </w:rPr>
            </w:pPr>
          </w:p>
        </w:tc>
        <w:tc>
          <w:tcPr>
            <w:tcW w:w="680" w:type="dxa"/>
            <w:vMerge w:val="continue"/>
            <w:vAlign w:val="center"/>
          </w:tcPr>
          <w:p w14:paraId="4EA06ECC">
            <w:pPr>
              <w:snapToGrid w:val="0"/>
              <w:jc w:val="center"/>
              <w:rPr>
                <w:rFonts w:hint="eastAsia" w:ascii="宋体" w:hAnsi="宋体" w:cs="宋体"/>
                <w:b w:val="0"/>
                <w:bCs w:val="0"/>
                <w:color w:val="auto"/>
                <w:sz w:val="20"/>
                <w:szCs w:val="20"/>
                <w:highlight w:val="none"/>
              </w:rPr>
            </w:pPr>
          </w:p>
        </w:tc>
        <w:tc>
          <w:tcPr>
            <w:tcW w:w="5528" w:type="dxa"/>
            <w:vAlign w:val="center"/>
          </w:tcPr>
          <w:p w14:paraId="30BDB49E">
            <w:pPr>
              <w:widowControl/>
              <w:snapToGrid w:val="0"/>
              <w:spacing w:line="260" w:lineRule="exact"/>
              <w:jc w:val="left"/>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2.根据投标供应商服务承诺进行</w:t>
            </w:r>
            <w:r>
              <w:rPr>
                <w:rFonts w:ascii="宋体" w:hAnsi="宋体" w:cs="宋体"/>
                <w:b w:val="0"/>
                <w:bCs w:val="0"/>
                <w:color w:val="auto"/>
                <w:sz w:val="20"/>
                <w:szCs w:val="20"/>
                <w:highlight w:val="none"/>
              </w:rPr>
              <w:t>评分，</w:t>
            </w:r>
            <w:r>
              <w:rPr>
                <w:rFonts w:hint="eastAsia" w:ascii="宋体" w:hAnsi="宋体" w:cs="宋体"/>
                <w:b w:val="0"/>
                <w:bCs w:val="0"/>
                <w:color w:val="auto"/>
                <w:sz w:val="20"/>
                <w:szCs w:val="20"/>
                <w:highlight w:val="none"/>
              </w:rPr>
              <w:t>优秀的得</w:t>
            </w: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分，良好的得</w:t>
            </w:r>
            <w:r>
              <w:rPr>
                <w:rFonts w:hint="eastAsia" w:ascii="宋体" w:hAnsi="宋体" w:cs="宋体"/>
                <w:b w:val="0"/>
                <w:bCs w:val="0"/>
                <w:color w:val="auto"/>
                <w:sz w:val="20"/>
                <w:szCs w:val="20"/>
                <w:highlight w:val="none"/>
                <w:lang w:val="en-US" w:eastAsia="zh-CN"/>
              </w:rPr>
              <w:t>2</w:t>
            </w:r>
            <w:r>
              <w:rPr>
                <w:rFonts w:hint="eastAsia" w:ascii="宋体" w:hAnsi="宋体" w:cs="宋体"/>
                <w:b w:val="0"/>
                <w:bCs w:val="0"/>
                <w:color w:val="auto"/>
                <w:sz w:val="20"/>
                <w:szCs w:val="20"/>
                <w:highlight w:val="none"/>
              </w:rPr>
              <w:t>分，一般的得1分</w:t>
            </w:r>
            <w:r>
              <w:rPr>
                <w:rFonts w:hint="eastAsia" w:ascii="宋体" w:hAnsi="宋体" w:cs="宋体"/>
                <w:b w:val="0"/>
                <w:bCs w:val="0"/>
                <w:color w:val="auto"/>
                <w:sz w:val="20"/>
                <w:szCs w:val="20"/>
                <w:highlight w:val="none"/>
                <w:lang w:val="en-US" w:eastAsia="zh-CN"/>
              </w:rPr>
              <w:t>,未提供的不得分</w:t>
            </w:r>
            <w:r>
              <w:rPr>
                <w:rFonts w:hint="eastAsia" w:ascii="宋体" w:hAnsi="宋体" w:cs="宋体"/>
                <w:b w:val="0"/>
                <w:bCs w:val="0"/>
                <w:color w:val="auto"/>
                <w:sz w:val="20"/>
                <w:szCs w:val="20"/>
                <w:highlight w:val="none"/>
              </w:rPr>
              <w:t>。</w:t>
            </w:r>
          </w:p>
        </w:tc>
        <w:tc>
          <w:tcPr>
            <w:tcW w:w="804" w:type="dxa"/>
            <w:vAlign w:val="center"/>
          </w:tcPr>
          <w:p w14:paraId="07E3F31A">
            <w:pPr>
              <w:widowControl/>
              <w:snapToGrid w:val="0"/>
              <w:jc w:val="center"/>
              <w:rPr>
                <w:rFonts w:hint="eastAsia"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w:t>
            </w:r>
          </w:p>
        </w:tc>
        <w:tc>
          <w:tcPr>
            <w:tcW w:w="2137" w:type="dxa"/>
            <w:vMerge w:val="continue"/>
            <w:vAlign w:val="center"/>
          </w:tcPr>
          <w:p w14:paraId="0704757B">
            <w:pPr>
              <w:snapToGrid w:val="0"/>
              <w:jc w:val="center"/>
              <w:rPr>
                <w:rFonts w:hint="eastAsia" w:ascii="宋体" w:hAnsi="宋体" w:cs="宋体"/>
                <w:b w:val="0"/>
                <w:bCs w:val="0"/>
                <w:color w:val="auto"/>
                <w:sz w:val="20"/>
                <w:szCs w:val="20"/>
                <w:highlight w:val="none"/>
              </w:rPr>
            </w:pPr>
          </w:p>
        </w:tc>
      </w:tr>
      <w:tr w14:paraId="2443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425" w:type="dxa"/>
            <w:vMerge w:val="continue"/>
            <w:vAlign w:val="center"/>
          </w:tcPr>
          <w:p w14:paraId="1A0BEA1E">
            <w:pPr>
              <w:widowControl/>
              <w:snapToGrid w:val="0"/>
              <w:jc w:val="center"/>
              <w:rPr>
                <w:rFonts w:ascii="宋体" w:hAnsi="宋体" w:cs="宋体"/>
                <w:b w:val="0"/>
                <w:bCs w:val="0"/>
                <w:color w:val="auto"/>
                <w:sz w:val="20"/>
                <w:szCs w:val="20"/>
                <w:highlight w:val="none"/>
              </w:rPr>
            </w:pPr>
          </w:p>
        </w:tc>
        <w:tc>
          <w:tcPr>
            <w:tcW w:w="568" w:type="dxa"/>
            <w:vMerge w:val="continue"/>
          </w:tcPr>
          <w:p w14:paraId="50B4B014">
            <w:pPr>
              <w:widowControl/>
              <w:snapToGrid w:val="0"/>
              <w:jc w:val="left"/>
              <w:rPr>
                <w:rFonts w:ascii="宋体" w:hAnsi="宋体" w:cs="宋体"/>
                <w:b w:val="0"/>
                <w:bCs w:val="0"/>
                <w:color w:val="auto"/>
                <w:sz w:val="20"/>
                <w:szCs w:val="20"/>
                <w:highlight w:val="none"/>
              </w:rPr>
            </w:pPr>
          </w:p>
        </w:tc>
        <w:tc>
          <w:tcPr>
            <w:tcW w:w="680" w:type="dxa"/>
            <w:vMerge w:val="continue"/>
            <w:vAlign w:val="center"/>
          </w:tcPr>
          <w:p w14:paraId="5CE9B494">
            <w:pPr>
              <w:widowControl/>
              <w:snapToGrid w:val="0"/>
              <w:jc w:val="center"/>
              <w:rPr>
                <w:rFonts w:ascii="宋体" w:hAnsi="宋体" w:cs="宋体"/>
                <w:b w:val="0"/>
                <w:bCs w:val="0"/>
                <w:color w:val="auto"/>
                <w:sz w:val="20"/>
                <w:szCs w:val="20"/>
                <w:highlight w:val="none"/>
              </w:rPr>
            </w:pPr>
          </w:p>
        </w:tc>
        <w:tc>
          <w:tcPr>
            <w:tcW w:w="5528" w:type="dxa"/>
            <w:vAlign w:val="center"/>
          </w:tcPr>
          <w:p w14:paraId="07578A38">
            <w:pPr>
              <w:widowControl/>
              <w:snapToGrid w:val="0"/>
              <w:spacing w:line="260" w:lineRule="exact"/>
              <w:jc w:val="left"/>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3.根据投标供应商</w:t>
            </w:r>
            <w:r>
              <w:rPr>
                <w:rFonts w:ascii="宋体" w:hAnsi="宋体" w:cs="宋体"/>
                <w:b w:val="0"/>
                <w:bCs w:val="0"/>
                <w:color w:val="auto"/>
                <w:sz w:val="20"/>
                <w:szCs w:val="20"/>
                <w:highlight w:val="none"/>
              </w:rPr>
              <w:t>配送保障方案</w:t>
            </w:r>
            <w:r>
              <w:rPr>
                <w:rFonts w:hint="eastAsia" w:ascii="宋体" w:hAnsi="宋体" w:cs="宋体"/>
                <w:b w:val="0"/>
                <w:bCs w:val="0"/>
                <w:color w:val="auto"/>
                <w:sz w:val="20"/>
                <w:szCs w:val="20"/>
                <w:highlight w:val="none"/>
              </w:rPr>
              <w:t>等进行评分，优秀的得</w:t>
            </w: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分，良好的得</w:t>
            </w:r>
            <w:r>
              <w:rPr>
                <w:rFonts w:hint="eastAsia" w:ascii="宋体" w:hAnsi="宋体" w:cs="宋体"/>
                <w:b w:val="0"/>
                <w:bCs w:val="0"/>
                <w:color w:val="auto"/>
                <w:sz w:val="20"/>
                <w:szCs w:val="20"/>
                <w:highlight w:val="none"/>
                <w:lang w:val="en-US" w:eastAsia="zh-CN"/>
              </w:rPr>
              <w:t>2</w:t>
            </w:r>
            <w:r>
              <w:rPr>
                <w:rFonts w:hint="eastAsia" w:ascii="宋体" w:hAnsi="宋体" w:cs="宋体"/>
                <w:b w:val="0"/>
                <w:bCs w:val="0"/>
                <w:color w:val="auto"/>
                <w:sz w:val="20"/>
                <w:szCs w:val="20"/>
                <w:highlight w:val="none"/>
              </w:rPr>
              <w:t>分，一般的得1分</w:t>
            </w:r>
            <w:r>
              <w:rPr>
                <w:rFonts w:hint="eastAsia" w:ascii="宋体" w:hAnsi="宋体" w:cs="宋体"/>
                <w:b w:val="0"/>
                <w:bCs w:val="0"/>
                <w:color w:val="auto"/>
                <w:sz w:val="20"/>
                <w:szCs w:val="20"/>
                <w:highlight w:val="none"/>
                <w:lang w:val="en-US" w:eastAsia="zh-CN"/>
              </w:rPr>
              <w:t>,未提供的不得分</w:t>
            </w:r>
            <w:r>
              <w:rPr>
                <w:rFonts w:hint="eastAsia" w:ascii="宋体" w:hAnsi="宋体" w:cs="宋体"/>
                <w:b w:val="0"/>
                <w:bCs w:val="0"/>
                <w:color w:val="auto"/>
                <w:sz w:val="20"/>
                <w:szCs w:val="20"/>
                <w:highlight w:val="none"/>
              </w:rPr>
              <w:t>。</w:t>
            </w:r>
          </w:p>
        </w:tc>
        <w:tc>
          <w:tcPr>
            <w:tcW w:w="804" w:type="dxa"/>
            <w:vAlign w:val="center"/>
          </w:tcPr>
          <w:p w14:paraId="495ACD63">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3</w:t>
            </w:r>
            <w:r>
              <w:rPr>
                <w:rFonts w:hint="eastAsia" w:ascii="宋体" w:hAnsi="宋体" w:cs="宋体"/>
                <w:b w:val="0"/>
                <w:bCs w:val="0"/>
                <w:color w:val="auto"/>
                <w:sz w:val="20"/>
                <w:szCs w:val="20"/>
                <w:highlight w:val="none"/>
              </w:rPr>
              <w:t>分</w:t>
            </w:r>
          </w:p>
        </w:tc>
        <w:tc>
          <w:tcPr>
            <w:tcW w:w="2137" w:type="dxa"/>
            <w:vMerge w:val="continue"/>
            <w:vAlign w:val="center"/>
          </w:tcPr>
          <w:p w14:paraId="3C4CDD5F">
            <w:pPr>
              <w:widowControl/>
              <w:snapToGrid w:val="0"/>
              <w:jc w:val="center"/>
              <w:rPr>
                <w:rFonts w:ascii="宋体" w:hAnsi="宋体" w:cs="宋体"/>
                <w:b w:val="0"/>
                <w:bCs w:val="0"/>
                <w:color w:val="auto"/>
                <w:sz w:val="20"/>
                <w:szCs w:val="20"/>
                <w:highlight w:val="none"/>
              </w:rPr>
            </w:pPr>
          </w:p>
        </w:tc>
      </w:tr>
      <w:tr w14:paraId="05216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201" w:type="dxa"/>
            <w:gridSpan w:val="4"/>
            <w:vAlign w:val="center"/>
          </w:tcPr>
          <w:p w14:paraId="6DC9F70E">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rPr>
              <w:t>合    计</w:t>
            </w:r>
          </w:p>
        </w:tc>
        <w:tc>
          <w:tcPr>
            <w:tcW w:w="804" w:type="dxa"/>
            <w:vAlign w:val="center"/>
          </w:tcPr>
          <w:p w14:paraId="2C698305">
            <w:pPr>
              <w:widowControl/>
              <w:snapToGrid w:val="0"/>
              <w:jc w:val="center"/>
              <w:rPr>
                <w:rFonts w:ascii="宋体" w:hAnsi="宋体" w:cs="宋体"/>
                <w:b w:val="0"/>
                <w:bCs w:val="0"/>
                <w:color w:val="auto"/>
                <w:sz w:val="20"/>
                <w:szCs w:val="20"/>
                <w:highlight w:val="none"/>
              </w:rPr>
            </w:pPr>
            <w:r>
              <w:rPr>
                <w:rFonts w:hint="eastAsia" w:ascii="宋体" w:hAnsi="宋体" w:cs="宋体"/>
                <w:b w:val="0"/>
                <w:bCs w:val="0"/>
                <w:color w:val="auto"/>
                <w:sz w:val="20"/>
                <w:szCs w:val="20"/>
                <w:highlight w:val="none"/>
                <w:lang w:val="en-US" w:eastAsia="zh-CN"/>
              </w:rPr>
              <w:t>75</w:t>
            </w:r>
            <w:r>
              <w:rPr>
                <w:rFonts w:hint="eastAsia" w:ascii="宋体" w:hAnsi="宋体" w:cs="宋体"/>
                <w:b w:val="0"/>
                <w:bCs w:val="0"/>
                <w:color w:val="auto"/>
                <w:sz w:val="20"/>
                <w:szCs w:val="20"/>
                <w:highlight w:val="none"/>
              </w:rPr>
              <w:t>分</w:t>
            </w:r>
          </w:p>
        </w:tc>
        <w:tc>
          <w:tcPr>
            <w:tcW w:w="2137" w:type="dxa"/>
          </w:tcPr>
          <w:p w14:paraId="725A724D">
            <w:pPr>
              <w:widowControl/>
              <w:snapToGrid w:val="0"/>
              <w:jc w:val="center"/>
              <w:rPr>
                <w:rFonts w:ascii="宋体" w:hAnsi="宋体" w:cs="宋体"/>
                <w:b w:val="0"/>
                <w:bCs w:val="0"/>
                <w:color w:val="auto"/>
                <w:sz w:val="20"/>
                <w:szCs w:val="20"/>
                <w:highlight w:val="none"/>
              </w:rPr>
            </w:pPr>
          </w:p>
        </w:tc>
      </w:tr>
    </w:tbl>
    <w:p w14:paraId="3892F3C6">
      <w:pPr>
        <w:rPr>
          <w:b w:val="0"/>
          <w:color w:val="auto"/>
          <w:highlight w:val="none"/>
        </w:rPr>
      </w:pPr>
    </w:p>
    <w:p w14:paraId="2F8AB5FA">
      <w:pPr>
        <w:rPr>
          <w:b w:val="0"/>
          <w:color w:val="auto"/>
          <w:highlight w:val="none"/>
        </w:rPr>
      </w:pPr>
    </w:p>
    <w:p w14:paraId="508805ED">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lang w:val="en-US" w:eastAsia="zh-CN"/>
        </w:rPr>
        <w:t>F3</w:t>
      </w:r>
      <w:r>
        <w:rPr>
          <w:rFonts w:hint="eastAsia" w:ascii="黑体" w:hAnsi="黑体" w:eastAsia="黑体" w:cs="黑体"/>
          <w:bCs/>
          <w:color w:val="auto"/>
          <w:sz w:val="36"/>
          <w:szCs w:val="36"/>
          <w:highlight w:val="none"/>
        </w:rPr>
        <w:t>价格评审标准表（综合评分法</w:t>
      </w:r>
      <w:r>
        <w:rPr>
          <w:rFonts w:ascii="黑体" w:hAnsi="黑体" w:eastAsia="黑体" w:cs="黑体"/>
          <w:bCs/>
          <w:color w:val="auto"/>
          <w:sz w:val="36"/>
          <w:szCs w:val="36"/>
          <w:highlight w:val="none"/>
        </w:rPr>
        <w:t>）</w:t>
      </w:r>
    </w:p>
    <w:tbl>
      <w:tblPr>
        <w:tblStyle w:val="40"/>
        <w:tblW w:w="9794" w:type="dxa"/>
        <w:jc w:val="center"/>
        <w:tblLayout w:type="fixed"/>
        <w:tblCellMar>
          <w:top w:w="0" w:type="dxa"/>
          <w:left w:w="108" w:type="dxa"/>
          <w:bottom w:w="0" w:type="dxa"/>
          <w:right w:w="108" w:type="dxa"/>
        </w:tblCellMar>
      </w:tblPr>
      <w:tblGrid>
        <w:gridCol w:w="908"/>
        <w:gridCol w:w="1485"/>
        <w:gridCol w:w="4530"/>
        <w:gridCol w:w="975"/>
        <w:gridCol w:w="1896"/>
      </w:tblGrid>
      <w:tr w14:paraId="3C79E4F8">
        <w:tblPrEx>
          <w:tblCellMar>
            <w:top w:w="0" w:type="dxa"/>
            <w:left w:w="108" w:type="dxa"/>
            <w:bottom w:w="0" w:type="dxa"/>
            <w:right w:w="108" w:type="dxa"/>
          </w:tblCellMar>
        </w:tblPrEx>
        <w:trPr>
          <w:trHeight w:val="1134"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EEE41E9">
            <w:pPr>
              <w:widowControl/>
              <w:snapToGrid w:val="0"/>
              <w:spacing w:line="360" w:lineRule="exact"/>
              <w:jc w:val="center"/>
              <w:rPr>
                <w:rFonts w:ascii="宋体" w:hAnsi="宋体" w:eastAsia="楷体_GB2312"/>
                <w:color w:val="auto"/>
                <w:sz w:val="20"/>
                <w:szCs w:val="20"/>
                <w:highlight w:val="none"/>
              </w:rPr>
            </w:pPr>
            <w:r>
              <w:rPr>
                <w:rFonts w:hint="eastAsia" w:ascii="宋体" w:hAnsi="宋体"/>
                <w:color w:val="auto"/>
                <w:sz w:val="20"/>
                <w:szCs w:val="20"/>
                <w:highlight w:val="none"/>
              </w:rPr>
              <w:t>序号</w:t>
            </w:r>
          </w:p>
        </w:tc>
        <w:tc>
          <w:tcPr>
            <w:tcW w:w="1485" w:type="dxa"/>
            <w:tcBorders>
              <w:top w:val="single" w:color="auto" w:sz="4" w:space="0"/>
              <w:left w:val="nil"/>
              <w:bottom w:val="single" w:color="auto" w:sz="4" w:space="0"/>
              <w:right w:val="single" w:color="auto" w:sz="4" w:space="0"/>
            </w:tcBorders>
            <w:vAlign w:val="center"/>
          </w:tcPr>
          <w:p w14:paraId="581A1046">
            <w:pPr>
              <w:widowControl/>
              <w:snapToGrid w:val="0"/>
              <w:spacing w:line="360" w:lineRule="exact"/>
              <w:jc w:val="center"/>
              <w:rPr>
                <w:rFonts w:ascii="宋体" w:hAnsi="宋体"/>
                <w:color w:val="auto"/>
                <w:sz w:val="20"/>
                <w:szCs w:val="20"/>
                <w:highlight w:val="none"/>
              </w:rPr>
            </w:pPr>
            <w:r>
              <w:rPr>
                <w:rFonts w:hint="eastAsia" w:ascii="宋体" w:hAnsi="宋体"/>
                <w:color w:val="auto"/>
                <w:sz w:val="20"/>
                <w:szCs w:val="20"/>
                <w:highlight w:val="none"/>
              </w:rPr>
              <w:t>评审项目</w:t>
            </w:r>
          </w:p>
        </w:tc>
        <w:tc>
          <w:tcPr>
            <w:tcW w:w="4530" w:type="dxa"/>
            <w:tcBorders>
              <w:top w:val="single" w:color="auto" w:sz="4" w:space="0"/>
              <w:left w:val="nil"/>
              <w:bottom w:val="single" w:color="auto" w:sz="4" w:space="0"/>
              <w:right w:val="single" w:color="auto" w:sz="4" w:space="0"/>
            </w:tcBorders>
            <w:vAlign w:val="center"/>
          </w:tcPr>
          <w:p w14:paraId="7C598218">
            <w:pPr>
              <w:widowControl/>
              <w:snapToGrid w:val="0"/>
              <w:spacing w:line="360" w:lineRule="exact"/>
              <w:jc w:val="center"/>
              <w:rPr>
                <w:rFonts w:ascii="宋体" w:hAnsi="宋体" w:eastAsia="楷体_GB2312"/>
                <w:color w:val="auto"/>
                <w:sz w:val="20"/>
                <w:szCs w:val="20"/>
                <w:highlight w:val="none"/>
              </w:rPr>
            </w:pPr>
            <w:r>
              <w:rPr>
                <w:rFonts w:hint="eastAsia" w:ascii="宋体" w:hAnsi="宋体"/>
                <w:color w:val="auto"/>
                <w:sz w:val="20"/>
                <w:szCs w:val="20"/>
                <w:highlight w:val="none"/>
              </w:rPr>
              <w:t>评审内容及规则</w:t>
            </w:r>
          </w:p>
        </w:tc>
        <w:tc>
          <w:tcPr>
            <w:tcW w:w="975" w:type="dxa"/>
            <w:tcBorders>
              <w:top w:val="single" w:color="auto" w:sz="4" w:space="0"/>
              <w:left w:val="nil"/>
              <w:bottom w:val="single" w:color="auto" w:sz="4" w:space="0"/>
              <w:right w:val="single" w:color="auto" w:sz="4" w:space="0"/>
            </w:tcBorders>
            <w:vAlign w:val="center"/>
          </w:tcPr>
          <w:p w14:paraId="1B6B7E62">
            <w:pPr>
              <w:widowControl/>
              <w:snapToGrid w:val="0"/>
              <w:spacing w:line="360" w:lineRule="exact"/>
              <w:jc w:val="center"/>
              <w:rPr>
                <w:rFonts w:ascii="宋体" w:hAnsi="宋体"/>
                <w:color w:val="auto"/>
                <w:sz w:val="20"/>
                <w:szCs w:val="20"/>
                <w:highlight w:val="none"/>
              </w:rPr>
            </w:pPr>
            <w:r>
              <w:rPr>
                <w:rFonts w:hint="eastAsia" w:ascii="宋体" w:hAnsi="宋体"/>
                <w:color w:val="auto"/>
                <w:sz w:val="20"/>
                <w:szCs w:val="20"/>
                <w:highlight w:val="none"/>
              </w:rPr>
              <w:t>标准分值</w:t>
            </w:r>
          </w:p>
        </w:tc>
        <w:tc>
          <w:tcPr>
            <w:tcW w:w="1896" w:type="dxa"/>
            <w:tcBorders>
              <w:top w:val="single" w:color="auto" w:sz="4" w:space="0"/>
              <w:left w:val="nil"/>
              <w:bottom w:val="single" w:color="auto" w:sz="4" w:space="0"/>
              <w:right w:val="single" w:color="auto" w:sz="4" w:space="0"/>
            </w:tcBorders>
            <w:vAlign w:val="center"/>
          </w:tcPr>
          <w:p w14:paraId="4C5BB019">
            <w:pPr>
              <w:widowControl/>
              <w:snapToGrid w:val="0"/>
              <w:spacing w:line="360" w:lineRule="exact"/>
              <w:jc w:val="center"/>
              <w:rPr>
                <w:rFonts w:ascii="宋体" w:hAnsi="宋体"/>
                <w:color w:val="auto"/>
                <w:sz w:val="20"/>
                <w:szCs w:val="20"/>
                <w:highlight w:val="none"/>
              </w:rPr>
            </w:pPr>
            <w:r>
              <w:rPr>
                <w:rFonts w:hint="eastAsia" w:ascii="宋体" w:hAnsi="宋体"/>
                <w:color w:val="auto"/>
                <w:sz w:val="20"/>
                <w:szCs w:val="20"/>
                <w:highlight w:val="none"/>
              </w:rPr>
              <w:t>说</w:t>
            </w:r>
            <w:r>
              <w:rPr>
                <w:rFonts w:ascii="宋体" w:hAnsi="宋体"/>
                <w:color w:val="auto"/>
                <w:sz w:val="20"/>
                <w:szCs w:val="20"/>
                <w:highlight w:val="none"/>
              </w:rPr>
              <w:t xml:space="preserve">  </w:t>
            </w:r>
            <w:r>
              <w:rPr>
                <w:rFonts w:hint="eastAsia" w:ascii="宋体" w:hAnsi="宋体"/>
                <w:color w:val="auto"/>
                <w:sz w:val="20"/>
                <w:szCs w:val="20"/>
                <w:highlight w:val="none"/>
              </w:rPr>
              <w:t>明</w:t>
            </w:r>
          </w:p>
        </w:tc>
      </w:tr>
      <w:tr w14:paraId="11542B26">
        <w:tblPrEx>
          <w:tblCellMar>
            <w:top w:w="0" w:type="dxa"/>
            <w:left w:w="108" w:type="dxa"/>
            <w:bottom w:w="0" w:type="dxa"/>
            <w:right w:w="108" w:type="dxa"/>
          </w:tblCellMar>
        </w:tblPrEx>
        <w:trPr>
          <w:trHeight w:val="212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ACCF744">
            <w:pPr>
              <w:widowControl/>
              <w:snapToGrid w:val="0"/>
              <w:spacing w:line="360" w:lineRule="exact"/>
              <w:jc w:val="center"/>
              <w:rPr>
                <w:rFonts w:hint="eastAsia" w:ascii="宋体" w:hAnsi="宋体" w:eastAsia="宋体"/>
                <w:color w:val="auto"/>
                <w:sz w:val="20"/>
                <w:szCs w:val="20"/>
                <w:highlight w:val="none"/>
                <w:lang w:eastAsia="zh-CN"/>
              </w:rPr>
            </w:pPr>
            <w:r>
              <w:rPr>
                <w:rFonts w:hint="eastAsia" w:ascii="宋体" w:hAnsi="宋体"/>
                <w:color w:val="auto"/>
                <w:sz w:val="20"/>
                <w:szCs w:val="20"/>
                <w:highlight w:val="none"/>
                <w:lang w:val="en-US" w:eastAsia="zh-CN"/>
              </w:rPr>
              <w:t>1</w:t>
            </w:r>
          </w:p>
        </w:tc>
        <w:tc>
          <w:tcPr>
            <w:tcW w:w="1485" w:type="dxa"/>
            <w:tcBorders>
              <w:top w:val="single" w:color="auto" w:sz="4" w:space="0"/>
              <w:left w:val="single" w:color="auto" w:sz="4" w:space="0"/>
              <w:bottom w:val="single" w:color="auto" w:sz="4" w:space="0"/>
              <w:right w:val="single" w:color="auto" w:sz="4" w:space="0"/>
            </w:tcBorders>
            <w:vAlign w:val="center"/>
          </w:tcPr>
          <w:p w14:paraId="29B2DA56">
            <w:pPr>
              <w:widowControl/>
              <w:snapToGrid w:val="0"/>
              <w:spacing w:line="360" w:lineRule="exact"/>
              <w:jc w:val="center"/>
              <w:rPr>
                <w:rFonts w:ascii="宋体" w:hAnsi="宋体"/>
                <w:color w:val="auto"/>
                <w:sz w:val="20"/>
                <w:szCs w:val="20"/>
                <w:highlight w:val="none"/>
              </w:rPr>
            </w:pPr>
            <w:r>
              <w:rPr>
                <w:rFonts w:hint="eastAsia" w:ascii="宋体" w:hAnsi="宋体"/>
                <w:color w:val="auto"/>
                <w:sz w:val="20"/>
                <w:szCs w:val="20"/>
                <w:highlight w:val="none"/>
              </w:rPr>
              <w:t>价格评审</w:t>
            </w:r>
          </w:p>
        </w:tc>
        <w:tc>
          <w:tcPr>
            <w:tcW w:w="4530" w:type="dxa"/>
            <w:tcBorders>
              <w:top w:val="single" w:color="auto" w:sz="4" w:space="0"/>
              <w:left w:val="nil"/>
              <w:bottom w:val="single" w:color="auto" w:sz="4" w:space="0"/>
              <w:right w:val="single" w:color="auto" w:sz="4" w:space="0"/>
            </w:tcBorders>
            <w:vAlign w:val="center"/>
          </w:tcPr>
          <w:p w14:paraId="1789D7B0">
            <w:pPr>
              <w:snapToGrid w:val="0"/>
              <w:spacing w:line="26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低价优先法：</w:t>
            </w:r>
            <w:r>
              <w:rPr>
                <w:rFonts w:hint="eastAsia" w:ascii="宋体" w:hAnsi="宋体" w:eastAsia="宋体" w:cs="宋体"/>
                <w:color w:val="auto"/>
                <w:sz w:val="20"/>
                <w:szCs w:val="20"/>
                <w:highlight w:val="none"/>
                <w:lang w:eastAsia="zh-CN"/>
              </w:rPr>
              <w:t>各标段</w:t>
            </w:r>
            <w:r>
              <w:rPr>
                <w:rFonts w:hint="eastAsia" w:ascii="宋体" w:hAnsi="宋体" w:eastAsia="宋体" w:cs="宋体"/>
                <w:color w:val="auto"/>
                <w:sz w:val="20"/>
                <w:szCs w:val="20"/>
                <w:highlight w:val="none"/>
              </w:rPr>
              <w:t>满足招标文件要求且投标价格最低的投标报价</w:t>
            </w:r>
            <w:r>
              <w:rPr>
                <w:rFonts w:hint="eastAsia" w:ascii="宋体" w:hAnsi="宋体" w:cs="宋体"/>
                <w:color w:val="auto"/>
                <w:sz w:val="20"/>
                <w:szCs w:val="20"/>
                <w:highlight w:val="none"/>
                <w:lang w:val="en-US" w:eastAsia="zh-CN"/>
              </w:rPr>
              <w:t>[</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1-最优折扣率</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×预算价]</w:t>
            </w:r>
            <w:r>
              <w:rPr>
                <w:rFonts w:hint="eastAsia" w:ascii="宋体" w:hAnsi="宋体" w:eastAsia="宋体" w:cs="宋体"/>
                <w:color w:val="auto"/>
                <w:sz w:val="20"/>
                <w:szCs w:val="20"/>
                <w:highlight w:val="none"/>
              </w:rPr>
              <w:t>为评标基准价，其价格分为满分。其他投标人的价格分统一按照下列公式计算：</w:t>
            </w:r>
            <w:bookmarkStart w:id="1202" w:name="OLE_LINK31"/>
          </w:p>
          <w:p w14:paraId="5F7DB9B8">
            <w:pPr>
              <w:snapToGrid w:val="0"/>
              <w:spacing w:line="260" w:lineRule="exact"/>
              <w:jc w:val="left"/>
              <w:rPr>
                <w:rFonts w:ascii="宋体" w:hAnsi="宋体"/>
                <w:color w:val="auto"/>
                <w:sz w:val="20"/>
                <w:szCs w:val="20"/>
                <w:highlight w:val="none"/>
              </w:rPr>
            </w:pPr>
            <w:r>
              <w:rPr>
                <w:rFonts w:hint="eastAsia" w:ascii="宋体" w:hAnsi="宋体" w:eastAsia="宋体" w:cs="宋体"/>
                <w:color w:val="auto"/>
                <w:sz w:val="20"/>
                <w:szCs w:val="20"/>
                <w:highlight w:val="none"/>
              </w:rPr>
              <w:t>投标报价得分=（</w:t>
            </w:r>
            <w:bookmarkEnd w:id="1202"/>
            <w:r>
              <w:rPr>
                <w:rFonts w:hint="eastAsia" w:ascii="宋体" w:hAnsi="宋体" w:cs="宋体"/>
                <w:color w:val="auto"/>
                <w:sz w:val="20"/>
                <w:szCs w:val="20"/>
                <w:highlight w:val="none"/>
                <w:lang w:val="en-US" w:eastAsia="zh-CN"/>
              </w:rPr>
              <w:t>1-最优折扣率）</w:t>
            </w:r>
            <w:r>
              <w:rPr>
                <w:rFonts w:hint="eastAsia" w:ascii="宋体" w:hAnsi="宋体" w:eastAsia="宋体" w:cs="宋体"/>
                <w:color w:val="auto"/>
                <w:sz w:val="20"/>
                <w:szCs w:val="20"/>
                <w:highlight w:val="none"/>
              </w:rPr>
              <w:t>×</w:t>
            </w:r>
            <w:r>
              <w:rPr>
                <w:rFonts w:hint="eastAsia" w:ascii="宋体" w:hAnsi="宋体" w:cs="宋体"/>
                <w:color w:val="auto"/>
                <w:sz w:val="20"/>
                <w:szCs w:val="20"/>
                <w:highlight w:val="none"/>
                <w:lang w:eastAsia="zh-CN"/>
              </w:rPr>
              <w:t>预算价</w:t>
            </w:r>
            <w:r>
              <w:rPr>
                <w:rFonts w:hint="eastAsia" w:ascii="宋体" w:hAnsi="宋体" w:eastAsia="宋体" w:cs="宋体"/>
                <w:color w:val="auto"/>
                <w:sz w:val="20"/>
                <w:szCs w:val="20"/>
                <w:highlight w:val="none"/>
              </w:rPr>
              <w:t>/</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1-报价折扣率</w:t>
            </w:r>
            <w:r>
              <w:rPr>
                <w:rFonts w:hint="eastAsia" w:ascii="宋体" w:hAnsi="宋体" w:eastAsia="宋体" w:cs="宋体"/>
                <w:color w:val="auto"/>
                <w:sz w:val="20"/>
                <w:szCs w:val="20"/>
                <w:highlight w:val="none"/>
              </w:rPr>
              <w:t>）×</w:t>
            </w:r>
            <w:r>
              <w:rPr>
                <w:rFonts w:hint="eastAsia" w:ascii="宋体" w:hAnsi="宋体" w:cs="宋体"/>
                <w:color w:val="auto"/>
                <w:sz w:val="20"/>
                <w:szCs w:val="20"/>
                <w:highlight w:val="none"/>
                <w:lang w:eastAsia="zh-CN"/>
              </w:rPr>
              <w:t>预算价</w:t>
            </w:r>
            <w:r>
              <w:rPr>
                <w:rFonts w:hint="eastAsia" w:ascii="宋体" w:hAnsi="宋体" w:eastAsia="宋体" w:cs="宋体"/>
                <w:color w:val="auto"/>
                <w:sz w:val="20"/>
                <w:szCs w:val="20"/>
                <w:highlight w:val="none"/>
              </w:rPr>
              <w:t>×</w:t>
            </w:r>
            <w:r>
              <w:rPr>
                <w:rFonts w:hint="eastAsia" w:ascii="宋体" w:hAnsi="宋体" w:cs="宋体"/>
                <w:color w:val="auto"/>
                <w:sz w:val="20"/>
                <w:szCs w:val="20"/>
                <w:highlight w:val="none"/>
                <w:lang w:val="en-US" w:eastAsia="zh-CN"/>
              </w:rPr>
              <w:t>10</w:t>
            </w:r>
          </w:p>
        </w:tc>
        <w:tc>
          <w:tcPr>
            <w:tcW w:w="975" w:type="dxa"/>
            <w:tcBorders>
              <w:top w:val="single" w:color="auto" w:sz="4" w:space="0"/>
              <w:left w:val="nil"/>
              <w:bottom w:val="single" w:color="auto" w:sz="4" w:space="0"/>
              <w:right w:val="single" w:color="auto" w:sz="4" w:space="0"/>
            </w:tcBorders>
            <w:vAlign w:val="center"/>
          </w:tcPr>
          <w:p w14:paraId="6392B35E">
            <w:pPr>
              <w:widowControl/>
              <w:snapToGrid w:val="0"/>
              <w:spacing w:line="360" w:lineRule="exact"/>
              <w:jc w:val="center"/>
              <w:rPr>
                <w:rFonts w:hint="eastAsia" w:ascii="宋体" w:hAnsi="宋体"/>
                <w:color w:val="auto"/>
                <w:sz w:val="20"/>
                <w:szCs w:val="20"/>
                <w:highlight w:val="none"/>
              </w:rPr>
            </w:pPr>
            <w:r>
              <w:rPr>
                <w:rFonts w:hint="eastAsia" w:ascii="宋体" w:hAnsi="宋体"/>
                <w:color w:val="auto"/>
                <w:sz w:val="20"/>
                <w:szCs w:val="20"/>
                <w:highlight w:val="none"/>
                <w:lang w:val="en-US" w:eastAsia="zh-CN"/>
              </w:rPr>
              <w:t>10</w:t>
            </w:r>
            <w:r>
              <w:rPr>
                <w:rFonts w:hint="eastAsia" w:ascii="宋体" w:hAnsi="宋体"/>
                <w:color w:val="auto"/>
                <w:sz w:val="20"/>
                <w:szCs w:val="20"/>
                <w:highlight w:val="none"/>
              </w:rPr>
              <w:t>分</w:t>
            </w:r>
          </w:p>
        </w:tc>
        <w:tc>
          <w:tcPr>
            <w:tcW w:w="1896" w:type="dxa"/>
            <w:tcBorders>
              <w:top w:val="single" w:color="auto" w:sz="4" w:space="0"/>
              <w:left w:val="nil"/>
              <w:bottom w:val="single" w:color="auto" w:sz="4" w:space="0"/>
              <w:right w:val="single" w:color="auto" w:sz="4" w:space="0"/>
            </w:tcBorders>
            <w:vAlign w:val="center"/>
          </w:tcPr>
          <w:p w14:paraId="3EB9A47B">
            <w:pPr>
              <w:widowControl/>
              <w:snapToGrid w:val="0"/>
              <w:spacing w:line="360" w:lineRule="exact"/>
              <w:jc w:val="center"/>
              <w:rPr>
                <w:rFonts w:ascii="宋体" w:hAnsi="宋体"/>
                <w:color w:val="auto"/>
                <w:sz w:val="20"/>
                <w:szCs w:val="20"/>
                <w:highlight w:val="none"/>
              </w:rPr>
            </w:pPr>
            <w:r>
              <w:rPr>
                <w:rFonts w:hint="eastAsia" w:cs="宋体" w:asciiTheme="minorEastAsia" w:hAnsiTheme="minorEastAsia" w:eastAsiaTheme="minorEastAsia"/>
                <w:color w:val="auto"/>
                <w:szCs w:val="21"/>
                <w:highlight w:val="none"/>
              </w:rPr>
              <w:t>（</w:t>
            </w:r>
            <w:r>
              <w:rPr>
                <w:rFonts w:hint="eastAsia" w:ascii="宋体" w:hAnsi="宋体"/>
                <w:color w:val="auto"/>
                <w:szCs w:val="21"/>
                <w:highlight w:val="none"/>
              </w:rPr>
              <w:t>中小微企业预留项目不享受价格扣除</w:t>
            </w:r>
            <w:r>
              <w:rPr>
                <w:rFonts w:hint="eastAsia" w:cs="宋体" w:asciiTheme="minorEastAsia" w:hAnsiTheme="minorEastAsia" w:eastAsiaTheme="minorEastAsia"/>
                <w:color w:val="auto"/>
                <w:szCs w:val="21"/>
                <w:highlight w:val="none"/>
              </w:rPr>
              <w:t>）</w:t>
            </w:r>
          </w:p>
        </w:tc>
      </w:tr>
    </w:tbl>
    <w:p w14:paraId="505CFFEC">
      <w:pPr>
        <w:pStyle w:val="22"/>
        <w:rPr>
          <w:b w:val="0"/>
          <w:color w:val="auto"/>
          <w:highlight w:val="none"/>
        </w:rPr>
      </w:pPr>
    </w:p>
    <w:p w14:paraId="40733859">
      <w:pPr>
        <w:shd w:val="clear"/>
        <w:spacing w:line="500" w:lineRule="exact"/>
        <w:ind w:firstLine="482"/>
        <w:outlineLvl w:val="2"/>
        <w:rPr>
          <w:rFonts w:cs="宋体" w:asciiTheme="minorEastAsia" w:hAnsiTheme="minorEastAsia" w:eastAsiaTheme="minorEastAsia"/>
          <w:b/>
          <w:bCs/>
          <w:color w:val="auto"/>
          <w:szCs w:val="24"/>
          <w:highlight w:val="none"/>
        </w:rPr>
      </w:pPr>
      <w:bookmarkStart w:id="1203" w:name="_Toc14035"/>
      <w:bookmarkStart w:id="1204" w:name="_Toc9992"/>
      <w:r>
        <w:rPr>
          <w:rFonts w:hint="eastAsia" w:cs="宋体" w:asciiTheme="minorEastAsia" w:hAnsiTheme="minorEastAsia" w:eastAsiaTheme="minorEastAsia"/>
          <w:b/>
          <w:bCs/>
          <w:color w:val="auto"/>
          <w:szCs w:val="24"/>
          <w:highlight w:val="none"/>
          <w:lang w:val="en-US" w:eastAsia="zh-CN"/>
        </w:rPr>
        <w:t>4.</w:t>
      </w:r>
      <w:r>
        <w:rPr>
          <w:rFonts w:hint="eastAsia" w:cs="宋体" w:asciiTheme="minorEastAsia" w:hAnsiTheme="minorEastAsia" w:eastAsiaTheme="minorEastAsia"/>
          <w:b/>
          <w:bCs/>
          <w:color w:val="auto"/>
          <w:szCs w:val="24"/>
          <w:highlight w:val="none"/>
        </w:rPr>
        <w:t>得分汇总</w:t>
      </w:r>
      <w:bookmarkEnd w:id="1182"/>
      <w:bookmarkEnd w:id="1203"/>
      <w:bookmarkEnd w:id="1204"/>
    </w:p>
    <w:p w14:paraId="61FC391A">
      <w:pPr>
        <w:shd w:val="clear"/>
        <w:spacing w:before="72" w:beforeLines="30" w:after="72" w:afterLines="30" w:line="500" w:lineRule="exact"/>
        <w:ind w:firstLine="482"/>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委员会按以下公式计算出各投标人的总得分，推荐中标候选人按评标总得分由高到低顺序排列；评标总得分相同的，按投标报价由低到高顺序排列；评标总得分且投标报价相同的，按技术指标优劣顺序排列，依次类推。</w:t>
      </w:r>
    </w:p>
    <w:p w14:paraId="40E8FF4F">
      <w:pPr>
        <w:shd w:val="clear"/>
        <w:spacing w:before="72" w:beforeLines="30" w:after="72" w:afterLines="30" w:line="500" w:lineRule="exact"/>
        <w:ind w:firstLine="482"/>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评标总得分F1＋F2＋……＋Fn</w:t>
      </w:r>
    </w:p>
    <w:p w14:paraId="08168E99">
      <w:pPr>
        <w:shd w:val="clear"/>
        <w:spacing w:before="72" w:beforeLines="30" w:after="72" w:afterLines="30" w:line="500" w:lineRule="exact"/>
        <w:ind w:firstLine="482"/>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F1、F2……Fn分别为各项评分因素的汇总得分；</w:t>
      </w:r>
    </w:p>
    <w:p w14:paraId="152BB234">
      <w:pPr>
        <w:shd w:val="clear"/>
        <w:spacing w:before="72" w:beforeLines="30" w:after="72" w:afterLines="30" w:line="500" w:lineRule="exact"/>
        <w:ind w:firstLine="482"/>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其中F值为评标委员会所有成员汇总得分的算术平均值。</w:t>
      </w:r>
    </w:p>
    <w:p w14:paraId="54BC2DA6">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205" w:name="_Toc22893"/>
      <w:bookmarkStart w:id="1206" w:name="_Toc13767"/>
      <w:r>
        <w:rPr>
          <w:rFonts w:hint="eastAsia" w:ascii="黑体" w:hAnsi="黑体" w:eastAsia="黑体" w:cs="黑体"/>
          <w:b/>
          <w:bCs w:val="0"/>
          <w:color w:val="auto"/>
          <w:sz w:val="30"/>
          <w:szCs w:val="30"/>
          <w:highlight w:val="none"/>
          <w:lang w:eastAsia="zh-CN"/>
        </w:rPr>
        <w:t>七、推荐</w:t>
      </w:r>
      <w:bookmarkEnd w:id="1205"/>
      <w:bookmarkEnd w:id="1206"/>
    </w:p>
    <w:p w14:paraId="2962A934">
      <w:pPr>
        <w:shd w:val="clear"/>
        <w:autoSpaceDE w:val="0"/>
        <w:autoSpaceDN w:val="0"/>
        <w:spacing w:line="460" w:lineRule="exact"/>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评标委员会按得分汇总计算出各投标人的总得分，评标结果按评审后总得分由高到低顺序排列。投标文件满足招标文件全部实质性要求，且按照评审因素的量化指标评审总得分最高的投标人为排名第一的中标候选人。总得分相同的，按投标报价由低到高顺序排列。得分且投标报价相同的，若存在节能环保产品参与投标，根据《中华人民共和国政府采购法</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中华人民共和国政府采购法实施条例</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政府采购货物和服务招标投标管理办法》</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财政部令第87号</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rPr>
        <w:t>的规定，优先采购节能环保产品。</w:t>
      </w:r>
    </w:p>
    <w:p w14:paraId="7168664B">
      <w:pPr>
        <w:shd w:val="clear"/>
        <w:autoSpaceDE w:val="0"/>
        <w:autoSpaceDN w:val="0"/>
        <w:spacing w:line="460" w:lineRule="exact"/>
        <w:ind w:firstLine="480"/>
        <w:rPr>
          <w:rFonts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若不存在节能环保产品参与投标，按</w:t>
      </w:r>
      <w:r>
        <w:rPr>
          <w:rFonts w:hint="eastAsia" w:asciiTheme="minorEastAsia" w:hAnsiTheme="minorEastAsia" w:eastAsiaTheme="minorEastAsia"/>
          <w:b/>
          <w:bCs/>
          <w:color w:val="auto"/>
          <w:spacing w:val="6"/>
          <w:highlight w:val="none"/>
        </w:rPr>
        <w:t>F</w:t>
      </w:r>
      <w:r>
        <w:rPr>
          <w:rFonts w:hint="eastAsia" w:asciiTheme="minorEastAsia" w:hAnsiTheme="minorEastAsia" w:eastAsiaTheme="minorEastAsia"/>
          <w:b/>
          <w:bCs/>
          <w:color w:val="auto"/>
          <w:spacing w:val="6"/>
          <w:sz w:val="32"/>
          <w:szCs w:val="32"/>
          <w:highlight w:val="none"/>
          <w:vertAlign w:val="subscript"/>
        </w:rPr>
        <w:t>2</w:t>
      </w:r>
      <w:r>
        <w:rPr>
          <w:rFonts w:hint="eastAsia" w:asciiTheme="minorEastAsia" w:hAnsiTheme="minorEastAsia" w:eastAsiaTheme="minorEastAsia"/>
          <w:b/>
          <w:bCs/>
          <w:color w:val="auto"/>
          <w:spacing w:val="6"/>
          <w:highlight w:val="none"/>
        </w:rPr>
        <w:t>—技术部分评审</w:t>
      </w:r>
      <w:r>
        <w:rPr>
          <w:rFonts w:hint="eastAsia" w:cs="宋体" w:asciiTheme="minorEastAsia" w:hAnsiTheme="minorEastAsia" w:eastAsiaTheme="minorEastAsia"/>
          <w:color w:val="auto"/>
          <w:szCs w:val="24"/>
          <w:highlight w:val="none"/>
        </w:rPr>
        <w:t>得分由高到低的顺序排列，依次类推。</w:t>
      </w:r>
    </w:p>
    <w:p w14:paraId="13770B60">
      <w:pPr>
        <w:pStyle w:val="3"/>
        <w:shd w:val="clear"/>
        <w:wordWrap w:val="0"/>
        <w:spacing w:line="440" w:lineRule="exact"/>
        <w:ind w:left="482" w:firstLine="0"/>
        <w:outlineLvl w:val="1"/>
        <w:rPr>
          <w:rFonts w:hint="eastAsia" w:ascii="黑体" w:hAnsi="黑体" w:eastAsia="黑体" w:cs="黑体"/>
          <w:b/>
          <w:bCs w:val="0"/>
          <w:color w:val="auto"/>
          <w:sz w:val="30"/>
          <w:szCs w:val="30"/>
          <w:highlight w:val="none"/>
          <w:lang w:eastAsia="zh-CN"/>
        </w:rPr>
      </w:pPr>
      <w:bookmarkStart w:id="1207" w:name="_Toc22069"/>
      <w:bookmarkStart w:id="1208" w:name="_Toc20507"/>
      <w:r>
        <w:rPr>
          <w:rFonts w:hint="eastAsia" w:ascii="黑体" w:hAnsi="黑体" w:eastAsia="黑体" w:cs="黑体"/>
          <w:b/>
          <w:bCs w:val="0"/>
          <w:color w:val="auto"/>
          <w:sz w:val="30"/>
          <w:szCs w:val="30"/>
          <w:highlight w:val="none"/>
          <w:lang w:eastAsia="zh-CN"/>
        </w:rPr>
        <w:t>八、评标报告编写</w:t>
      </w:r>
      <w:bookmarkEnd w:id="1207"/>
      <w:bookmarkEnd w:id="1208"/>
    </w:p>
    <w:p w14:paraId="293A4F29">
      <w:pPr>
        <w:shd w:val="clear"/>
        <w:wordWrap w:val="0"/>
        <w:spacing w:line="360" w:lineRule="auto"/>
        <w:ind w:firstLine="420" w:firstLineChars="200"/>
        <w:jc w:val="left"/>
        <w:rPr>
          <w:rFonts w:cs="宋体" w:asciiTheme="minorEastAsia" w:hAnsiTheme="minorEastAsia" w:eastAsiaTheme="minorEastAsia"/>
          <w:bCs/>
          <w:color w:val="auto"/>
          <w:highlight w:val="none"/>
        </w:rPr>
      </w:pPr>
      <w:r>
        <w:rPr>
          <w:rFonts w:hint="eastAsia" w:cs="宋体" w:asciiTheme="minorEastAsia" w:hAnsiTheme="minorEastAsia" w:eastAsiaTheme="minorEastAsia"/>
          <w:color w:val="auto"/>
          <w:szCs w:val="24"/>
          <w:highlight w:val="none"/>
        </w:rPr>
        <w:t>评标委员会根据全体评标成员签字的评标记录和评标结果编写评标报告。</w:t>
      </w:r>
    </w:p>
    <w:p w14:paraId="6DE73CA4">
      <w:pPr>
        <w:pStyle w:val="307"/>
        <w:numPr>
          <w:ilvl w:val="0"/>
          <w:numId w:val="0"/>
        </w:numPr>
        <w:shd w:val="clear"/>
        <w:rPr>
          <w:rFonts w:cs="宋体" w:asciiTheme="minorEastAsia" w:hAnsiTheme="minorEastAsia" w:eastAsiaTheme="minorEastAsia"/>
          <w:bCs/>
          <w:color w:val="auto"/>
          <w:szCs w:val="21"/>
          <w:highlight w:val="none"/>
        </w:rPr>
      </w:pPr>
    </w:p>
    <w:sectPr>
      <w:headerReference r:id="rId9" w:type="default"/>
      <w:footerReference r:id="rId10" w:type="default"/>
      <w:pgSz w:w="12240" w:h="15840"/>
      <w:pgMar w:top="1242" w:right="1797" w:bottom="1440" w:left="1797" w:header="720" w:footer="720" w:gutter="0"/>
      <w:cols w:space="708"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 w:name="方正楷体_GB2312">
    <w:altName w:val="宋体"/>
    <w:panose1 w:val="02000000000000000000"/>
    <w:charset w:val="86"/>
    <w:family w:val="auto"/>
    <w:pitch w:val="default"/>
    <w:sig w:usb0="00000000" w:usb1="00000000" w:usb2="00000012" w:usb3="00000000" w:csb0="00040001" w:csb1="00000000"/>
  </w:font>
  <w:font w:name="方正仿宋_GBK">
    <w:altName w:val="Arial Unicode MS"/>
    <w:panose1 w:val="03000509000000000000"/>
    <w:charset w:val="86"/>
    <w:family w:val="swiss"/>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等线">
    <w:altName w:val="Arial Unicode MS"/>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新宋体">
    <w:panose1 w:val="02010609030101010101"/>
    <w:charset w:val="86"/>
    <w:family w:val="modern"/>
    <w:pitch w:val="default"/>
    <w:sig w:usb0="00000003" w:usb1="288F0000" w:usb2="00000006" w:usb3="00000000" w:csb0="00040001" w:csb1="00000000"/>
  </w:font>
  <w:font w:name="Book Antiqua">
    <w:panose1 w:val="02040602050305030304"/>
    <w:charset w:val="00"/>
    <w:family w:val="roman"/>
    <w:pitch w:val="default"/>
    <w:sig w:usb0="00000287" w:usb1="00000000" w:usb2="00000000" w:usb3="00000000" w:csb0="2000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D06BA">
    <w:pPr>
      <w:pStyle w:val="27"/>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4FB59D0">
                          <w:pPr>
                            <w:pStyle w:val="27"/>
                            <w:jc w:val="right"/>
                          </w:pPr>
                          <w:r>
                            <w:fldChar w:fldCharType="begin"/>
                          </w:r>
                          <w:r>
                            <w:instrText xml:space="preserve"> PAGE   \* MERGEFORMAT </w:instrText>
                          </w:r>
                          <w:r>
                            <w:fldChar w:fldCharType="separate"/>
                          </w:r>
                          <w:r>
                            <w:rPr>
                              <w:lang w:val="zh-CN"/>
                            </w:rPr>
                            <w:t>32</w:t>
                          </w:r>
                          <w:r>
                            <w:fldChar w:fldCharType="end"/>
                          </w:r>
                        </w:p>
                      </w:txbxContent>
                    </wps:txbx>
                    <wps:bodyPr wrap="none" lIns="0" tIns="0" rIns="0" bIns="0" anchor="t" anchorCtr="0" upright="1">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GmCS9MAAAAFAQAA&#10;DwAAAAAAAAABACAAAAAiAAAAZHJzL2Rvd25yZXYueG1sUEsBAhQAFAAAAAgAh07iQLzOVMPlAQAA&#10;ywMAAA4AAAAAAAAAAQAgAAAAIgEAAGRycy9lMm9Eb2MueG1sUEsFBgAAAAAGAAYAWQEAAHkFAAAA&#10;AA==&#10;">
              <v:fill on="f" focussize="0,0"/>
              <v:stroke on="f" weight="1.25pt"/>
              <v:imagedata o:title=""/>
              <o:lock v:ext="edit" aspectratio="f"/>
              <v:textbox inset="0mm,0mm,0mm,0mm" style="mso-fit-shape-to-text:t;">
                <w:txbxContent>
                  <w:p w14:paraId="64FB59D0">
                    <w:pPr>
                      <w:pStyle w:val="27"/>
                      <w:jc w:val="right"/>
                    </w:pPr>
                    <w:r>
                      <w:fldChar w:fldCharType="begin"/>
                    </w:r>
                    <w:r>
                      <w:instrText xml:space="preserve"> PAGE   \* MERGEFORMAT </w:instrText>
                    </w:r>
                    <w:r>
                      <w:fldChar w:fldCharType="separate"/>
                    </w:r>
                    <w:r>
                      <w:rPr>
                        <w:lang w:val="zh-CN"/>
                      </w:rPr>
                      <w:t>32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76555">
    <w:pPr>
      <w:pStyle w:val="27"/>
      <w:tabs>
        <w:tab w:val="center" w:pos="4873"/>
        <w:tab w:val="right" w:pos="9746"/>
        <w:tab w:val="clear" w:pos="4153"/>
        <w:tab w:val="clear" w:pos="8306"/>
      </w:tabs>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5B1D4A">
                          <w:pPr>
                            <w:pStyle w:val="2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055B1D4A">
                    <w:pPr>
                      <w:pStyle w:val="2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r>
      <w:tab/>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5F55C">
    <w:pPr>
      <w:pStyle w:val="27"/>
      <w:jc w:val="righ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49792D0">
                          <w:pPr>
                            <w:pStyle w:val="27"/>
                            <w:jc w:val="right"/>
                          </w:pPr>
                          <w:r>
                            <w:fldChar w:fldCharType="begin"/>
                          </w:r>
                          <w:r>
                            <w:instrText xml:space="preserve"> PAGE   \* MERGEFORMAT </w:instrText>
                          </w:r>
                          <w:r>
                            <w:fldChar w:fldCharType="separate"/>
                          </w:r>
                          <w:r>
                            <w:rPr>
                              <w:lang w:val="zh-CN"/>
                            </w:rPr>
                            <w:t>53</w:t>
                          </w:r>
                          <w:r>
                            <w:fldChar w:fldCharType="end"/>
                          </w:r>
                        </w:p>
                      </w:txbxContent>
                    </wps:txbx>
                    <wps:bodyPr wrap="none" lIns="0" tIns="0" rIns="0" bIns="0" anchor="t" anchorCtr="0" upright="1">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D2Nd4y5gEA&#10;AMsDAAAOAAAAAAAAAAEAIAAAACIBAABkcnMvZTJvRG9jLnhtbFBLBQYAAAAABgAGAFkBAAB6BQAA&#10;AAA=&#10;">
              <v:fill on="f" focussize="0,0"/>
              <v:stroke on="f" weight="1.25pt"/>
              <v:imagedata o:title=""/>
              <o:lock v:ext="edit" aspectratio="f"/>
              <v:textbox inset="0mm,0mm,0mm,0mm" style="mso-fit-shape-to-text:t;">
                <w:txbxContent>
                  <w:p w14:paraId="349792D0">
                    <w:pPr>
                      <w:pStyle w:val="27"/>
                      <w:jc w:val="right"/>
                    </w:pPr>
                    <w:r>
                      <w:fldChar w:fldCharType="begin"/>
                    </w:r>
                    <w:r>
                      <w:instrText xml:space="preserve"> PAGE   \* MERGEFORMAT </w:instrText>
                    </w:r>
                    <w:r>
                      <w:fldChar w:fldCharType="separate"/>
                    </w:r>
                    <w:r>
                      <w:rPr>
                        <w:lang w:val="zh-CN"/>
                      </w:rPr>
                      <w:t>53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6A275">
    <w:pPr>
      <w:pStyle w:val="27"/>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C2C86D3">
                          <w:pPr>
                            <w:pStyle w:val="27"/>
                            <w:jc w:val="center"/>
                          </w:pPr>
                          <w:r>
                            <w:fldChar w:fldCharType="begin"/>
                          </w:r>
                          <w:r>
                            <w:instrText xml:space="preserve"> PAGE   \* MERGEFORMAT </w:instrText>
                          </w:r>
                          <w:r>
                            <w:fldChar w:fldCharType="separate"/>
                          </w:r>
                          <w:r>
                            <w:rPr>
                              <w:lang w:val="zh-CN"/>
                            </w:rPr>
                            <w:t>54</w:t>
                          </w:r>
                          <w:r>
                            <w:fldChar w:fldCharType="end"/>
                          </w:r>
                        </w:p>
                      </w:txbxContent>
                    </wps:txbx>
                    <wps:bodyPr wrap="none" lIns="0" tIns="0" rIns="0" bIns="0" anchor="t" anchorCtr="0" upright="1">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GmCS9MAAAAFAQAA&#10;DwAAAAAAAAABACAAAAAiAAAAZHJzL2Rvd25yZXYueG1sUEsBAhQAFAAAAAgAh07iQAvL2kDlAQAA&#10;ywMAAA4AAAAAAAAAAQAgAAAAIgEAAGRycy9lMm9Eb2MueG1sUEsFBgAAAAAGAAYAWQEAAHkFAAAA&#10;AA==&#10;">
              <v:fill on="f" focussize="0,0"/>
              <v:stroke on="f" weight="1.25pt"/>
              <v:imagedata o:title=""/>
              <o:lock v:ext="edit" aspectratio="f"/>
              <v:textbox inset="0mm,0mm,0mm,0mm" style="mso-fit-shape-to-text:t;">
                <w:txbxContent>
                  <w:p w14:paraId="2C2C86D3">
                    <w:pPr>
                      <w:pStyle w:val="27"/>
                      <w:jc w:val="center"/>
                    </w:pPr>
                    <w:r>
                      <w:fldChar w:fldCharType="begin"/>
                    </w:r>
                    <w:r>
                      <w:instrText xml:space="preserve"> PAGE   \* MERGEFORMAT </w:instrText>
                    </w:r>
                    <w:r>
                      <w:fldChar w:fldCharType="separate"/>
                    </w:r>
                    <w:r>
                      <w:rPr>
                        <w:lang w:val="zh-CN"/>
                      </w:rPr>
                      <w:t>54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A7B1D">
    <w:pPr>
      <w:pStyle w:val="2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72085" cy="2794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72085" cy="279400"/>
                      </a:xfrm>
                      <a:prstGeom prst="rect">
                        <a:avLst/>
                      </a:prstGeom>
                      <a:noFill/>
                      <a:ln w="15875">
                        <a:noFill/>
                      </a:ln>
                      <a:effectLst/>
                    </wps:spPr>
                    <wps:txbx>
                      <w:txbxContent>
                        <w:p w14:paraId="3F6FC970">
                          <w:pPr>
                            <w:pStyle w:val="27"/>
                          </w:pPr>
                          <w:r>
                            <w:rPr>
                              <w:rFonts w:hint="eastAsia"/>
                            </w:rPr>
                            <w:fldChar w:fldCharType="begin"/>
                          </w:r>
                          <w:r>
                            <w:rPr>
                              <w:rFonts w:hint="eastAsia"/>
                            </w:rPr>
                            <w:instrText xml:space="preserve"> PAGE  \* MERGEFORMAT </w:instrText>
                          </w:r>
                          <w:r>
                            <w:rPr>
                              <w:rFonts w:hint="eastAsia"/>
                            </w:rPr>
                            <w:fldChar w:fldCharType="separate"/>
                          </w:r>
                          <w:r>
                            <w:t>86</w:t>
                          </w:r>
                          <w:r>
                            <w:rPr>
                              <w:rFonts w:hint="eastAsia"/>
                            </w:rPr>
                            <w:fldChar w:fldCharType="end"/>
                          </w:r>
                        </w:p>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22pt;width:13.55pt;mso-position-horizontal:center;mso-position-horizontal-relative:margin;mso-wrap-style:none;z-index:251664384;mso-width-relative:page;mso-height-relative:page;" filled="f" stroked="f" coordsize="21600,21600" o:gfxdata="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QxmH3tQA&#10;AAADAQAADwAAAAAAAAABACAAAAAiAAAAZHJzL2Rvd25yZXYueG1sUEsBAhQAFAAAAAgAh07iQBwz&#10;ndrqAQAAyAMAAA4AAAAAAAAAAQAgAAAAIwEAAGRycy9lMm9Eb2MueG1sUEsFBgAAAAAGAAYAWQEA&#10;AH8FAAAAAA==&#10;">
              <v:fill on="f" focussize="0,0"/>
              <v:stroke on="f" weight="1.25pt"/>
              <v:imagedata o:title=""/>
              <o:lock v:ext="edit" aspectratio="f"/>
              <v:textbox inset="0mm,0mm,0mm,0mm" style="mso-fit-shape-to-text:t;">
                <w:txbxContent>
                  <w:p w14:paraId="3F6FC970">
                    <w:pPr>
                      <w:pStyle w:val="27"/>
                    </w:pPr>
                    <w:r>
                      <w:rPr>
                        <w:rFonts w:hint="eastAsia"/>
                      </w:rPr>
                      <w:fldChar w:fldCharType="begin"/>
                    </w:r>
                    <w:r>
                      <w:rPr>
                        <w:rFonts w:hint="eastAsia"/>
                      </w:rPr>
                      <w:instrText xml:space="preserve"> PAGE  \* MERGEFORMAT </w:instrText>
                    </w:r>
                    <w:r>
                      <w:rPr>
                        <w:rFonts w:hint="eastAsia"/>
                      </w:rPr>
                      <w:fldChar w:fldCharType="separate"/>
                    </w:r>
                    <w:r>
                      <w:t>86</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02E3D">
    <w:pPr>
      <w:pStyle w:val="28"/>
      <w:pBdr>
        <w:bottom w:val="none" w:color="auto" w:sz="0" w:space="0"/>
      </w:pBdr>
      <w:ind w:firstLine="360"/>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220D75"/>
    <w:multiLevelType w:val="singleLevel"/>
    <w:tmpl w:val="8B220D75"/>
    <w:lvl w:ilvl="0" w:tentative="0">
      <w:start w:val="7"/>
      <w:numFmt w:val="decimal"/>
      <w:lvlText w:val="%1."/>
      <w:lvlJc w:val="left"/>
      <w:pPr>
        <w:tabs>
          <w:tab w:val="left" w:pos="312"/>
        </w:tabs>
      </w:pPr>
    </w:lvl>
  </w:abstractNum>
  <w:abstractNum w:abstractNumId="1">
    <w:nsid w:val="C2ED9B09"/>
    <w:multiLevelType w:val="multilevel"/>
    <w:tmpl w:val="C2ED9B09"/>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2">
    <w:nsid w:val="63433F2F"/>
    <w:multiLevelType w:val="multilevel"/>
    <w:tmpl w:val="63433F2F"/>
    <w:lvl w:ilvl="0" w:tentative="0">
      <w:start w:val="1"/>
      <w:numFmt w:val="chineseCountingThousand"/>
      <w:suff w:val="space"/>
      <w:lvlText w:val="第%1章"/>
      <w:lvlJc w:val="left"/>
      <w:pPr>
        <w:ind w:left="0" w:firstLine="0"/>
      </w:pPr>
      <w:rPr>
        <w:rFonts w:hint="default" w:ascii="Times New Roman" w:hAnsi="Times New Roman" w:eastAsia="宋体"/>
        <w:b/>
        <w:i w:val="0"/>
        <w:sz w:val="36"/>
      </w:rPr>
    </w:lvl>
    <w:lvl w:ilvl="1" w:tentative="0">
      <w:start w:val="1"/>
      <w:numFmt w:val="decimal"/>
      <w:pStyle w:val="307"/>
      <w:isLgl/>
      <w:suff w:val="space"/>
      <w:lvlText w:val="%1.%2."/>
      <w:lvlJc w:val="left"/>
      <w:pPr>
        <w:ind w:left="0" w:firstLine="0"/>
      </w:pPr>
      <w:rPr>
        <w:rFonts w:hint="default" w:ascii="Times New Roman" w:hAnsi="Times New Roman" w:eastAsia="宋体"/>
        <w:b/>
        <w:i w:val="0"/>
        <w:sz w:val="36"/>
      </w:rPr>
    </w:lvl>
    <w:lvl w:ilvl="2" w:tentative="0">
      <w:start w:val="1"/>
      <w:numFmt w:val="decimal"/>
      <w:pStyle w:val="308"/>
      <w:isLgl/>
      <w:suff w:val="space"/>
      <w:lvlText w:val="%1.%2.%3."/>
      <w:lvlJc w:val="left"/>
      <w:pPr>
        <w:ind w:left="0" w:firstLine="0"/>
      </w:pPr>
      <w:rPr>
        <w:rFonts w:hint="default" w:ascii="Times New Roman" w:hAnsi="Times New Roman" w:eastAsia="宋体"/>
        <w:b/>
        <w:i w:val="0"/>
        <w:sz w:val="28"/>
      </w:rPr>
    </w:lvl>
    <w:lvl w:ilvl="3" w:tentative="0">
      <w:start w:val="1"/>
      <w:numFmt w:val="decimal"/>
      <w:pStyle w:val="309"/>
      <w:isLgl/>
      <w:suff w:val="space"/>
      <w:lvlText w:val="%1.%2.%3.%4."/>
      <w:lvlJc w:val="left"/>
      <w:pPr>
        <w:ind w:left="0" w:firstLine="0"/>
      </w:pPr>
      <w:rPr>
        <w:rFonts w:hint="default" w:ascii="Times New Roman" w:hAnsi="Times New Roman" w:eastAsia="宋体"/>
        <w:b/>
        <w:i w:val="0"/>
        <w:sz w:val="24"/>
      </w:rPr>
    </w:lvl>
    <w:lvl w:ilvl="4" w:tentative="0">
      <w:start w:val="1"/>
      <w:numFmt w:val="decimal"/>
      <w:isLgl/>
      <w:suff w:val="space"/>
      <w:lvlText w:val="%1.%2.%3.%4.%5."/>
      <w:lvlJc w:val="left"/>
      <w:pPr>
        <w:ind w:left="0" w:firstLine="0"/>
      </w:pPr>
      <w:rPr>
        <w:rFonts w:hint="default" w:ascii="Times New Roman" w:hAnsi="Times New Roman" w:eastAsia="宋体"/>
        <w:b/>
        <w:i w:val="0"/>
        <w:sz w:val="24"/>
      </w:rPr>
    </w:lvl>
    <w:lvl w:ilvl="5" w:tentative="0">
      <w:start w:val="1"/>
      <w:numFmt w:val="decimal"/>
      <w:isLgl/>
      <w:suff w:val="space"/>
      <w:lvlText w:val="%1.%2.%3.%4.%5.%6."/>
      <w:lvlJc w:val="left"/>
      <w:pPr>
        <w:ind w:left="0" w:firstLine="0"/>
      </w:pPr>
      <w:rPr>
        <w:rFonts w:hint="default" w:ascii="Times New Roman" w:hAnsi="Times New Roman" w:eastAsia="宋体"/>
        <w:b/>
        <w:i w:val="0"/>
        <w:sz w:val="24"/>
      </w:rPr>
    </w:lvl>
    <w:lvl w:ilvl="6" w:tentative="0">
      <w:start w:val="1"/>
      <w:numFmt w:val="decimal"/>
      <w:isLgl/>
      <w:suff w:val="space"/>
      <w:lvlText w:val="%1.%2.%3.%4.%5.%6.%7."/>
      <w:lvlJc w:val="left"/>
      <w:pPr>
        <w:ind w:left="0" w:firstLine="0"/>
      </w:pPr>
      <w:rPr>
        <w:rFonts w:hint="default" w:ascii="Times New Roman" w:hAnsi="Times New Roman" w:eastAsia="宋体"/>
        <w:b/>
        <w:i w:val="0"/>
        <w:sz w:val="24"/>
      </w:rPr>
    </w:lvl>
    <w:lvl w:ilvl="7" w:tentative="0">
      <w:start w:val="1"/>
      <w:numFmt w:val="decimal"/>
      <w:isLgl/>
      <w:suff w:val="space"/>
      <w:lvlText w:val="%1.%2.%3.%4.%5.%6.%7.%8."/>
      <w:lvlJc w:val="left"/>
      <w:pPr>
        <w:ind w:left="0" w:firstLine="0"/>
      </w:pPr>
      <w:rPr>
        <w:rFonts w:hint="default" w:ascii="Times New Roman" w:hAnsi="Times New Roman" w:eastAsia="宋体"/>
        <w:b/>
        <w:i w:val="0"/>
        <w:sz w:val="24"/>
      </w:rPr>
    </w:lvl>
    <w:lvl w:ilvl="8" w:tentative="0">
      <w:start w:val="1"/>
      <w:numFmt w:val="decimal"/>
      <w:isLgl/>
      <w:suff w:val="space"/>
      <w:lvlText w:val="%1.%2.%3.%4.%5.%6.%7.%8.%9."/>
      <w:lvlJc w:val="left"/>
      <w:pPr>
        <w:ind w:left="0" w:firstLine="0"/>
      </w:pPr>
      <w:rPr>
        <w:rFonts w:hint="default" w:ascii="Times New Roman" w:hAnsi="Times New Roman" w:eastAsia="宋体"/>
        <w:b/>
        <w:i w:val="0"/>
        <w:sz w:val="24"/>
      </w:rPr>
    </w:lvl>
  </w:abstractNum>
  <w:abstractNum w:abstractNumId="3">
    <w:nsid w:val="76D4D3CB"/>
    <w:multiLevelType w:val="singleLevel"/>
    <w:tmpl w:val="76D4D3CB"/>
    <w:lvl w:ilvl="0" w:tentative="0">
      <w:start w:val="1"/>
      <w:numFmt w:val="decimal"/>
      <w:lvlText w:val="%1."/>
      <w:lvlJc w:val="left"/>
      <w:pPr>
        <w:tabs>
          <w:tab w:val="left" w:pos="312"/>
        </w:tabs>
      </w:pPr>
    </w:lvl>
  </w:abstractNum>
  <w:abstractNum w:abstractNumId="4">
    <w:nsid w:val="7BBAF834"/>
    <w:multiLevelType w:val="singleLevel"/>
    <w:tmpl w:val="7BBAF834"/>
    <w:lvl w:ilvl="0" w:tentative="0">
      <w:start w:val="8"/>
      <w:numFmt w:val="decimal"/>
      <w:lvlText w:val="%1."/>
      <w:lvlJc w:val="left"/>
      <w:pPr>
        <w:tabs>
          <w:tab w:val="left" w:pos="312"/>
        </w:tabs>
      </w:pPr>
    </w:lvl>
  </w:abstractNum>
  <w:abstractNum w:abstractNumId="5">
    <w:nsid w:val="7F773C35"/>
    <w:multiLevelType w:val="multilevel"/>
    <w:tmpl w:val="7F773C35"/>
    <w:lvl w:ilvl="0" w:tentative="0">
      <w:start w:val="1"/>
      <w:numFmt w:val="decimal"/>
      <w:pStyle w:val="313"/>
      <w:lvlText w:val="%1."/>
      <w:lvlJc w:val="left"/>
      <w:pPr>
        <w:tabs>
          <w:tab w:val="left" w:pos="2126"/>
        </w:tabs>
        <w:ind w:left="2126" w:hanging="425"/>
      </w:pPr>
      <w:rPr>
        <w:rFonts w:hint="default" w:ascii="Times New Roman" w:hAnsi="Times New Roman" w:cs="Book Antiqua"/>
        <w:b w:val="0"/>
        <w:bCs/>
        <w:i w:val="0"/>
        <w:iCs w:val="0"/>
        <w:sz w:val="21"/>
        <w:szCs w:val="21"/>
        <w:u w:val="none"/>
      </w:rPr>
    </w:lvl>
    <w:lvl w:ilvl="1" w:tentative="0">
      <w:start w:val="1"/>
      <w:numFmt w:val="lowerLetter"/>
      <w:pStyle w:val="314"/>
      <w:lvlText w:val="%2."/>
      <w:lvlJc w:val="left"/>
      <w:pPr>
        <w:tabs>
          <w:tab w:val="left" w:pos="2551"/>
        </w:tabs>
        <w:ind w:left="2551" w:hanging="425"/>
      </w:pPr>
      <w:rPr>
        <w:rFonts w:hint="default" w:ascii="Times New Roman" w:hAnsi="Times New Roman" w:cs="Book Antiqua"/>
        <w:b w:val="0"/>
        <w:bCs/>
        <w:i w:val="0"/>
        <w:iCs w:val="0"/>
        <w:sz w:val="21"/>
        <w:szCs w:val="21"/>
        <w:u w:val="none"/>
      </w:rPr>
    </w:lvl>
    <w:lvl w:ilvl="2" w:tentative="0">
      <w:start w:val="1"/>
      <w:numFmt w:val="lowerRoman"/>
      <w:pStyle w:val="315"/>
      <w:lvlText w:val="%3."/>
      <w:lvlJc w:val="left"/>
      <w:pPr>
        <w:tabs>
          <w:tab w:val="left" w:pos="2976"/>
        </w:tabs>
        <w:ind w:left="2976" w:hanging="425"/>
      </w:pPr>
      <w:rPr>
        <w:rFonts w:hint="default" w:ascii="Times New Roman" w:hAnsi="Times New Roman" w:cs="Book Antiqua"/>
        <w:b w:val="0"/>
        <w:bCs/>
        <w:i w:val="0"/>
        <w:iCs w:val="0"/>
        <w:sz w:val="21"/>
        <w:szCs w:val="21"/>
        <w:u w:val="none"/>
      </w:rPr>
    </w:lvl>
    <w:lvl w:ilvl="3" w:tentative="0">
      <w:start w:val="1"/>
      <w:numFmt w:val="decimal"/>
      <w:pStyle w:val="316"/>
      <w:lvlText w:val="%4)"/>
      <w:lvlJc w:val="left"/>
      <w:pPr>
        <w:tabs>
          <w:tab w:val="left" w:pos="3401"/>
        </w:tabs>
        <w:ind w:left="3401" w:hanging="425"/>
      </w:pPr>
      <w:rPr>
        <w:rFonts w:hint="default" w:ascii="Times New Roman" w:hAnsi="Times New Roman" w:cs="Book Antiqua"/>
        <w:b w:val="0"/>
        <w:bCs/>
        <w:i w:val="0"/>
        <w:iCs w:val="0"/>
        <w:sz w:val="21"/>
        <w:szCs w:val="21"/>
        <w:u w:val="none"/>
      </w:rPr>
    </w:lvl>
    <w:lvl w:ilvl="4" w:tentative="0">
      <w:start w:val="1"/>
      <w:numFmt w:val="bullet"/>
      <w:lvlText w:val=""/>
      <w:lvlJc w:val="left"/>
      <w:pPr>
        <w:tabs>
          <w:tab w:val="left" w:pos="1260"/>
        </w:tabs>
        <w:ind w:left="1260" w:hanging="420"/>
      </w:pPr>
      <w:rPr>
        <w:rFonts w:hint="default" w:ascii="Wingdings" w:hAnsi="Wingdings"/>
      </w:rPr>
    </w:lvl>
    <w:lvl w:ilvl="5" w:tentative="0">
      <w:start w:val="1"/>
      <w:numFmt w:val="bullet"/>
      <w:lvlText w:val=""/>
      <w:lvlJc w:val="left"/>
      <w:pPr>
        <w:tabs>
          <w:tab w:val="left" w:pos="1680"/>
        </w:tabs>
        <w:ind w:left="1680" w:hanging="420"/>
      </w:pPr>
      <w:rPr>
        <w:rFonts w:hint="default" w:ascii="Wingdings" w:hAnsi="Wingdings"/>
      </w:rPr>
    </w:lvl>
    <w:lvl w:ilvl="6" w:tentative="0">
      <w:start w:val="1"/>
      <w:numFmt w:val="bullet"/>
      <w:lvlText w:val=""/>
      <w:lvlJc w:val="left"/>
      <w:pPr>
        <w:tabs>
          <w:tab w:val="left" w:pos="2100"/>
        </w:tabs>
        <w:ind w:left="2100" w:hanging="420"/>
      </w:pPr>
      <w:rPr>
        <w:rFonts w:hint="default" w:ascii="Wingdings" w:hAnsi="Wingdings"/>
      </w:rPr>
    </w:lvl>
    <w:lvl w:ilvl="7" w:tentative="0">
      <w:start w:val="1"/>
      <w:numFmt w:val="bullet"/>
      <w:lvlText w:val=""/>
      <w:lvlJc w:val="left"/>
      <w:pPr>
        <w:tabs>
          <w:tab w:val="left" w:pos="2520"/>
        </w:tabs>
        <w:ind w:left="2520" w:hanging="420"/>
      </w:pPr>
      <w:rPr>
        <w:rFonts w:hint="default" w:ascii="Wingdings" w:hAnsi="Wingdings"/>
      </w:rPr>
    </w:lvl>
    <w:lvl w:ilvl="8" w:tentative="0">
      <w:start w:val="1"/>
      <w:numFmt w:val="decimal"/>
      <w:lvlRestart w:val="0"/>
      <w:lvlText w:val="%9."/>
      <w:lvlJc w:val="left"/>
      <w:pPr>
        <w:tabs>
          <w:tab w:val="left" w:pos="284"/>
        </w:tabs>
        <w:ind w:left="284" w:hanging="284"/>
      </w:pPr>
      <w:rPr>
        <w:rFonts w:hint="eastAsia"/>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dit="readOnly" w:enforcement="1" w:cryptProviderType="rsaFull" w:cryptAlgorithmClass="hash" w:cryptAlgorithmType="typeAny" w:cryptAlgorithmSid="4" w:cryptSpinCount="0" w:hash="lP9d/+NgC2en8WueDS8MbExkM2Y=" w:salt="U13g5VDYpWl+HE3xBpE28A=="/>
  <w:defaultTabStop w:val="424"/>
  <w:displayHorizontalDrawingGridEvery w:val="1"/>
  <w:displayVerticalDrawingGridEvery w:val="1"/>
  <w:noPunctuationKerning w:val="1"/>
  <w:characterSpacingControl w:val="doNotCompress"/>
  <w:noLineBreaksAfter w:lang="zh-CN" w:val="([{·‘“〈《「『【〔〖（．［｛￡￥"/>
  <w:noLineBreaksBefore w:lang="zh-CN" w:val="!),.:;?]}¨·ˇˉ―‖’”…∶、。〃々〉》」』】〕〗！＂＇），．：；？］｀｜｝～￠"/>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yZWI5MTgwZDVkNWExMjk3ZTcwMzkxMDE3ZDVmYjEifQ=="/>
    <w:docVar w:name="DocumentID" w:val="{37626ED3-1476-4D2C-B2C8-0ADA58D52909}"/>
    <w:docVar w:name="DocumentName" w:val="蒙自市公办义务教育阶段学校食堂大宗食材配送服务20240909"/>
    <w:docVar w:name="KSO_WPS_MARK_KEY" w:val="f7fa3377-1f7d-43cb-baac-628b55805c04"/>
  </w:docVars>
  <w:rsids>
    <w:rsidRoot w:val="00AA63A0"/>
    <w:rsid w:val="000001DD"/>
    <w:rsid w:val="00000368"/>
    <w:rsid w:val="00000767"/>
    <w:rsid w:val="000007C7"/>
    <w:rsid w:val="0000095C"/>
    <w:rsid w:val="00000F3A"/>
    <w:rsid w:val="00001193"/>
    <w:rsid w:val="000011E9"/>
    <w:rsid w:val="00002418"/>
    <w:rsid w:val="000026CF"/>
    <w:rsid w:val="00002713"/>
    <w:rsid w:val="00002740"/>
    <w:rsid w:val="00002A0F"/>
    <w:rsid w:val="00002AF6"/>
    <w:rsid w:val="00002CC3"/>
    <w:rsid w:val="00002DAF"/>
    <w:rsid w:val="000030C1"/>
    <w:rsid w:val="000049D9"/>
    <w:rsid w:val="00004D67"/>
    <w:rsid w:val="00005A1F"/>
    <w:rsid w:val="00005B16"/>
    <w:rsid w:val="00005E36"/>
    <w:rsid w:val="000062FE"/>
    <w:rsid w:val="00006587"/>
    <w:rsid w:val="000067DF"/>
    <w:rsid w:val="00006997"/>
    <w:rsid w:val="00007C5C"/>
    <w:rsid w:val="00007E1B"/>
    <w:rsid w:val="00010641"/>
    <w:rsid w:val="00010C95"/>
    <w:rsid w:val="00011D56"/>
    <w:rsid w:val="000129F1"/>
    <w:rsid w:val="00012BC5"/>
    <w:rsid w:val="00012D15"/>
    <w:rsid w:val="00012D70"/>
    <w:rsid w:val="00013112"/>
    <w:rsid w:val="00013235"/>
    <w:rsid w:val="00013425"/>
    <w:rsid w:val="000134FA"/>
    <w:rsid w:val="000141BE"/>
    <w:rsid w:val="0001432A"/>
    <w:rsid w:val="0001447B"/>
    <w:rsid w:val="0001469F"/>
    <w:rsid w:val="00014845"/>
    <w:rsid w:val="00015226"/>
    <w:rsid w:val="000156B4"/>
    <w:rsid w:val="00016724"/>
    <w:rsid w:val="0001690F"/>
    <w:rsid w:val="00016B3A"/>
    <w:rsid w:val="000170F3"/>
    <w:rsid w:val="000173C8"/>
    <w:rsid w:val="00017E78"/>
    <w:rsid w:val="00020200"/>
    <w:rsid w:val="00020D32"/>
    <w:rsid w:val="0002123D"/>
    <w:rsid w:val="00021A85"/>
    <w:rsid w:val="00021F6C"/>
    <w:rsid w:val="00022570"/>
    <w:rsid w:val="00022C92"/>
    <w:rsid w:val="00023146"/>
    <w:rsid w:val="00023AB8"/>
    <w:rsid w:val="00023E25"/>
    <w:rsid w:val="00024837"/>
    <w:rsid w:val="000249E8"/>
    <w:rsid w:val="00024FE4"/>
    <w:rsid w:val="000256B2"/>
    <w:rsid w:val="000277E1"/>
    <w:rsid w:val="000307D0"/>
    <w:rsid w:val="00030C07"/>
    <w:rsid w:val="00030C9D"/>
    <w:rsid w:val="00030E86"/>
    <w:rsid w:val="00031014"/>
    <w:rsid w:val="00031453"/>
    <w:rsid w:val="00034B9B"/>
    <w:rsid w:val="00034FEE"/>
    <w:rsid w:val="0003512E"/>
    <w:rsid w:val="0003521E"/>
    <w:rsid w:val="00035B8F"/>
    <w:rsid w:val="000361EA"/>
    <w:rsid w:val="00036355"/>
    <w:rsid w:val="00036537"/>
    <w:rsid w:val="0003736E"/>
    <w:rsid w:val="00037D44"/>
    <w:rsid w:val="00040E76"/>
    <w:rsid w:val="00041479"/>
    <w:rsid w:val="00041C3B"/>
    <w:rsid w:val="00041D2B"/>
    <w:rsid w:val="00041F03"/>
    <w:rsid w:val="000421E6"/>
    <w:rsid w:val="00042A69"/>
    <w:rsid w:val="00043998"/>
    <w:rsid w:val="00043FF3"/>
    <w:rsid w:val="000448FD"/>
    <w:rsid w:val="00044C5F"/>
    <w:rsid w:val="00044F2A"/>
    <w:rsid w:val="00046116"/>
    <w:rsid w:val="00046CDE"/>
    <w:rsid w:val="00046F86"/>
    <w:rsid w:val="000476D4"/>
    <w:rsid w:val="000479C2"/>
    <w:rsid w:val="0005048C"/>
    <w:rsid w:val="00050958"/>
    <w:rsid w:val="00050A32"/>
    <w:rsid w:val="00050AD7"/>
    <w:rsid w:val="00050EA2"/>
    <w:rsid w:val="00051210"/>
    <w:rsid w:val="00051742"/>
    <w:rsid w:val="00051820"/>
    <w:rsid w:val="00052436"/>
    <w:rsid w:val="00053223"/>
    <w:rsid w:val="00053A07"/>
    <w:rsid w:val="00054319"/>
    <w:rsid w:val="000548E1"/>
    <w:rsid w:val="00055893"/>
    <w:rsid w:val="00055CA8"/>
    <w:rsid w:val="00055D2D"/>
    <w:rsid w:val="00056180"/>
    <w:rsid w:val="000562B9"/>
    <w:rsid w:val="0005642E"/>
    <w:rsid w:val="0005687F"/>
    <w:rsid w:val="00056A5A"/>
    <w:rsid w:val="00056CC1"/>
    <w:rsid w:val="00057EE7"/>
    <w:rsid w:val="000601D1"/>
    <w:rsid w:val="000609A9"/>
    <w:rsid w:val="0006199E"/>
    <w:rsid w:val="00061BE0"/>
    <w:rsid w:val="00061E2C"/>
    <w:rsid w:val="0006234B"/>
    <w:rsid w:val="00062A4C"/>
    <w:rsid w:val="00062C47"/>
    <w:rsid w:val="0006303A"/>
    <w:rsid w:val="000635DD"/>
    <w:rsid w:val="00065399"/>
    <w:rsid w:val="00065B5E"/>
    <w:rsid w:val="00065E12"/>
    <w:rsid w:val="00066088"/>
    <w:rsid w:val="0006611F"/>
    <w:rsid w:val="000664A0"/>
    <w:rsid w:val="000665BE"/>
    <w:rsid w:val="0006724C"/>
    <w:rsid w:val="00067FC9"/>
    <w:rsid w:val="000704E8"/>
    <w:rsid w:val="00070960"/>
    <w:rsid w:val="00070ECA"/>
    <w:rsid w:val="0007105D"/>
    <w:rsid w:val="00071646"/>
    <w:rsid w:val="00072FE5"/>
    <w:rsid w:val="000738C3"/>
    <w:rsid w:val="00073A3C"/>
    <w:rsid w:val="00073BD5"/>
    <w:rsid w:val="00074113"/>
    <w:rsid w:val="000746CA"/>
    <w:rsid w:val="00075DD5"/>
    <w:rsid w:val="000765CB"/>
    <w:rsid w:val="00076B83"/>
    <w:rsid w:val="000770A3"/>
    <w:rsid w:val="0007752C"/>
    <w:rsid w:val="00077676"/>
    <w:rsid w:val="000778CD"/>
    <w:rsid w:val="00077F2B"/>
    <w:rsid w:val="000803D4"/>
    <w:rsid w:val="0008067E"/>
    <w:rsid w:val="000808FC"/>
    <w:rsid w:val="0008155A"/>
    <w:rsid w:val="00081818"/>
    <w:rsid w:val="0008277B"/>
    <w:rsid w:val="00082A86"/>
    <w:rsid w:val="00082EF6"/>
    <w:rsid w:val="00082F27"/>
    <w:rsid w:val="00082F73"/>
    <w:rsid w:val="000844D7"/>
    <w:rsid w:val="000850CC"/>
    <w:rsid w:val="000859AC"/>
    <w:rsid w:val="00085A30"/>
    <w:rsid w:val="00085B35"/>
    <w:rsid w:val="000868AA"/>
    <w:rsid w:val="00087335"/>
    <w:rsid w:val="000874C1"/>
    <w:rsid w:val="000875A1"/>
    <w:rsid w:val="0008764B"/>
    <w:rsid w:val="00087819"/>
    <w:rsid w:val="00087B24"/>
    <w:rsid w:val="000900F6"/>
    <w:rsid w:val="00090469"/>
    <w:rsid w:val="00090546"/>
    <w:rsid w:val="000908B0"/>
    <w:rsid w:val="000915B9"/>
    <w:rsid w:val="00091AB0"/>
    <w:rsid w:val="00092159"/>
    <w:rsid w:val="00092A21"/>
    <w:rsid w:val="00092D6A"/>
    <w:rsid w:val="00092D8D"/>
    <w:rsid w:val="0009332F"/>
    <w:rsid w:val="00093BEA"/>
    <w:rsid w:val="00093C93"/>
    <w:rsid w:val="00093CDB"/>
    <w:rsid w:val="00093D02"/>
    <w:rsid w:val="00094070"/>
    <w:rsid w:val="00094331"/>
    <w:rsid w:val="000945C4"/>
    <w:rsid w:val="000951AE"/>
    <w:rsid w:val="00096065"/>
    <w:rsid w:val="000965B8"/>
    <w:rsid w:val="00096AC5"/>
    <w:rsid w:val="000974FB"/>
    <w:rsid w:val="000A06E4"/>
    <w:rsid w:val="000A0A6B"/>
    <w:rsid w:val="000A1714"/>
    <w:rsid w:val="000A1855"/>
    <w:rsid w:val="000A1912"/>
    <w:rsid w:val="000A1B7E"/>
    <w:rsid w:val="000A2073"/>
    <w:rsid w:val="000A2880"/>
    <w:rsid w:val="000A2C52"/>
    <w:rsid w:val="000A33FA"/>
    <w:rsid w:val="000A386C"/>
    <w:rsid w:val="000A3C50"/>
    <w:rsid w:val="000A47DF"/>
    <w:rsid w:val="000A51A7"/>
    <w:rsid w:val="000A5386"/>
    <w:rsid w:val="000A5394"/>
    <w:rsid w:val="000A558D"/>
    <w:rsid w:val="000A56A5"/>
    <w:rsid w:val="000A56AE"/>
    <w:rsid w:val="000A5C2D"/>
    <w:rsid w:val="000A5FB9"/>
    <w:rsid w:val="000A60BA"/>
    <w:rsid w:val="000A614E"/>
    <w:rsid w:val="000A67B9"/>
    <w:rsid w:val="000A6804"/>
    <w:rsid w:val="000A6B83"/>
    <w:rsid w:val="000A6C7E"/>
    <w:rsid w:val="000A6FBE"/>
    <w:rsid w:val="000A6FFB"/>
    <w:rsid w:val="000A7450"/>
    <w:rsid w:val="000A78BA"/>
    <w:rsid w:val="000A7BF4"/>
    <w:rsid w:val="000A7DB3"/>
    <w:rsid w:val="000B0C6C"/>
    <w:rsid w:val="000B0F93"/>
    <w:rsid w:val="000B16A9"/>
    <w:rsid w:val="000B2375"/>
    <w:rsid w:val="000B29FD"/>
    <w:rsid w:val="000B3E0A"/>
    <w:rsid w:val="000B3E3C"/>
    <w:rsid w:val="000B46DC"/>
    <w:rsid w:val="000B4976"/>
    <w:rsid w:val="000B58DE"/>
    <w:rsid w:val="000B6A1D"/>
    <w:rsid w:val="000B790F"/>
    <w:rsid w:val="000C184F"/>
    <w:rsid w:val="000C1E16"/>
    <w:rsid w:val="000C28FE"/>
    <w:rsid w:val="000C2916"/>
    <w:rsid w:val="000C314C"/>
    <w:rsid w:val="000C33D3"/>
    <w:rsid w:val="000C3F3B"/>
    <w:rsid w:val="000C554D"/>
    <w:rsid w:val="000C597B"/>
    <w:rsid w:val="000C6E53"/>
    <w:rsid w:val="000C715D"/>
    <w:rsid w:val="000C7A1A"/>
    <w:rsid w:val="000C7D60"/>
    <w:rsid w:val="000C7D70"/>
    <w:rsid w:val="000D0520"/>
    <w:rsid w:val="000D0525"/>
    <w:rsid w:val="000D0EC7"/>
    <w:rsid w:val="000D125D"/>
    <w:rsid w:val="000D172F"/>
    <w:rsid w:val="000D265B"/>
    <w:rsid w:val="000D27FB"/>
    <w:rsid w:val="000D2A04"/>
    <w:rsid w:val="000D306F"/>
    <w:rsid w:val="000D5478"/>
    <w:rsid w:val="000D54B8"/>
    <w:rsid w:val="000D563F"/>
    <w:rsid w:val="000D57BE"/>
    <w:rsid w:val="000D5C1B"/>
    <w:rsid w:val="000D60DD"/>
    <w:rsid w:val="000D6E92"/>
    <w:rsid w:val="000D784C"/>
    <w:rsid w:val="000E0E5C"/>
    <w:rsid w:val="000E12B5"/>
    <w:rsid w:val="000E131B"/>
    <w:rsid w:val="000E1687"/>
    <w:rsid w:val="000E18CF"/>
    <w:rsid w:val="000E199E"/>
    <w:rsid w:val="000E2F23"/>
    <w:rsid w:val="000E3C44"/>
    <w:rsid w:val="000E4677"/>
    <w:rsid w:val="000E5349"/>
    <w:rsid w:val="000E5684"/>
    <w:rsid w:val="000E5BF2"/>
    <w:rsid w:val="000E5FB1"/>
    <w:rsid w:val="000E6DE3"/>
    <w:rsid w:val="000E702C"/>
    <w:rsid w:val="000E7548"/>
    <w:rsid w:val="000E7D47"/>
    <w:rsid w:val="000F0112"/>
    <w:rsid w:val="000F09A2"/>
    <w:rsid w:val="000F0BEC"/>
    <w:rsid w:val="000F13B3"/>
    <w:rsid w:val="000F16C0"/>
    <w:rsid w:val="000F33AF"/>
    <w:rsid w:val="000F36EB"/>
    <w:rsid w:val="000F37D5"/>
    <w:rsid w:val="000F41BA"/>
    <w:rsid w:val="000F452B"/>
    <w:rsid w:val="000F4936"/>
    <w:rsid w:val="000F4C18"/>
    <w:rsid w:val="000F5064"/>
    <w:rsid w:val="000F574D"/>
    <w:rsid w:val="000F57A1"/>
    <w:rsid w:val="000F744F"/>
    <w:rsid w:val="000F74FB"/>
    <w:rsid w:val="000F7C20"/>
    <w:rsid w:val="001002DD"/>
    <w:rsid w:val="0010042B"/>
    <w:rsid w:val="00101E6B"/>
    <w:rsid w:val="0010216B"/>
    <w:rsid w:val="0010246C"/>
    <w:rsid w:val="00102589"/>
    <w:rsid w:val="001027B3"/>
    <w:rsid w:val="001034CA"/>
    <w:rsid w:val="001035F5"/>
    <w:rsid w:val="0010364F"/>
    <w:rsid w:val="00103CC5"/>
    <w:rsid w:val="00103DA3"/>
    <w:rsid w:val="00103F3F"/>
    <w:rsid w:val="00104193"/>
    <w:rsid w:val="00104A7F"/>
    <w:rsid w:val="00104B2D"/>
    <w:rsid w:val="00105969"/>
    <w:rsid w:val="00105B1E"/>
    <w:rsid w:val="00105D31"/>
    <w:rsid w:val="00105D7C"/>
    <w:rsid w:val="0010652C"/>
    <w:rsid w:val="00106922"/>
    <w:rsid w:val="00106952"/>
    <w:rsid w:val="00107846"/>
    <w:rsid w:val="00110334"/>
    <w:rsid w:val="001104EF"/>
    <w:rsid w:val="001105A8"/>
    <w:rsid w:val="001107D3"/>
    <w:rsid w:val="0011216F"/>
    <w:rsid w:val="00112974"/>
    <w:rsid w:val="00112A28"/>
    <w:rsid w:val="0011485F"/>
    <w:rsid w:val="001148D3"/>
    <w:rsid w:val="00114C77"/>
    <w:rsid w:val="00114E06"/>
    <w:rsid w:val="00115AB9"/>
    <w:rsid w:val="00116186"/>
    <w:rsid w:val="0011680A"/>
    <w:rsid w:val="00116821"/>
    <w:rsid w:val="00116C62"/>
    <w:rsid w:val="00116C99"/>
    <w:rsid w:val="00116E94"/>
    <w:rsid w:val="0011718D"/>
    <w:rsid w:val="001175F5"/>
    <w:rsid w:val="0012009A"/>
    <w:rsid w:val="001203DD"/>
    <w:rsid w:val="00120AB7"/>
    <w:rsid w:val="00120CA1"/>
    <w:rsid w:val="0012104B"/>
    <w:rsid w:val="001210CD"/>
    <w:rsid w:val="00121369"/>
    <w:rsid w:val="001215F8"/>
    <w:rsid w:val="00122027"/>
    <w:rsid w:val="00122AB2"/>
    <w:rsid w:val="00122C80"/>
    <w:rsid w:val="0012309F"/>
    <w:rsid w:val="001237FF"/>
    <w:rsid w:val="00123B62"/>
    <w:rsid w:val="001240CE"/>
    <w:rsid w:val="00124410"/>
    <w:rsid w:val="001249DC"/>
    <w:rsid w:val="0012504B"/>
    <w:rsid w:val="0012509F"/>
    <w:rsid w:val="001250FD"/>
    <w:rsid w:val="001251F4"/>
    <w:rsid w:val="0012572D"/>
    <w:rsid w:val="00125971"/>
    <w:rsid w:val="00125B78"/>
    <w:rsid w:val="00125B7B"/>
    <w:rsid w:val="00126156"/>
    <w:rsid w:val="00126AB0"/>
    <w:rsid w:val="00126F18"/>
    <w:rsid w:val="001279CA"/>
    <w:rsid w:val="00127FF4"/>
    <w:rsid w:val="001306D8"/>
    <w:rsid w:val="001317F8"/>
    <w:rsid w:val="00131DA9"/>
    <w:rsid w:val="00131F9F"/>
    <w:rsid w:val="001336A0"/>
    <w:rsid w:val="00135755"/>
    <w:rsid w:val="001362EA"/>
    <w:rsid w:val="00136D32"/>
    <w:rsid w:val="001375FA"/>
    <w:rsid w:val="00137774"/>
    <w:rsid w:val="00137994"/>
    <w:rsid w:val="001379B7"/>
    <w:rsid w:val="00140AA9"/>
    <w:rsid w:val="0014146E"/>
    <w:rsid w:val="001420D7"/>
    <w:rsid w:val="00144125"/>
    <w:rsid w:val="00144215"/>
    <w:rsid w:val="001443EA"/>
    <w:rsid w:val="00144AE2"/>
    <w:rsid w:val="00144E1C"/>
    <w:rsid w:val="00145112"/>
    <w:rsid w:val="00146574"/>
    <w:rsid w:val="001465AB"/>
    <w:rsid w:val="0014661E"/>
    <w:rsid w:val="0014677E"/>
    <w:rsid w:val="0014784F"/>
    <w:rsid w:val="0015014A"/>
    <w:rsid w:val="001515F1"/>
    <w:rsid w:val="00151EC8"/>
    <w:rsid w:val="001523DF"/>
    <w:rsid w:val="001523E3"/>
    <w:rsid w:val="0015268E"/>
    <w:rsid w:val="001529F8"/>
    <w:rsid w:val="001533A5"/>
    <w:rsid w:val="0015351A"/>
    <w:rsid w:val="00153884"/>
    <w:rsid w:val="0015460E"/>
    <w:rsid w:val="00154666"/>
    <w:rsid w:val="001551BB"/>
    <w:rsid w:val="001555F9"/>
    <w:rsid w:val="00155E75"/>
    <w:rsid w:val="00156B9B"/>
    <w:rsid w:val="0016095C"/>
    <w:rsid w:val="00160E34"/>
    <w:rsid w:val="00161182"/>
    <w:rsid w:val="001619E9"/>
    <w:rsid w:val="00161C98"/>
    <w:rsid w:val="00163DB3"/>
    <w:rsid w:val="001642A1"/>
    <w:rsid w:val="00164F51"/>
    <w:rsid w:val="00167E63"/>
    <w:rsid w:val="0017004F"/>
    <w:rsid w:val="0017051C"/>
    <w:rsid w:val="00170789"/>
    <w:rsid w:val="001714C8"/>
    <w:rsid w:val="00171FE3"/>
    <w:rsid w:val="0017250D"/>
    <w:rsid w:val="00172726"/>
    <w:rsid w:val="0017292B"/>
    <w:rsid w:val="00172A27"/>
    <w:rsid w:val="00173551"/>
    <w:rsid w:val="00173DAB"/>
    <w:rsid w:val="00174B18"/>
    <w:rsid w:val="00175152"/>
    <w:rsid w:val="00175205"/>
    <w:rsid w:val="00176224"/>
    <w:rsid w:val="001764DB"/>
    <w:rsid w:val="0017657F"/>
    <w:rsid w:val="001775AC"/>
    <w:rsid w:val="00177EDE"/>
    <w:rsid w:val="0018031F"/>
    <w:rsid w:val="00181409"/>
    <w:rsid w:val="00181DE5"/>
    <w:rsid w:val="001824E5"/>
    <w:rsid w:val="0018270E"/>
    <w:rsid w:val="001834A1"/>
    <w:rsid w:val="00183A18"/>
    <w:rsid w:val="00183D92"/>
    <w:rsid w:val="00184276"/>
    <w:rsid w:val="00185157"/>
    <w:rsid w:val="001855C9"/>
    <w:rsid w:val="00185654"/>
    <w:rsid w:val="0018639E"/>
    <w:rsid w:val="001867AE"/>
    <w:rsid w:val="00187119"/>
    <w:rsid w:val="0018712A"/>
    <w:rsid w:val="00187389"/>
    <w:rsid w:val="001874AA"/>
    <w:rsid w:val="001874EC"/>
    <w:rsid w:val="00187643"/>
    <w:rsid w:val="0018773F"/>
    <w:rsid w:val="00187A06"/>
    <w:rsid w:val="00187A0A"/>
    <w:rsid w:val="0019053A"/>
    <w:rsid w:val="00190B72"/>
    <w:rsid w:val="00190F22"/>
    <w:rsid w:val="0019141B"/>
    <w:rsid w:val="0019233A"/>
    <w:rsid w:val="0019248B"/>
    <w:rsid w:val="00192973"/>
    <w:rsid w:val="00192993"/>
    <w:rsid w:val="0019306C"/>
    <w:rsid w:val="0019383C"/>
    <w:rsid w:val="00193992"/>
    <w:rsid w:val="00194064"/>
    <w:rsid w:val="00194EAD"/>
    <w:rsid w:val="00196413"/>
    <w:rsid w:val="00196674"/>
    <w:rsid w:val="00196C63"/>
    <w:rsid w:val="00196DB9"/>
    <w:rsid w:val="0019719C"/>
    <w:rsid w:val="0019751F"/>
    <w:rsid w:val="001978E7"/>
    <w:rsid w:val="00197E5E"/>
    <w:rsid w:val="001A0151"/>
    <w:rsid w:val="001A071B"/>
    <w:rsid w:val="001A0BD3"/>
    <w:rsid w:val="001A0D1F"/>
    <w:rsid w:val="001A0E67"/>
    <w:rsid w:val="001A1300"/>
    <w:rsid w:val="001A19B9"/>
    <w:rsid w:val="001A1C09"/>
    <w:rsid w:val="001A36AB"/>
    <w:rsid w:val="001A3C91"/>
    <w:rsid w:val="001A4668"/>
    <w:rsid w:val="001A4BAA"/>
    <w:rsid w:val="001A4D00"/>
    <w:rsid w:val="001A4E0D"/>
    <w:rsid w:val="001A507B"/>
    <w:rsid w:val="001A5346"/>
    <w:rsid w:val="001A58A2"/>
    <w:rsid w:val="001A5970"/>
    <w:rsid w:val="001A5AAB"/>
    <w:rsid w:val="001A668C"/>
    <w:rsid w:val="001A71F7"/>
    <w:rsid w:val="001A7519"/>
    <w:rsid w:val="001A7CF8"/>
    <w:rsid w:val="001B0E2F"/>
    <w:rsid w:val="001B2738"/>
    <w:rsid w:val="001B3259"/>
    <w:rsid w:val="001B38FB"/>
    <w:rsid w:val="001B3B1C"/>
    <w:rsid w:val="001B4275"/>
    <w:rsid w:val="001B43F5"/>
    <w:rsid w:val="001B4767"/>
    <w:rsid w:val="001B48A0"/>
    <w:rsid w:val="001B4E90"/>
    <w:rsid w:val="001B5373"/>
    <w:rsid w:val="001B57B5"/>
    <w:rsid w:val="001B5A52"/>
    <w:rsid w:val="001B5C62"/>
    <w:rsid w:val="001B5C8D"/>
    <w:rsid w:val="001B5CB8"/>
    <w:rsid w:val="001B5D82"/>
    <w:rsid w:val="001B661E"/>
    <w:rsid w:val="001B72D9"/>
    <w:rsid w:val="001C082C"/>
    <w:rsid w:val="001C1380"/>
    <w:rsid w:val="001C169D"/>
    <w:rsid w:val="001C1B0E"/>
    <w:rsid w:val="001C2038"/>
    <w:rsid w:val="001C2E09"/>
    <w:rsid w:val="001C350F"/>
    <w:rsid w:val="001C3893"/>
    <w:rsid w:val="001C3C99"/>
    <w:rsid w:val="001C57A1"/>
    <w:rsid w:val="001C5FAE"/>
    <w:rsid w:val="001C6385"/>
    <w:rsid w:val="001C6470"/>
    <w:rsid w:val="001C64CB"/>
    <w:rsid w:val="001C775C"/>
    <w:rsid w:val="001C7DEA"/>
    <w:rsid w:val="001D0013"/>
    <w:rsid w:val="001D0733"/>
    <w:rsid w:val="001D0776"/>
    <w:rsid w:val="001D07DF"/>
    <w:rsid w:val="001D16D5"/>
    <w:rsid w:val="001D1741"/>
    <w:rsid w:val="001D175D"/>
    <w:rsid w:val="001D2AEC"/>
    <w:rsid w:val="001D3130"/>
    <w:rsid w:val="001D46B7"/>
    <w:rsid w:val="001D4C09"/>
    <w:rsid w:val="001D4D81"/>
    <w:rsid w:val="001D5101"/>
    <w:rsid w:val="001D58DE"/>
    <w:rsid w:val="001D5CF0"/>
    <w:rsid w:val="001D6F07"/>
    <w:rsid w:val="001D7711"/>
    <w:rsid w:val="001E0002"/>
    <w:rsid w:val="001E08BA"/>
    <w:rsid w:val="001E0A44"/>
    <w:rsid w:val="001E162C"/>
    <w:rsid w:val="001E221A"/>
    <w:rsid w:val="001E2844"/>
    <w:rsid w:val="001E2B45"/>
    <w:rsid w:val="001E2D7E"/>
    <w:rsid w:val="001E317C"/>
    <w:rsid w:val="001E3264"/>
    <w:rsid w:val="001E34A8"/>
    <w:rsid w:val="001E4182"/>
    <w:rsid w:val="001E5099"/>
    <w:rsid w:val="001E538E"/>
    <w:rsid w:val="001E5594"/>
    <w:rsid w:val="001E5BC1"/>
    <w:rsid w:val="001E7488"/>
    <w:rsid w:val="001E7F78"/>
    <w:rsid w:val="001F1152"/>
    <w:rsid w:val="001F1626"/>
    <w:rsid w:val="001F16A1"/>
    <w:rsid w:val="001F2252"/>
    <w:rsid w:val="001F34D1"/>
    <w:rsid w:val="001F36AD"/>
    <w:rsid w:val="001F4149"/>
    <w:rsid w:val="001F45E0"/>
    <w:rsid w:val="001F47AE"/>
    <w:rsid w:val="001F4B16"/>
    <w:rsid w:val="001F5452"/>
    <w:rsid w:val="001F58BD"/>
    <w:rsid w:val="001F58D0"/>
    <w:rsid w:val="001F60A0"/>
    <w:rsid w:val="001F75BC"/>
    <w:rsid w:val="001F7B02"/>
    <w:rsid w:val="0020099A"/>
    <w:rsid w:val="002011F4"/>
    <w:rsid w:val="002014AE"/>
    <w:rsid w:val="002014FA"/>
    <w:rsid w:val="00201A79"/>
    <w:rsid w:val="0020220A"/>
    <w:rsid w:val="00202749"/>
    <w:rsid w:val="0020357A"/>
    <w:rsid w:val="00203833"/>
    <w:rsid w:val="00203881"/>
    <w:rsid w:val="00203BD6"/>
    <w:rsid w:val="0020661E"/>
    <w:rsid w:val="00206673"/>
    <w:rsid w:val="00207500"/>
    <w:rsid w:val="002078B4"/>
    <w:rsid w:val="00210407"/>
    <w:rsid w:val="0021097F"/>
    <w:rsid w:val="00211451"/>
    <w:rsid w:val="00211B93"/>
    <w:rsid w:val="002126EE"/>
    <w:rsid w:val="00212F36"/>
    <w:rsid w:val="00212F5B"/>
    <w:rsid w:val="002141BF"/>
    <w:rsid w:val="0021464C"/>
    <w:rsid w:val="00214C4D"/>
    <w:rsid w:val="00214ECE"/>
    <w:rsid w:val="0021511B"/>
    <w:rsid w:val="00215325"/>
    <w:rsid w:val="00215EDA"/>
    <w:rsid w:val="002162BF"/>
    <w:rsid w:val="002167B3"/>
    <w:rsid w:val="002179F3"/>
    <w:rsid w:val="002210FF"/>
    <w:rsid w:val="002211B7"/>
    <w:rsid w:val="002227CE"/>
    <w:rsid w:val="00222BA5"/>
    <w:rsid w:val="002231A3"/>
    <w:rsid w:val="0022329E"/>
    <w:rsid w:val="002237B5"/>
    <w:rsid w:val="00225838"/>
    <w:rsid w:val="00225D4A"/>
    <w:rsid w:val="00225E53"/>
    <w:rsid w:val="0022635B"/>
    <w:rsid w:val="0022664F"/>
    <w:rsid w:val="00226EC4"/>
    <w:rsid w:val="00227332"/>
    <w:rsid w:val="00227D11"/>
    <w:rsid w:val="0023058C"/>
    <w:rsid w:val="00231AAB"/>
    <w:rsid w:val="0023247D"/>
    <w:rsid w:val="0023264B"/>
    <w:rsid w:val="00232D01"/>
    <w:rsid w:val="00232D44"/>
    <w:rsid w:val="00232E59"/>
    <w:rsid w:val="00232EAD"/>
    <w:rsid w:val="0023302C"/>
    <w:rsid w:val="00233432"/>
    <w:rsid w:val="00233686"/>
    <w:rsid w:val="0023395D"/>
    <w:rsid w:val="00233972"/>
    <w:rsid w:val="00233E37"/>
    <w:rsid w:val="00235A86"/>
    <w:rsid w:val="002364EB"/>
    <w:rsid w:val="002368E0"/>
    <w:rsid w:val="00236B13"/>
    <w:rsid w:val="0023725F"/>
    <w:rsid w:val="002402D8"/>
    <w:rsid w:val="00240757"/>
    <w:rsid w:val="002408B7"/>
    <w:rsid w:val="002411E8"/>
    <w:rsid w:val="00241A23"/>
    <w:rsid w:val="0024257B"/>
    <w:rsid w:val="0024316B"/>
    <w:rsid w:val="002431EF"/>
    <w:rsid w:val="00243B50"/>
    <w:rsid w:val="00243D67"/>
    <w:rsid w:val="00244035"/>
    <w:rsid w:val="002446EE"/>
    <w:rsid w:val="00244CA8"/>
    <w:rsid w:val="00244CED"/>
    <w:rsid w:val="00244F02"/>
    <w:rsid w:val="00245CE9"/>
    <w:rsid w:val="0024618E"/>
    <w:rsid w:val="00246522"/>
    <w:rsid w:val="002466A4"/>
    <w:rsid w:val="00246C42"/>
    <w:rsid w:val="002474F6"/>
    <w:rsid w:val="00247CFD"/>
    <w:rsid w:val="00247F4B"/>
    <w:rsid w:val="002505F7"/>
    <w:rsid w:val="0025180F"/>
    <w:rsid w:val="00251B11"/>
    <w:rsid w:val="00253D68"/>
    <w:rsid w:val="00253E3F"/>
    <w:rsid w:val="00254054"/>
    <w:rsid w:val="00254441"/>
    <w:rsid w:val="0025474D"/>
    <w:rsid w:val="00254B23"/>
    <w:rsid w:val="00254F51"/>
    <w:rsid w:val="00255684"/>
    <w:rsid w:val="0025718D"/>
    <w:rsid w:val="00257228"/>
    <w:rsid w:val="0025783C"/>
    <w:rsid w:val="00260853"/>
    <w:rsid w:val="00261340"/>
    <w:rsid w:val="00261AF4"/>
    <w:rsid w:val="00262316"/>
    <w:rsid w:val="002627EB"/>
    <w:rsid w:val="00262BBA"/>
    <w:rsid w:val="00262FFC"/>
    <w:rsid w:val="00263ACC"/>
    <w:rsid w:val="002645A1"/>
    <w:rsid w:val="00264A2A"/>
    <w:rsid w:val="00265165"/>
    <w:rsid w:val="00265211"/>
    <w:rsid w:val="00265C25"/>
    <w:rsid w:val="002664C4"/>
    <w:rsid w:val="00266D5D"/>
    <w:rsid w:val="002672F2"/>
    <w:rsid w:val="002676A6"/>
    <w:rsid w:val="00267B7D"/>
    <w:rsid w:val="00270758"/>
    <w:rsid w:val="0027075D"/>
    <w:rsid w:val="0027156B"/>
    <w:rsid w:val="002727C4"/>
    <w:rsid w:val="0027343B"/>
    <w:rsid w:val="002739B8"/>
    <w:rsid w:val="002746FD"/>
    <w:rsid w:val="002749CE"/>
    <w:rsid w:val="00275AC3"/>
    <w:rsid w:val="00275C2B"/>
    <w:rsid w:val="002764F6"/>
    <w:rsid w:val="0027668F"/>
    <w:rsid w:val="00276C86"/>
    <w:rsid w:val="0028031F"/>
    <w:rsid w:val="00280906"/>
    <w:rsid w:val="002809AE"/>
    <w:rsid w:val="002817D0"/>
    <w:rsid w:val="00281DAC"/>
    <w:rsid w:val="00281FEF"/>
    <w:rsid w:val="00282205"/>
    <w:rsid w:val="00283136"/>
    <w:rsid w:val="00283714"/>
    <w:rsid w:val="00283C00"/>
    <w:rsid w:val="00284BA1"/>
    <w:rsid w:val="00284CE1"/>
    <w:rsid w:val="00284ED8"/>
    <w:rsid w:val="00285035"/>
    <w:rsid w:val="002855F8"/>
    <w:rsid w:val="00285E55"/>
    <w:rsid w:val="00285E9D"/>
    <w:rsid w:val="00286374"/>
    <w:rsid w:val="002863CB"/>
    <w:rsid w:val="00286B40"/>
    <w:rsid w:val="00286F50"/>
    <w:rsid w:val="00287025"/>
    <w:rsid w:val="002874EE"/>
    <w:rsid w:val="002877E4"/>
    <w:rsid w:val="002878CA"/>
    <w:rsid w:val="00287C48"/>
    <w:rsid w:val="00287CA6"/>
    <w:rsid w:val="0029011A"/>
    <w:rsid w:val="002912BB"/>
    <w:rsid w:val="0029173A"/>
    <w:rsid w:val="00292585"/>
    <w:rsid w:val="00292638"/>
    <w:rsid w:val="00292828"/>
    <w:rsid w:val="00292C33"/>
    <w:rsid w:val="00292E3D"/>
    <w:rsid w:val="002932EC"/>
    <w:rsid w:val="00293A44"/>
    <w:rsid w:val="0029403F"/>
    <w:rsid w:val="00294163"/>
    <w:rsid w:val="0029421F"/>
    <w:rsid w:val="002942BE"/>
    <w:rsid w:val="0029490C"/>
    <w:rsid w:val="00295176"/>
    <w:rsid w:val="002952DA"/>
    <w:rsid w:val="0029568C"/>
    <w:rsid w:val="00295EBB"/>
    <w:rsid w:val="0029630D"/>
    <w:rsid w:val="0029730F"/>
    <w:rsid w:val="0029764C"/>
    <w:rsid w:val="002976B0"/>
    <w:rsid w:val="002A063E"/>
    <w:rsid w:val="002A0E89"/>
    <w:rsid w:val="002A1418"/>
    <w:rsid w:val="002A1A3D"/>
    <w:rsid w:val="002A1BA1"/>
    <w:rsid w:val="002A1CB9"/>
    <w:rsid w:val="002A297C"/>
    <w:rsid w:val="002A3C3F"/>
    <w:rsid w:val="002A4365"/>
    <w:rsid w:val="002A490E"/>
    <w:rsid w:val="002A5CCA"/>
    <w:rsid w:val="002A5DE7"/>
    <w:rsid w:val="002A5F37"/>
    <w:rsid w:val="002A607E"/>
    <w:rsid w:val="002A68AC"/>
    <w:rsid w:val="002A6EEB"/>
    <w:rsid w:val="002A7CEF"/>
    <w:rsid w:val="002B00C8"/>
    <w:rsid w:val="002B0499"/>
    <w:rsid w:val="002B0D3A"/>
    <w:rsid w:val="002B0E82"/>
    <w:rsid w:val="002B1108"/>
    <w:rsid w:val="002B21C2"/>
    <w:rsid w:val="002B2708"/>
    <w:rsid w:val="002B30B0"/>
    <w:rsid w:val="002B32DA"/>
    <w:rsid w:val="002B4080"/>
    <w:rsid w:val="002B4378"/>
    <w:rsid w:val="002B47DC"/>
    <w:rsid w:val="002B5097"/>
    <w:rsid w:val="002B5177"/>
    <w:rsid w:val="002B56AF"/>
    <w:rsid w:val="002B57D1"/>
    <w:rsid w:val="002B5826"/>
    <w:rsid w:val="002B6232"/>
    <w:rsid w:val="002B6342"/>
    <w:rsid w:val="002B6728"/>
    <w:rsid w:val="002B67C0"/>
    <w:rsid w:val="002B769A"/>
    <w:rsid w:val="002C0E83"/>
    <w:rsid w:val="002C19D5"/>
    <w:rsid w:val="002C22E1"/>
    <w:rsid w:val="002C262B"/>
    <w:rsid w:val="002C3025"/>
    <w:rsid w:val="002C3980"/>
    <w:rsid w:val="002C4849"/>
    <w:rsid w:val="002C4961"/>
    <w:rsid w:val="002C4FF4"/>
    <w:rsid w:val="002C560E"/>
    <w:rsid w:val="002C5825"/>
    <w:rsid w:val="002C5AA7"/>
    <w:rsid w:val="002C5D9F"/>
    <w:rsid w:val="002C5EFE"/>
    <w:rsid w:val="002C6162"/>
    <w:rsid w:val="002C6256"/>
    <w:rsid w:val="002C69E5"/>
    <w:rsid w:val="002C6CB2"/>
    <w:rsid w:val="002C73BF"/>
    <w:rsid w:val="002C7AA4"/>
    <w:rsid w:val="002D0C43"/>
    <w:rsid w:val="002D1095"/>
    <w:rsid w:val="002D1759"/>
    <w:rsid w:val="002D1AFF"/>
    <w:rsid w:val="002D1C29"/>
    <w:rsid w:val="002D20C1"/>
    <w:rsid w:val="002D215A"/>
    <w:rsid w:val="002D25A8"/>
    <w:rsid w:val="002D2DA5"/>
    <w:rsid w:val="002D3034"/>
    <w:rsid w:val="002D31E7"/>
    <w:rsid w:val="002D37BA"/>
    <w:rsid w:val="002D3943"/>
    <w:rsid w:val="002D3E43"/>
    <w:rsid w:val="002D4521"/>
    <w:rsid w:val="002D6615"/>
    <w:rsid w:val="002D69F0"/>
    <w:rsid w:val="002D6C48"/>
    <w:rsid w:val="002D7282"/>
    <w:rsid w:val="002D736A"/>
    <w:rsid w:val="002D7F83"/>
    <w:rsid w:val="002E17AC"/>
    <w:rsid w:val="002E1BEE"/>
    <w:rsid w:val="002E1CCA"/>
    <w:rsid w:val="002E23BF"/>
    <w:rsid w:val="002E2692"/>
    <w:rsid w:val="002E2F3B"/>
    <w:rsid w:val="002E40D4"/>
    <w:rsid w:val="002E42CA"/>
    <w:rsid w:val="002E4C8F"/>
    <w:rsid w:val="002E5947"/>
    <w:rsid w:val="002E5DC0"/>
    <w:rsid w:val="002E608F"/>
    <w:rsid w:val="002E678D"/>
    <w:rsid w:val="002E6F55"/>
    <w:rsid w:val="002E7817"/>
    <w:rsid w:val="002E7843"/>
    <w:rsid w:val="002E790A"/>
    <w:rsid w:val="002E7BBC"/>
    <w:rsid w:val="002F1177"/>
    <w:rsid w:val="002F144D"/>
    <w:rsid w:val="002F2095"/>
    <w:rsid w:val="002F211E"/>
    <w:rsid w:val="002F21B8"/>
    <w:rsid w:val="002F2D66"/>
    <w:rsid w:val="002F2E07"/>
    <w:rsid w:val="002F2E39"/>
    <w:rsid w:val="002F2EBE"/>
    <w:rsid w:val="002F32A2"/>
    <w:rsid w:val="002F46F8"/>
    <w:rsid w:val="002F4FDA"/>
    <w:rsid w:val="002F5151"/>
    <w:rsid w:val="002F51C1"/>
    <w:rsid w:val="002F55B1"/>
    <w:rsid w:val="002F5B42"/>
    <w:rsid w:val="002F5DCC"/>
    <w:rsid w:val="002F5F2E"/>
    <w:rsid w:val="002F6E04"/>
    <w:rsid w:val="002F750E"/>
    <w:rsid w:val="0030001F"/>
    <w:rsid w:val="003000B7"/>
    <w:rsid w:val="00300DC2"/>
    <w:rsid w:val="00300DC6"/>
    <w:rsid w:val="00300DD0"/>
    <w:rsid w:val="003019A9"/>
    <w:rsid w:val="00301FE7"/>
    <w:rsid w:val="00302BE1"/>
    <w:rsid w:val="00302C0B"/>
    <w:rsid w:val="00303853"/>
    <w:rsid w:val="00303B1C"/>
    <w:rsid w:val="00303C05"/>
    <w:rsid w:val="003041C8"/>
    <w:rsid w:val="00304992"/>
    <w:rsid w:val="00304F69"/>
    <w:rsid w:val="00305191"/>
    <w:rsid w:val="00305476"/>
    <w:rsid w:val="0030562A"/>
    <w:rsid w:val="003058B1"/>
    <w:rsid w:val="003061FD"/>
    <w:rsid w:val="00306716"/>
    <w:rsid w:val="00306BA3"/>
    <w:rsid w:val="00306F1A"/>
    <w:rsid w:val="003079FA"/>
    <w:rsid w:val="003105ED"/>
    <w:rsid w:val="00310795"/>
    <w:rsid w:val="00310D9A"/>
    <w:rsid w:val="00311403"/>
    <w:rsid w:val="0031234C"/>
    <w:rsid w:val="00312A89"/>
    <w:rsid w:val="00312BDA"/>
    <w:rsid w:val="00312EAE"/>
    <w:rsid w:val="00313A68"/>
    <w:rsid w:val="00313A7E"/>
    <w:rsid w:val="00313C3D"/>
    <w:rsid w:val="00314260"/>
    <w:rsid w:val="00314ECF"/>
    <w:rsid w:val="0031557A"/>
    <w:rsid w:val="00315699"/>
    <w:rsid w:val="00315E0A"/>
    <w:rsid w:val="00315E55"/>
    <w:rsid w:val="00316A4F"/>
    <w:rsid w:val="003175E7"/>
    <w:rsid w:val="003175F1"/>
    <w:rsid w:val="00317F7F"/>
    <w:rsid w:val="00320FA6"/>
    <w:rsid w:val="00320FF1"/>
    <w:rsid w:val="00321520"/>
    <w:rsid w:val="003215AF"/>
    <w:rsid w:val="00321B48"/>
    <w:rsid w:val="00322ADD"/>
    <w:rsid w:val="0032300A"/>
    <w:rsid w:val="00323076"/>
    <w:rsid w:val="0032325D"/>
    <w:rsid w:val="0032380A"/>
    <w:rsid w:val="00324415"/>
    <w:rsid w:val="00324515"/>
    <w:rsid w:val="00324B53"/>
    <w:rsid w:val="0032505F"/>
    <w:rsid w:val="0032533D"/>
    <w:rsid w:val="00325DCC"/>
    <w:rsid w:val="00326B26"/>
    <w:rsid w:val="00326C8C"/>
    <w:rsid w:val="003272A0"/>
    <w:rsid w:val="00327475"/>
    <w:rsid w:val="00327549"/>
    <w:rsid w:val="003279C8"/>
    <w:rsid w:val="00327E40"/>
    <w:rsid w:val="00330D28"/>
    <w:rsid w:val="00330E0B"/>
    <w:rsid w:val="003321DD"/>
    <w:rsid w:val="003324C1"/>
    <w:rsid w:val="00332943"/>
    <w:rsid w:val="00332C02"/>
    <w:rsid w:val="003336C5"/>
    <w:rsid w:val="00333D96"/>
    <w:rsid w:val="00334864"/>
    <w:rsid w:val="00334E84"/>
    <w:rsid w:val="003350EA"/>
    <w:rsid w:val="00336073"/>
    <w:rsid w:val="00336F95"/>
    <w:rsid w:val="00337B09"/>
    <w:rsid w:val="00341A3A"/>
    <w:rsid w:val="00343A4A"/>
    <w:rsid w:val="00345F13"/>
    <w:rsid w:val="00346491"/>
    <w:rsid w:val="00346868"/>
    <w:rsid w:val="003478FE"/>
    <w:rsid w:val="00350598"/>
    <w:rsid w:val="00350BDF"/>
    <w:rsid w:val="00352190"/>
    <w:rsid w:val="00352326"/>
    <w:rsid w:val="00353310"/>
    <w:rsid w:val="0035343A"/>
    <w:rsid w:val="00353586"/>
    <w:rsid w:val="00353B83"/>
    <w:rsid w:val="00354ACB"/>
    <w:rsid w:val="003553A8"/>
    <w:rsid w:val="00355BE0"/>
    <w:rsid w:val="003561E4"/>
    <w:rsid w:val="00356697"/>
    <w:rsid w:val="00356AA2"/>
    <w:rsid w:val="00356E30"/>
    <w:rsid w:val="00356E8D"/>
    <w:rsid w:val="00356F21"/>
    <w:rsid w:val="00356FC2"/>
    <w:rsid w:val="0035733F"/>
    <w:rsid w:val="00357A28"/>
    <w:rsid w:val="0036004F"/>
    <w:rsid w:val="003600DB"/>
    <w:rsid w:val="00360A07"/>
    <w:rsid w:val="00360D93"/>
    <w:rsid w:val="00360E0A"/>
    <w:rsid w:val="003614FA"/>
    <w:rsid w:val="0036182A"/>
    <w:rsid w:val="00361D4E"/>
    <w:rsid w:val="0036203F"/>
    <w:rsid w:val="00362495"/>
    <w:rsid w:val="00362556"/>
    <w:rsid w:val="00362870"/>
    <w:rsid w:val="00362B2E"/>
    <w:rsid w:val="00363119"/>
    <w:rsid w:val="0036317D"/>
    <w:rsid w:val="003631AA"/>
    <w:rsid w:val="00364A6F"/>
    <w:rsid w:val="00364D70"/>
    <w:rsid w:val="00364F37"/>
    <w:rsid w:val="00365A96"/>
    <w:rsid w:val="003661C2"/>
    <w:rsid w:val="00366965"/>
    <w:rsid w:val="00366A46"/>
    <w:rsid w:val="00366B2E"/>
    <w:rsid w:val="00366C4B"/>
    <w:rsid w:val="003671BC"/>
    <w:rsid w:val="003705A3"/>
    <w:rsid w:val="003708FC"/>
    <w:rsid w:val="0037091D"/>
    <w:rsid w:val="00370BF0"/>
    <w:rsid w:val="00370EA5"/>
    <w:rsid w:val="00370EDB"/>
    <w:rsid w:val="00371820"/>
    <w:rsid w:val="00371847"/>
    <w:rsid w:val="00371971"/>
    <w:rsid w:val="00371E54"/>
    <w:rsid w:val="0037254C"/>
    <w:rsid w:val="00372960"/>
    <w:rsid w:val="00372D75"/>
    <w:rsid w:val="00375235"/>
    <w:rsid w:val="0037576D"/>
    <w:rsid w:val="00375BB3"/>
    <w:rsid w:val="003774AB"/>
    <w:rsid w:val="00377D08"/>
    <w:rsid w:val="00377D97"/>
    <w:rsid w:val="00380408"/>
    <w:rsid w:val="00380A39"/>
    <w:rsid w:val="00380C96"/>
    <w:rsid w:val="00380D2A"/>
    <w:rsid w:val="00381BE3"/>
    <w:rsid w:val="0038202E"/>
    <w:rsid w:val="003824BD"/>
    <w:rsid w:val="00382BB1"/>
    <w:rsid w:val="0038302E"/>
    <w:rsid w:val="00384819"/>
    <w:rsid w:val="00384B74"/>
    <w:rsid w:val="003850CA"/>
    <w:rsid w:val="003852A1"/>
    <w:rsid w:val="003852D1"/>
    <w:rsid w:val="00386397"/>
    <w:rsid w:val="00386540"/>
    <w:rsid w:val="00386641"/>
    <w:rsid w:val="00386787"/>
    <w:rsid w:val="00386A4E"/>
    <w:rsid w:val="00386D9B"/>
    <w:rsid w:val="00386FCA"/>
    <w:rsid w:val="00387118"/>
    <w:rsid w:val="003879B6"/>
    <w:rsid w:val="003879FF"/>
    <w:rsid w:val="003913DB"/>
    <w:rsid w:val="00391AB3"/>
    <w:rsid w:val="00391C3D"/>
    <w:rsid w:val="00391E5D"/>
    <w:rsid w:val="00392353"/>
    <w:rsid w:val="00392565"/>
    <w:rsid w:val="00392B38"/>
    <w:rsid w:val="00392B62"/>
    <w:rsid w:val="00392E3B"/>
    <w:rsid w:val="003930D1"/>
    <w:rsid w:val="003934C0"/>
    <w:rsid w:val="003936B8"/>
    <w:rsid w:val="00394AFD"/>
    <w:rsid w:val="00395057"/>
    <w:rsid w:val="00395C6E"/>
    <w:rsid w:val="00395DAE"/>
    <w:rsid w:val="00395FD4"/>
    <w:rsid w:val="00396A31"/>
    <w:rsid w:val="00396E4E"/>
    <w:rsid w:val="00396F10"/>
    <w:rsid w:val="003973E3"/>
    <w:rsid w:val="00397C90"/>
    <w:rsid w:val="00397FB8"/>
    <w:rsid w:val="003A032A"/>
    <w:rsid w:val="003A088E"/>
    <w:rsid w:val="003A0C32"/>
    <w:rsid w:val="003A1102"/>
    <w:rsid w:val="003A1914"/>
    <w:rsid w:val="003A195C"/>
    <w:rsid w:val="003A2057"/>
    <w:rsid w:val="003A2AC4"/>
    <w:rsid w:val="003A3335"/>
    <w:rsid w:val="003A344E"/>
    <w:rsid w:val="003A40BC"/>
    <w:rsid w:val="003A449E"/>
    <w:rsid w:val="003A44F5"/>
    <w:rsid w:val="003A4583"/>
    <w:rsid w:val="003A46A9"/>
    <w:rsid w:val="003A5A4B"/>
    <w:rsid w:val="003A5A5F"/>
    <w:rsid w:val="003A66D9"/>
    <w:rsid w:val="003A70FF"/>
    <w:rsid w:val="003A73C1"/>
    <w:rsid w:val="003A7DF5"/>
    <w:rsid w:val="003B038B"/>
    <w:rsid w:val="003B05EB"/>
    <w:rsid w:val="003B0F28"/>
    <w:rsid w:val="003B15B5"/>
    <w:rsid w:val="003B1864"/>
    <w:rsid w:val="003B27A5"/>
    <w:rsid w:val="003B2A99"/>
    <w:rsid w:val="003B37A2"/>
    <w:rsid w:val="003B4486"/>
    <w:rsid w:val="003B4BB2"/>
    <w:rsid w:val="003B4C57"/>
    <w:rsid w:val="003B510B"/>
    <w:rsid w:val="003B5499"/>
    <w:rsid w:val="003B57E1"/>
    <w:rsid w:val="003B5C33"/>
    <w:rsid w:val="003B62A1"/>
    <w:rsid w:val="003B6E18"/>
    <w:rsid w:val="003B759C"/>
    <w:rsid w:val="003B766F"/>
    <w:rsid w:val="003B79DB"/>
    <w:rsid w:val="003C07A0"/>
    <w:rsid w:val="003C0891"/>
    <w:rsid w:val="003C10D6"/>
    <w:rsid w:val="003C256F"/>
    <w:rsid w:val="003C2C5C"/>
    <w:rsid w:val="003C307E"/>
    <w:rsid w:val="003C3B91"/>
    <w:rsid w:val="003C3F5C"/>
    <w:rsid w:val="003C4232"/>
    <w:rsid w:val="003C4449"/>
    <w:rsid w:val="003C50D6"/>
    <w:rsid w:val="003C57B1"/>
    <w:rsid w:val="003C57BE"/>
    <w:rsid w:val="003C58ED"/>
    <w:rsid w:val="003C5F1A"/>
    <w:rsid w:val="003C6060"/>
    <w:rsid w:val="003C6798"/>
    <w:rsid w:val="003C6933"/>
    <w:rsid w:val="003C6F3A"/>
    <w:rsid w:val="003C7B9A"/>
    <w:rsid w:val="003C7D26"/>
    <w:rsid w:val="003D0302"/>
    <w:rsid w:val="003D08AF"/>
    <w:rsid w:val="003D0C04"/>
    <w:rsid w:val="003D1759"/>
    <w:rsid w:val="003D1BFE"/>
    <w:rsid w:val="003D367B"/>
    <w:rsid w:val="003D41C8"/>
    <w:rsid w:val="003D439B"/>
    <w:rsid w:val="003D43D1"/>
    <w:rsid w:val="003D54F0"/>
    <w:rsid w:val="003D5528"/>
    <w:rsid w:val="003D59E1"/>
    <w:rsid w:val="003D67A2"/>
    <w:rsid w:val="003D691E"/>
    <w:rsid w:val="003D6CCB"/>
    <w:rsid w:val="003D6DE7"/>
    <w:rsid w:val="003D72B1"/>
    <w:rsid w:val="003D7DFC"/>
    <w:rsid w:val="003E02B4"/>
    <w:rsid w:val="003E06A0"/>
    <w:rsid w:val="003E076C"/>
    <w:rsid w:val="003E0862"/>
    <w:rsid w:val="003E0B97"/>
    <w:rsid w:val="003E1006"/>
    <w:rsid w:val="003E1319"/>
    <w:rsid w:val="003E26AF"/>
    <w:rsid w:val="003E2C5D"/>
    <w:rsid w:val="003E2FDB"/>
    <w:rsid w:val="003E3706"/>
    <w:rsid w:val="003E4992"/>
    <w:rsid w:val="003E4D2D"/>
    <w:rsid w:val="003E4DDB"/>
    <w:rsid w:val="003E4F90"/>
    <w:rsid w:val="003E539D"/>
    <w:rsid w:val="003E5C5E"/>
    <w:rsid w:val="003E5D13"/>
    <w:rsid w:val="003E5EF6"/>
    <w:rsid w:val="003E63ED"/>
    <w:rsid w:val="003E6E15"/>
    <w:rsid w:val="003E7A11"/>
    <w:rsid w:val="003F0C96"/>
    <w:rsid w:val="003F12D7"/>
    <w:rsid w:val="003F1477"/>
    <w:rsid w:val="003F1811"/>
    <w:rsid w:val="003F19CF"/>
    <w:rsid w:val="003F2202"/>
    <w:rsid w:val="003F2697"/>
    <w:rsid w:val="003F2B18"/>
    <w:rsid w:val="003F2DE9"/>
    <w:rsid w:val="003F309D"/>
    <w:rsid w:val="003F39DF"/>
    <w:rsid w:val="003F3D91"/>
    <w:rsid w:val="003F415C"/>
    <w:rsid w:val="003F45BD"/>
    <w:rsid w:val="003F45DD"/>
    <w:rsid w:val="003F4771"/>
    <w:rsid w:val="003F4A5E"/>
    <w:rsid w:val="003F5222"/>
    <w:rsid w:val="003F6808"/>
    <w:rsid w:val="003F6B92"/>
    <w:rsid w:val="003F7008"/>
    <w:rsid w:val="003F74BE"/>
    <w:rsid w:val="003F7DE1"/>
    <w:rsid w:val="003F7EEB"/>
    <w:rsid w:val="00400E29"/>
    <w:rsid w:val="00401C1C"/>
    <w:rsid w:val="00402281"/>
    <w:rsid w:val="0040284B"/>
    <w:rsid w:val="00404A09"/>
    <w:rsid w:val="00404C56"/>
    <w:rsid w:val="00404DC9"/>
    <w:rsid w:val="0040516F"/>
    <w:rsid w:val="004065A1"/>
    <w:rsid w:val="00406A00"/>
    <w:rsid w:val="004072C6"/>
    <w:rsid w:val="0040732F"/>
    <w:rsid w:val="00407537"/>
    <w:rsid w:val="0041066F"/>
    <w:rsid w:val="0041080A"/>
    <w:rsid w:val="00410CA0"/>
    <w:rsid w:val="004126F3"/>
    <w:rsid w:val="004128A8"/>
    <w:rsid w:val="00412A97"/>
    <w:rsid w:val="004134D7"/>
    <w:rsid w:val="004135A8"/>
    <w:rsid w:val="00413CB2"/>
    <w:rsid w:val="0041455A"/>
    <w:rsid w:val="00414D4D"/>
    <w:rsid w:val="0041513B"/>
    <w:rsid w:val="00415DA1"/>
    <w:rsid w:val="004160FA"/>
    <w:rsid w:val="0041670C"/>
    <w:rsid w:val="00416BDE"/>
    <w:rsid w:val="00417C42"/>
    <w:rsid w:val="00420045"/>
    <w:rsid w:val="00420F44"/>
    <w:rsid w:val="004213A4"/>
    <w:rsid w:val="004215A1"/>
    <w:rsid w:val="00421E66"/>
    <w:rsid w:val="0042295C"/>
    <w:rsid w:val="004234C2"/>
    <w:rsid w:val="00423640"/>
    <w:rsid w:val="00423771"/>
    <w:rsid w:val="00423857"/>
    <w:rsid w:val="00423C66"/>
    <w:rsid w:val="00423CCD"/>
    <w:rsid w:val="00423D2C"/>
    <w:rsid w:val="00423DE5"/>
    <w:rsid w:val="00423E60"/>
    <w:rsid w:val="00424102"/>
    <w:rsid w:val="0042436B"/>
    <w:rsid w:val="00424D01"/>
    <w:rsid w:val="00424D86"/>
    <w:rsid w:val="004254E5"/>
    <w:rsid w:val="00425F81"/>
    <w:rsid w:val="00426304"/>
    <w:rsid w:val="00427177"/>
    <w:rsid w:val="00427909"/>
    <w:rsid w:val="00427B92"/>
    <w:rsid w:val="004300DE"/>
    <w:rsid w:val="00430489"/>
    <w:rsid w:val="004304BD"/>
    <w:rsid w:val="00430F0F"/>
    <w:rsid w:val="00431F7D"/>
    <w:rsid w:val="00432B40"/>
    <w:rsid w:val="004332A3"/>
    <w:rsid w:val="00433C6C"/>
    <w:rsid w:val="00434379"/>
    <w:rsid w:val="00434562"/>
    <w:rsid w:val="00434956"/>
    <w:rsid w:val="00434DF9"/>
    <w:rsid w:val="0043584D"/>
    <w:rsid w:val="00435F2D"/>
    <w:rsid w:val="00436571"/>
    <w:rsid w:val="00436F53"/>
    <w:rsid w:val="00437055"/>
    <w:rsid w:val="004376B3"/>
    <w:rsid w:val="0044003E"/>
    <w:rsid w:val="00440178"/>
    <w:rsid w:val="004417E9"/>
    <w:rsid w:val="00441FA8"/>
    <w:rsid w:val="004422BF"/>
    <w:rsid w:val="00442934"/>
    <w:rsid w:val="00442AFC"/>
    <w:rsid w:val="00443184"/>
    <w:rsid w:val="00443594"/>
    <w:rsid w:val="00443840"/>
    <w:rsid w:val="00443A2F"/>
    <w:rsid w:val="00443F44"/>
    <w:rsid w:val="00444340"/>
    <w:rsid w:val="004446B9"/>
    <w:rsid w:val="004460CE"/>
    <w:rsid w:val="004462E3"/>
    <w:rsid w:val="00446628"/>
    <w:rsid w:val="00446B74"/>
    <w:rsid w:val="00451499"/>
    <w:rsid w:val="0045165B"/>
    <w:rsid w:val="0045197B"/>
    <w:rsid w:val="00452466"/>
    <w:rsid w:val="004528CE"/>
    <w:rsid w:val="00453A84"/>
    <w:rsid w:val="00453F59"/>
    <w:rsid w:val="00453FF3"/>
    <w:rsid w:val="004545E4"/>
    <w:rsid w:val="0045477D"/>
    <w:rsid w:val="004549A1"/>
    <w:rsid w:val="00454A77"/>
    <w:rsid w:val="00455558"/>
    <w:rsid w:val="00455C67"/>
    <w:rsid w:val="00455DC7"/>
    <w:rsid w:val="0045648D"/>
    <w:rsid w:val="0045697E"/>
    <w:rsid w:val="00456BBA"/>
    <w:rsid w:val="00456ED2"/>
    <w:rsid w:val="00457330"/>
    <w:rsid w:val="00457D3E"/>
    <w:rsid w:val="004619D0"/>
    <w:rsid w:val="00462408"/>
    <w:rsid w:val="00462A79"/>
    <w:rsid w:val="00462AB9"/>
    <w:rsid w:val="00462D6F"/>
    <w:rsid w:val="0046301F"/>
    <w:rsid w:val="004639C7"/>
    <w:rsid w:val="00463C83"/>
    <w:rsid w:val="00465D6F"/>
    <w:rsid w:val="004666AD"/>
    <w:rsid w:val="00467398"/>
    <w:rsid w:val="004674F3"/>
    <w:rsid w:val="004675F4"/>
    <w:rsid w:val="00467990"/>
    <w:rsid w:val="00467BA7"/>
    <w:rsid w:val="0047009E"/>
    <w:rsid w:val="0047056C"/>
    <w:rsid w:val="00470AA4"/>
    <w:rsid w:val="00472015"/>
    <w:rsid w:val="004723E8"/>
    <w:rsid w:val="004737D1"/>
    <w:rsid w:val="00473E96"/>
    <w:rsid w:val="004743F7"/>
    <w:rsid w:val="004756B7"/>
    <w:rsid w:val="00475712"/>
    <w:rsid w:val="00475BFD"/>
    <w:rsid w:val="00477B15"/>
    <w:rsid w:val="0048094D"/>
    <w:rsid w:val="00481197"/>
    <w:rsid w:val="004819D2"/>
    <w:rsid w:val="00481EFD"/>
    <w:rsid w:val="00481F1C"/>
    <w:rsid w:val="00482053"/>
    <w:rsid w:val="00482E66"/>
    <w:rsid w:val="0048321F"/>
    <w:rsid w:val="00483409"/>
    <w:rsid w:val="0048379D"/>
    <w:rsid w:val="00483A9A"/>
    <w:rsid w:val="004849BC"/>
    <w:rsid w:val="00484F6B"/>
    <w:rsid w:val="0048515B"/>
    <w:rsid w:val="004854C9"/>
    <w:rsid w:val="0048579B"/>
    <w:rsid w:val="00485A03"/>
    <w:rsid w:val="004877A7"/>
    <w:rsid w:val="004879A0"/>
    <w:rsid w:val="00487DBB"/>
    <w:rsid w:val="004900AF"/>
    <w:rsid w:val="0049041E"/>
    <w:rsid w:val="00490C7A"/>
    <w:rsid w:val="00490D96"/>
    <w:rsid w:val="00491965"/>
    <w:rsid w:val="00492E6B"/>
    <w:rsid w:val="004932AD"/>
    <w:rsid w:val="004937C6"/>
    <w:rsid w:val="00495232"/>
    <w:rsid w:val="00495618"/>
    <w:rsid w:val="00495889"/>
    <w:rsid w:val="00496049"/>
    <w:rsid w:val="00496960"/>
    <w:rsid w:val="004972EC"/>
    <w:rsid w:val="00497904"/>
    <w:rsid w:val="004A0020"/>
    <w:rsid w:val="004A003C"/>
    <w:rsid w:val="004A0BF6"/>
    <w:rsid w:val="004A1113"/>
    <w:rsid w:val="004A11EB"/>
    <w:rsid w:val="004A12BA"/>
    <w:rsid w:val="004A1EFF"/>
    <w:rsid w:val="004A2297"/>
    <w:rsid w:val="004A2402"/>
    <w:rsid w:val="004A244C"/>
    <w:rsid w:val="004A2C28"/>
    <w:rsid w:val="004A32CD"/>
    <w:rsid w:val="004A3A61"/>
    <w:rsid w:val="004A3CA4"/>
    <w:rsid w:val="004A40F8"/>
    <w:rsid w:val="004A4E2D"/>
    <w:rsid w:val="004A5086"/>
    <w:rsid w:val="004A5099"/>
    <w:rsid w:val="004A54D5"/>
    <w:rsid w:val="004A5793"/>
    <w:rsid w:val="004A5852"/>
    <w:rsid w:val="004A6276"/>
    <w:rsid w:val="004A6CAF"/>
    <w:rsid w:val="004A78F3"/>
    <w:rsid w:val="004A7BB3"/>
    <w:rsid w:val="004A7F5D"/>
    <w:rsid w:val="004B01CC"/>
    <w:rsid w:val="004B086E"/>
    <w:rsid w:val="004B0C4E"/>
    <w:rsid w:val="004B17D1"/>
    <w:rsid w:val="004B206F"/>
    <w:rsid w:val="004B2DEB"/>
    <w:rsid w:val="004B2FFD"/>
    <w:rsid w:val="004B3574"/>
    <w:rsid w:val="004B4699"/>
    <w:rsid w:val="004B4A2E"/>
    <w:rsid w:val="004B4CEA"/>
    <w:rsid w:val="004B55EC"/>
    <w:rsid w:val="004B564B"/>
    <w:rsid w:val="004B5787"/>
    <w:rsid w:val="004B63F9"/>
    <w:rsid w:val="004B66E0"/>
    <w:rsid w:val="004B70BA"/>
    <w:rsid w:val="004B7107"/>
    <w:rsid w:val="004B7342"/>
    <w:rsid w:val="004B792D"/>
    <w:rsid w:val="004C125C"/>
    <w:rsid w:val="004C33A1"/>
    <w:rsid w:val="004C44E8"/>
    <w:rsid w:val="004C481F"/>
    <w:rsid w:val="004C4BA9"/>
    <w:rsid w:val="004C4EEF"/>
    <w:rsid w:val="004C520A"/>
    <w:rsid w:val="004C5DB3"/>
    <w:rsid w:val="004C66E0"/>
    <w:rsid w:val="004C7A06"/>
    <w:rsid w:val="004D039C"/>
    <w:rsid w:val="004D0D3B"/>
    <w:rsid w:val="004D1EC8"/>
    <w:rsid w:val="004D20BA"/>
    <w:rsid w:val="004D235A"/>
    <w:rsid w:val="004D32B9"/>
    <w:rsid w:val="004D4013"/>
    <w:rsid w:val="004D428E"/>
    <w:rsid w:val="004D44E7"/>
    <w:rsid w:val="004D466D"/>
    <w:rsid w:val="004D5A25"/>
    <w:rsid w:val="004D5EAA"/>
    <w:rsid w:val="004D70E6"/>
    <w:rsid w:val="004D71FC"/>
    <w:rsid w:val="004E0D2D"/>
    <w:rsid w:val="004E12F0"/>
    <w:rsid w:val="004E1B32"/>
    <w:rsid w:val="004E21F1"/>
    <w:rsid w:val="004E2B55"/>
    <w:rsid w:val="004E3764"/>
    <w:rsid w:val="004E3978"/>
    <w:rsid w:val="004E3C8F"/>
    <w:rsid w:val="004E3E46"/>
    <w:rsid w:val="004E725C"/>
    <w:rsid w:val="004E76B5"/>
    <w:rsid w:val="004F0DAC"/>
    <w:rsid w:val="004F1A26"/>
    <w:rsid w:val="004F2349"/>
    <w:rsid w:val="004F23D5"/>
    <w:rsid w:val="004F3140"/>
    <w:rsid w:val="004F32ED"/>
    <w:rsid w:val="004F37C2"/>
    <w:rsid w:val="004F3B6E"/>
    <w:rsid w:val="004F427C"/>
    <w:rsid w:val="004F4C9D"/>
    <w:rsid w:val="004F4D51"/>
    <w:rsid w:val="004F5312"/>
    <w:rsid w:val="004F5958"/>
    <w:rsid w:val="004F5FBF"/>
    <w:rsid w:val="004F6190"/>
    <w:rsid w:val="004F63EA"/>
    <w:rsid w:val="004F6BF5"/>
    <w:rsid w:val="00500283"/>
    <w:rsid w:val="00500E61"/>
    <w:rsid w:val="005028BE"/>
    <w:rsid w:val="005029F8"/>
    <w:rsid w:val="00503351"/>
    <w:rsid w:val="005033C2"/>
    <w:rsid w:val="00503EB6"/>
    <w:rsid w:val="00506822"/>
    <w:rsid w:val="005069B1"/>
    <w:rsid w:val="00506C44"/>
    <w:rsid w:val="005073F1"/>
    <w:rsid w:val="00507509"/>
    <w:rsid w:val="00507ED5"/>
    <w:rsid w:val="0051011F"/>
    <w:rsid w:val="005112FD"/>
    <w:rsid w:val="00511F7B"/>
    <w:rsid w:val="00512290"/>
    <w:rsid w:val="005123CC"/>
    <w:rsid w:val="00512704"/>
    <w:rsid w:val="00513335"/>
    <w:rsid w:val="00514300"/>
    <w:rsid w:val="00514AE8"/>
    <w:rsid w:val="00514C72"/>
    <w:rsid w:val="00515374"/>
    <w:rsid w:val="00515CA8"/>
    <w:rsid w:val="0051716F"/>
    <w:rsid w:val="00520C8A"/>
    <w:rsid w:val="00521875"/>
    <w:rsid w:val="00522106"/>
    <w:rsid w:val="00522969"/>
    <w:rsid w:val="00523148"/>
    <w:rsid w:val="00523387"/>
    <w:rsid w:val="005233D8"/>
    <w:rsid w:val="005243F1"/>
    <w:rsid w:val="0052511A"/>
    <w:rsid w:val="0052516D"/>
    <w:rsid w:val="005255B4"/>
    <w:rsid w:val="00525651"/>
    <w:rsid w:val="00525A81"/>
    <w:rsid w:val="005260EE"/>
    <w:rsid w:val="00526A22"/>
    <w:rsid w:val="00526B00"/>
    <w:rsid w:val="005277E8"/>
    <w:rsid w:val="0052795F"/>
    <w:rsid w:val="00527A3A"/>
    <w:rsid w:val="00527B54"/>
    <w:rsid w:val="00530000"/>
    <w:rsid w:val="00530846"/>
    <w:rsid w:val="00530C91"/>
    <w:rsid w:val="00531870"/>
    <w:rsid w:val="00532426"/>
    <w:rsid w:val="00532A71"/>
    <w:rsid w:val="00533143"/>
    <w:rsid w:val="005335B4"/>
    <w:rsid w:val="005337B1"/>
    <w:rsid w:val="00533A1F"/>
    <w:rsid w:val="00533BF9"/>
    <w:rsid w:val="005340FF"/>
    <w:rsid w:val="00534398"/>
    <w:rsid w:val="005344F5"/>
    <w:rsid w:val="005350FE"/>
    <w:rsid w:val="0053576A"/>
    <w:rsid w:val="005368C7"/>
    <w:rsid w:val="005369F6"/>
    <w:rsid w:val="00537670"/>
    <w:rsid w:val="005379B7"/>
    <w:rsid w:val="005400A4"/>
    <w:rsid w:val="0054073F"/>
    <w:rsid w:val="005415D9"/>
    <w:rsid w:val="00542550"/>
    <w:rsid w:val="00542B65"/>
    <w:rsid w:val="00543157"/>
    <w:rsid w:val="0054359A"/>
    <w:rsid w:val="005435DA"/>
    <w:rsid w:val="00543810"/>
    <w:rsid w:val="00543B2D"/>
    <w:rsid w:val="00544831"/>
    <w:rsid w:val="00544F2B"/>
    <w:rsid w:val="005452F2"/>
    <w:rsid w:val="00546486"/>
    <w:rsid w:val="005467C4"/>
    <w:rsid w:val="00546914"/>
    <w:rsid w:val="00546ACC"/>
    <w:rsid w:val="00547313"/>
    <w:rsid w:val="00547935"/>
    <w:rsid w:val="00547A15"/>
    <w:rsid w:val="005501C9"/>
    <w:rsid w:val="005505EE"/>
    <w:rsid w:val="005506C6"/>
    <w:rsid w:val="00550AB4"/>
    <w:rsid w:val="00550C71"/>
    <w:rsid w:val="0055100C"/>
    <w:rsid w:val="00551152"/>
    <w:rsid w:val="0055128D"/>
    <w:rsid w:val="005516F8"/>
    <w:rsid w:val="0055178B"/>
    <w:rsid w:val="00551CB2"/>
    <w:rsid w:val="00553419"/>
    <w:rsid w:val="00553E4A"/>
    <w:rsid w:val="00553F22"/>
    <w:rsid w:val="00554312"/>
    <w:rsid w:val="00555A3C"/>
    <w:rsid w:val="00555E51"/>
    <w:rsid w:val="00556D74"/>
    <w:rsid w:val="0055771B"/>
    <w:rsid w:val="0055798E"/>
    <w:rsid w:val="005606DA"/>
    <w:rsid w:val="00560BF4"/>
    <w:rsid w:val="00560D31"/>
    <w:rsid w:val="00560DAC"/>
    <w:rsid w:val="00560FFE"/>
    <w:rsid w:val="0056113A"/>
    <w:rsid w:val="00561467"/>
    <w:rsid w:val="0056153F"/>
    <w:rsid w:val="005616FF"/>
    <w:rsid w:val="00562B17"/>
    <w:rsid w:val="00562C7E"/>
    <w:rsid w:val="005644F0"/>
    <w:rsid w:val="00564656"/>
    <w:rsid w:val="00564793"/>
    <w:rsid w:val="00564EB6"/>
    <w:rsid w:val="00565902"/>
    <w:rsid w:val="00567046"/>
    <w:rsid w:val="0056772A"/>
    <w:rsid w:val="00567B4B"/>
    <w:rsid w:val="0057099A"/>
    <w:rsid w:val="00570FFA"/>
    <w:rsid w:val="005711FF"/>
    <w:rsid w:val="00571FA2"/>
    <w:rsid w:val="00572829"/>
    <w:rsid w:val="00572B86"/>
    <w:rsid w:val="00572D02"/>
    <w:rsid w:val="00572E11"/>
    <w:rsid w:val="005732E7"/>
    <w:rsid w:val="005736A5"/>
    <w:rsid w:val="00573730"/>
    <w:rsid w:val="0057384D"/>
    <w:rsid w:val="0057469E"/>
    <w:rsid w:val="00574E5F"/>
    <w:rsid w:val="005754BA"/>
    <w:rsid w:val="00575D58"/>
    <w:rsid w:val="00576DF5"/>
    <w:rsid w:val="00577B09"/>
    <w:rsid w:val="005801DA"/>
    <w:rsid w:val="0058045F"/>
    <w:rsid w:val="005805A5"/>
    <w:rsid w:val="00580ABD"/>
    <w:rsid w:val="00580BAC"/>
    <w:rsid w:val="00581643"/>
    <w:rsid w:val="00581D93"/>
    <w:rsid w:val="00582A70"/>
    <w:rsid w:val="00582BA3"/>
    <w:rsid w:val="00582FA0"/>
    <w:rsid w:val="0058347C"/>
    <w:rsid w:val="005836A7"/>
    <w:rsid w:val="00583B2B"/>
    <w:rsid w:val="00583BB0"/>
    <w:rsid w:val="00583CD6"/>
    <w:rsid w:val="00584220"/>
    <w:rsid w:val="0058516E"/>
    <w:rsid w:val="00585C25"/>
    <w:rsid w:val="00586198"/>
    <w:rsid w:val="00586680"/>
    <w:rsid w:val="00587030"/>
    <w:rsid w:val="0058713B"/>
    <w:rsid w:val="00587544"/>
    <w:rsid w:val="00587800"/>
    <w:rsid w:val="00587E9E"/>
    <w:rsid w:val="00590338"/>
    <w:rsid w:val="005911AF"/>
    <w:rsid w:val="0059127B"/>
    <w:rsid w:val="00591E17"/>
    <w:rsid w:val="00591E86"/>
    <w:rsid w:val="00592C67"/>
    <w:rsid w:val="00594C2C"/>
    <w:rsid w:val="00594E05"/>
    <w:rsid w:val="005958EF"/>
    <w:rsid w:val="00595A53"/>
    <w:rsid w:val="005969C9"/>
    <w:rsid w:val="00597373"/>
    <w:rsid w:val="00597401"/>
    <w:rsid w:val="005A00F2"/>
    <w:rsid w:val="005A06CB"/>
    <w:rsid w:val="005A143E"/>
    <w:rsid w:val="005A345E"/>
    <w:rsid w:val="005A35F1"/>
    <w:rsid w:val="005A361E"/>
    <w:rsid w:val="005A3752"/>
    <w:rsid w:val="005A404A"/>
    <w:rsid w:val="005A439C"/>
    <w:rsid w:val="005A496B"/>
    <w:rsid w:val="005A5320"/>
    <w:rsid w:val="005A5336"/>
    <w:rsid w:val="005A6A82"/>
    <w:rsid w:val="005A6B32"/>
    <w:rsid w:val="005A6D7D"/>
    <w:rsid w:val="005A6DFF"/>
    <w:rsid w:val="005A7130"/>
    <w:rsid w:val="005A718E"/>
    <w:rsid w:val="005A79E1"/>
    <w:rsid w:val="005A7F76"/>
    <w:rsid w:val="005A7FAC"/>
    <w:rsid w:val="005B0152"/>
    <w:rsid w:val="005B047B"/>
    <w:rsid w:val="005B077F"/>
    <w:rsid w:val="005B0CC8"/>
    <w:rsid w:val="005B0E8C"/>
    <w:rsid w:val="005B19DF"/>
    <w:rsid w:val="005B1A9C"/>
    <w:rsid w:val="005B1EFA"/>
    <w:rsid w:val="005B26E7"/>
    <w:rsid w:val="005B29D4"/>
    <w:rsid w:val="005B3044"/>
    <w:rsid w:val="005B30E0"/>
    <w:rsid w:val="005B3A6A"/>
    <w:rsid w:val="005B462B"/>
    <w:rsid w:val="005B4AB2"/>
    <w:rsid w:val="005B593B"/>
    <w:rsid w:val="005B5E2B"/>
    <w:rsid w:val="005B6909"/>
    <w:rsid w:val="005B7367"/>
    <w:rsid w:val="005B7ABC"/>
    <w:rsid w:val="005C00A3"/>
    <w:rsid w:val="005C0989"/>
    <w:rsid w:val="005C1055"/>
    <w:rsid w:val="005C1FC8"/>
    <w:rsid w:val="005C2424"/>
    <w:rsid w:val="005C2FBF"/>
    <w:rsid w:val="005C3605"/>
    <w:rsid w:val="005C3E08"/>
    <w:rsid w:val="005C4D24"/>
    <w:rsid w:val="005C586D"/>
    <w:rsid w:val="005C66FB"/>
    <w:rsid w:val="005C6AEC"/>
    <w:rsid w:val="005C6E43"/>
    <w:rsid w:val="005C7652"/>
    <w:rsid w:val="005C77D9"/>
    <w:rsid w:val="005C78B7"/>
    <w:rsid w:val="005D0E44"/>
    <w:rsid w:val="005D11FC"/>
    <w:rsid w:val="005D1267"/>
    <w:rsid w:val="005D12E9"/>
    <w:rsid w:val="005D1556"/>
    <w:rsid w:val="005D1EB1"/>
    <w:rsid w:val="005D2497"/>
    <w:rsid w:val="005D4504"/>
    <w:rsid w:val="005D4725"/>
    <w:rsid w:val="005D4B0C"/>
    <w:rsid w:val="005D4C96"/>
    <w:rsid w:val="005D5C98"/>
    <w:rsid w:val="005D66AB"/>
    <w:rsid w:val="005D69FE"/>
    <w:rsid w:val="005D75FE"/>
    <w:rsid w:val="005D7890"/>
    <w:rsid w:val="005E054D"/>
    <w:rsid w:val="005E0E7C"/>
    <w:rsid w:val="005E10A6"/>
    <w:rsid w:val="005E1B34"/>
    <w:rsid w:val="005E1F0B"/>
    <w:rsid w:val="005E2227"/>
    <w:rsid w:val="005E413D"/>
    <w:rsid w:val="005E49C8"/>
    <w:rsid w:val="005E550F"/>
    <w:rsid w:val="005E5850"/>
    <w:rsid w:val="005E599C"/>
    <w:rsid w:val="005E600D"/>
    <w:rsid w:val="005E6057"/>
    <w:rsid w:val="005E6A2B"/>
    <w:rsid w:val="005E73F5"/>
    <w:rsid w:val="005F03BD"/>
    <w:rsid w:val="005F0D1B"/>
    <w:rsid w:val="005F1196"/>
    <w:rsid w:val="005F16BF"/>
    <w:rsid w:val="005F27CC"/>
    <w:rsid w:val="005F35B7"/>
    <w:rsid w:val="005F3A69"/>
    <w:rsid w:val="005F3A6A"/>
    <w:rsid w:val="005F3E1B"/>
    <w:rsid w:val="005F3F4D"/>
    <w:rsid w:val="005F4037"/>
    <w:rsid w:val="005F40AA"/>
    <w:rsid w:val="005F4DA0"/>
    <w:rsid w:val="005F4DDE"/>
    <w:rsid w:val="005F4ECD"/>
    <w:rsid w:val="005F51BE"/>
    <w:rsid w:val="005F65B3"/>
    <w:rsid w:val="005F661F"/>
    <w:rsid w:val="005F72A6"/>
    <w:rsid w:val="005F7960"/>
    <w:rsid w:val="005F7B09"/>
    <w:rsid w:val="0060038A"/>
    <w:rsid w:val="00600F6A"/>
    <w:rsid w:val="00602C23"/>
    <w:rsid w:val="00602D41"/>
    <w:rsid w:val="00602E0B"/>
    <w:rsid w:val="00602FD9"/>
    <w:rsid w:val="00603583"/>
    <w:rsid w:val="0060365F"/>
    <w:rsid w:val="006039D1"/>
    <w:rsid w:val="00603E3B"/>
    <w:rsid w:val="006041F5"/>
    <w:rsid w:val="0060623A"/>
    <w:rsid w:val="00606EF6"/>
    <w:rsid w:val="00607052"/>
    <w:rsid w:val="0060748C"/>
    <w:rsid w:val="0060752C"/>
    <w:rsid w:val="006078D6"/>
    <w:rsid w:val="00607C1B"/>
    <w:rsid w:val="00607E96"/>
    <w:rsid w:val="006102BF"/>
    <w:rsid w:val="00610F5A"/>
    <w:rsid w:val="006110AD"/>
    <w:rsid w:val="006116FB"/>
    <w:rsid w:val="00611FB5"/>
    <w:rsid w:val="006131DC"/>
    <w:rsid w:val="0061377D"/>
    <w:rsid w:val="00613BC5"/>
    <w:rsid w:val="00615194"/>
    <w:rsid w:val="006155EE"/>
    <w:rsid w:val="00615979"/>
    <w:rsid w:val="00615D52"/>
    <w:rsid w:val="00615DF9"/>
    <w:rsid w:val="00616578"/>
    <w:rsid w:val="006168AE"/>
    <w:rsid w:val="00616BE0"/>
    <w:rsid w:val="00616EA0"/>
    <w:rsid w:val="00616FAA"/>
    <w:rsid w:val="0061775F"/>
    <w:rsid w:val="006178C1"/>
    <w:rsid w:val="00617AC6"/>
    <w:rsid w:val="00617D1D"/>
    <w:rsid w:val="00617D49"/>
    <w:rsid w:val="00617DE3"/>
    <w:rsid w:val="00620C77"/>
    <w:rsid w:val="006210FC"/>
    <w:rsid w:val="00621AA8"/>
    <w:rsid w:val="00621C2A"/>
    <w:rsid w:val="006220A5"/>
    <w:rsid w:val="00622A57"/>
    <w:rsid w:val="00622E4F"/>
    <w:rsid w:val="0062334C"/>
    <w:rsid w:val="00623855"/>
    <w:rsid w:val="006239BC"/>
    <w:rsid w:val="00625447"/>
    <w:rsid w:val="00625611"/>
    <w:rsid w:val="0062663B"/>
    <w:rsid w:val="00626A71"/>
    <w:rsid w:val="00626D7E"/>
    <w:rsid w:val="006279AD"/>
    <w:rsid w:val="00627C93"/>
    <w:rsid w:val="00627E8F"/>
    <w:rsid w:val="00630718"/>
    <w:rsid w:val="006309E6"/>
    <w:rsid w:val="00630A48"/>
    <w:rsid w:val="00631227"/>
    <w:rsid w:val="00631A7D"/>
    <w:rsid w:val="00631F15"/>
    <w:rsid w:val="006326DA"/>
    <w:rsid w:val="00633161"/>
    <w:rsid w:val="006335FE"/>
    <w:rsid w:val="00633B77"/>
    <w:rsid w:val="00634888"/>
    <w:rsid w:val="00634A82"/>
    <w:rsid w:val="00634E50"/>
    <w:rsid w:val="006351B0"/>
    <w:rsid w:val="00635B45"/>
    <w:rsid w:val="00635E05"/>
    <w:rsid w:val="00635E7E"/>
    <w:rsid w:val="0063611E"/>
    <w:rsid w:val="006362D9"/>
    <w:rsid w:val="00636CD1"/>
    <w:rsid w:val="00637316"/>
    <w:rsid w:val="0063734B"/>
    <w:rsid w:val="006404CE"/>
    <w:rsid w:val="00640B5B"/>
    <w:rsid w:val="006429F5"/>
    <w:rsid w:val="00642B60"/>
    <w:rsid w:val="00643096"/>
    <w:rsid w:val="00643E55"/>
    <w:rsid w:val="00644683"/>
    <w:rsid w:val="00644E0D"/>
    <w:rsid w:val="00644E83"/>
    <w:rsid w:val="00645287"/>
    <w:rsid w:val="00645DE1"/>
    <w:rsid w:val="00646855"/>
    <w:rsid w:val="00646E7B"/>
    <w:rsid w:val="00647970"/>
    <w:rsid w:val="0065039D"/>
    <w:rsid w:val="00652691"/>
    <w:rsid w:val="00652CD7"/>
    <w:rsid w:val="00653924"/>
    <w:rsid w:val="00653BC3"/>
    <w:rsid w:val="0065405D"/>
    <w:rsid w:val="00654911"/>
    <w:rsid w:val="006550A8"/>
    <w:rsid w:val="00655871"/>
    <w:rsid w:val="00655CB2"/>
    <w:rsid w:val="006560E3"/>
    <w:rsid w:val="00656917"/>
    <w:rsid w:val="00656F43"/>
    <w:rsid w:val="00660669"/>
    <w:rsid w:val="006608FC"/>
    <w:rsid w:val="00660CA8"/>
    <w:rsid w:val="00661038"/>
    <w:rsid w:val="006612D3"/>
    <w:rsid w:val="00661B7D"/>
    <w:rsid w:val="00661F0E"/>
    <w:rsid w:val="00661F71"/>
    <w:rsid w:val="0066204F"/>
    <w:rsid w:val="0066315C"/>
    <w:rsid w:val="006632C6"/>
    <w:rsid w:val="00663514"/>
    <w:rsid w:val="00663F83"/>
    <w:rsid w:val="00664250"/>
    <w:rsid w:val="0066489D"/>
    <w:rsid w:val="00665E5B"/>
    <w:rsid w:val="00666250"/>
    <w:rsid w:val="00666741"/>
    <w:rsid w:val="00666747"/>
    <w:rsid w:val="00666A8C"/>
    <w:rsid w:val="00667180"/>
    <w:rsid w:val="00667332"/>
    <w:rsid w:val="00667E0B"/>
    <w:rsid w:val="00670190"/>
    <w:rsid w:val="0067035F"/>
    <w:rsid w:val="006714F6"/>
    <w:rsid w:val="00671522"/>
    <w:rsid w:val="006715DD"/>
    <w:rsid w:val="00671725"/>
    <w:rsid w:val="00671CFF"/>
    <w:rsid w:val="00673961"/>
    <w:rsid w:val="00673B51"/>
    <w:rsid w:val="006745EA"/>
    <w:rsid w:val="00675224"/>
    <w:rsid w:val="006764D4"/>
    <w:rsid w:val="00676827"/>
    <w:rsid w:val="00676A46"/>
    <w:rsid w:val="00676ACD"/>
    <w:rsid w:val="00676E07"/>
    <w:rsid w:val="006771B5"/>
    <w:rsid w:val="00677C39"/>
    <w:rsid w:val="00677EAE"/>
    <w:rsid w:val="00680656"/>
    <w:rsid w:val="0068084C"/>
    <w:rsid w:val="00680ACE"/>
    <w:rsid w:val="0068135F"/>
    <w:rsid w:val="00682775"/>
    <w:rsid w:val="00682815"/>
    <w:rsid w:val="00682F38"/>
    <w:rsid w:val="006831EB"/>
    <w:rsid w:val="00683283"/>
    <w:rsid w:val="0068354E"/>
    <w:rsid w:val="00683AC0"/>
    <w:rsid w:val="00683F9C"/>
    <w:rsid w:val="00684151"/>
    <w:rsid w:val="0068489A"/>
    <w:rsid w:val="00684951"/>
    <w:rsid w:val="00684BCB"/>
    <w:rsid w:val="00684C20"/>
    <w:rsid w:val="00684DDD"/>
    <w:rsid w:val="00684F0B"/>
    <w:rsid w:val="0068566C"/>
    <w:rsid w:val="006858DB"/>
    <w:rsid w:val="00685CCB"/>
    <w:rsid w:val="006860CA"/>
    <w:rsid w:val="00686DE1"/>
    <w:rsid w:val="006874D1"/>
    <w:rsid w:val="00690420"/>
    <w:rsid w:val="006908E3"/>
    <w:rsid w:val="00690DDF"/>
    <w:rsid w:val="00690F1C"/>
    <w:rsid w:val="006913B1"/>
    <w:rsid w:val="00691AA4"/>
    <w:rsid w:val="00691D8D"/>
    <w:rsid w:val="00691EEF"/>
    <w:rsid w:val="006920BD"/>
    <w:rsid w:val="006920FA"/>
    <w:rsid w:val="00692C71"/>
    <w:rsid w:val="00692FBC"/>
    <w:rsid w:val="00693C08"/>
    <w:rsid w:val="00694271"/>
    <w:rsid w:val="00694333"/>
    <w:rsid w:val="00694B7F"/>
    <w:rsid w:val="00694BCB"/>
    <w:rsid w:val="006955D3"/>
    <w:rsid w:val="0069593A"/>
    <w:rsid w:val="006959D4"/>
    <w:rsid w:val="00695C25"/>
    <w:rsid w:val="00697DDE"/>
    <w:rsid w:val="00697E1F"/>
    <w:rsid w:val="006A0912"/>
    <w:rsid w:val="006A0972"/>
    <w:rsid w:val="006A0BA1"/>
    <w:rsid w:val="006A1038"/>
    <w:rsid w:val="006A11E3"/>
    <w:rsid w:val="006A2547"/>
    <w:rsid w:val="006A2592"/>
    <w:rsid w:val="006A263B"/>
    <w:rsid w:val="006A2855"/>
    <w:rsid w:val="006A34D9"/>
    <w:rsid w:val="006A424C"/>
    <w:rsid w:val="006A4AE6"/>
    <w:rsid w:val="006A4B31"/>
    <w:rsid w:val="006A4F07"/>
    <w:rsid w:val="006A56FF"/>
    <w:rsid w:val="006A595E"/>
    <w:rsid w:val="006A5A4F"/>
    <w:rsid w:val="006A6B6A"/>
    <w:rsid w:val="006A72CB"/>
    <w:rsid w:val="006A7316"/>
    <w:rsid w:val="006A765C"/>
    <w:rsid w:val="006A77A2"/>
    <w:rsid w:val="006B05EC"/>
    <w:rsid w:val="006B0E50"/>
    <w:rsid w:val="006B10E6"/>
    <w:rsid w:val="006B124C"/>
    <w:rsid w:val="006B1BF7"/>
    <w:rsid w:val="006B2200"/>
    <w:rsid w:val="006B2BE1"/>
    <w:rsid w:val="006B2C1F"/>
    <w:rsid w:val="006B3F92"/>
    <w:rsid w:val="006B497D"/>
    <w:rsid w:val="006B56FC"/>
    <w:rsid w:val="006B587D"/>
    <w:rsid w:val="006B623E"/>
    <w:rsid w:val="006B6748"/>
    <w:rsid w:val="006B6788"/>
    <w:rsid w:val="006B6F66"/>
    <w:rsid w:val="006C0378"/>
    <w:rsid w:val="006C061B"/>
    <w:rsid w:val="006C09A9"/>
    <w:rsid w:val="006C1200"/>
    <w:rsid w:val="006C1C09"/>
    <w:rsid w:val="006C20F8"/>
    <w:rsid w:val="006C2563"/>
    <w:rsid w:val="006C329A"/>
    <w:rsid w:val="006C3C9F"/>
    <w:rsid w:val="006C3CD5"/>
    <w:rsid w:val="006C415C"/>
    <w:rsid w:val="006C5A66"/>
    <w:rsid w:val="006C7598"/>
    <w:rsid w:val="006D038B"/>
    <w:rsid w:val="006D09B7"/>
    <w:rsid w:val="006D0B95"/>
    <w:rsid w:val="006D18C1"/>
    <w:rsid w:val="006D18D4"/>
    <w:rsid w:val="006D278A"/>
    <w:rsid w:val="006D3EE6"/>
    <w:rsid w:val="006D65F5"/>
    <w:rsid w:val="006D66D0"/>
    <w:rsid w:val="006D7270"/>
    <w:rsid w:val="006D73EC"/>
    <w:rsid w:val="006D7907"/>
    <w:rsid w:val="006D79AA"/>
    <w:rsid w:val="006D7DBA"/>
    <w:rsid w:val="006E009A"/>
    <w:rsid w:val="006E01EB"/>
    <w:rsid w:val="006E0354"/>
    <w:rsid w:val="006E04D1"/>
    <w:rsid w:val="006E116C"/>
    <w:rsid w:val="006E2028"/>
    <w:rsid w:val="006E20C6"/>
    <w:rsid w:val="006E2366"/>
    <w:rsid w:val="006E2613"/>
    <w:rsid w:val="006E261D"/>
    <w:rsid w:val="006E340E"/>
    <w:rsid w:val="006E4730"/>
    <w:rsid w:val="006E5015"/>
    <w:rsid w:val="006E5F5B"/>
    <w:rsid w:val="006E6A82"/>
    <w:rsid w:val="006E7166"/>
    <w:rsid w:val="006E77BA"/>
    <w:rsid w:val="006E7BF4"/>
    <w:rsid w:val="006F09BF"/>
    <w:rsid w:val="006F0B9F"/>
    <w:rsid w:val="006F0E6F"/>
    <w:rsid w:val="006F0F6C"/>
    <w:rsid w:val="006F15CA"/>
    <w:rsid w:val="006F1607"/>
    <w:rsid w:val="006F2562"/>
    <w:rsid w:val="006F25E7"/>
    <w:rsid w:val="006F2626"/>
    <w:rsid w:val="006F3405"/>
    <w:rsid w:val="006F3E06"/>
    <w:rsid w:val="006F3F0E"/>
    <w:rsid w:val="006F41E1"/>
    <w:rsid w:val="006F426B"/>
    <w:rsid w:val="006F45F8"/>
    <w:rsid w:val="006F4B15"/>
    <w:rsid w:val="006F57D4"/>
    <w:rsid w:val="006F5B09"/>
    <w:rsid w:val="006F6174"/>
    <w:rsid w:val="006F6534"/>
    <w:rsid w:val="006F75D4"/>
    <w:rsid w:val="006F7F46"/>
    <w:rsid w:val="007014B0"/>
    <w:rsid w:val="00702694"/>
    <w:rsid w:val="00704D3F"/>
    <w:rsid w:val="00704F3A"/>
    <w:rsid w:val="00705476"/>
    <w:rsid w:val="00705848"/>
    <w:rsid w:val="00705EF4"/>
    <w:rsid w:val="007063FA"/>
    <w:rsid w:val="00707279"/>
    <w:rsid w:val="0070732F"/>
    <w:rsid w:val="00707666"/>
    <w:rsid w:val="007077D4"/>
    <w:rsid w:val="00707F31"/>
    <w:rsid w:val="0071109F"/>
    <w:rsid w:val="00712561"/>
    <w:rsid w:val="00712D8B"/>
    <w:rsid w:val="007139E8"/>
    <w:rsid w:val="00713C16"/>
    <w:rsid w:val="00713F4D"/>
    <w:rsid w:val="00714E23"/>
    <w:rsid w:val="00714F6F"/>
    <w:rsid w:val="00715312"/>
    <w:rsid w:val="0071564C"/>
    <w:rsid w:val="00715863"/>
    <w:rsid w:val="00715A41"/>
    <w:rsid w:val="00715E2B"/>
    <w:rsid w:val="007166FB"/>
    <w:rsid w:val="00717351"/>
    <w:rsid w:val="007174EF"/>
    <w:rsid w:val="0072000B"/>
    <w:rsid w:val="00720882"/>
    <w:rsid w:val="0072106A"/>
    <w:rsid w:val="007220C8"/>
    <w:rsid w:val="00723173"/>
    <w:rsid w:val="0072392C"/>
    <w:rsid w:val="00723F9A"/>
    <w:rsid w:val="00724047"/>
    <w:rsid w:val="007244C1"/>
    <w:rsid w:val="007245FA"/>
    <w:rsid w:val="00724977"/>
    <w:rsid w:val="0072550A"/>
    <w:rsid w:val="007258AD"/>
    <w:rsid w:val="00725C1C"/>
    <w:rsid w:val="007268B2"/>
    <w:rsid w:val="00727993"/>
    <w:rsid w:val="00727D50"/>
    <w:rsid w:val="00727EC1"/>
    <w:rsid w:val="00727F04"/>
    <w:rsid w:val="007300CC"/>
    <w:rsid w:val="007302B0"/>
    <w:rsid w:val="00730794"/>
    <w:rsid w:val="007309F5"/>
    <w:rsid w:val="00730A8C"/>
    <w:rsid w:val="00730E52"/>
    <w:rsid w:val="007316B4"/>
    <w:rsid w:val="00731E03"/>
    <w:rsid w:val="00731EBE"/>
    <w:rsid w:val="007329A2"/>
    <w:rsid w:val="00732D8B"/>
    <w:rsid w:val="00732DAE"/>
    <w:rsid w:val="00732E52"/>
    <w:rsid w:val="00733016"/>
    <w:rsid w:val="00734260"/>
    <w:rsid w:val="00734587"/>
    <w:rsid w:val="00734869"/>
    <w:rsid w:val="00734C91"/>
    <w:rsid w:val="00734D80"/>
    <w:rsid w:val="00735139"/>
    <w:rsid w:val="00735F25"/>
    <w:rsid w:val="0073600C"/>
    <w:rsid w:val="007362F2"/>
    <w:rsid w:val="00736308"/>
    <w:rsid w:val="00736F0D"/>
    <w:rsid w:val="00740A1B"/>
    <w:rsid w:val="007412F0"/>
    <w:rsid w:val="00741B51"/>
    <w:rsid w:val="00741D46"/>
    <w:rsid w:val="00742494"/>
    <w:rsid w:val="0074268A"/>
    <w:rsid w:val="00742DBE"/>
    <w:rsid w:val="007436E7"/>
    <w:rsid w:val="00744B14"/>
    <w:rsid w:val="00745610"/>
    <w:rsid w:val="007456E8"/>
    <w:rsid w:val="007463FB"/>
    <w:rsid w:val="00746AA9"/>
    <w:rsid w:val="00746ABE"/>
    <w:rsid w:val="00746F04"/>
    <w:rsid w:val="00747227"/>
    <w:rsid w:val="007479BC"/>
    <w:rsid w:val="00747D69"/>
    <w:rsid w:val="0075007E"/>
    <w:rsid w:val="00750222"/>
    <w:rsid w:val="00750336"/>
    <w:rsid w:val="007506D0"/>
    <w:rsid w:val="007513C6"/>
    <w:rsid w:val="00751749"/>
    <w:rsid w:val="00752112"/>
    <w:rsid w:val="00753D26"/>
    <w:rsid w:val="007540AB"/>
    <w:rsid w:val="0075416D"/>
    <w:rsid w:val="00754554"/>
    <w:rsid w:val="00755375"/>
    <w:rsid w:val="007563A4"/>
    <w:rsid w:val="007571D4"/>
    <w:rsid w:val="00757F16"/>
    <w:rsid w:val="00761C2A"/>
    <w:rsid w:val="00761D47"/>
    <w:rsid w:val="0076345C"/>
    <w:rsid w:val="00764709"/>
    <w:rsid w:val="00765082"/>
    <w:rsid w:val="0076526D"/>
    <w:rsid w:val="007654B5"/>
    <w:rsid w:val="00765830"/>
    <w:rsid w:val="00765EDA"/>
    <w:rsid w:val="00766705"/>
    <w:rsid w:val="00766B64"/>
    <w:rsid w:val="00766F19"/>
    <w:rsid w:val="0077072D"/>
    <w:rsid w:val="00770737"/>
    <w:rsid w:val="0077154E"/>
    <w:rsid w:val="0077157E"/>
    <w:rsid w:val="00771F41"/>
    <w:rsid w:val="00772F26"/>
    <w:rsid w:val="00773642"/>
    <w:rsid w:val="00774127"/>
    <w:rsid w:val="00774CFB"/>
    <w:rsid w:val="00775CB7"/>
    <w:rsid w:val="0077798C"/>
    <w:rsid w:val="00777B04"/>
    <w:rsid w:val="00777B90"/>
    <w:rsid w:val="00781DCC"/>
    <w:rsid w:val="00781F69"/>
    <w:rsid w:val="00782769"/>
    <w:rsid w:val="00782971"/>
    <w:rsid w:val="0078394C"/>
    <w:rsid w:val="007846AC"/>
    <w:rsid w:val="00784758"/>
    <w:rsid w:val="00784E90"/>
    <w:rsid w:val="00785166"/>
    <w:rsid w:val="0078549F"/>
    <w:rsid w:val="0078570C"/>
    <w:rsid w:val="0078661B"/>
    <w:rsid w:val="00786A9B"/>
    <w:rsid w:val="00787811"/>
    <w:rsid w:val="007900BA"/>
    <w:rsid w:val="00790188"/>
    <w:rsid w:val="00790885"/>
    <w:rsid w:val="0079126B"/>
    <w:rsid w:val="0079183B"/>
    <w:rsid w:val="0079228C"/>
    <w:rsid w:val="0079305F"/>
    <w:rsid w:val="00793619"/>
    <w:rsid w:val="00793623"/>
    <w:rsid w:val="00793C60"/>
    <w:rsid w:val="00793D9A"/>
    <w:rsid w:val="00793FFE"/>
    <w:rsid w:val="0079415C"/>
    <w:rsid w:val="007945CE"/>
    <w:rsid w:val="00795077"/>
    <w:rsid w:val="007950E3"/>
    <w:rsid w:val="007962A7"/>
    <w:rsid w:val="0079653C"/>
    <w:rsid w:val="00797D92"/>
    <w:rsid w:val="007A0942"/>
    <w:rsid w:val="007A1303"/>
    <w:rsid w:val="007A17A3"/>
    <w:rsid w:val="007A1927"/>
    <w:rsid w:val="007A3DD7"/>
    <w:rsid w:val="007A520B"/>
    <w:rsid w:val="007A600A"/>
    <w:rsid w:val="007A6788"/>
    <w:rsid w:val="007A6B71"/>
    <w:rsid w:val="007A758C"/>
    <w:rsid w:val="007A76AE"/>
    <w:rsid w:val="007B0101"/>
    <w:rsid w:val="007B01E6"/>
    <w:rsid w:val="007B0760"/>
    <w:rsid w:val="007B0953"/>
    <w:rsid w:val="007B0ADD"/>
    <w:rsid w:val="007B1426"/>
    <w:rsid w:val="007B1461"/>
    <w:rsid w:val="007B1C57"/>
    <w:rsid w:val="007B1D0C"/>
    <w:rsid w:val="007B28B0"/>
    <w:rsid w:val="007B338C"/>
    <w:rsid w:val="007B36BA"/>
    <w:rsid w:val="007B48B3"/>
    <w:rsid w:val="007B4940"/>
    <w:rsid w:val="007B52F7"/>
    <w:rsid w:val="007B5C04"/>
    <w:rsid w:val="007B5C5F"/>
    <w:rsid w:val="007B6592"/>
    <w:rsid w:val="007B7076"/>
    <w:rsid w:val="007B7AD1"/>
    <w:rsid w:val="007B7C9C"/>
    <w:rsid w:val="007C01FB"/>
    <w:rsid w:val="007C0854"/>
    <w:rsid w:val="007C0868"/>
    <w:rsid w:val="007C11E0"/>
    <w:rsid w:val="007C1954"/>
    <w:rsid w:val="007C2305"/>
    <w:rsid w:val="007C4C16"/>
    <w:rsid w:val="007C4FA9"/>
    <w:rsid w:val="007C4FB4"/>
    <w:rsid w:val="007C568C"/>
    <w:rsid w:val="007C5736"/>
    <w:rsid w:val="007C664F"/>
    <w:rsid w:val="007C67E2"/>
    <w:rsid w:val="007C6F8C"/>
    <w:rsid w:val="007C7459"/>
    <w:rsid w:val="007C7A12"/>
    <w:rsid w:val="007C7FEA"/>
    <w:rsid w:val="007C7FF6"/>
    <w:rsid w:val="007D06CD"/>
    <w:rsid w:val="007D081C"/>
    <w:rsid w:val="007D35AE"/>
    <w:rsid w:val="007D3616"/>
    <w:rsid w:val="007D3864"/>
    <w:rsid w:val="007D38DE"/>
    <w:rsid w:val="007D3DF1"/>
    <w:rsid w:val="007D3E5B"/>
    <w:rsid w:val="007D3F36"/>
    <w:rsid w:val="007D4658"/>
    <w:rsid w:val="007D4BF0"/>
    <w:rsid w:val="007D5C7F"/>
    <w:rsid w:val="007D6BB3"/>
    <w:rsid w:val="007D7149"/>
    <w:rsid w:val="007D7441"/>
    <w:rsid w:val="007D788D"/>
    <w:rsid w:val="007E0AC6"/>
    <w:rsid w:val="007E0B69"/>
    <w:rsid w:val="007E1C16"/>
    <w:rsid w:val="007E2618"/>
    <w:rsid w:val="007E4670"/>
    <w:rsid w:val="007E497D"/>
    <w:rsid w:val="007E51BF"/>
    <w:rsid w:val="007E54D5"/>
    <w:rsid w:val="007E5949"/>
    <w:rsid w:val="007E61B7"/>
    <w:rsid w:val="007E6433"/>
    <w:rsid w:val="007E68AF"/>
    <w:rsid w:val="007E698E"/>
    <w:rsid w:val="007E731A"/>
    <w:rsid w:val="007E74CC"/>
    <w:rsid w:val="007E77FF"/>
    <w:rsid w:val="007E7FB1"/>
    <w:rsid w:val="007F01D7"/>
    <w:rsid w:val="007F0FEF"/>
    <w:rsid w:val="007F17D8"/>
    <w:rsid w:val="007F1A1A"/>
    <w:rsid w:val="007F1D0D"/>
    <w:rsid w:val="007F22F5"/>
    <w:rsid w:val="007F2965"/>
    <w:rsid w:val="007F300E"/>
    <w:rsid w:val="007F35E9"/>
    <w:rsid w:val="007F3C6E"/>
    <w:rsid w:val="007F492A"/>
    <w:rsid w:val="007F4CB5"/>
    <w:rsid w:val="007F515D"/>
    <w:rsid w:val="007F5AF6"/>
    <w:rsid w:val="007F5C1A"/>
    <w:rsid w:val="007F64E4"/>
    <w:rsid w:val="007F65EC"/>
    <w:rsid w:val="007F78C7"/>
    <w:rsid w:val="008006D2"/>
    <w:rsid w:val="00800FF4"/>
    <w:rsid w:val="00801394"/>
    <w:rsid w:val="008013DE"/>
    <w:rsid w:val="00801680"/>
    <w:rsid w:val="00802F09"/>
    <w:rsid w:val="00804561"/>
    <w:rsid w:val="00804A01"/>
    <w:rsid w:val="00805270"/>
    <w:rsid w:val="00805FD7"/>
    <w:rsid w:val="00806A7E"/>
    <w:rsid w:val="00807A22"/>
    <w:rsid w:val="00807ADC"/>
    <w:rsid w:val="00807C14"/>
    <w:rsid w:val="00810A77"/>
    <w:rsid w:val="00810B10"/>
    <w:rsid w:val="00812402"/>
    <w:rsid w:val="008131D7"/>
    <w:rsid w:val="00813AC4"/>
    <w:rsid w:val="00813D56"/>
    <w:rsid w:val="0081439C"/>
    <w:rsid w:val="008143D0"/>
    <w:rsid w:val="008146AA"/>
    <w:rsid w:val="00814854"/>
    <w:rsid w:val="00814DFF"/>
    <w:rsid w:val="00814F7F"/>
    <w:rsid w:val="008160B2"/>
    <w:rsid w:val="00817068"/>
    <w:rsid w:val="0081744A"/>
    <w:rsid w:val="00817C8A"/>
    <w:rsid w:val="00820260"/>
    <w:rsid w:val="00820420"/>
    <w:rsid w:val="00820BAB"/>
    <w:rsid w:val="008211F8"/>
    <w:rsid w:val="0082191D"/>
    <w:rsid w:val="00822370"/>
    <w:rsid w:val="008228D0"/>
    <w:rsid w:val="0082290B"/>
    <w:rsid w:val="0082343F"/>
    <w:rsid w:val="008237E8"/>
    <w:rsid w:val="00823F35"/>
    <w:rsid w:val="00824024"/>
    <w:rsid w:val="00824A82"/>
    <w:rsid w:val="00824F1A"/>
    <w:rsid w:val="00824F7C"/>
    <w:rsid w:val="008251DE"/>
    <w:rsid w:val="00825A21"/>
    <w:rsid w:val="00825BC2"/>
    <w:rsid w:val="008265F3"/>
    <w:rsid w:val="0082678A"/>
    <w:rsid w:val="00826AC5"/>
    <w:rsid w:val="00826B9C"/>
    <w:rsid w:val="008271AB"/>
    <w:rsid w:val="00827CE2"/>
    <w:rsid w:val="008306BF"/>
    <w:rsid w:val="00830B78"/>
    <w:rsid w:val="00830D62"/>
    <w:rsid w:val="008311D6"/>
    <w:rsid w:val="00831782"/>
    <w:rsid w:val="0083207C"/>
    <w:rsid w:val="0083261E"/>
    <w:rsid w:val="00832671"/>
    <w:rsid w:val="00832C9D"/>
    <w:rsid w:val="00832F12"/>
    <w:rsid w:val="00832FEC"/>
    <w:rsid w:val="008334D4"/>
    <w:rsid w:val="00833B4E"/>
    <w:rsid w:val="0083489D"/>
    <w:rsid w:val="008360E5"/>
    <w:rsid w:val="008368FD"/>
    <w:rsid w:val="00837EA5"/>
    <w:rsid w:val="00837F95"/>
    <w:rsid w:val="00841654"/>
    <w:rsid w:val="008423DA"/>
    <w:rsid w:val="00842437"/>
    <w:rsid w:val="0084272B"/>
    <w:rsid w:val="00842934"/>
    <w:rsid w:val="00842B77"/>
    <w:rsid w:val="00843CEA"/>
    <w:rsid w:val="008444CF"/>
    <w:rsid w:val="008450E2"/>
    <w:rsid w:val="00845868"/>
    <w:rsid w:val="00846411"/>
    <w:rsid w:val="00846F28"/>
    <w:rsid w:val="008477F1"/>
    <w:rsid w:val="00847BDA"/>
    <w:rsid w:val="00850515"/>
    <w:rsid w:val="008506D1"/>
    <w:rsid w:val="00850853"/>
    <w:rsid w:val="00850A1A"/>
    <w:rsid w:val="00850C6B"/>
    <w:rsid w:val="00850FA1"/>
    <w:rsid w:val="00851649"/>
    <w:rsid w:val="008519FE"/>
    <w:rsid w:val="00851B24"/>
    <w:rsid w:val="00852026"/>
    <w:rsid w:val="00852AB6"/>
    <w:rsid w:val="00852B5D"/>
    <w:rsid w:val="00853069"/>
    <w:rsid w:val="008530A1"/>
    <w:rsid w:val="00853BAF"/>
    <w:rsid w:val="00853E8B"/>
    <w:rsid w:val="00854CC1"/>
    <w:rsid w:val="008550C6"/>
    <w:rsid w:val="008566DD"/>
    <w:rsid w:val="008568A2"/>
    <w:rsid w:val="00857209"/>
    <w:rsid w:val="00857FAD"/>
    <w:rsid w:val="00860891"/>
    <w:rsid w:val="00861540"/>
    <w:rsid w:val="008615CE"/>
    <w:rsid w:val="00861AB1"/>
    <w:rsid w:val="0086282F"/>
    <w:rsid w:val="008628B5"/>
    <w:rsid w:val="00862CCE"/>
    <w:rsid w:val="0086301C"/>
    <w:rsid w:val="008631D4"/>
    <w:rsid w:val="0086350F"/>
    <w:rsid w:val="0086393C"/>
    <w:rsid w:val="00864097"/>
    <w:rsid w:val="00865A58"/>
    <w:rsid w:val="00865F91"/>
    <w:rsid w:val="008661D3"/>
    <w:rsid w:val="008663BD"/>
    <w:rsid w:val="00866E1F"/>
    <w:rsid w:val="00867987"/>
    <w:rsid w:val="0087035D"/>
    <w:rsid w:val="00870637"/>
    <w:rsid w:val="00870D73"/>
    <w:rsid w:val="00871074"/>
    <w:rsid w:val="008713FD"/>
    <w:rsid w:val="00871412"/>
    <w:rsid w:val="00871530"/>
    <w:rsid w:val="00872C18"/>
    <w:rsid w:val="0087376D"/>
    <w:rsid w:val="00873A2D"/>
    <w:rsid w:val="00874430"/>
    <w:rsid w:val="0087445B"/>
    <w:rsid w:val="00874B3C"/>
    <w:rsid w:val="00874C4E"/>
    <w:rsid w:val="00874ED9"/>
    <w:rsid w:val="00875138"/>
    <w:rsid w:val="00875ABD"/>
    <w:rsid w:val="00875F82"/>
    <w:rsid w:val="0087661C"/>
    <w:rsid w:val="008771EE"/>
    <w:rsid w:val="00877550"/>
    <w:rsid w:val="00877E67"/>
    <w:rsid w:val="00881184"/>
    <w:rsid w:val="008818ED"/>
    <w:rsid w:val="008819EB"/>
    <w:rsid w:val="00881B3F"/>
    <w:rsid w:val="00881B66"/>
    <w:rsid w:val="00882CF8"/>
    <w:rsid w:val="008835D6"/>
    <w:rsid w:val="008836FB"/>
    <w:rsid w:val="0088382C"/>
    <w:rsid w:val="00883D84"/>
    <w:rsid w:val="00883E8D"/>
    <w:rsid w:val="008842F8"/>
    <w:rsid w:val="008848DA"/>
    <w:rsid w:val="00884C2C"/>
    <w:rsid w:val="008857A1"/>
    <w:rsid w:val="00886017"/>
    <w:rsid w:val="0088640C"/>
    <w:rsid w:val="00886AE8"/>
    <w:rsid w:val="00886FAE"/>
    <w:rsid w:val="008874CF"/>
    <w:rsid w:val="00887C4B"/>
    <w:rsid w:val="00887E12"/>
    <w:rsid w:val="00887E13"/>
    <w:rsid w:val="0089095D"/>
    <w:rsid w:val="00890D8F"/>
    <w:rsid w:val="008914F7"/>
    <w:rsid w:val="0089160A"/>
    <w:rsid w:val="00891928"/>
    <w:rsid w:val="00891B6C"/>
    <w:rsid w:val="00892301"/>
    <w:rsid w:val="00892DB6"/>
    <w:rsid w:val="00893CD8"/>
    <w:rsid w:val="008940DB"/>
    <w:rsid w:val="0089523C"/>
    <w:rsid w:val="00895B40"/>
    <w:rsid w:val="00896171"/>
    <w:rsid w:val="008964F1"/>
    <w:rsid w:val="00896648"/>
    <w:rsid w:val="00897C79"/>
    <w:rsid w:val="00897F72"/>
    <w:rsid w:val="008A0395"/>
    <w:rsid w:val="008A1C7D"/>
    <w:rsid w:val="008A2A9B"/>
    <w:rsid w:val="008A318D"/>
    <w:rsid w:val="008A37DA"/>
    <w:rsid w:val="008A390E"/>
    <w:rsid w:val="008A487B"/>
    <w:rsid w:val="008A496E"/>
    <w:rsid w:val="008A523F"/>
    <w:rsid w:val="008A5549"/>
    <w:rsid w:val="008A5BC7"/>
    <w:rsid w:val="008A5E1D"/>
    <w:rsid w:val="008A6EF6"/>
    <w:rsid w:val="008A762C"/>
    <w:rsid w:val="008A7914"/>
    <w:rsid w:val="008A7AA1"/>
    <w:rsid w:val="008A7E5B"/>
    <w:rsid w:val="008B090C"/>
    <w:rsid w:val="008B1DDF"/>
    <w:rsid w:val="008B1FB0"/>
    <w:rsid w:val="008B4367"/>
    <w:rsid w:val="008B49B2"/>
    <w:rsid w:val="008B52AE"/>
    <w:rsid w:val="008B5427"/>
    <w:rsid w:val="008B5FC8"/>
    <w:rsid w:val="008B667C"/>
    <w:rsid w:val="008B693D"/>
    <w:rsid w:val="008B6B03"/>
    <w:rsid w:val="008B6CF6"/>
    <w:rsid w:val="008B7094"/>
    <w:rsid w:val="008B77C0"/>
    <w:rsid w:val="008B7F13"/>
    <w:rsid w:val="008C0236"/>
    <w:rsid w:val="008C03AD"/>
    <w:rsid w:val="008C07D6"/>
    <w:rsid w:val="008C1381"/>
    <w:rsid w:val="008C1638"/>
    <w:rsid w:val="008C20DA"/>
    <w:rsid w:val="008C2747"/>
    <w:rsid w:val="008C27C5"/>
    <w:rsid w:val="008C2978"/>
    <w:rsid w:val="008C2F9B"/>
    <w:rsid w:val="008C2FE4"/>
    <w:rsid w:val="008C31B4"/>
    <w:rsid w:val="008C3B31"/>
    <w:rsid w:val="008C3BB3"/>
    <w:rsid w:val="008C4A94"/>
    <w:rsid w:val="008C4AC9"/>
    <w:rsid w:val="008C5DF2"/>
    <w:rsid w:val="008C6493"/>
    <w:rsid w:val="008C6844"/>
    <w:rsid w:val="008C686B"/>
    <w:rsid w:val="008C6AE3"/>
    <w:rsid w:val="008C6E4B"/>
    <w:rsid w:val="008C72F7"/>
    <w:rsid w:val="008C75B5"/>
    <w:rsid w:val="008C75C4"/>
    <w:rsid w:val="008D0524"/>
    <w:rsid w:val="008D0B26"/>
    <w:rsid w:val="008D1E2E"/>
    <w:rsid w:val="008D2C10"/>
    <w:rsid w:val="008D2F09"/>
    <w:rsid w:val="008D34A1"/>
    <w:rsid w:val="008D397F"/>
    <w:rsid w:val="008D3A46"/>
    <w:rsid w:val="008D3DBD"/>
    <w:rsid w:val="008D41DC"/>
    <w:rsid w:val="008D4BE0"/>
    <w:rsid w:val="008D4EC3"/>
    <w:rsid w:val="008D5007"/>
    <w:rsid w:val="008D5148"/>
    <w:rsid w:val="008D67E2"/>
    <w:rsid w:val="008D68AC"/>
    <w:rsid w:val="008D6F25"/>
    <w:rsid w:val="008D6F41"/>
    <w:rsid w:val="008D7781"/>
    <w:rsid w:val="008D7AAD"/>
    <w:rsid w:val="008E01FC"/>
    <w:rsid w:val="008E0C69"/>
    <w:rsid w:val="008E0FA3"/>
    <w:rsid w:val="008E1552"/>
    <w:rsid w:val="008E1AE4"/>
    <w:rsid w:val="008E2A6D"/>
    <w:rsid w:val="008E2E81"/>
    <w:rsid w:val="008E385F"/>
    <w:rsid w:val="008E3F18"/>
    <w:rsid w:val="008E4E3B"/>
    <w:rsid w:val="008E5B90"/>
    <w:rsid w:val="008E5BF6"/>
    <w:rsid w:val="008E5CC5"/>
    <w:rsid w:val="008E5FC3"/>
    <w:rsid w:val="008E6174"/>
    <w:rsid w:val="008E6211"/>
    <w:rsid w:val="008E642E"/>
    <w:rsid w:val="008E6947"/>
    <w:rsid w:val="008E780E"/>
    <w:rsid w:val="008E7B57"/>
    <w:rsid w:val="008F0332"/>
    <w:rsid w:val="008F08FB"/>
    <w:rsid w:val="008F0DDF"/>
    <w:rsid w:val="008F0E91"/>
    <w:rsid w:val="008F1CCC"/>
    <w:rsid w:val="008F275A"/>
    <w:rsid w:val="008F2962"/>
    <w:rsid w:val="008F2B0E"/>
    <w:rsid w:val="008F3BFF"/>
    <w:rsid w:val="008F4015"/>
    <w:rsid w:val="008F41C7"/>
    <w:rsid w:val="008F42A9"/>
    <w:rsid w:val="008F4507"/>
    <w:rsid w:val="008F4ADD"/>
    <w:rsid w:val="008F4E6D"/>
    <w:rsid w:val="008F5B0D"/>
    <w:rsid w:val="008F603F"/>
    <w:rsid w:val="008F6133"/>
    <w:rsid w:val="008F6166"/>
    <w:rsid w:val="008F7B95"/>
    <w:rsid w:val="009008A0"/>
    <w:rsid w:val="00900E91"/>
    <w:rsid w:val="00901A3D"/>
    <w:rsid w:val="00901DB9"/>
    <w:rsid w:val="0090222E"/>
    <w:rsid w:val="00902573"/>
    <w:rsid w:val="009029A9"/>
    <w:rsid w:val="00902F96"/>
    <w:rsid w:val="009045B9"/>
    <w:rsid w:val="0090516F"/>
    <w:rsid w:val="00905200"/>
    <w:rsid w:val="00905832"/>
    <w:rsid w:val="00905CEF"/>
    <w:rsid w:val="00905F34"/>
    <w:rsid w:val="00905F82"/>
    <w:rsid w:val="00907055"/>
    <w:rsid w:val="0090722E"/>
    <w:rsid w:val="0090763E"/>
    <w:rsid w:val="009079C2"/>
    <w:rsid w:val="00907F5E"/>
    <w:rsid w:val="009101B1"/>
    <w:rsid w:val="00910B7F"/>
    <w:rsid w:val="00912500"/>
    <w:rsid w:val="009125BD"/>
    <w:rsid w:val="009134DD"/>
    <w:rsid w:val="00913544"/>
    <w:rsid w:val="00913840"/>
    <w:rsid w:val="00913E79"/>
    <w:rsid w:val="00915683"/>
    <w:rsid w:val="009166B6"/>
    <w:rsid w:val="009166DB"/>
    <w:rsid w:val="00916EB8"/>
    <w:rsid w:val="00917756"/>
    <w:rsid w:val="00917DF6"/>
    <w:rsid w:val="0092079C"/>
    <w:rsid w:val="00920817"/>
    <w:rsid w:val="00921333"/>
    <w:rsid w:val="009214A8"/>
    <w:rsid w:val="00921B46"/>
    <w:rsid w:val="00921E19"/>
    <w:rsid w:val="009229B8"/>
    <w:rsid w:val="00922D99"/>
    <w:rsid w:val="00923106"/>
    <w:rsid w:val="00923C89"/>
    <w:rsid w:val="009241DE"/>
    <w:rsid w:val="00924B83"/>
    <w:rsid w:val="00925046"/>
    <w:rsid w:val="00926374"/>
    <w:rsid w:val="0092641B"/>
    <w:rsid w:val="00926E70"/>
    <w:rsid w:val="00927B64"/>
    <w:rsid w:val="0093022E"/>
    <w:rsid w:val="0093191D"/>
    <w:rsid w:val="009327DE"/>
    <w:rsid w:val="0093283A"/>
    <w:rsid w:val="00932DA9"/>
    <w:rsid w:val="0093363A"/>
    <w:rsid w:val="00933B8A"/>
    <w:rsid w:val="00933B9D"/>
    <w:rsid w:val="00933C3A"/>
    <w:rsid w:val="00934192"/>
    <w:rsid w:val="0093471D"/>
    <w:rsid w:val="00934BDF"/>
    <w:rsid w:val="00934EA5"/>
    <w:rsid w:val="009351C1"/>
    <w:rsid w:val="009352B3"/>
    <w:rsid w:val="00935FD3"/>
    <w:rsid w:val="009361C9"/>
    <w:rsid w:val="00936222"/>
    <w:rsid w:val="0093653F"/>
    <w:rsid w:val="0093682B"/>
    <w:rsid w:val="00937A54"/>
    <w:rsid w:val="00937B06"/>
    <w:rsid w:val="00937BB2"/>
    <w:rsid w:val="009401B6"/>
    <w:rsid w:val="009406F9"/>
    <w:rsid w:val="00940AC6"/>
    <w:rsid w:val="00940B12"/>
    <w:rsid w:val="00940DC8"/>
    <w:rsid w:val="00941082"/>
    <w:rsid w:val="0094186A"/>
    <w:rsid w:val="00942DA1"/>
    <w:rsid w:val="0094347D"/>
    <w:rsid w:val="0094388D"/>
    <w:rsid w:val="009441E2"/>
    <w:rsid w:val="0094424A"/>
    <w:rsid w:val="009450B3"/>
    <w:rsid w:val="00945214"/>
    <w:rsid w:val="00945480"/>
    <w:rsid w:val="009460E9"/>
    <w:rsid w:val="0094670D"/>
    <w:rsid w:val="0094722B"/>
    <w:rsid w:val="00947CFF"/>
    <w:rsid w:val="00950A04"/>
    <w:rsid w:val="00951A17"/>
    <w:rsid w:val="00951CBC"/>
    <w:rsid w:val="00951E6F"/>
    <w:rsid w:val="009536C3"/>
    <w:rsid w:val="00954424"/>
    <w:rsid w:val="0095491B"/>
    <w:rsid w:val="00954D8C"/>
    <w:rsid w:val="009550BA"/>
    <w:rsid w:val="00955CD6"/>
    <w:rsid w:val="00955EEA"/>
    <w:rsid w:val="00955FAD"/>
    <w:rsid w:val="009601C1"/>
    <w:rsid w:val="0096062C"/>
    <w:rsid w:val="00960E42"/>
    <w:rsid w:val="00961B63"/>
    <w:rsid w:val="009622A8"/>
    <w:rsid w:val="009625BE"/>
    <w:rsid w:val="00962A0C"/>
    <w:rsid w:val="00962C6E"/>
    <w:rsid w:val="00963310"/>
    <w:rsid w:val="00965745"/>
    <w:rsid w:val="00965AEA"/>
    <w:rsid w:val="009667F5"/>
    <w:rsid w:val="00966AA3"/>
    <w:rsid w:val="00967A59"/>
    <w:rsid w:val="00967CCE"/>
    <w:rsid w:val="0097030E"/>
    <w:rsid w:val="00970CBA"/>
    <w:rsid w:val="00970EFC"/>
    <w:rsid w:val="00971595"/>
    <w:rsid w:val="00972896"/>
    <w:rsid w:val="00972BCF"/>
    <w:rsid w:val="009730D8"/>
    <w:rsid w:val="009732C2"/>
    <w:rsid w:val="00973AD0"/>
    <w:rsid w:val="00973B0E"/>
    <w:rsid w:val="009740D1"/>
    <w:rsid w:val="00974935"/>
    <w:rsid w:val="0097497A"/>
    <w:rsid w:val="00974B96"/>
    <w:rsid w:val="00974DBC"/>
    <w:rsid w:val="00974FA5"/>
    <w:rsid w:val="009755B0"/>
    <w:rsid w:val="00975B05"/>
    <w:rsid w:val="00975F8B"/>
    <w:rsid w:val="00976C58"/>
    <w:rsid w:val="00976CC0"/>
    <w:rsid w:val="00976F76"/>
    <w:rsid w:val="00977E14"/>
    <w:rsid w:val="0098056A"/>
    <w:rsid w:val="00980860"/>
    <w:rsid w:val="00980885"/>
    <w:rsid w:val="00980ADF"/>
    <w:rsid w:val="00981417"/>
    <w:rsid w:val="00981452"/>
    <w:rsid w:val="00981826"/>
    <w:rsid w:val="00981904"/>
    <w:rsid w:val="00981A86"/>
    <w:rsid w:val="00981C0A"/>
    <w:rsid w:val="00982AD5"/>
    <w:rsid w:val="00982E5A"/>
    <w:rsid w:val="00983496"/>
    <w:rsid w:val="0098426C"/>
    <w:rsid w:val="00984862"/>
    <w:rsid w:val="00984AD9"/>
    <w:rsid w:val="00984BE3"/>
    <w:rsid w:val="00984F9B"/>
    <w:rsid w:val="00985366"/>
    <w:rsid w:val="00986475"/>
    <w:rsid w:val="009866A5"/>
    <w:rsid w:val="00986A13"/>
    <w:rsid w:val="00986FE8"/>
    <w:rsid w:val="009870DC"/>
    <w:rsid w:val="00990759"/>
    <w:rsid w:val="009916E1"/>
    <w:rsid w:val="009919F8"/>
    <w:rsid w:val="0099261A"/>
    <w:rsid w:val="009931F5"/>
    <w:rsid w:val="0099349F"/>
    <w:rsid w:val="00993C97"/>
    <w:rsid w:val="0099411D"/>
    <w:rsid w:val="009952E4"/>
    <w:rsid w:val="00995BB3"/>
    <w:rsid w:val="009960E8"/>
    <w:rsid w:val="00996824"/>
    <w:rsid w:val="00997295"/>
    <w:rsid w:val="00997873"/>
    <w:rsid w:val="00997C52"/>
    <w:rsid w:val="009A0721"/>
    <w:rsid w:val="009A0984"/>
    <w:rsid w:val="009A0C6E"/>
    <w:rsid w:val="009A1007"/>
    <w:rsid w:val="009A1258"/>
    <w:rsid w:val="009A19CC"/>
    <w:rsid w:val="009A1B2F"/>
    <w:rsid w:val="009A1B65"/>
    <w:rsid w:val="009A1BA4"/>
    <w:rsid w:val="009A1C8B"/>
    <w:rsid w:val="009A1FC0"/>
    <w:rsid w:val="009A2F2B"/>
    <w:rsid w:val="009A31D7"/>
    <w:rsid w:val="009A34C5"/>
    <w:rsid w:val="009A3EFE"/>
    <w:rsid w:val="009A3F21"/>
    <w:rsid w:val="009A4425"/>
    <w:rsid w:val="009A4898"/>
    <w:rsid w:val="009A4FC3"/>
    <w:rsid w:val="009A563D"/>
    <w:rsid w:val="009A571C"/>
    <w:rsid w:val="009A600A"/>
    <w:rsid w:val="009A63C6"/>
    <w:rsid w:val="009B07B1"/>
    <w:rsid w:val="009B07C1"/>
    <w:rsid w:val="009B188F"/>
    <w:rsid w:val="009B1EFE"/>
    <w:rsid w:val="009B1F85"/>
    <w:rsid w:val="009B22A8"/>
    <w:rsid w:val="009B37CE"/>
    <w:rsid w:val="009B37EF"/>
    <w:rsid w:val="009B39BA"/>
    <w:rsid w:val="009B3A14"/>
    <w:rsid w:val="009B3EFF"/>
    <w:rsid w:val="009B51AF"/>
    <w:rsid w:val="009B6265"/>
    <w:rsid w:val="009B6942"/>
    <w:rsid w:val="009B6BB8"/>
    <w:rsid w:val="009B75EA"/>
    <w:rsid w:val="009C0284"/>
    <w:rsid w:val="009C07E9"/>
    <w:rsid w:val="009C0F7D"/>
    <w:rsid w:val="009C1616"/>
    <w:rsid w:val="009C2C62"/>
    <w:rsid w:val="009C2FF7"/>
    <w:rsid w:val="009C313F"/>
    <w:rsid w:val="009C384C"/>
    <w:rsid w:val="009C4A0F"/>
    <w:rsid w:val="009C5B2D"/>
    <w:rsid w:val="009C5F16"/>
    <w:rsid w:val="009C6048"/>
    <w:rsid w:val="009C66F3"/>
    <w:rsid w:val="009C6B2D"/>
    <w:rsid w:val="009C6C91"/>
    <w:rsid w:val="009C6F6B"/>
    <w:rsid w:val="009C70CA"/>
    <w:rsid w:val="009C71B6"/>
    <w:rsid w:val="009C7AD6"/>
    <w:rsid w:val="009D06B0"/>
    <w:rsid w:val="009D0B95"/>
    <w:rsid w:val="009D0CBF"/>
    <w:rsid w:val="009D0DC9"/>
    <w:rsid w:val="009D0ED4"/>
    <w:rsid w:val="009D0F6C"/>
    <w:rsid w:val="009D1991"/>
    <w:rsid w:val="009D258E"/>
    <w:rsid w:val="009D2D65"/>
    <w:rsid w:val="009D3563"/>
    <w:rsid w:val="009D36F1"/>
    <w:rsid w:val="009D37F7"/>
    <w:rsid w:val="009D3E88"/>
    <w:rsid w:val="009D3F35"/>
    <w:rsid w:val="009D4422"/>
    <w:rsid w:val="009D59E8"/>
    <w:rsid w:val="009D6706"/>
    <w:rsid w:val="009D7F68"/>
    <w:rsid w:val="009E08F9"/>
    <w:rsid w:val="009E0B72"/>
    <w:rsid w:val="009E12C1"/>
    <w:rsid w:val="009E1BDF"/>
    <w:rsid w:val="009E2DB4"/>
    <w:rsid w:val="009E2E21"/>
    <w:rsid w:val="009E2E24"/>
    <w:rsid w:val="009E36A2"/>
    <w:rsid w:val="009E52F6"/>
    <w:rsid w:val="009E5427"/>
    <w:rsid w:val="009E55DD"/>
    <w:rsid w:val="009E5C46"/>
    <w:rsid w:val="009E5CE5"/>
    <w:rsid w:val="009E6042"/>
    <w:rsid w:val="009E6AC2"/>
    <w:rsid w:val="009E6D38"/>
    <w:rsid w:val="009E6EA8"/>
    <w:rsid w:val="009E7132"/>
    <w:rsid w:val="009E7A9D"/>
    <w:rsid w:val="009E7CC2"/>
    <w:rsid w:val="009E7D4A"/>
    <w:rsid w:val="009F074A"/>
    <w:rsid w:val="009F0F56"/>
    <w:rsid w:val="009F13D3"/>
    <w:rsid w:val="009F171A"/>
    <w:rsid w:val="009F1FDF"/>
    <w:rsid w:val="009F22B4"/>
    <w:rsid w:val="009F2D1C"/>
    <w:rsid w:val="009F2D9B"/>
    <w:rsid w:val="009F2E69"/>
    <w:rsid w:val="009F36CB"/>
    <w:rsid w:val="009F3AAD"/>
    <w:rsid w:val="009F414D"/>
    <w:rsid w:val="009F46CC"/>
    <w:rsid w:val="009F48C1"/>
    <w:rsid w:val="009F4D5A"/>
    <w:rsid w:val="009F5377"/>
    <w:rsid w:val="009F5C35"/>
    <w:rsid w:val="009F6ECC"/>
    <w:rsid w:val="009F7A8E"/>
    <w:rsid w:val="00A0095E"/>
    <w:rsid w:val="00A00B8F"/>
    <w:rsid w:val="00A01195"/>
    <w:rsid w:val="00A020BE"/>
    <w:rsid w:val="00A021E9"/>
    <w:rsid w:val="00A026F8"/>
    <w:rsid w:val="00A02816"/>
    <w:rsid w:val="00A02B69"/>
    <w:rsid w:val="00A02BC9"/>
    <w:rsid w:val="00A030F4"/>
    <w:rsid w:val="00A0399A"/>
    <w:rsid w:val="00A03F4B"/>
    <w:rsid w:val="00A0492A"/>
    <w:rsid w:val="00A04A3A"/>
    <w:rsid w:val="00A05BE8"/>
    <w:rsid w:val="00A05F5F"/>
    <w:rsid w:val="00A107A6"/>
    <w:rsid w:val="00A121F1"/>
    <w:rsid w:val="00A12837"/>
    <w:rsid w:val="00A12FD3"/>
    <w:rsid w:val="00A13551"/>
    <w:rsid w:val="00A136D7"/>
    <w:rsid w:val="00A13C2F"/>
    <w:rsid w:val="00A13CAB"/>
    <w:rsid w:val="00A14065"/>
    <w:rsid w:val="00A14EBB"/>
    <w:rsid w:val="00A15FC1"/>
    <w:rsid w:val="00A16366"/>
    <w:rsid w:val="00A16CFB"/>
    <w:rsid w:val="00A20004"/>
    <w:rsid w:val="00A205FA"/>
    <w:rsid w:val="00A2068B"/>
    <w:rsid w:val="00A2153F"/>
    <w:rsid w:val="00A2180A"/>
    <w:rsid w:val="00A228A9"/>
    <w:rsid w:val="00A22D0B"/>
    <w:rsid w:val="00A22E48"/>
    <w:rsid w:val="00A235E9"/>
    <w:rsid w:val="00A23963"/>
    <w:rsid w:val="00A239CD"/>
    <w:rsid w:val="00A24183"/>
    <w:rsid w:val="00A24EEF"/>
    <w:rsid w:val="00A25569"/>
    <w:rsid w:val="00A270BE"/>
    <w:rsid w:val="00A272DF"/>
    <w:rsid w:val="00A27317"/>
    <w:rsid w:val="00A27462"/>
    <w:rsid w:val="00A27A88"/>
    <w:rsid w:val="00A307A4"/>
    <w:rsid w:val="00A313B6"/>
    <w:rsid w:val="00A31A88"/>
    <w:rsid w:val="00A31D10"/>
    <w:rsid w:val="00A3233E"/>
    <w:rsid w:val="00A32A97"/>
    <w:rsid w:val="00A33996"/>
    <w:rsid w:val="00A34FBB"/>
    <w:rsid w:val="00A3707C"/>
    <w:rsid w:val="00A406E3"/>
    <w:rsid w:val="00A41319"/>
    <w:rsid w:val="00A41496"/>
    <w:rsid w:val="00A41528"/>
    <w:rsid w:val="00A421FA"/>
    <w:rsid w:val="00A42C19"/>
    <w:rsid w:val="00A42D8E"/>
    <w:rsid w:val="00A4342B"/>
    <w:rsid w:val="00A43795"/>
    <w:rsid w:val="00A4380A"/>
    <w:rsid w:val="00A438A1"/>
    <w:rsid w:val="00A43E91"/>
    <w:rsid w:val="00A443CC"/>
    <w:rsid w:val="00A449FC"/>
    <w:rsid w:val="00A454E6"/>
    <w:rsid w:val="00A456E1"/>
    <w:rsid w:val="00A460A7"/>
    <w:rsid w:val="00A464CC"/>
    <w:rsid w:val="00A47332"/>
    <w:rsid w:val="00A47975"/>
    <w:rsid w:val="00A47A17"/>
    <w:rsid w:val="00A47B30"/>
    <w:rsid w:val="00A509B8"/>
    <w:rsid w:val="00A50B2C"/>
    <w:rsid w:val="00A515A5"/>
    <w:rsid w:val="00A51806"/>
    <w:rsid w:val="00A51958"/>
    <w:rsid w:val="00A51C43"/>
    <w:rsid w:val="00A51F21"/>
    <w:rsid w:val="00A52A9A"/>
    <w:rsid w:val="00A5364B"/>
    <w:rsid w:val="00A54E35"/>
    <w:rsid w:val="00A55378"/>
    <w:rsid w:val="00A5573F"/>
    <w:rsid w:val="00A56018"/>
    <w:rsid w:val="00A56601"/>
    <w:rsid w:val="00A56F3A"/>
    <w:rsid w:val="00A5748C"/>
    <w:rsid w:val="00A578DA"/>
    <w:rsid w:val="00A57B43"/>
    <w:rsid w:val="00A57C50"/>
    <w:rsid w:val="00A60269"/>
    <w:rsid w:val="00A60494"/>
    <w:rsid w:val="00A6051D"/>
    <w:rsid w:val="00A606B0"/>
    <w:rsid w:val="00A61305"/>
    <w:rsid w:val="00A622C3"/>
    <w:rsid w:val="00A62643"/>
    <w:rsid w:val="00A628CB"/>
    <w:rsid w:val="00A62EDD"/>
    <w:rsid w:val="00A63565"/>
    <w:rsid w:val="00A649F8"/>
    <w:rsid w:val="00A65636"/>
    <w:rsid w:val="00A65D7E"/>
    <w:rsid w:val="00A663E8"/>
    <w:rsid w:val="00A6649B"/>
    <w:rsid w:val="00A67627"/>
    <w:rsid w:val="00A678C4"/>
    <w:rsid w:val="00A706C1"/>
    <w:rsid w:val="00A70708"/>
    <w:rsid w:val="00A70BAA"/>
    <w:rsid w:val="00A70F12"/>
    <w:rsid w:val="00A710C1"/>
    <w:rsid w:val="00A7189A"/>
    <w:rsid w:val="00A71DD1"/>
    <w:rsid w:val="00A72FDF"/>
    <w:rsid w:val="00A732EC"/>
    <w:rsid w:val="00A748D3"/>
    <w:rsid w:val="00A74F98"/>
    <w:rsid w:val="00A75415"/>
    <w:rsid w:val="00A75656"/>
    <w:rsid w:val="00A75727"/>
    <w:rsid w:val="00A75901"/>
    <w:rsid w:val="00A75EC1"/>
    <w:rsid w:val="00A7737A"/>
    <w:rsid w:val="00A7748D"/>
    <w:rsid w:val="00A7777A"/>
    <w:rsid w:val="00A778DD"/>
    <w:rsid w:val="00A77C2F"/>
    <w:rsid w:val="00A813D0"/>
    <w:rsid w:val="00A813E1"/>
    <w:rsid w:val="00A81BD7"/>
    <w:rsid w:val="00A81FDC"/>
    <w:rsid w:val="00A820FE"/>
    <w:rsid w:val="00A8253B"/>
    <w:rsid w:val="00A8264E"/>
    <w:rsid w:val="00A839FE"/>
    <w:rsid w:val="00A86004"/>
    <w:rsid w:val="00A8631D"/>
    <w:rsid w:val="00A866AA"/>
    <w:rsid w:val="00A86F12"/>
    <w:rsid w:val="00A8742F"/>
    <w:rsid w:val="00A903BA"/>
    <w:rsid w:val="00A905CC"/>
    <w:rsid w:val="00A908C1"/>
    <w:rsid w:val="00A91DD2"/>
    <w:rsid w:val="00A92156"/>
    <w:rsid w:val="00A928F5"/>
    <w:rsid w:val="00A92D26"/>
    <w:rsid w:val="00A92D8A"/>
    <w:rsid w:val="00A9321D"/>
    <w:rsid w:val="00A935D6"/>
    <w:rsid w:val="00A93F12"/>
    <w:rsid w:val="00A94182"/>
    <w:rsid w:val="00A9510D"/>
    <w:rsid w:val="00A965AB"/>
    <w:rsid w:val="00A96654"/>
    <w:rsid w:val="00A970C8"/>
    <w:rsid w:val="00A97166"/>
    <w:rsid w:val="00A97D07"/>
    <w:rsid w:val="00A97E39"/>
    <w:rsid w:val="00A97E96"/>
    <w:rsid w:val="00AA054B"/>
    <w:rsid w:val="00AA05C4"/>
    <w:rsid w:val="00AA08E2"/>
    <w:rsid w:val="00AA0DBF"/>
    <w:rsid w:val="00AA1E04"/>
    <w:rsid w:val="00AA246E"/>
    <w:rsid w:val="00AA5128"/>
    <w:rsid w:val="00AA5A65"/>
    <w:rsid w:val="00AA5BDB"/>
    <w:rsid w:val="00AA6039"/>
    <w:rsid w:val="00AA60DE"/>
    <w:rsid w:val="00AA618E"/>
    <w:rsid w:val="00AA63A0"/>
    <w:rsid w:val="00AA63F2"/>
    <w:rsid w:val="00AA6609"/>
    <w:rsid w:val="00AA6674"/>
    <w:rsid w:val="00AA6F52"/>
    <w:rsid w:val="00AA7A4B"/>
    <w:rsid w:val="00AA7DE1"/>
    <w:rsid w:val="00AA7DE7"/>
    <w:rsid w:val="00AA7FCA"/>
    <w:rsid w:val="00AB0509"/>
    <w:rsid w:val="00AB097A"/>
    <w:rsid w:val="00AB0AD3"/>
    <w:rsid w:val="00AB1210"/>
    <w:rsid w:val="00AB1540"/>
    <w:rsid w:val="00AB1EDA"/>
    <w:rsid w:val="00AB2F12"/>
    <w:rsid w:val="00AB2F9A"/>
    <w:rsid w:val="00AB3132"/>
    <w:rsid w:val="00AB3876"/>
    <w:rsid w:val="00AB3CDD"/>
    <w:rsid w:val="00AB406F"/>
    <w:rsid w:val="00AB491D"/>
    <w:rsid w:val="00AB4A1D"/>
    <w:rsid w:val="00AB4D8F"/>
    <w:rsid w:val="00AB50EF"/>
    <w:rsid w:val="00AB53A7"/>
    <w:rsid w:val="00AB57B0"/>
    <w:rsid w:val="00AB58B8"/>
    <w:rsid w:val="00AB6080"/>
    <w:rsid w:val="00AB63E6"/>
    <w:rsid w:val="00AB67E8"/>
    <w:rsid w:val="00AB6CF8"/>
    <w:rsid w:val="00AB6FA0"/>
    <w:rsid w:val="00AB7BC5"/>
    <w:rsid w:val="00AC1C5B"/>
    <w:rsid w:val="00AC1ED7"/>
    <w:rsid w:val="00AC1FB9"/>
    <w:rsid w:val="00AC2332"/>
    <w:rsid w:val="00AC2E4F"/>
    <w:rsid w:val="00AC3815"/>
    <w:rsid w:val="00AC41CD"/>
    <w:rsid w:val="00AC46AC"/>
    <w:rsid w:val="00AC4879"/>
    <w:rsid w:val="00AC4B83"/>
    <w:rsid w:val="00AC5519"/>
    <w:rsid w:val="00AC56B9"/>
    <w:rsid w:val="00AC5F89"/>
    <w:rsid w:val="00AC6912"/>
    <w:rsid w:val="00AC73BF"/>
    <w:rsid w:val="00AC788E"/>
    <w:rsid w:val="00AC7B20"/>
    <w:rsid w:val="00AD1A97"/>
    <w:rsid w:val="00AD1FBA"/>
    <w:rsid w:val="00AD3A49"/>
    <w:rsid w:val="00AD4B0D"/>
    <w:rsid w:val="00AD4ED2"/>
    <w:rsid w:val="00AD5AC9"/>
    <w:rsid w:val="00AD61F7"/>
    <w:rsid w:val="00AD62C6"/>
    <w:rsid w:val="00AD681E"/>
    <w:rsid w:val="00AD6FB3"/>
    <w:rsid w:val="00AD796B"/>
    <w:rsid w:val="00AE0097"/>
    <w:rsid w:val="00AE01F3"/>
    <w:rsid w:val="00AE046A"/>
    <w:rsid w:val="00AE05C3"/>
    <w:rsid w:val="00AE089C"/>
    <w:rsid w:val="00AE1117"/>
    <w:rsid w:val="00AE1CCE"/>
    <w:rsid w:val="00AE1EBB"/>
    <w:rsid w:val="00AE1F03"/>
    <w:rsid w:val="00AE267B"/>
    <w:rsid w:val="00AE28C0"/>
    <w:rsid w:val="00AE2CF1"/>
    <w:rsid w:val="00AE2EFB"/>
    <w:rsid w:val="00AE2F42"/>
    <w:rsid w:val="00AE31D8"/>
    <w:rsid w:val="00AE330C"/>
    <w:rsid w:val="00AE3CCB"/>
    <w:rsid w:val="00AE4366"/>
    <w:rsid w:val="00AE45F5"/>
    <w:rsid w:val="00AE4AA9"/>
    <w:rsid w:val="00AE4D25"/>
    <w:rsid w:val="00AE5873"/>
    <w:rsid w:val="00AE58E3"/>
    <w:rsid w:val="00AE6AD5"/>
    <w:rsid w:val="00AE6BD7"/>
    <w:rsid w:val="00AE7FD1"/>
    <w:rsid w:val="00AF07AA"/>
    <w:rsid w:val="00AF0B3F"/>
    <w:rsid w:val="00AF0FDE"/>
    <w:rsid w:val="00AF16CE"/>
    <w:rsid w:val="00AF28E3"/>
    <w:rsid w:val="00AF308F"/>
    <w:rsid w:val="00AF367E"/>
    <w:rsid w:val="00AF3A52"/>
    <w:rsid w:val="00AF45E0"/>
    <w:rsid w:val="00AF5137"/>
    <w:rsid w:val="00AF6601"/>
    <w:rsid w:val="00AF780D"/>
    <w:rsid w:val="00AF7FD7"/>
    <w:rsid w:val="00B00331"/>
    <w:rsid w:val="00B0043D"/>
    <w:rsid w:val="00B00908"/>
    <w:rsid w:val="00B00E9B"/>
    <w:rsid w:val="00B01672"/>
    <w:rsid w:val="00B01800"/>
    <w:rsid w:val="00B02012"/>
    <w:rsid w:val="00B024AA"/>
    <w:rsid w:val="00B0257D"/>
    <w:rsid w:val="00B02804"/>
    <w:rsid w:val="00B028E1"/>
    <w:rsid w:val="00B02902"/>
    <w:rsid w:val="00B02C2C"/>
    <w:rsid w:val="00B03ABB"/>
    <w:rsid w:val="00B0426C"/>
    <w:rsid w:val="00B0442C"/>
    <w:rsid w:val="00B04BE2"/>
    <w:rsid w:val="00B057FD"/>
    <w:rsid w:val="00B05B4F"/>
    <w:rsid w:val="00B05D23"/>
    <w:rsid w:val="00B05D25"/>
    <w:rsid w:val="00B05FEB"/>
    <w:rsid w:val="00B06057"/>
    <w:rsid w:val="00B064A0"/>
    <w:rsid w:val="00B06B83"/>
    <w:rsid w:val="00B0790C"/>
    <w:rsid w:val="00B10363"/>
    <w:rsid w:val="00B10FC1"/>
    <w:rsid w:val="00B11257"/>
    <w:rsid w:val="00B11AC2"/>
    <w:rsid w:val="00B11D00"/>
    <w:rsid w:val="00B11D2D"/>
    <w:rsid w:val="00B11EBE"/>
    <w:rsid w:val="00B12137"/>
    <w:rsid w:val="00B12738"/>
    <w:rsid w:val="00B12D14"/>
    <w:rsid w:val="00B13587"/>
    <w:rsid w:val="00B141AE"/>
    <w:rsid w:val="00B144D4"/>
    <w:rsid w:val="00B145F3"/>
    <w:rsid w:val="00B14691"/>
    <w:rsid w:val="00B15CEC"/>
    <w:rsid w:val="00B15DE6"/>
    <w:rsid w:val="00B16CDB"/>
    <w:rsid w:val="00B17162"/>
    <w:rsid w:val="00B17439"/>
    <w:rsid w:val="00B17EBD"/>
    <w:rsid w:val="00B20444"/>
    <w:rsid w:val="00B20798"/>
    <w:rsid w:val="00B20F40"/>
    <w:rsid w:val="00B21527"/>
    <w:rsid w:val="00B21B7C"/>
    <w:rsid w:val="00B21BBB"/>
    <w:rsid w:val="00B22CE4"/>
    <w:rsid w:val="00B23C24"/>
    <w:rsid w:val="00B23C50"/>
    <w:rsid w:val="00B23F62"/>
    <w:rsid w:val="00B2415E"/>
    <w:rsid w:val="00B24506"/>
    <w:rsid w:val="00B24CBE"/>
    <w:rsid w:val="00B255FB"/>
    <w:rsid w:val="00B2569A"/>
    <w:rsid w:val="00B26504"/>
    <w:rsid w:val="00B26835"/>
    <w:rsid w:val="00B26A9F"/>
    <w:rsid w:val="00B27293"/>
    <w:rsid w:val="00B27F49"/>
    <w:rsid w:val="00B30F15"/>
    <w:rsid w:val="00B31DC1"/>
    <w:rsid w:val="00B321DA"/>
    <w:rsid w:val="00B3367F"/>
    <w:rsid w:val="00B33C2F"/>
    <w:rsid w:val="00B33C55"/>
    <w:rsid w:val="00B340FD"/>
    <w:rsid w:val="00B34509"/>
    <w:rsid w:val="00B3477A"/>
    <w:rsid w:val="00B34F59"/>
    <w:rsid w:val="00B358CA"/>
    <w:rsid w:val="00B35A41"/>
    <w:rsid w:val="00B367EE"/>
    <w:rsid w:val="00B36A13"/>
    <w:rsid w:val="00B36CFD"/>
    <w:rsid w:val="00B379D9"/>
    <w:rsid w:val="00B37EBD"/>
    <w:rsid w:val="00B40196"/>
    <w:rsid w:val="00B4107D"/>
    <w:rsid w:val="00B41970"/>
    <w:rsid w:val="00B428BD"/>
    <w:rsid w:val="00B4477A"/>
    <w:rsid w:val="00B451C6"/>
    <w:rsid w:val="00B45810"/>
    <w:rsid w:val="00B464E5"/>
    <w:rsid w:val="00B46547"/>
    <w:rsid w:val="00B47DCA"/>
    <w:rsid w:val="00B50707"/>
    <w:rsid w:val="00B508ED"/>
    <w:rsid w:val="00B518E1"/>
    <w:rsid w:val="00B51A6F"/>
    <w:rsid w:val="00B5273C"/>
    <w:rsid w:val="00B527FB"/>
    <w:rsid w:val="00B5295F"/>
    <w:rsid w:val="00B52B81"/>
    <w:rsid w:val="00B52E7F"/>
    <w:rsid w:val="00B533F5"/>
    <w:rsid w:val="00B53C06"/>
    <w:rsid w:val="00B56BF6"/>
    <w:rsid w:val="00B57132"/>
    <w:rsid w:val="00B57641"/>
    <w:rsid w:val="00B60D68"/>
    <w:rsid w:val="00B60DED"/>
    <w:rsid w:val="00B6151F"/>
    <w:rsid w:val="00B6168F"/>
    <w:rsid w:val="00B617DD"/>
    <w:rsid w:val="00B6217E"/>
    <w:rsid w:val="00B62DF8"/>
    <w:rsid w:val="00B63138"/>
    <w:rsid w:val="00B63801"/>
    <w:rsid w:val="00B63E63"/>
    <w:rsid w:val="00B63F94"/>
    <w:rsid w:val="00B642EF"/>
    <w:rsid w:val="00B64747"/>
    <w:rsid w:val="00B64867"/>
    <w:rsid w:val="00B64922"/>
    <w:rsid w:val="00B64F6C"/>
    <w:rsid w:val="00B653AC"/>
    <w:rsid w:val="00B65410"/>
    <w:rsid w:val="00B66D5A"/>
    <w:rsid w:val="00B6727F"/>
    <w:rsid w:val="00B67804"/>
    <w:rsid w:val="00B678D0"/>
    <w:rsid w:val="00B67BF6"/>
    <w:rsid w:val="00B7016C"/>
    <w:rsid w:val="00B709A9"/>
    <w:rsid w:val="00B70D3D"/>
    <w:rsid w:val="00B711D8"/>
    <w:rsid w:val="00B717F1"/>
    <w:rsid w:val="00B71FED"/>
    <w:rsid w:val="00B7217E"/>
    <w:rsid w:val="00B7233A"/>
    <w:rsid w:val="00B725BB"/>
    <w:rsid w:val="00B73001"/>
    <w:rsid w:val="00B73A3D"/>
    <w:rsid w:val="00B7444A"/>
    <w:rsid w:val="00B74C90"/>
    <w:rsid w:val="00B74F5A"/>
    <w:rsid w:val="00B7564C"/>
    <w:rsid w:val="00B756FF"/>
    <w:rsid w:val="00B7596D"/>
    <w:rsid w:val="00B75DA5"/>
    <w:rsid w:val="00B764C7"/>
    <w:rsid w:val="00B76802"/>
    <w:rsid w:val="00B76B14"/>
    <w:rsid w:val="00B806CD"/>
    <w:rsid w:val="00B8070D"/>
    <w:rsid w:val="00B81F08"/>
    <w:rsid w:val="00B822B5"/>
    <w:rsid w:val="00B83189"/>
    <w:rsid w:val="00B8355A"/>
    <w:rsid w:val="00B8365F"/>
    <w:rsid w:val="00B843F3"/>
    <w:rsid w:val="00B8471B"/>
    <w:rsid w:val="00B8533F"/>
    <w:rsid w:val="00B857E8"/>
    <w:rsid w:val="00B859F2"/>
    <w:rsid w:val="00B862DC"/>
    <w:rsid w:val="00B867CF"/>
    <w:rsid w:val="00B86DFE"/>
    <w:rsid w:val="00B87244"/>
    <w:rsid w:val="00B902E4"/>
    <w:rsid w:val="00B90DCA"/>
    <w:rsid w:val="00B90FD4"/>
    <w:rsid w:val="00B910AF"/>
    <w:rsid w:val="00B912C2"/>
    <w:rsid w:val="00B9134A"/>
    <w:rsid w:val="00B91DB8"/>
    <w:rsid w:val="00B922D5"/>
    <w:rsid w:val="00B92A20"/>
    <w:rsid w:val="00B93015"/>
    <w:rsid w:val="00B933BE"/>
    <w:rsid w:val="00B9378F"/>
    <w:rsid w:val="00B9380C"/>
    <w:rsid w:val="00B93D73"/>
    <w:rsid w:val="00B94638"/>
    <w:rsid w:val="00B947CA"/>
    <w:rsid w:val="00B95863"/>
    <w:rsid w:val="00B95E90"/>
    <w:rsid w:val="00B96055"/>
    <w:rsid w:val="00B966A1"/>
    <w:rsid w:val="00BA026D"/>
    <w:rsid w:val="00BA0A04"/>
    <w:rsid w:val="00BA1069"/>
    <w:rsid w:val="00BA126A"/>
    <w:rsid w:val="00BA1463"/>
    <w:rsid w:val="00BA1A31"/>
    <w:rsid w:val="00BA292A"/>
    <w:rsid w:val="00BA3C2F"/>
    <w:rsid w:val="00BA42D0"/>
    <w:rsid w:val="00BA45FE"/>
    <w:rsid w:val="00BA47FE"/>
    <w:rsid w:val="00BA4AFA"/>
    <w:rsid w:val="00BA4DD1"/>
    <w:rsid w:val="00BA50D4"/>
    <w:rsid w:val="00BA519D"/>
    <w:rsid w:val="00BA5A73"/>
    <w:rsid w:val="00BA704C"/>
    <w:rsid w:val="00BB0933"/>
    <w:rsid w:val="00BB0B4B"/>
    <w:rsid w:val="00BB1BD9"/>
    <w:rsid w:val="00BB2690"/>
    <w:rsid w:val="00BB3164"/>
    <w:rsid w:val="00BB31BF"/>
    <w:rsid w:val="00BB4030"/>
    <w:rsid w:val="00BB5286"/>
    <w:rsid w:val="00BB55D9"/>
    <w:rsid w:val="00BB6754"/>
    <w:rsid w:val="00BB79F0"/>
    <w:rsid w:val="00BB7C2F"/>
    <w:rsid w:val="00BB7DB8"/>
    <w:rsid w:val="00BB7F74"/>
    <w:rsid w:val="00BC095B"/>
    <w:rsid w:val="00BC0A09"/>
    <w:rsid w:val="00BC19AC"/>
    <w:rsid w:val="00BC26EA"/>
    <w:rsid w:val="00BC2754"/>
    <w:rsid w:val="00BC3343"/>
    <w:rsid w:val="00BC38D9"/>
    <w:rsid w:val="00BC3D79"/>
    <w:rsid w:val="00BC3F50"/>
    <w:rsid w:val="00BC4488"/>
    <w:rsid w:val="00BC4A21"/>
    <w:rsid w:val="00BC4F09"/>
    <w:rsid w:val="00BC5107"/>
    <w:rsid w:val="00BC5878"/>
    <w:rsid w:val="00BC58EF"/>
    <w:rsid w:val="00BC5B33"/>
    <w:rsid w:val="00BC5B92"/>
    <w:rsid w:val="00BC613D"/>
    <w:rsid w:val="00BC7188"/>
    <w:rsid w:val="00BC7289"/>
    <w:rsid w:val="00BC79FB"/>
    <w:rsid w:val="00BD04FA"/>
    <w:rsid w:val="00BD0EF6"/>
    <w:rsid w:val="00BD18D2"/>
    <w:rsid w:val="00BD2C7B"/>
    <w:rsid w:val="00BD3226"/>
    <w:rsid w:val="00BD49E2"/>
    <w:rsid w:val="00BD4CE2"/>
    <w:rsid w:val="00BD58E7"/>
    <w:rsid w:val="00BD5BF4"/>
    <w:rsid w:val="00BD6549"/>
    <w:rsid w:val="00BD6A2B"/>
    <w:rsid w:val="00BD6AB1"/>
    <w:rsid w:val="00BD76AF"/>
    <w:rsid w:val="00BD7DAC"/>
    <w:rsid w:val="00BE05C7"/>
    <w:rsid w:val="00BE0851"/>
    <w:rsid w:val="00BE08C4"/>
    <w:rsid w:val="00BE0A3E"/>
    <w:rsid w:val="00BE0F3A"/>
    <w:rsid w:val="00BE144E"/>
    <w:rsid w:val="00BE1566"/>
    <w:rsid w:val="00BE1663"/>
    <w:rsid w:val="00BE1D2E"/>
    <w:rsid w:val="00BE2A2E"/>
    <w:rsid w:val="00BE309F"/>
    <w:rsid w:val="00BE34AF"/>
    <w:rsid w:val="00BE416B"/>
    <w:rsid w:val="00BE4771"/>
    <w:rsid w:val="00BE4835"/>
    <w:rsid w:val="00BE4857"/>
    <w:rsid w:val="00BE4BB1"/>
    <w:rsid w:val="00BE50F3"/>
    <w:rsid w:val="00BE62DF"/>
    <w:rsid w:val="00BE6423"/>
    <w:rsid w:val="00BE7E09"/>
    <w:rsid w:val="00BF1511"/>
    <w:rsid w:val="00BF1B13"/>
    <w:rsid w:val="00BF1C3B"/>
    <w:rsid w:val="00BF203A"/>
    <w:rsid w:val="00BF25C7"/>
    <w:rsid w:val="00BF2995"/>
    <w:rsid w:val="00BF2A45"/>
    <w:rsid w:val="00BF355D"/>
    <w:rsid w:val="00BF38D3"/>
    <w:rsid w:val="00BF45B0"/>
    <w:rsid w:val="00BF46A7"/>
    <w:rsid w:val="00BF4A5F"/>
    <w:rsid w:val="00BF4B73"/>
    <w:rsid w:val="00BF565B"/>
    <w:rsid w:val="00BF5F78"/>
    <w:rsid w:val="00BF648F"/>
    <w:rsid w:val="00BF7109"/>
    <w:rsid w:val="00BF7E4B"/>
    <w:rsid w:val="00C00721"/>
    <w:rsid w:val="00C01BCF"/>
    <w:rsid w:val="00C02094"/>
    <w:rsid w:val="00C020D7"/>
    <w:rsid w:val="00C028E7"/>
    <w:rsid w:val="00C02A1A"/>
    <w:rsid w:val="00C0301A"/>
    <w:rsid w:val="00C03DE0"/>
    <w:rsid w:val="00C0405A"/>
    <w:rsid w:val="00C040DC"/>
    <w:rsid w:val="00C04218"/>
    <w:rsid w:val="00C047A2"/>
    <w:rsid w:val="00C050BA"/>
    <w:rsid w:val="00C0547A"/>
    <w:rsid w:val="00C05659"/>
    <w:rsid w:val="00C05744"/>
    <w:rsid w:val="00C05ACC"/>
    <w:rsid w:val="00C05B73"/>
    <w:rsid w:val="00C05CEE"/>
    <w:rsid w:val="00C06001"/>
    <w:rsid w:val="00C06185"/>
    <w:rsid w:val="00C0711D"/>
    <w:rsid w:val="00C0797A"/>
    <w:rsid w:val="00C07A2F"/>
    <w:rsid w:val="00C07AA2"/>
    <w:rsid w:val="00C101C1"/>
    <w:rsid w:val="00C10F74"/>
    <w:rsid w:val="00C110AE"/>
    <w:rsid w:val="00C11256"/>
    <w:rsid w:val="00C1134F"/>
    <w:rsid w:val="00C1140F"/>
    <w:rsid w:val="00C11EA8"/>
    <w:rsid w:val="00C12447"/>
    <w:rsid w:val="00C12836"/>
    <w:rsid w:val="00C12E6D"/>
    <w:rsid w:val="00C12F34"/>
    <w:rsid w:val="00C130D4"/>
    <w:rsid w:val="00C1353F"/>
    <w:rsid w:val="00C14602"/>
    <w:rsid w:val="00C146CE"/>
    <w:rsid w:val="00C148CE"/>
    <w:rsid w:val="00C15287"/>
    <w:rsid w:val="00C152CF"/>
    <w:rsid w:val="00C1533C"/>
    <w:rsid w:val="00C15956"/>
    <w:rsid w:val="00C15A18"/>
    <w:rsid w:val="00C1677D"/>
    <w:rsid w:val="00C17847"/>
    <w:rsid w:val="00C17AB2"/>
    <w:rsid w:val="00C20E6C"/>
    <w:rsid w:val="00C2137A"/>
    <w:rsid w:val="00C21899"/>
    <w:rsid w:val="00C229FC"/>
    <w:rsid w:val="00C22B67"/>
    <w:rsid w:val="00C23085"/>
    <w:rsid w:val="00C23C4E"/>
    <w:rsid w:val="00C245C7"/>
    <w:rsid w:val="00C24BCF"/>
    <w:rsid w:val="00C24F1A"/>
    <w:rsid w:val="00C25136"/>
    <w:rsid w:val="00C262A8"/>
    <w:rsid w:val="00C26501"/>
    <w:rsid w:val="00C26C57"/>
    <w:rsid w:val="00C27513"/>
    <w:rsid w:val="00C279F7"/>
    <w:rsid w:val="00C30C8F"/>
    <w:rsid w:val="00C3153D"/>
    <w:rsid w:val="00C317C8"/>
    <w:rsid w:val="00C327E2"/>
    <w:rsid w:val="00C33414"/>
    <w:rsid w:val="00C33849"/>
    <w:rsid w:val="00C33B79"/>
    <w:rsid w:val="00C353BD"/>
    <w:rsid w:val="00C3543C"/>
    <w:rsid w:val="00C358DB"/>
    <w:rsid w:val="00C35A76"/>
    <w:rsid w:val="00C3670F"/>
    <w:rsid w:val="00C3686F"/>
    <w:rsid w:val="00C36C2E"/>
    <w:rsid w:val="00C3797C"/>
    <w:rsid w:val="00C37A7D"/>
    <w:rsid w:val="00C402A9"/>
    <w:rsid w:val="00C4062D"/>
    <w:rsid w:val="00C40E40"/>
    <w:rsid w:val="00C416B5"/>
    <w:rsid w:val="00C41D74"/>
    <w:rsid w:val="00C42C9D"/>
    <w:rsid w:val="00C42CF1"/>
    <w:rsid w:val="00C42CF2"/>
    <w:rsid w:val="00C42EC2"/>
    <w:rsid w:val="00C43960"/>
    <w:rsid w:val="00C44124"/>
    <w:rsid w:val="00C44139"/>
    <w:rsid w:val="00C4446C"/>
    <w:rsid w:val="00C45485"/>
    <w:rsid w:val="00C4570F"/>
    <w:rsid w:val="00C45CAE"/>
    <w:rsid w:val="00C46F4C"/>
    <w:rsid w:val="00C47334"/>
    <w:rsid w:val="00C47969"/>
    <w:rsid w:val="00C50E46"/>
    <w:rsid w:val="00C524AD"/>
    <w:rsid w:val="00C525D0"/>
    <w:rsid w:val="00C52E41"/>
    <w:rsid w:val="00C533B5"/>
    <w:rsid w:val="00C5389A"/>
    <w:rsid w:val="00C53CC1"/>
    <w:rsid w:val="00C54536"/>
    <w:rsid w:val="00C54A08"/>
    <w:rsid w:val="00C56327"/>
    <w:rsid w:val="00C57292"/>
    <w:rsid w:val="00C5777F"/>
    <w:rsid w:val="00C57BB7"/>
    <w:rsid w:val="00C57EB2"/>
    <w:rsid w:val="00C57F7A"/>
    <w:rsid w:val="00C600C9"/>
    <w:rsid w:val="00C600E7"/>
    <w:rsid w:val="00C603FA"/>
    <w:rsid w:val="00C60659"/>
    <w:rsid w:val="00C60C40"/>
    <w:rsid w:val="00C60D2F"/>
    <w:rsid w:val="00C610EA"/>
    <w:rsid w:val="00C612D1"/>
    <w:rsid w:val="00C61468"/>
    <w:rsid w:val="00C61CF9"/>
    <w:rsid w:val="00C6202C"/>
    <w:rsid w:val="00C629C8"/>
    <w:rsid w:val="00C62DE3"/>
    <w:rsid w:val="00C6346A"/>
    <w:rsid w:val="00C63757"/>
    <w:rsid w:val="00C638B8"/>
    <w:rsid w:val="00C63A66"/>
    <w:rsid w:val="00C63A75"/>
    <w:rsid w:val="00C64975"/>
    <w:rsid w:val="00C6546C"/>
    <w:rsid w:val="00C65498"/>
    <w:rsid w:val="00C66047"/>
    <w:rsid w:val="00C661EA"/>
    <w:rsid w:val="00C668B9"/>
    <w:rsid w:val="00C66BA1"/>
    <w:rsid w:val="00C67149"/>
    <w:rsid w:val="00C67252"/>
    <w:rsid w:val="00C676E4"/>
    <w:rsid w:val="00C67761"/>
    <w:rsid w:val="00C70D6B"/>
    <w:rsid w:val="00C723AB"/>
    <w:rsid w:val="00C734BA"/>
    <w:rsid w:val="00C7361A"/>
    <w:rsid w:val="00C7480F"/>
    <w:rsid w:val="00C74AE0"/>
    <w:rsid w:val="00C74BD5"/>
    <w:rsid w:val="00C74CDC"/>
    <w:rsid w:val="00C75F5F"/>
    <w:rsid w:val="00C76136"/>
    <w:rsid w:val="00C771C5"/>
    <w:rsid w:val="00C8029C"/>
    <w:rsid w:val="00C802C9"/>
    <w:rsid w:val="00C80C3A"/>
    <w:rsid w:val="00C81D38"/>
    <w:rsid w:val="00C821D8"/>
    <w:rsid w:val="00C82B12"/>
    <w:rsid w:val="00C8329E"/>
    <w:rsid w:val="00C83B78"/>
    <w:rsid w:val="00C83BB1"/>
    <w:rsid w:val="00C83E64"/>
    <w:rsid w:val="00C84081"/>
    <w:rsid w:val="00C843E2"/>
    <w:rsid w:val="00C84510"/>
    <w:rsid w:val="00C8499F"/>
    <w:rsid w:val="00C84C60"/>
    <w:rsid w:val="00C8585B"/>
    <w:rsid w:val="00C86856"/>
    <w:rsid w:val="00C86A00"/>
    <w:rsid w:val="00C8746A"/>
    <w:rsid w:val="00C90B34"/>
    <w:rsid w:val="00C913E3"/>
    <w:rsid w:val="00C91604"/>
    <w:rsid w:val="00C91AE7"/>
    <w:rsid w:val="00C920B0"/>
    <w:rsid w:val="00C92764"/>
    <w:rsid w:val="00C9289D"/>
    <w:rsid w:val="00C928B7"/>
    <w:rsid w:val="00C92C1C"/>
    <w:rsid w:val="00C93743"/>
    <w:rsid w:val="00C93A2A"/>
    <w:rsid w:val="00C95144"/>
    <w:rsid w:val="00C955F1"/>
    <w:rsid w:val="00C959D9"/>
    <w:rsid w:val="00C95D8E"/>
    <w:rsid w:val="00C96047"/>
    <w:rsid w:val="00C969DA"/>
    <w:rsid w:val="00C96D17"/>
    <w:rsid w:val="00C97138"/>
    <w:rsid w:val="00CA021D"/>
    <w:rsid w:val="00CA07A5"/>
    <w:rsid w:val="00CA0B54"/>
    <w:rsid w:val="00CA0D61"/>
    <w:rsid w:val="00CA14D1"/>
    <w:rsid w:val="00CA16EF"/>
    <w:rsid w:val="00CA1798"/>
    <w:rsid w:val="00CA2250"/>
    <w:rsid w:val="00CA241C"/>
    <w:rsid w:val="00CA276F"/>
    <w:rsid w:val="00CA277C"/>
    <w:rsid w:val="00CA3D9B"/>
    <w:rsid w:val="00CA4293"/>
    <w:rsid w:val="00CA61B5"/>
    <w:rsid w:val="00CA6F1B"/>
    <w:rsid w:val="00CA7815"/>
    <w:rsid w:val="00CA7B3D"/>
    <w:rsid w:val="00CB0031"/>
    <w:rsid w:val="00CB0A00"/>
    <w:rsid w:val="00CB0F36"/>
    <w:rsid w:val="00CB33B9"/>
    <w:rsid w:val="00CB3508"/>
    <w:rsid w:val="00CB47DA"/>
    <w:rsid w:val="00CB5142"/>
    <w:rsid w:val="00CB540C"/>
    <w:rsid w:val="00CB5802"/>
    <w:rsid w:val="00CB5E04"/>
    <w:rsid w:val="00CB6758"/>
    <w:rsid w:val="00CB6989"/>
    <w:rsid w:val="00CB700A"/>
    <w:rsid w:val="00CB7305"/>
    <w:rsid w:val="00CB74D5"/>
    <w:rsid w:val="00CC0384"/>
    <w:rsid w:val="00CC07C9"/>
    <w:rsid w:val="00CC0AE6"/>
    <w:rsid w:val="00CC1A1F"/>
    <w:rsid w:val="00CC1F31"/>
    <w:rsid w:val="00CC1FE1"/>
    <w:rsid w:val="00CC24CC"/>
    <w:rsid w:val="00CC29E0"/>
    <w:rsid w:val="00CC2E5E"/>
    <w:rsid w:val="00CC3481"/>
    <w:rsid w:val="00CC368E"/>
    <w:rsid w:val="00CC435F"/>
    <w:rsid w:val="00CC46E2"/>
    <w:rsid w:val="00CC4FD0"/>
    <w:rsid w:val="00CC5BDF"/>
    <w:rsid w:val="00CC6327"/>
    <w:rsid w:val="00CC6BA7"/>
    <w:rsid w:val="00CC6D55"/>
    <w:rsid w:val="00CC7069"/>
    <w:rsid w:val="00CD1EB1"/>
    <w:rsid w:val="00CD3536"/>
    <w:rsid w:val="00CD3B8C"/>
    <w:rsid w:val="00CD59E9"/>
    <w:rsid w:val="00CD5BF3"/>
    <w:rsid w:val="00CD5D6A"/>
    <w:rsid w:val="00CD5F6F"/>
    <w:rsid w:val="00CD61FA"/>
    <w:rsid w:val="00CD62D4"/>
    <w:rsid w:val="00CD6D09"/>
    <w:rsid w:val="00CD77BF"/>
    <w:rsid w:val="00CD7BB1"/>
    <w:rsid w:val="00CE007D"/>
    <w:rsid w:val="00CE1028"/>
    <w:rsid w:val="00CE11E1"/>
    <w:rsid w:val="00CE11EB"/>
    <w:rsid w:val="00CE1465"/>
    <w:rsid w:val="00CE17CC"/>
    <w:rsid w:val="00CE1BE2"/>
    <w:rsid w:val="00CE23F4"/>
    <w:rsid w:val="00CE2F5F"/>
    <w:rsid w:val="00CE300B"/>
    <w:rsid w:val="00CE37F7"/>
    <w:rsid w:val="00CE3C56"/>
    <w:rsid w:val="00CE3DBD"/>
    <w:rsid w:val="00CE3F95"/>
    <w:rsid w:val="00CE5103"/>
    <w:rsid w:val="00CE5419"/>
    <w:rsid w:val="00CE61DF"/>
    <w:rsid w:val="00CE6FF2"/>
    <w:rsid w:val="00CE72F7"/>
    <w:rsid w:val="00CE77C0"/>
    <w:rsid w:val="00CE7B64"/>
    <w:rsid w:val="00CF00A2"/>
    <w:rsid w:val="00CF027C"/>
    <w:rsid w:val="00CF037C"/>
    <w:rsid w:val="00CF0D5B"/>
    <w:rsid w:val="00CF1076"/>
    <w:rsid w:val="00CF1889"/>
    <w:rsid w:val="00CF1A51"/>
    <w:rsid w:val="00CF1D47"/>
    <w:rsid w:val="00CF2182"/>
    <w:rsid w:val="00CF234B"/>
    <w:rsid w:val="00CF328D"/>
    <w:rsid w:val="00CF42FF"/>
    <w:rsid w:val="00CF4F5E"/>
    <w:rsid w:val="00CF58ED"/>
    <w:rsid w:val="00CF60EF"/>
    <w:rsid w:val="00CF67E3"/>
    <w:rsid w:val="00CF72D3"/>
    <w:rsid w:val="00CF7557"/>
    <w:rsid w:val="00CF7D6E"/>
    <w:rsid w:val="00D00129"/>
    <w:rsid w:val="00D01082"/>
    <w:rsid w:val="00D01530"/>
    <w:rsid w:val="00D01B61"/>
    <w:rsid w:val="00D01BD3"/>
    <w:rsid w:val="00D01BEC"/>
    <w:rsid w:val="00D02FA0"/>
    <w:rsid w:val="00D03552"/>
    <w:rsid w:val="00D03BCE"/>
    <w:rsid w:val="00D0487A"/>
    <w:rsid w:val="00D0495E"/>
    <w:rsid w:val="00D04960"/>
    <w:rsid w:val="00D04C26"/>
    <w:rsid w:val="00D04F57"/>
    <w:rsid w:val="00D05098"/>
    <w:rsid w:val="00D05664"/>
    <w:rsid w:val="00D06AC3"/>
    <w:rsid w:val="00D07957"/>
    <w:rsid w:val="00D10226"/>
    <w:rsid w:val="00D10A0A"/>
    <w:rsid w:val="00D10A53"/>
    <w:rsid w:val="00D10ACA"/>
    <w:rsid w:val="00D11617"/>
    <w:rsid w:val="00D12ECA"/>
    <w:rsid w:val="00D13014"/>
    <w:rsid w:val="00D130AA"/>
    <w:rsid w:val="00D1383C"/>
    <w:rsid w:val="00D1410B"/>
    <w:rsid w:val="00D14281"/>
    <w:rsid w:val="00D151F0"/>
    <w:rsid w:val="00D152A0"/>
    <w:rsid w:val="00D155BE"/>
    <w:rsid w:val="00D16084"/>
    <w:rsid w:val="00D1658B"/>
    <w:rsid w:val="00D16D18"/>
    <w:rsid w:val="00D16D2C"/>
    <w:rsid w:val="00D17072"/>
    <w:rsid w:val="00D17A5D"/>
    <w:rsid w:val="00D20B4B"/>
    <w:rsid w:val="00D214FD"/>
    <w:rsid w:val="00D223F5"/>
    <w:rsid w:val="00D2302D"/>
    <w:rsid w:val="00D25355"/>
    <w:rsid w:val="00D256E2"/>
    <w:rsid w:val="00D25915"/>
    <w:rsid w:val="00D25BAE"/>
    <w:rsid w:val="00D264F5"/>
    <w:rsid w:val="00D26B24"/>
    <w:rsid w:val="00D26DAA"/>
    <w:rsid w:val="00D270ED"/>
    <w:rsid w:val="00D273EF"/>
    <w:rsid w:val="00D27F67"/>
    <w:rsid w:val="00D300CF"/>
    <w:rsid w:val="00D302B7"/>
    <w:rsid w:val="00D307E2"/>
    <w:rsid w:val="00D308A0"/>
    <w:rsid w:val="00D309D8"/>
    <w:rsid w:val="00D30A1B"/>
    <w:rsid w:val="00D31494"/>
    <w:rsid w:val="00D31E22"/>
    <w:rsid w:val="00D31F41"/>
    <w:rsid w:val="00D3206E"/>
    <w:rsid w:val="00D325D6"/>
    <w:rsid w:val="00D328CC"/>
    <w:rsid w:val="00D32A73"/>
    <w:rsid w:val="00D334CA"/>
    <w:rsid w:val="00D33801"/>
    <w:rsid w:val="00D33B41"/>
    <w:rsid w:val="00D34342"/>
    <w:rsid w:val="00D34948"/>
    <w:rsid w:val="00D350C1"/>
    <w:rsid w:val="00D35401"/>
    <w:rsid w:val="00D35BCC"/>
    <w:rsid w:val="00D36224"/>
    <w:rsid w:val="00D36B2F"/>
    <w:rsid w:val="00D36D6F"/>
    <w:rsid w:val="00D37268"/>
    <w:rsid w:val="00D3795D"/>
    <w:rsid w:val="00D40803"/>
    <w:rsid w:val="00D41189"/>
    <w:rsid w:val="00D41389"/>
    <w:rsid w:val="00D41576"/>
    <w:rsid w:val="00D41D97"/>
    <w:rsid w:val="00D4295D"/>
    <w:rsid w:val="00D4318D"/>
    <w:rsid w:val="00D43214"/>
    <w:rsid w:val="00D439BD"/>
    <w:rsid w:val="00D4449B"/>
    <w:rsid w:val="00D44851"/>
    <w:rsid w:val="00D44ABE"/>
    <w:rsid w:val="00D4533F"/>
    <w:rsid w:val="00D454DD"/>
    <w:rsid w:val="00D46A3D"/>
    <w:rsid w:val="00D46AE4"/>
    <w:rsid w:val="00D46D31"/>
    <w:rsid w:val="00D47832"/>
    <w:rsid w:val="00D5021D"/>
    <w:rsid w:val="00D502C6"/>
    <w:rsid w:val="00D50521"/>
    <w:rsid w:val="00D507CC"/>
    <w:rsid w:val="00D50E7F"/>
    <w:rsid w:val="00D50EE1"/>
    <w:rsid w:val="00D51066"/>
    <w:rsid w:val="00D519B6"/>
    <w:rsid w:val="00D5287A"/>
    <w:rsid w:val="00D529DA"/>
    <w:rsid w:val="00D52A45"/>
    <w:rsid w:val="00D52B1B"/>
    <w:rsid w:val="00D53BF5"/>
    <w:rsid w:val="00D53E71"/>
    <w:rsid w:val="00D543E8"/>
    <w:rsid w:val="00D54E99"/>
    <w:rsid w:val="00D54F88"/>
    <w:rsid w:val="00D55AC3"/>
    <w:rsid w:val="00D56CD7"/>
    <w:rsid w:val="00D56F46"/>
    <w:rsid w:val="00D574AB"/>
    <w:rsid w:val="00D57660"/>
    <w:rsid w:val="00D60603"/>
    <w:rsid w:val="00D60F29"/>
    <w:rsid w:val="00D611D6"/>
    <w:rsid w:val="00D6123E"/>
    <w:rsid w:val="00D61930"/>
    <w:rsid w:val="00D62CB7"/>
    <w:rsid w:val="00D63117"/>
    <w:rsid w:val="00D637F9"/>
    <w:rsid w:val="00D65FC9"/>
    <w:rsid w:val="00D661CE"/>
    <w:rsid w:val="00D666FE"/>
    <w:rsid w:val="00D66963"/>
    <w:rsid w:val="00D66D39"/>
    <w:rsid w:val="00D670DB"/>
    <w:rsid w:val="00D67103"/>
    <w:rsid w:val="00D67400"/>
    <w:rsid w:val="00D67658"/>
    <w:rsid w:val="00D67AD9"/>
    <w:rsid w:val="00D702D7"/>
    <w:rsid w:val="00D704EB"/>
    <w:rsid w:val="00D70A45"/>
    <w:rsid w:val="00D70CE3"/>
    <w:rsid w:val="00D70F9F"/>
    <w:rsid w:val="00D70FEF"/>
    <w:rsid w:val="00D710C5"/>
    <w:rsid w:val="00D713C1"/>
    <w:rsid w:val="00D71733"/>
    <w:rsid w:val="00D72428"/>
    <w:rsid w:val="00D72D05"/>
    <w:rsid w:val="00D73AA9"/>
    <w:rsid w:val="00D73B08"/>
    <w:rsid w:val="00D74751"/>
    <w:rsid w:val="00D754D4"/>
    <w:rsid w:val="00D75F62"/>
    <w:rsid w:val="00D7659A"/>
    <w:rsid w:val="00D7659D"/>
    <w:rsid w:val="00D76631"/>
    <w:rsid w:val="00D76F64"/>
    <w:rsid w:val="00D77605"/>
    <w:rsid w:val="00D77E73"/>
    <w:rsid w:val="00D804DC"/>
    <w:rsid w:val="00D80814"/>
    <w:rsid w:val="00D80D70"/>
    <w:rsid w:val="00D818FD"/>
    <w:rsid w:val="00D82547"/>
    <w:rsid w:val="00D82D85"/>
    <w:rsid w:val="00D85035"/>
    <w:rsid w:val="00D850AD"/>
    <w:rsid w:val="00D85646"/>
    <w:rsid w:val="00D85883"/>
    <w:rsid w:val="00D85B7D"/>
    <w:rsid w:val="00D85F33"/>
    <w:rsid w:val="00D864E5"/>
    <w:rsid w:val="00D871E4"/>
    <w:rsid w:val="00D87D85"/>
    <w:rsid w:val="00D87E7A"/>
    <w:rsid w:val="00D90221"/>
    <w:rsid w:val="00D90296"/>
    <w:rsid w:val="00D904D0"/>
    <w:rsid w:val="00D90527"/>
    <w:rsid w:val="00D9113C"/>
    <w:rsid w:val="00D916DF"/>
    <w:rsid w:val="00D9199C"/>
    <w:rsid w:val="00D92426"/>
    <w:rsid w:val="00D93260"/>
    <w:rsid w:val="00D94062"/>
    <w:rsid w:val="00D951B3"/>
    <w:rsid w:val="00D9592E"/>
    <w:rsid w:val="00D95DC5"/>
    <w:rsid w:val="00D962E9"/>
    <w:rsid w:val="00D96862"/>
    <w:rsid w:val="00D96AEC"/>
    <w:rsid w:val="00DA0103"/>
    <w:rsid w:val="00DA0384"/>
    <w:rsid w:val="00DA0805"/>
    <w:rsid w:val="00DA088A"/>
    <w:rsid w:val="00DA11C9"/>
    <w:rsid w:val="00DA2036"/>
    <w:rsid w:val="00DA203B"/>
    <w:rsid w:val="00DA28DE"/>
    <w:rsid w:val="00DA3022"/>
    <w:rsid w:val="00DA346A"/>
    <w:rsid w:val="00DA35E6"/>
    <w:rsid w:val="00DA360E"/>
    <w:rsid w:val="00DA42E6"/>
    <w:rsid w:val="00DA4F62"/>
    <w:rsid w:val="00DA53CB"/>
    <w:rsid w:val="00DA5F40"/>
    <w:rsid w:val="00DA617C"/>
    <w:rsid w:val="00DA63AD"/>
    <w:rsid w:val="00DA6D7B"/>
    <w:rsid w:val="00DA7E1D"/>
    <w:rsid w:val="00DA7F12"/>
    <w:rsid w:val="00DB0706"/>
    <w:rsid w:val="00DB143A"/>
    <w:rsid w:val="00DB151E"/>
    <w:rsid w:val="00DB1947"/>
    <w:rsid w:val="00DB1A3D"/>
    <w:rsid w:val="00DB20A8"/>
    <w:rsid w:val="00DB22A5"/>
    <w:rsid w:val="00DB25DB"/>
    <w:rsid w:val="00DB26B0"/>
    <w:rsid w:val="00DB296F"/>
    <w:rsid w:val="00DB42CB"/>
    <w:rsid w:val="00DB4538"/>
    <w:rsid w:val="00DB475A"/>
    <w:rsid w:val="00DB4C6D"/>
    <w:rsid w:val="00DB4C84"/>
    <w:rsid w:val="00DB4E1B"/>
    <w:rsid w:val="00DB506E"/>
    <w:rsid w:val="00DB5754"/>
    <w:rsid w:val="00DB5A27"/>
    <w:rsid w:val="00DB5DB8"/>
    <w:rsid w:val="00DB61D7"/>
    <w:rsid w:val="00DB61DE"/>
    <w:rsid w:val="00DB623D"/>
    <w:rsid w:val="00DB6A30"/>
    <w:rsid w:val="00DB737D"/>
    <w:rsid w:val="00DB7CF2"/>
    <w:rsid w:val="00DC0A8B"/>
    <w:rsid w:val="00DC33FC"/>
    <w:rsid w:val="00DC38E8"/>
    <w:rsid w:val="00DC416F"/>
    <w:rsid w:val="00DC4799"/>
    <w:rsid w:val="00DC4D55"/>
    <w:rsid w:val="00DC5853"/>
    <w:rsid w:val="00DC5A5F"/>
    <w:rsid w:val="00DC5D24"/>
    <w:rsid w:val="00DC5D2D"/>
    <w:rsid w:val="00DC60A7"/>
    <w:rsid w:val="00DC66A1"/>
    <w:rsid w:val="00DC672B"/>
    <w:rsid w:val="00DC6D60"/>
    <w:rsid w:val="00DC6E31"/>
    <w:rsid w:val="00DC6E94"/>
    <w:rsid w:val="00DC784D"/>
    <w:rsid w:val="00DC7AED"/>
    <w:rsid w:val="00DC7B4D"/>
    <w:rsid w:val="00DD0000"/>
    <w:rsid w:val="00DD0409"/>
    <w:rsid w:val="00DD0CEE"/>
    <w:rsid w:val="00DD1AA5"/>
    <w:rsid w:val="00DD2EA8"/>
    <w:rsid w:val="00DD30F6"/>
    <w:rsid w:val="00DD3202"/>
    <w:rsid w:val="00DD34F3"/>
    <w:rsid w:val="00DD3D38"/>
    <w:rsid w:val="00DD3F91"/>
    <w:rsid w:val="00DD4618"/>
    <w:rsid w:val="00DD4BDF"/>
    <w:rsid w:val="00DD604D"/>
    <w:rsid w:val="00DD6221"/>
    <w:rsid w:val="00DD6406"/>
    <w:rsid w:val="00DD7EEE"/>
    <w:rsid w:val="00DE03C6"/>
    <w:rsid w:val="00DE048B"/>
    <w:rsid w:val="00DE13A2"/>
    <w:rsid w:val="00DE1652"/>
    <w:rsid w:val="00DE2517"/>
    <w:rsid w:val="00DE273C"/>
    <w:rsid w:val="00DE3D1E"/>
    <w:rsid w:val="00DE4B79"/>
    <w:rsid w:val="00DE505A"/>
    <w:rsid w:val="00DE51A7"/>
    <w:rsid w:val="00DE58F5"/>
    <w:rsid w:val="00DE610F"/>
    <w:rsid w:val="00DE686B"/>
    <w:rsid w:val="00DE6963"/>
    <w:rsid w:val="00DE7065"/>
    <w:rsid w:val="00DE72BF"/>
    <w:rsid w:val="00DF0C50"/>
    <w:rsid w:val="00DF1319"/>
    <w:rsid w:val="00DF20F4"/>
    <w:rsid w:val="00DF26D6"/>
    <w:rsid w:val="00DF27D5"/>
    <w:rsid w:val="00DF2F2D"/>
    <w:rsid w:val="00DF392C"/>
    <w:rsid w:val="00DF4334"/>
    <w:rsid w:val="00DF434E"/>
    <w:rsid w:val="00DF5148"/>
    <w:rsid w:val="00DF5E40"/>
    <w:rsid w:val="00DF614D"/>
    <w:rsid w:val="00DF7028"/>
    <w:rsid w:val="00DF7122"/>
    <w:rsid w:val="00DF7A55"/>
    <w:rsid w:val="00DF7AB3"/>
    <w:rsid w:val="00DF7D95"/>
    <w:rsid w:val="00E000F0"/>
    <w:rsid w:val="00E0011A"/>
    <w:rsid w:val="00E01119"/>
    <w:rsid w:val="00E01520"/>
    <w:rsid w:val="00E01596"/>
    <w:rsid w:val="00E01CDD"/>
    <w:rsid w:val="00E02982"/>
    <w:rsid w:val="00E02B7F"/>
    <w:rsid w:val="00E02FC8"/>
    <w:rsid w:val="00E03998"/>
    <w:rsid w:val="00E044F4"/>
    <w:rsid w:val="00E045A3"/>
    <w:rsid w:val="00E06C5B"/>
    <w:rsid w:val="00E06F87"/>
    <w:rsid w:val="00E06FBD"/>
    <w:rsid w:val="00E0740A"/>
    <w:rsid w:val="00E07B9C"/>
    <w:rsid w:val="00E07D1A"/>
    <w:rsid w:val="00E07EAB"/>
    <w:rsid w:val="00E07F32"/>
    <w:rsid w:val="00E07FA0"/>
    <w:rsid w:val="00E1077C"/>
    <w:rsid w:val="00E10E4A"/>
    <w:rsid w:val="00E11537"/>
    <w:rsid w:val="00E11D81"/>
    <w:rsid w:val="00E12019"/>
    <w:rsid w:val="00E1290D"/>
    <w:rsid w:val="00E13493"/>
    <w:rsid w:val="00E13AF2"/>
    <w:rsid w:val="00E148C0"/>
    <w:rsid w:val="00E15F84"/>
    <w:rsid w:val="00E16A49"/>
    <w:rsid w:val="00E16DFE"/>
    <w:rsid w:val="00E17607"/>
    <w:rsid w:val="00E177AF"/>
    <w:rsid w:val="00E179B2"/>
    <w:rsid w:val="00E17B11"/>
    <w:rsid w:val="00E20A2A"/>
    <w:rsid w:val="00E20E3F"/>
    <w:rsid w:val="00E211D7"/>
    <w:rsid w:val="00E21B0C"/>
    <w:rsid w:val="00E21DA4"/>
    <w:rsid w:val="00E22393"/>
    <w:rsid w:val="00E2248B"/>
    <w:rsid w:val="00E22514"/>
    <w:rsid w:val="00E22AC0"/>
    <w:rsid w:val="00E22DC8"/>
    <w:rsid w:val="00E23D54"/>
    <w:rsid w:val="00E240F6"/>
    <w:rsid w:val="00E2418F"/>
    <w:rsid w:val="00E24514"/>
    <w:rsid w:val="00E2455E"/>
    <w:rsid w:val="00E2503B"/>
    <w:rsid w:val="00E25320"/>
    <w:rsid w:val="00E2593D"/>
    <w:rsid w:val="00E25FC4"/>
    <w:rsid w:val="00E2663F"/>
    <w:rsid w:val="00E2704D"/>
    <w:rsid w:val="00E27552"/>
    <w:rsid w:val="00E27A18"/>
    <w:rsid w:val="00E27EB9"/>
    <w:rsid w:val="00E30BC2"/>
    <w:rsid w:val="00E31182"/>
    <w:rsid w:val="00E31679"/>
    <w:rsid w:val="00E31CA4"/>
    <w:rsid w:val="00E32348"/>
    <w:rsid w:val="00E32D82"/>
    <w:rsid w:val="00E32E57"/>
    <w:rsid w:val="00E32E6C"/>
    <w:rsid w:val="00E3360B"/>
    <w:rsid w:val="00E339FD"/>
    <w:rsid w:val="00E33F1D"/>
    <w:rsid w:val="00E342B6"/>
    <w:rsid w:val="00E34C6E"/>
    <w:rsid w:val="00E35277"/>
    <w:rsid w:val="00E35F06"/>
    <w:rsid w:val="00E36509"/>
    <w:rsid w:val="00E36535"/>
    <w:rsid w:val="00E36F66"/>
    <w:rsid w:val="00E36F98"/>
    <w:rsid w:val="00E3733E"/>
    <w:rsid w:val="00E376AC"/>
    <w:rsid w:val="00E378E0"/>
    <w:rsid w:val="00E37BF8"/>
    <w:rsid w:val="00E407A1"/>
    <w:rsid w:val="00E408F9"/>
    <w:rsid w:val="00E410ED"/>
    <w:rsid w:val="00E417A0"/>
    <w:rsid w:val="00E41A40"/>
    <w:rsid w:val="00E41A96"/>
    <w:rsid w:val="00E42F5D"/>
    <w:rsid w:val="00E43438"/>
    <w:rsid w:val="00E43848"/>
    <w:rsid w:val="00E43DF4"/>
    <w:rsid w:val="00E44AF7"/>
    <w:rsid w:val="00E45C20"/>
    <w:rsid w:val="00E46907"/>
    <w:rsid w:val="00E46AA0"/>
    <w:rsid w:val="00E46E91"/>
    <w:rsid w:val="00E475F6"/>
    <w:rsid w:val="00E47D51"/>
    <w:rsid w:val="00E5024E"/>
    <w:rsid w:val="00E509B8"/>
    <w:rsid w:val="00E50DD3"/>
    <w:rsid w:val="00E510DF"/>
    <w:rsid w:val="00E5119C"/>
    <w:rsid w:val="00E51828"/>
    <w:rsid w:val="00E51AA8"/>
    <w:rsid w:val="00E51CC9"/>
    <w:rsid w:val="00E52117"/>
    <w:rsid w:val="00E53687"/>
    <w:rsid w:val="00E53724"/>
    <w:rsid w:val="00E5389A"/>
    <w:rsid w:val="00E53A5A"/>
    <w:rsid w:val="00E5450C"/>
    <w:rsid w:val="00E54E57"/>
    <w:rsid w:val="00E559E3"/>
    <w:rsid w:val="00E55BCC"/>
    <w:rsid w:val="00E55F09"/>
    <w:rsid w:val="00E56EC7"/>
    <w:rsid w:val="00E56F43"/>
    <w:rsid w:val="00E57421"/>
    <w:rsid w:val="00E61E14"/>
    <w:rsid w:val="00E62B86"/>
    <w:rsid w:val="00E63633"/>
    <w:rsid w:val="00E6368A"/>
    <w:rsid w:val="00E64F7E"/>
    <w:rsid w:val="00E65FFD"/>
    <w:rsid w:val="00E6693B"/>
    <w:rsid w:val="00E66AA2"/>
    <w:rsid w:val="00E66C22"/>
    <w:rsid w:val="00E66EFC"/>
    <w:rsid w:val="00E66F57"/>
    <w:rsid w:val="00E6749C"/>
    <w:rsid w:val="00E70207"/>
    <w:rsid w:val="00E70722"/>
    <w:rsid w:val="00E70B7B"/>
    <w:rsid w:val="00E70E3C"/>
    <w:rsid w:val="00E715B8"/>
    <w:rsid w:val="00E7187B"/>
    <w:rsid w:val="00E71EAD"/>
    <w:rsid w:val="00E72B05"/>
    <w:rsid w:val="00E72FEB"/>
    <w:rsid w:val="00E74865"/>
    <w:rsid w:val="00E75624"/>
    <w:rsid w:val="00E7597D"/>
    <w:rsid w:val="00E75E31"/>
    <w:rsid w:val="00E76460"/>
    <w:rsid w:val="00E80305"/>
    <w:rsid w:val="00E80765"/>
    <w:rsid w:val="00E8095A"/>
    <w:rsid w:val="00E81088"/>
    <w:rsid w:val="00E818E0"/>
    <w:rsid w:val="00E82B2B"/>
    <w:rsid w:val="00E8388E"/>
    <w:rsid w:val="00E8403D"/>
    <w:rsid w:val="00E840CB"/>
    <w:rsid w:val="00E84F72"/>
    <w:rsid w:val="00E84FD4"/>
    <w:rsid w:val="00E861D2"/>
    <w:rsid w:val="00E86708"/>
    <w:rsid w:val="00E86A7A"/>
    <w:rsid w:val="00E870A3"/>
    <w:rsid w:val="00E902C8"/>
    <w:rsid w:val="00E911EF"/>
    <w:rsid w:val="00E91668"/>
    <w:rsid w:val="00E92933"/>
    <w:rsid w:val="00E92EE7"/>
    <w:rsid w:val="00E9411A"/>
    <w:rsid w:val="00E94C0D"/>
    <w:rsid w:val="00E96CC7"/>
    <w:rsid w:val="00E9708D"/>
    <w:rsid w:val="00E970C3"/>
    <w:rsid w:val="00E971F7"/>
    <w:rsid w:val="00E97AC5"/>
    <w:rsid w:val="00EA0A56"/>
    <w:rsid w:val="00EA0F5B"/>
    <w:rsid w:val="00EA141E"/>
    <w:rsid w:val="00EA1436"/>
    <w:rsid w:val="00EA155E"/>
    <w:rsid w:val="00EA1658"/>
    <w:rsid w:val="00EA18B0"/>
    <w:rsid w:val="00EA18C6"/>
    <w:rsid w:val="00EA1C14"/>
    <w:rsid w:val="00EA1DB3"/>
    <w:rsid w:val="00EA1FAE"/>
    <w:rsid w:val="00EA2238"/>
    <w:rsid w:val="00EA2CB5"/>
    <w:rsid w:val="00EA43F3"/>
    <w:rsid w:val="00EA47C9"/>
    <w:rsid w:val="00EA59AD"/>
    <w:rsid w:val="00EA5EBA"/>
    <w:rsid w:val="00EA6E35"/>
    <w:rsid w:val="00EA7BF7"/>
    <w:rsid w:val="00EB004F"/>
    <w:rsid w:val="00EB0194"/>
    <w:rsid w:val="00EB05EA"/>
    <w:rsid w:val="00EB076F"/>
    <w:rsid w:val="00EB086D"/>
    <w:rsid w:val="00EB0ED1"/>
    <w:rsid w:val="00EB12CB"/>
    <w:rsid w:val="00EB1B26"/>
    <w:rsid w:val="00EB1E70"/>
    <w:rsid w:val="00EB2A6E"/>
    <w:rsid w:val="00EB2B3F"/>
    <w:rsid w:val="00EB3129"/>
    <w:rsid w:val="00EB3130"/>
    <w:rsid w:val="00EB3187"/>
    <w:rsid w:val="00EB33B2"/>
    <w:rsid w:val="00EB37C9"/>
    <w:rsid w:val="00EB3DB5"/>
    <w:rsid w:val="00EB40A6"/>
    <w:rsid w:val="00EB5368"/>
    <w:rsid w:val="00EB5E37"/>
    <w:rsid w:val="00EB6EC5"/>
    <w:rsid w:val="00EB7237"/>
    <w:rsid w:val="00EB7323"/>
    <w:rsid w:val="00EB7B92"/>
    <w:rsid w:val="00EB7F56"/>
    <w:rsid w:val="00EC010F"/>
    <w:rsid w:val="00EC11B3"/>
    <w:rsid w:val="00EC12A3"/>
    <w:rsid w:val="00EC15AE"/>
    <w:rsid w:val="00EC1AC6"/>
    <w:rsid w:val="00EC1E53"/>
    <w:rsid w:val="00EC2D6E"/>
    <w:rsid w:val="00EC3186"/>
    <w:rsid w:val="00EC35A8"/>
    <w:rsid w:val="00EC35DD"/>
    <w:rsid w:val="00EC3B86"/>
    <w:rsid w:val="00EC3D9C"/>
    <w:rsid w:val="00EC43EC"/>
    <w:rsid w:val="00EC526A"/>
    <w:rsid w:val="00EC5A33"/>
    <w:rsid w:val="00EC5B42"/>
    <w:rsid w:val="00EC6534"/>
    <w:rsid w:val="00EC6E2E"/>
    <w:rsid w:val="00EC7061"/>
    <w:rsid w:val="00EC720A"/>
    <w:rsid w:val="00EC785E"/>
    <w:rsid w:val="00ED0545"/>
    <w:rsid w:val="00ED08BB"/>
    <w:rsid w:val="00ED0B09"/>
    <w:rsid w:val="00ED14F8"/>
    <w:rsid w:val="00ED1E0A"/>
    <w:rsid w:val="00ED3094"/>
    <w:rsid w:val="00ED3949"/>
    <w:rsid w:val="00ED3BA0"/>
    <w:rsid w:val="00ED453E"/>
    <w:rsid w:val="00ED46A8"/>
    <w:rsid w:val="00ED489F"/>
    <w:rsid w:val="00ED497D"/>
    <w:rsid w:val="00ED4DB0"/>
    <w:rsid w:val="00ED51BB"/>
    <w:rsid w:val="00ED51FA"/>
    <w:rsid w:val="00ED54BF"/>
    <w:rsid w:val="00ED60DB"/>
    <w:rsid w:val="00ED6F3F"/>
    <w:rsid w:val="00EE02FA"/>
    <w:rsid w:val="00EE0557"/>
    <w:rsid w:val="00EE0C14"/>
    <w:rsid w:val="00EE1A09"/>
    <w:rsid w:val="00EE1BB0"/>
    <w:rsid w:val="00EE2305"/>
    <w:rsid w:val="00EE3208"/>
    <w:rsid w:val="00EE352A"/>
    <w:rsid w:val="00EE3808"/>
    <w:rsid w:val="00EE5431"/>
    <w:rsid w:val="00EE65F3"/>
    <w:rsid w:val="00EE7442"/>
    <w:rsid w:val="00EE79C4"/>
    <w:rsid w:val="00EE7F4B"/>
    <w:rsid w:val="00EF0088"/>
    <w:rsid w:val="00EF00CE"/>
    <w:rsid w:val="00EF0AEF"/>
    <w:rsid w:val="00EF2024"/>
    <w:rsid w:val="00EF356A"/>
    <w:rsid w:val="00EF3C47"/>
    <w:rsid w:val="00EF4CF2"/>
    <w:rsid w:val="00EF5521"/>
    <w:rsid w:val="00EF55BA"/>
    <w:rsid w:val="00EF5D9E"/>
    <w:rsid w:val="00EF6464"/>
    <w:rsid w:val="00EF79F8"/>
    <w:rsid w:val="00EF7E57"/>
    <w:rsid w:val="00F00ADA"/>
    <w:rsid w:val="00F00B6C"/>
    <w:rsid w:val="00F00D7B"/>
    <w:rsid w:val="00F00E11"/>
    <w:rsid w:val="00F01628"/>
    <w:rsid w:val="00F0187D"/>
    <w:rsid w:val="00F0197F"/>
    <w:rsid w:val="00F01A07"/>
    <w:rsid w:val="00F01AE7"/>
    <w:rsid w:val="00F0291A"/>
    <w:rsid w:val="00F02973"/>
    <w:rsid w:val="00F02C6D"/>
    <w:rsid w:val="00F02D53"/>
    <w:rsid w:val="00F02E26"/>
    <w:rsid w:val="00F04CA1"/>
    <w:rsid w:val="00F05086"/>
    <w:rsid w:val="00F05796"/>
    <w:rsid w:val="00F05B4E"/>
    <w:rsid w:val="00F05FF9"/>
    <w:rsid w:val="00F068A4"/>
    <w:rsid w:val="00F06D16"/>
    <w:rsid w:val="00F06ED2"/>
    <w:rsid w:val="00F07230"/>
    <w:rsid w:val="00F07C78"/>
    <w:rsid w:val="00F11904"/>
    <w:rsid w:val="00F12E6A"/>
    <w:rsid w:val="00F13098"/>
    <w:rsid w:val="00F13127"/>
    <w:rsid w:val="00F134A8"/>
    <w:rsid w:val="00F136FD"/>
    <w:rsid w:val="00F13A3A"/>
    <w:rsid w:val="00F14AB5"/>
    <w:rsid w:val="00F15870"/>
    <w:rsid w:val="00F170A3"/>
    <w:rsid w:val="00F1734F"/>
    <w:rsid w:val="00F174C8"/>
    <w:rsid w:val="00F1791D"/>
    <w:rsid w:val="00F17B96"/>
    <w:rsid w:val="00F17F47"/>
    <w:rsid w:val="00F2065C"/>
    <w:rsid w:val="00F2068A"/>
    <w:rsid w:val="00F20E27"/>
    <w:rsid w:val="00F20EA1"/>
    <w:rsid w:val="00F21299"/>
    <w:rsid w:val="00F228F2"/>
    <w:rsid w:val="00F237B9"/>
    <w:rsid w:val="00F2432C"/>
    <w:rsid w:val="00F2448E"/>
    <w:rsid w:val="00F245C3"/>
    <w:rsid w:val="00F24DE1"/>
    <w:rsid w:val="00F25C35"/>
    <w:rsid w:val="00F25D3E"/>
    <w:rsid w:val="00F26083"/>
    <w:rsid w:val="00F26A74"/>
    <w:rsid w:val="00F2737A"/>
    <w:rsid w:val="00F27A37"/>
    <w:rsid w:val="00F27DB2"/>
    <w:rsid w:val="00F30C76"/>
    <w:rsid w:val="00F30CDD"/>
    <w:rsid w:val="00F30DC0"/>
    <w:rsid w:val="00F30F44"/>
    <w:rsid w:val="00F31849"/>
    <w:rsid w:val="00F318BA"/>
    <w:rsid w:val="00F334E5"/>
    <w:rsid w:val="00F335ED"/>
    <w:rsid w:val="00F34043"/>
    <w:rsid w:val="00F347F4"/>
    <w:rsid w:val="00F35C0C"/>
    <w:rsid w:val="00F366A4"/>
    <w:rsid w:val="00F36E38"/>
    <w:rsid w:val="00F37709"/>
    <w:rsid w:val="00F379C7"/>
    <w:rsid w:val="00F37D3A"/>
    <w:rsid w:val="00F40A3E"/>
    <w:rsid w:val="00F40C87"/>
    <w:rsid w:val="00F428FF"/>
    <w:rsid w:val="00F43002"/>
    <w:rsid w:val="00F43B3A"/>
    <w:rsid w:val="00F4411E"/>
    <w:rsid w:val="00F449C7"/>
    <w:rsid w:val="00F449D2"/>
    <w:rsid w:val="00F44EFD"/>
    <w:rsid w:val="00F44F9B"/>
    <w:rsid w:val="00F45066"/>
    <w:rsid w:val="00F4506E"/>
    <w:rsid w:val="00F45617"/>
    <w:rsid w:val="00F45A22"/>
    <w:rsid w:val="00F45F31"/>
    <w:rsid w:val="00F45FF4"/>
    <w:rsid w:val="00F46CAB"/>
    <w:rsid w:val="00F4770A"/>
    <w:rsid w:val="00F509BC"/>
    <w:rsid w:val="00F50B5D"/>
    <w:rsid w:val="00F50C48"/>
    <w:rsid w:val="00F52088"/>
    <w:rsid w:val="00F5252C"/>
    <w:rsid w:val="00F52836"/>
    <w:rsid w:val="00F52EA3"/>
    <w:rsid w:val="00F542F1"/>
    <w:rsid w:val="00F5432F"/>
    <w:rsid w:val="00F54C90"/>
    <w:rsid w:val="00F55175"/>
    <w:rsid w:val="00F55524"/>
    <w:rsid w:val="00F55890"/>
    <w:rsid w:val="00F559C2"/>
    <w:rsid w:val="00F5668E"/>
    <w:rsid w:val="00F56B4E"/>
    <w:rsid w:val="00F575A3"/>
    <w:rsid w:val="00F577E6"/>
    <w:rsid w:val="00F5790D"/>
    <w:rsid w:val="00F57BA4"/>
    <w:rsid w:val="00F57D9E"/>
    <w:rsid w:val="00F57F49"/>
    <w:rsid w:val="00F600BA"/>
    <w:rsid w:val="00F602D6"/>
    <w:rsid w:val="00F60BBB"/>
    <w:rsid w:val="00F60C20"/>
    <w:rsid w:val="00F60D56"/>
    <w:rsid w:val="00F61B65"/>
    <w:rsid w:val="00F621FF"/>
    <w:rsid w:val="00F6232B"/>
    <w:rsid w:val="00F62356"/>
    <w:rsid w:val="00F6267D"/>
    <w:rsid w:val="00F62906"/>
    <w:rsid w:val="00F62BC9"/>
    <w:rsid w:val="00F62D26"/>
    <w:rsid w:val="00F6309C"/>
    <w:rsid w:val="00F634BA"/>
    <w:rsid w:val="00F63CE3"/>
    <w:rsid w:val="00F63D0C"/>
    <w:rsid w:val="00F65136"/>
    <w:rsid w:val="00F65999"/>
    <w:rsid w:val="00F66471"/>
    <w:rsid w:val="00F718FF"/>
    <w:rsid w:val="00F71F88"/>
    <w:rsid w:val="00F722B9"/>
    <w:rsid w:val="00F72552"/>
    <w:rsid w:val="00F72ADB"/>
    <w:rsid w:val="00F7379E"/>
    <w:rsid w:val="00F74197"/>
    <w:rsid w:val="00F7508E"/>
    <w:rsid w:val="00F7599B"/>
    <w:rsid w:val="00F7684E"/>
    <w:rsid w:val="00F76EEA"/>
    <w:rsid w:val="00F776E2"/>
    <w:rsid w:val="00F77787"/>
    <w:rsid w:val="00F77893"/>
    <w:rsid w:val="00F77BF6"/>
    <w:rsid w:val="00F77D33"/>
    <w:rsid w:val="00F77E47"/>
    <w:rsid w:val="00F80B82"/>
    <w:rsid w:val="00F81163"/>
    <w:rsid w:val="00F82E6E"/>
    <w:rsid w:val="00F832EE"/>
    <w:rsid w:val="00F836C6"/>
    <w:rsid w:val="00F83F72"/>
    <w:rsid w:val="00F841AD"/>
    <w:rsid w:val="00F84871"/>
    <w:rsid w:val="00F85398"/>
    <w:rsid w:val="00F85B0F"/>
    <w:rsid w:val="00F85C7E"/>
    <w:rsid w:val="00F86553"/>
    <w:rsid w:val="00F86577"/>
    <w:rsid w:val="00F86FA3"/>
    <w:rsid w:val="00F873F6"/>
    <w:rsid w:val="00F874ED"/>
    <w:rsid w:val="00F87FBD"/>
    <w:rsid w:val="00F90837"/>
    <w:rsid w:val="00F90993"/>
    <w:rsid w:val="00F93903"/>
    <w:rsid w:val="00F93957"/>
    <w:rsid w:val="00F94401"/>
    <w:rsid w:val="00F94F0F"/>
    <w:rsid w:val="00F94F97"/>
    <w:rsid w:val="00F958FE"/>
    <w:rsid w:val="00F96193"/>
    <w:rsid w:val="00F96BFB"/>
    <w:rsid w:val="00FA06EC"/>
    <w:rsid w:val="00FA0FB9"/>
    <w:rsid w:val="00FA1903"/>
    <w:rsid w:val="00FA19F6"/>
    <w:rsid w:val="00FA2F22"/>
    <w:rsid w:val="00FA487D"/>
    <w:rsid w:val="00FA4943"/>
    <w:rsid w:val="00FA5C9B"/>
    <w:rsid w:val="00FA62C1"/>
    <w:rsid w:val="00FA66D3"/>
    <w:rsid w:val="00FA6B2E"/>
    <w:rsid w:val="00FA727E"/>
    <w:rsid w:val="00FA787D"/>
    <w:rsid w:val="00FB00BB"/>
    <w:rsid w:val="00FB03DE"/>
    <w:rsid w:val="00FB0977"/>
    <w:rsid w:val="00FB0CFF"/>
    <w:rsid w:val="00FB0E2B"/>
    <w:rsid w:val="00FB135B"/>
    <w:rsid w:val="00FB22EF"/>
    <w:rsid w:val="00FB2357"/>
    <w:rsid w:val="00FB342A"/>
    <w:rsid w:val="00FB43AE"/>
    <w:rsid w:val="00FB5066"/>
    <w:rsid w:val="00FB59BF"/>
    <w:rsid w:val="00FB69A0"/>
    <w:rsid w:val="00FB6D51"/>
    <w:rsid w:val="00FB7902"/>
    <w:rsid w:val="00FC00E8"/>
    <w:rsid w:val="00FC0661"/>
    <w:rsid w:val="00FC0856"/>
    <w:rsid w:val="00FC144E"/>
    <w:rsid w:val="00FC19D7"/>
    <w:rsid w:val="00FC2132"/>
    <w:rsid w:val="00FC2202"/>
    <w:rsid w:val="00FC257D"/>
    <w:rsid w:val="00FC26A2"/>
    <w:rsid w:val="00FC2B44"/>
    <w:rsid w:val="00FC3725"/>
    <w:rsid w:val="00FC3BB8"/>
    <w:rsid w:val="00FC4134"/>
    <w:rsid w:val="00FC44E9"/>
    <w:rsid w:val="00FC4C11"/>
    <w:rsid w:val="00FC4CC8"/>
    <w:rsid w:val="00FC507D"/>
    <w:rsid w:val="00FC535F"/>
    <w:rsid w:val="00FC6132"/>
    <w:rsid w:val="00FC645A"/>
    <w:rsid w:val="00FC67CC"/>
    <w:rsid w:val="00FC7B16"/>
    <w:rsid w:val="00FC7C9D"/>
    <w:rsid w:val="00FD06F1"/>
    <w:rsid w:val="00FD0917"/>
    <w:rsid w:val="00FD0B0C"/>
    <w:rsid w:val="00FD0E70"/>
    <w:rsid w:val="00FD2450"/>
    <w:rsid w:val="00FD3036"/>
    <w:rsid w:val="00FD3542"/>
    <w:rsid w:val="00FD41E5"/>
    <w:rsid w:val="00FD43FD"/>
    <w:rsid w:val="00FD44D8"/>
    <w:rsid w:val="00FD471D"/>
    <w:rsid w:val="00FD4EBE"/>
    <w:rsid w:val="00FD555F"/>
    <w:rsid w:val="00FD57EF"/>
    <w:rsid w:val="00FD59AC"/>
    <w:rsid w:val="00FD6333"/>
    <w:rsid w:val="00FD6CEA"/>
    <w:rsid w:val="00FD73F3"/>
    <w:rsid w:val="00FD7AA4"/>
    <w:rsid w:val="00FE0310"/>
    <w:rsid w:val="00FE03BE"/>
    <w:rsid w:val="00FE0632"/>
    <w:rsid w:val="00FE0EA4"/>
    <w:rsid w:val="00FE0FCE"/>
    <w:rsid w:val="00FE11AB"/>
    <w:rsid w:val="00FE1FF8"/>
    <w:rsid w:val="00FE2CC4"/>
    <w:rsid w:val="00FE35D5"/>
    <w:rsid w:val="00FE4CC0"/>
    <w:rsid w:val="00FE4CE9"/>
    <w:rsid w:val="00FE5F7E"/>
    <w:rsid w:val="00FE62C3"/>
    <w:rsid w:val="00FE639A"/>
    <w:rsid w:val="00FE6E2B"/>
    <w:rsid w:val="00FE7ABE"/>
    <w:rsid w:val="00FF008D"/>
    <w:rsid w:val="00FF0330"/>
    <w:rsid w:val="00FF079E"/>
    <w:rsid w:val="00FF1152"/>
    <w:rsid w:val="00FF11F0"/>
    <w:rsid w:val="00FF185C"/>
    <w:rsid w:val="00FF1DC1"/>
    <w:rsid w:val="00FF22AF"/>
    <w:rsid w:val="00FF278C"/>
    <w:rsid w:val="00FF27B5"/>
    <w:rsid w:val="00FF30BE"/>
    <w:rsid w:val="00FF448B"/>
    <w:rsid w:val="00FF452A"/>
    <w:rsid w:val="00FF49CA"/>
    <w:rsid w:val="00FF5552"/>
    <w:rsid w:val="00FF56DC"/>
    <w:rsid w:val="00FF5BF1"/>
    <w:rsid w:val="00FF5D03"/>
    <w:rsid w:val="00FF626C"/>
    <w:rsid w:val="00FF696F"/>
    <w:rsid w:val="00FF7298"/>
    <w:rsid w:val="00FF7DE5"/>
    <w:rsid w:val="00FF7F05"/>
    <w:rsid w:val="010718B9"/>
    <w:rsid w:val="010E2E72"/>
    <w:rsid w:val="012476D6"/>
    <w:rsid w:val="01266DEA"/>
    <w:rsid w:val="017266A2"/>
    <w:rsid w:val="01762E49"/>
    <w:rsid w:val="01883901"/>
    <w:rsid w:val="018A7DB0"/>
    <w:rsid w:val="01B34E22"/>
    <w:rsid w:val="01BB768A"/>
    <w:rsid w:val="0204148B"/>
    <w:rsid w:val="02074A27"/>
    <w:rsid w:val="02151890"/>
    <w:rsid w:val="023504F5"/>
    <w:rsid w:val="023B2E65"/>
    <w:rsid w:val="0251488B"/>
    <w:rsid w:val="0265528A"/>
    <w:rsid w:val="02672F53"/>
    <w:rsid w:val="027F1EC9"/>
    <w:rsid w:val="028D7189"/>
    <w:rsid w:val="028E7212"/>
    <w:rsid w:val="02A63AF1"/>
    <w:rsid w:val="02C63AF1"/>
    <w:rsid w:val="02C65ED2"/>
    <w:rsid w:val="02F8486D"/>
    <w:rsid w:val="02FB4959"/>
    <w:rsid w:val="030772AE"/>
    <w:rsid w:val="031A42FF"/>
    <w:rsid w:val="03217B69"/>
    <w:rsid w:val="03243BB0"/>
    <w:rsid w:val="03267BC7"/>
    <w:rsid w:val="0333378B"/>
    <w:rsid w:val="03483348"/>
    <w:rsid w:val="036436CF"/>
    <w:rsid w:val="03785EE8"/>
    <w:rsid w:val="03831AB8"/>
    <w:rsid w:val="03A34A22"/>
    <w:rsid w:val="03B12030"/>
    <w:rsid w:val="03CA1528"/>
    <w:rsid w:val="03D118EB"/>
    <w:rsid w:val="03EE3EEF"/>
    <w:rsid w:val="03F32397"/>
    <w:rsid w:val="03F4702C"/>
    <w:rsid w:val="040500F1"/>
    <w:rsid w:val="040C67CF"/>
    <w:rsid w:val="04105DED"/>
    <w:rsid w:val="042869E5"/>
    <w:rsid w:val="04427ED8"/>
    <w:rsid w:val="04464C15"/>
    <w:rsid w:val="044B1E4E"/>
    <w:rsid w:val="045074D4"/>
    <w:rsid w:val="046B42FA"/>
    <w:rsid w:val="04786E8C"/>
    <w:rsid w:val="0479319A"/>
    <w:rsid w:val="04973DB6"/>
    <w:rsid w:val="049B637F"/>
    <w:rsid w:val="049D7924"/>
    <w:rsid w:val="04A22F2C"/>
    <w:rsid w:val="04EB48D3"/>
    <w:rsid w:val="04F44DDB"/>
    <w:rsid w:val="050339C8"/>
    <w:rsid w:val="05114FA9"/>
    <w:rsid w:val="051D0445"/>
    <w:rsid w:val="05502988"/>
    <w:rsid w:val="05641517"/>
    <w:rsid w:val="05700B20"/>
    <w:rsid w:val="05706B86"/>
    <w:rsid w:val="05793595"/>
    <w:rsid w:val="057A4C25"/>
    <w:rsid w:val="057C19CF"/>
    <w:rsid w:val="05896033"/>
    <w:rsid w:val="058D6019"/>
    <w:rsid w:val="05B42AC9"/>
    <w:rsid w:val="05D90BCF"/>
    <w:rsid w:val="05D93AC4"/>
    <w:rsid w:val="05EF2B10"/>
    <w:rsid w:val="060A3E4B"/>
    <w:rsid w:val="0640169C"/>
    <w:rsid w:val="064721B6"/>
    <w:rsid w:val="06AD375C"/>
    <w:rsid w:val="06B96D41"/>
    <w:rsid w:val="06BF1B73"/>
    <w:rsid w:val="06D05553"/>
    <w:rsid w:val="06DC4BBE"/>
    <w:rsid w:val="06FE1531"/>
    <w:rsid w:val="070163AE"/>
    <w:rsid w:val="070B1FBF"/>
    <w:rsid w:val="071F63A6"/>
    <w:rsid w:val="0721317C"/>
    <w:rsid w:val="072571BB"/>
    <w:rsid w:val="073827B9"/>
    <w:rsid w:val="075B3383"/>
    <w:rsid w:val="075C5614"/>
    <w:rsid w:val="078A03D3"/>
    <w:rsid w:val="07964038"/>
    <w:rsid w:val="07A37561"/>
    <w:rsid w:val="07AF003B"/>
    <w:rsid w:val="07B63A41"/>
    <w:rsid w:val="07BB571F"/>
    <w:rsid w:val="07BD5DBF"/>
    <w:rsid w:val="07BF5549"/>
    <w:rsid w:val="07CC0A79"/>
    <w:rsid w:val="07CF0943"/>
    <w:rsid w:val="07DA548D"/>
    <w:rsid w:val="07DD3E83"/>
    <w:rsid w:val="07E766E4"/>
    <w:rsid w:val="07ED5FC6"/>
    <w:rsid w:val="07EE27DA"/>
    <w:rsid w:val="07F632B7"/>
    <w:rsid w:val="0803313E"/>
    <w:rsid w:val="080737FC"/>
    <w:rsid w:val="08122A67"/>
    <w:rsid w:val="08333B8A"/>
    <w:rsid w:val="08397703"/>
    <w:rsid w:val="084278FA"/>
    <w:rsid w:val="08626C5A"/>
    <w:rsid w:val="08772F1D"/>
    <w:rsid w:val="08953238"/>
    <w:rsid w:val="08BC0CF9"/>
    <w:rsid w:val="08C00220"/>
    <w:rsid w:val="08D07817"/>
    <w:rsid w:val="090140D7"/>
    <w:rsid w:val="09407EDF"/>
    <w:rsid w:val="09734E97"/>
    <w:rsid w:val="09775B3C"/>
    <w:rsid w:val="09D54671"/>
    <w:rsid w:val="09F332E4"/>
    <w:rsid w:val="09FE6FAC"/>
    <w:rsid w:val="0A193C6F"/>
    <w:rsid w:val="0A2336C8"/>
    <w:rsid w:val="0A297F88"/>
    <w:rsid w:val="0A62066D"/>
    <w:rsid w:val="0A75290C"/>
    <w:rsid w:val="0AAA097D"/>
    <w:rsid w:val="0AAF29DE"/>
    <w:rsid w:val="0AB17507"/>
    <w:rsid w:val="0AC7231C"/>
    <w:rsid w:val="0ACB2767"/>
    <w:rsid w:val="0AD27362"/>
    <w:rsid w:val="0AF9795C"/>
    <w:rsid w:val="0B193FDA"/>
    <w:rsid w:val="0B2C4A60"/>
    <w:rsid w:val="0B2D0607"/>
    <w:rsid w:val="0B441FBF"/>
    <w:rsid w:val="0B446D25"/>
    <w:rsid w:val="0B5F577C"/>
    <w:rsid w:val="0B607BAE"/>
    <w:rsid w:val="0B6251C3"/>
    <w:rsid w:val="0B6610DF"/>
    <w:rsid w:val="0B7427BE"/>
    <w:rsid w:val="0B7A04C0"/>
    <w:rsid w:val="0B7C54FF"/>
    <w:rsid w:val="0B8F0DC8"/>
    <w:rsid w:val="0BB237AB"/>
    <w:rsid w:val="0BCB2D68"/>
    <w:rsid w:val="0BDE3F50"/>
    <w:rsid w:val="0BE95B43"/>
    <w:rsid w:val="0BEA7692"/>
    <w:rsid w:val="0BF2451A"/>
    <w:rsid w:val="0C0E7653"/>
    <w:rsid w:val="0C136693"/>
    <w:rsid w:val="0C33337E"/>
    <w:rsid w:val="0C974DD3"/>
    <w:rsid w:val="0CB45318"/>
    <w:rsid w:val="0CE52992"/>
    <w:rsid w:val="0CEA7E6F"/>
    <w:rsid w:val="0CEC1CEC"/>
    <w:rsid w:val="0CF85DDF"/>
    <w:rsid w:val="0CF87462"/>
    <w:rsid w:val="0CFA155A"/>
    <w:rsid w:val="0D25420E"/>
    <w:rsid w:val="0D2873BB"/>
    <w:rsid w:val="0D442DD2"/>
    <w:rsid w:val="0D5F5101"/>
    <w:rsid w:val="0D87443C"/>
    <w:rsid w:val="0D9D260B"/>
    <w:rsid w:val="0DC27707"/>
    <w:rsid w:val="0DC575B6"/>
    <w:rsid w:val="0DD82567"/>
    <w:rsid w:val="0DD87BEF"/>
    <w:rsid w:val="0DE330F0"/>
    <w:rsid w:val="0DEE0F90"/>
    <w:rsid w:val="0DF479C3"/>
    <w:rsid w:val="0DF96D45"/>
    <w:rsid w:val="0E120648"/>
    <w:rsid w:val="0E396794"/>
    <w:rsid w:val="0E4C3A42"/>
    <w:rsid w:val="0E4E7156"/>
    <w:rsid w:val="0E5B5D3C"/>
    <w:rsid w:val="0E844C86"/>
    <w:rsid w:val="0EA72A6A"/>
    <w:rsid w:val="0EAB05BA"/>
    <w:rsid w:val="0EAC6CF3"/>
    <w:rsid w:val="0EF4672C"/>
    <w:rsid w:val="0F2A424A"/>
    <w:rsid w:val="0F431CEF"/>
    <w:rsid w:val="0F5A44BD"/>
    <w:rsid w:val="0F8C4152"/>
    <w:rsid w:val="0FB96D88"/>
    <w:rsid w:val="0FC63F72"/>
    <w:rsid w:val="0FD7609C"/>
    <w:rsid w:val="0FEC045E"/>
    <w:rsid w:val="0FF137B6"/>
    <w:rsid w:val="10095D78"/>
    <w:rsid w:val="100E76C7"/>
    <w:rsid w:val="101E3AB7"/>
    <w:rsid w:val="103E61FE"/>
    <w:rsid w:val="10593038"/>
    <w:rsid w:val="107239CE"/>
    <w:rsid w:val="107A10BC"/>
    <w:rsid w:val="1087572B"/>
    <w:rsid w:val="10893AF0"/>
    <w:rsid w:val="10B5229F"/>
    <w:rsid w:val="10CD2A8C"/>
    <w:rsid w:val="10E91129"/>
    <w:rsid w:val="110F65B0"/>
    <w:rsid w:val="11213EA8"/>
    <w:rsid w:val="1132552D"/>
    <w:rsid w:val="1146634A"/>
    <w:rsid w:val="11576553"/>
    <w:rsid w:val="11583988"/>
    <w:rsid w:val="115A49A2"/>
    <w:rsid w:val="116B1F4D"/>
    <w:rsid w:val="11763995"/>
    <w:rsid w:val="117F7735"/>
    <w:rsid w:val="11865098"/>
    <w:rsid w:val="118E0FAD"/>
    <w:rsid w:val="119A32E7"/>
    <w:rsid w:val="11AF4116"/>
    <w:rsid w:val="11D61CAA"/>
    <w:rsid w:val="11E934C8"/>
    <w:rsid w:val="11EE1F77"/>
    <w:rsid w:val="12072EA1"/>
    <w:rsid w:val="121275EC"/>
    <w:rsid w:val="12382EB4"/>
    <w:rsid w:val="12515CD7"/>
    <w:rsid w:val="126B6961"/>
    <w:rsid w:val="12737017"/>
    <w:rsid w:val="1290609D"/>
    <w:rsid w:val="12C17110"/>
    <w:rsid w:val="12DC1375"/>
    <w:rsid w:val="12E23A26"/>
    <w:rsid w:val="12E27315"/>
    <w:rsid w:val="12FF765D"/>
    <w:rsid w:val="130A69AB"/>
    <w:rsid w:val="130B3A46"/>
    <w:rsid w:val="13260918"/>
    <w:rsid w:val="132C006E"/>
    <w:rsid w:val="1338522C"/>
    <w:rsid w:val="133A1F99"/>
    <w:rsid w:val="137837D5"/>
    <w:rsid w:val="13867BF4"/>
    <w:rsid w:val="138D1C50"/>
    <w:rsid w:val="13997EE8"/>
    <w:rsid w:val="139D148E"/>
    <w:rsid w:val="13AF08E5"/>
    <w:rsid w:val="13AF21E1"/>
    <w:rsid w:val="13B56C73"/>
    <w:rsid w:val="13C7475D"/>
    <w:rsid w:val="13D00126"/>
    <w:rsid w:val="13D30909"/>
    <w:rsid w:val="13E94D66"/>
    <w:rsid w:val="13FC371B"/>
    <w:rsid w:val="141063FA"/>
    <w:rsid w:val="142F5FE9"/>
    <w:rsid w:val="14315FF2"/>
    <w:rsid w:val="147775AC"/>
    <w:rsid w:val="14795702"/>
    <w:rsid w:val="147F611E"/>
    <w:rsid w:val="148937C0"/>
    <w:rsid w:val="14972988"/>
    <w:rsid w:val="149C2D53"/>
    <w:rsid w:val="14B518C7"/>
    <w:rsid w:val="14BA1AF5"/>
    <w:rsid w:val="14D05F62"/>
    <w:rsid w:val="14E26EBC"/>
    <w:rsid w:val="14EF4839"/>
    <w:rsid w:val="14FB4178"/>
    <w:rsid w:val="14FB646C"/>
    <w:rsid w:val="151412DC"/>
    <w:rsid w:val="15247CC5"/>
    <w:rsid w:val="15332B50"/>
    <w:rsid w:val="15361EB8"/>
    <w:rsid w:val="153C26D7"/>
    <w:rsid w:val="15551606"/>
    <w:rsid w:val="15653425"/>
    <w:rsid w:val="157027FF"/>
    <w:rsid w:val="15796A47"/>
    <w:rsid w:val="158D6A08"/>
    <w:rsid w:val="15C02C3D"/>
    <w:rsid w:val="15CF0D7A"/>
    <w:rsid w:val="15D4049B"/>
    <w:rsid w:val="15D86D90"/>
    <w:rsid w:val="15FA39B3"/>
    <w:rsid w:val="16181EB4"/>
    <w:rsid w:val="162C6439"/>
    <w:rsid w:val="163C1627"/>
    <w:rsid w:val="165D2D26"/>
    <w:rsid w:val="167110AC"/>
    <w:rsid w:val="167D616F"/>
    <w:rsid w:val="169111EF"/>
    <w:rsid w:val="169116D2"/>
    <w:rsid w:val="16AF66FF"/>
    <w:rsid w:val="16B103D8"/>
    <w:rsid w:val="16CD4CB0"/>
    <w:rsid w:val="16D0365E"/>
    <w:rsid w:val="16DE6045"/>
    <w:rsid w:val="16DF325F"/>
    <w:rsid w:val="16EC0C23"/>
    <w:rsid w:val="16F96272"/>
    <w:rsid w:val="17057CA5"/>
    <w:rsid w:val="1709334D"/>
    <w:rsid w:val="170E02D4"/>
    <w:rsid w:val="17252504"/>
    <w:rsid w:val="172A6085"/>
    <w:rsid w:val="17371CA3"/>
    <w:rsid w:val="173B478B"/>
    <w:rsid w:val="17487963"/>
    <w:rsid w:val="17594C02"/>
    <w:rsid w:val="176D1177"/>
    <w:rsid w:val="178C47AA"/>
    <w:rsid w:val="17942BA8"/>
    <w:rsid w:val="17976574"/>
    <w:rsid w:val="17A57B45"/>
    <w:rsid w:val="17AE28DC"/>
    <w:rsid w:val="17DB5CC5"/>
    <w:rsid w:val="17E32729"/>
    <w:rsid w:val="17ED09EF"/>
    <w:rsid w:val="17FC25E9"/>
    <w:rsid w:val="180B6EB8"/>
    <w:rsid w:val="180C5EB1"/>
    <w:rsid w:val="181C5273"/>
    <w:rsid w:val="182F3672"/>
    <w:rsid w:val="18401A69"/>
    <w:rsid w:val="18481C58"/>
    <w:rsid w:val="184B57EE"/>
    <w:rsid w:val="18683A13"/>
    <w:rsid w:val="18732CFB"/>
    <w:rsid w:val="187A2F47"/>
    <w:rsid w:val="18A1566D"/>
    <w:rsid w:val="18A60DE5"/>
    <w:rsid w:val="18AE2289"/>
    <w:rsid w:val="18D019BE"/>
    <w:rsid w:val="18D12CE0"/>
    <w:rsid w:val="18D24E93"/>
    <w:rsid w:val="18DB577D"/>
    <w:rsid w:val="18E176E5"/>
    <w:rsid w:val="18FE5282"/>
    <w:rsid w:val="18FF6864"/>
    <w:rsid w:val="190A3122"/>
    <w:rsid w:val="19393A07"/>
    <w:rsid w:val="194D3CE2"/>
    <w:rsid w:val="197C2F2C"/>
    <w:rsid w:val="19885498"/>
    <w:rsid w:val="19A8293B"/>
    <w:rsid w:val="19C61C1A"/>
    <w:rsid w:val="19C672EA"/>
    <w:rsid w:val="19C85A20"/>
    <w:rsid w:val="19DB686C"/>
    <w:rsid w:val="19DC1D92"/>
    <w:rsid w:val="19F159B5"/>
    <w:rsid w:val="19F17206"/>
    <w:rsid w:val="19F567FA"/>
    <w:rsid w:val="19FA4C0A"/>
    <w:rsid w:val="1A090747"/>
    <w:rsid w:val="1A131BEC"/>
    <w:rsid w:val="1A1657B7"/>
    <w:rsid w:val="1A181889"/>
    <w:rsid w:val="1A35612D"/>
    <w:rsid w:val="1A8076F9"/>
    <w:rsid w:val="1A8C739D"/>
    <w:rsid w:val="1A90348F"/>
    <w:rsid w:val="1A9F5AEC"/>
    <w:rsid w:val="1AB0794B"/>
    <w:rsid w:val="1ABC1CE5"/>
    <w:rsid w:val="1ACB48E1"/>
    <w:rsid w:val="1ACD258E"/>
    <w:rsid w:val="1AD435EB"/>
    <w:rsid w:val="1AE620A1"/>
    <w:rsid w:val="1AEC4FCB"/>
    <w:rsid w:val="1AFE48E3"/>
    <w:rsid w:val="1B005CDB"/>
    <w:rsid w:val="1B087B35"/>
    <w:rsid w:val="1B161797"/>
    <w:rsid w:val="1B315098"/>
    <w:rsid w:val="1B4E010B"/>
    <w:rsid w:val="1B517880"/>
    <w:rsid w:val="1B521FBB"/>
    <w:rsid w:val="1B5654E4"/>
    <w:rsid w:val="1B9969DF"/>
    <w:rsid w:val="1BAE7CB4"/>
    <w:rsid w:val="1BB0053C"/>
    <w:rsid w:val="1BB42771"/>
    <w:rsid w:val="1BC50332"/>
    <w:rsid w:val="1BDB6767"/>
    <w:rsid w:val="1BDC6FDA"/>
    <w:rsid w:val="1BE706FF"/>
    <w:rsid w:val="1BEBF4B1"/>
    <w:rsid w:val="1BFF009D"/>
    <w:rsid w:val="1C0A127B"/>
    <w:rsid w:val="1C117157"/>
    <w:rsid w:val="1C191A3A"/>
    <w:rsid w:val="1C19396B"/>
    <w:rsid w:val="1C4973AD"/>
    <w:rsid w:val="1C6623A4"/>
    <w:rsid w:val="1C7A4FB0"/>
    <w:rsid w:val="1C946CA8"/>
    <w:rsid w:val="1CCD11DD"/>
    <w:rsid w:val="1CD335B8"/>
    <w:rsid w:val="1CF001B8"/>
    <w:rsid w:val="1D1B39DB"/>
    <w:rsid w:val="1D31745E"/>
    <w:rsid w:val="1D476D59"/>
    <w:rsid w:val="1D526C34"/>
    <w:rsid w:val="1D5A2A2E"/>
    <w:rsid w:val="1D640788"/>
    <w:rsid w:val="1D730F99"/>
    <w:rsid w:val="1DA11B98"/>
    <w:rsid w:val="1DB046F5"/>
    <w:rsid w:val="1DED650F"/>
    <w:rsid w:val="1DF61783"/>
    <w:rsid w:val="1E074C49"/>
    <w:rsid w:val="1E20277C"/>
    <w:rsid w:val="1E501E00"/>
    <w:rsid w:val="1E5033D7"/>
    <w:rsid w:val="1E923533"/>
    <w:rsid w:val="1E9E4602"/>
    <w:rsid w:val="1EB713B5"/>
    <w:rsid w:val="1EFC2E54"/>
    <w:rsid w:val="1EFC704F"/>
    <w:rsid w:val="1F022AED"/>
    <w:rsid w:val="1F1840BF"/>
    <w:rsid w:val="1F29043C"/>
    <w:rsid w:val="1F4F53ED"/>
    <w:rsid w:val="1F512C42"/>
    <w:rsid w:val="1F6F5667"/>
    <w:rsid w:val="1F767A1A"/>
    <w:rsid w:val="1F8A4FBC"/>
    <w:rsid w:val="1F9B4805"/>
    <w:rsid w:val="1F9E3A4D"/>
    <w:rsid w:val="1FAEC543"/>
    <w:rsid w:val="1FB81033"/>
    <w:rsid w:val="1FC508AF"/>
    <w:rsid w:val="1FC57BAD"/>
    <w:rsid w:val="1FC721C5"/>
    <w:rsid w:val="1FEB2B66"/>
    <w:rsid w:val="1FEC4B1E"/>
    <w:rsid w:val="1FF93EF0"/>
    <w:rsid w:val="1FFB61F7"/>
    <w:rsid w:val="200500F6"/>
    <w:rsid w:val="201512F2"/>
    <w:rsid w:val="201A5868"/>
    <w:rsid w:val="20253A01"/>
    <w:rsid w:val="20522BB1"/>
    <w:rsid w:val="20686BAE"/>
    <w:rsid w:val="20735C1C"/>
    <w:rsid w:val="20890DB2"/>
    <w:rsid w:val="20915ED7"/>
    <w:rsid w:val="20A91E45"/>
    <w:rsid w:val="20AA2F1F"/>
    <w:rsid w:val="20B13EAA"/>
    <w:rsid w:val="20B50BF0"/>
    <w:rsid w:val="20BE0C16"/>
    <w:rsid w:val="20CF6335"/>
    <w:rsid w:val="20D71FBC"/>
    <w:rsid w:val="20E837C9"/>
    <w:rsid w:val="20EC7F3C"/>
    <w:rsid w:val="20ED30F3"/>
    <w:rsid w:val="210E7527"/>
    <w:rsid w:val="21451F5F"/>
    <w:rsid w:val="214F3605"/>
    <w:rsid w:val="217363CD"/>
    <w:rsid w:val="21894917"/>
    <w:rsid w:val="219A172E"/>
    <w:rsid w:val="219F0AC7"/>
    <w:rsid w:val="21AE3D5C"/>
    <w:rsid w:val="21B13C9F"/>
    <w:rsid w:val="21C264BD"/>
    <w:rsid w:val="21C43126"/>
    <w:rsid w:val="21D32F07"/>
    <w:rsid w:val="21DE5F39"/>
    <w:rsid w:val="21F1567C"/>
    <w:rsid w:val="22060A6F"/>
    <w:rsid w:val="22347F62"/>
    <w:rsid w:val="2240387C"/>
    <w:rsid w:val="22734E68"/>
    <w:rsid w:val="227A3855"/>
    <w:rsid w:val="228E7A3D"/>
    <w:rsid w:val="228F59EC"/>
    <w:rsid w:val="22972491"/>
    <w:rsid w:val="22A50CDE"/>
    <w:rsid w:val="22AD58BE"/>
    <w:rsid w:val="22BA12A6"/>
    <w:rsid w:val="22CB0A12"/>
    <w:rsid w:val="22D14EAB"/>
    <w:rsid w:val="22D402FC"/>
    <w:rsid w:val="22E44830"/>
    <w:rsid w:val="22FC2107"/>
    <w:rsid w:val="23151B75"/>
    <w:rsid w:val="23244DE0"/>
    <w:rsid w:val="233548EB"/>
    <w:rsid w:val="23691BCC"/>
    <w:rsid w:val="236C2A08"/>
    <w:rsid w:val="23AD2159"/>
    <w:rsid w:val="23C16CBF"/>
    <w:rsid w:val="23D523F6"/>
    <w:rsid w:val="23D54981"/>
    <w:rsid w:val="23F30C56"/>
    <w:rsid w:val="23FF602E"/>
    <w:rsid w:val="240D1DFC"/>
    <w:rsid w:val="24121366"/>
    <w:rsid w:val="24502F21"/>
    <w:rsid w:val="24503BE4"/>
    <w:rsid w:val="245142FB"/>
    <w:rsid w:val="245F28C4"/>
    <w:rsid w:val="246B4A34"/>
    <w:rsid w:val="249064A5"/>
    <w:rsid w:val="2492221D"/>
    <w:rsid w:val="24A41A38"/>
    <w:rsid w:val="24A77F65"/>
    <w:rsid w:val="24B5446F"/>
    <w:rsid w:val="24B67327"/>
    <w:rsid w:val="24E32B83"/>
    <w:rsid w:val="24EB21AD"/>
    <w:rsid w:val="24ED4000"/>
    <w:rsid w:val="250112B2"/>
    <w:rsid w:val="25270D46"/>
    <w:rsid w:val="25513C99"/>
    <w:rsid w:val="25553C3C"/>
    <w:rsid w:val="25557B41"/>
    <w:rsid w:val="25675458"/>
    <w:rsid w:val="25860A93"/>
    <w:rsid w:val="25951FC5"/>
    <w:rsid w:val="25BB5856"/>
    <w:rsid w:val="25C338F4"/>
    <w:rsid w:val="25C948B1"/>
    <w:rsid w:val="25CA498C"/>
    <w:rsid w:val="25D83902"/>
    <w:rsid w:val="25EC5294"/>
    <w:rsid w:val="25FA57AA"/>
    <w:rsid w:val="261D1FBA"/>
    <w:rsid w:val="26292263"/>
    <w:rsid w:val="262B26F5"/>
    <w:rsid w:val="26401F54"/>
    <w:rsid w:val="265C0D35"/>
    <w:rsid w:val="266B7F3E"/>
    <w:rsid w:val="268262E6"/>
    <w:rsid w:val="269C3827"/>
    <w:rsid w:val="26C501F6"/>
    <w:rsid w:val="26D93C5A"/>
    <w:rsid w:val="26DD00C8"/>
    <w:rsid w:val="26E918D2"/>
    <w:rsid w:val="26EC5768"/>
    <w:rsid w:val="26ED6355"/>
    <w:rsid w:val="271A55A1"/>
    <w:rsid w:val="27230424"/>
    <w:rsid w:val="273036DF"/>
    <w:rsid w:val="27393716"/>
    <w:rsid w:val="27624701"/>
    <w:rsid w:val="278C049E"/>
    <w:rsid w:val="27943CA3"/>
    <w:rsid w:val="2796401D"/>
    <w:rsid w:val="279E252D"/>
    <w:rsid w:val="27A6446B"/>
    <w:rsid w:val="27A83BA5"/>
    <w:rsid w:val="27B41745"/>
    <w:rsid w:val="27E65AEA"/>
    <w:rsid w:val="27EB4924"/>
    <w:rsid w:val="27F43859"/>
    <w:rsid w:val="280024EA"/>
    <w:rsid w:val="280E7E13"/>
    <w:rsid w:val="28150805"/>
    <w:rsid w:val="281573ED"/>
    <w:rsid w:val="282A1B54"/>
    <w:rsid w:val="28427B12"/>
    <w:rsid w:val="284407DF"/>
    <w:rsid w:val="286D7074"/>
    <w:rsid w:val="28791428"/>
    <w:rsid w:val="2879797C"/>
    <w:rsid w:val="28896A8E"/>
    <w:rsid w:val="28AF1CAC"/>
    <w:rsid w:val="28B144BC"/>
    <w:rsid w:val="28B26F2C"/>
    <w:rsid w:val="28B72FF1"/>
    <w:rsid w:val="28F25D98"/>
    <w:rsid w:val="28F416F8"/>
    <w:rsid w:val="290731DA"/>
    <w:rsid w:val="291248F2"/>
    <w:rsid w:val="29143B49"/>
    <w:rsid w:val="291D1AA0"/>
    <w:rsid w:val="292C64FD"/>
    <w:rsid w:val="292E11CA"/>
    <w:rsid w:val="2937372F"/>
    <w:rsid w:val="293E511D"/>
    <w:rsid w:val="294C442D"/>
    <w:rsid w:val="2951438C"/>
    <w:rsid w:val="295E02BC"/>
    <w:rsid w:val="29622D58"/>
    <w:rsid w:val="29631EE0"/>
    <w:rsid w:val="296339DD"/>
    <w:rsid w:val="296C609F"/>
    <w:rsid w:val="29720080"/>
    <w:rsid w:val="29847456"/>
    <w:rsid w:val="298A7967"/>
    <w:rsid w:val="298B7D04"/>
    <w:rsid w:val="29922599"/>
    <w:rsid w:val="29985BA5"/>
    <w:rsid w:val="299B192E"/>
    <w:rsid w:val="299F40E5"/>
    <w:rsid w:val="29AC32E6"/>
    <w:rsid w:val="29D3130E"/>
    <w:rsid w:val="29E452C9"/>
    <w:rsid w:val="2A020879"/>
    <w:rsid w:val="2A0F7BC4"/>
    <w:rsid w:val="2A202065"/>
    <w:rsid w:val="2A3E0BD6"/>
    <w:rsid w:val="2A4450BB"/>
    <w:rsid w:val="2A476DFE"/>
    <w:rsid w:val="2A4F592F"/>
    <w:rsid w:val="2A5C3237"/>
    <w:rsid w:val="2A9D4325"/>
    <w:rsid w:val="2AC87580"/>
    <w:rsid w:val="2AF60841"/>
    <w:rsid w:val="2B0F60DF"/>
    <w:rsid w:val="2B3E728A"/>
    <w:rsid w:val="2B400F64"/>
    <w:rsid w:val="2B4C2E44"/>
    <w:rsid w:val="2B4F7E3C"/>
    <w:rsid w:val="2B641215"/>
    <w:rsid w:val="2B656950"/>
    <w:rsid w:val="2B6C0E15"/>
    <w:rsid w:val="2B764647"/>
    <w:rsid w:val="2B927DF6"/>
    <w:rsid w:val="2B9845BD"/>
    <w:rsid w:val="2B995454"/>
    <w:rsid w:val="2BAE0FC1"/>
    <w:rsid w:val="2BB33634"/>
    <w:rsid w:val="2BBD0B4F"/>
    <w:rsid w:val="2BCA5B9F"/>
    <w:rsid w:val="2C0953DD"/>
    <w:rsid w:val="2C0B7CB8"/>
    <w:rsid w:val="2C101120"/>
    <w:rsid w:val="2C632A71"/>
    <w:rsid w:val="2C6D422B"/>
    <w:rsid w:val="2C7550BE"/>
    <w:rsid w:val="2C8B0B92"/>
    <w:rsid w:val="2C9E13A7"/>
    <w:rsid w:val="2CB14A3A"/>
    <w:rsid w:val="2CB610C2"/>
    <w:rsid w:val="2CC11B51"/>
    <w:rsid w:val="2CD2421D"/>
    <w:rsid w:val="2CDF1B3E"/>
    <w:rsid w:val="2CF47F19"/>
    <w:rsid w:val="2CF739D3"/>
    <w:rsid w:val="2CF7550A"/>
    <w:rsid w:val="2D1351BA"/>
    <w:rsid w:val="2D1535D9"/>
    <w:rsid w:val="2D1B5BD1"/>
    <w:rsid w:val="2D24719C"/>
    <w:rsid w:val="2D3C22E9"/>
    <w:rsid w:val="2D506341"/>
    <w:rsid w:val="2D595FCE"/>
    <w:rsid w:val="2D803380"/>
    <w:rsid w:val="2DB27DA6"/>
    <w:rsid w:val="2DC57151"/>
    <w:rsid w:val="2DCE03F7"/>
    <w:rsid w:val="2DE63409"/>
    <w:rsid w:val="2DE82DFA"/>
    <w:rsid w:val="2E0A3550"/>
    <w:rsid w:val="2E0B7E3C"/>
    <w:rsid w:val="2E1761E9"/>
    <w:rsid w:val="2E225982"/>
    <w:rsid w:val="2E23490D"/>
    <w:rsid w:val="2E2B21AF"/>
    <w:rsid w:val="2E3F51C4"/>
    <w:rsid w:val="2E664920"/>
    <w:rsid w:val="2E794E0D"/>
    <w:rsid w:val="2E7F65F7"/>
    <w:rsid w:val="2E8700A3"/>
    <w:rsid w:val="2E8A57C3"/>
    <w:rsid w:val="2E9A30C2"/>
    <w:rsid w:val="2EA20214"/>
    <w:rsid w:val="2EB27575"/>
    <w:rsid w:val="2EBF74E3"/>
    <w:rsid w:val="2EC26600"/>
    <w:rsid w:val="2ED74229"/>
    <w:rsid w:val="2EDE5068"/>
    <w:rsid w:val="2EE23E1F"/>
    <w:rsid w:val="2EEF6EAF"/>
    <w:rsid w:val="2F0525B0"/>
    <w:rsid w:val="2F0D4FB6"/>
    <w:rsid w:val="2F0E0D6E"/>
    <w:rsid w:val="2F1A79DF"/>
    <w:rsid w:val="2F201FCA"/>
    <w:rsid w:val="2F226B23"/>
    <w:rsid w:val="2F2A1D28"/>
    <w:rsid w:val="2F4E3842"/>
    <w:rsid w:val="2F51044C"/>
    <w:rsid w:val="2F633434"/>
    <w:rsid w:val="2F6D1BA6"/>
    <w:rsid w:val="2F6E7558"/>
    <w:rsid w:val="2F760215"/>
    <w:rsid w:val="2F7E7F6E"/>
    <w:rsid w:val="2F881D68"/>
    <w:rsid w:val="2F9314F3"/>
    <w:rsid w:val="2F962B91"/>
    <w:rsid w:val="2FB126B7"/>
    <w:rsid w:val="2FB24B66"/>
    <w:rsid w:val="2FB653FA"/>
    <w:rsid w:val="2FBA43CE"/>
    <w:rsid w:val="2FCC0796"/>
    <w:rsid w:val="2FCE34CF"/>
    <w:rsid w:val="2FD22346"/>
    <w:rsid w:val="2FE316BD"/>
    <w:rsid w:val="2FE53B49"/>
    <w:rsid w:val="2FEC46C6"/>
    <w:rsid w:val="300F50BB"/>
    <w:rsid w:val="3017307B"/>
    <w:rsid w:val="30225F7B"/>
    <w:rsid w:val="30334B55"/>
    <w:rsid w:val="3038011D"/>
    <w:rsid w:val="305203FD"/>
    <w:rsid w:val="305D72B1"/>
    <w:rsid w:val="30687725"/>
    <w:rsid w:val="30857E75"/>
    <w:rsid w:val="3086424D"/>
    <w:rsid w:val="308E5422"/>
    <w:rsid w:val="309346C7"/>
    <w:rsid w:val="30C93B1B"/>
    <w:rsid w:val="30CE092D"/>
    <w:rsid w:val="30F8359F"/>
    <w:rsid w:val="31021E40"/>
    <w:rsid w:val="311558D5"/>
    <w:rsid w:val="312D6502"/>
    <w:rsid w:val="31366EB5"/>
    <w:rsid w:val="3142778E"/>
    <w:rsid w:val="314B4F05"/>
    <w:rsid w:val="31564B75"/>
    <w:rsid w:val="316D5522"/>
    <w:rsid w:val="316F7C9A"/>
    <w:rsid w:val="31714508"/>
    <w:rsid w:val="31B710C4"/>
    <w:rsid w:val="31C5181C"/>
    <w:rsid w:val="31CD5573"/>
    <w:rsid w:val="31DC0D89"/>
    <w:rsid w:val="32046E81"/>
    <w:rsid w:val="321D591E"/>
    <w:rsid w:val="321F3B91"/>
    <w:rsid w:val="32223ECA"/>
    <w:rsid w:val="32290665"/>
    <w:rsid w:val="323E66B5"/>
    <w:rsid w:val="32416D99"/>
    <w:rsid w:val="324C6081"/>
    <w:rsid w:val="32541879"/>
    <w:rsid w:val="32615378"/>
    <w:rsid w:val="32705150"/>
    <w:rsid w:val="327A44A2"/>
    <w:rsid w:val="32C43678"/>
    <w:rsid w:val="32CD1856"/>
    <w:rsid w:val="32D44271"/>
    <w:rsid w:val="32D766D2"/>
    <w:rsid w:val="32DD31FD"/>
    <w:rsid w:val="32F152E1"/>
    <w:rsid w:val="33150BE9"/>
    <w:rsid w:val="332C7AAA"/>
    <w:rsid w:val="333B5ACA"/>
    <w:rsid w:val="3346015A"/>
    <w:rsid w:val="33470068"/>
    <w:rsid w:val="335E54D9"/>
    <w:rsid w:val="3369449A"/>
    <w:rsid w:val="336D2F43"/>
    <w:rsid w:val="33743A01"/>
    <w:rsid w:val="338F44F8"/>
    <w:rsid w:val="33A07209"/>
    <w:rsid w:val="33B476DF"/>
    <w:rsid w:val="33C25FB4"/>
    <w:rsid w:val="33C87900"/>
    <w:rsid w:val="33D84B21"/>
    <w:rsid w:val="33DD2C95"/>
    <w:rsid w:val="33DF5365"/>
    <w:rsid w:val="33E412BD"/>
    <w:rsid w:val="34007CA1"/>
    <w:rsid w:val="34045566"/>
    <w:rsid w:val="340D6426"/>
    <w:rsid w:val="341422A7"/>
    <w:rsid w:val="34240C0D"/>
    <w:rsid w:val="343242F0"/>
    <w:rsid w:val="343B59F6"/>
    <w:rsid w:val="343E00A2"/>
    <w:rsid w:val="343E0D7B"/>
    <w:rsid w:val="34401C96"/>
    <w:rsid w:val="345A23C8"/>
    <w:rsid w:val="3466268C"/>
    <w:rsid w:val="346B298C"/>
    <w:rsid w:val="34737472"/>
    <w:rsid w:val="348957C0"/>
    <w:rsid w:val="349051CB"/>
    <w:rsid w:val="349C6FE7"/>
    <w:rsid w:val="34A12BD1"/>
    <w:rsid w:val="34A44FED"/>
    <w:rsid w:val="34A63BAA"/>
    <w:rsid w:val="34B51B07"/>
    <w:rsid w:val="34BA5C25"/>
    <w:rsid w:val="34C47227"/>
    <w:rsid w:val="34DB3F45"/>
    <w:rsid w:val="34F32864"/>
    <w:rsid w:val="34F51984"/>
    <w:rsid w:val="34FB15AD"/>
    <w:rsid w:val="35013F43"/>
    <w:rsid w:val="3507608E"/>
    <w:rsid w:val="350E4C02"/>
    <w:rsid w:val="352F4DFD"/>
    <w:rsid w:val="35331AFC"/>
    <w:rsid w:val="354641C9"/>
    <w:rsid w:val="355A65B1"/>
    <w:rsid w:val="355F1FA0"/>
    <w:rsid w:val="35603A27"/>
    <w:rsid w:val="357F330A"/>
    <w:rsid w:val="35835D15"/>
    <w:rsid w:val="358B2F3A"/>
    <w:rsid w:val="35AD7553"/>
    <w:rsid w:val="35B02C8B"/>
    <w:rsid w:val="35BE8436"/>
    <w:rsid w:val="35CD5E89"/>
    <w:rsid w:val="35DA5AB2"/>
    <w:rsid w:val="35DF5090"/>
    <w:rsid w:val="35EB444C"/>
    <w:rsid w:val="35F21069"/>
    <w:rsid w:val="35FF3BBA"/>
    <w:rsid w:val="35FF4B01"/>
    <w:rsid w:val="36213F68"/>
    <w:rsid w:val="362B7EA1"/>
    <w:rsid w:val="36305446"/>
    <w:rsid w:val="36327AD0"/>
    <w:rsid w:val="36417997"/>
    <w:rsid w:val="36484D36"/>
    <w:rsid w:val="364C3BE8"/>
    <w:rsid w:val="366A124C"/>
    <w:rsid w:val="36770BB5"/>
    <w:rsid w:val="36825221"/>
    <w:rsid w:val="369B1405"/>
    <w:rsid w:val="369E1BA7"/>
    <w:rsid w:val="36AC4693"/>
    <w:rsid w:val="36C26CFA"/>
    <w:rsid w:val="36CD3C95"/>
    <w:rsid w:val="36CE6287"/>
    <w:rsid w:val="36F966B0"/>
    <w:rsid w:val="370031F4"/>
    <w:rsid w:val="371C2EEF"/>
    <w:rsid w:val="373C622C"/>
    <w:rsid w:val="375C221E"/>
    <w:rsid w:val="377A1103"/>
    <w:rsid w:val="37857767"/>
    <w:rsid w:val="379F719F"/>
    <w:rsid w:val="37A679DF"/>
    <w:rsid w:val="37AF1BCC"/>
    <w:rsid w:val="37F76B0F"/>
    <w:rsid w:val="38013041"/>
    <w:rsid w:val="38146447"/>
    <w:rsid w:val="38221E5C"/>
    <w:rsid w:val="385950D4"/>
    <w:rsid w:val="386F2B4A"/>
    <w:rsid w:val="3888355A"/>
    <w:rsid w:val="38A20119"/>
    <w:rsid w:val="38BC2363"/>
    <w:rsid w:val="38BE162F"/>
    <w:rsid w:val="38C10302"/>
    <w:rsid w:val="38C87003"/>
    <w:rsid w:val="38D73EDB"/>
    <w:rsid w:val="38DA478B"/>
    <w:rsid w:val="390218A4"/>
    <w:rsid w:val="39140D94"/>
    <w:rsid w:val="3930052B"/>
    <w:rsid w:val="394317DA"/>
    <w:rsid w:val="395359B2"/>
    <w:rsid w:val="395B0363"/>
    <w:rsid w:val="39BB7A90"/>
    <w:rsid w:val="39C04F40"/>
    <w:rsid w:val="39C870C0"/>
    <w:rsid w:val="39DD2F40"/>
    <w:rsid w:val="39F203D7"/>
    <w:rsid w:val="39F916E4"/>
    <w:rsid w:val="3A0C5B6F"/>
    <w:rsid w:val="3A1116E6"/>
    <w:rsid w:val="3A14753F"/>
    <w:rsid w:val="3A2E2A89"/>
    <w:rsid w:val="3A3F4F50"/>
    <w:rsid w:val="3A571E00"/>
    <w:rsid w:val="3A866D30"/>
    <w:rsid w:val="3A8A3C6B"/>
    <w:rsid w:val="3AD03586"/>
    <w:rsid w:val="3AF4132F"/>
    <w:rsid w:val="3AF84A42"/>
    <w:rsid w:val="3B156880"/>
    <w:rsid w:val="3B213402"/>
    <w:rsid w:val="3B806B43"/>
    <w:rsid w:val="3B8360CE"/>
    <w:rsid w:val="3B9A0458"/>
    <w:rsid w:val="3B9F40B5"/>
    <w:rsid w:val="3BA475B2"/>
    <w:rsid w:val="3BA7084C"/>
    <w:rsid w:val="3BBC5C79"/>
    <w:rsid w:val="3C004F83"/>
    <w:rsid w:val="3C011F53"/>
    <w:rsid w:val="3C12543D"/>
    <w:rsid w:val="3C1C1BA2"/>
    <w:rsid w:val="3C2C4D5F"/>
    <w:rsid w:val="3C546D47"/>
    <w:rsid w:val="3C5B5B41"/>
    <w:rsid w:val="3C72281A"/>
    <w:rsid w:val="3C84479C"/>
    <w:rsid w:val="3C8A1D00"/>
    <w:rsid w:val="3C90674D"/>
    <w:rsid w:val="3C961F48"/>
    <w:rsid w:val="3C9C5396"/>
    <w:rsid w:val="3CBE19FF"/>
    <w:rsid w:val="3CBF3F26"/>
    <w:rsid w:val="3CC04118"/>
    <w:rsid w:val="3CD35B96"/>
    <w:rsid w:val="3CD57C0F"/>
    <w:rsid w:val="3CDF570E"/>
    <w:rsid w:val="3CFB1E90"/>
    <w:rsid w:val="3D0D752E"/>
    <w:rsid w:val="3D520910"/>
    <w:rsid w:val="3D5F2F38"/>
    <w:rsid w:val="3D6D04CC"/>
    <w:rsid w:val="3D7F095D"/>
    <w:rsid w:val="3D882F76"/>
    <w:rsid w:val="3D9F5C26"/>
    <w:rsid w:val="3DAD38E9"/>
    <w:rsid w:val="3DB63E6E"/>
    <w:rsid w:val="3DD559C4"/>
    <w:rsid w:val="3DDA5C68"/>
    <w:rsid w:val="3E05177B"/>
    <w:rsid w:val="3E06185A"/>
    <w:rsid w:val="3E0804D6"/>
    <w:rsid w:val="3E0F2453"/>
    <w:rsid w:val="3E106A96"/>
    <w:rsid w:val="3E261E34"/>
    <w:rsid w:val="3E5D5000"/>
    <w:rsid w:val="3E6B23BD"/>
    <w:rsid w:val="3E8240BD"/>
    <w:rsid w:val="3E931831"/>
    <w:rsid w:val="3E977718"/>
    <w:rsid w:val="3E9E4D8B"/>
    <w:rsid w:val="3EA00370"/>
    <w:rsid w:val="3EB50BF6"/>
    <w:rsid w:val="3EB97DAD"/>
    <w:rsid w:val="3EC32050"/>
    <w:rsid w:val="3ED158E3"/>
    <w:rsid w:val="3ED64E13"/>
    <w:rsid w:val="3EE02D22"/>
    <w:rsid w:val="3EE55FB3"/>
    <w:rsid w:val="3EF524E3"/>
    <w:rsid w:val="3F1D32FF"/>
    <w:rsid w:val="3F2040DC"/>
    <w:rsid w:val="3F2774CC"/>
    <w:rsid w:val="3F33174B"/>
    <w:rsid w:val="3F4A39C9"/>
    <w:rsid w:val="3F67457A"/>
    <w:rsid w:val="3F681E08"/>
    <w:rsid w:val="3F7D723B"/>
    <w:rsid w:val="3F8B0CAA"/>
    <w:rsid w:val="3FA43682"/>
    <w:rsid w:val="3FA53D77"/>
    <w:rsid w:val="3FB81683"/>
    <w:rsid w:val="3FBDDE77"/>
    <w:rsid w:val="3FD10495"/>
    <w:rsid w:val="3FDFDB5A"/>
    <w:rsid w:val="3FF70A38"/>
    <w:rsid w:val="3FF72B57"/>
    <w:rsid w:val="40221C36"/>
    <w:rsid w:val="4035041A"/>
    <w:rsid w:val="405824AB"/>
    <w:rsid w:val="409F3451"/>
    <w:rsid w:val="40B83B96"/>
    <w:rsid w:val="40D07EFD"/>
    <w:rsid w:val="40EA5463"/>
    <w:rsid w:val="40EB11DB"/>
    <w:rsid w:val="40EC510F"/>
    <w:rsid w:val="40ED2246"/>
    <w:rsid w:val="410013C3"/>
    <w:rsid w:val="41072246"/>
    <w:rsid w:val="4172508D"/>
    <w:rsid w:val="41776D57"/>
    <w:rsid w:val="418160EE"/>
    <w:rsid w:val="41872CB2"/>
    <w:rsid w:val="418A5D88"/>
    <w:rsid w:val="419565AA"/>
    <w:rsid w:val="41A6315E"/>
    <w:rsid w:val="41B15F81"/>
    <w:rsid w:val="41CD1600"/>
    <w:rsid w:val="41F46025"/>
    <w:rsid w:val="41FA77B9"/>
    <w:rsid w:val="424020C2"/>
    <w:rsid w:val="424A748B"/>
    <w:rsid w:val="427B54C4"/>
    <w:rsid w:val="427E40F8"/>
    <w:rsid w:val="42896497"/>
    <w:rsid w:val="428D34B9"/>
    <w:rsid w:val="42BF022A"/>
    <w:rsid w:val="42F64D6A"/>
    <w:rsid w:val="42F9029E"/>
    <w:rsid w:val="4304011F"/>
    <w:rsid w:val="43095427"/>
    <w:rsid w:val="430F4ABA"/>
    <w:rsid w:val="432771A3"/>
    <w:rsid w:val="43291B47"/>
    <w:rsid w:val="43404419"/>
    <w:rsid w:val="435843C6"/>
    <w:rsid w:val="43632495"/>
    <w:rsid w:val="436F39FE"/>
    <w:rsid w:val="4379179E"/>
    <w:rsid w:val="437F7839"/>
    <w:rsid w:val="43B86FB5"/>
    <w:rsid w:val="43BE2BC1"/>
    <w:rsid w:val="43DA78BA"/>
    <w:rsid w:val="43E01571"/>
    <w:rsid w:val="43E23ABE"/>
    <w:rsid w:val="43F91D69"/>
    <w:rsid w:val="4416735D"/>
    <w:rsid w:val="44276591"/>
    <w:rsid w:val="442D0A59"/>
    <w:rsid w:val="443D457B"/>
    <w:rsid w:val="443E00AB"/>
    <w:rsid w:val="445941F8"/>
    <w:rsid w:val="445A7D77"/>
    <w:rsid w:val="445B23FF"/>
    <w:rsid w:val="44623562"/>
    <w:rsid w:val="4475336F"/>
    <w:rsid w:val="44881C97"/>
    <w:rsid w:val="448B5570"/>
    <w:rsid w:val="448D5606"/>
    <w:rsid w:val="44A32484"/>
    <w:rsid w:val="44AA6D2D"/>
    <w:rsid w:val="44AE67A8"/>
    <w:rsid w:val="44E02235"/>
    <w:rsid w:val="45006C3F"/>
    <w:rsid w:val="4513485D"/>
    <w:rsid w:val="4513782A"/>
    <w:rsid w:val="451E3798"/>
    <w:rsid w:val="45376248"/>
    <w:rsid w:val="45392926"/>
    <w:rsid w:val="45435E74"/>
    <w:rsid w:val="45616546"/>
    <w:rsid w:val="4586245E"/>
    <w:rsid w:val="459B1334"/>
    <w:rsid w:val="45B302E2"/>
    <w:rsid w:val="45BD4733"/>
    <w:rsid w:val="45E96325"/>
    <w:rsid w:val="45FD385E"/>
    <w:rsid w:val="46012B15"/>
    <w:rsid w:val="46020561"/>
    <w:rsid w:val="46182787"/>
    <w:rsid w:val="46547497"/>
    <w:rsid w:val="465D5960"/>
    <w:rsid w:val="465E2D99"/>
    <w:rsid w:val="467D5DE0"/>
    <w:rsid w:val="467E0F4C"/>
    <w:rsid w:val="468077BC"/>
    <w:rsid w:val="468B7C16"/>
    <w:rsid w:val="468D57DE"/>
    <w:rsid w:val="468E2DD0"/>
    <w:rsid w:val="46935383"/>
    <w:rsid w:val="46BA69B4"/>
    <w:rsid w:val="46C8441D"/>
    <w:rsid w:val="46CE7A48"/>
    <w:rsid w:val="46F26850"/>
    <w:rsid w:val="47064A0F"/>
    <w:rsid w:val="47243300"/>
    <w:rsid w:val="474701B1"/>
    <w:rsid w:val="47530EFD"/>
    <w:rsid w:val="47AC7971"/>
    <w:rsid w:val="47B0769C"/>
    <w:rsid w:val="47B25244"/>
    <w:rsid w:val="47B502C8"/>
    <w:rsid w:val="47C55749"/>
    <w:rsid w:val="47EF13C6"/>
    <w:rsid w:val="4808325E"/>
    <w:rsid w:val="482E3D7B"/>
    <w:rsid w:val="484B1E04"/>
    <w:rsid w:val="486508D7"/>
    <w:rsid w:val="487C0D88"/>
    <w:rsid w:val="488C6CBC"/>
    <w:rsid w:val="489F52E2"/>
    <w:rsid w:val="48A76DF3"/>
    <w:rsid w:val="48B90B2E"/>
    <w:rsid w:val="48CD3679"/>
    <w:rsid w:val="48CE40CF"/>
    <w:rsid w:val="48E34B65"/>
    <w:rsid w:val="49012C21"/>
    <w:rsid w:val="490C5AE9"/>
    <w:rsid w:val="49193F55"/>
    <w:rsid w:val="49384933"/>
    <w:rsid w:val="49542DC8"/>
    <w:rsid w:val="496041E7"/>
    <w:rsid w:val="49627B61"/>
    <w:rsid w:val="497E2A28"/>
    <w:rsid w:val="498E3D2B"/>
    <w:rsid w:val="49B6746C"/>
    <w:rsid w:val="49BB669B"/>
    <w:rsid w:val="49D438AE"/>
    <w:rsid w:val="49DC668E"/>
    <w:rsid w:val="49FD6207"/>
    <w:rsid w:val="49FF722A"/>
    <w:rsid w:val="4A0D5B49"/>
    <w:rsid w:val="4A1A1BC5"/>
    <w:rsid w:val="4A2F038B"/>
    <w:rsid w:val="4A400CBE"/>
    <w:rsid w:val="4A631497"/>
    <w:rsid w:val="4A657F63"/>
    <w:rsid w:val="4A743A54"/>
    <w:rsid w:val="4A837B0A"/>
    <w:rsid w:val="4A895707"/>
    <w:rsid w:val="4A8B338B"/>
    <w:rsid w:val="4A8D5E6E"/>
    <w:rsid w:val="4AB2387D"/>
    <w:rsid w:val="4AEB0E78"/>
    <w:rsid w:val="4AF57E89"/>
    <w:rsid w:val="4B100811"/>
    <w:rsid w:val="4B406DDA"/>
    <w:rsid w:val="4B5736F5"/>
    <w:rsid w:val="4B6067B1"/>
    <w:rsid w:val="4B6E0EA0"/>
    <w:rsid w:val="4B7D5B61"/>
    <w:rsid w:val="4B8C50D1"/>
    <w:rsid w:val="4B972E39"/>
    <w:rsid w:val="4B973BD2"/>
    <w:rsid w:val="4B977989"/>
    <w:rsid w:val="4BB41697"/>
    <w:rsid w:val="4BB933EE"/>
    <w:rsid w:val="4BE56F53"/>
    <w:rsid w:val="4BED441A"/>
    <w:rsid w:val="4BF402E1"/>
    <w:rsid w:val="4BF56DB4"/>
    <w:rsid w:val="4BFF6D80"/>
    <w:rsid w:val="4C116119"/>
    <w:rsid w:val="4C1C1B80"/>
    <w:rsid w:val="4C344A93"/>
    <w:rsid w:val="4C365A00"/>
    <w:rsid w:val="4C3B510F"/>
    <w:rsid w:val="4C3F0270"/>
    <w:rsid w:val="4C451E5B"/>
    <w:rsid w:val="4C49137B"/>
    <w:rsid w:val="4C4E73DF"/>
    <w:rsid w:val="4C542708"/>
    <w:rsid w:val="4C5679A5"/>
    <w:rsid w:val="4C60331A"/>
    <w:rsid w:val="4C734DA0"/>
    <w:rsid w:val="4C747208"/>
    <w:rsid w:val="4C795743"/>
    <w:rsid w:val="4C8712E0"/>
    <w:rsid w:val="4C964BBA"/>
    <w:rsid w:val="4C987D10"/>
    <w:rsid w:val="4C9C0C05"/>
    <w:rsid w:val="4CA010CC"/>
    <w:rsid w:val="4CA566E2"/>
    <w:rsid w:val="4CB16E35"/>
    <w:rsid w:val="4CCD406D"/>
    <w:rsid w:val="4CCF53ED"/>
    <w:rsid w:val="4CE33064"/>
    <w:rsid w:val="4CF17D0F"/>
    <w:rsid w:val="4D01653B"/>
    <w:rsid w:val="4D182CA1"/>
    <w:rsid w:val="4D2F5CE3"/>
    <w:rsid w:val="4D36016D"/>
    <w:rsid w:val="4D3670AB"/>
    <w:rsid w:val="4D4A05B9"/>
    <w:rsid w:val="4D5367E7"/>
    <w:rsid w:val="4D67096D"/>
    <w:rsid w:val="4D7D1A37"/>
    <w:rsid w:val="4DB27236"/>
    <w:rsid w:val="4DB80CD0"/>
    <w:rsid w:val="4DC6799A"/>
    <w:rsid w:val="4DC86D1E"/>
    <w:rsid w:val="4DF14620"/>
    <w:rsid w:val="4E2B4C4C"/>
    <w:rsid w:val="4E4A575B"/>
    <w:rsid w:val="4E524420"/>
    <w:rsid w:val="4E5B4833"/>
    <w:rsid w:val="4E750DFC"/>
    <w:rsid w:val="4E836D49"/>
    <w:rsid w:val="4E94223C"/>
    <w:rsid w:val="4EA107C6"/>
    <w:rsid w:val="4EAB20FA"/>
    <w:rsid w:val="4EB04EBB"/>
    <w:rsid w:val="4EC12987"/>
    <w:rsid w:val="4EFC63FA"/>
    <w:rsid w:val="4F0C2C50"/>
    <w:rsid w:val="4F0E2841"/>
    <w:rsid w:val="4F370E5B"/>
    <w:rsid w:val="4F393A27"/>
    <w:rsid w:val="4F4A1A61"/>
    <w:rsid w:val="4F781823"/>
    <w:rsid w:val="4F7B63F4"/>
    <w:rsid w:val="4F893BCF"/>
    <w:rsid w:val="4F89714E"/>
    <w:rsid w:val="4F8E364B"/>
    <w:rsid w:val="4FC21359"/>
    <w:rsid w:val="4FC51FC5"/>
    <w:rsid w:val="4FD65B57"/>
    <w:rsid w:val="4FDA2B47"/>
    <w:rsid w:val="50034F2A"/>
    <w:rsid w:val="50076E12"/>
    <w:rsid w:val="50100CC8"/>
    <w:rsid w:val="50266E27"/>
    <w:rsid w:val="503A622D"/>
    <w:rsid w:val="504B5ACC"/>
    <w:rsid w:val="50500E9E"/>
    <w:rsid w:val="508A1B09"/>
    <w:rsid w:val="509D1EA9"/>
    <w:rsid w:val="50B47DEA"/>
    <w:rsid w:val="50B7359F"/>
    <w:rsid w:val="50BE2E8B"/>
    <w:rsid w:val="50CE5614"/>
    <w:rsid w:val="50D472D8"/>
    <w:rsid w:val="50EE1A52"/>
    <w:rsid w:val="50F90394"/>
    <w:rsid w:val="51106E30"/>
    <w:rsid w:val="5118626A"/>
    <w:rsid w:val="515106D5"/>
    <w:rsid w:val="51647947"/>
    <w:rsid w:val="51735001"/>
    <w:rsid w:val="5187285A"/>
    <w:rsid w:val="51976736"/>
    <w:rsid w:val="51A318F0"/>
    <w:rsid w:val="51B55619"/>
    <w:rsid w:val="51C70EA9"/>
    <w:rsid w:val="51D243B9"/>
    <w:rsid w:val="51FC727E"/>
    <w:rsid w:val="52094E98"/>
    <w:rsid w:val="52374CA4"/>
    <w:rsid w:val="5242408D"/>
    <w:rsid w:val="524349D3"/>
    <w:rsid w:val="52457971"/>
    <w:rsid w:val="525A7F6F"/>
    <w:rsid w:val="525F10E1"/>
    <w:rsid w:val="52722B0C"/>
    <w:rsid w:val="52731EF7"/>
    <w:rsid w:val="529214B7"/>
    <w:rsid w:val="52A306CB"/>
    <w:rsid w:val="52B9415E"/>
    <w:rsid w:val="52C75877"/>
    <w:rsid w:val="52E1493A"/>
    <w:rsid w:val="52F81CBE"/>
    <w:rsid w:val="52FC6E6B"/>
    <w:rsid w:val="53226FC4"/>
    <w:rsid w:val="53230361"/>
    <w:rsid w:val="53241EDF"/>
    <w:rsid w:val="532A0CF8"/>
    <w:rsid w:val="53654D5F"/>
    <w:rsid w:val="5367B532"/>
    <w:rsid w:val="537902F7"/>
    <w:rsid w:val="537E1DB8"/>
    <w:rsid w:val="538609B8"/>
    <w:rsid w:val="53B23300"/>
    <w:rsid w:val="53B26541"/>
    <w:rsid w:val="53B766CA"/>
    <w:rsid w:val="53BA0CC5"/>
    <w:rsid w:val="53D578AD"/>
    <w:rsid w:val="53D768F8"/>
    <w:rsid w:val="53E02E5D"/>
    <w:rsid w:val="53EE5910"/>
    <w:rsid w:val="53EE6C13"/>
    <w:rsid w:val="53F053E6"/>
    <w:rsid w:val="53F34D42"/>
    <w:rsid w:val="53F71F19"/>
    <w:rsid w:val="53FD5056"/>
    <w:rsid w:val="541E0239"/>
    <w:rsid w:val="54286C1C"/>
    <w:rsid w:val="54442F98"/>
    <w:rsid w:val="54445F78"/>
    <w:rsid w:val="544E0198"/>
    <w:rsid w:val="544F5DB9"/>
    <w:rsid w:val="545B3019"/>
    <w:rsid w:val="546D5D37"/>
    <w:rsid w:val="546E06F2"/>
    <w:rsid w:val="54743D5F"/>
    <w:rsid w:val="548667A5"/>
    <w:rsid w:val="54921C42"/>
    <w:rsid w:val="54931FAF"/>
    <w:rsid w:val="54A41B9E"/>
    <w:rsid w:val="54AC5D03"/>
    <w:rsid w:val="54B802AA"/>
    <w:rsid w:val="54D7619F"/>
    <w:rsid w:val="54E06198"/>
    <w:rsid w:val="550A042F"/>
    <w:rsid w:val="550B26B6"/>
    <w:rsid w:val="55106A71"/>
    <w:rsid w:val="551318ED"/>
    <w:rsid w:val="552B3223"/>
    <w:rsid w:val="554E1A79"/>
    <w:rsid w:val="555B1B59"/>
    <w:rsid w:val="556F6701"/>
    <w:rsid w:val="55742C8D"/>
    <w:rsid w:val="5575328E"/>
    <w:rsid w:val="5596306C"/>
    <w:rsid w:val="55A96CD3"/>
    <w:rsid w:val="55B8124F"/>
    <w:rsid w:val="55C02D9A"/>
    <w:rsid w:val="55CE071F"/>
    <w:rsid w:val="55F45FE4"/>
    <w:rsid w:val="55F904FE"/>
    <w:rsid w:val="560C01BB"/>
    <w:rsid w:val="561E285E"/>
    <w:rsid w:val="56284951"/>
    <w:rsid w:val="562964D6"/>
    <w:rsid w:val="56455182"/>
    <w:rsid w:val="56606697"/>
    <w:rsid w:val="56630139"/>
    <w:rsid w:val="568C6D72"/>
    <w:rsid w:val="5692056C"/>
    <w:rsid w:val="56CB3A71"/>
    <w:rsid w:val="56EE4D0D"/>
    <w:rsid w:val="56F32A17"/>
    <w:rsid w:val="56FA7294"/>
    <w:rsid w:val="56FE3136"/>
    <w:rsid w:val="56FF2238"/>
    <w:rsid w:val="570976C3"/>
    <w:rsid w:val="572668E4"/>
    <w:rsid w:val="57583B81"/>
    <w:rsid w:val="575C0985"/>
    <w:rsid w:val="57697CAC"/>
    <w:rsid w:val="578D052B"/>
    <w:rsid w:val="57AA218A"/>
    <w:rsid w:val="57AD62C0"/>
    <w:rsid w:val="57B74973"/>
    <w:rsid w:val="57BB73FE"/>
    <w:rsid w:val="57CB2717"/>
    <w:rsid w:val="57F31EA6"/>
    <w:rsid w:val="58030846"/>
    <w:rsid w:val="581748CA"/>
    <w:rsid w:val="586F1BCD"/>
    <w:rsid w:val="5888724A"/>
    <w:rsid w:val="58897198"/>
    <w:rsid w:val="589715D5"/>
    <w:rsid w:val="58AA66E8"/>
    <w:rsid w:val="58C723AD"/>
    <w:rsid w:val="58E73BC8"/>
    <w:rsid w:val="58ED60ED"/>
    <w:rsid w:val="58EE675B"/>
    <w:rsid w:val="58F659AF"/>
    <w:rsid w:val="59067C99"/>
    <w:rsid w:val="59187603"/>
    <w:rsid w:val="591954B8"/>
    <w:rsid w:val="5935679C"/>
    <w:rsid w:val="59553E29"/>
    <w:rsid w:val="59785E7B"/>
    <w:rsid w:val="59814773"/>
    <w:rsid w:val="59835CA9"/>
    <w:rsid w:val="59E04D0E"/>
    <w:rsid w:val="59F2062D"/>
    <w:rsid w:val="59F95238"/>
    <w:rsid w:val="5A1F0484"/>
    <w:rsid w:val="5A4C395E"/>
    <w:rsid w:val="5A5122EC"/>
    <w:rsid w:val="5A592D2E"/>
    <w:rsid w:val="5A5D6F87"/>
    <w:rsid w:val="5A9E32D5"/>
    <w:rsid w:val="5AAB75B9"/>
    <w:rsid w:val="5AB3021C"/>
    <w:rsid w:val="5AC34AE8"/>
    <w:rsid w:val="5AD540A9"/>
    <w:rsid w:val="5AED2D80"/>
    <w:rsid w:val="5AF508A9"/>
    <w:rsid w:val="5B0608E3"/>
    <w:rsid w:val="5B0A2A7E"/>
    <w:rsid w:val="5B1C3C8F"/>
    <w:rsid w:val="5B3F6A75"/>
    <w:rsid w:val="5B3F6BD3"/>
    <w:rsid w:val="5B463261"/>
    <w:rsid w:val="5B533DD8"/>
    <w:rsid w:val="5B820E5B"/>
    <w:rsid w:val="5B8A5211"/>
    <w:rsid w:val="5B905CB3"/>
    <w:rsid w:val="5BC528FD"/>
    <w:rsid w:val="5BCF0C78"/>
    <w:rsid w:val="5BE86C02"/>
    <w:rsid w:val="5BE965AA"/>
    <w:rsid w:val="5C0E5BB3"/>
    <w:rsid w:val="5C1506BF"/>
    <w:rsid w:val="5C3B496D"/>
    <w:rsid w:val="5C790A7D"/>
    <w:rsid w:val="5CA36AE8"/>
    <w:rsid w:val="5CAC09D5"/>
    <w:rsid w:val="5CAE64C0"/>
    <w:rsid w:val="5CB564CD"/>
    <w:rsid w:val="5CCA5497"/>
    <w:rsid w:val="5CEC08C2"/>
    <w:rsid w:val="5D106AB6"/>
    <w:rsid w:val="5D252A31"/>
    <w:rsid w:val="5D3863E6"/>
    <w:rsid w:val="5D573B43"/>
    <w:rsid w:val="5D76299D"/>
    <w:rsid w:val="5D906018"/>
    <w:rsid w:val="5D9A3B4F"/>
    <w:rsid w:val="5DAF67FE"/>
    <w:rsid w:val="5DCD3894"/>
    <w:rsid w:val="5DCE0A4A"/>
    <w:rsid w:val="5DCF0CFC"/>
    <w:rsid w:val="5DD4256F"/>
    <w:rsid w:val="5DEA54F8"/>
    <w:rsid w:val="5DF62916"/>
    <w:rsid w:val="5DFB4FAC"/>
    <w:rsid w:val="5DFD6214"/>
    <w:rsid w:val="5E080919"/>
    <w:rsid w:val="5E30656A"/>
    <w:rsid w:val="5E5F2759"/>
    <w:rsid w:val="5E66138D"/>
    <w:rsid w:val="5E6B5650"/>
    <w:rsid w:val="5E6E168D"/>
    <w:rsid w:val="5EC028DE"/>
    <w:rsid w:val="5EC46D5B"/>
    <w:rsid w:val="5ED115B9"/>
    <w:rsid w:val="5EDF1169"/>
    <w:rsid w:val="5EE8409D"/>
    <w:rsid w:val="5EE94272"/>
    <w:rsid w:val="5EF2510E"/>
    <w:rsid w:val="5EFB03E4"/>
    <w:rsid w:val="5F0B1CA4"/>
    <w:rsid w:val="5F0F19B4"/>
    <w:rsid w:val="5F463D55"/>
    <w:rsid w:val="5F4E4DA6"/>
    <w:rsid w:val="5F751F44"/>
    <w:rsid w:val="5F7C5E31"/>
    <w:rsid w:val="5F7E08C6"/>
    <w:rsid w:val="5F822B86"/>
    <w:rsid w:val="5F9054ED"/>
    <w:rsid w:val="5F976163"/>
    <w:rsid w:val="5FA87556"/>
    <w:rsid w:val="5FC74E41"/>
    <w:rsid w:val="5FCC13EB"/>
    <w:rsid w:val="5FCD11CE"/>
    <w:rsid w:val="6012198E"/>
    <w:rsid w:val="603C09AF"/>
    <w:rsid w:val="604149D0"/>
    <w:rsid w:val="60476E6E"/>
    <w:rsid w:val="609D0B48"/>
    <w:rsid w:val="60B1406D"/>
    <w:rsid w:val="60BF290F"/>
    <w:rsid w:val="60CF6D71"/>
    <w:rsid w:val="60EB5790"/>
    <w:rsid w:val="610173A6"/>
    <w:rsid w:val="6138591F"/>
    <w:rsid w:val="613A71BA"/>
    <w:rsid w:val="614A180C"/>
    <w:rsid w:val="615A23B9"/>
    <w:rsid w:val="616D06E7"/>
    <w:rsid w:val="61924276"/>
    <w:rsid w:val="6195184E"/>
    <w:rsid w:val="619A2136"/>
    <w:rsid w:val="61B73459"/>
    <w:rsid w:val="621657B2"/>
    <w:rsid w:val="62186456"/>
    <w:rsid w:val="62246148"/>
    <w:rsid w:val="62376823"/>
    <w:rsid w:val="623C7A29"/>
    <w:rsid w:val="62650996"/>
    <w:rsid w:val="628B7325"/>
    <w:rsid w:val="628C1A7E"/>
    <w:rsid w:val="62BF00A7"/>
    <w:rsid w:val="62EC4C13"/>
    <w:rsid w:val="62F7114F"/>
    <w:rsid w:val="630D005B"/>
    <w:rsid w:val="632E1288"/>
    <w:rsid w:val="632F4EC3"/>
    <w:rsid w:val="633437B3"/>
    <w:rsid w:val="633F4D43"/>
    <w:rsid w:val="635236BF"/>
    <w:rsid w:val="637840DE"/>
    <w:rsid w:val="638F44E0"/>
    <w:rsid w:val="63A07D1D"/>
    <w:rsid w:val="63A728E8"/>
    <w:rsid w:val="63B3167D"/>
    <w:rsid w:val="63B54B9B"/>
    <w:rsid w:val="63B622F0"/>
    <w:rsid w:val="63B76F37"/>
    <w:rsid w:val="63BD4278"/>
    <w:rsid w:val="63BF251D"/>
    <w:rsid w:val="63EE25C9"/>
    <w:rsid w:val="63FB0A01"/>
    <w:rsid w:val="640C21ED"/>
    <w:rsid w:val="64107237"/>
    <w:rsid w:val="642078E5"/>
    <w:rsid w:val="643E5979"/>
    <w:rsid w:val="643F0DEC"/>
    <w:rsid w:val="64437990"/>
    <w:rsid w:val="64522630"/>
    <w:rsid w:val="645C0141"/>
    <w:rsid w:val="645C76B6"/>
    <w:rsid w:val="648B198F"/>
    <w:rsid w:val="648E4E0B"/>
    <w:rsid w:val="64983F70"/>
    <w:rsid w:val="649B194D"/>
    <w:rsid w:val="64AE259B"/>
    <w:rsid w:val="64B1687B"/>
    <w:rsid w:val="64B379A8"/>
    <w:rsid w:val="64FA1B83"/>
    <w:rsid w:val="65005792"/>
    <w:rsid w:val="65073D20"/>
    <w:rsid w:val="650F2540"/>
    <w:rsid w:val="6511270F"/>
    <w:rsid w:val="652454E3"/>
    <w:rsid w:val="65452D2D"/>
    <w:rsid w:val="654A3E84"/>
    <w:rsid w:val="65590987"/>
    <w:rsid w:val="656049EB"/>
    <w:rsid w:val="65877E52"/>
    <w:rsid w:val="658D53AA"/>
    <w:rsid w:val="659958A7"/>
    <w:rsid w:val="65DF3B5B"/>
    <w:rsid w:val="65E37B12"/>
    <w:rsid w:val="65F54D5E"/>
    <w:rsid w:val="65FD7935"/>
    <w:rsid w:val="66042C1F"/>
    <w:rsid w:val="661773B3"/>
    <w:rsid w:val="661F21B5"/>
    <w:rsid w:val="662258A1"/>
    <w:rsid w:val="662F5543"/>
    <w:rsid w:val="66386F50"/>
    <w:rsid w:val="66670BC3"/>
    <w:rsid w:val="6668727F"/>
    <w:rsid w:val="66794F22"/>
    <w:rsid w:val="66890D14"/>
    <w:rsid w:val="668A0B7E"/>
    <w:rsid w:val="668D0655"/>
    <w:rsid w:val="668F5866"/>
    <w:rsid w:val="66A57DEA"/>
    <w:rsid w:val="66A80E51"/>
    <w:rsid w:val="66BC351E"/>
    <w:rsid w:val="66D121EB"/>
    <w:rsid w:val="66DE6A5B"/>
    <w:rsid w:val="67075A24"/>
    <w:rsid w:val="670E33AA"/>
    <w:rsid w:val="672662C3"/>
    <w:rsid w:val="67662276"/>
    <w:rsid w:val="678B44F2"/>
    <w:rsid w:val="678C1F81"/>
    <w:rsid w:val="6797265B"/>
    <w:rsid w:val="67990D2B"/>
    <w:rsid w:val="679E5159"/>
    <w:rsid w:val="67A84E82"/>
    <w:rsid w:val="67BC571F"/>
    <w:rsid w:val="67E61788"/>
    <w:rsid w:val="67F86EAA"/>
    <w:rsid w:val="67FF5DA5"/>
    <w:rsid w:val="68040309"/>
    <w:rsid w:val="6808604B"/>
    <w:rsid w:val="68150768"/>
    <w:rsid w:val="682D62F9"/>
    <w:rsid w:val="682F399A"/>
    <w:rsid w:val="683C4F7F"/>
    <w:rsid w:val="684626D0"/>
    <w:rsid w:val="686C0794"/>
    <w:rsid w:val="68740443"/>
    <w:rsid w:val="68A159AA"/>
    <w:rsid w:val="68A23F7F"/>
    <w:rsid w:val="68C504A1"/>
    <w:rsid w:val="68CE5637"/>
    <w:rsid w:val="68F8293F"/>
    <w:rsid w:val="69373303"/>
    <w:rsid w:val="69516CBC"/>
    <w:rsid w:val="69745C18"/>
    <w:rsid w:val="69884ACE"/>
    <w:rsid w:val="69905404"/>
    <w:rsid w:val="69990CB6"/>
    <w:rsid w:val="699A6D17"/>
    <w:rsid w:val="69AB1384"/>
    <w:rsid w:val="69C10B40"/>
    <w:rsid w:val="69C8683F"/>
    <w:rsid w:val="69D85C08"/>
    <w:rsid w:val="69E7443F"/>
    <w:rsid w:val="69FB3E3D"/>
    <w:rsid w:val="6A141A37"/>
    <w:rsid w:val="6A282B7C"/>
    <w:rsid w:val="6A4917A2"/>
    <w:rsid w:val="6A7B6121"/>
    <w:rsid w:val="6A7F1598"/>
    <w:rsid w:val="6A7F5B4A"/>
    <w:rsid w:val="6A8A23D9"/>
    <w:rsid w:val="6A907B2B"/>
    <w:rsid w:val="6A9179A1"/>
    <w:rsid w:val="6A972E56"/>
    <w:rsid w:val="6AA11A57"/>
    <w:rsid w:val="6B0B4CD7"/>
    <w:rsid w:val="6B186C47"/>
    <w:rsid w:val="6B1C57EC"/>
    <w:rsid w:val="6B2023A2"/>
    <w:rsid w:val="6B2036AC"/>
    <w:rsid w:val="6B3D6C29"/>
    <w:rsid w:val="6B4C508F"/>
    <w:rsid w:val="6B5E4EEE"/>
    <w:rsid w:val="6B5E5F82"/>
    <w:rsid w:val="6B720CBE"/>
    <w:rsid w:val="6B797260"/>
    <w:rsid w:val="6B82740B"/>
    <w:rsid w:val="6BA95781"/>
    <w:rsid w:val="6BB362CE"/>
    <w:rsid w:val="6BC658F3"/>
    <w:rsid w:val="6BCF5BB7"/>
    <w:rsid w:val="6BF84048"/>
    <w:rsid w:val="6C236AD9"/>
    <w:rsid w:val="6C2C5798"/>
    <w:rsid w:val="6C5A4BD3"/>
    <w:rsid w:val="6C62421E"/>
    <w:rsid w:val="6C676542"/>
    <w:rsid w:val="6C72640E"/>
    <w:rsid w:val="6C7936CD"/>
    <w:rsid w:val="6C9E4230"/>
    <w:rsid w:val="6CA02411"/>
    <w:rsid w:val="6CBE6B44"/>
    <w:rsid w:val="6CC30C03"/>
    <w:rsid w:val="6D1E1430"/>
    <w:rsid w:val="6D2F5407"/>
    <w:rsid w:val="6D561963"/>
    <w:rsid w:val="6D5A4776"/>
    <w:rsid w:val="6D5C0B07"/>
    <w:rsid w:val="6D6772C5"/>
    <w:rsid w:val="6D75229F"/>
    <w:rsid w:val="6D7BFB61"/>
    <w:rsid w:val="6D7C0AE9"/>
    <w:rsid w:val="6D8C7617"/>
    <w:rsid w:val="6D906E26"/>
    <w:rsid w:val="6DA82C36"/>
    <w:rsid w:val="6DAF5A16"/>
    <w:rsid w:val="6DB23401"/>
    <w:rsid w:val="6DB558B8"/>
    <w:rsid w:val="6DB62068"/>
    <w:rsid w:val="6DB95C33"/>
    <w:rsid w:val="6DC318B8"/>
    <w:rsid w:val="6DE92424"/>
    <w:rsid w:val="6DF52E32"/>
    <w:rsid w:val="6E0636A8"/>
    <w:rsid w:val="6E16203B"/>
    <w:rsid w:val="6E1F5DC6"/>
    <w:rsid w:val="6E456999"/>
    <w:rsid w:val="6E4678CD"/>
    <w:rsid w:val="6E7D181B"/>
    <w:rsid w:val="6E9164AB"/>
    <w:rsid w:val="6E975B75"/>
    <w:rsid w:val="6E9A0985"/>
    <w:rsid w:val="6EDF7BB0"/>
    <w:rsid w:val="6EE02AD4"/>
    <w:rsid w:val="6F083B16"/>
    <w:rsid w:val="6F1C2733"/>
    <w:rsid w:val="6F43719C"/>
    <w:rsid w:val="6F543096"/>
    <w:rsid w:val="6F56109A"/>
    <w:rsid w:val="6F5D7180"/>
    <w:rsid w:val="6F6C7B2C"/>
    <w:rsid w:val="6F7245E5"/>
    <w:rsid w:val="6F78295A"/>
    <w:rsid w:val="6F981BF7"/>
    <w:rsid w:val="6F9E20DC"/>
    <w:rsid w:val="6FF32956"/>
    <w:rsid w:val="6FFEBD68"/>
    <w:rsid w:val="70015793"/>
    <w:rsid w:val="700D7F77"/>
    <w:rsid w:val="70312499"/>
    <w:rsid w:val="703956AB"/>
    <w:rsid w:val="70464AA0"/>
    <w:rsid w:val="70517416"/>
    <w:rsid w:val="705875A9"/>
    <w:rsid w:val="70763D6E"/>
    <w:rsid w:val="707730ED"/>
    <w:rsid w:val="708A5695"/>
    <w:rsid w:val="708C15A3"/>
    <w:rsid w:val="70B812E5"/>
    <w:rsid w:val="70C25AAC"/>
    <w:rsid w:val="70DD30E7"/>
    <w:rsid w:val="71060772"/>
    <w:rsid w:val="710D040A"/>
    <w:rsid w:val="711A733D"/>
    <w:rsid w:val="713A123F"/>
    <w:rsid w:val="7141761A"/>
    <w:rsid w:val="714A3CA6"/>
    <w:rsid w:val="714F20E0"/>
    <w:rsid w:val="71653C30"/>
    <w:rsid w:val="71914EBB"/>
    <w:rsid w:val="71977021"/>
    <w:rsid w:val="71AE2410"/>
    <w:rsid w:val="71B96894"/>
    <w:rsid w:val="71BB3CA0"/>
    <w:rsid w:val="71C65431"/>
    <w:rsid w:val="71D64139"/>
    <w:rsid w:val="7205520C"/>
    <w:rsid w:val="720F465F"/>
    <w:rsid w:val="72371F9C"/>
    <w:rsid w:val="723F2F9C"/>
    <w:rsid w:val="724F48DB"/>
    <w:rsid w:val="725453F3"/>
    <w:rsid w:val="725B5B2D"/>
    <w:rsid w:val="72620A4E"/>
    <w:rsid w:val="72673E16"/>
    <w:rsid w:val="72757618"/>
    <w:rsid w:val="72842AE0"/>
    <w:rsid w:val="729564DC"/>
    <w:rsid w:val="72B954FB"/>
    <w:rsid w:val="72BC1595"/>
    <w:rsid w:val="72D17CEA"/>
    <w:rsid w:val="72DC3AFD"/>
    <w:rsid w:val="72E87651"/>
    <w:rsid w:val="72FB6FE6"/>
    <w:rsid w:val="7309513A"/>
    <w:rsid w:val="73131D48"/>
    <w:rsid w:val="732E4489"/>
    <w:rsid w:val="73366921"/>
    <w:rsid w:val="73412411"/>
    <w:rsid w:val="73557F92"/>
    <w:rsid w:val="735BFCAE"/>
    <w:rsid w:val="73687900"/>
    <w:rsid w:val="737E4A9E"/>
    <w:rsid w:val="7391763A"/>
    <w:rsid w:val="739509AF"/>
    <w:rsid w:val="73996A3B"/>
    <w:rsid w:val="73A35301"/>
    <w:rsid w:val="73B728D5"/>
    <w:rsid w:val="73BA21C4"/>
    <w:rsid w:val="73D24058"/>
    <w:rsid w:val="73DA545B"/>
    <w:rsid w:val="73E93EBC"/>
    <w:rsid w:val="73EB6821"/>
    <w:rsid w:val="73EF00BF"/>
    <w:rsid w:val="73F11447"/>
    <w:rsid w:val="73F230C9"/>
    <w:rsid w:val="73FF2941"/>
    <w:rsid w:val="74163245"/>
    <w:rsid w:val="74247037"/>
    <w:rsid w:val="7425337E"/>
    <w:rsid w:val="74381DAA"/>
    <w:rsid w:val="744805F0"/>
    <w:rsid w:val="745605FC"/>
    <w:rsid w:val="745A5B49"/>
    <w:rsid w:val="747D2D1D"/>
    <w:rsid w:val="74837BCC"/>
    <w:rsid w:val="748B0736"/>
    <w:rsid w:val="749E149F"/>
    <w:rsid w:val="74A44D22"/>
    <w:rsid w:val="74B93932"/>
    <w:rsid w:val="74BD6BCE"/>
    <w:rsid w:val="74C33FBD"/>
    <w:rsid w:val="74D07C3E"/>
    <w:rsid w:val="75022686"/>
    <w:rsid w:val="75037523"/>
    <w:rsid w:val="75121918"/>
    <w:rsid w:val="75186015"/>
    <w:rsid w:val="751B2878"/>
    <w:rsid w:val="75220B77"/>
    <w:rsid w:val="752F1FE9"/>
    <w:rsid w:val="75331BBC"/>
    <w:rsid w:val="754B239C"/>
    <w:rsid w:val="75537DD5"/>
    <w:rsid w:val="75587583"/>
    <w:rsid w:val="7561665E"/>
    <w:rsid w:val="757B24F7"/>
    <w:rsid w:val="759D1102"/>
    <w:rsid w:val="759F122A"/>
    <w:rsid w:val="75AC412E"/>
    <w:rsid w:val="75CB7D71"/>
    <w:rsid w:val="75D47150"/>
    <w:rsid w:val="75DA0F67"/>
    <w:rsid w:val="75DD7EB2"/>
    <w:rsid w:val="75E61EDD"/>
    <w:rsid w:val="75EA68FC"/>
    <w:rsid w:val="75EE1CB5"/>
    <w:rsid w:val="76221EED"/>
    <w:rsid w:val="76356A2F"/>
    <w:rsid w:val="7640197C"/>
    <w:rsid w:val="764035CC"/>
    <w:rsid w:val="76521255"/>
    <w:rsid w:val="76733229"/>
    <w:rsid w:val="76A35191"/>
    <w:rsid w:val="76A64F4C"/>
    <w:rsid w:val="76AB740E"/>
    <w:rsid w:val="76AC09D2"/>
    <w:rsid w:val="76B657E8"/>
    <w:rsid w:val="76D06B66"/>
    <w:rsid w:val="76D8308D"/>
    <w:rsid w:val="76DA03AF"/>
    <w:rsid w:val="76DA32A9"/>
    <w:rsid w:val="76E1024E"/>
    <w:rsid w:val="76E36632"/>
    <w:rsid w:val="76E732D0"/>
    <w:rsid w:val="76FC709B"/>
    <w:rsid w:val="76FF5EAC"/>
    <w:rsid w:val="77092AE7"/>
    <w:rsid w:val="770B2099"/>
    <w:rsid w:val="770D7372"/>
    <w:rsid w:val="7719556E"/>
    <w:rsid w:val="77267A98"/>
    <w:rsid w:val="772E0868"/>
    <w:rsid w:val="77372183"/>
    <w:rsid w:val="7738095A"/>
    <w:rsid w:val="77400E80"/>
    <w:rsid w:val="775029D0"/>
    <w:rsid w:val="775A7F45"/>
    <w:rsid w:val="777EC78C"/>
    <w:rsid w:val="778F3773"/>
    <w:rsid w:val="779A47E6"/>
    <w:rsid w:val="77A86F03"/>
    <w:rsid w:val="77B25C6F"/>
    <w:rsid w:val="77DE46D3"/>
    <w:rsid w:val="77F71FBB"/>
    <w:rsid w:val="77FA7033"/>
    <w:rsid w:val="780D02ED"/>
    <w:rsid w:val="781C6DD0"/>
    <w:rsid w:val="7834240D"/>
    <w:rsid w:val="783D3635"/>
    <w:rsid w:val="78542741"/>
    <w:rsid w:val="78732541"/>
    <w:rsid w:val="78747E8F"/>
    <w:rsid w:val="788B04C8"/>
    <w:rsid w:val="78C179EB"/>
    <w:rsid w:val="78C226A8"/>
    <w:rsid w:val="78C52B66"/>
    <w:rsid w:val="78CC56D7"/>
    <w:rsid w:val="78D4029E"/>
    <w:rsid w:val="78D64F32"/>
    <w:rsid w:val="78D85A84"/>
    <w:rsid w:val="78DF5533"/>
    <w:rsid w:val="78E276C3"/>
    <w:rsid w:val="78F1227D"/>
    <w:rsid w:val="78F46178"/>
    <w:rsid w:val="791A5D11"/>
    <w:rsid w:val="791B54B2"/>
    <w:rsid w:val="79200609"/>
    <w:rsid w:val="79327083"/>
    <w:rsid w:val="794013E0"/>
    <w:rsid w:val="794303F7"/>
    <w:rsid w:val="794E3B8E"/>
    <w:rsid w:val="7955679D"/>
    <w:rsid w:val="79596AAC"/>
    <w:rsid w:val="7961407F"/>
    <w:rsid w:val="797C3A0E"/>
    <w:rsid w:val="798C6EB2"/>
    <w:rsid w:val="79905B80"/>
    <w:rsid w:val="79B14C4E"/>
    <w:rsid w:val="79B80BF3"/>
    <w:rsid w:val="79D104C4"/>
    <w:rsid w:val="79EC787D"/>
    <w:rsid w:val="79F47F98"/>
    <w:rsid w:val="79FF23D6"/>
    <w:rsid w:val="7A0233D5"/>
    <w:rsid w:val="7A0C7E34"/>
    <w:rsid w:val="7A0D201F"/>
    <w:rsid w:val="7A1B7CE2"/>
    <w:rsid w:val="7A2C5C79"/>
    <w:rsid w:val="7A3B4A8F"/>
    <w:rsid w:val="7A541118"/>
    <w:rsid w:val="7A541E10"/>
    <w:rsid w:val="7A6F776C"/>
    <w:rsid w:val="7A7F0187"/>
    <w:rsid w:val="7A93510C"/>
    <w:rsid w:val="7AA22680"/>
    <w:rsid w:val="7AA25F50"/>
    <w:rsid w:val="7AB72E03"/>
    <w:rsid w:val="7ABB5634"/>
    <w:rsid w:val="7AD50F0D"/>
    <w:rsid w:val="7AE23769"/>
    <w:rsid w:val="7AE669C6"/>
    <w:rsid w:val="7AF741CD"/>
    <w:rsid w:val="7B0F77ED"/>
    <w:rsid w:val="7B280FC7"/>
    <w:rsid w:val="7B3A0A62"/>
    <w:rsid w:val="7B6D3E0C"/>
    <w:rsid w:val="7B74BD8C"/>
    <w:rsid w:val="7B9F0C48"/>
    <w:rsid w:val="7BA2708F"/>
    <w:rsid w:val="7BA47350"/>
    <w:rsid w:val="7BA652C2"/>
    <w:rsid w:val="7BA93700"/>
    <w:rsid w:val="7BB85212"/>
    <w:rsid w:val="7BC25FC9"/>
    <w:rsid w:val="7BCFA132"/>
    <w:rsid w:val="7BE46720"/>
    <w:rsid w:val="7BEF5C99"/>
    <w:rsid w:val="7BF41AB7"/>
    <w:rsid w:val="7BF61895"/>
    <w:rsid w:val="7BF655A0"/>
    <w:rsid w:val="7BFE17E7"/>
    <w:rsid w:val="7C005341"/>
    <w:rsid w:val="7C0223FD"/>
    <w:rsid w:val="7C1A3F3F"/>
    <w:rsid w:val="7C567530"/>
    <w:rsid w:val="7C701084"/>
    <w:rsid w:val="7C894A64"/>
    <w:rsid w:val="7CA02F04"/>
    <w:rsid w:val="7CB2712B"/>
    <w:rsid w:val="7CB931F4"/>
    <w:rsid w:val="7D0756CD"/>
    <w:rsid w:val="7D1172D7"/>
    <w:rsid w:val="7D230DDA"/>
    <w:rsid w:val="7D2F14D4"/>
    <w:rsid w:val="7D3075A4"/>
    <w:rsid w:val="7D336E95"/>
    <w:rsid w:val="7D761851"/>
    <w:rsid w:val="7D835CF5"/>
    <w:rsid w:val="7D95216F"/>
    <w:rsid w:val="7D9553C9"/>
    <w:rsid w:val="7D9E0C6F"/>
    <w:rsid w:val="7DBA3335"/>
    <w:rsid w:val="7DD474F0"/>
    <w:rsid w:val="7DEDE2BD"/>
    <w:rsid w:val="7DF7087A"/>
    <w:rsid w:val="7E0A4D05"/>
    <w:rsid w:val="7E147E80"/>
    <w:rsid w:val="7E21356B"/>
    <w:rsid w:val="7E4B55D1"/>
    <w:rsid w:val="7E4C22D8"/>
    <w:rsid w:val="7E510A35"/>
    <w:rsid w:val="7E7E6C0F"/>
    <w:rsid w:val="7E861B76"/>
    <w:rsid w:val="7E8C1257"/>
    <w:rsid w:val="7EBF5E91"/>
    <w:rsid w:val="7EC73DC5"/>
    <w:rsid w:val="7ED24703"/>
    <w:rsid w:val="7ED8758B"/>
    <w:rsid w:val="7EDE1CD5"/>
    <w:rsid w:val="7EDE37B3"/>
    <w:rsid w:val="7EE1540F"/>
    <w:rsid w:val="7EE73E28"/>
    <w:rsid w:val="7F091B89"/>
    <w:rsid w:val="7F173343"/>
    <w:rsid w:val="7F197F1D"/>
    <w:rsid w:val="7F213C07"/>
    <w:rsid w:val="7F3C62A2"/>
    <w:rsid w:val="7F457BEA"/>
    <w:rsid w:val="7F50655A"/>
    <w:rsid w:val="7F745101"/>
    <w:rsid w:val="7F98168C"/>
    <w:rsid w:val="7FC42365"/>
    <w:rsid w:val="7FCD0615"/>
    <w:rsid w:val="7FD25322"/>
    <w:rsid w:val="7FE72BA6"/>
    <w:rsid w:val="7FEB7DB6"/>
    <w:rsid w:val="7FF05BE5"/>
    <w:rsid w:val="7FFF42A5"/>
    <w:rsid w:val="8FFE254D"/>
    <w:rsid w:val="94FEDCA0"/>
    <w:rsid w:val="9675FF26"/>
    <w:rsid w:val="9FFB74AA"/>
    <w:rsid w:val="ADFE0112"/>
    <w:rsid w:val="AEDE4F03"/>
    <w:rsid w:val="AF6F6274"/>
    <w:rsid w:val="BBFF3B8B"/>
    <w:rsid w:val="BFDAE04D"/>
    <w:rsid w:val="D5776751"/>
    <w:rsid w:val="DD7D4A2E"/>
    <w:rsid w:val="ED7B2C71"/>
    <w:rsid w:val="EF7FB47D"/>
    <w:rsid w:val="EFD98EF1"/>
    <w:rsid w:val="EFEDEC4B"/>
    <w:rsid w:val="F5FB288F"/>
    <w:rsid w:val="F95B7BA1"/>
    <w:rsid w:val="FDFAFBCE"/>
    <w:rsid w:val="FEEE65F9"/>
    <w:rsid w:val="FEF33B92"/>
    <w:rsid w:val="FEFDBD27"/>
    <w:rsid w:val="FF7E091C"/>
    <w:rsid w:val="FFA99B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jc w:val="both"/>
    </w:pPr>
    <w:rPr>
      <w:rFonts w:ascii="Times New Roman" w:hAnsi="Times New Roman" w:eastAsia="宋体" w:cs="Times New Roman"/>
      <w:kern w:val="2"/>
      <w:sz w:val="21"/>
      <w:lang w:val="en-US" w:eastAsia="zh-CN" w:bidi="ar-SA"/>
    </w:rPr>
  </w:style>
  <w:style w:type="paragraph" w:styleId="2">
    <w:name w:val="heading 1"/>
    <w:basedOn w:val="1"/>
    <w:next w:val="1"/>
    <w:link w:val="89"/>
    <w:qFormat/>
    <w:uiPriority w:val="9"/>
    <w:pPr>
      <w:keepNext/>
      <w:keepLines/>
      <w:spacing w:before="120" w:after="120"/>
      <w:jc w:val="center"/>
      <w:outlineLvl w:val="0"/>
    </w:pPr>
    <w:rPr>
      <w:b/>
      <w:spacing w:val="20"/>
      <w:kern w:val="44"/>
      <w:sz w:val="32"/>
    </w:rPr>
  </w:style>
  <w:style w:type="paragraph" w:styleId="3">
    <w:name w:val="heading 2"/>
    <w:basedOn w:val="1"/>
    <w:next w:val="1"/>
    <w:link w:val="66"/>
    <w:qFormat/>
    <w:uiPriority w:val="0"/>
    <w:pPr>
      <w:keepNext/>
      <w:keepLines/>
      <w:spacing w:before="240" w:line="400" w:lineRule="exact"/>
      <w:outlineLvl w:val="1"/>
    </w:pPr>
    <w:rPr>
      <w:rFonts w:ascii="Arial" w:hAnsi="Arial"/>
      <w:b/>
      <w:color w:val="000000"/>
      <w:spacing w:val="40"/>
      <w:sz w:val="32"/>
    </w:rPr>
  </w:style>
  <w:style w:type="paragraph" w:styleId="4">
    <w:name w:val="heading 3"/>
    <w:basedOn w:val="1"/>
    <w:next w:val="1"/>
    <w:link w:val="74"/>
    <w:qFormat/>
    <w:uiPriority w:val="99"/>
    <w:pPr>
      <w:keepNext/>
      <w:keepLines/>
      <w:spacing w:line="400" w:lineRule="exact"/>
      <w:ind w:firstLine="400"/>
      <w:outlineLvl w:val="2"/>
    </w:pPr>
    <w:rPr>
      <w:rFonts w:ascii="宋体" w:hAnsi="宋体"/>
      <w:b/>
      <w:sz w:val="24"/>
    </w:rPr>
  </w:style>
  <w:style w:type="paragraph" w:styleId="5">
    <w:name w:val="heading 4"/>
    <w:basedOn w:val="1"/>
    <w:next w:val="1"/>
    <w:link w:val="100"/>
    <w:qFormat/>
    <w:uiPriority w:val="9"/>
    <w:pPr>
      <w:numPr>
        <w:ilvl w:val="3"/>
        <w:numId w:val="1"/>
      </w:numPr>
      <w:tabs>
        <w:tab w:val="center" w:pos="2155"/>
      </w:tabs>
      <w:adjustRightInd w:val="0"/>
      <w:spacing w:line="240" w:lineRule="auto"/>
      <w:jc w:val="center"/>
      <w:textAlignment w:val="baseline"/>
      <w:outlineLvl w:val="3"/>
    </w:pPr>
    <w:rPr>
      <w:rFonts w:ascii="Arial" w:hAnsi="Arial" w:eastAsia="黑体"/>
      <w:kern w:val="0"/>
      <w:sz w:val="28"/>
    </w:rPr>
  </w:style>
  <w:style w:type="paragraph" w:styleId="6">
    <w:name w:val="heading 5"/>
    <w:basedOn w:val="1"/>
    <w:next w:val="1"/>
    <w:link w:val="119"/>
    <w:qFormat/>
    <w:uiPriority w:val="9"/>
    <w:pPr>
      <w:keepNext/>
      <w:keepLines/>
      <w:numPr>
        <w:ilvl w:val="4"/>
        <w:numId w:val="1"/>
      </w:numPr>
      <w:adjustRightInd w:val="0"/>
      <w:spacing w:before="10" w:after="10" w:line="240" w:lineRule="auto"/>
      <w:textAlignment w:val="baseline"/>
      <w:outlineLvl w:val="4"/>
    </w:pPr>
    <w:rPr>
      <w:b/>
      <w:kern w:val="0"/>
      <w:sz w:val="28"/>
      <w:szCs w:val="24"/>
    </w:rPr>
  </w:style>
  <w:style w:type="paragraph" w:styleId="7">
    <w:name w:val="heading 6"/>
    <w:basedOn w:val="1"/>
    <w:next w:val="1"/>
    <w:link w:val="83"/>
    <w:qFormat/>
    <w:uiPriority w:val="9"/>
    <w:pPr>
      <w:keepNext/>
      <w:keepLines/>
      <w:numPr>
        <w:ilvl w:val="5"/>
        <w:numId w:val="1"/>
      </w:numPr>
      <w:spacing w:before="240" w:after="64" w:line="320" w:lineRule="auto"/>
      <w:outlineLvl w:val="5"/>
    </w:pPr>
    <w:rPr>
      <w:rFonts w:ascii="Cambria" w:hAnsi="Cambria"/>
      <w:b/>
      <w:bCs/>
      <w:sz w:val="28"/>
      <w:szCs w:val="24"/>
    </w:rPr>
  </w:style>
  <w:style w:type="paragraph" w:styleId="8">
    <w:name w:val="heading 7"/>
    <w:basedOn w:val="1"/>
    <w:next w:val="1"/>
    <w:link w:val="103"/>
    <w:qFormat/>
    <w:uiPriority w:val="9"/>
    <w:pPr>
      <w:keepNext/>
      <w:keepLines/>
      <w:numPr>
        <w:ilvl w:val="6"/>
        <w:numId w:val="1"/>
      </w:numPr>
      <w:spacing w:before="240" w:after="64" w:line="320" w:lineRule="auto"/>
      <w:outlineLvl w:val="6"/>
    </w:pPr>
    <w:rPr>
      <w:rFonts w:ascii="Calibri" w:hAnsi="Calibri"/>
      <w:b/>
      <w:bCs/>
      <w:sz w:val="28"/>
      <w:szCs w:val="24"/>
    </w:rPr>
  </w:style>
  <w:style w:type="paragraph" w:styleId="9">
    <w:name w:val="heading 8"/>
    <w:basedOn w:val="1"/>
    <w:next w:val="1"/>
    <w:link w:val="80"/>
    <w:qFormat/>
    <w:uiPriority w:val="9"/>
    <w:pPr>
      <w:keepNext/>
      <w:keepLines/>
      <w:numPr>
        <w:ilvl w:val="7"/>
        <w:numId w:val="1"/>
      </w:numPr>
      <w:spacing w:before="240" w:after="64" w:line="320" w:lineRule="auto"/>
      <w:outlineLvl w:val="7"/>
    </w:pPr>
    <w:rPr>
      <w:rFonts w:ascii="Cambria" w:hAnsi="Cambria"/>
      <w:sz w:val="28"/>
      <w:szCs w:val="24"/>
    </w:rPr>
  </w:style>
  <w:style w:type="paragraph" w:styleId="10">
    <w:name w:val="heading 9"/>
    <w:basedOn w:val="1"/>
    <w:next w:val="1"/>
    <w:link w:val="62"/>
    <w:qFormat/>
    <w:uiPriority w:val="9"/>
    <w:pPr>
      <w:keepNext/>
      <w:keepLines/>
      <w:numPr>
        <w:ilvl w:val="8"/>
        <w:numId w:val="1"/>
      </w:numPr>
      <w:spacing w:before="240" w:after="64" w:line="320" w:lineRule="auto"/>
      <w:outlineLvl w:val="8"/>
    </w:pPr>
    <w:rPr>
      <w:rFonts w:ascii="Cambria" w:hAnsi="Cambria"/>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sz w:val="18"/>
      <w:szCs w:val="18"/>
    </w:rPr>
  </w:style>
  <w:style w:type="paragraph" w:styleId="12">
    <w:name w:val="Normal Indent"/>
    <w:basedOn w:val="1"/>
    <w:qFormat/>
    <w:uiPriority w:val="99"/>
    <w:pPr>
      <w:ind w:firstLine="420"/>
    </w:pPr>
  </w:style>
  <w:style w:type="paragraph" w:styleId="13">
    <w:name w:val="caption"/>
    <w:basedOn w:val="1"/>
    <w:next w:val="1"/>
    <w:qFormat/>
    <w:uiPriority w:val="35"/>
    <w:pPr>
      <w:spacing w:line="360" w:lineRule="auto"/>
      <w:ind w:firstLine="200" w:firstLineChars="200"/>
      <w:jc w:val="center"/>
    </w:pPr>
    <w:rPr>
      <w:rFonts w:ascii="Cambria" w:hAnsi="Cambria" w:eastAsia="黑体"/>
      <w:sz w:val="20"/>
    </w:rPr>
  </w:style>
  <w:style w:type="paragraph" w:styleId="14">
    <w:name w:val="Document Map"/>
    <w:basedOn w:val="1"/>
    <w:next w:val="15"/>
    <w:qFormat/>
    <w:uiPriority w:val="0"/>
    <w:pPr>
      <w:shd w:val="clear" w:color="auto" w:fill="000080"/>
    </w:pPr>
  </w:style>
  <w:style w:type="paragraph" w:styleId="15">
    <w:name w:val="Body Text"/>
    <w:basedOn w:val="1"/>
    <w:next w:val="1"/>
    <w:link w:val="82"/>
    <w:qFormat/>
    <w:uiPriority w:val="0"/>
    <w:rPr>
      <w:rFonts w:ascii="宋体"/>
      <w:sz w:val="24"/>
    </w:rPr>
  </w:style>
  <w:style w:type="paragraph" w:styleId="16">
    <w:name w:val="annotation text"/>
    <w:basedOn w:val="1"/>
    <w:link w:val="127"/>
    <w:qFormat/>
    <w:uiPriority w:val="99"/>
    <w:pPr>
      <w:jc w:val="left"/>
    </w:pPr>
  </w:style>
  <w:style w:type="paragraph" w:styleId="17">
    <w:name w:val="Body Text 3"/>
    <w:basedOn w:val="1"/>
    <w:qFormat/>
    <w:uiPriority w:val="0"/>
    <w:pPr>
      <w:spacing w:after="120"/>
    </w:pPr>
    <w:rPr>
      <w:sz w:val="16"/>
      <w:szCs w:val="16"/>
    </w:rPr>
  </w:style>
  <w:style w:type="paragraph" w:styleId="18">
    <w:name w:val="Body Text Indent"/>
    <w:basedOn w:val="1"/>
    <w:next w:val="19"/>
    <w:link w:val="78"/>
    <w:qFormat/>
    <w:uiPriority w:val="99"/>
    <w:pPr>
      <w:spacing w:line="460" w:lineRule="exact"/>
      <w:ind w:firstLine="510"/>
    </w:pPr>
  </w:style>
  <w:style w:type="paragraph" w:styleId="19">
    <w:name w:val="envelope return"/>
    <w:basedOn w:val="1"/>
    <w:qFormat/>
    <w:uiPriority w:val="0"/>
    <w:pPr>
      <w:snapToGrid w:val="0"/>
    </w:pPr>
    <w:rPr>
      <w:rFonts w:ascii="Arial" w:cs="Arial"/>
      <w:szCs w:val="24"/>
    </w:rPr>
  </w:style>
  <w:style w:type="paragraph" w:styleId="20">
    <w:name w:val="toc 5"/>
    <w:basedOn w:val="1"/>
    <w:next w:val="1"/>
    <w:qFormat/>
    <w:uiPriority w:val="39"/>
    <w:pPr>
      <w:ind w:left="840"/>
      <w:jc w:val="left"/>
    </w:pPr>
    <w:rPr>
      <w:sz w:val="18"/>
      <w:szCs w:val="18"/>
    </w:rPr>
  </w:style>
  <w:style w:type="paragraph" w:styleId="21">
    <w:name w:val="toc 3"/>
    <w:basedOn w:val="1"/>
    <w:next w:val="1"/>
    <w:qFormat/>
    <w:uiPriority w:val="39"/>
    <w:pPr>
      <w:ind w:left="420"/>
      <w:jc w:val="left"/>
    </w:pPr>
    <w:rPr>
      <w:i/>
      <w:iCs/>
      <w:sz w:val="20"/>
    </w:rPr>
  </w:style>
  <w:style w:type="paragraph" w:styleId="22">
    <w:name w:val="Plain Text"/>
    <w:basedOn w:val="1"/>
    <w:next w:val="1"/>
    <w:link w:val="77"/>
    <w:unhideWhenUsed/>
    <w:qFormat/>
    <w:uiPriority w:val="99"/>
    <w:rPr>
      <w:rFonts w:ascii="宋体"/>
    </w:rPr>
  </w:style>
  <w:style w:type="paragraph" w:styleId="23">
    <w:name w:val="toc 8"/>
    <w:basedOn w:val="1"/>
    <w:next w:val="1"/>
    <w:qFormat/>
    <w:uiPriority w:val="39"/>
    <w:pPr>
      <w:ind w:left="1470"/>
      <w:jc w:val="left"/>
    </w:pPr>
    <w:rPr>
      <w:sz w:val="18"/>
      <w:szCs w:val="18"/>
    </w:rPr>
  </w:style>
  <w:style w:type="paragraph" w:styleId="24">
    <w:name w:val="Date"/>
    <w:basedOn w:val="1"/>
    <w:next w:val="1"/>
    <w:link w:val="132"/>
    <w:qFormat/>
    <w:uiPriority w:val="0"/>
    <w:rPr>
      <w:kern w:val="0"/>
      <w:sz w:val="28"/>
    </w:rPr>
  </w:style>
  <w:style w:type="paragraph" w:styleId="25">
    <w:name w:val="Body Text Indent 2"/>
    <w:basedOn w:val="1"/>
    <w:link w:val="126"/>
    <w:qFormat/>
    <w:uiPriority w:val="0"/>
    <w:pPr>
      <w:spacing w:line="500" w:lineRule="exact"/>
      <w:ind w:firstLine="510"/>
    </w:pPr>
    <w:rPr>
      <w:rFonts w:ascii="宋体"/>
      <w:sz w:val="24"/>
    </w:rPr>
  </w:style>
  <w:style w:type="paragraph" w:styleId="26">
    <w:name w:val="Balloon Text"/>
    <w:basedOn w:val="1"/>
    <w:link w:val="71"/>
    <w:qFormat/>
    <w:uiPriority w:val="99"/>
    <w:rPr>
      <w:sz w:val="18"/>
      <w:szCs w:val="18"/>
    </w:rPr>
  </w:style>
  <w:style w:type="paragraph" w:styleId="27">
    <w:name w:val="footer"/>
    <w:basedOn w:val="1"/>
    <w:link w:val="81"/>
    <w:qFormat/>
    <w:uiPriority w:val="99"/>
    <w:pPr>
      <w:tabs>
        <w:tab w:val="center" w:pos="4153"/>
        <w:tab w:val="right" w:pos="8306"/>
      </w:tabs>
      <w:snapToGrid w:val="0"/>
      <w:jc w:val="left"/>
    </w:pPr>
    <w:rPr>
      <w:sz w:val="18"/>
    </w:rPr>
  </w:style>
  <w:style w:type="paragraph" w:styleId="28">
    <w:name w:val="header"/>
    <w:basedOn w:val="1"/>
    <w:link w:val="117"/>
    <w:qFormat/>
    <w:uiPriority w:val="99"/>
    <w:pPr>
      <w:pBdr>
        <w:bottom w:val="single" w:color="auto" w:sz="6" w:space="1"/>
      </w:pBdr>
      <w:tabs>
        <w:tab w:val="center" w:pos="4153"/>
        <w:tab w:val="right" w:pos="8306"/>
      </w:tabs>
      <w:snapToGrid w:val="0"/>
      <w:jc w:val="center"/>
    </w:pPr>
    <w:rPr>
      <w:sz w:val="18"/>
    </w:rPr>
  </w:style>
  <w:style w:type="paragraph" w:styleId="29">
    <w:name w:val="toc 1"/>
    <w:basedOn w:val="1"/>
    <w:next w:val="1"/>
    <w:qFormat/>
    <w:uiPriority w:val="39"/>
    <w:pPr>
      <w:tabs>
        <w:tab w:val="right" w:leader="dot" w:pos="9663"/>
      </w:tabs>
      <w:spacing w:before="120" w:after="120"/>
      <w:jc w:val="left"/>
    </w:pPr>
    <w:rPr>
      <w:b/>
      <w:bCs/>
      <w:caps/>
      <w:sz w:val="28"/>
      <w:szCs w:val="28"/>
    </w:rPr>
  </w:style>
  <w:style w:type="paragraph" w:styleId="30">
    <w:name w:val="toc 4"/>
    <w:basedOn w:val="1"/>
    <w:next w:val="1"/>
    <w:qFormat/>
    <w:uiPriority w:val="39"/>
    <w:pPr>
      <w:ind w:left="630"/>
      <w:jc w:val="left"/>
    </w:pPr>
    <w:rPr>
      <w:sz w:val="18"/>
      <w:szCs w:val="18"/>
    </w:rPr>
  </w:style>
  <w:style w:type="paragraph" w:styleId="31">
    <w:name w:val="toc 6"/>
    <w:basedOn w:val="1"/>
    <w:next w:val="1"/>
    <w:qFormat/>
    <w:uiPriority w:val="39"/>
    <w:pPr>
      <w:ind w:left="1050"/>
      <w:jc w:val="left"/>
    </w:pPr>
    <w:rPr>
      <w:sz w:val="18"/>
      <w:szCs w:val="18"/>
    </w:rPr>
  </w:style>
  <w:style w:type="paragraph" w:styleId="32">
    <w:name w:val="Body Text Indent 3"/>
    <w:basedOn w:val="1"/>
    <w:link w:val="70"/>
    <w:qFormat/>
    <w:uiPriority w:val="0"/>
    <w:pPr>
      <w:spacing w:line="500" w:lineRule="exact"/>
      <w:ind w:firstLine="510"/>
    </w:pPr>
    <w:rPr>
      <w:rFonts w:ascii="宋体"/>
      <w:color w:val="000000"/>
      <w:sz w:val="26"/>
    </w:rPr>
  </w:style>
  <w:style w:type="paragraph" w:styleId="33">
    <w:name w:val="table of figures"/>
    <w:basedOn w:val="1"/>
    <w:next w:val="1"/>
    <w:qFormat/>
    <w:uiPriority w:val="0"/>
    <w:pPr>
      <w:ind w:left="840" w:hanging="420"/>
    </w:pPr>
  </w:style>
  <w:style w:type="paragraph" w:styleId="34">
    <w:name w:val="toc 2"/>
    <w:basedOn w:val="1"/>
    <w:next w:val="1"/>
    <w:qFormat/>
    <w:uiPriority w:val="39"/>
    <w:pPr>
      <w:ind w:left="210"/>
      <w:jc w:val="left"/>
    </w:pPr>
    <w:rPr>
      <w:smallCaps/>
      <w:sz w:val="20"/>
    </w:rPr>
  </w:style>
  <w:style w:type="paragraph" w:styleId="35">
    <w:name w:val="toc 9"/>
    <w:basedOn w:val="1"/>
    <w:next w:val="1"/>
    <w:qFormat/>
    <w:uiPriority w:val="39"/>
    <w:pPr>
      <w:ind w:left="1680"/>
      <w:jc w:val="left"/>
    </w:pPr>
    <w:rPr>
      <w:sz w:val="18"/>
      <w:szCs w:val="18"/>
    </w:rPr>
  </w:style>
  <w:style w:type="paragraph" w:styleId="36">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styleId="37">
    <w:name w:val="annotation subject"/>
    <w:basedOn w:val="16"/>
    <w:next w:val="16"/>
    <w:link w:val="61"/>
    <w:qFormat/>
    <w:uiPriority w:val="99"/>
    <w:rPr>
      <w:b/>
      <w:bCs/>
    </w:rPr>
  </w:style>
  <w:style w:type="paragraph" w:styleId="38">
    <w:name w:val="Body Text First Indent"/>
    <w:basedOn w:val="15"/>
    <w:qFormat/>
    <w:uiPriority w:val="0"/>
    <w:pPr>
      <w:ind w:firstLine="200" w:firstLineChars="200"/>
    </w:pPr>
    <w:rPr>
      <w:rFonts w:ascii="Times New Roman"/>
      <w:szCs w:val="24"/>
    </w:rPr>
  </w:style>
  <w:style w:type="paragraph" w:styleId="39">
    <w:name w:val="Body Text First Indent 2"/>
    <w:basedOn w:val="18"/>
    <w:next w:val="1"/>
    <w:qFormat/>
    <w:uiPriority w:val="99"/>
    <w:pPr>
      <w:ind w:firstLine="420" w:firstLineChars="200"/>
    </w:pPr>
  </w:style>
  <w:style w:type="table" w:styleId="41">
    <w:name w:val="Table Grid"/>
    <w:basedOn w:val="4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qFormat/>
    <w:uiPriority w:val="0"/>
  </w:style>
  <w:style w:type="character" w:styleId="45">
    <w:name w:val="FollowedHyperlink"/>
    <w:qFormat/>
    <w:uiPriority w:val="0"/>
    <w:rPr>
      <w:color w:val="337AB7"/>
      <w:u w:val="single"/>
    </w:rPr>
  </w:style>
  <w:style w:type="character" w:styleId="46">
    <w:name w:val="Emphasis"/>
    <w:qFormat/>
    <w:uiPriority w:val="20"/>
    <w:rPr>
      <w:color w:val="CC0000"/>
    </w:rPr>
  </w:style>
  <w:style w:type="character" w:styleId="47">
    <w:name w:val="HTML Definition"/>
    <w:unhideWhenUsed/>
    <w:qFormat/>
    <w:uiPriority w:val="99"/>
  </w:style>
  <w:style w:type="character" w:styleId="48">
    <w:name w:val="HTML Variable"/>
    <w:unhideWhenUsed/>
    <w:qFormat/>
    <w:uiPriority w:val="99"/>
  </w:style>
  <w:style w:type="character" w:styleId="49">
    <w:name w:val="Hyperlink"/>
    <w:qFormat/>
    <w:uiPriority w:val="99"/>
    <w:rPr>
      <w:rFonts w:hint="eastAsia" w:ascii="宋体" w:hAnsi="宋体" w:eastAsia="宋体" w:cs="宋体"/>
      <w:color w:val="0033CC"/>
      <w:sz w:val="18"/>
      <w:szCs w:val="18"/>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99"/>
    <w:rPr>
      <w:sz w:val="21"/>
      <w:szCs w:val="21"/>
    </w:rPr>
  </w:style>
  <w:style w:type="character" w:styleId="52">
    <w:name w:val="HTML Cite"/>
    <w:unhideWhenUsed/>
    <w:qFormat/>
    <w:uiPriority w:val="99"/>
    <w:rPr>
      <w:color w:val="008000"/>
    </w:rPr>
  </w:style>
  <w:style w:type="character" w:styleId="53">
    <w:name w:val="HTML Keyboard"/>
    <w:unhideWhenUsed/>
    <w:qFormat/>
    <w:uiPriority w:val="99"/>
    <w:rPr>
      <w:rFonts w:ascii="Consolas" w:hAnsi="Consolas" w:eastAsia="Consolas" w:cs="Consolas"/>
      <w:color w:val="FFFFFF"/>
      <w:sz w:val="21"/>
      <w:szCs w:val="21"/>
      <w:shd w:val="clear" w:color="auto" w:fill="333333"/>
    </w:rPr>
  </w:style>
  <w:style w:type="character" w:styleId="54">
    <w:name w:val="HTML Sample"/>
    <w:unhideWhenUsed/>
    <w:qFormat/>
    <w:uiPriority w:val="99"/>
    <w:rPr>
      <w:rFonts w:hint="default" w:ascii="Consolas" w:hAnsi="Consolas" w:eastAsia="Consolas" w:cs="Consolas"/>
      <w:sz w:val="21"/>
      <w:szCs w:val="21"/>
    </w:rPr>
  </w:style>
  <w:style w:type="paragraph" w:customStyle="1" w:styleId="55">
    <w:name w:val="Default"/>
    <w:qFormat/>
    <w:uiPriority w:val="0"/>
    <w:pPr>
      <w:widowControl w:val="0"/>
      <w:autoSpaceDE w:val="0"/>
      <w:autoSpaceDN w:val="0"/>
      <w:adjustRightInd w:val="0"/>
      <w:spacing w:line="440" w:lineRule="exact"/>
    </w:pPr>
    <w:rPr>
      <w:rFonts w:ascii="Times New Roman" w:hAnsi="Times New Roman" w:eastAsia="宋体" w:cs="宋体"/>
      <w:color w:val="000000"/>
      <w:sz w:val="24"/>
      <w:szCs w:val="24"/>
      <w:lang w:val="en-US" w:eastAsia="zh-CN" w:bidi="ar-SA"/>
    </w:rPr>
  </w:style>
  <w:style w:type="paragraph" w:customStyle="1" w:styleId="56">
    <w:name w:val="一级条标题"/>
    <w:next w:val="1"/>
    <w:qFormat/>
    <w:uiPriority w:val="0"/>
    <w:pPr>
      <w:spacing w:beforeLines="50" w:afterLines="50"/>
      <w:ind w:left="1069" w:hanging="450"/>
      <w:outlineLvl w:val="2"/>
    </w:pPr>
    <w:rPr>
      <w:rFonts w:ascii="黑体" w:hAnsi="Times New Roman" w:eastAsia="黑体" w:cs="Times New Roman"/>
      <w:szCs w:val="21"/>
      <w:lang w:val="en-US" w:eastAsia="zh-CN" w:bidi="ar-SA"/>
    </w:rPr>
  </w:style>
  <w:style w:type="paragraph" w:customStyle="1" w:styleId="57">
    <w:name w:val="表格文字"/>
    <w:basedOn w:val="1"/>
    <w:qFormat/>
    <w:uiPriority w:val="0"/>
    <w:pPr>
      <w:spacing w:before="25" w:after="25"/>
      <w:jc w:val="left"/>
    </w:pPr>
    <w:rPr>
      <w:bCs/>
      <w:spacing w:val="10"/>
      <w:kern w:val="0"/>
      <w:sz w:val="24"/>
    </w:rPr>
  </w:style>
  <w:style w:type="character" w:customStyle="1" w:styleId="58">
    <w:name w:val="old"/>
    <w:qFormat/>
    <w:uiPriority w:val="0"/>
    <w:rPr>
      <w:color w:val="999999"/>
    </w:rPr>
  </w:style>
  <w:style w:type="character" w:customStyle="1" w:styleId="59">
    <w:name w:val="纯文本 Char1"/>
    <w:qFormat/>
    <w:uiPriority w:val="0"/>
    <w:rPr>
      <w:rFonts w:ascii="宋体" w:eastAsia="宋体"/>
      <w:kern w:val="2"/>
      <w:sz w:val="21"/>
      <w:lang w:val="en-US" w:eastAsia="zh-CN" w:bidi="ar-SA"/>
    </w:rPr>
  </w:style>
  <w:style w:type="character" w:customStyle="1" w:styleId="60">
    <w:name w:val="font11"/>
    <w:qFormat/>
    <w:uiPriority w:val="0"/>
    <w:rPr>
      <w:rFonts w:hint="default" w:ascii="Times New Roman" w:hAnsi="Times New Roman" w:cs="Times New Roman"/>
      <w:color w:val="000000"/>
      <w:sz w:val="18"/>
      <w:szCs w:val="18"/>
      <w:u w:val="none"/>
    </w:rPr>
  </w:style>
  <w:style w:type="character" w:customStyle="1" w:styleId="61">
    <w:name w:val="批注主题 字符"/>
    <w:link w:val="37"/>
    <w:qFormat/>
    <w:uiPriority w:val="99"/>
    <w:rPr>
      <w:b/>
      <w:bCs/>
      <w:kern w:val="2"/>
      <w:sz w:val="21"/>
    </w:rPr>
  </w:style>
  <w:style w:type="character" w:customStyle="1" w:styleId="62">
    <w:name w:val="标题 9 字符"/>
    <w:link w:val="10"/>
    <w:semiHidden/>
    <w:qFormat/>
    <w:uiPriority w:val="9"/>
    <w:rPr>
      <w:rFonts w:ascii="Cambria" w:hAnsi="Cambria"/>
      <w:kern w:val="2"/>
      <w:sz w:val="21"/>
      <w:szCs w:val="21"/>
    </w:rPr>
  </w:style>
  <w:style w:type="character" w:customStyle="1" w:styleId="63">
    <w:name w:val="rmbottomshadowleft10"/>
    <w:qFormat/>
    <w:uiPriority w:val="0"/>
  </w:style>
  <w:style w:type="character" w:customStyle="1" w:styleId="64">
    <w:name w:val="hover1"/>
    <w:qFormat/>
    <w:uiPriority w:val="0"/>
    <w:rPr>
      <w:shd w:val="clear" w:color="auto" w:fill="EEEEEE"/>
    </w:rPr>
  </w:style>
  <w:style w:type="character" w:customStyle="1" w:styleId="65">
    <w:name w:val="标题 3 Char"/>
    <w:qFormat/>
    <w:uiPriority w:val="99"/>
    <w:rPr>
      <w:rFonts w:eastAsia="宋体"/>
      <w:b/>
      <w:bCs/>
      <w:kern w:val="2"/>
      <w:sz w:val="32"/>
      <w:szCs w:val="32"/>
      <w:lang w:val="en-US" w:eastAsia="zh-CN" w:bidi="ar-SA"/>
    </w:rPr>
  </w:style>
  <w:style w:type="character" w:customStyle="1" w:styleId="66">
    <w:name w:val="标题 2 字符"/>
    <w:link w:val="3"/>
    <w:qFormat/>
    <w:uiPriority w:val="0"/>
    <w:rPr>
      <w:rFonts w:ascii="Arial" w:hAnsi="Arial" w:eastAsia="宋体"/>
      <w:b/>
      <w:color w:val="000000"/>
      <w:spacing w:val="40"/>
      <w:kern w:val="2"/>
      <w:sz w:val="32"/>
    </w:rPr>
  </w:style>
  <w:style w:type="character" w:customStyle="1" w:styleId="67">
    <w:name w:val="grame"/>
    <w:qFormat/>
    <w:uiPriority w:val="0"/>
  </w:style>
  <w:style w:type="character" w:customStyle="1" w:styleId="68">
    <w:name w:val="列出段落 字符"/>
    <w:link w:val="69"/>
    <w:qFormat/>
    <w:locked/>
    <w:uiPriority w:val="34"/>
    <w:rPr>
      <w:kern w:val="2"/>
      <w:sz w:val="21"/>
      <w:szCs w:val="24"/>
    </w:rPr>
  </w:style>
  <w:style w:type="paragraph" w:customStyle="1" w:styleId="69">
    <w:name w:val="列表段落1"/>
    <w:basedOn w:val="1"/>
    <w:link w:val="68"/>
    <w:qFormat/>
    <w:uiPriority w:val="34"/>
    <w:pPr>
      <w:ind w:firstLine="420" w:firstLineChars="200"/>
    </w:pPr>
    <w:rPr>
      <w:szCs w:val="24"/>
    </w:rPr>
  </w:style>
  <w:style w:type="character" w:customStyle="1" w:styleId="70">
    <w:name w:val="正文文本缩进 3 字符"/>
    <w:link w:val="32"/>
    <w:qFormat/>
    <w:uiPriority w:val="0"/>
    <w:rPr>
      <w:rFonts w:ascii="宋体"/>
      <w:color w:val="000000"/>
      <w:kern w:val="2"/>
      <w:sz w:val="26"/>
    </w:rPr>
  </w:style>
  <w:style w:type="character" w:customStyle="1" w:styleId="71">
    <w:name w:val="批注框文本 字符"/>
    <w:link w:val="26"/>
    <w:qFormat/>
    <w:uiPriority w:val="99"/>
    <w:rPr>
      <w:kern w:val="2"/>
      <w:sz w:val="18"/>
      <w:szCs w:val="18"/>
    </w:rPr>
  </w:style>
  <w:style w:type="character" w:customStyle="1" w:styleId="72">
    <w:name w:val="icon"/>
    <w:qFormat/>
    <w:uiPriority w:val="0"/>
  </w:style>
  <w:style w:type="character" w:customStyle="1" w:styleId="73">
    <w:name w:val="批注文字 Char1"/>
    <w:semiHidden/>
    <w:qFormat/>
    <w:uiPriority w:val="99"/>
    <w:rPr>
      <w:rFonts w:ascii="Times New Roman" w:hAnsi="Times New Roman" w:eastAsia="宋体" w:cs="Times New Roman"/>
      <w:szCs w:val="20"/>
    </w:rPr>
  </w:style>
  <w:style w:type="character" w:customStyle="1" w:styleId="74">
    <w:name w:val="标题 3 字符"/>
    <w:link w:val="4"/>
    <w:qFormat/>
    <w:uiPriority w:val="0"/>
    <w:rPr>
      <w:rFonts w:ascii="宋体" w:hAnsi="宋体" w:eastAsia="宋体"/>
      <w:b/>
      <w:kern w:val="2"/>
      <w:sz w:val="24"/>
    </w:rPr>
  </w:style>
  <w:style w:type="character" w:customStyle="1" w:styleId="75">
    <w:name w:val="rtbicon1"/>
    <w:qFormat/>
    <w:uiPriority w:val="0"/>
  </w:style>
  <w:style w:type="character" w:customStyle="1" w:styleId="76">
    <w:name w:val="hour_pm"/>
    <w:qFormat/>
    <w:uiPriority w:val="0"/>
  </w:style>
  <w:style w:type="character" w:customStyle="1" w:styleId="77">
    <w:name w:val="纯文本 字符"/>
    <w:link w:val="22"/>
    <w:qFormat/>
    <w:uiPriority w:val="99"/>
    <w:rPr>
      <w:rFonts w:ascii="宋体" w:eastAsia="宋体"/>
      <w:kern w:val="2"/>
      <w:sz w:val="21"/>
      <w:lang w:val="en-US" w:eastAsia="zh-CN" w:bidi="ar-SA"/>
    </w:rPr>
  </w:style>
  <w:style w:type="character" w:customStyle="1" w:styleId="78">
    <w:name w:val="正文文本缩进 字符"/>
    <w:link w:val="18"/>
    <w:qFormat/>
    <w:uiPriority w:val="0"/>
    <w:rPr>
      <w:kern w:val="2"/>
      <w:sz w:val="21"/>
    </w:rPr>
  </w:style>
  <w:style w:type="character" w:customStyle="1" w:styleId="79">
    <w:name w:val="indent"/>
    <w:qFormat/>
    <w:uiPriority w:val="0"/>
  </w:style>
  <w:style w:type="character" w:customStyle="1" w:styleId="80">
    <w:name w:val="标题 8 字符"/>
    <w:link w:val="9"/>
    <w:semiHidden/>
    <w:qFormat/>
    <w:uiPriority w:val="9"/>
    <w:rPr>
      <w:rFonts w:ascii="Cambria" w:hAnsi="Cambria"/>
      <w:kern w:val="2"/>
      <w:sz w:val="28"/>
      <w:szCs w:val="24"/>
    </w:rPr>
  </w:style>
  <w:style w:type="character" w:customStyle="1" w:styleId="81">
    <w:name w:val="页脚 字符"/>
    <w:link w:val="27"/>
    <w:qFormat/>
    <w:uiPriority w:val="99"/>
    <w:rPr>
      <w:kern w:val="2"/>
      <w:sz w:val="18"/>
    </w:rPr>
  </w:style>
  <w:style w:type="character" w:customStyle="1" w:styleId="82">
    <w:name w:val="正文文本 字符"/>
    <w:link w:val="15"/>
    <w:qFormat/>
    <w:uiPriority w:val="0"/>
    <w:rPr>
      <w:rFonts w:ascii="宋体"/>
      <w:kern w:val="2"/>
      <w:sz w:val="24"/>
    </w:rPr>
  </w:style>
  <w:style w:type="character" w:customStyle="1" w:styleId="83">
    <w:name w:val="标题 6 字符"/>
    <w:link w:val="7"/>
    <w:qFormat/>
    <w:uiPriority w:val="9"/>
    <w:rPr>
      <w:rFonts w:ascii="Cambria" w:hAnsi="Cambria"/>
      <w:b/>
      <w:bCs/>
      <w:kern w:val="2"/>
      <w:sz w:val="28"/>
      <w:szCs w:val="24"/>
    </w:rPr>
  </w:style>
  <w:style w:type="character" w:customStyle="1" w:styleId="84">
    <w:name w:val="GW-正文 Char"/>
    <w:link w:val="85"/>
    <w:qFormat/>
    <w:uiPriority w:val="0"/>
    <w:rPr>
      <w:rFonts w:eastAsia="方正楷体_GB2312"/>
      <w:kern w:val="2"/>
      <w:sz w:val="24"/>
      <w:szCs w:val="24"/>
    </w:rPr>
  </w:style>
  <w:style w:type="paragraph" w:customStyle="1" w:styleId="85">
    <w:name w:val="GW-正文"/>
    <w:basedOn w:val="1"/>
    <w:link w:val="84"/>
    <w:qFormat/>
    <w:uiPriority w:val="0"/>
    <w:pPr>
      <w:spacing w:line="360" w:lineRule="auto"/>
      <w:ind w:firstLine="200" w:firstLineChars="200"/>
    </w:pPr>
    <w:rPr>
      <w:rFonts w:eastAsia="方正楷体_GB2312"/>
      <w:sz w:val="24"/>
      <w:szCs w:val="24"/>
    </w:rPr>
  </w:style>
  <w:style w:type="character" w:customStyle="1" w:styleId="86">
    <w:name w:val="rmtext2"/>
    <w:qFormat/>
    <w:uiPriority w:val="0"/>
    <w:rPr>
      <w:vanish/>
    </w:rPr>
  </w:style>
  <w:style w:type="character" w:customStyle="1" w:styleId="87">
    <w:name w:val="rmbottomshadowleft11"/>
    <w:qFormat/>
    <w:uiPriority w:val="0"/>
  </w:style>
  <w:style w:type="character" w:customStyle="1" w:styleId="88">
    <w:name w:val="rmleftimage14"/>
    <w:qFormat/>
    <w:uiPriority w:val="0"/>
  </w:style>
  <w:style w:type="character" w:customStyle="1" w:styleId="89">
    <w:name w:val="标题 1 字符"/>
    <w:link w:val="2"/>
    <w:qFormat/>
    <w:uiPriority w:val="9"/>
    <w:rPr>
      <w:rFonts w:ascii="Times New Roman" w:hAnsi="Times New Roman" w:eastAsia="宋体"/>
      <w:b/>
      <w:spacing w:val="20"/>
      <w:kern w:val="44"/>
      <w:sz w:val="32"/>
    </w:rPr>
  </w:style>
  <w:style w:type="character" w:customStyle="1" w:styleId="90">
    <w:name w:val="标题 3 Char1"/>
    <w:qFormat/>
    <w:uiPriority w:val="0"/>
    <w:rPr>
      <w:rFonts w:eastAsia="宋体"/>
      <w:b/>
      <w:bCs/>
      <w:kern w:val="2"/>
      <w:sz w:val="32"/>
      <w:szCs w:val="32"/>
      <w:lang w:val="en-US" w:eastAsia="zh-CN" w:bidi="ar-SA"/>
    </w:rPr>
  </w:style>
  <w:style w:type="character" w:customStyle="1" w:styleId="91">
    <w:name w:val="short_text1"/>
    <w:qFormat/>
    <w:uiPriority w:val="0"/>
    <w:rPr>
      <w:sz w:val="26"/>
      <w:szCs w:val="26"/>
    </w:rPr>
  </w:style>
  <w:style w:type="character" w:customStyle="1" w:styleId="92">
    <w:name w:val="font01"/>
    <w:qFormat/>
    <w:uiPriority w:val="0"/>
    <w:rPr>
      <w:rFonts w:hint="eastAsia" w:ascii="宋体" w:hAnsi="宋体" w:eastAsia="宋体" w:cs="宋体"/>
      <w:color w:val="000000"/>
      <w:sz w:val="28"/>
      <w:szCs w:val="28"/>
      <w:u w:val="none"/>
    </w:rPr>
  </w:style>
  <w:style w:type="character" w:customStyle="1" w:styleId="93">
    <w:name w:val="font51"/>
    <w:qFormat/>
    <w:uiPriority w:val="0"/>
    <w:rPr>
      <w:rFonts w:hint="eastAsia" w:ascii="宋体" w:hAnsi="宋体" w:eastAsia="宋体" w:cs="宋体"/>
      <w:color w:val="auto"/>
      <w:sz w:val="22"/>
      <w:szCs w:val="22"/>
      <w:u w:val="none"/>
    </w:rPr>
  </w:style>
  <w:style w:type="character" w:customStyle="1" w:styleId="94">
    <w:name w:val="Y正文GBK Char"/>
    <w:link w:val="95"/>
    <w:qFormat/>
    <w:uiPriority w:val="0"/>
    <w:rPr>
      <w:rFonts w:ascii="方正仿宋_GBK" w:hAnsi="黑体" w:eastAsia="方正仿宋_GBK"/>
      <w:szCs w:val="32"/>
    </w:rPr>
  </w:style>
  <w:style w:type="paragraph" w:customStyle="1" w:styleId="95">
    <w:name w:val="Y正文GBK"/>
    <w:basedOn w:val="1"/>
    <w:link w:val="94"/>
    <w:qFormat/>
    <w:uiPriority w:val="0"/>
    <w:pPr>
      <w:spacing w:line="560" w:lineRule="exact"/>
      <w:ind w:firstLine="640"/>
    </w:pPr>
    <w:rPr>
      <w:rFonts w:ascii="方正仿宋_GBK" w:hAnsi="黑体" w:eastAsia="方正仿宋_GBK"/>
      <w:kern w:val="0"/>
      <w:sz w:val="20"/>
      <w:szCs w:val="32"/>
    </w:rPr>
  </w:style>
  <w:style w:type="character" w:customStyle="1" w:styleId="96">
    <w:name w:val="rtbicon"/>
    <w:qFormat/>
    <w:uiPriority w:val="0"/>
  </w:style>
  <w:style w:type="character" w:customStyle="1" w:styleId="97">
    <w:name w:val="纯文本 Char2"/>
    <w:qFormat/>
    <w:uiPriority w:val="99"/>
    <w:rPr>
      <w:rFonts w:ascii="宋体" w:eastAsia="宋体"/>
      <w:kern w:val="2"/>
      <w:sz w:val="21"/>
      <w:lang w:val="en-US" w:eastAsia="zh-CN" w:bidi="ar-SA"/>
    </w:rPr>
  </w:style>
  <w:style w:type="character" w:customStyle="1" w:styleId="98">
    <w:name w:val="rmtext1"/>
    <w:qFormat/>
    <w:uiPriority w:val="0"/>
  </w:style>
  <w:style w:type="character" w:customStyle="1" w:styleId="99">
    <w:name w:val="font71"/>
    <w:qFormat/>
    <w:uiPriority w:val="0"/>
    <w:rPr>
      <w:rFonts w:hint="default" w:ascii="Times New Roman" w:hAnsi="Times New Roman" w:cs="Times New Roman"/>
      <w:color w:val="000000"/>
      <w:sz w:val="24"/>
      <w:szCs w:val="24"/>
      <w:u w:val="none"/>
    </w:rPr>
  </w:style>
  <w:style w:type="character" w:customStyle="1" w:styleId="100">
    <w:name w:val="标题 4 字符"/>
    <w:link w:val="5"/>
    <w:qFormat/>
    <w:uiPriority w:val="9"/>
    <w:rPr>
      <w:rFonts w:ascii="Arial" w:hAnsi="Arial" w:eastAsia="黑体"/>
      <w:sz w:val="28"/>
    </w:rPr>
  </w:style>
  <w:style w:type="character" w:customStyle="1" w:styleId="101">
    <w:name w:val="孙普文字 Char"/>
    <w:qFormat/>
    <w:uiPriority w:val="0"/>
    <w:rPr>
      <w:rFonts w:ascii="宋体" w:hAnsi="Times New Roman" w:eastAsia="宋体" w:cs="Times New Roman"/>
      <w:szCs w:val="20"/>
    </w:rPr>
  </w:style>
  <w:style w:type="character" w:customStyle="1" w:styleId="102">
    <w:name w:val="font81"/>
    <w:qFormat/>
    <w:uiPriority w:val="0"/>
    <w:rPr>
      <w:rFonts w:hint="eastAsia" w:ascii="宋体" w:hAnsi="宋体" w:eastAsia="宋体" w:cs="宋体"/>
      <w:color w:val="auto"/>
      <w:sz w:val="22"/>
      <w:szCs w:val="22"/>
      <w:u w:val="single"/>
    </w:rPr>
  </w:style>
  <w:style w:type="character" w:customStyle="1" w:styleId="103">
    <w:name w:val="标题 7 字符"/>
    <w:link w:val="8"/>
    <w:qFormat/>
    <w:uiPriority w:val="9"/>
    <w:rPr>
      <w:rFonts w:ascii="Calibri" w:hAnsi="Calibri"/>
      <w:b/>
      <w:bCs/>
      <w:kern w:val="2"/>
      <w:sz w:val="28"/>
      <w:szCs w:val="24"/>
    </w:rPr>
  </w:style>
  <w:style w:type="character" w:customStyle="1" w:styleId="104">
    <w:name w:val="日期 Char1"/>
    <w:qFormat/>
    <w:uiPriority w:val="0"/>
    <w:rPr>
      <w:kern w:val="2"/>
      <w:sz w:val="21"/>
      <w:szCs w:val="24"/>
    </w:rPr>
  </w:style>
  <w:style w:type="character" w:customStyle="1" w:styleId="105">
    <w:name w:val="c-icon15"/>
    <w:qFormat/>
    <w:uiPriority w:val="0"/>
  </w:style>
  <w:style w:type="character" w:customStyle="1" w:styleId="106">
    <w:name w:val="批注主题 Char1"/>
    <w:qFormat/>
    <w:uiPriority w:val="0"/>
    <w:rPr>
      <w:rFonts w:ascii="Calibri" w:hAnsi="Calibri"/>
      <w:b/>
      <w:bCs/>
      <w:kern w:val="2"/>
      <w:sz w:val="28"/>
      <w:szCs w:val="22"/>
    </w:rPr>
  </w:style>
  <w:style w:type="character" w:customStyle="1" w:styleId="107">
    <w:name w:val="rmtext"/>
    <w:qFormat/>
    <w:uiPriority w:val="0"/>
  </w:style>
  <w:style w:type="character" w:customStyle="1" w:styleId="108">
    <w:name w:val="ca-21"/>
    <w:qFormat/>
    <w:uiPriority w:val="0"/>
    <w:rPr>
      <w:rFonts w:hint="eastAsia" w:ascii="方正仿宋_GBK" w:eastAsia="方正仿宋_GBK"/>
      <w:sz w:val="32"/>
      <w:szCs w:val="32"/>
    </w:rPr>
  </w:style>
  <w:style w:type="character" w:customStyle="1" w:styleId="109">
    <w:name w:val="rfdselecttext2"/>
    <w:qFormat/>
    <w:uiPriority w:val="0"/>
  </w:style>
  <w:style w:type="character" w:customStyle="1" w:styleId="110">
    <w:name w:val="fontborder"/>
    <w:qFormat/>
    <w:uiPriority w:val="0"/>
    <w:rPr>
      <w:bdr w:val="single" w:color="000000" w:sz="6" w:space="0"/>
    </w:rPr>
  </w:style>
  <w:style w:type="character" w:customStyle="1" w:styleId="111">
    <w:name w:val="样式2 Char"/>
    <w:link w:val="112"/>
    <w:qFormat/>
    <w:uiPriority w:val="0"/>
    <w:rPr>
      <w:rFonts w:ascii="Century Gothic" w:hAnsi="Century Gothic" w:eastAsia="黑体"/>
      <w:b/>
      <w:kern w:val="2"/>
      <w:sz w:val="32"/>
      <w:szCs w:val="30"/>
    </w:rPr>
  </w:style>
  <w:style w:type="paragraph" w:customStyle="1" w:styleId="112">
    <w:name w:val="样式2"/>
    <w:basedOn w:val="1"/>
    <w:link w:val="111"/>
    <w:qFormat/>
    <w:uiPriority w:val="0"/>
    <w:pPr>
      <w:spacing w:line="360" w:lineRule="auto"/>
    </w:pPr>
    <w:rPr>
      <w:rFonts w:ascii="Century Gothic" w:hAnsi="Century Gothic" w:eastAsia="黑体"/>
      <w:b/>
      <w:sz w:val="32"/>
      <w:szCs w:val="30"/>
    </w:rPr>
  </w:style>
  <w:style w:type="character" w:customStyle="1" w:styleId="113">
    <w:name w:val="不明显强调1"/>
    <w:qFormat/>
    <w:uiPriority w:val="0"/>
    <w:rPr>
      <w:rFonts w:eastAsia="方正楷体_GB2312"/>
      <w:iCs/>
      <w:color w:val="auto"/>
      <w:sz w:val="24"/>
    </w:rPr>
  </w:style>
  <w:style w:type="character" w:customStyle="1" w:styleId="114">
    <w:name w:val="glyphicon6"/>
    <w:qFormat/>
    <w:uiPriority w:val="0"/>
  </w:style>
  <w:style w:type="character" w:customStyle="1" w:styleId="115">
    <w:name w:val="style131"/>
    <w:qFormat/>
    <w:uiPriority w:val="0"/>
    <w:rPr>
      <w:sz w:val="18"/>
      <w:szCs w:val="18"/>
    </w:rPr>
  </w:style>
  <w:style w:type="character" w:customStyle="1" w:styleId="116">
    <w:name w:val="hour_am"/>
    <w:qFormat/>
    <w:uiPriority w:val="0"/>
  </w:style>
  <w:style w:type="character" w:customStyle="1" w:styleId="117">
    <w:name w:val="页眉 字符"/>
    <w:link w:val="28"/>
    <w:qFormat/>
    <w:uiPriority w:val="99"/>
    <w:rPr>
      <w:kern w:val="2"/>
      <w:sz w:val="18"/>
    </w:rPr>
  </w:style>
  <w:style w:type="character" w:customStyle="1" w:styleId="118">
    <w:name w:val="font41"/>
    <w:qFormat/>
    <w:uiPriority w:val="0"/>
    <w:rPr>
      <w:rFonts w:hint="default" w:ascii="Times New Roman" w:hAnsi="Times New Roman" w:cs="Times New Roman"/>
      <w:color w:val="000000"/>
      <w:sz w:val="28"/>
      <w:szCs w:val="28"/>
      <w:u w:val="none"/>
    </w:rPr>
  </w:style>
  <w:style w:type="character" w:customStyle="1" w:styleId="119">
    <w:name w:val="标题 5 字符"/>
    <w:link w:val="6"/>
    <w:qFormat/>
    <w:uiPriority w:val="9"/>
    <w:rPr>
      <w:rFonts w:ascii="Times New Roman" w:hAnsi="Times New Roman" w:eastAsia="宋体"/>
      <w:b/>
      <w:sz w:val="28"/>
      <w:szCs w:val="24"/>
    </w:rPr>
  </w:style>
  <w:style w:type="character" w:customStyle="1" w:styleId="120">
    <w:name w:val="rmtext3"/>
    <w:qFormat/>
    <w:uiPriority w:val="0"/>
  </w:style>
  <w:style w:type="character" w:customStyle="1" w:styleId="121">
    <w:name w:val="font61"/>
    <w:qFormat/>
    <w:uiPriority w:val="0"/>
    <w:rPr>
      <w:rFonts w:hint="eastAsia" w:ascii="宋体" w:hAnsi="宋体" w:eastAsia="宋体" w:cs="宋体"/>
      <w:color w:val="000000"/>
      <w:sz w:val="24"/>
      <w:szCs w:val="24"/>
      <w:u w:val="none"/>
    </w:rPr>
  </w:style>
  <w:style w:type="character" w:customStyle="1" w:styleId="122">
    <w:name w:val="样式1 Char"/>
    <w:link w:val="123"/>
    <w:qFormat/>
    <w:uiPriority w:val="0"/>
    <w:rPr>
      <w:rFonts w:ascii="Arial" w:hAnsi="Arial" w:eastAsia="黑体"/>
      <w:b/>
      <w:color w:val="000000"/>
      <w:sz w:val="30"/>
    </w:rPr>
  </w:style>
  <w:style w:type="paragraph" w:customStyle="1" w:styleId="123">
    <w:name w:val="样式1"/>
    <w:basedOn w:val="3"/>
    <w:link w:val="122"/>
    <w:qFormat/>
    <w:uiPriority w:val="0"/>
    <w:pPr>
      <w:adjustRightInd w:val="0"/>
      <w:spacing w:line="416" w:lineRule="atLeast"/>
      <w:jc w:val="left"/>
      <w:textAlignment w:val="baseline"/>
    </w:pPr>
    <w:rPr>
      <w:rFonts w:eastAsia="黑体"/>
      <w:spacing w:val="0"/>
      <w:kern w:val="0"/>
      <w:sz w:val="30"/>
    </w:rPr>
  </w:style>
  <w:style w:type="character" w:customStyle="1" w:styleId="124">
    <w:name w:val="rufilewrap"/>
    <w:qFormat/>
    <w:uiPriority w:val="0"/>
  </w:style>
  <w:style w:type="character" w:customStyle="1" w:styleId="125">
    <w:name w:val="fontstrikethrough"/>
    <w:qFormat/>
    <w:uiPriority w:val="0"/>
    <w:rPr>
      <w:strike/>
    </w:rPr>
  </w:style>
  <w:style w:type="character" w:customStyle="1" w:styleId="126">
    <w:name w:val="正文文本缩进 2 字符"/>
    <w:link w:val="25"/>
    <w:qFormat/>
    <w:uiPriority w:val="0"/>
    <w:rPr>
      <w:rFonts w:ascii="宋体"/>
      <w:kern w:val="2"/>
      <w:sz w:val="24"/>
    </w:rPr>
  </w:style>
  <w:style w:type="character" w:customStyle="1" w:styleId="127">
    <w:name w:val="批注文字 字符"/>
    <w:link w:val="16"/>
    <w:qFormat/>
    <w:uiPriority w:val="99"/>
    <w:rPr>
      <w:kern w:val="2"/>
      <w:sz w:val="21"/>
    </w:rPr>
  </w:style>
  <w:style w:type="character" w:customStyle="1" w:styleId="128">
    <w:name w:val="font31"/>
    <w:qFormat/>
    <w:uiPriority w:val="0"/>
    <w:rPr>
      <w:rFonts w:hint="eastAsia" w:ascii="宋体" w:hAnsi="宋体" w:eastAsia="宋体" w:cs="宋体"/>
      <w:color w:val="000000"/>
      <w:sz w:val="28"/>
      <w:szCs w:val="28"/>
      <w:u w:val="none"/>
    </w:rPr>
  </w:style>
  <w:style w:type="character" w:customStyle="1" w:styleId="129">
    <w:name w:val="param-name"/>
    <w:qFormat/>
    <w:uiPriority w:val="0"/>
    <w:rPr>
      <w:rFonts w:cs="Times New Roman"/>
    </w:rPr>
  </w:style>
  <w:style w:type="character" w:customStyle="1" w:styleId="130">
    <w:name w:val="font21"/>
    <w:qFormat/>
    <w:uiPriority w:val="0"/>
    <w:rPr>
      <w:rFonts w:hint="eastAsia" w:ascii="宋体" w:hAnsi="宋体" w:eastAsia="宋体" w:cs="宋体"/>
      <w:color w:val="000000"/>
      <w:sz w:val="17"/>
      <w:szCs w:val="17"/>
      <w:u w:val="none"/>
    </w:rPr>
  </w:style>
  <w:style w:type="character" w:customStyle="1" w:styleId="131">
    <w:name w:val="font91"/>
    <w:qFormat/>
    <w:uiPriority w:val="0"/>
    <w:rPr>
      <w:rFonts w:hint="default" w:ascii="Times New Roman" w:hAnsi="Times New Roman" w:cs="Times New Roman"/>
      <w:color w:val="FF0000"/>
      <w:sz w:val="24"/>
      <w:szCs w:val="24"/>
      <w:u w:val="none"/>
    </w:rPr>
  </w:style>
  <w:style w:type="character" w:customStyle="1" w:styleId="132">
    <w:name w:val="日期 字符"/>
    <w:link w:val="24"/>
    <w:qFormat/>
    <w:uiPriority w:val="0"/>
    <w:rPr>
      <w:sz w:val="28"/>
    </w:rPr>
  </w:style>
  <w:style w:type="paragraph" w:customStyle="1" w:styleId="133">
    <w:name w:val="xl744"/>
    <w:basedOn w:val="1"/>
    <w:qFormat/>
    <w:uiPriority w:val="0"/>
    <w:pPr>
      <w:widowControl/>
      <w:shd w:val="clear" w:color="000000" w:fill="008000"/>
      <w:spacing w:before="100" w:beforeAutospacing="1" w:after="100" w:afterAutospacing="1"/>
      <w:jc w:val="left"/>
      <w:textAlignment w:val="center"/>
    </w:pPr>
    <w:rPr>
      <w:rFonts w:ascii="宋体" w:hAnsi="宋体" w:cs="宋体"/>
      <w:kern w:val="0"/>
      <w:sz w:val="24"/>
      <w:szCs w:val="24"/>
    </w:rPr>
  </w:style>
  <w:style w:type="paragraph" w:customStyle="1" w:styleId="134">
    <w:name w:val="xl7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135">
    <w:name w:val="xl812"/>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kern w:val="0"/>
      <w:sz w:val="20"/>
    </w:rPr>
  </w:style>
  <w:style w:type="paragraph" w:customStyle="1" w:styleId="136">
    <w:name w:val="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137">
    <w:name w:val="xl767"/>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b/>
      <w:bCs/>
      <w:kern w:val="0"/>
      <w:sz w:val="20"/>
    </w:rPr>
  </w:style>
  <w:style w:type="paragraph" w:customStyle="1" w:styleId="138">
    <w:name w:val="xl92"/>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20"/>
    </w:rPr>
  </w:style>
  <w:style w:type="paragraph" w:customStyle="1" w:styleId="139">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40">
    <w:name w:val="xl7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14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Arial Unicode MS" w:hAnsi="Arial Unicode MS" w:eastAsia="Arial Unicode MS" w:cs="Arial Unicode MS"/>
      <w:b/>
      <w:bCs/>
      <w:kern w:val="0"/>
      <w:sz w:val="18"/>
      <w:szCs w:val="18"/>
    </w:rPr>
  </w:style>
  <w:style w:type="paragraph" w:customStyle="1" w:styleId="142">
    <w:name w:val="xl757"/>
    <w:basedOn w:val="1"/>
    <w:qFormat/>
    <w:uiPriority w:val="0"/>
    <w:pPr>
      <w:widowControl/>
      <w:shd w:val="clear" w:color="000000" w:fill="C0C0C0"/>
      <w:spacing w:before="100" w:beforeAutospacing="1" w:after="100" w:afterAutospacing="1"/>
      <w:jc w:val="left"/>
      <w:textAlignment w:val="center"/>
    </w:pPr>
    <w:rPr>
      <w:rFonts w:ascii="宋体" w:hAnsi="宋体" w:cs="宋体"/>
      <w:kern w:val="0"/>
      <w:sz w:val="24"/>
      <w:szCs w:val="24"/>
    </w:rPr>
  </w:style>
  <w:style w:type="paragraph" w:customStyle="1" w:styleId="143">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144">
    <w:name w:val="xl8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18"/>
      <w:szCs w:val="18"/>
    </w:rPr>
  </w:style>
  <w:style w:type="paragraph" w:customStyle="1" w:styleId="145">
    <w:name w:val="xl107"/>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18"/>
      <w:szCs w:val="18"/>
    </w:rPr>
  </w:style>
  <w:style w:type="paragraph" w:customStyle="1" w:styleId="146">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47">
    <w:name w:val="正文五号"/>
    <w:basedOn w:val="1"/>
    <w:qFormat/>
    <w:uiPriority w:val="0"/>
    <w:rPr>
      <w:rFonts w:ascii="宋体" w:eastAsia="方正楷体_GB2312"/>
    </w:rPr>
  </w:style>
  <w:style w:type="paragraph" w:customStyle="1" w:styleId="148">
    <w:name w:val="xl78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149">
    <w:name w:val="font9"/>
    <w:basedOn w:val="1"/>
    <w:qFormat/>
    <w:uiPriority w:val="0"/>
    <w:pPr>
      <w:widowControl/>
      <w:spacing w:before="100" w:beforeAutospacing="1" w:after="100" w:afterAutospacing="1"/>
      <w:jc w:val="left"/>
    </w:pPr>
    <w:rPr>
      <w:rFonts w:ascii="等线" w:hAnsi="等线" w:eastAsia="等线" w:cs="宋体"/>
      <w:color w:val="000000"/>
      <w:kern w:val="0"/>
      <w:sz w:val="18"/>
      <w:szCs w:val="18"/>
    </w:rPr>
  </w:style>
  <w:style w:type="paragraph" w:customStyle="1" w:styleId="150">
    <w:name w:val="抬头"/>
    <w:basedOn w:val="1"/>
    <w:qFormat/>
    <w:uiPriority w:val="0"/>
    <w:pPr>
      <w:spacing w:beforeLines="50" w:line="360" w:lineRule="auto"/>
    </w:pPr>
    <w:rPr>
      <w:rFonts w:ascii="宋体"/>
      <w:sz w:val="24"/>
      <w:szCs w:val="24"/>
    </w:rPr>
  </w:style>
  <w:style w:type="paragraph" w:customStyle="1" w:styleId="151">
    <w:name w:val="xl7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6"/>
      <w:szCs w:val="16"/>
    </w:rPr>
  </w:style>
  <w:style w:type="paragraph" w:customStyle="1" w:styleId="152">
    <w:name w:val="xl817"/>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153">
    <w:name w:val="xl88"/>
    <w:basedOn w:val="1"/>
    <w:qFormat/>
    <w:uiPriority w:val="0"/>
    <w:pPr>
      <w:widowControl/>
      <w:shd w:val="clear" w:color="000000" w:fill="C0C0C0"/>
      <w:spacing w:before="100" w:beforeAutospacing="1" w:after="100" w:afterAutospacing="1"/>
      <w:jc w:val="left"/>
    </w:pPr>
    <w:rPr>
      <w:rFonts w:ascii="宋体" w:hAnsi="宋体" w:cs="宋体"/>
      <w:kern w:val="0"/>
      <w:sz w:val="24"/>
      <w:szCs w:val="24"/>
    </w:rPr>
  </w:style>
  <w:style w:type="paragraph" w:customStyle="1" w:styleId="15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008000"/>
      <w:spacing w:before="100" w:beforeAutospacing="1" w:after="100" w:afterAutospacing="1"/>
      <w:jc w:val="center"/>
    </w:pPr>
    <w:rPr>
      <w:rFonts w:ascii="宋体" w:hAnsi="宋体" w:cs="宋体"/>
      <w:kern w:val="0"/>
      <w:sz w:val="20"/>
    </w:rPr>
  </w:style>
  <w:style w:type="paragraph" w:customStyle="1" w:styleId="15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56">
    <w:name w:val="xl7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57">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8">
    <w:name w:val="xl8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159">
    <w:name w:val="SANGFOR_6_正文"/>
    <w:basedOn w:val="1"/>
    <w:qFormat/>
    <w:uiPriority w:val="0"/>
    <w:pPr>
      <w:spacing w:line="360" w:lineRule="auto"/>
    </w:pPr>
    <w:rPr>
      <w:rFonts w:ascii="宋体" w:hAnsi="宋体"/>
      <w:szCs w:val="21"/>
    </w:rPr>
  </w:style>
  <w:style w:type="paragraph" w:customStyle="1" w:styleId="160">
    <w:name w:val="正文1"/>
    <w:qFormat/>
    <w:uiPriority w:val="0"/>
    <w:pPr>
      <w:spacing w:line="440" w:lineRule="exact"/>
      <w:jc w:val="both"/>
    </w:pPr>
    <w:rPr>
      <w:rFonts w:ascii="Times New Roman" w:hAnsi="Times New Roman" w:eastAsia="宋体" w:cs="Times New Roman"/>
      <w:kern w:val="2"/>
      <w:sz w:val="21"/>
      <w:szCs w:val="21"/>
      <w:lang w:val="en-US" w:eastAsia="zh-CN" w:bidi="ar-SA"/>
    </w:rPr>
  </w:style>
  <w:style w:type="paragraph" w:customStyle="1" w:styleId="16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黑体" w:hAnsi="黑体" w:eastAsia="黑体" w:cs="宋体"/>
      <w:kern w:val="0"/>
      <w:sz w:val="20"/>
    </w:rPr>
  </w:style>
  <w:style w:type="paragraph" w:customStyle="1" w:styleId="162">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16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64">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65">
    <w:name w:val="xl766"/>
    <w:basedOn w:val="1"/>
    <w:qFormat/>
    <w:uiPriority w:val="0"/>
    <w:pPr>
      <w:widowControl/>
      <w:pBdr>
        <w:top w:val="single" w:color="auto" w:sz="4" w:space="0"/>
        <w:left w:val="single" w:color="auto" w:sz="4" w:space="0"/>
        <w:bottom w:val="single" w:color="auto" w:sz="4" w:space="0"/>
        <w:right w:val="single" w:color="auto" w:sz="4" w:space="0"/>
      </w:pBdr>
      <w:shd w:val="clear" w:color="000000" w:fill="008000"/>
      <w:spacing w:before="100" w:beforeAutospacing="1" w:after="100" w:afterAutospacing="1"/>
      <w:jc w:val="center"/>
      <w:textAlignment w:val="center"/>
    </w:pPr>
    <w:rPr>
      <w:rFonts w:ascii="宋体" w:hAnsi="宋体" w:cs="宋体"/>
      <w:kern w:val="0"/>
      <w:sz w:val="20"/>
    </w:rPr>
  </w:style>
  <w:style w:type="paragraph" w:customStyle="1" w:styleId="16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7">
    <w:name w:val="xl7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168">
    <w:name w:val="xl746"/>
    <w:basedOn w:val="1"/>
    <w:qFormat/>
    <w:uiPriority w:val="0"/>
    <w:pPr>
      <w:widowControl/>
      <w:shd w:val="clear" w:color="000000" w:fill="008000"/>
      <w:spacing w:before="100" w:beforeAutospacing="1" w:after="100" w:afterAutospacing="1"/>
      <w:jc w:val="left"/>
      <w:textAlignment w:val="center"/>
    </w:pPr>
    <w:rPr>
      <w:rFonts w:ascii="宋体" w:hAnsi="宋体" w:cs="宋体"/>
      <w:kern w:val="0"/>
      <w:sz w:val="24"/>
      <w:szCs w:val="24"/>
    </w:rPr>
  </w:style>
  <w:style w:type="paragraph" w:customStyle="1" w:styleId="169">
    <w:name w:val="xl93"/>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20"/>
    </w:rPr>
  </w:style>
  <w:style w:type="paragraph" w:customStyle="1" w:styleId="17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71">
    <w:name w:val="xl76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b/>
      <w:bCs/>
      <w:kern w:val="0"/>
      <w:sz w:val="20"/>
    </w:rPr>
  </w:style>
  <w:style w:type="paragraph" w:customStyle="1" w:styleId="17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黑体" w:eastAsia="黑体" w:cs="宋体"/>
      <w:kern w:val="0"/>
      <w:sz w:val="20"/>
    </w:rPr>
  </w:style>
  <w:style w:type="paragraph" w:customStyle="1" w:styleId="173">
    <w:name w:val="xl77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174">
    <w:name w:val="xl7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175">
    <w:name w:val="xl823"/>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176">
    <w:name w:val="xl8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177">
    <w:name w:val="xl7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kern w:val="0"/>
      <w:sz w:val="20"/>
    </w:rPr>
  </w:style>
  <w:style w:type="paragraph" w:customStyle="1" w:styleId="1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179">
    <w:name w:val="xl770"/>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kern w:val="0"/>
      <w:sz w:val="20"/>
    </w:rPr>
  </w:style>
  <w:style w:type="paragraph" w:customStyle="1" w:styleId="180">
    <w:name w:val="xl7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81">
    <w:name w:val="xl743"/>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182">
    <w:name w:val="xl90"/>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20"/>
    </w:rPr>
  </w:style>
  <w:style w:type="paragraph" w:customStyle="1" w:styleId="18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18"/>
      <w:szCs w:val="18"/>
    </w:rPr>
  </w:style>
  <w:style w:type="paragraph" w:customStyle="1" w:styleId="184">
    <w:name w:val="xl7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185">
    <w:name w:val="xl821"/>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18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黑体" w:eastAsia="黑体" w:cs="宋体"/>
      <w:kern w:val="0"/>
      <w:sz w:val="18"/>
      <w:szCs w:val="18"/>
    </w:rPr>
  </w:style>
  <w:style w:type="paragraph" w:customStyle="1" w:styleId="187">
    <w:name w:val="z-窗体顶端1"/>
    <w:basedOn w:val="1"/>
    <w:next w:val="1"/>
    <w:qFormat/>
    <w:uiPriority w:val="0"/>
    <w:pPr>
      <w:pBdr>
        <w:bottom w:val="single" w:color="auto" w:sz="6" w:space="1"/>
      </w:pBdr>
      <w:jc w:val="center"/>
    </w:pPr>
    <w:rPr>
      <w:rFonts w:ascii="Arial"/>
      <w:vanish/>
      <w:sz w:val="16"/>
    </w:rPr>
  </w:style>
  <w:style w:type="paragraph" w:customStyle="1" w:styleId="188">
    <w:name w:val="xl7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189">
    <w:name w:val="xl776"/>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19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191">
    <w:name w:val="Char Char1"/>
    <w:basedOn w:val="1"/>
    <w:qFormat/>
    <w:uiPriority w:val="0"/>
    <w:pPr>
      <w:widowControl/>
      <w:spacing w:after="160" w:line="240" w:lineRule="exact"/>
      <w:jc w:val="left"/>
    </w:pPr>
    <w:rPr>
      <w:rFonts w:ascii="Verdana" w:hAnsi="Verdana" w:eastAsia="方正楷体_GB2312"/>
      <w:kern w:val="0"/>
      <w:sz w:val="20"/>
      <w:lang w:eastAsia="en-US"/>
    </w:rPr>
  </w:style>
  <w:style w:type="paragraph" w:customStyle="1" w:styleId="192">
    <w:name w:val="图居中"/>
    <w:basedOn w:val="1"/>
    <w:qFormat/>
    <w:uiPriority w:val="0"/>
    <w:pPr>
      <w:spacing w:line="360" w:lineRule="auto"/>
      <w:jc w:val="center"/>
    </w:pPr>
    <w:rPr>
      <w:szCs w:val="24"/>
    </w:rPr>
  </w:style>
  <w:style w:type="paragraph" w:customStyle="1" w:styleId="1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18"/>
      <w:szCs w:val="18"/>
    </w:rPr>
  </w:style>
  <w:style w:type="paragraph" w:customStyle="1" w:styleId="194">
    <w:name w:val="列出段落1"/>
    <w:basedOn w:val="1"/>
    <w:qFormat/>
    <w:uiPriority w:val="0"/>
    <w:pPr>
      <w:ind w:firstLine="420" w:firstLineChars="200"/>
    </w:pPr>
    <w:rPr>
      <w:rFonts w:ascii="Calibri" w:hAnsi="Calibri"/>
      <w:szCs w:val="22"/>
    </w:rPr>
  </w:style>
  <w:style w:type="paragraph" w:customStyle="1" w:styleId="195">
    <w:name w:val="xl7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6">
    <w:name w:val="xl23"/>
    <w:next w:val="35"/>
    <w:qFormat/>
    <w:uiPriority w:val="0"/>
    <w:pPr>
      <w:spacing w:before="100" w:beforeAutospacing="1" w:after="100" w:afterAutospacing="1" w:line="440" w:lineRule="exact"/>
      <w:jc w:val="center"/>
    </w:pPr>
    <w:rPr>
      <w:rFonts w:ascii="Arial Unicode MS" w:hAnsi="Arial Unicode MS" w:eastAsia="Arial Unicode MS" w:cs="Times New Roman"/>
      <w:sz w:val="24"/>
      <w:lang w:val="en-US" w:eastAsia="zh-CN" w:bidi="ar-SA"/>
    </w:rPr>
  </w:style>
  <w:style w:type="paragraph" w:customStyle="1" w:styleId="197">
    <w:name w:val="xl7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0"/>
    </w:rPr>
  </w:style>
  <w:style w:type="paragraph" w:customStyle="1" w:styleId="198">
    <w:name w:val="xl7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199">
    <w:name w:val="*正文"/>
    <w:basedOn w:val="1"/>
    <w:qFormat/>
    <w:uiPriority w:val="0"/>
    <w:pPr>
      <w:spacing w:line="560" w:lineRule="exact"/>
      <w:ind w:firstLine="420" w:firstLineChars="200"/>
    </w:pPr>
    <w:rPr>
      <w:rFonts w:ascii="宋体" w:hAnsi="宋体"/>
      <w:szCs w:val="32"/>
    </w:rPr>
  </w:style>
  <w:style w:type="paragraph" w:customStyle="1" w:styleId="200">
    <w:name w:val="无间隔1"/>
    <w:qFormat/>
    <w:uiPriority w:val="1"/>
    <w:pPr>
      <w:widowControl w:val="0"/>
    </w:pPr>
    <w:rPr>
      <w:rFonts w:ascii="Times New Roman" w:hAnsi="Times New Roman" w:eastAsia="宋体" w:cs="Times New Roman"/>
      <w:kern w:val="2"/>
      <w:sz w:val="21"/>
      <w:szCs w:val="22"/>
      <w:lang w:val="en-US" w:eastAsia="zh-CN" w:bidi="ar-SA"/>
    </w:rPr>
  </w:style>
  <w:style w:type="paragraph" w:customStyle="1" w:styleId="201">
    <w:name w:val="xl814"/>
    <w:basedOn w:val="1"/>
    <w:qFormat/>
    <w:uiPriority w:val="0"/>
    <w:pPr>
      <w:widowControl/>
      <w:pBdr>
        <w:bottom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202">
    <w:name w:val="xl756"/>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203">
    <w:name w:val="_Style 1"/>
    <w:basedOn w:val="1"/>
    <w:qFormat/>
    <w:uiPriority w:val="34"/>
    <w:pPr>
      <w:spacing w:line="276" w:lineRule="auto"/>
      <w:ind w:left="720"/>
      <w:contextualSpacing/>
    </w:pPr>
    <w:rPr>
      <w:rFonts w:ascii="Calibri" w:hAnsi="Calibri"/>
      <w:szCs w:val="24"/>
    </w:rPr>
  </w:style>
  <w:style w:type="paragraph" w:customStyle="1" w:styleId="20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kern w:val="0"/>
      <w:sz w:val="20"/>
    </w:rPr>
  </w:style>
  <w:style w:type="paragraph" w:customStyle="1" w:styleId="205">
    <w:name w:val="xl820"/>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206">
    <w:name w:val="List Paragraph1"/>
    <w:basedOn w:val="1"/>
    <w:qFormat/>
    <w:uiPriority w:val="99"/>
    <w:pPr>
      <w:spacing w:line="240" w:lineRule="auto"/>
      <w:ind w:firstLine="420" w:firstLineChars="200"/>
    </w:pPr>
    <w:rPr>
      <w:szCs w:val="24"/>
    </w:rPr>
  </w:style>
  <w:style w:type="paragraph" w:customStyle="1" w:styleId="207">
    <w:name w:val="表编号"/>
    <w:basedOn w:val="1"/>
    <w:qFormat/>
    <w:uiPriority w:val="99"/>
    <w:pPr>
      <w:adjustRightInd w:val="0"/>
      <w:snapToGrid w:val="0"/>
      <w:spacing w:before="156" w:beforeLines="50" w:line="360" w:lineRule="auto"/>
      <w:jc w:val="center"/>
    </w:pPr>
    <w:rPr>
      <w:lang w:val="zh-CN"/>
    </w:rPr>
  </w:style>
  <w:style w:type="paragraph" w:customStyle="1" w:styleId="208">
    <w:name w:val="xl8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09">
    <w:name w:val="xl7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16"/>
      <w:szCs w:val="16"/>
    </w:rPr>
  </w:style>
  <w:style w:type="paragraph" w:customStyle="1" w:styleId="210">
    <w:name w:val="xl813"/>
    <w:basedOn w:val="1"/>
    <w:qFormat/>
    <w:uiPriority w:val="0"/>
    <w:pPr>
      <w:widowControl/>
      <w:spacing w:before="100" w:beforeAutospacing="1" w:after="100" w:afterAutospacing="1"/>
      <w:jc w:val="center"/>
      <w:textAlignment w:val="center"/>
    </w:pPr>
    <w:rPr>
      <w:rFonts w:ascii="黑体" w:hAnsi="黑体" w:eastAsia="黑体" w:cs="宋体"/>
      <w:kern w:val="0"/>
      <w:sz w:val="40"/>
      <w:szCs w:val="40"/>
    </w:rPr>
  </w:style>
  <w:style w:type="paragraph" w:customStyle="1" w:styleId="211">
    <w:name w:val="子弹１"/>
    <w:basedOn w:val="212"/>
    <w:qFormat/>
    <w:uiPriority w:val="0"/>
    <w:pPr>
      <w:tabs>
        <w:tab w:val="left" w:pos="873"/>
        <w:tab w:val="left" w:pos="1134"/>
        <w:tab w:val="right" w:pos="9356"/>
      </w:tabs>
    </w:pPr>
  </w:style>
  <w:style w:type="paragraph" w:customStyle="1" w:styleId="212">
    <w:name w:val="子弹"/>
    <w:basedOn w:val="1"/>
    <w:qFormat/>
    <w:uiPriority w:val="0"/>
    <w:pPr>
      <w:tabs>
        <w:tab w:val="left" w:pos="1134"/>
        <w:tab w:val="right" w:pos="9356"/>
      </w:tabs>
      <w:ind w:left="720" w:hanging="360"/>
    </w:pPr>
    <w:rPr>
      <w:rFonts w:ascii="新宋体" w:hAnsi="新宋体" w:eastAsia="新宋体"/>
      <w:sz w:val="28"/>
      <w:szCs w:val="28"/>
    </w:rPr>
  </w:style>
  <w:style w:type="paragraph" w:customStyle="1" w:styleId="213">
    <w:name w:val="xl751"/>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黑体" w:hAnsi="黑体" w:eastAsia="黑体" w:cs="宋体"/>
      <w:kern w:val="0"/>
      <w:sz w:val="20"/>
    </w:rPr>
  </w:style>
  <w:style w:type="paragraph" w:customStyle="1" w:styleId="214">
    <w:name w:val="Char"/>
    <w:basedOn w:val="1"/>
    <w:qFormat/>
    <w:uiPriority w:val="0"/>
    <w:pPr>
      <w:widowControl/>
      <w:spacing w:after="160" w:line="240" w:lineRule="exact"/>
      <w:jc w:val="left"/>
    </w:pPr>
    <w:rPr>
      <w:rFonts w:ascii="Verdana" w:hAnsi="Verdana"/>
      <w:kern w:val="0"/>
      <w:sz w:val="20"/>
      <w:lang w:eastAsia="en-US"/>
    </w:rPr>
  </w:style>
  <w:style w:type="paragraph" w:customStyle="1" w:styleId="215">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黑体" w:hAnsi="黑体" w:eastAsia="黑体" w:cs="宋体"/>
      <w:kern w:val="0"/>
      <w:sz w:val="20"/>
    </w:rPr>
  </w:style>
  <w:style w:type="paragraph" w:customStyle="1" w:styleId="216">
    <w:name w:val="xl103"/>
    <w:basedOn w:val="1"/>
    <w:qFormat/>
    <w:uiPriority w:val="0"/>
    <w:pPr>
      <w:widowControl/>
      <w:pBdr>
        <w:top w:val="single" w:color="auto" w:sz="4" w:space="0"/>
        <w:left w:val="single" w:color="auto" w:sz="4" w:space="18"/>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20"/>
    </w:rPr>
  </w:style>
  <w:style w:type="paragraph" w:customStyle="1" w:styleId="217">
    <w:name w:val="xl7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18">
    <w:name w:val="表居中"/>
    <w:basedOn w:val="1"/>
    <w:qFormat/>
    <w:uiPriority w:val="0"/>
    <w:pPr>
      <w:jc w:val="center"/>
    </w:pPr>
    <w:rPr>
      <w:sz w:val="28"/>
      <w:szCs w:val="22"/>
    </w:rPr>
  </w:style>
  <w:style w:type="paragraph" w:customStyle="1" w:styleId="219">
    <w:name w:val="xl7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20">
    <w:name w:val="xl7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2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黑体" w:hAnsi="黑体" w:eastAsia="黑体" w:cs="宋体"/>
      <w:kern w:val="0"/>
      <w:sz w:val="20"/>
    </w:rPr>
  </w:style>
  <w:style w:type="paragraph" w:customStyle="1" w:styleId="222">
    <w:name w:val="Table_M"/>
    <w:basedOn w:val="1"/>
    <w:qFormat/>
    <w:uiPriority w:val="0"/>
    <w:pPr>
      <w:jc w:val="center"/>
    </w:pPr>
    <w:rPr>
      <w:szCs w:val="21"/>
    </w:rPr>
  </w:style>
  <w:style w:type="paragraph" w:customStyle="1" w:styleId="223">
    <w:name w:val="xl795"/>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color w:val="FF0000"/>
      <w:kern w:val="0"/>
      <w:sz w:val="20"/>
    </w:rPr>
  </w:style>
  <w:style w:type="paragraph" w:customStyle="1" w:styleId="224">
    <w:name w:val="1"/>
    <w:qFormat/>
    <w:uiPriority w:val="0"/>
    <w:pPr>
      <w:widowControl w:val="0"/>
      <w:spacing w:line="440" w:lineRule="exact"/>
      <w:jc w:val="both"/>
    </w:pPr>
    <w:rPr>
      <w:rFonts w:ascii="Times New Roman" w:hAnsi="Times New Roman" w:eastAsia="宋体" w:cs="Times New Roman"/>
      <w:kern w:val="2"/>
      <w:sz w:val="21"/>
      <w:lang w:val="en-US" w:eastAsia="zh-CN" w:bidi="ar-SA"/>
    </w:rPr>
  </w:style>
  <w:style w:type="paragraph" w:customStyle="1" w:styleId="225">
    <w:name w:val="xl76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黑体" w:hAnsi="黑体" w:eastAsia="黑体" w:cs="宋体"/>
      <w:b/>
      <w:bCs/>
      <w:kern w:val="0"/>
      <w:sz w:val="20"/>
    </w:rPr>
  </w:style>
  <w:style w:type="paragraph" w:customStyle="1" w:styleId="226">
    <w:name w:val="xl7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18"/>
      <w:szCs w:val="18"/>
    </w:rPr>
  </w:style>
  <w:style w:type="paragraph" w:customStyle="1" w:styleId="227">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18"/>
      <w:szCs w:val="18"/>
    </w:rPr>
  </w:style>
  <w:style w:type="paragraph" w:customStyle="1" w:styleId="228">
    <w:name w:val="Char Char Char"/>
    <w:basedOn w:val="1"/>
    <w:qFormat/>
    <w:uiPriority w:val="0"/>
    <w:pPr>
      <w:ind w:firstLine="200" w:firstLineChars="200"/>
    </w:pPr>
    <w:rPr>
      <w:sz w:val="24"/>
      <w:szCs w:val="24"/>
    </w:rPr>
  </w:style>
  <w:style w:type="paragraph" w:customStyle="1" w:styleId="229">
    <w:name w:val="xl819"/>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230">
    <w:name w:val="xl822"/>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31">
    <w:name w:val="xl75"/>
    <w:basedOn w:val="1"/>
    <w:qFormat/>
    <w:uiPriority w:val="0"/>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232">
    <w:name w:val="xl7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33">
    <w:name w:val="表格"/>
    <w:basedOn w:val="1"/>
    <w:qFormat/>
    <w:uiPriority w:val="0"/>
    <w:pPr>
      <w:tabs>
        <w:tab w:val="left" w:pos="1200"/>
      </w:tabs>
      <w:spacing w:line="500" w:lineRule="exact"/>
      <w:jc w:val="center"/>
    </w:pPr>
    <w:rPr>
      <w:rFonts w:ascii="宋体"/>
      <w:sz w:val="24"/>
      <w:szCs w:val="18"/>
    </w:rPr>
  </w:style>
  <w:style w:type="paragraph" w:customStyle="1" w:styleId="23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235">
    <w:name w:val="Char Char1 Char Char"/>
    <w:basedOn w:val="1"/>
    <w:qFormat/>
    <w:uiPriority w:val="0"/>
    <w:pPr>
      <w:tabs>
        <w:tab w:val="left" w:pos="360"/>
      </w:tabs>
    </w:pPr>
  </w:style>
  <w:style w:type="paragraph" w:customStyle="1" w:styleId="236">
    <w:name w:val="font8"/>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37">
    <w:name w:val="Char1"/>
    <w:basedOn w:val="1"/>
    <w:qFormat/>
    <w:uiPriority w:val="0"/>
    <w:rPr>
      <w:rFonts w:ascii="Tahoma" w:hAnsi="Tahoma"/>
      <w:sz w:val="24"/>
    </w:rPr>
  </w:style>
  <w:style w:type="paragraph" w:customStyle="1" w:styleId="23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39">
    <w:name w:val="xl753"/>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kern w:val="0"/>
      <w:sz w:val="20"/>
    </w:rPr>
  </w:style>
  <w:style w:type="paragraph" w:customStyle="1" w:styleId="240">
    <w:name w:val="xl75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24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242">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43">
    <w:name w:val="xl100"/>
    <w:basedOn w:val="1"/>
    <w:qFormat/>
    <w:uiPriority w:val="0"/>
    <w:pPr>
      <w:widowControl/>
      <w:shd w:val="clear" w:color="000000" w:fill="008000"/>
      <w:spacing w:before="100" w:beforeAutospacing="1" w:after="100" w:afterAutospacing="1"/>
      <w:jc w:val="left"/>
    </w:pPr>
    <w:rPr>
      <w:rFonts w:ascii="宋体" w:hAnsi="宋体" w:cs="宋体"/>
      <w:kern w:val="0"/>
      <w:sz w:val="24"/>
      <w:szCs w:val="24"/>
    </w:rPr>
  </w:style>
  <w:style w:type="paragraph" w:customStyle="1" w:styleId="244">
    <w:name w:val="xl815"/>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45">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246">
    <w:name w:val="xl8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47">
    <w:name w:val="TOC 标题1"/>
    <w:basedOn w:val="2"/>
    <w:next w:val="1"/>
    <w:unhideWhenUsed/>
    <w:qFormat/>
    <w:uiPriority w:val="39"/>
    <w:pPr>
      <w:widowControl/>
      <w:spacing w:before="480" w:after="0" w:line="276" w:lineRule="auto"/>
      <w:jc w:val="left"/>
      <w:outlineLvl w:val="9"/>
    </w:pPr>
    <w:rPr>
      <w:rFonts w:ascii="Cambria" w:hAnsi="Cambria"/>
      <w:bCs/>
      <w:color w:val="366091"/>
      <w:spacing w:val="0"/>
      <w:kern w:val="0"/>
      <w:sz w:val="28"/>
      <w:szCs w:val="28"/>
    </w:rPr>
  </w:style>
  <w:style w:type="paragraph" w:customStyle="1" w:styleId="248">
    <w:name w:val="xl115"/>
    <w:basedOn w:val="1"/>
    <w:qFormat/>
    <w:uiPriority w:val="0"/>
    <w:pPr>
      <w:widowControl/>
      <w:spacing w:before="100" w:beforeAutospacing="1" w:after="100" w:afterAutospacing="1"/>
      <w:jc w:val="center"/>
    </w:pPr>
    <w:rPr>
      <w:rFonts w:ascii="黑体" w:hAnsi="黑体" w:eastAsia="黑体" w:cs="宋体"/>
      <w:kern w:val="0"/>
      <w:sz w:val="40"/>
      <w:szCs w:val="40"/>
    </w:rPr>
  </w:style>
  <w:style w:type="paragraph" w:customStyle="1" w:styleId="24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黑体" w:hAnsi="黑体" w:eastAsia="黑体" w:cs="宋体"/>
      <w:kern w:val="0"/>
      <w:sz w:val="20"/>
    </w:rPr>
  </w:style>
  <w:style w:type="paragraph" w:customStyle="1" w:styleId="250">
    <w:name w:val="xl7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rPr>
  </w:style>
  <w:style w:type="paragraph" w:customStyle="1" w:styleId="251">
    <w:name w:val="xl745"/>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252">
    <w:name w:val="xl7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53">
    <w:name w:val="xl77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254">
    <w:name w:val="目录"/>
    <w:basedOn w:val="1"/>
    <w:qFormat/>
    <w:uiPriority w:val="0"/>
    <w:pPr>
      <w:widowControl/>
      <w:jc w:val="center"/>
    </w:pPr>
    <w:rPr>
      <w:rFonts w:ascii="宋体"/>
      <w:b/>
      <w:kern w:val="0"/>
      <w:sz w:val="36"/>
    </w:rPr>
  </w:style>
  <w:style w:type="paragraph" w:customStyle="1" w:styleId="255">
    <w:name w:val="Char13"/>
    <w:basedOn w:val="1"/>
    <w:qFormat/>
    <w:uiPriority w:val="0"/>
    <w:rPr>
      <w:szCs w:val="24"/>
    </w:rPr>
  </w:style>
  <w:style w:type="paragraph" w:customStyle="1" w:styleId="256">
    <w:name w:val="xl7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57">
    <w:name w:val="xl796"/>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黑体" w:hAnsi="黑体" w:eastAsia="黑体" w:cs="宋体"/>
      <w:kern w:val="0"/>
      <w:sz w:val="18"/>
      <w:szCs w:val="18"/>
    </w:rPr>
  </w:style>
  <w:style w:type="paragraph" w:customStyle="1" w:styleId="258">
    <w:name w:val="缺省文本"/>
    <w:basedOn w:val="1"/>
    <w:qFormat/>
    <w:uiPriority w:val="0"/>
    <w:pPr>
      <w:autoSpaceDE w:val="0"/>
      <w:autoSpaceDN w:val="0"/>
      <w:adjustRightInd w:val="0"/>
      <w:jc w:val="left"/>
    </w:pPr>
    <w:rPr>
      <w:kern w:val="0"/>
      <w:sz w:val="24"/>
    </w:rPr>
  </w:style>
  <w:style w:type="paragraph" w:customStyle="1" w:styleId="25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260">
    <w:name w:val="xl8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61">
    <w:name w:val="xl7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0"/>
    </w:rPr>
  </w:style>
  <w:style w:type="paragraph" w:customStyle="1" w:styleId="262">
    <w:name w:val="修订1"/>
    <w:semiHidden/>
    <w:qFormat/>
    <w:uiPriority w:val="99"/>
    <w:pPr>
      <w:spacing w:line="440" w:lineRule="exact"/>
    </w:pPr>
    <w:rPr>
      <w:rFonts w:ascii="Times New Roman" w:hAnsi="Times New Roman" w:eastAsia="宋体" w:cs="Times New Roman"/>
      <w:kern w:val="2"/>
      <w:sz w:val="21"/>
      <w:lang w:val="en-US" w:eastAsia="zh-CN" w:bidi="ar-SA"/>
    </w:rPr>
  </w:style>
  <w:style w:type="paragraph" w:customStyle="1" w:styleId="263">
    <w:name w:val="xl818"/>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20"/>
    </w:rPr>
  </w:style>
  <w:style w:type="paragraph" w:customStyle="1" w:styleId="264">
    <w:name w:val="xl7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b/>
      <w:bCs/>
      <w:kern w:val="0"/>
      <w:sz w:val="20"/>
    </w:rPr>
  </w:style>
  <w:style w:type="paragraph" w:customStyle="1" w:styleId="265">
    <w:name w:val="xl7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266">
    <w:name w:val="xl8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黑体" w:hAnsi="黑体" w:eastAsia="黑体" w:cs="宋体"/>
      <w:b/>
      <w:bCs/>
      <w:kern w:val="0"/>
      <w:sz w:val="20"/>
    </w:rPr>
  </w:style>
  <w:style w:type="paragraph" w:customStyle="1" w:styleId="267">
    <w:name w:val="xl7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黑体" w:hAnsi="黑体" w:eastAsia="黑体" w:cs="宋体"/>
      <w:kern w:val="0"/>
      <w:sz w:val="20"/>
    </w:rPr>
  </w:style>
  <w:style w:type="paragraph" w:customStyle="1" w:styleId="268">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269">
    <w:name w:val="xl7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270">
    <w:name w:val="xl8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18"/>
      <w:szCs w:val="18"/>
    </w:rPr>
  </w:style>
  <w:style w:type="paragraph" w:customStyle="1" w:styleId="271">
    <w:name w:val="font7"/>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72">
    <w:name w:val="xl783"/>
    <w:basedOn w:val="1"/>
    <w:qFormat/>
    <w:uiPriority w:val="0"/>
    <w:pPr>
      <w:widowControl/>
      <w:pBdr>
        <w:top w:val="single" w:color="auto" w:sz="4" w:space="0"/>
        <w:left w:val="single" w:color="auto" w:sz="4" w:space="0"/>
        <w:bottom w:val="single" w:color="auto" w:sz="4" w:space="0"/>
        <w:right w:val="single" w:color="auto" w:sz="4" w:space="0"/>
      </w:pBdr>
      <w:shd w:val="clear" w:color="000000" w:fill="008000"/>
      <w:spacing w:before="100" w:beforeAutospacing="1" w:after="100" w:afterAutospacing="1"/>
      <w:jc w:val="center"/>
      <w:textAlignment w:val="center"/>
    </w:pPr>
    <w:rPr>
      <w:rFonts w:ascii="宋体" w:hAnsi="宋体" w:cs="宋体"/>
      <w:kern w:val="0"/>
      <w:sz w:val="18"/>
      <w:szCs w:val="18"/>
    </w:rPr>
  </w:style>
  <w:style w:type="paragraph" w:customStyle="1" w:styleId="273">
    <w:name w:val="xl824"/>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74">
    <w:name w:val="xl7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275">
    <w:name w:val="font5"/>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76">
    <w:name w:val="Y二级标题"/>
    <w:basedOn w:val="1"/>
    <w:qFormat/>
    <w:uiPriority w:val="0"/>
    <w:pPr>
      <w:spacing w:line="560" w:lineRule="exact"/>
      <w:ind w:firstLine="640"/>
      <w:outlineLvl w:val="1"/>
    </w:pPr>
    <w:rPr>
      <w:rFonts w:ascii="方正楷体_GB2312" w:hAnsi="黑体" w:eastAsia="方正楷体_GB2312"/>
      <w:szCs w:val="32"/>
    </w:rPr>
  </w:style>
  <w:style w:type="paragraph" w:customStyle="1" w:styleId="277">
    <w:name w:val="xl7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278">
    <w:name w:val="xl8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20"/>
    </w:rPr>
  </w:style>
  <w:style w:type="paragraph" w:customStyle="1" w:styleId="279">
    <w:name w:val="xl7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20"/>
    </w:rPr>
  </w:style>
  <w:style w:type="paragraph" w:customStyle="1" w:styleId="280">
    <w:name w:val="xl8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kern w:val="0"/>
      <w:sz w:val="20"/>
    </w:rPr>
  </w:style>
  <w:style w:type="paragraph" w:customStyle="1" w:styleId="28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黑体" w:eastAsia="黑体" w:cs="宋体"/>
      <w:kern w:val="0"/>
      <w:sz w:val="20"/>
    </w:rPr>
  </w:style>
  <w:style w:type="paragraph" w:customStyle="1" w:styleId="2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黑体" w:hAnsi="黑体" w:eastAsia="黑体" w:cs="宋体"/>
      <w:b/>
      <w:bCs/>
      <w:kern w:val="0"/>
      <w:sz w:val="20"/>
    </w:rPr>
  </w:style>
  <w:style w:type="paragraph" w:customStyle="1" w:styleId="283">
    <w:name w:val="xl8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284">
    <w:name w:val="xl74"/>
    <w:basedOn w:val="1"/>
    <w:qFormat/>
    <w:uiPriority w:val="0"/>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285">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86">
    <w:name w:val="xl76"/>
    <w:basedOn w:val="1"/>
    <w:qFormat/>
    <w:uiPriority w:val="0"/>
    <w:pPr>
      <w:widowControl/>
      <w:shd w:val="clear" w:color="000000" w:fill="99CCFF"/>
      <w:spacing w:before="100" w:beforeAutospacing="1" w:after="100" w:afterAutospacing="1"/>
      <w:jc w:val="left"/>
    </w:pPr>
    <w:rPr>
      <w:rFonts w:ascii="宋体" w:hAnsi="宋体" w:cs="宋体"/>
      <w:kern w:val="0"/>
      <w:sz w:val="24"/>
      <w:szCs w:val="24"/>
    </w:rPr>
  </w:style>
  <w:style w:type="paragraph" w:customStyle="1" w:styleId="287">
    <w:name w:val="xl7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rPr>
  </w:style>
  <w:style w:type="paragraph" w:customStyle="1" w:styleId="28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黑体" w:hAnsi="黑体" w:eastAsia="黑体" w:cs="宋体"/>
      <w:b/>
      <w:bCs/>
      <w:kern w:val="0"/>
      <w:sz w:val="20"/>
    </w:rPr>
  </w:style>
  <w:style w:type="paragraph" w:customStyle="1" w:styleId="289">
    <w:name w:val="xl7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290">
    <w:name w:val="Char Char Char Char1"/>
    <w:qFormat/>
    <w:uiPriority w:val="0"/>
    <w:pPr>
      <w:adjustRightInd w:val="0"/>
      <w:snapToGrid w:val="0"/>
      <w:spacing w:line="360" w:lineRule="auto"/>
    </w:pPr>
    <w:rPr>
      <w:rFonts w:ascii="Tahoma" w:hAnsi="Tahoma" w:eastAsia="宋体" w:cs="Times New Roman"/>
      <w:sz w:val="24"/>
      <w:szCs w:val="24"/>
      <w:lang w:val="en-US" w:eastAsia="zh-CN" w:bidi="ar-SA"/>
    </w:rPr>
  </w:style>
  <w:style w:type="paragraph" w:customStyle="1" w:styleId="291">
    <w:name w:val="xl816"/>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textAlignment w:val="center"/>
    </w:pPr>
    <w:rPr>
      <w:rFonts w:ascii="黑体" w:hAnsi="黑体" w:eastAsia="黑体" w:cs="宋体"/>
      <w:b/>
      <w:bCs/>
      <w:kern w:val="0"/>
      <w:sz w:val="20"/>
    </w:rPr>
  </w:style>
  <w:style w:type="paragraph" w:customStyle="1" w:styleId="292">
    <w:name w:val="xl801"/>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textAlignment w:val="center"/>
    </w:pPr>
    <w:rPr>
      <w:rFonts w:ascii="宋体" w:hAnsi="宋体" w:cs="宋体"/>
      <w:kern w:val="0"/>
      <w:sz w:val="20"/>
    </w:rPr>
  </w:style>
  <w:style w:type="paragraph" w:customStyle="1" w:styleId="293">
    <w:name w:val="无间距"/>
    <w:qFormat/>
    <w:uiPriority w:val="0"/>
    <w:pPr>
      <w:widowControl w:val="0"/>
      <w:spacing w:line="440" w:lineRule="exact"/>
      <w:jc w:val="both"/>
    </w:pPr>
    <w:rPr>
      <w:rFonts w:ascii="Times New Roman" w:hAnsi="Times New Roman" w:eastAsia="宋体" w:cs="Times New Roman"/>
      <w:kern w:val="2"/>
      <w:sz w:val="21"/>
      <w:szCs w:val="24"/>
      <w:lang w:val="en-US" w:eastAsia="zh-CN" w:bidi="ar-SA"/>
    </w:rPr>
  </w:style>
  <w:style w:type="paragraph" w:customStyle="1" w:styleId="294">
    <w:name w:val="p2"/>
    <w:basedOn w:val="1"/>
    <w:qFormat/>
    <w:uiPriority w:val="0"/>
    <w:pPr>
      <w:widowControl/>
      <w:spacing w:line="480" w:lineRule="auto"/>
      <w:ind w:firstLine="420"/>
      <w:jc w:val="left"/>
    </w:pPr>
    <w:rPr>
      <w:rFonts w:ascii="宋体" w:hAnsi="宋体" w:cs="宋体"/>
      <w:kern w:val="0"/>
      <w:szCs w:val="21"/>
    </w:rPr>
  </w:style>
  <w:style w:type="paragraph" w:customStyle="1" w:styleId="295">
    <w:name w:val="xl7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96">
    <w:name w:val="xl7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297">
    <w:name w:val="Revision1"/>
    <w:unhideWhenUsed/>
    <w:qFormat/>
    <w:uiPriority w:val="99"/>
    <w:pPr>
      <w:spacing w:line="440" w:lineRule="exact"/>
    </w:pPr>
    <w:rPr>
      <w:rFonts w:ascii="Times New Roman" w:hAnsi="Times New Roman" w:eastAsia="宋体" w:cs="Times New Roman"/>
      <w:kern w:val="2"/>
      <w:sz w:val="21"/>
      <w:lang w:val="en-US" w:eastAsia="zh-CN" w:bidi="ar-SA"/>
    </w:rPr>
  </w:style>
  <w:style w:type="paragraph" w:customStyle="1" w:styleId="298">
    <w:name w:val="Absatz2AL"/>
    <w:basedOn w:val="15"/>
    <w:next w:val="1"/>
    <w:qFormat/>
    <w:uiPriority w:val="0"/>
    <w:pPr>
      <w:widowControl/>
      <w:overflowPunct w:val="0"/>
      <w:autoSpaceDE w:val="0"/>
      <w:autoSpaceDN w:val="0"/>
      <w:adjustRightInd w:val="0"/>
      <w:textAlignment w:val="baseline"/>
    </w:pPr>
    <w:rPr>
      <w:rFonts w:ascii="Times New Roman" w:eastAsia="方正楷体_GB2312"/>
      <w:kern w:val="0"/>
      <w:lang w:val="de-DE" w:eastAsia="de-DE"/>
    </w:rPr>
  </w:style>
  <w:style w:type="paragraph" w:customStyle="1" w:styleId="299">
    <w:name w:val="默认段落字体 Para Char Char Char Char"/>
    <w:basedOn w:val="1"/>
    <w:qFormat/>
    <w:uiPriority w:val="0"/>
    <w:rPr>
      <w:szCs w:val="24"/>
    </w:rPr>
  </w:style>
  <w:style w:type="paragraph" w:customStyle="1" w:styleId="300">
    <w:name w:val="5"/>
    <w:basedOn w:val="1"/>
    <w:qFormat/>
    <w:uiPriority w:val="0"/>
    <w:pPr>
      <w:tabs>
        <w:tab w:val="right" w:pos="-2120"/>
      </w:tabs>
      <w:snapToGrid w:val="0"/>
    </w:pPr>
    <w:rPr>
      <w:rFonts w:ascii="Tahoma" w:hAnsi="Tahoma"/>
      <w:spacing w:val="6"/>
      <w:sz w:val="24"/>
    </w:rPr>
  </w:style>
  <w:style w:type="paragraph" w:customStyle="1" w:styleId="301">
    <w:name w:val="xl116"/>
    <w:basedOn w:val="1"/>
    <w:qFormat/>
    <w:uiPriority w:val="0"/>
    <w:pPr>
      <w:widowControl/>
      <w:pBdr>
        <w:bottom w:val="single" w:color="auto" w:sz="4" w:space="0"/>
      </w:pBdr>
      <w:spacing w:before="100" w:beforeAutospacing="1" w:after="100" w:afterAutospacing="1"/>
      <w:jc w:val="left"/>
    </w:pPr>
    <w:rPr>
      <w:rFonts w:ascii="宋体" w:hAnsi="宋体" w:cs="宋体"/>
      <w:kern w:val="0"/>
      <w:sz w:val="24"/>
      <w:szCs w:val="24"/>
    </w:rPr>
  </w:style>
  <w:style w:type="paragraph" w:customStyle="1" w:styleId="302">
    <w:name w:val="Char Char Char Char"/>
    <w:basedOn w:val="1"/>
    <w:qFormat/>
    <w:uiPriority w:val="0"/>
    <w:rPr>
      <w:szCs w:val="24"/>
    </w:rPr>
  </w:style>
  <w:style w:type="paragraph" w:customStyle="1" w:styleId="303">
    <w:name w:val="xl77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304">
    <w:name w:val="z-窗体底端1"/>
    <w:basedOn w:val="1"/>
    <w:next w:val="1"/>
    <w:qFormat/>
    <w:uiPriority w:val="0"/>
    <w:pPr>
      <w:pBdr>
        <w:top w:val="single" w:color="auto" w:sz="6" w:space="1"/>
      </w:pBdr>
      <w:jc w:val="center"/>
    </w:pPr>
    <w:rPr>
      <w:rFonts w:ascii="Arial"/>
      <w:vanish/>
      <w:sz w:val="16"/>
    </w:rPr>
  </w:style>
  <w:style w:type="paragraph" w:customStyle="1" w:styleId="305">
    <w:name w:val="正文 New New New"/>
    <w:qFormat/>
    <w:uiPriority w:val="0"/>
    <w:pPr>
      <w:spacing w:line="440" w:lineRule="exact"/>
      <w:jc w:val="both"/>
    </w:pPr>
    <w:rPr>
      <w:rFonts w:ascii="Times New Roman" w:hAnsi="Times New Roman" w:eastAsia="宋体" w:cs="Times New Roman"/>
      <w:kern w:val="2"/>
      <w:sz w:val="21"/>
      <w:lang w:val="en-US" w:eastAsia="zh-CN" w:bidi="ar-SA"/>
    </w:rPr>
  </w:style>
  <w:style w:type="paragraph" w:customStyle="1" w:styleId="306">
    <w:name w:val="xl7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307">
    <w:name w:val="_标题2"/>
    <w:basedOn w:val="1"/>
    <w:qFormat/>
    <w:uiPriority w:val="0"/>
    <w:pPr>
      <w:numPr>
        <w:ilvl w:val="1"/>
        <w:numId w:val="2"/>
      </w:numPr>
    </w:pPr>
  </w:style>
  <w:style w:type="paragraph" w:customStyle="1" w:styleId="308">
    <w:name w:val="_标题3"/>
    <w:basedOn w:val="1"/>
    <w:qFormat/>
    <w:uiPriority w:val="0"/>
    <w:pPr>
      <w:numPr>
        <w:ilvl w:val="2"/>
        <w:numId w:val="2"/>
      </w:numPr>
    </w:pPr>
  </w:style>
  <w:style w:type="paragraph" w:customStyle="1" w:styleId="309">
    <w:name w:val="_标题4"/>
    <w:basedOn w:val="1"/>
    <w:qFormat/>
    <w:uiPriority w:val="0"/>
    <w:pPr>
      <w:numPr>
        <w:ilvl w:val="3"/>
        <w:numId w:val="2"/>
      </w:numPr>
    </w:pPr>
  </w:style>
  <w:style w:type="paragraph" w:customStyle="1" w:styleId="310">
    <w:name w:val="Y-正文样式"/>
    <w:basedOn w:val="1"/>
    <w:qFormat/>
    <w:uiPriority w:val="0"/>
    <w:pPr>
      <w:spacing w:line="360" w:lineRule="auto"/>
      <w:ind w:firstLine="200" w:firstLineChars="200"/>
    </w:pPr>
    <w:rPr>
      <w:sz w:val="24"/>
      <w:szCs w:val="28"/>
    </w:rPr>
  </w:style>
  <w:style w:type="paragraph" w:customStyle="1" w:styleId="311">
    <w:name w:val="正文 A"/>
    <w:next w:val="312"/>
    <w:qFormat/>
    <w:uiPriority w:val="0"/>
    <w:pPr>
      <w:widowControl w:val="0"/>
      <w:jc w:val="both"/>
    </w:pPr>
    <w:rPr>
      <w:rFonts w:ascii="Times New Roman" w:hAnsi="Times New Roman" w:eastAsia="Calibri" w:cs="Calibri"/>
      <w:color w:val="000000"/>
      <w:kern w:val="2"/>
      <w:sz w:val="21"/>
      <w:szCs w:val="21"/>
      <w:lang w:val="en-US" w:eastAsia="zh-CN" w:bidi="ar-SA"/>
    </w:rPr>
  </w:style>
  <w:style w:type="paragraph" w:customStyle="1" w:styleId="312">
    <w:name w:val="段"/>
    <w:next w:val="311"/>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313">
    <w:name w:val="Item Step"/>
    <w:qFormat/>
    <w:uiPriority w:val="0"/>
    <w:pPr>
      <w:numPr>
        <w:ilvl w:val="0"/>
        <w:numId w:val="3"/>
      </w:numPr>
      <w:adjustRightInd w:val="0"/>
      <w:snapToGrid w:val="0"/>
      <w:spacing w:before="80" w:after="80" w:line="240" w:lineRule="atLeast"/>
    </w:pPr>
    <w:rPr>
      <w:rFonts w:hint="eastAsia" w:ascii="Times New Roman" w:hAnsi="Times New Roman" w:eastAsia="宋体" w:cs="Arial"/>
      <w:sz w:val="21"/>
      <w:szCs w:val="21"/>
      <w:lang w:val="en-US" w:eastAsia="zh-CN" w:bidi="ar-SA"/>
    </w:rPr>
  </w:style>
  <w:style w:type="paragraph" w:customStyle="1" w:styleId="314">
    <w:name w:val="Sub Item Step"/>
    <w:qFormat/>
    <w:uiPriority w:val="0"/>
    <w:pPr>
      <w:numPr>
        <w:ilvl w:val="1"/>
        <w:numId w:val="3"/>
      </w:numPr>
      <w:adjustRightInd w:val="0"/>
      <w:snapToGrid w:val="0"/>
      <w:spacing w:before="80" w:after="80" w:line="240" w:lineRule="atLeast"/>
    </w:pPr>
    <w:rPr>
      <w:rFonts w:hint="eastAsia" w:ascii="Times New Roman" w:hAnsi="Times New Roman" w:eastAsia="宋体" w:cs="Arial"/>
      <w:sz w:val="21"/>
      <w:szCs w:val="21"/>
      <w:lang w:val="en-US" w:eastAsia="zh-CN" w:bidi="ar-SA"/>
    </w:rPr>
  </w:style>
  <w:style w:type="paragraph" w:customStyle="1" w:styleId="315">
    <w:name w:val="Third Level Item Step"/>
    <w:qFormat/>
    <w:uiPriority w:val="0"/>
    <w:pPr>
      <w:numPr>
        <w:ilvl w:val="2"/>
        <w:numId w:val="3"/>
      </w:numPr>
      <w:adjustRightInd w:val="0"/>
      <w:snapToGrid w:val="0"/>
      <w:spacing w:before="80" w:after="80" w:line="240" w:lineRule="atLeast"/>
    </w:pPr>
    <w:rPr>
      <w:rFonts w:hint="eastAsia" w:ascii="Times New Roman" w:hAnsi="Times New Roman" w:eastAsia="宋体" w:cs="Arial"/>
      <w:sz w:val="21"/>
      <w:szCs w:val="21"/>
      <w:lang w:val="en-US" w:eastAsia="zh-CN" w:bidi="ar-SA"/>
    </w:rPr>
  </w:style>
  <w:style w:type="paragraph" w:customStyle="1" w:styleId="316">
    <w:name w:val="Fourth Level Item Step"/>
    <w:qFormat/>
    <w:uiPriority w:val="0"/>
    <w:pPr>
      <w:numPr>
        <w:ilvl w:val="3"/>
        <w:numId w:val="3"/>
      </w:numPr>
      <w:adjustRightInd w:val="0"/>
      <w:snapToGrid w:val="0"/>
      <w:spacing w:before="80" w:after="80" w:line="240" w:lineRule="atLeast"/>
    </w:pPr>
    <w:rPr>
      <w:rFonts w:hint="eastAsia" w:ascii="Times New Roman" w:hAnsi="Times New Roman" w:eastAsia="宋体" w:cs="Arial"/>
      <w:sz w:val="21"/>
      <w:szCs w:val="21"/>
      <w:lang w:val="en-US" w:eastAsia="zh-CN" w:bidi="ar-SA"/>
    </w:rPr>
  </w:style>
  <w:style w:type="paragraph" w:customStyle="1" w:styleId="317">
    <w:name w:val="Table Text"/>
    <w:basedOn w:val="1"/>
    <w:qFormat/>
    <w:uiPriority w:val="0"/>
    <w:pPr>
      <w:topLinePunct/>
      <w:adjustRightInd w:val="0"/>
      <w:snapToGrid w:val="0"/>
      <w:spacing w:before="80" w:after="80" w:line="240" w:lineRule="atLeast"/>
      <w:jc w:val="left"/>
    </w:pPr>
    <w:rPr>
      <w:rFonts w:hint="eastAsia" w:cs="Arial"/>
      <w:snapToGrid w:val="0"/>
      <w:kern w:val="0"/>
      <w:szCs w:val="21"/>
    </w:rPr>
  </w:style>
  <w:style w:type="paragraph" w:customStyle="1" w:styleId="318">
    <w:name w:val="修订2"/>
    <w:hidden/>
    <w:semiHidden/>
    <w:qFormat/>
    <w:uiPriority w:val="99"/>
    <w:rPr>
      <w:rFonts w:ascii="Times New Roman" w:hAnsi="Times New Roman" w:eastAsia="宋体" w:cs="Times New Roman"/>
      <w:kern w:val="2"/>
      <w:sz w:val="21"/>
      <w:lang w:val="en-US" w:eastAsia="zh-CN" w:bidi="ar-SA"/>
    </w:rPr>
  </w:style>
  <w:style w:type="paragraph" w:customStyle="1" w:styleId="319">
    <w:name w:val="列出段落2"/>
    <w:basedOn w:val="1"/>
    <w:qFormat/>
    <w:uiPriority w:val="99"/>
    <w:pPr>
      <w:ind w:firstLine="420" w:firstLineChars="200"/>
    </w:pPr>
  </w:style>
  <w:style w:type="character" w:customStyle="1" w:styleId="320">
    <w:name w:val="正文文本缩进 Char"/>
    <w:basedOn w:val="42"/>
    <w:qFormat/>
    <w:uiPriority w:val="99"/>
    <w:rPr>
      <w:rFonts w:ascii="Calibri" w:hAnsi="Calibri" w:eastAsia="宋体" w:cs="Times New Roman"/>
      <w:kern w:val="0"/>
      <w:szCs w:val="21"/>
    </w:rPr>
  </w:style>
  <w:style w:type="paragraph" w:customStyle="1" w:styleId="321">
    <w:name w:val="列出段落21"/>
    <w:basedOn w:val="1"/>
    <w:qFormat/>
    <w:uiPriority w:val="34"/>
    <w:pPr>
      <w:widowControl/>
      <w:spacing w:line="240" w:lineRule="auto"/>
      <w:ind w:firstLine="420" w:firstLineChars="200"/>
      <w:jc w:val="left"/>
    </w:pPr>
    <w:rPr>
      <w:kern w:val="0"/>
      <w:szCs w:val="21"/>
    </w:rPr>
  </w:style>
  <w:style w:type="paragraph" w:customStyle="1" w:styleId="322">
    <w:name w:val="首行缩进"/>
    <w:basedOn w:val="1"/>
    <w:qFormat/>
    <w:uiPriority w:val="0"/>
    <w:pPr>
      <w:spacing w:line="360" w:lineRule="auto"/>
      <w:ind w:firstLine="480" w:firstLineChars="200"/>
    </w:pPr>
    <w:rPr>
      <w:rFonts w:ascii="Calibri" w:hAnsi="Calibri"/>
      <w:sz w:val="24"/>
      <w:lang w:val="zh-CN"/>
    </w:rPr>
  </w:style>
  <w:style w:type="paragraph" w:customStyle="1" w:styleId="323">
    <w:name w:val="Table Paragraph"/>
    <w:basedOn w:val="1"/>
    <w:unhideWhenUsed/>
    <w:qFormat/>
    <w:uiPriority w:val="1"/>
    <w:rPr>
      <w:sz w:val="24"/>
    </w:rPr>
  </w:style>
  <w:style w:type="paragraph" w:customStyle="1" w:styleId="324">
    <w:name w:val="列出段落3"/>
    <w:basedOn w:val="1"/>
    <w:qFormat/>
    <w:uiPriority w:val="99"/>
    <w:pPr>
      <w:ind w:firstLine="420" w:firstLineChars="200"/>
    </w:pPr>
    <w:rPr>
      <w:rFonts w:ascii="Calibri" w:hAnsi="Calibri"/>
      <w:szCs w:val="22"/>
    </w:rPr>
  </w:style>
  <w:style w:type="paragraph" w:styleId="325">
    <w:name w:val="List Paragraph"/>
    <w:basedOn w:val="1"/>
    <w:qFormat/>
    <w:uiPriority w:val="99"/>
    <w:pPr>
      <w:ind w:firstLine="420" w:firstLineChars="200"/>
    </w:pPr>
  </w:style>
  <w:style w:type="paragraph" w:customStyle="1" w:styleId="326">
    <w:name w:val="WPSOffice手动目录 1"/>
    <w:qFormat/>
    <w:uiPriority w:val="0"/>
    <w:pPr>
      <w:ind w:leftChars="0"/>
    </w:pPr>
    <w:rPr>
      <w:rFonts w:ascii="Times New Roman" w:hAnsi="Times New Roman" w:eastAsia="宋体" w:cs="Times New Roman"/>
      <w:sz w:val="20"/>
      <w:szCs w:val="20"/>
    </w:rPr>
  </w:style>
  <w:style w:type="paragraph" w:customStyle="1" w:styleId="327">
    <w:name w:val="WPSOffice手动目录 2"/>
    <w:qFormat/>
    <w:uiPriority w:val="0"/>
    <w:pPr>
      <w:ind w:leftChars="200"/>
    </w:pPr>
    <w:rPr>
      <w:rFonts w:ascii="Times New Roman" w:hAnsi="Times New Roman" w:eastAsia="宋体" w:cs="Times New Roman"/>
      <w:sz w:val="20"/>
      <w:szCs w:val="20"/>
    </w:rPr>
  </w:style>
  <w:style w:type="paragraph" w:customStyle="1" w:styleId="328">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7C8E01-40C7-48AF-8900-0EC169143868}">
  <ds:schemaRefs/>
</ds:datastoreItem>
</file>

<file path=docProps/app.xml><?xml version="1.0" encoding="utf-8"?>
<Properties xmlns="http://schemas.openxmlformats.org/officeDocument/2006/extended-properties" xmlns:vt="http://schemas.openxmlformats.org/officeDocument/2006/docPropsVTypes">
  <Template>Normal.dotm</Template>
  <Company>Users</Company>
  <Pages>71</Pages>
  <Words>41193</Words>
  <Characters>44309</Characters>
  <Lines>279</Lines>
  <Paragraphs>78</Paragraphs>
  <TotalTime>3</TotalTime>
  <ScaleCrop>false</ScaleCrop>
  <LinksUpToDate>false</LinksUpToDate>
  <CharactersWithSpaces>46487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2022-08-28T06:52:00Z</dcterms:created>
  <dc:creator>Windows 用户</dc:creator>
  <cp:lastModifiedBy>老腰精！潘</cp:lastModifiedBy>
  <cp:lastPrinted>2024-07-11T06:35:00Z</cp:lastPrinted>
  <dcterms:modified xsi:type="dcterms:W3CDTF">2024-10-12T03:26:27Z</dcterms:modified>
  <dc:title>招标文件</dc:title>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E62A07BC898C40D3BB9CC2746813A1D6_13</vt:lpwstr>
  </property>
  <property fmtid="{D5CDD505-2E9C-101B-9397-08002B2CF9AE}" pid="3" name="KSOProductBuildVer">
    <vt:lpwstr>2052-12.1.0.18276</vt:lpwstr>
  </property>
  <property fmtid="{D5CDD505-2E9C-101B-9397-08002B2CF9AE}" pid="4" name="KSOSaveFontToCloudKey">
    <vt:lpwstr>263871214_cloud</vt:lpwstr>
  </property>
  <property fmtid="{D5CDD505-2E9C-101B-9397-08002B2CF9AE}" pid="5" name="_2015_ms_pID_725343">
    <vt:lpwstr>(3)ZmZbTVujn8iXUE22ZetjGzGZuy2YfFcHrKfyV/e+k6UIQdnLmw4Fdb31a2tq4Ifh2yn1FU1a
gKDilUIKxVE+8DRXFBFg7o4XKhIHZxyssdUgnBG5jg6bpY0YoTaITfQxDjgnNNrRoM2kjuo6
RBIwRuQ3xgomijdAqEMst3AW6h/7aSTFdyNTy5fb8vC3cu08NjcUz+Bo147kSmZ66+ZV0ynj
1rxyGJTtTkIe81jAzY</vt:lpwstr>
  </property>
  <property fmtid="{D5CDD505-2E9C-101B-9397-08002B2CF9AE}" pid="6" name="_2015_ms_pID_7253431">
    <vt:lpwstr>A9wWwCKsgha4juBhdHVE50oADRGCAH3AGe9FVoF31ygWBNJyfW1vCQ
TEd8LWVFnsGhV0tt7pctdN4ckU19l0ovkpGUUB8NZIRdyevEa9c40Ij1OpfXBt1StA85PK1D
RjiK3VPzwpXSDzxtROYFkyCfDDhLK1iRr6N8KvxFF16ej4T2O47kxauWGiO5zRrk8ug30aSJ
BggB4uMaNkg3yS2OCzLYdEVf33N8UffaUKLJ</vt:lpwstr>
  </property>
  <property fmtid="{D5CDD505-2E9C-101B-9397-08002B2CF9AE}" pid="7" name="_readonly">
    <vt:lpwstr/>
  </property>
  <property fmtid="{D5CDD505-2E9C-101B-9397-08002B2CF9AE}" pid="8" name="_change">
    <vt:lpwstr/>
  </property>
  <property fmtid="{D5CDD505-2E9C-101B-9397-08002B2CF9AE}" pid="9" name="_full-control">
    <vt:lpwstr/>
  </property>
  <property fmtid="{D5CDD505-2E9C-101B-9397-08002B2CF9AE}" pid="10" name="sflag">
    <vt:lpwstr>1660968428</vt:lpwstr>
  </property>
  <property fmtid="{D5CDD505-2E9C-101B-9397-08002B2CF9AE}" pid="11" name="_2015_ms_pID_7253432">
    <vt:lpwstr>8w==</vt:lpwstr>
  </property>
</Properties>
</file>