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版本号：240927001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森林草原湿地荒漠化普查技术服务采购</w:t>
      </w:r>
    </w:p>
    <w:p>
      <w:pPr>
        <w:pStyle w:val="null3"/>
        <w:jc w:val="center"/>
        <w:outlineLvl w:val="2"/>
      </w:pPr>
      <w:r>
        <w:rPr>
          <w:b/>
          <w:sz w:val="28"/>
        </w:rPr>
        <w:t>采购项目编号：</w:t>
      </w:r>
      <w:r>
        <w:rPr>
          <w:b/>
          <w:sz w:val="28"/>
        </w:rPr>
        <w:t>N5105042024000077</w:t>
      </w:r>
    </w:p>
    <w:p>
      <w:pPr>
        <w:pStyle w:val="null3"/>
        <w:jc w:val="left"/>
        <w:outlineLvl w:val="2"/>
      </w:pPr>
      <w:r>
        <w:rPr>
          <w:b/>
          <w:sz w:val="28"/>
        </w:rPr>
        <w:t>泸州市龙马潭区农业农村局</w:t>
      </w:r>
    </w:p>
    <w:p>
      <w:pPr>
        <w:pStyle w:val="null3"/>
        <w:jc w:val="center"/>
        <w:outlineLvl w:val="2"/>
      </w:pPr>
      <w:r>
        <w:rPr>
          <w:b/>
          <w:sz w:val="28"/>
        </w:rPr>
        <w:t>四川弘欣招标代理有限公司</w:t>
      </w:r>
      <w:r>
        <w:rPr>
          <w:b/>
          <w:sz w:val="28"/>
        </w:rPr>
        <w:t>共同编制</w:t>
      </w:r>
    </w:p>
    <w:p>
      <w:pPr>
        <w:pStyle w:val="null3"/>
        <w:jc w:val="center"/>
      </w:pPr>
      <w:r>
        <w:rPr/>
        <w:t>2024年09月27日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四川弘欣招标代理有限公司</w:t>
      </w:r>
      <w:r>
        <w:rPr/>
        <w:t xml:space="preserve"> （以下简称“代理机构”）受 </w:t>
      </w:r>
      <w:r>
        <w:rPr/>
        <w:t>泸州市龙马潭区农业农村局</w:t>
      </w:r>
      <w:r>
        <w:rPr/>
        <w:t xml:space="preserve"> 委托，拟对 </w:t>
      </w:r>
      <w:r>
        <w:rPr/>
        <w:t>森林草原湿地荒漠化普查技术服务采购</w:t>
      </w:r>
      <w:r>
        <w:rPr/>
        <w:t xml:space="preserve"> 采用竞争性磋商采购方式进行采购，兹邀请符合资格条件的供应商参加磋商，本项目为四川省</w:t>
      </w:r>
      <w:r>
        <w:rPr/>
        <w:t>泸州市龙马潭区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N5105042024000077</w:t>
      </w:r>
    </w:p>
    <w:p>
      <w:pPr>
        <w:pStyle w:val="null3"/>
        <w:jc w:val="left"/>
        <w:outlineLvl w:val="2"/>
      </w:pPr>
      <w:r>
        <w:rPr>
          <w:b/>
          <w:sz w:val="28"/>
        </w:rPr>
        <w:t>1.2.采购项目名称</w:t>
      </w:r>
      <w:r>
        <w:rPr>
          <w:b/>
          <w:sz w:val="28"/>
        </w:rPr>
        <w:t xml:space="preserve">： </w:t>
      </w:r>
      <w:r>
        <w:rPr>
          <w:b/>
          <w:sz w:val="28"/>
        </w:rPr>
        <w:t>森林草原湿地荒漠化普查技术服务采购</w:t>
      </w:r>
    </w:p>
    <w:p>
      <w:pPr>
        <w:pStyle w:val="null3"/>
        <w:jc w:val="left"/>
        <w:outlineLvl w:val="2"/>
      </w:pPr>
      <w:r>
        <w:rPr>
          <w:b/>
          <w:sz w:val="28"/>
        </w:rPr>
        <w:t>1.3.磋商项目简介</w:t>
      </w:r>
    </w:p>
    <w:p>
      <w:pPr>
        <w:pStyle w:val="null3"/>
        <w:ind w:firstLine="480"/>
        <w:jc w:val="left"/>
      </w:pPr>
      <w:r>
        <w:rPr/>
        <w:t>泸州市龙马潭区农业农村局森林草原湿地荒漠化普查技术服务采购</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供应商应具有省级及以上测绘行政主管部门颁发的有效期内的乙级及以上测绘资质证书，或者供应商应具有国家承认的有效期内的林业和草原调查规划设计丙级（含）以上资质证书。（描述：供应商应具有省级及以上测绘行政主管部门颁发的有效期内的乙级及以上测绘资质证书，或者供应商应具有国家承认的有效期内的林业和草原调查规划设计丙级（含）以上资质证书。）</w:t>
      </w:r>
    </w:p>
    <w:p>
      <w:pPr>
        <w:pStyle w:val="null3"/>
        <w:jc w:val="left"/>
      </w:pPr>
      <w:r>
        <w:rPr/>
        <w:t>2、本项目不允许联合体投标。（描述：本项目不允许联合体投标。）</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泸州市龙马潭区农业农村局</w:t>
      </w:r>
    </w:p>
    <w:p>
      <w:pPr>
        <w:pStyle w:val="null3"/>
        <w:ind w:firstLine="480"/>
        <w:jc w:val="left"/>
      </w:pPr>
      <w:r>
        <w:rPr/>
        <w:t xml:space="preserve"> 地址： </w:t>
      </w:r>
      <w:r>
        <w:rPr/>
        <w:t>泸州市龙马潭区长乐街三段2号</w:t>
      </w:r>
    </w:p>
    <w:p>
      <w:pPr>
        <w:pStyle w:val="null3"/>
        <w:jc w:val="left"/>
      </w:pPr>
      <w:r>
        <w:rPr/>
        <w:t xml:space="preserve"> 邮编： </w:t>
      </w:r>
      <w:r>
        <w:rPr/>
        <w:t>646000</w:t>
      </w:r>
    </w:p>
    <w:p>
      <w:pPr>
        <w:pStyle w:val="null3"/>
        <w:jc w:val="left"/>
      </w:pPr>
      <w:r>
        <w:rPr/>
        <w:t xml:space="preserve"> 联系人： </w:t>
      </w:r>
      <w:r>
        <w:rPr/>
        <w:t>李女士</w:t>
      </w:r>
    </w:p>
    <w:p>
      <w:pPr>
        <w:pStyle w:val="null3"/>
        <w:jc w:val="left"/>
      </w:pPr>
      <w:r>
        <w:rPr/>
        <w:t xml:space="preserve"> 联系电话： </w:t>
      </w:r>
      <w:r>
        <w:rPr/>
        <w:t>0830-2522051</w:t>
      </w:r>
    </w:p>
    <w:p>
      <w:pPr>
        <w:pStyle w:val="null3"/>
        <w:ind w:firstLine="480"/>
        <w:jc w:val="left"/>
        <w:outlineLvl w:val="3"/>
      </w:pPr>
      <w:r>
        <w:rPr>
          <w:b/>
          <w:sz w:val="24"/>
        </w:rPr>
        <w:t>代理机构</w:t>
      </w:r>
      <w:r>
        <w:rPr>
          <w:b/>
          <w:sz w:val="24"/>
        </w:rPr>
        <w:t xml:space="preserve">： </w:t>
      </w:r>
      <w:r>
        <w:rPr>
          <w:b/>
          <w:sz w:val="24"/>
        </w:rPr>
        <w:t>四川弘欣招标代理有限公司</w:t>
      </w:r>
    </w:p>
    <w:p>
      <w:pPr>
        <w:pStyle w:val="null3"/>
        <w:ind w:firstLine="480"/>
        <w:jc w:val="left"/>
      </w:pPr>
      <w:r>
        <w:rPr/>
        <w:t xml:space="preserve"> 地址： </w:t>
      </w:r>
      <w:r>
        <w:rPr/>
        <w:t>泸州市万象汇佳乐金街空中商铺3单元14楼1401号</w:t>
      </w:r>
    </w:p>
    <w:p>
      <w:pPr>
        <w:pStyle w:val="null3"/>
        <w:jc w:val="left"/>
      </w:pPr>
      <w:r>
        <w:rPr/>
        <w:t xml:space="preserve"> 邮编： </w:t>
      </w:r>
      <w:r>
        <w:rPr/>
        <w:t>646000</w:t>
      </w:r>
    </w:p>
    <w:p>
      <w:pPr>
        <w:pStyle w:val="null3"/>
        <w:jc w:val="left"/>
      </w:pPr>
      <w:r>
        <w:rPr/>
        <w:t xml:space="preserve"> 联系人： </w:t>
      </w:r>
      <w:r>
        <w:rPr/>
        <w:t>罗女士</w:t>
      </w:r>
    </w:p>
    <w:p>
      <w:pPr>
        <w:pStyle w:val="null3"/>
        <w:jc w:val="left"/>
      </w:pPr>
      <w:r>
        <w:rPr/>
        <w:t xml:space="preserve"> 联系电话： </w:t>
      </w:r>
      <w:r>
        <w:rPr/>
        <w:t>0830-3787762</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采购包1：500,000.00元</w:t>
            </w:r>
          </w:p>
          <w:p>
            <w:pPr>
              <w:pStyle w:val="null3"/>
              <w:jc w:val="left"/>
            </w:pPr>
            <w:r>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是否为特殊性质项目</w:t>
            </w:r>
          </w:p>
        </w:tc>
        <w:tc>
          <w:tcPr>
            <w:tcW w:type="dxa" w:w="5004"/>
          </w:tcPr>
          <w:p>
            <w:pPr>
              <w:pStyle w:val="null3"/>
              <w:jc w:val="left"/>
            </w:pPr>
            <w:r>
              <w:rPr/>
              <w:t>政府购买服务项目（含政府和社会资本合作项目）：否</w:t>
            </w:r>
          </w:p>
          <w:p>
            <w:pPr>
              <w:pStyle w:val="null3"/>
              <w:jc w:val="left"/>
            </w:pPr>
            <w:r>
              <w:rPr/>
              <w:t>市场竞争不充分的科研项目：否</w:t>
            </w:r>
            <w:r>
              <w:rPr/>
              <w:t>需要扶持的科技成果转化项目：否</w:t>
            </w:r>
          </w:p>
        </w:tc>
      </w:tr>
      <w:tr>
        <w:tc>
          <w:tcPr>
            <w:tcW w:type="dxa" w:w="1051"/>
          </w:tcPr>
          <w:p>
            <w:pPr>
              <w:pStyle w:val="null3"/>
              <w:jc w:val="left"/>
            </w:pPr>
            <w:r>
              <w:rPr/>
              <w:t>5</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6</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代理服务费由中标（成交）供应商向采购代理机构支付，收费标准参照《国家计委关于印发〈招标代理服务费收费标准管理暂行办法〉的通知》（计价格[2002]1980号）和《国家发展改革委办公厅关于招标代理服务费有关问题的通知》（发改办价格[2003]857号）收取。不满6000元以6000元计取。</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泸州市龙马潭区农业农村局</w:t>
      </w:r>
      <w:r>
        <w:rPr/>
        <w:t xml:space="preserve"> 和 </w:t>
      </w:r>
      <w:r>
        <w:rPr/>
        <w:t>四川弘欣招标代理有限公司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泸州市龙马潭区农业农村局</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四川弘欣招标代理有限公司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分段/分期验收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签订合同后，成交供应商入驻开展工作</w:t>
      </w:r>
      <w:r>
        <w:rPr/>
        <w:t xml:space="preserve"> ，达到验收条件起 </w:t>
      </w:r>
      <w:r>
        <w:rPr/>
        <w:t>30</w:t>
      </w:r>
      <w:r>
        <w:rPr/>
        <w:t xml:space="preserve"> 日内，验收合同总金额的 </w:t>
      </w:r>
      <w:r>
        <w:rPr/>
        <w:t>20</w:t>
      </w:r>
      <w:r>
        <w:rPr/>
        <w:t>%；</w:t>
      </w:r>
    </w:p>
    <w:p>
      <w:pPr>
        <w:pStyle w:val="null3"/>
        <w:ind w:firstLine="1200"/>
        <w:jc w:val="left"/>
      </w:pPr>
      <w:r>
        <w:rPr/>
        <w:t>2、</w:t>
      </w:r>
      <w:r>
        <w:rPr/>
        <w:t xml:space="preserve"> 验收条件说明： </w:t>
      </w:r>
      <w:r>
        <w:rPr/>
        <w:t>完成区划调查工作并通过省级核查</w:t>
      </w:r>
      <w:r>
        <w:rPr/>
        <w:t xml:space="preserve"> ，达到验收条件起 </w:t>
      </w:r>
      <w:r>
        <w:rPr/>
        <w:t>30</w:t>
      </w:r>
      <w:r>
        <w:rPr/>
        <w:t xml:space="preserve"> 日内，验收合同总金额的 </w:t>
      </w:r>
      <w:r>
        <w:rPr/>
        <w:t>40</w:t>
      </w:r>
      <w:r>
        <w:rPr/>
        <w:t>%；</w:t>
      </w:r>
    </w:p>
    <w:p>
      <w:pPr>
        <w:pStyle w:val="null3"/>
        <w:ind w:firstLine="1200"/>
        <w:jc w:val="left"/>
      </w:pPr>
      <w:r>
        <w:rPr/>
        <w:t>3、</w:t>
      </w:r>
      <w:r>
        <w:rPr/>
        <w:t xml:space="preserve"> 验收条件说明： </w:t>
      </w:r>
      <w:r>
        <w:rPr/>
        <w:t>完成管理类型标注工作并形成全套成果，通过省级验收后</w:t>
      </w:r>
      <w:r>
        <w:rPr/>
        <w:t xml:space="preserve"> ，达到验收条件起 </w:t>
      </w:r>
      <w:r>
        <w:rPr/>
        <w:t>30</w:t>
      </w:r>
      <w:r>
        <w:rPr/>
        <w:t xml:space="preserve"> 日内，验收合同总金额的 </w:t>
      </w:r>
      <w:r>
        <w:rPr/>
        <w:t>40</w:t>
      </w:r>
      <w:r>
        <w:rPr/>
        <w:t>%；</w:t>
      </w:r>
    </w:p>
    <w:p>
      <w:pPr>
        <w:pStyle w:val="null3"/>
        <w:ind w:firstLine="480"/>
        <w:jc w:val="left"/>
      </w:pPr>
      <w:r>
        <w:rPr/>
        <w:t>八、验收组织的其他事项：</w:t>
      </w:r>
    </w:p>
    <w:p>
      <w:pPr>
        <w:pStyle w:val="null3"/>
        <w:ind w:firstLine="480"/>
        <w:jc w:val="left"/>
      </w:pPr>
      <w:r>
        <w:rPr/>
        <w:t>采购包1：</w:t>
      </w:r>
      <w:r>
        <w:rPr/>
        <w:t>采购人依据政府采购相关法律法规、《财政部关于进一步加强政府采购需求和履约验收管理的指导意见》(财库〔2016〕205号)文件要求及国家行业主管部门规定的标准、要求和响应文件及合同约定的内容进行验收。 验收效果：通过区级自查和省市级核查。</w:t>
      </w:r>
    </w:p>
    <w:p>
      <w:pPr>
        <w:pStyle w:val="null3"/>
        <w:ind w:firstLine="480"/>
        <w:jc w:val="left"/>
      </w:pPr>
      <w:r>
        <w:rPr/>
        <w:t>九、技术履约验收内容：</w:t>
      </w:r>
    </w:p>
    <w:p>
      <w:pPr>
        <w:pStyle w:val="null3"/>
        <w:ind w:firstLine="480"/>
        <w:jc w:val="left"/>
      </w:pPr>
      <w:r>
        <w:rPr/>
        <w:t>采购包1：</w:t>
      </w:r>
      <w:r>
        <w:rPr/>
        <w:t>采购人依据政府采购相关法律法规、《财政部关于进一步加强政府采购需求和履约验收管理的指导意见》(财库〔2016〕205号)文件要求及国家行业主管部门规定的标准、要求和响应文件及合同约定的内容进行验收。 验收效果：通过区级自查和省市级核查。</w:t>
      </w:r>
    </w:p>
    <w:p>
      <w:pPr>
        <w:pStyle w:val="null3"/>
        <w:ind w:firstLine="480"/>
        <w:jc w:val="left"/>
      </w:pPr>
      <w:r>
        <w:rPr/>
        <w:t>十、商务履约验收内容：</w:t>
      </w:r>
    </w:p>
    <w:p>
      <w:pPr>
        <w:pStyle w:val="null3"/>
        <w:ind w:firstLine="480"/>
        <w:jc w:val="left"/>
      </w:pPr>
      <w:r>
        <w:rPr/>
        <w:t>采购包1：</w:t>
      </w:r>
      <w:r>
        <w:rPr/>
        <w:t>采购人依据政府采购相关法律法规、《财政部关于进一步加强政府采购需求和履约验收管理的指导意见》(财库〔2016〕205号)文件要求及国家行业主管部门规定的标准、要求和响应文件及合同约定的内容进行验收。 验收效果：通过区级自查和省市级核查。</w:t>
      </w:r>
    </w:p>
    <w:p>
      <w:pPr>
        <w:pStyle w:val="null3"/>
        <w:ind w:firstLine="480"/>
        <w:jc w:val="left"/>
      </w:pPr>
      <w:r>
        <w:rPr/>
        <w:t>十一、履约验收标准：</w:t>
      </w:r>
    </w:p>
    <w:p>
      <w:pPr>
        <w:pStyle w:val="null3"/>
        <w:ind w:firstLine="480"/>
        <w:jc w:val="left"/>
      </w:pPr>
      <w:r>
        <w:rPr/>
        <w:t>采购包1：</w:t>
      </w:r>
      <w:r>
        <w:rPr/>
        <w:t>采购人依据政府采购相关法律法规、《财政部关于进一步加强政府采购需求和履约验收管理的指导意见》(财库〔2016〕205号)文件要求及国家行业主管部门规定的标准、要求和响应文件及合同约定的内容进行验收。 验收效果：通过区级自查和省市级核查。</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六、向采购人或者代理机构、磋商小组成员行贿或者提供其他不正当利益；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八、未按照磋商文件确定的事项签订政府采购合同；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泸州市龙马潭区农业农村局</w:t>
      </w:r>
      <w:r>
        <w:rPr/>
        <w:t xml:space="preserve"> 负责答复；供应商对除采购需求外的磋商文件的询问、质疑由 </w:t>
      </w:r>
      <w:r>
        <w:rPr/>
        <w:t>四川弘欣招标代理有限公司</w:t>
      </w:r>
      <w:r>
        <w:rPr/>
        <w:t xml:space="preserve"> 负责答复；供应商对采购过程、采购结果的询问、质疑由 </w:t>
      </w:r>
      <w:r>
        <w:rPr/>
        <w:t>四川弘欣招标代理有限公司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联系人：罗女士</w:t>
      </w:r>
    </w:p>
    <w:p>
      <w:pPr>
        <w:pStyle w:val="null3"/>
        <w:jc w:val="left"/>
      </w:pPr>
      <w:r>
        <w:rPr/>
        <w:t>联系电话：0830-3787762</w:t>
      </w:r>
    </w:p>
    <w:p>
      <w:pPr>
        <w:pStyle w:val="null3"/>
        <w:jc w:val="left"/>
      </w:pPr>
      <w:r>
        <w:rPr/>
        <w:t>地址：泸州市江阳区万象汇佳乐金街空中商铺三单元14楼1401号‘华升南路旁’泸州市江阳区万象汇佳乐金街空中商铺三单元14楼1401号‘华升南路旁’</w:t>
      </w:r>
    </w:p>
    <w:p>
      <w:pPr>
        <w:pStyle w:val="null3"/>
        <w:jc w:val="left"/>
      </w:pPr>
      <w:r>
        <w:rPr/>
        <w:t>邮编：646000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500,000.00</w:t>
      </w:r>
    </w:p>
    <w:p>
      <w:pPr>
        <w:pStyle w:val="null3"/>
        <w:jc w:val="left"/>
      </w:pPr>
      <w:r>
        <w:rPr/>
        <w:t>采购包最高限价（元）: 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其他专业技术服务</w:t>
            </w:r>
          </w:p>
        </w:tc>
        <w:tc>
          <w:tcPr>
            <w:tcW w:type="dxa" w:w="821"/>
          </w:tcPr>
          <w:p>
            <w:pPr>
              <w:pStyle w:val="null3"/>
              <w:jc w:val="left"/>
            </w:pPr>
            <w:r>
              <w:rPr/>
              <w:t>泸州市龙马潭区农业农村局森林草原湿地荒漠化普查技术服务采购</w:t>
            </w:r>
          </w:p>
        </w:tc>
        <w:tc>
          <w:tcPr>
            <w:tcW w:type="dxa" w:w="821"/>
          </w:tcPr>
          <w:p>
            <w:pPr>
              <w:pStyle w:val="null3"/>
              <w:jc w:val="right"/>
            </w:pPr>
            <w:r>
              <w:rPr/>
              <w:t>1.00（项）</w:t>
            </w:r>
          </w:p>
        </w:tc>
        <w:tc>
          <w:tcPr>
            <w:tcW w:type="dxa" w:w="821"/>
          </w:tcPr>
          <w:p>
            <w:pPr>
              <w:pStyle w:val="null3"/>
              <w:jc w:val="right"/>
            </w:pPr>
            <w:r>
              <w:rPr/>
              <w:t>500,000.00</w:t>
            </w:r>
          </w:p>
        </w:tc>
        <w:tc>
          <w:tcPr>
            <w:tcW w:type="dxa" w:w="821"/>
          </w:tcPr>
          <w:p>
            <w:pPr>
              <w:pStyle w:val="null3"/>
              <w:jc w:val="left"/>
            </w:pPr>
            <w:r>
              <w:rPr/>
              <w:t>其他未列明行业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泸州市龙马潭区农业农村局森林草原湿地荒漠化普查技术服务采购</w:t>
            </w:r>
          </w:p>
        </w:tc>
        <w:tc>
          <w:tcPr>
            <w:tcW w:type="dxa" w:w="977"/>
          </w:tcPr>
          <w:p>
            <w:pPr>
              <w:pStyle w:val="null3"/>
              <w:jc w:val="right"/>
            </w:pPr>
            <w:r>
              <w:rPr/>
              <w:t>1.00（项）</w:t>
            </w:r>
          </w:p>
        </w:tc>
        <w:tc>
          <w:tcPr>
            <w:tcW w:type="dxa" w:w="1173"/>
          </w:tcPr>
          <w:p>
            <w:pPr>
              <w:pStyle w:val="null3"/>
              <w:jc w:val="right"/>
            </w:pPr>
            <w:r>
              <w:rPr/>
              <w:t>500,000（元）</w:t>
            </w:r>
          </w:p>
        </w:tc>
        <w:tc>
          <w:tcPr>
            <w:tcW w:type="dxa" w:w="1173"/>
          </w:tcPr>
          <w:p>
            <w:pPr>
              <w:pStyle w:val="null3"/>
              <w:jc w:val="right"/>
            </w:pPr>
            <w:r>
              <w:rPr/>
              <w:t>500,000.00</w:t>
            </w:r>
          </w:p>
        </w:tc>
        <w:tc>
          <w:tcPr>
            <w:tcW w:type="dxa" w:w="977"/>
          </w:tcPr>
          <w:p>
            <w:pPr>
              <w:pStyle w:val="null3"/>
              <w:jc w:val="left"/>
            </w:pPr>
            <w:r>
              <w:rPr/>
              <w:t>总价</w:t>
            </w:r>
          </w:p>
        </w:tc>
        <w:tc>
          <w:tcPr>
            <w:tcW w:type="dxa" w:w="1661"/>
          </w:tcPr>
          <w:p>
            <w:pPr>
              <w:pStyle w:val="null3"/>
              <w:jc w:val="left"/>
            </w:pPr>
            <w:r>
              <w:rPr/>
              <w:t>本项目报价为人民币报价，报价包括但不仅限于：本报价是供应商全部完成本项目所有内容的最终报价，包括供应商履约过程中的外业调查费用、内业资料整理、数据处理费用、相关辅助工作人员培训费用、完成项目所需仪器设备费用、人工费、资料费、评审费、差旅费、利润等与供应履约本项目所需要的其他所有费用。</w:t>
            </w:r>
          </w:p>
        </w:tc>
      </w:tr>
    </w:tbl>
    <w:p>
      <w:pPr>
        <w:pStyle w:val="null3"/>
        <w:ind w:firstLine="480"/>
        <w:jc w:val="left"/>
      </w:pPr>
      <w:r>
        <w:rPr/>
        <w:t>★注：本采购包涉及采购货物的，供应商响应产品应当明确品牌和规格型号并指向唯一产品，不能指向唯一产品的，应通过报价表唯一产品说明栏补充说明。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标的名称：泸州市龙马潭区农业农村局森林草原湿地荒漠化普查技术服务采购</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561"/>
              <w:jc w:val="both"/>
            </w:pPr>
            <w:r>
              <w:rPr>
                <w:rFonts w:ascii="华文仿宋" w:hAnsi="华文仿宋" w:cs="华文仿宋" w:eastAsia="华文仿宋"/>
                <w:b/>
                <w:sz w:val="28"/>
              </w:rPr>
              <w:t>一、项目目标</w:t>
            </w:r>
          </w:p>
          <w:p>
            <w:pPr>
              <w:pStyle w:val="null3"/>
              <w:ind w:firstLine="560"/>
              <w:jc w:val="both"/>
            </w:pPr>
            <w:r>
              <w:rPr>
                <w:rFonts w:ascii="华文仿宋" w:hAnsi="华文仿宋" w:cs="华文仿宋" w:eastAsia="华文仿宋"/>
                <w:sz w:val="28"/>
              </w:rPr>
              <w:t>深入贯彻</w:t>
            </w:r>
            <w:r>
              <w:rPr>
                <w:rFonts w:ascii="华文仿宋" w:hAnsi="华文仿宋" w:cs="华文仿宋" w:eastAsia="华文仿宋"/>
                <w:sz w:val="28"/>
              </w:rPr>
              <w:t>“</w:t>
            </w:r>
            <w:r>
              <w:rPr>
                <w:rFonts w:ascii="华文仿宋" w:hAnsi="华文仿宋" w:cs="华文仿宋" w:eastAsia="华文仿宋"/>
                <w:sz w:val="28"/>
              </w:rPr>
              <w:t>统一底图、统一标准、统一规划、统一平台</w:t>
            </w:r>
            <w:r>
              <w:rPr>
                <w:rFonts w:ascii="华文仿宋" w:hAnsi="华文仿宋" w:cs="华文仿宋" w:eastAsia="华文仿宋"/>
                <w:sz w:val="28"/>
              </w:rPr>
              <w:t>”</w:t>
            </w:r>
            <w:r>
              <w:rPr>
                <w:rFonts w:ascii="华文仿宋" w:hAnsi="华文仿宋" w:cs="华文仿宋" w:eastAsia="华文仿宋"/>
                <w:sz w:val="28"/>
              </w:rPr>
              <w:t>的重要指示精神，落实国家</w:t>
            </w:r>
            <w:r>
              <w:rPr>
                <w:rFonts w:ascii="华文仿宋" w:hAnsi="华文仿宋" w:cs="华文仿宋" w:eastAsia="华文仿宋"/>
                <w:sz w:val="28"/>
              </w:rPr>
              <w:t>“</w:t>
            </w:r>
            <w:r>
              <w:rPr>
                <w:rFonts w:ascii="华文仿宋" w:hAnsi="华文仿宋" w:cs="华文仿宋" w:eastAsia="华文仿宋"/>
                <w:sz w:val="28"/>
              </w:rPr>
              <w:t>10年一次普查、年度动态监测</w:t>
            </w:r>
            <w:r>
              <w:rPr>
                <w:rFonts w:ascii="华文仿宋" w:hAnsi="华文仿宋" w:cs="华文仿宋" w:eastAsia="华文仿宋"/>
                <w:sz w:val="28"/>
              </w:rPr>
              <w:t>”</w:t>
            </w:r>
            <w:r>
              <w:rPr>
                <w:rFonts w:ascii="华文仿宋" w:hAnsi="华文仿宋" w:cs="华文仿宋" w:eastAsia="华文仿宋"/>
                <w:sz w:val="28"/>
              </w:rPr>
              <w:t>的森林草原湿地荒漠化综合调查监测体系和四川省自然资源调查监测体系三年行动方案，解决</w:t>
            </w:r>
            <w:r>
              <w:rPr>
                <w:rFonts w:ascii="华文仿宋" w:hAnsi="华文仿宋" w:cs="华文仿宋" w:eastAsia="华文仿宋"/>
                <w:sz w:val="28"/>
              </w:rPr>
              <w:t>龙马潭区森林草原湿地荒漠化</w:t>
            </w:r>
            <w:r>
              <w:rPr>
                <w:rFonts w:ascii="华文仿宋" w:hAnsi="华文仿宋" w:cs="华文仿宋" w:eastAsia="华文仿宋"/>
                <w:sz w:val="28"/>
              </w:rPr>
              <w:t>调查监测植被覆盖类型与国土调查地类不一致问题，全面摸清</w:t>
            </w:r>
            <w:r>
              <w:rPr>
                <w:rFonts w:ascii="华文仿宋" w:hAnsi="华文仿宋" w:cs="华文仿宋" w:eastAsia="华文仿宋"/>
                <w:sz w:val="28"/>
              </w:rPr>
              <w:t>龙马潭区</w:t>
            </w:r>
            <w:r>
              <w:rPr>
                <w:rFonts w:ascii="华文仿宋" w:hAnsi="华文仿宋" w:cs="华文仿宋" w:eastAsia="华文仿宋"/>
                <w:sz w:val="28"/>
              </w:rPr>
              <w:t>林草资源本底及生态状况，深化完善</w:t>
            </w:r>
            <w:r>
              <w:rPr>
                <w:rFonts w:ascii="华文仿宋" w:hAnsi="华文仿宋" w:cs="华文仿宋" w:eastAsia="华文仿宋"/>
                <w:sz w:val="28"/>
              </w:rPr>
              <w:t>龙马潭区</w:t>
            </w:r>
            <w:r>
              <w:rPr>
                <w:rFonts w:ascii="华文仿宋" w:hAnsi="华文仿宋" w:cs="华文仿宋" w:eastAsia="华文仿宋"/>
                <w:sz w:val="28"/>
              </w:rPr>
              <w:t>自然资源</w:t>
            </w:r>
            <w:r>
              <w:rPr>
                <w:rFonts w:ascii="华文仿宋" w:hAnsi="华文仿宋" w:cs="华文仿宋" w:eastAsia="华文仿宋"/>
                <w:sz w:val="28"/>
              </w:rPr>
              <w:t>“</w:t>
            </w:r>
            <w:r>
              <w:rPr>
                <w:rFonts w:ascii="华文仿宋" w:hAnsi="华文仿宋" w:cs="华文仿宋" w:eastAsia="华文仿宋"/>
                <w:sz w:val="28"/>
              </w:rPr>
              <w:t>一张图</w:t>
            </w:r>
            <w:r>
              <w:rPr>
                <w:rFonts w:ascii="华文仿宋" w:hAnsi="华文仿宋" w:cs="华文仿宋" w:eastAsia="华文仿宋"/>
                <w:sz w:val="28"/>
              </w:rPr>
              <w:t>”</w:t>
            </w:r>
            <w:r>
              <w:rPr>
                <w:rFonts w:ascii="华文仿宋" w:hAnsi="华文仿宋" w:cs="华文仿宋" w:eastAsia="华文仿宋"/>
                <w:sz w:val="28"/>
              </w:rPr>
              <w:t>，产出</w:t>
            </w:r>
            <w:r>
              <w:rPr>
                <w:rFonts w:ascii="华文仿宋" w:hAnsi="华文仿宋" w:cs="华文仿宋" w:eastAsia="华文仿宋"/>
                <w:sz w:val="28"/>
              </w:rPr>
              <w:t>“</w:t>
            </w:r>
            <w:r>
              <w:rPr>
                <w:rFonts w:ascii="华文仿宋" w:hAnsi="华文仿宋" w:cs="华文仿宋" w:eastAsia="华文仿宋"/>
                <w:sz w:val="28"/>
              </w:rPr>
              <w:t>一套数</w:t>
            </w:r>
            <w:r>
              <w:rPr>
                <w:rFonts w:ascii="华文仿宋" w:hAnsi="华文仿宋" w:cs="华文仿宋" w:eastAsia="华文仿宋"/>
                <w:sz w:val="28"/>
              </w:rPr>
              <w:t>”“</w:t>
            </w:r>
            <w:r>
              <w:rPr>
                <w:rFonts w:ascii="华文仿宋" w:hAnsi="华文仿宋" w:cs="华文仿宋" w:eastAsia="华文仿宋"/>
                <w:sz w:val="28"/>
              </w:rPr>
              <w:t>一张图</w:t>
            </w:r>
            <w:r>
              <w:rPr>
                <w:rFonts w:ascii="华文仿宋" w:hAnsi="华文仿宋" w:cs="华文仿宋" w:eastAsia="华文仿宋"/>
                <w:sz w:val="28"/>
              </w:rPr>
              <w:t>”</w:t>
            </w:r>
            <w:r>
              <w:rPr>
                <w:rFonts w:ascii="华文仿宋" w:hAnsi="华文仿宋" w:cs="华文仿宋" w:eastAsia="华文仿宋"/>
                <w:sz w:val="28"/>
              </w:rPr>
              <w:t>，为统筹推进林业生态保护和系统治理、科学编制相关规划、助力碳达峰碳中和战略、推动林竹事业高质量发展提供基础支撑，进一步筑牢长江上游生态屏障，建设美丽</w:t>
            </w:r>
            <w:r>
              <w:rPr>
                <w:rFonts w:ascii="华文仿宋" w:hAnsi="华文仿宋" w:cs="华文仿宋" w:eastAsia="华文仿宋"/>
                <w:sz w:val="28"/>
              </w:rPr>
              <w:t>龙马潭</w:t>
            </w:r>
            <w:r>
              <w:rPr>
                <w:rFonts w:ascii="华文仿宋" w:hAnsi="华文仿宋" w:cs="华文仿宋" w:eastAsia="华文仿宋"/>
                <w:sz w:val="28"/>
              </w:rPr>
              <w:t>。</w:t>
            </w:r>
          </w:p>
          <w:p>
            <w:pPr>
              <w:pStyle w:val="null3"/>
              <w:ind w:firstLine="561"/>
              <w:jc w:val="both"/>
            </w:pPr>
            <w:r>
              <w:rPr>
                <w:rFonts w:ascii="华文仿宋" w:hAnsi="华文仿宋" w:cs="华文仿宋" w:eastAsia="华文仿宋"/>
                <w:b/>
                <w:sz w:val="28"/>
              </w:rPr>
              <w:t>二、服务内容</w:t>
            </w:r>
          </w:p>
          <w:p>
            <w:pPr>
              <w:pStyle w:val="null3"/>
              <w:ind w:firstLine="561"/>
              <w:jc w:val="both"/>
            </w:pPr>
            <w:r>
              <w:rPr>
                <w:rFonts w:ascii="华文仿宋" w:hAnsi="华文仿宋" w:cs="华文仿宋" w:eastAsia="华文仿宋"/>
                <w:b/>
                <w:sz w:val="28"/>
              </w:rPr>
              <w:t>（一）</w:t>
            </w:r>
            <w:r>
              <w:rPr>
                <w:rFonts w:ascii="华文仿宋" w:hAnsi="华文仿宋" w:cs="华文仿宋" w:eastAsia="华文仿宋"/>
                <w:b/>
                <w:sz w:val="28"/>
              </w:rPr>
              <w:t>区划调查</w:t>
            </w:r>
          </w:p>
          <w:p>
            <w:pPr>
              <w:pStyle w:val="null3"/>
              <w:ind w:firstLine="561"/>
              <w:jc w:val="both"/>
            </w:pPr>
            <w:r>
              <w:rPr>
                <w:rFonts w:ascii="华文仿宋" w:hAnsi="华文仿宋" w:cs="华文仿宋" w:eastAsia="华文仿宋"/>
                <w:b/>
                <w:sz w:val="28"/>
              </w:rPr>
              <w:t>1.</w:t>
            </w:r>
            <w:r>
              <w:rPr>
                <w:rFonts w:ascii="华文仿宋" w:hAnsi="华文仿宋" w:cs="华文仿宋" w:eastAsia="华文仿宋"/>
                <w:b/>
                <w:sz w:val="28"/>
              </w:rPr>
              <w:t>经营管理单位界线落实。</w:t>
            </w:r>
            <w:r>
              <w:rPr>
                <w:rFonts w:ascii="华文仿宋" w:hAnsi="华文仿宋" w:cs="华文仿宋" w:eastAsia="华文仿宋"/>
                <w:sz w:val="28"/>
              </w:rPr>
              <w:t>核实确认林业和经营管理单位（国有林保护单位）档案资料和有关数据成果，省林草局统一集中组织将林草经营管理单位界线稳妥有序落实到工作底图上。</w:t>
            </w:r>
            <w:r>
              <w:rPr>
                <w:rFonts w:ascii="华文仿宋" w:hAnsi="华文仿宋" w:cs="华文仿宋" w:eastAsia="华文仿宋"/>
                <w:sz w:val="28"/>
              </w:rPr>
              <w:t>根据省林草局的经营管理单位界线结果开展区级核实工作。</w:t>
            </w:r>
          </w:p>
          <w:p>
            <w:pPr>
              <w:pStyle w:val="null3"/>
              <w:ind w:firstLine="561"/>
              <w:jc w:val="both"/>
            </w:pPr>
            <w:r>
              <w:rPr>
                <w:rFonts w:ascii="华文仿宋" w:hAnsi="华文仿宋" w:cs="华文仿宋" w:eastAsia="华文仿宋"/>
                <w:b/>
                <w:sz w:val="28"/>
              </w:rPr>
              <w:t>2.图斑属性因子赋值并核实。</w:t>
            </w:r>
            <w:r>
              <w:rPr>
                <w:rFonts w:ascii="华文仿宋" w:hAnsi="华文仿宋" w:cs="华文仿宋" w:eastAsia="华文仿宋"/>
                <w:sz w:val="28"/>
              </w:rPr>
              <w:t>在省上林地、草地、湿地等图斑区划结果基础上，根据经营管理资料以及已有调查成果，结合遥感影像特征，省林草局组织对区划图斑的保护利用状况、植被状况、管理属性以及荒漠化沙化、石漠化现状等因子赋值</w:t>
            </w:r>
            <w:r>
              <w:rPr>
                <w:rFonts w:ascii="华文仿宋" w:hAnsi="华文仿宋" w:cs="华文仿宋" w:eastAsia="华文仿宋"/>
                <w:sz w:val="28"/>
              </w:rPr>
              <w:t>后，</w:t>
            </w:r>
            <w:r>
              <w:rPr>
                <w:rFonts w:ascii="华文仿宋" w:hAnsi="华文仿宋" w:cs="华文仿宋" w:eastAsia="华文仿宋"/>
                <w:sz w:val="28"/>
              </w:rPr>
              <w:t>根据省林草局的赋值结果开展图斑属性因子的核实工作。</w:t>
            </w:r>
          </w:p>
          <w:p>
            <w:pPr>
              <w:pStyle w:val="null3"/>
              <w:ind w:firstLine="561"/>
              <w:jc w:val="both"/>
            </w:pPr>
            <w:r>
              <w:rPr>
                <w:rFonts w:ascii="华文仿宋" w:hAnsi="华文仿宋" w:cs="华文仿宋" w:eastAsia="华文仿宋"/>
                <w:b/>
                <w:sz w:val="28"/>
              </w:rPr>
              <w:t>3.标记可造林绿化图斑。</w:t>
            </w:r>
            <w:r>
              <w:rPr>
                <w:rFonts w:ascii="华文仿宋" w:hAnsi="华文仿宋" w:cs="华文仿宋" w:eastAsia="华文仿宋"/>
                <w:sz w:val="28"/>
              </w:rPr>
              <w:t>结合造林绿化空间适宜性评估工作，参照《造林绿化空间调查评估技术方案》，省林草局统一集中组织在林地、草地、湿地等图斑区划结果基础上标记可造林绿化的图斑</w:t>
            </w:r>
            <w:r>
              <w:rPr>
                <w:rFonts w:ascii="华文仿宋" w:hAnsi="华文仿宋" w:cs="华文仿宋" w:eastAsia="华文仿宋"/>
                <w:sz w:val="28"/>
              </w:rPr>
              <w:t>，</w:t>
            </w:r>
            <w:r>
              <w:rPr>
                <w:rFonts w:ascii="华文仿宋" w:hAnsi="华文仿宋" w:cs="华文仿宋" w:eastAsia="华文仿宋"/>
                <w:sz w:val="28"/>
              </w:rPr>
              <w:t>根据省林草局的标记结果</w:t>
            </w:r>
            <w:r>
              <w:rPr>
                <w:rFonts w:ascii="华文仿宋" w:hAnsi="华文仿宋" w:cs="华文仿宋" w:eastAsia="华文仿宋"/>
                <w:sz w:val="28"/>
              </w:rPr>
              <w:t>开展区级</w:t>
            </w:r>
            <w:r>
              <w:rPr>
                <w:rFonts w:ascii="华文仿宋" w:hAnsi="华文仿宋" w:cs="华文仿宋" w:eastAsia="华文仿宋"/>
                <w:sz w:val="28"/>
              </w:rPr>
              <w:t>确认</w:t>
            </w:r>
            <w:r>
              <w:rPr>
                <w:rFonts w:ascii="华文仿宋" w:hAnsi="华文仿宋" w:cs="华文仿宋" w:eastAsia="华文仿宋"/>
                <w:sz w:val="28"/>
              </w:rPr>
              <w:t>。</w:t>
            </w:r>
          </w:p>
          <w:p>
            <w:pPr>
              <w:pStyle w:val="null3"/>
              <w:ind w:firstLine="561"/>
              <w:jc w:val="both"/>
            </w:pPr>
            <w:r>
              <w:rPr>
                <w:rFonts w:ascii="华文仿宋" w:hAnsi="华文仿宋" w:cs="华文仿宋" w:eastAsia="华文仿宋"/>
                <w:b/>
                <w:sz w:val="28"/>
              </w:rPr>
              <w:t>4.外业调查。</w:t>
            </w:r>
            <w:r>
              <w:rPr>
                <w:rFonts w:ascii="华文仿宋" w:hAnsi="华文仿宋" w:cs="华文仿宋" w:eastAsia="华文仿宋"/>
                <w:sz w:val="28"/>
              </w:rPr>
              <w:t>在省级下发的林地、草地、湿地等区划图斑基础上，根据档案资料和遥感影像，对省级区划图斑、属性因子等进行全面核实，未发生变化的图斑，属性因子在室内无法判定的，应进行补充调查；发生变化的图斑，进行现地核实并拍摄现场照片。涉及外业调查的内容，应与地类对接实地举证工作统筹安排。</w:t>
            </w:r>
            <w:r>
              <w:rPr>
                <w:rFonts w:ascii="华文仿宋" w:hAnsi="华文仿宋" w:cs="华文仿宋" w:eastAsia="华文仿宋"/>
                <w:sz w:val="28"/>
              </w:rPr>
              <w:t>对</w:t>
            </w:r>
            <w:r>
              <w:rPr>
                <w:rFonts w:ascii="华文仿宋" w:hAnsi="华文仿宋" w:cs="华文仿宋" w:eastAsia="华文仿宋"/>
                <w:sz w:val="28"/>
              </w:rPr>
              <w:t>荒漠化沙化土地</w:t>
            </w:r>
            <w:r>
              <w:rPr>
                <w:rFonts w:ascii="华文仿宋" w:hAnsi="华文仿宋" w:cs="华文仿宋" w:eastAsia="华文仿宋"/>
                <w:sz w:val="28"/>
              </w:rPr>
              <w:t>图斑</w:t>
            </w:r>
            <w:r>
              <w:rPr>
                <w:rFonts w:ascii="华文仿宋" w:hAnsi="华文仿宋" w:cs="华文仿宋" w:eastAsia="华文仿宋"/>
                <w:sz w:val="28"/>
              </w:rPr>
              <w:t>开展图片库采集和复位。</w:t>
            </w:r>
          </w:p>
          <w:p>
            <w:pPr>
              <w:pStyle w:val="null3"/>
              <w:ind w:firstLine="561"/>
              <w:jc w:val="both"/>
            </w:pPr>
            <w:r>
              <w:rPr>
                <w:rFonts w:ascii="华文仿宋" w:hAnsi="华文仿宋" w:cs="华文仿宋" w:eastAsia="华文仿宋"/>
                <w:b/>
                <w:sz w:val="28"/>
              </w:rPr>
              <w:t>（二）</w:t>
            </w:r>
            <w:r>
              <w:rPr>
                <w:rFonts w:ascii="华文仿宋" w:hAnsi="华文仿宋" w:cs="华文仿宋" w:eastAsia="华文仿宋"/>
                <w:b/>
                <w:sz w:val="28"/>
              </w:rPr>
              <w:t>管理类型标注</w:t>
            </w:r>
          </w:p>
          <w:p>
            <w:pPr>
              <w:pStyle w:val="null3"/>
              <w:ind w:firstLine="560"/>
              <w:jc w:val="both"/>
            </w:pPr>
            <w:r>
              <w:rPr>
                <w:rFonts w:ascii="华文仿宋" w:hAnsi="华文仿宋" w:cs="华文仿宋" w:eastAsia="华文仿宋"/>
                <w:sz w:val="28"/>
              </w:rPr>
              <w:t>按照《自然资源部国家林业和草原局关于以第三次全国国土调查成果为基础明确林地管理边界规范林地管理的通知》（自然资发〔</w:t>
            </w:r>
            <w:r>
              <w:rPr>
                <w:rFonts w:ascii="华文仿宋" w:hAnsi="华文仿宋" w:cs="华文仿宋" w:eastAsia="华文仿宋"/>
                <w:sz w:val="28"/>
              </w:rPr>
              <w:t>2023〕53号）和相关技术要求，进行林地草地湿地管理类型标注。</w:t>
            </w:r>
          </w:p>
          <w:p>
            <w:pPr>
              <w:pStyle w:val="null3"/>
              <w:ind w:firstLine="561"/>
              <w:jc w:val="both"/>
            </w:pPr>
            <w:r>
              <w:rPr>
                <w:rFonts w:ascii="华文仿宋" w:hAnsi="华文仿宋" w:cs="华文仿宋" w:eastAsia="华文仿宋"/>
                <w:b/>
                <w:sz w:val="28"/>
              </w:rPr>
              <w:t>（三）</w:t>
            </w:r>
            <w:r>
              <w:rPr>
                <w:rFonts w:ascii="华文仿宋" w:hAnsi="华文仿宋" w:cs="华文仿宋" w:eastAsia="华文仿宋"/>
                <w:b/>
                <w:sz w:val="28"/>
              </w:rPr>
              <w:t>质量检查</w:t>
            </w:r>
          </w:p>
          <w:p>
            <w:pPr>
              <w:pStyle w:val="null3"/>
              <w:ind w:firstLine="560"/>
              <w:jc w:val="both"/>
            </w:pPr>
            <w:r>
              <w:rPr>
                <w:rFonts w:ascii="华文仿宋" w:hAnsi="华文仿宋" w:cs="华文仿宋" w:eastAsia="华文仿宋"/>
                <w:sz w:val="28"/>
              </w:rPr>
              <w:t>严格执行</w:t>
            </w:r>
            <w:r>
              <w:rPr>
                <w:rFonts w:ascii="华文仿宋" w:hAnsi="华文仿宋" w:cs="华文仿宋" w:eastAsia="华文仿宋"/>
                <w:sz w:val="28"/>
              </w:rPr>
              <w:t>区</w:t>
            </w:r>
            <w:r>
              <w:rPr>
                <w:rFonts w:ascii="华文仿宋" w:hAnsi="华文仿宋" w:cs="华文仿宋" w:eastAsia="华文仿宋"/>
                <w:sz w:val="28"/>
              </w:rPr>
              <w:t>级自查、州级抽查、省级复查三级检查制度。</w:t>
            </w:r>
            <w:r>
              <w:rPr>
                <w:rFonts w:ascii="华文仿宋" w:hAnsi="华文仿宋" w:cs="华文仿宋" w:eastAsia="华文仿宋"/>
                <w:sz w:val="28"/>
              </w:rPr>
              <w:t>区农业农村局</w:t>
            </w:r>
            <w:r>
              <w:rPr>
                <w:rFonts w:ascii="华文仿宋" w:hAnsi="华文仿宋" w:cs="华文仿宋" w:eastAsia="华文仿宋"/>
                <w:sz w:val="28"/>
              </w:rPr>
              <w:t>、</w:t>
            </w:r>
            <w:r>
              <w:rPr>
                <w:rFonts w:ascii="华文仿宋" w:hAnsi="华文仿宋" w:cs="华文仿宋" w:eastAsia="华文仿宋"/>
                <w:sz w:val="28"/>
              </w:rPr>
              <w:t>区</w:t>
            </w:r>
            <w:r>
              <w:rPr>
                <w:rFonts w:ascii="华文仿宋" w:hAnsi="华文仿宋" w:cs="华文仿宋" w:eastAsia="华文仿宋"/>
                <w:sz w:val="28"/>
              </w:rPr>
              <w:t>自然资源</w:t>
            </w:r>
            <w:r>
              <w:rPr>
                <w:rFonts w:ascii="华文仿宋" w:hAnsi="华文仿宋" w:cs="华文仿宋" w:eastAsia="华文仿宋"/>
                <w:sz w:val="28"/>
              </w:rPr>
              <w:t>和规划</w:t>
            </w:r>
            <w:r>
              <w:rPr>
                <w:rFonts w:ascii="华文仿宋" w:hAnsi="华文仿宋" w:cs="华文仿宋" w:eastAsia="华文仿宋"/>
                <w:sz w:val="28"/>
              </w:rPr>
              <w:t>局对本级直接实施的工作内容形成的成果共同开展自查（供应商配合完成）</w:t>
            </w:r>
            <w:r>
              <w:rPr>
                <w:rFonts w:ascii="华文仿宋" w:hAnsi="华文仿宋" w:cs="华文仿宋" w:eastAsia="华文仿宋"/>
                <w:sz w:val="28"/>
              </w:rPr>
              <w:t>。</w:t>
            </w:r>
          </w:p>
          <w:p>
            <w:pPr>
              <w:pStyle w:val="null3"/>
              <w:ind w:firstLine="560"/>
              <w:jc w:val="both"/>
            </w:pPr>
            <w:r>
              <w:rPr>
                <w:rFonts w:ascii="华文仿宋" w:hAnsi="华文仿宋" w:cs="华文仿宋" w:eastAsia="华文仿宋"/>
                <w:sz w:val="28"/>
              </w:rPr>
              <w:t>执行区级自查，接受市级抽查，省级复查的三级检查制度。区农业农村局、区自然资源和规划分局联合形成质量检查组，对本级</w:t>
            </w:r>
            <w:r>
              <w:rPr>
                <w:rFonts w:ascii="华文仿宋" w:hAnsi="华文仿宋" w:cs="华文仿宋" w:eastAsia="华文仿宋"/>
                <w:sz w:val="28"/>
              </w:rPr>
              <w:t>直接实施的工作内容形成的成果共同开展自查</w:t>
            </w:r>
            <w:r>
              <w:rPr>
                <w:rFonts w:ascii="华文仿宋" w:hAnsi="华文仿宋" w:cs="华文仿宋" w:eastAsia="华文仿宋"/>
                <w:sz w:val="28"/>
              </w:rPr>
              <w:t>（供应商配合完成）</w:t>
            </w:r>
            <w:r>
              <w:rPr>
                <w:rFonts w:ascii="华文仿宋" w:hAnsi="华文仿宋" w:cs="华文仿宋" w:eastAsia="华文仿宋"/>
                <w:sz w:val="28"/>
              </w:rPr>
              <w:t>，</w:t>
            </w:r>
            <w:r>
              <w:rPr>
                <w:rFonts w:ascii="华文仿宋" w:hAnsi="华文仿宋" w:cs="华文仿宋" w:eastAsia="华文仿宋"/>
                <w:sz w:val="28"/>
              </w:rPr>
              <w:t>待自查合格后逐级上报</w:t>
            </w:r>
            <w:r>
              <w:rPr>
                <w:rFonts w:ascii="华文仿宋" w:hAnsi="华文仿宋" w:cs="华文仿宋" w:eastAsia="华文仿宋"/>
                <w:sz w:val="28"/>
              </w:rPr>
              <w:t>。</w:t>
            </w:r>
            <w:r>
              <w:rPr>
                <w:rFonts w:ascii="华文仿宋" w:hAnsi="华文仿宋" w:cs="华文仿宋" w:eastAsia="华文仿宋"/>
                <w:sz w:val="28"/>
              </w:rPr>
              <w:t>上级检查退回图斑的核实修改等工作。</w:t>
            </w:r>
          </w:p>
          <w:p>
            <w:pPr>
              <w:pStyle w:val="null3"/>
              <w:ind w:firstLine="561"/>
              <w:jc w:val="both"/>
            </w:pPr>
            <w:r>
              <w:rPr>
                <w:rFonts w:ascii="华文仿宋" w:hAnsi="华文仿宋" w:cs="华文仿宋" w:eastAsia="华文仿宋"/>
                <w:b/>
                <w:sz w:val="28"/>
              </w:rPr>
              <w:t>（四）</w:t>
            </w:r>
            <w:r>
              <w:rPr>
                <w:rFonts w:ascii="华文仿宋" w:hAnsi="华文仿宋" w:cs="华文仿宋" w:eastAsia="华文仿宋"/>
                <w:b/>
                <w:sz w:val="28"/>
              </w:rPr>
              <w:t>成果形成</w:t>
            </w:r>
          </w:p>
          <w:p>
            <w:pPr>
              <w:pStyle w:val="null3"/>
              <w:ind w:firstLine="560"/>
              <w:jc w:val="both"/>
            </w:pPr>
            <w:r>
              <w:rPr>
                <w:rFonts w:ascii="华文仿宋" w:hAnsi="华文仿宋" w:cs="华文仿宋" w:eastAsia="华文仿宋"/>
                <w:sz w:val="28"/>
              </w:rPr>
              <w:t>1.</w:t>
            </w:r>
            <w:r>
              <w:rPr>
                <w:rFonts w:ascii="华文仿宋" w:hAnsi="华文仿宋" w:cs="华文仿宋" w:eastAsia="华文仿宋"/>
                <w:sz w:val="28"/>
              </w:rPr>
              <w:t>数据库更新</w:t>
            </w:r>
          </w:p>
          <w:p>
            <w:pPr>
              <w:pStyle w:val="null3"/>
              <w:ind w:firstLine="560"/>
              <w:jc w:val="both"/>
            </w:pPr>
            <w:r>
              <w:rPr>
                <w:rFonts w:ascii="华文仿宋" w:hAnsi="华文仿宋" w:cs="华文仿宋" w:eastAsia="华文仿宋"/>
                <w:sz w:val="28"/>
              </w:rPr>
              <w:t>①地类对接数据库更新。</w:t>
            </w:r>
          </w:p>
          <w:p>
            <w:pPr>
              <w:pStyle w:val="null3"/>
              <w:ind w:firstLine="560"/>
              <w:jc w:val="both"/>
            </w:pPr>
            <w:r>
              <w:rPr>
                <w:rFonts w:ascii="华文仿宋" w:hAnsi="华文仿宋" w:cs="华文仿宋" w:eastAsia="华文仿宋"/>
                <w:sz w:val="28"/>
              </w:rPr>
              <w:t>经国家、省、市、</w:t>
            </w:r>
            <w:r>
              <w:rPr>
                <w:rFonts w:ascii="华文仿宋" w:hAnsi="华文仿宋" w:cs="华文仿宋" w:eastAsia="华文仿宋"/>
                <w:sz w:val="28"/>
              </w:rPr>
              <w:t>区</w:t>
            </w:r>
            <w:r>
              <w:rPr>
                <w:rFonts w:ascii="华文仿宋" w:hAnsi="华文仿宋" w:cs="华文仿宋" w:eastAsia="华文仿宋"/>
                <w:sz w:val="28"/>
              </w:rPr>
              <w:t>级自然资源和林草主管部门共同认定后，更新</w:t>
            </w:r>
            <w:r>
              <w:rPr>
                <w:rFonts w:ascii="华文仿宋" w:hAnsi="华文仿宋" w:cs="华文仿宋" w:eastAsia="华文仿宋"/>
                <w:sz w:val="28"/>
              </w:rPr>
              <w:t>2024年度国土变更调查数据库，并集中统一更新林草湿荒数据库。</w:t>
            </w:r>
          </w:p>
          <w:p>
            <w:pPr>
              <w:pStyle w:val="null3"/>
              <w:ind w:firstLine="560"/>
              <w:jc w:val="both"/>
            </w:pPr>
            <w:r>
              <w:rPr>
                <w:rFonts w:ascii="华文仿宋" w:hAnsi="华文仿宋" w:cs="华文仿宋" w:eastAsia="华文仿宋"/>
                <w:sz w:val="28"/>
              </w:rPr>
              <w:t>②林草湿资源数据库更新。</w:t>
            </w:r>
          </w:p>
          <w:p>
            <w:pPr>
              <w:pStyle w:val="null3"/>
              <w:ind w:firstLine="560"/>
              <w:jc w:val="both"/>
            </w:pPr>
            <w:r>
              <w:rPr>
                <w:rFonts w:ascii="华文仿宋" w:hAnsi="华文仿宋" w:cs="华文仿宋" w:eastAsia="华文仿宋"/>
                <w:sz w:val="28"/>
              </w:rPr>
              <w:t>图斑数据库更新。核实确认已审核审批建设项目使用林地草地湿地，按照审核审批资料对管理类型进行更新，形成统一的图斑数据库。</w:t>
            </w:r>
          </w:p>
          <w:p>
            <w:pPr>
              <w:pStyle w:val="null3"/>
              <w:ind w:firstLine="560"/>
              <w:jc w:val="both"/>
            </w:pPr>
            <w:r>
              <w:rPr>
                <w:rFonts w:ascii="华文仿宋" w:hAnsi="华文仿宋" w:cs="华文仿宋" w:eastAsia="华文仿宋"/>
                <w:sz w:val="28"/>
              </w:rPr>
              <w:t>2.</w:t>
            </w:r>
            <w:r>
              <w:rPr>
                <w:rFonts w:ascii="华文仿宋" w:hAnsi="华文仿宋" w:cs="华文仿宋" w:eastAsia="华文仿宋"/>
                <w:sz w:val="28"/>
              </w:rPr>
              <w:t>分析汇总</w:t>
            </w:r>
          </w:p>
          <w:p>
            <w:pPr>
              <w:pStyle w:val="null3"/>
              <w:ind w:firstLine="560"/>
              <w:jc w:val="both"/>
            </w:pPr>
            <w:r>
              <w:rPr>
                <w:rFonts w:ascii="华文仿宋" w:hAnsi="华文仿宋" w:cs="华文仿宋" w:eastAsia="华文仿宋"/>
                <w:sz w:val="28"/>
              </w:rPr>
              <w:t>①地类对接成果分析。分析地类对接后本行政区域内地类的变化情况及其原因，形成专题报告。</w:t>
            </w:r>
          </w:p>
          <w:p>
            <w:pPr>
              <w:pStyle w:val="null3"/>
              <w:ind w:firstLine="560"/>
              <w:jc w:val="both"/>
            </w:pPr>
            <w:r>
              <w:rPr>
                <w:rFonts w:ascii="华文仿宋" w:hAnsi="华文仿宋" w:cs="华文仿宋" w:eastAsia="华文仿宋"/>
                <w:sz w:val="28"/>
              </w:rPr>
              <w:t>②森林草原湿地荒漠化普查成果分析汇总。根据林草湿资源数据库，编制森林草原湿地荒漠化普查报告，制作专题图件，产出森林草原湿地荒漠化普查成果，形成国土绿化空间基础数据。</w:t>
            </w:r>
          </w:p>
          <w:p>
            <w:pPr>
              <w:pStyle w:val="null3"/>
              <w:ind w:firstLine="561"/>
              <w:jc w:val="both"/>
            </w:pPr>
            <w:r>
              <w:rPr>
                <w:rFonts w:ascii="华文仿宋" w:hAnsi="华文仿宋" w:cs="华文仿宋" w:eastAsia="华文仿宋"/>
                <w:b/>
                <w:sz w:val="28"/>
              </w:rPr>
              <w:t>（五）</w:t>
            </w:r>
            <w:r>
              <w:rPr>
                <w:rFonts w:ascii="华文仿宋" w:hAnsi="华文仿宋" w:cs="华文仿宋" w:eastAsia="华文仿宋"/>
                <w:b/>
                <w:sz w:val="28"/>
              </w:rPr>
              <w:t>工作成果验收</w:t>
            </w:r>
          </w:p>
          <w:p>
            <w:pPr>
              <w:pStyle w:val="null3"/>
              <w:ind w:firstLine="560"/>
              <w:jc w:val="both"/>
            </w:pPr>
            <w:r>
              <w:rPr>
                <w:rFonts w:ascii="华文仿宋" w:hAnsi="华文仿宋" w:cs="华文仿宋" w:eastAsia="华文仿宋"/>
                <w:sz w:val="28"/>
              </w:rPr>
              <w:t>各项成果经</w:t>
            </w:r>
            <w:r>
              <w:rPr>
                <w:rFonts w:ascii="华文仿宋" w:hAnsi="华文仿宋" w:cs="华文仿宋" w:eastAsia="华文仿宋"/>
                <w:sz w:val="28"/>
              </w:rPr>
              <w:t>区</w:t>
            </w:r>
            <w:r>
              <w:rPr>
                <w:rFonts w:ascii="华文仿宋" w:hAnsi="华文仿宋" w:cs="华文仿宋" w:eastAsia="华文仿宋"/>
                <w:sz w:val="28"/>
              </w:rPr>
              <w:t>级</w:t>
            </w:r>
            <w:r>
              <w:rPr>
                <w:rFonts w:ascii="华文仿宋" w:hAnsi="华文仿宋" w:cs="华文仿宋" w:eastAsia="华文仿宋"/>
                <w:sz w:val="28"/>
              </w:rPr>
              <w:t>检查合格后提交市、省级核查</w:t>
            </w:r>
            <w:r>
              <w:rPr>
                <w:rFonts w:ascii="华文仿宋" w:hAnsi="华文仿宋" w:cs="华文仿宋" w:eastAsia="华文仿宋"/>
                <w:sz w:val="28"/>
              </w:rPr>
              <w:t>，</w:t>
            </w:r>
            <w:r>
              <w:rPr>
                <w:rFonts w:ascii="华文仿宋" w:hAnsi="华文仿宋" w:cs="华文仿宋" w:eastAsia="华文仿宋"/>
                <w:sz w:val="28"/>
              </w:rPr>
              <w:t>通过上级核查视为</w:t>
            </w:r>
            <w:r>
              <w:rPr>
                <w:rFonts w:ascii="华文仿宋" w:hAnsi="华文仿宋" w:cs="华文仿宋" w:eastAsia="华文仿宋"/>
                <w:sz w:val="28"/>
              </w:rPr>
              <w:t>验收</w:t>
            </w:r>
            <w:r>
              <w:rPr>
                <w:rFonts w:ascii="华文仿宋" w:hAnsi="华文仿宋" w:cs="华文仿宋" w:eastAsia="华文仿宋"/>
                <w:sz w:val="28"/>
              </w:rPr>
              <w:t>合格</w:t>
            </w:r>
            <w:r>
              <w:rPr>
                <w:rFonts w:ascii="华文仿宋" w:hAnsi="华文仿宋" w:cs="华文仿宋" w:eastAsia="华文仿宋"/>
                <w:sz w:val="28"/>
              </w:rPr>
              <w:t>。</w:t>
            </w:r>
          </w:p>
          <w:p>
            <w:pPr>
              <w:pStyle w:val="null3"/>
              <w:ind w:firstLine="561"/>
              <w:jc w:val="both"/>
            </w:pPr>
            <w:r>
              <w:rPr>
                <w:rFonts w:ascii="华文仿宋" w:hAnsi="华文仿宋" w:cs="华文仿宋" w:eastAsia="华文仿宋"/>
                <w:b/>
                <w:sz w:val="28"/>
              </w:rPr>
              <w:t>三、成果</w:t>
            </w:r>
            <w:r>
              <w:rPr>
                <w:rFonts w:ascii="华文仿宋" w:hAnsi="华文仿宋" w:cs="华文仿宋" w:eastAsia="华文仿宋"/>
                <w:b/>
                <w:sz w:val="28"/>
              </w:rPr>
              <w:t>要求</w:t>
            </w:r>
          </w:p>
          <w:p>
            <w:pPr>
              <w:pStyle w:val="null3"/>
              <w:ind w:firstLine="560"/>
              <w:jc w:val="both"/>
            </w:pPr>
            <w:r>
              <w:rPr>
                <w:rFonts w:ascii="华文仿宋" w:hAnsi="华文仿宋" w:cs="华文仿宋" w:eastAsia="华文仿宋"/>
                <w:sz w:val="28"/>
              </w:rPr>
              <w:t>按统一标准、统一底图，产出一套高质量的普查成果，内容主要包括数据库、统计表、专题图、成果报告等。</w:t>
            </w:r>
          </w:p>
          <w:p>
            <w:pPr>
              <w:pStyle w:val="null3"/>
              <w:ind w:firstLine="560"/>
              <w:jc w:val="both"/>
            </w:pPr>
            <w:r>
              <w:rPr>
                <w:rFonts w:ascii="华文仿宋" w:hAnsi="华文仿宋" w:cs="华文仿宋" w:eastAsia="华文仿宋"/>
                <w:sz w:val="28"/>
              </w:rPr>
              <w:t>（一）数据库。</w:t>
            </w:r>
            <w:r>
              <w:rPr>
                <w:rFonts w:ascii="华文仿宋" w:hAnsi="华文仿宋" w:cs="华文仿宋" w:eastAsia="华文仿宋"/>
                <w:sz w:val="28"/>
              </w:rPr>
              <w:t>包括</w:t>
            </w:r>
            <w:r>
              <w:rPr>
                <w:rFonts w:ascii="华文仿宋" w:hAnsi="华文仿宋" w:cs="华文仿宋" w:eastAsia="华文仿宋"/>
                <w:sz w:val="28"/>
              </w:rPr>
              <w:t>龙马潭区</w:t>
            </w:r>
            <w:r>
              <w:rPr>
                <w:rFonts w:ascii="华文仿宋" w:hAnsi="华文仿宋" w:cs="华文仿宋" w:eastAsia="华文仿宋"/>
                <w:sz w:val="28"/>
              </w:rPr>
              <w:t>遥感影像数据库，</w:t>
            </w:r>
            <w:r>
              <w:rPr>
                <w:rFonts w:ascii="华文仿宋" w:hAnsi="华文仿宋" w:cs="华文仿宋" w:eastAsia="华文仿宋"/>
                <w:sz w:val="28"/>
              </w:rPr>
              <w:t>图斑数据库等成果数据库，基础数表、</w:t>
            </w:r>
            <w:r>
              <w:rPr>
                <w:rFonts w:ascii="华文仿宋" w:hAnsi="华文仿宋" w:cs="华文仿宋" w:eastAsia="华文仿宋"/>
                <w:sz w:val="28"/>
              </w:rPr>
              <w:t>计量模型及参数</w:t>
            </w:r>
            <w:r>
              <w:rPr>
                <w:rFonts w:ascii="华文仿宋" w:hAnsi="华文仿宋" w:cs="华文仿宋" w:eastAsia="华文仿宋"/>
                <w:sz w:val="28"/>
              </w:rPr>
              <w:t>等基础支撑数据库，国土造林绿化空间基础数据库。</w:t>
            </w:r>
          </w:p>
          <w:p>
            <w:pPr>
              <w:pStyle w:val="null3"/>
              <w:ind w:firstLine="560"/>
              <w:jc w:val="both"/>
            </w:pPr>
            <w:r>
              <w:rPr>
                <w:rFonts w:ascii="华文仿宋" w:hAnsi="华文仿宋" w:cs="华文仿宋" w:eastAsia="华文仿宋"/>
                <w:sz w:val="28"/>
              </w:rPr>
              <w:t>（二）统计表。</w:t>
            </w:r>
            <w:r>
              <w:rPr>
                <w:rFonts w:ascii="华文仿宋" w:hAnsi="华文仿宋" w:cs="华文仿宋" w:eastAsia="华文仿宋"/>
                <w:sz w:val="28"/>
              </w:rPr>
              <w:t>包括反映</w:t>
            </w:r>
            <w:r>
              <w:rPr>
                <w:rFonts w:ascii="华文仿宋" w:hAnsi="华文仿宋" w:cs="华文仿宋" w:eastAsia="华文仿宋"/>
                <w:sz w:val="28"/>
              </w:rPr>
              <w:t>龙马潭区</w:t>
            </w:r>
            <w:r>
              <w:rPr>
                <w:rFonts w:ascii="华文仿宋" w:hAnsi="华文仿宋" w:cs="华文仿宋" w:eastAsia="华文仿宋"/>
                <w:sz w:val="28"/>
              </w:rPr>
              <w:t>森林草原湿地保护利用状况、林草植被状况、湿地健康状况、森林草原湿地生产力，以及荒漠化沙化、石漠化现状、可治理沙化土地及沙化、石漠化土地治理情况等一系列成果统计表。</w:t>
            </w:r>
          </w:p>
          <w:p>
            <w:pPr>
              <w:pStyle w:val="null3"/>
              <w:ind w:firstLine="560"/>
              <w:jc w:val="both"/>
            </w:pPr>
            <w:r>
              <w:rPr>
                <w:rFonts w:ascii="华文仿宋" w:hAnsi="华文仿宋" w:cs="华文仿宋" w:eastAsia="华文仿宋"/>
                <w:sz w:val="28"/>
              </w:rPr>
              <w:t>（三）专题图。</w:t>
            </w:r>
            <w:r>
              <w:rPr>
                <w:rFonts w:ascii="华文仿宋" w:hAnsi="华文仿宋" w:cs="华文仿宋" w:eastAsia="华文仿宋"/>
                <w:sz w:val="28"/>
              </w:rPr>
              <w:t>包括</w:t>
            </w:r>
            <w:r>
              <w:rPr>
                <w:rFonts w:ascii="华文仿宋" w:hAnsi="华文仿宋" w:cs="华文仿宋" w:eastAsia="华文仿宋"/>
                <w:sz w:val="28"/>
              </w:rPr>
              <w:t>龙马潭区</w:t>
            </w:r>
            <w:r>
              <w:rPr>
                <w:rFonts w:ascii="华文仿宋" w:hAnsi="华文仿宋" w:cs="华文仿宋" w:eastAsia="华文仿宋"/>
                <w:sz w:val="28"/>
              </w:rPr>
              <w:t>林草资源分布图、林草生态评价图和荒漠化沙化</w:t>
            </w:r>
            <w:r>
              <w:rPr>
                <w:rFonts w:ascii="华文仿宋" w:hAnsi="华文仿宋" w:cs="华文仿宋" w:eastAsia="华文仿宋"/>
                <w:sz w:val="28"/>
              </w:rPr>
              <w:t>土地分布图</w:t>
            </w:r>
            <w:r>
              <w:rPr>
                <w:rFonts w:ascii="华文仿宋" w:hAnsi="华文仿宋" w:cs="华文仿宋" w:eastAsia="华文仿宋"/>
                <w:sz w:val="28"/>
              </w:rPr>
              <w:t>，以及重点区域专题图等。</w:t>
            </w:r>
          </w:p>
          <w:p>
            <w:pPr>
              <w:pStyle w:val="null3"/>
              <w:ind w:firstLine="560"/>
              <w:jc w:val="both"/>
            </w:pPr>
            <w:r>
              <w:rPr>
                <w:rFonts w:ascii="华文仿宋" w:hAnsi="华文仿宋" w:cs="华文仿宋" w:eastAsia="华文仿宋"/>
                <w:sz w:val="28"/>
              </w:rPr>
              <w:t>（四）成果报告。</w:t>
            </w:r>
            <w:r>
              <w:rPr>
                <w:rFonts w:ascii="华文仿宋" w:hAnsi="华文仿宋" w:cs="华文仿宋" w:eastAsia="华文仿宋"/>
                <w:sz w:val="28"/>
              </w:rPr>
              <w:t>包括</w:t>
            </w:r>
            <w:r>
              <w:rPr>
                <w:rFonts w:ascii="华文仿宋" w:hAnsi="华文仿宋" w:cs="华文仿宋" w:eastAsia="华文仿宋"/>
                <w:sz w:val="28"/>
              </w:rPr>
              <w:t>龙马潭区</w:t>
            </w:r>
            <w:r>
              <w:rPr>
                <w:rFonts w:ascii="华文仿宋" w:hAnsi="华文仿宋" w:cs="华文仿宋" w:eastAsia="华文仿宋"/>
                <w:sz w:val="28"/>
              </w:rPr>
              <w:t>普查成果报告。</w:t>
            </w:r>
          </w:p>
          <w:p>
            <w:pPr>
              <w:pStyle w:val="null3"/>
              <w:ind w:firstLine="560"/>
              <w:jc w:val="both"/>
            </w:pPr>
            <w:r>
              <w:rPr>
                <w:rFonts w:ascii="华文仿宋" w:hAnsi="华文仿宋" w:cs="华文仿宋" w:eastAsia="华文仿宋"/>
                <w:sz w:val="28"/>
              </w:rPr>
              <w:t>（五）国家、省、市要求提供的其它成果。</w:t>
            </w:r>
          </w:p>
          <w:p>
            <w:pPr>
              <w:pStyle w:val="null3"/>
              <w:ind w:firstLine="560"/>
              <w:jc w:val="left"/>
            </w:pPr>
            <w:r>
              <w:rPr>
                <w:rFonts w:ascii="华文仿宋" w:hAnsi="华文仿宋" w:cs="华文仿宋" w:eastAsia="华文仿宋"/>
                <w:sz w:val="28"/>
                <w:shd w:fill="FFFFFF" w:val="clear"/>
              </w:rPr>
              <w:t>注：供应商提供的上述成果的表现形式包括但不限于</w:t>
            </w:r>
            <w:r>
              <w:rPr>
                <w:rFonts w:ascii="华文仿宋" w:hAnsi="华文仿宋" w:cs="华文仿宋" w:eastAsia="华文仿宋"/>
                <w:sz w:val="28"/>
                <w:shd w:fill="FFFFFF" w:val="clear"/>
              </w:rPr>
              <w:t>:电子档文件1份、纸质文件6份。</w:t>
            </w:r>
          </w:p>
          <w:p>
            <w:pPr>
              <w:pStyle w:val="null3"/>
              <w:ind w:firstLine="561"/>
              <w:jc w:val="both"/>
            </w:pPr>
            <w:r>
              <w:rPr>
                <w:rFonts w:ascii="华文仿宋" w:hAnsi="华文仿宋" w:cs="华文仿宋" w:eastAsia="华文仿宋"/>
                <w:b/>
                <w:sz w:val="28"/>
              </w:rPr>
              <w:t>四、</w:t>
            </w:r>
            <w:r>
              <w:rPr>
                <w:rFonts w:ascii="华文仿宋" w:hAnsi="华文仿宋" w:cs="华文仿宋" w:eastAsia="华文仿宋"/>
                <w:b/>
                <w:sz w:val="28"/>
              </w:rPr>
              <w:t>技术</w:t>
            </w:r>
            <w:r>
              <w:rPr>
                <w:rFonts w:ascii="华文仿宋" w:hAnsi="华文仿宋" w:cs="华文仿宋" w:eastAsia="华文仿宋"/>
                <w:b/>
                <w:sz w:val="28"/>
              </w:rPr>
              <w:t>标准</w:t>
            </w:r>
          </w:p>
          <w:p>
            <w:pPr>
              <w:pStyle w:val="null3"/>
              <w:ind w:firstLine="560"/>
              <w:jc w:val="both"/>
            </w:pPr>
            <w:r>
              <w:rPr>
                <w:rFonts w:ascii="华文仿宋" w:hAnsi="华文仿宋" w:cs="华文仿宋" w:eastAsia="华文仿宋"/>
                <w:sz w:val="28"/>
              </w:rPr>
              <w:t>1</w:t>
            </w:r>
            <w:r>
              <w:rPr>
                <w:rFonts w:ascii="华文仿宋" w:hAnsi="华文仿宋" w:cs="华文仿宋" w:eastAsia="华文仿宋"/>
                <w:sz w:val="28"/>
              </w:rPr>
              <w:t>.</w:t>
            </w:r>
            <w:r>
              <w:rPr>
                <w:rFonts w:ascii="华文仿宋" w:hAnsi="华文仿宋" w:cs="华文仿宋" w:eastAsia="华文仿宋"/>
                <w:sz w:val="28"/>
              </w:rPr>
              <w:t>《全国森林草原湿地荒漠化普查技术方案》；</w:t>
            </w:r>
          </w:p>
          <w:p>
            <w:pPr>
              <w:pStyle w:val="null3"/>
              <w:ind w:firstLine="560"/>
              <w:jc w:val="both"/>
            </w:pPr>
            <w:r>
              <w:rPr>
                <w:rFonts w:ascii="华文仿宋" w:hAnsi="华文仿宋" w:cs="华文仿宋" w:eastAsia="华文仿宋"/>
                <w:sz w:val="28"/>
              </w:rPr>
              <w:t>2</w:t>
            </w:r>
            <w:r>
              <w:rPr>
                <w:rFonts w:ascii="华文仿宋" w:hAnsi="华文仿宋" w:cs="华文仿宋" w:eastAsia="华文仿宋"/>
                <w:sz w:val="28"/>
              </w:rPr>
              <w:t>.</w:t>
            </w:r>
            <w:r>
              <w:rPr>
                <w:rFonts w:ascii="华文仿宋" w:hAnsi="华文仿宋" w:cs="华文仿宋" w:eastAsia="华文仿宋"/>
                <w:sz w:val="28"/>
              </w:rPr>
              <w:t>《全国森林草原湿地荒漠化普查技术规程》；</w:t>
            </w:r>
          </w:p>
          <w:p>
            <w:pPr>
              <w:pStyle w:val="null3"/>
              <w:ind w:firstLine="560"/>
              <w:jc w:val="both"/>
            </w:pPr>
            <w:r>
              <w:rPr>
                <w:rFonts w:ascii="华文仿宋" w:hAnsi="华文仿宋" w:cs="华文仿宋" w:eastAsia="华文仿宋"/>
                <w:sz w:val="28"/>
              </w:rPr>
              <w:t>3.</w:t>
            </w:r>
            <w:r>
              <w:rPr>
                <w:rFonts w:ascii="华文仿宋" w:hAnsi="华文仿宋" w:cs="华文仿宋" w:eastAsia="华文仿宋"/>
                <w:sz w:val="28"/>
              </w:rPr>
              <w:t>《国土空间调查、规划、用途管制用地用海分类指南》（自然资发〔</w:t>
            </w:r>
            <w:r>
              <w:rPr>
                <w:rFonts w:ascii="华文仿宋" w:hAnsi="华文仿宋" w:cs="华文仿宋" w:eastAsia="华文仿宋"/>
                <w:sz w:val="28"/>
              </w:rPr>
              <w:t>2023〕234号）；</w:t>
            </w:r>
          </w:p>
          <w:p>
            <w:pPr>
              <w:pStyle w:val="null3"/>
              <w:ind w:firstLine="560"/>
              <w:jc w:val="both"/>
            </w:pPr>
            <w:r>
              <w:rPr>
                <w:rFonts w:ascii="华文仿宋" w:hAnsi="华文仿宋" w:cs="华文仿宋" w:eastAsia="华文仿宋"/>
                <w:sz w:val="28"/>
              </w:rPr>
              <w:t>4.</w:t>
            </w:r>
            <w:r>
              <w:rPr>
                <w:rFonts w:ascii="华文仿宋" w:hAnsi="华文仿宋" w:cs="华文仿宋" w:eastAsia="华文仿宋"/>
                <w:sz w:val="28"/>
              </w:rPr>
              <w:t>《四川省森林草原湿地荒漠化普查工作实施方案》</w:t>
            </w:r>
            <w:r>
              <w:rPr>
                <w:rFonts w:ascii="华文仿宋" w:hAnsi="华文仿宋" w:cs="华文仿宋" w:eastAsia="华文仿宋"/>
                <w:sz w:val="28"/>
              </w:rPr>
              <w:t>；</w:t>
            </w:r>
          </w:p>
          <w:p>
            <w:pPr>
              <w:pStyle w:val="null3"/>
              <w:ind w:firstLine="560"/>
              <w:jc w:val="both"/>
            </w:pPr>
            <w:r>
              <w:rPr>
                <w:rFonts w:ascii="华文仿宋" w:hAnsi="华文仿宋" w:cs="华文仿宋" w:eastAsia="华文仿宋"/>
                <w:sz w:val="28"/>
              </w:rPr>
              <w:t>5.《</w:t>
            </w:r>
            <w:r>
              <w:rPr>
                <w:rFonts w:ascii="华文仿宋" w:hAnsi="华文仿宋" w:cs="华文仿宋" w:eastAsia="华文仿宋"/>
                <w:sz w:val="28"/>
              </w:rPr>
              <w:t>四川省森林草原湿地荒漠化普查</w:t>
            </w:r>
            <w:r>
              <w:rPr>
                <w:rFonts w:ascii="华文仿宋" w:hAnsi="华文仿宋" w:cs="华文仿宋" w:eastAsia="华文仿宋"/>
                <w:sz w:val="28"/>
              </w:rPr>
              <w:t>操作细则</w:t>
            </w:r>
            <w:r>
              <w:rPr>
                <w:rFonts w:ascii="华文仿宋" w:hAnsi="华文仿宋" w:cs="华文仿宋" w:eastAsia="华文仿宋"/>
                <w:sz w:val="28"/>
              </w:rPr>
              <w:t>》</w:t>
            </w:r>
            <w:r>
              <w:rPr>
                <w:rFonts w:ascii="华文仿宋" w:hAnsi="华文仿宋" w:cs="华文仿宋" w:eastAsia="华文仿宋"/>
                <w:sz w:val="28"/>
              </w:rPr>
              <w:t>。</w:t>
            </w:r>
          </w:p>
          <w:p>
            <w:pPr>
              <w:pStyle w:val="null3"/>
              <w:ind w:firstLine="561"/>
              <w:jc w:val="both"/>
            </w:pPr>
            <w:r>
              <w:rPr>
                <w:rFonts w:ascii="华文仿宋" w:hAnsi="华文仿宋" w:cs="华文仿宋" w:eastAsia="华文仿宋"/>
                <w:b/>
                <w:sz w:val="28"/>
              </w:rPr>
              <w:t>五、</w:t>
            </w:r>
            <w:r>
              <w:rPr>
                <w:rFonts w:ascii="华文仿宋" w:hAnsi="华文仿宋" w:cs="华文仿宋" w:eastAsia="华文仿宋"/>
                <w:b/>
                <w:sz w:val="28"/>
              </w:rPr>
              <w:t>服务要求</w:t>
            </w:r>
          </w:p>
          <w:p>
            <w:pPr>
              <w:pStyle w:val="null3"/>
              <w:ind w:firstLine="560"/>
              <w:jc w:val="both"/>
            </w:pPr>
            <w:r>
              <w:rPr>
                <w:rFonts w:ascii="华文仿宋" w:hAnsi="华文仿宋" w:cs="华文仿宋" w:eastAsia="华文仿宋"/>
                <w:sz w:val="28"/>
              </w:rPr>
              <w:t>1.为保障项目质量，供应商应为本项目提供相关的项目技术方案、后续服务方案等内容，并配备相关人员，具有履约能力；</w:t>
            </w:r>
          </w:p>
          <w:p>
            <w:pPr>
              <w:pStyle w:val="null3"/>
              <w:ind w:firstLine="560"/>
              <w:jc w:val="both"/>
            </w:pPr>
            <w:r>
              <w:rPr>
                <w:rFonts w:ascii="华文仿宋" w:hAnsi="华文仿宋" w:cs="华文仿宋" w:eastAsia="华文仿宋"/>
                <w:sz w:val="28"/>
              </w:rPr>
              <w:t>2</w:t>
            </w:r>
            <w:r>
              <w:rPr>
                <w:rFonts w:ascii="华文仿宋" w:hAnsi="华文仿宋" w:cs="华文仿宋" w:eastAsia="华文仿宋"/>
                <w:sz w:val="28"/>
              </w:rPr>
              <w:t>.供应商需承诺直接服务于普查的技术人员，需具有</w:t>
            </w:r>
            <w:r>
              <w:rPr>
                <w:rFonts w:ascii="华文仿宋" w:hAnsi="华文仿宋" w:cs="华文仿宋" w:eastAsia="华文仿宋"/>
                <w:sz w:val="28"/>
              </w:rPr>
              <w:t>省级主管部门颁发的林草湿荒</w:t>
            </w:r>
            <w:r>
              <w:rPr>
                <w:rFonts w:ascii="华文仿宋" w:hAnsi="华文仿宋" w:cs="华文仿宋" w:eastAsia="华文仿宋"/>
                <w:sz w:val="28"/>
              </w:rPr>
              <w:t>普查工作技术培训合格证书</w:t>
            </w:r>
            <w:r>
              <w:rPr>
                <w:rFonts w:ascii="华文仿宋" w:hAnsi="华文仿宋" w:cs="华文仿宋" w:eastAsia="华文仿宋"/>
                <w:sz w:val="28"/>
              </w:rPr>
              <w:t>；</w:t>
            </w:r>
          </w:p>
          <w:p>
            <w:pPr>
              <w:pStyle w:val="null3"/>
              <w:ind w:firstLine="560"/>
              <w:jc w:val="both"/>
            </w:pPr>
            <w:r>
              <w:rPr>
                <w:rFonts w:ascii="华文仿宋" w:hAnsi="华文仿宋" w:cs="华文仿宋" w:eastAsia="华文仿宋"/>
                <w:sz w:val="28"/>
              </w:rPr>
              <w:t>3.本项目自成交供应商签订合同之日起至提交全部成果验收合格之日止，成交供应商将负责该项目实施过程中的人身安全、财产安全、环境安全，因本项目实施过程中造成的直接或间接损失，均由成交供应商自行承担（响应文件中提供承诺函，格式自拟并进行电子签章）</w:t>
            </w:r>
            <w:r>
              <w:rPr>
                <w:rFonts w:ascii="华文仿宋" w:hAnsi="华文仿宋" w:cs="华文仿宋" w:eastAsia="华文仿宋"/>
                <w:sz w:val="28"/>
              </w:rPr>
              <w:t>。</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服务期限</w:t>
            </w:r>
          </w:p>
        </w:tc>
        <w:tc>
          <w:tcPr>
            <w:tcW w:type="dxa" w:w="2076"/>
          </w:tcPr>
          <w:p>
            <w:pPr>
              <w:pStyle w:val="null3"/>
              <w:jc w:val="left"/>
            </w:pPr>
            <w:r>
              <w:rPr/>
              <w:t>70天</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服务地点</w:t>
            </w:r>
          </w:p>
        </w:tc>
        <w:tc>
          <w:tcPr>
            <w:tcW w:type="dxa" w:w="2076"/>
          </w:tcPr>
          <w:p>
            <w:pPr>
              <w:pStyle w:val="null3"/>
              <w:jc w:val="left"/>
            </w:pPr>
            <w:r>
              <w:rPr/>
              <w:t>泸州市龙马潭区全境</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采购人依据政府采购相关法律法规、《财政部关于进一步加强政府采购需求和履约验收管理的指导意见》(财库〔2016〕205号)文件要求及国家行业主管部门规定的标准、要求和响应文件及合同约定的内容进行验收。 验收效果：通过区级自查和省市级核查。</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1、签订合同后，成交供应商入驻开展工作，达到付款条件起30日内，据实情况说明为支付合同总金额的20%</w:t>
            </w:r>
          </w:p>
          <w:p>
            <w:pPr>
              <w:pStyle w:val="null3"/>
              <w:jc w:val="left"/>
            </w:pPr>
            <w:r>
              <w:rPr/>
              <w:t>2、完成区划调查工作并通过省级核查，达到付款条件起30日内，据实情况说明为支付合同总金额的40%</w:t>
            </w:r>
          </w:p>
          <w:p>
            <w:pPr>
              <w:pStyle w:val="null3"/>
              <w:jc w:val="left"/>
            </w:pPr>
            <w:r>
              <w:rPr/>
              <w:t>3、完成管理类型标注工作并形成全套成果，通过省级验收后，达到付款条件起30日内，据实情况说明为支付合同总金额的40%</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详见本文件合同约定。</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1.质量保障：因调查质量低劣引起返工或造成工程损失，应继续完善调查，并根据造成的损失情况承担经济和技术责任，采购人可视造成的损失大小，扣减技术服务费。如因成交供应商调查错误造成重大质量事故的，将扣除成交供应商受损失部分的技术服务费，成交供应商还将承担直接受损失部分技术服务费相等的赔偿金。由于成交供应商的责任延迟提供调查资料的，在规定时间内按合同的约定支付违约金。 2.成交人接受项目行业管理部门及政府有关部门的指导，接受采购人的监督。本项目普查成果归泸州市龙马潭区农业农村局所有，未经采购人同意，成交人不得泄露、公布、发表、转让、交换所有的规划成果。 3.后续服务要求 项目完成后1年内，为采购人提供 7*24 小时技术援助电话，解答采购人在实际操作中遇到的问题，及时为采购人提出解决问题的建议。并为采购人指定专门联络人和负责人，在服务期限内定向为该项目进行跟踪服务，包括跟踪对采购人提供问题的解决情况以及后续应用情况，专门的负责人需由符合技术要求及资质的人员组成，其技能水平能够覆盖本次项目建设所涉内容。采购人遇到技术问题，电话咨询不能解决的，应在 12 小时内采取相应措施，提供上门服务，确保产品正常工作；无法在12小时内解决的，应在48小时内启动应急机制。 4.安全保密要求 供应商具有相应的保密措施，并承担相应的法律责任。参与本项目的工作人员必须接受档案保密安全教育，并自觉学习保密知识，严格按程序报批，遵守《档案法》、《保密法》及其他有关法规，严防失密、泄密现象发生。工作人员泄露档案所涉及的国家秘密，按国家有关规定处理，情节严重的，供应商及其工作人员，要承担相应的民事、刑事责任。</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一、第三章“技术、服务及其他要求”中“3.2.技术要求”，“3.3.服务要求”：</w:t>
      </w:r>
    </w:p>
    <w:p>
      <w:pPr>
        <w:pStyle w:val="null3"/>
        <w:ind w:firstLine="480"/>
        <w:jc w:val="left"/>
      </w:pPr>
      <w:r>
        <w:rPr>
          <w:rFonts w:ascii="宋体" w:hAnsi="宋体" w:cs="宋体" w:eastAsia="宋体"/>
          <w:color w:val="000000"/>
          <w:sz w:val="19"/>
        </w:rPr>
        <w:t>磋商小组可以根据磋商文件和磋商情况实质性变动第三章</w:t>
      </w:r>
      <w:r>
        <w:rPr>
          <w:rFonts w:ascii="dejavusans" w:hAnsi="dejavusans" w:cs="dejavusans" w:eastAsia="dejavusans"/>
          <w:color w:val="000000"/>
          <w:sz w:val="19"/>
        </w:rPr>
        <w:t>“</w:t>
      </w:r>
      <w:r>
        <w:rPr>
          <w:rFonts w:ascii="宋体" w:hAnsi="宋体" w:cs="宋体" w:eastAsia="宋体"/>
          <w:color w:val="000000"/>
          <w:sz w:val="19"/>
        </w:rPr>
        <w:t>磋商项目技术、服务、商务及其他要求</w:t>
      </w:r>
      <w:r>
        <w:rPr>
          <w:rFonts w:ascii="dejavusans" w:hAnsi="dejavusans" w:cs="dejavusans" w:eastAsia="dejavusans"/>
          <w:color w:val="000000"/>
          <w:sz w:val="19"/>
        </w:rPr>
        <w:t>”</w:t>
      </w:r>
      <w:r>
        <w:rPr>
          <w:rFonts w:ascii="宋体" w:hAnsi="宋体" w:cs="宋体" w:eastAsia="宋体"/>
          <w:color w:val="000000"/>
          <w:sz w:val="19"/>
        </w:rPr>
        <w:t>，实质性变动的内容，须经采购人代表确认</w:t>
      </w:r>
    </w:p>
    <w:p>
      <w:pPr>
        <w:pStyle w:val="null3"/>
        <w:ind w:firstLine="480"/>
        <w:jc w:val="left"/>
      </w:pPr>
      <w:r>
        <w:rPr/>
        <w:t>二、第七章“拟签订采购合同文本”：</w:t>
      </w:r>
    </w:p>
    <w:p>
      <w:pPr>
        <w:pStyle w:val="null3"/>
        <w:ind w:firstLine="480"/>
        <w:jc w:val="left"/>
        <w:outlineLvl w:val="0"/>
      </w:pPr>
      <w:r>
        <w:rPr>
          <w:b/>
          <w:sz w:val="48"/>
        </w:rPr>
        <w:t>政府采购合同</w:t>
      </w:r>
    </w:p>
    <w:p>
      <w:pPr>
        <w:pStyle w:val="null3"/>
        <w:jc w:val="left"/>
        <w:outlineLvl w:val="0"/>
      </w:pPr>
      <w:r>
        <w:rPr>
          <w:b/>
          <w:sz w:val="48"/>
        </w:rPr>
        <w:t>（服务类）</w:t>
      </w:r>
    </w:p>
    <w:p>
      <w:pPr>
        <w:pStyle w:val="null3"/>
        <w:jc w:val="left"/>
      </w:pPr>
      <w:r>
        <w:br/>
      </w:r>
      <w:r>
        <w:br/>
      </w:r>
      <w:r>
        <w:br/>
      </w:r>
      <w:r>
        <w:br/>
      </w:r>
      <w:r>
        <w:rPr/>
        <w:t xml:space="preserve">  </w:t>
      </w:r>
    </w:p>
    <w:p>
      <w:pPr>
        <w:pStyle w:val="null3"/>
        <w:jc w:val="left"/>
      </w:pPr>
      <w:r>
        <w:rPr/>
        <w:t>政府采购合同编号：__________________</w:t>
      </w:r>
    </w:p>
    <w:p>
      <w:pPr>
        <w:pStyle w:val="null3"/>
        <w:jc w:val="left"/>
      </w:pPr>
      <w:r>
        <w:rPr/>
        <w:t>履约地点：__________________</w:t>
      </w:r>
    </w:p>
    <w:p>
      <w:pPr>
        <w:pStyle w:val="null3"/>
        <w:jc w:val="left"/>
      </w:pPr>
      <w:r>
        <w:rPr/>
        <w:t>签订地点：__________________</w:t>
      </w:r>
    </w:p>
    <w:p>
      <w:pPr>
        <w:pStyle w:val="null3"/>
        <w:jc w:val="left"/>
      </w:pPr>
      <w:r>
        <w:rPr/>
        <w:t>签订时间：20___年___月___日</w:t>
      </w:r>
    </w:p>
    <w:p>
      <w:pPr>
        <w:pStyle w:val="null3"/>
        <w:jc w:val="left"/>
      </w:pPr>
      <w:r>
        <w:rPr/>
        <w:t>采购人（甲方）：__________________</w:t>
      </w:r>
    </w:p>
    <w:p>
      <w:pPr>
        <w:pStyle w:val="null3"/>
        <w:jc w:val="left"/>
      </w:pPr>
      <w:r>
        <w:rPr/>
        <w:t>采购人地址：__________________</w:t>
      </w:r>
    </w:p>
    <w:p>
      <w:pPr>
        <w:pStyle w:val="null3"/>
        <w:jc w:val="left"/>
      </w:pPr>
      <w:r>
        <w:rPr/>
        <w:t>供应商(乙方)：__________________</w:t>
      </w:r>
    </w:p>
    <w:p>
      <w:pPr>
        <w:pStyle w:val="null3"/>
        <w:jc w:val="left"/>
      </w:pPr>
      <w:r>
        <w:rPr/>
        <w:t>供应商地址：__________________</w:t>
      </w:r>
    </w:p>
    <w:p>
      <w:pPr>
        <w:pStyle w:val="null3"/>
        <w:jc w:val="left"/>
      </w:pPr>
      <w:r>
        <w:rPr/>
        <w:t xml:space="preserve"> </w:t>
      </w:r>
    </w:p>
    <w:p>
      <w:pPr>
        <w:pStyle w:val="null3"/>
        <w:jc w:val="left"/>
      </w:pPr>
      <w:r>
        <w:rPr/>
        <w:t>依据《中华人民共和国民法典》 《中华人民共和国政府采购法》与项目行业有关的法律法规，以及________采购项目的 《磋商文件》，乙方的《投标（响应）文件》及《中标（成交）通知书》，甲乙双方同意签订本合同。具体情况及要求如下：</w:t>
      </w:r>
    </w:p>
    <w:p>
      <w:pPr>
        <w:pStyle w:val="null3"/>
        <w:jc w:val="left"/>
        <w:outlineLvl w:val="2"/>
      </w:pPr>
      <w:r>
        <w:rPr>
          <w:b/>
          <w:sz w:val="28"/>
        </w:rPr>
        <w:t>一、标的信息</w:t>
      </w:r>
    </w:p>
    <w:p>
      <w:pPr>
        <w:pStyle w:val="null3"/>
        <w:jc w:val="left"/>
      </w:pPr>
      <w:r>
        <w:rPr/>
        <w:t xml:space="preserve"> </w:t>
      </w:r>
    </w:p>
    <w:p>
      <w:pPr>
        <w:pStyle w:val="null3"/>
        <w:jc w:val="left"/>
        <w:outlineLvl w:val="2"/>
      </w:pPr>
      <w:r>
        <w:rPr>
          <w:b/>
          <w:sz w:val="28"/>
        </w:rPr>
        <w:t>二、服务要求</w:t>
      </w:r>
    </w:p>
    <w:p>
      <w:pPr>
        <w:pStyle w:val="null3"/>
        <w:jc w:val="left"/>
        <w:outlineLvl w:val="2"/>
      </w:pPr>
      <w:r>
        <w:rPr>
          <w:b/>
          <w:sz w:val="28"/>
        </w:rPr>
        <w:t>三、合同定价方式、付款进度和支付方式</w:t>
      </w:r>
    </w:p>
    <w:p>
      <w:pPr>
        <w:pStyle w:val="null3"/>
        <w:jc w:val="left"/>
      </w:pPr>
      <w:r>
        <w:rPr/>
        <w:t>合同定价方式：</w:t>
      </w:r>
    </w:p>
    <w:p>
      <w:pPr>
        <w:pStyle w:val="null3"/>
        <w:jc w:val="left"/>
      </w:pPr>
      <w:r>
        <w:rPr/>
        <w:t xml:space="preserve"> </w:t>
      </w:r>
    </w:p>
    <w:p>
      <w:pPr>
        <w:pStyle w:val="null3"/>
        <w:jc w:val="left"/>
        <w:outlineLvl w:val="2"/>
      </w:pPr>
      <w:r>
        <w:rPr>
          <w:b/>
          <w:sz w:val="28"/>
        </w:rPr>
        <w:t>四、履约保证金</w:t>
      </w:r>
    </w:p>
    <w:p>
      <w:pPr>
        <w:pStyle w:val="null3"/>
        <w:jc w:val="left"/>
      </w:pPr>
      <w:r>
        <w:rPr/>
        <w:t xml:space="preserve"> </w:t>
      </w:r>
    </w:p>
    <w:p>
      <w:pPr>
        <w:pStyle w:val="null3"/>
        <w:jc w:val="left"/>
        <w:outlineLvl w:val="2"/>
      </w:pPr>
      <w:r>
        <w:rPr>
          <w:b/>
          <w:sz w:val="28"/>
        </w:rPr>
        <w:t>五、验收标准和方法</w:t>
      </w:r>
    </w:p>
    <w:p>
      <w:pPr>
        <w:pStyle w:val="null3"/>
        <w:jc w:val="left"/>
      </w:pPr>
      <w:r>
        <w:rPr/>
        <w:t xml:space="preserve"> </w:t>
      </w:r>
    </w:p>
    <w:p>
      <w:pPr>
        <w:pStyle w:val="null3"/>
        <w:jc w:val="left"/>
        <w:outlineLvl w:val="2"/>
      </w:pPr>
      <w:r>
        <w:rPr>
          <w:b/>
          <w:sz w:val="28"/>
        </w:rPr>
        <w:t>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八、违约责任</w:t>
      </w:r>
    </w:p>
    <w:p>
      <w:pPr>
        <w:pStyle w:val="null3"/>
        <w:jc w:val="left"/>
      </w:pPr>
      <w:r>
        <w:rPr/>
        <w:t xml:space="preserve"> </w:t>
      </w:r>
    </w:p>
    <w:p>
      <w:pPr>
        <w:pStyle w:val="null3"/>
        <w:jc w:val="left"/>
        <w:outlineLvl w:val="2"/>
      </w:pPr>
      <w:r>
        <w:rPr>
          <w:b/>
          <w:sz w:val="28"/>
        </w:rPr>
        <w:t>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十、解决合同纠纷的方式</w:t>
      </w:r>
    </w:p>
    <w:p>
      <w:pPr>
        <w:pStyle w:val="null3"/>
        <w:jc w:val="left"/>
      </w:pPr>
      <w:r>
        <w:rPr/>
        <w:t xml:space="preserve"> </w:t>
      </w:r>
    </w:p>
    <w:p>
      <w:pPr>
        <w:pStyle w:val="null3"/>
        <w:jc w:val="left"/>
        <w:outlineLvl w:val="2"/>
      </w:pPr>
      <w:r>
        <w:rPr>
          <w:b/>
          <w:sz w:val="28"/>
        </w:rPr>
        <w:t>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rPr/>
        <w:t xml:space="preserve">  </w:t>
      </w:r>
    </w:p>
    <w:p>
      <w:pPr>
        <w:pStyle w:val="null3"/>
        <w:jc w:val="left"/>
      </w:pPr>
      <w:r>
        <w:rPr/>
        <w:t>甲方： （盖章）</w:t>
      </w:r>
    </w:p>
    <w:p>
      <w:pPr>
        <w:pStyle w:val="null3"/>
        <w:jc w:val="left"/>
      </w:pPr>
      <w:r>
        <w:rPr/>
        <w:t>法定代表人或主要负责人（授权代表）：</w:t>
      </w:r>
    </w:p>
    <w:p>
      <w:pPr>
        <w:pStyle w:val="null3"/>
        <w:jc w:val="left"/>
      </w:pPr>
      <w:r>
        <w:rPr/>
        <w:t>地 址：</w:t>
      </w:r>
    </w:p>
    <w:p>
      <w:pPr>
        <w:pStyle w:val="null3"/>
        <w:jc w:val="left"/>
      </w:pPr>
      <w:r>
        <w:rPr/>
        <w:t>开户银行：</w:t>
      </w:r>
    </w:p>
    <w:p>
      <w:pPr>
        <w:pStyle w:val="null3"/>
        <w:jc w:val="left"/>
      </w:pPr>
      <w:r>
        <w:rPr/>
        <w:t>账号：</w:t>
      </w:r>
    </w:p>
    <w:p>
      <w:pPr>
        <w:pStyle w:val="null3"/>
        <w:jc w:val="left"/>
      </w:pPr>
      <w:r>
        <w:rPr/>
        <w:t>签订时间： 年 月 日</w:t>
      </w:r>
    </w:p>
    <w:p>
      <w:pPr>
        <w:pStyle w:val="null3"/>
        <w:jc w:val="left"/>
      </w:pPr>
      <w:r>
        <w:rPr/>
        <w:t>乙方：(盖章）</w:t>
      </w:r>
    </w:p>
    <w:p>
      <w:pPr>
        <w:pStyle w:val="null3"/>
        <w:jc w:val="left"/>
      </w:pPr>
      <w:r>
        <w:rPr/>
        <w:t>法定代表人或主要负责人（授权代表）：</w:t>
      </w:r>
    </w:p>
    <w:p>
      <w:pPr>
        <w:pStyle w:val="null3"/>
        <w:jc w:val="left"/>
      </w:pPr>
      <w:r>
        <w:rPr/>
        <w:t>地 址：</w:t>
      </w:r>
    </w:p>
    <w:p>
      <w:pPr>
        <w:pStyle w:val="null3"/>
        <w:jc w:val="left"/>
      </w:pPr>
      <w:r>
        <w:rPr/>
        <w:t>开户银行：</w:t>
      </w:r>
    </w:p>
    <w:p>
      <w:pPr>
        <w:pStyle w:val="null3"/>
        <w:jc w:val="left"/>
      </w:pPr>
      <w:r>
        <w:rPr/>
        <w:t>账号：</w:t>
      </w:r>
    </w:p>
    <w:p>
      <w:pPr>
        <w:pStyle w:val="null3"/>
        <w:jc w:val="left"/>
      </w:pPr>
      <w:r>
        <w:rPr/>
        <w:t>签订时间： 年 月 日</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二、评审工作由代理机构组织，具体评审事务由依法组建的磋商小组负责。磋商小组由采购人代表和评审专家组成。</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四、磋商小组应当履行下列职责：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一、磋商文件的规定存在歧义、重大缺陷，导致评审工作无法进行的；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供应商应具有省级及以上测绘行政主管部门颁发的有效期内的乙级及以上测绘资质证书，或者供应商应具有国家承认的有效期内的林业和草原调查规划设计丙级（含）以上资质证书。</w:t>
            </w:r>
          </w:p>
        </w:tc>
        <w:tc>
          <w:tcPr>
            <w:tcW w:type="dxa" w:w="3322"/>
          </w:tcPr>
          <w:p>
            <w:pPr>
              <w:pStyle w:val="null3"/>
              <w:jc w:val="left"/>
            </w:pPr>
            <w:r>
              <w:rPr/>
              <w:t>供应商应具有省级及以上测绘行政主管部门颁发的有效期内的乙级及以上测绘资质证书，或者供应商应具有国家承认的有效期内的林业和草原调查规划设计丙级（含）以上资质证书。</w:t>
            </w:r>
          </w:p>
        </w:tc>
        <w:tc>
          <w:tcPr>
            <w:tcW w:type="dxa" w:w="1910"/>
          </w:tcPr>
          <w:p>
            <w:pPr>
              <w:pStyle w:val="null3"/>
              <w:jc w:val="left"/>
            </w:pPr>
            <w:r>
              <w:rPr/>
              <w:t>供应商应提交的相关证明材料 投标（响应）函</w:t>
            </w:r>
          </w:p>
        </w:tc>
      </w:tr>
      <w:tr>
        <w:tc>
          <w:tcPr>
            <w:tcW w:type="dxa" w:w="581"/>
          </w:tcPr>
          <w:p>
            <w:pPr>
              <w:pStyle w:val="null3"/>
              <w:jc w:val="center"/>
            </w:pPr>
            <w:r>
              <w:rPr/>
              <w:t>2</w:t>
            </w:r>
          </w:p>
        </w:tc>
        <w:tc>
          <w:tcPr>
            <w:tcW w:type="dxa" w:w="2492"/>
          </w:tcPr>
          <w:p>
            <w:pPr>
              <w:pStyle w:val="null3"/>
              <w:jc w:val="left"/>
            </w:pPr>
            <w:r>
              <w:rPr/>
              <w:t>本项目不允许联合体投标。</w:t>
            </w:r>
          </w:p>
        </w:tc>
        <w:tc>
          <w:tcPr>
            <w:tcW w:type="dxa" w:w="3322"/>
          </w:tcPr>
          <w:p>
            <w:pPr>
              <w:pStyle w:val="null3"/>
              <w:jc w:val="left"/>
            </w:pPr>
            <w:r>
              <w:rPr/>
              <w:t>本项目不允许联合体投标。</w:t>
            </w:r>
          </w:p>
        </w:tc>
        <w:tc>
          <w:tcPr>
            <w:tcW w:type="dxa" w:w="1910"/>
          </w:tcPr>
          <w:p>
            <w:pPr>
              <w:pStyle w:val="null3"/>
              <w:jc w:val="left"/>
            </w:pPr>
            <w:r>
              <w:rPr/>
              <w:t>投标（响应）函</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在符合性审查过程中，如果出现磋商小组成员意见不一致的情况，按照少数服从多数的原则确定，但不得违反政府采购基本原则和磋商文件规定。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不正当竞争预防措施</w:t>
            </w:r>
          </w:p>
        </w:tc>
        <w:tc>
          <w:tcPr>
            <w:tcW w:type="dxa" w:w="3322"/>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c>
          <w:tcPr>
            <w:tcW w:type="dxa" w:w="1910"/>
          </w:tcPr>
          <w:p>
            <w:pPr>
              <w:pStyle w:val="null3"/>
              <w:jc w:val="left"/>
            </w:pPr>
            <w:r>
              <w:rPr/>
              <w:t>（）次报价表 报价表</w:t>
            </w:r>
          </w:p>
        </w:tc>
      </w:tr>
      <w:tr>
        <w:tc>
          <w:tcPr>
            <w:tcW w:type="dxa" w:w="581"/>
          </w:tcPr>
          <w:p>
            <w:pPr>
              <w:pStyle w:val="null3"/>
              <w:jc w:val="center"/>
            </w:pPr>
            <w:r>
              <w:rPr/>
              <w:t>2</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其他实质性审查</w:t>
            </w:r>
          </w:p>
        </w:tc>
        <w:tc>
          <w:tcPr>
            <w:tcW w:type="dxa" w:w="3322"/>
          </w:tcPr>
          <w:p>
            <w:pPr>
              <w:pStyle w:val="null3"/>
              <w:jc w:val="left"/>
            </w:pPr>
            <w:r>
              <w:rPr/>
              <w:t>投标有效期、最高限价、签章、签字、服务要求、商务要求等相应条款（具体标准见采购文件）。</w:t>
            </w:r>
          </w:p>
        </w:tc>
        <w:tc>
          <w:tcPr>
            <w:tcW w:type="dxa" w:w="1910"/>
          </w:tcPr>
          <w:p>
            <w:pPr>
              <w:pStyle w:val="null3"/>
              <w:jc w:val="left"/>
            </w:pPr>
            <w:r>
              <w:rPr/>
              <w:t>商务应答表 供应商应提交的相关证明材料 服务应答表 报价表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w:t>
      </w:r>
    </w:p>
    <w:p>
      <w:pPr>
        <w:pStyle w:val="null3"/>
        <w:ind w:firstLine="480"/>
        <w:jc w:val="left"/>
      </w:pPr>
      <w:r>
        <w:rPr/>
        <w:t>三、磋商小组可以根据磋商文件和磋商情况实质性变动第四章约定的内容，但不得变动磋商文件中的其他内容。实质性变动的内容，须经采购人代表确认。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六、最后报价出现下列情况的，除磋商文件另有规定外，按以下原则处理：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服务方案、团队配置、履约经历、售后服务</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详细评审85.00分</w:t>
            </w:r>
          </w:p>
          <w:p>
            <w:pPr>
              <w:pStyle w:val="null3"/>
              <w:jc w:val="left"/>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服务方案</w:t>
            </w:r>
          </w:p>
        </w:tc>
        <w:tc>
          <w:tcPr>
            <w:tcW w:type="dxa" w:w="2575"/>
          </w:tcPr>
          <w:p>
            <w:pPr>
              <w:pStyle w:val="null3"/>
              <w:jc w:val="left"/>
            </w:pPr>
            <w:r>
              <w:rPr/>
              <w:t>1. 结合采购需求制定项目技术方案，包括：①项目工作流程；②区划调查方法；③管理类型标准；④数据库建设方法。上述方案内容完整、 合理且符合项目实际要求的得16分；每有一项内容缺失扣4分；每项内容中有一处缺陷扣1分，该项扣完为止。 2. 结合采购需求制定项目管理方案，包括：①项目组 织方案；②工期管理保障方案；③质量保障方案；④保密管理方案。上述方案内容完整且符合项目实际要求的得16分；每有一项内容缺失扣4分；每项内容中有一处缺陷扣1分，该项扣完为止。 说明：缺陷是指存在项目名称错误、地点区域错误、内容与本项目需求无关、方案内容仅有框架或标题、适用的标准（方法）错误、复制其他项目内容等任意一种情形。</w:t>
            </w:r>
          </w:p>
        </w:tc>
        <w:tc>
          <w:tcPr>
            <w:tcW w:type="dxa" w:w="831"/>
          </w:tcPr>
          <w:p>
            <w:pPr>
              <w:pStyle w:val="null3"/>
              <w:jc w:val="center"/>
            </w:pPr>
            <w:r>
              <w:rPr/>
              <w:t>32.00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vMerge/>
          </w:tcPr>
          <w:p/>
        </w:tc>
        <w:tc>
          <w:tcPr>
            <w:tcW w:type="dxa" w:w="1661"/>
          </w:tcPr>
          <w:p>
            <w:pPr>
              <w:pStyle w:val="null3"/>
              <w:jc w:val="left"/>
            </w:pPr>
            <w:r>
              <w:rPr/>
              <w:t>团队配置</w:t>
            </w:r>
          </w:p>
        </w:tc>
        <w:tc>
          <w:tcPr>
            <w:tcW w:type="dxa" w:w="2575"/>
          </w:tcPr>
          <w:p>
            <w:pPr>
              <w:pStyle w:val="null3"/>
              <w:jc w:val="left"/>
            </w:pPr>
            <w:r>
              <w:rPr/>
              <w:t>1.拟派至本项目负责人(1人)：具有测绘工程专业或林业高级及以上职称的得4分；具有测绘工程专业或林业中级工程师职称的得2分。另具有注册测绘师执业资格加1分。本项最多得5分。 2.拟派至本项目技术负责人(1人) ：具有测绘工程专业或林业高级及以上职称的得4分；具有测绘工程专业或林业中级工程师职称的得2分。另具有注册测绘师执业资格加1分。本项最多得5分。 3.拟派至本项目数据库建设负责人(1人) ：具有测绘工程专业或林业高级及以上职称的得4分；具有测绘工程专业或林业中级工程师职称的得2 分。另具有注册测绘师执业资格加1分。本项最多得5分。 4.拟派至本项目所有专业技术人员：具有保密培训合格证书或测绘成果管理人员岗位培训合格证书1人得1分；最多得5分。 5.拟派至本项目所有专业技术人员具有森林草原湿地荒漠化普查工作技术培训考核合格证的1人得1分，最多得10分。 注：1.以上人员提供相关证书复印件加盖公章。 2.供应商提供人员在职证明。</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本项目管理、技术、服务人员情况表</w:t>
            </w:r>
          </w:p>
        </w:tc>
      </w:tr>
      <w:tr>
        <w:tc>
          <w:tcPr>
            <w:tcW w:type="dxa" w:w="831"/>
            <w:vMerge/>
          </w:tcPr>
          <w:p/>
        </w:tc>
        <w:tc>
          <w:tcPr>
            <w:tcW w:type="dxa" w:w="1661"/>
          </w:tcPr>
          <w:p>
            <w:pPr>
              <w:pStyle w:val="null3"/>
              <w:jc w:val="left"/>
            </w:pPr>
            <w:r>
              <w:rPr/>
              <w:t>履约经历</w:t>
            </w:r>
          </w:p>
        </w:tc>
        <w:tc>
          <w:tcPr>
            <w:tcW w:type="dxa" w:w="2575"/>
          </w:tcPr>
          <w:p>
            <w:pPr>
              <w:pStyle w:val="null3"/>
              <w:jc w:val="left"/>
            </w:pPr>
            <w:r>
              <w:rPr/>
              <w:t>1.供应商 2020 年1月1日 (含) 以来具有独立承担的森林调查或草原调查或湿地调查或荒漠化调查或国土变更调查类项目的1个得2分，本项满分12分。 2.供应商具有质量管理体系认证、信息安全管理体系认证、信息技术服务管理体系认证，共3项证书的得3分，缺一项扣1分。 注：1.提供合同复印件或中标通知书复印件加盖公章。 2.转包及分包合同不计入评分。</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类似项目业绩一览表</w:t>
            </w:r>
          </w:p>
          <w:p>
            <w:pPr>
              <w:pStyle w:val="null3"/>
              <w:jc w:val="left"/>
            </w:pPr>
            <w:r>
              <w:rPr/>
              <w:t>供应商应提交的相关证明材料</w:t>
            </w:r>
          </w:p>
        </w:tc>
      </w:tr>
      <w:tr>
        <w:tc>
          <w:tcPr>
            <w:tcW w:type="dxa" w:w="831"/>
            <w:vMerge/>
          </w:tcPr>
          <w:p/>
        </w:tc>
        <w:tc>
          <w:tcPr>
            <w:tcW w:type="dxa" w:w="1661"/>
          </w:tcPr>
          <w:p>
            <w:pPr>
              <w:pStyle w:val="null3"/>
              <w:jc w:val="left"/>
            </w:pPr>
            <w:r>
              <w:rPr/>
              <w:t>售后服务</w:t>
            </w:r>
          </w:p>
        </w:tc>
        <w:tc>
          <w:tcPr>
            <w:tcW w:type="dxa" w:w="2575"/>
          </w:tcPr>
          <w:p>
            <w:pPr>
              <w:pStyle w:val="null3"/>
              <w:jc w:val="left"/>
            </w:pPr>
            <w:r>
              <w:rPr/>
              <w:t>供应商结合采购需求制定售后服务方案，包括：①售后服务承诺；②服务人员配置；③售后服务响应时间及范围；④服务保障措施。上述方案内容完整且符合项目实际要求的得8分；每有一项内容缺失扣2分；每项内容中有一处缺陷扣1分，该项扣完为止。 说明：缺陷是指存在项目名称错误、地点区域错误、内容与本项目需求无关、方案内容仅有框架或标题、适用的标准（方法）错误、复制其他项目内容等任意一种情形。</w:t>
            </w:r>
          </w:p>
        </w:tc>
        <w:tc>
          <w:tcPr>
            <w:tcW w:type="dxa" w:w="831"/>
          </w:tcPr>
          <w:p>
            <w:pPr>
              <w:pStyle w:val="null3"/>
              <w:jc w:val="center"/>
            </w:pPr>
            <w:r>
              <w:rPr/>
              <w:t>8.00</w:t>
            </w:r>
          </w:p>
        </w:tc>
        <w:tc>
          <w:tcPr>
            <w:tcW w:type="dxa" w:w="748"/>
          </w:tcPr>
          <w:p>
            <w:pPr>
              <w:pStyle w:val="null3"/>
              <w:jc w:val="center"/>
            </w:pPr>
            <w:r>
              <w:rPr/>
              <w:t>主观</w:t>
            </w:r>
          </w:p>
        </w:tc>
        <w:tc>
          <w:tcPr>
            <w:tcW w:type="dxa" w:w="1661"/>
          </w:tcPr>
          <w:p>
            <w:pPr>
              <w:pStyle w:val="null3"/>
              <w:jc w:val="left"/>
            </w:pPr>
            <w:r>
              <w:rPr/>
              <w:t>服务应答表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磋商小组评审，通过资格和符合性审查，且响应报价最低的供应商的响应报价作为评审基准价。2.响应报价得分=(评审基准价／响应报价)×分值。评审价格=响应报价。经价格调整后的评审价格=响应报价×（1-价格调整比例）基准价=经价格调整后评审价格的最低值。</w:t>
            </w:r>
          </w:p>
        </w:tc>
        <w:tc>
          <w:tcPr>
            <w:tcW w:type="dxa" w:w="831"/>
          </w:tcPr>
          <w:p>
            <w:pPr>
              <w:pStyle w:val="null3"/>
              <w:jc w:val="center"/>
            </w:pPr>
            <w:r>
              <w:rPr/>
              <w:t>15.00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b/>
          <w:sz w:val="28"/>
        </w:rPr>
        <w:t>5.6.确定成交供应商</w:t>
      </w:r>
    </w:p>
    <w:p>
      <w:pPr>
        <w:pStyle w:val="null3"/>
        <w:ind w:firstLine="480"/>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详见附件：服务应答表</w:t>
      </w:r>
    </w:p>
    <w:p>
      <w:pPr>
        <w:pStyle w:val="null3"/>
        <w:ind w:firstLine="960"/>
        <w:jc w:val="left"/>
      </w:pPr>
      <w:r>
        <w:rPr/>
        <w:t>详见附件：报价表</w:t>
      </w:r>
    </w:p>
    <w:p>
      <w:pPr>
        <w:pStyle w:val="null3"/>
        <w:ind w:firstLine="960"/>
        <w:jc w:val="left"/>
      </w:pPr>
      <w:r>
        <w:rPr/>
        <w:t>详见附件：（）次报价表</w:t>
      </w:r>
    </w:p>
    <w:p>
      <w:pPr>
        <w:pStyle w:val="null3"/>
        <w:ind w:firstLine="960"/>
        <w:jc w:val="left"/>
      </w:pPr>
      <w:r>
        <w:rPr/>
        <w:t>详见附件：本项目管理、技术、服务人员情况表</w:t>
      </w:r>
    </w:p>
    <w:p>
      <w:pPr>
        <w:pStyle w:val="null3"/>
        <w:ind w:firstLine="960"/>
        <w:jc w:val="left"/>
      </w:pPr>
      <w:r>
        <w:rPr/>
        <w:t>详见附件：类似项目业绩一览表</w:t>
      </w:r>
    </w:p>
    <w:p>
      <w:pPr>
        <w:pStyle w:val="null3"/>
        <w:ind w:firstLine="960"/>
        <w:jc w:val="left"/>
      </w:pPr>
      <w:r>
        <w:rPr/>
        <w:t>详见附件：商务应答表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