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2024年长泰区道路交通安全设施运行维护及零星隐患整改项目</w:t>
      </w:r>
    </w:p>
    <w:p>
      <w:pPr>
        <w:pStyle w:val="null3"/>
        <w:jc w:val="center"/>
        <w:outlineLvl w:val="2"/>
      </w:pPr>
      <w:r>
        <w:rPr>
          <w:sz w:val="28"/>
          <w:b/>
        </w:rPr>
        <w:t>备案编号：</w:t>
      </w:r>
      <w:r>
        <w:rPr>
          <w:sz w:val="28"/>
          <w:b/>
        </w:rPr>
        <w:t>CGXM-2024-350625-00777[2024]00627</w:t>
      </w:r>
    </w:p>
    <w:p>
      <w:pPr>
        <w:pStyle w:val="null3"/>
        <w:jc w:val="center"/>
        <w:outlineLvl w:val="2"/>
      </w:pPr>
      <w:r>
        <w:rPr>
          <w:sz w:val="28"/>
          <w:b/>
        </w:rPr>
        <w:t>项目编号：</w:t>
      </w:r>
      <w:r>
        <w:rPr>
          <w:sz w:val="28"/>
          <w:b/>
        </w:rPr>
        <w:t>[350625]FJZC[CS]2024003</w:t>
      </w:r>
    </w:p>
    <w:p>
      <w:pPr>
        <w:pStyle w:val="null3"/>
        <w:jc w:val="center"/>
        <w:outlineLvl w:val="2"/>
      </w:pPr>
      <w:r>
        <w:rPr>
          <w:sz w:val="28"/>
          <w:b/>
        </w:rPr>
        <w:t>采购人：</w:t>
      </w:r>
      <w:r>
        <w:rPr>
          <w:sz w:val="28"/>
          <w:b/>
        </w:rPr>
        <w:t>漳州市公安局长泰分局</w:t>
      </w:r>
    </w:p>
    <w:p>
      <w:pPr>
        <w:pStyle w:val="null3"/>
        <w:jc w:val="center"/>
        <w:outlineLvl w:val="2"/>
      </w:pPr>
      <w:r>
        <w:rPr>
          <w:sz w:val="28"/>
          <w:b/>
        </w:rPr>
        <w:t>代理机构：</w:t>
      </w:r>
      <w:r>
        <w:rPr>
          <w:sz w:val="28"/>
          <w:b/>
        </w:rPr>
        <w:t>福建至诚工程管理服务有限公司</w:t>
      </w:r>
    </w:p>
    <w:p>
      <w:pPr>
        <w:pStyle w:val="null3"/>
        <w:jc w:val="center"/>
        <w:outlineLvl w:val="2"/>
      </w:pPr>
      <w:r>
        <w:rPr>
          <w:sz w:val="28"/>
          <w:b/>
        </w:rPr>
        <w:t>编制时间</w:t>
      </w:r>
      <w:r>
        <w:rPr>
          <w:sz w:val="28"/>
          <w:b/>
        </w:rPr>
        <w:t>：</w:t>
      </w:r>
      <w:r>
        <w:rPr>
          <w:sz w:val="28"/>
          <w:b/>
        </w:rPr>
        <w:t>2024年12月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漳州市公安局长泰分局</w:t>
      </w:r>
      <w:r>
        <w:rPr/>
        <w:t xml:space="preserve"> 已根据政府采购相关法律法规，经相应程序确定采用 竞争性磋商 方式组织 </w:t>
      </w:r>
      <w:r>
        <w:rPr/>
        <w:t>2024年长泰区道路交通安全设施运行维护及零星隐患整改项目</w:t>
      </w:r>
      <w:r>
        <w:rPr/>
        <w:t xml:space="preserve"> 项目（以下简称：“本项目”）的政府采购活动， </w:t>
      </w:r>
      <w:r>
        <w:rPr/>
        <w:t>现欢迎国内合格的供应商前来参加。</w:t>
      </w:r>
      <w:r>
        <w:rPr/>
        <w:t xml:space="preserve"> 本项目由采购人委托 </w:t>
      </w:r>
      <w:r>
        <w:rPr/>
        <w:t>福建至诚工程管理服务有限公司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2024年长泰区道路交通安全设施运行维护及零星隐患整改项目</w:t>
      </w:r>
    </w:p>
    <w:p>
      <w:pPr>
        <w:pStyle w:val="null3"/>
        <w:ind w:firstLine="480"/>
        <w:jc w:val="left"/>
        <w:outlineLvl w:val="2"/>
      </w:pPr>
      <w:r>
        <w:rPr>
          <w:sz w:val="28"/>
          <w:b/>
        </w:rPr>
        <w:t>2.备案编号</w:t>
      </w:r>
      <w:r>
        <w:rPr>
          <w:sz w:val="28"/>
          <w:b/>
        </w:rPr>
        <w:t xml:space="preserve">： </w:t>
      </w:r>
      <w:r>
        <w:rPr>
          <w:sz w:val="28"/>
          <w:b/>
        </w:rPr>
        <w:t>CGXM-2024-350625-00777[2024]00627</w:t>
      </w:r>
    </w:p>
    <w:p>
      <w:pPr>
        <w:pStyle w:val="null3"/>
        <w:ind w:firstLine="480"/>
        <w:jc w:val="left"/>
        <w:outlineLvl w:val="2"/>
      </w:pPr>
      <w:r>
        <w:rPr>
          <w:sz w:val="28"/>
          <w:b/>
        </w:rPr>
        <w:t>3.项目编号</w:t>
      </w:r>
      <w:r>
        <w:rPr>
          <w:sz w:val="28"/>
          <w:b/>
        </w:rPr>
        <w:t xml:space="preserve">： </w:t>
      </w:r>
      <w:r>
        <w:rPr>
          <w:sz w:val="28"/>
          <w:b/>
        </w:rPr>
        <w:t>[350625]FJZC[CS]2024003</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900,000.00</w:t>
      </w:r>
    </w:p>
    <w:p>
      <w:pPr>
        <w:pStyle w:val="null3"/>
        <w:jc w:val="left"/>
      </w:pPr>
      <w:r>
        <w:rPr/>
        <w:t>采购包最高限价（元）: 900,000.00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2024年长泰区道路交通安全设施运行维护及零星隐患整改项目</w:t>
            </w:r>
          </w:p>
        </w:tc>
        <w:tc>
          <w:tcPr>
            <w:tcW w:type="dxa" w:w="1187"/>
          </w:tcPr>
          <w:p>
            <w:pPr>
              <w:pStyle w:val="null3"/>
              <w:jc w:val="right"/>
            </w:pPr>
            <w:r>
              <w:rPr/>
              <w:t>1.00</w:t>
            </w:r>
          </w:p>
        </w:tc>
        <w:tc>
          <w:tcPr>
            <w:tcW w:type="dxa" w:w="1187"/>
          </w:tcPr>
          <w:p>
            <w:pPr>
              <w:pStyle w:val="null3"/>
              <w:jc w:val="right"/>
            </w:pPr>
            <w:r>
              <w:rPr/>
              <w:t>900,000.00</w:t>
            </w:r>
          </w:p>
        </w:tc>
        <w:tc>
          <w:tcPr>
            <w:tcW w:type="dxa" w:w="1187"/>
          </w:tcPr>
          <w:p>
            <w:pPr>
              <w:pStyle w:val="null3"/>
              <w:jc w:val="left"/>
            </w:pPr>
            <w:r>
              <w:rPr/>
              <w:t>项</w:t>
            </w:r>
          </w:p>
        </w:tc>
        <w:tc>
          <w:tcPr>
            <w:tcW w:type="dxa" w:w="1187"/>
          </w:tcPr>
          <w:p>
            <w:pPr>
              <w:pStyle w:val="null3"/>
              <w:jc w:val="left"/>
            </w:pPr>
            <w:r>
              <w:rPr/>
              <w:t>交通运输业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2024年长泰区道路交通安全设施运行维护及零星隐患整改项目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900,000.00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2024年长泰区道路交通安全设施运行维护及零星隐患整改项目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2024年长泰区道路交通安全设施运行维护及零星隐患整改项目</w:t>
            </w:r>
          </w:p>
        </w:tc>
        <w:tc>
          <w:tcPr>
            <w:tcW w:type="dxa" w:w="2076"/>
          </w:tcPr>
          <w:p>
            <w:pPr>
              <w:pStyle w:val="null3"/>
              <w:jc w:val="left"/>
            </w:pPr>
            <w:r>
              <w:rPr/>
              <w:t>2024年长泰区道路交通安全设施运行维护及零星隐患整改项目</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900,000.00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按照《财政部 发展改革委 生态环境部 市场监管总局关于调整优化节能产品、环境标志产品政府采购执行机制的通知》（财库〔2019〕9号）、《关于印发节能产品政府采购品目清单的通知》（财库〔2019〕19号）、《市场监管总局关于发布参与实施政府采购节能产品、环境标志产品认证机构名录的公告》（2019年第16号）规定执行。</w:t>
      </w:r>
    </w:p>
    <w:p>
      <w:pPr>
        <w:pStyle w:val="null3"/>
        <w:ind w:firstLine="960"/>
        <w:jc w:val="left"/>
      </w:pPr>
      <w:r>
        <w:rPr/>
        <w:t>环境标志产品：</w:t>
      </w:r>
      <w:r>
        <w:rPr/>
        <w:t>按照《财政部 发展改革委 生态环境部 市场监管总局关于调整优化节能产品、环境标志产品政府采购执行机制的通知》（财库〔2019〕9号）、关于印发环境标志产品政府采购品目清单的通知（财库〔2019〕18号）、《市场监管总局关于发布参与实施政府采购节能产品、环境标志产品认证机构名录的公告》（2019年第16号）规定执行。</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漳州市公安局长泰分局</w:t>
      </w:r>
    </w:p>
    <w:p>
      <w:pPr>
        <w:pStyle w:val="null3"/>
        <w:ind w:firstLine="960"/>
        <w:jc w:val="left"/>
      </w:pPr>
      <w:r>
        <w:rPr/>
        <w:t xml:space="preserve"> 地址： </w:t>
      </w:r>
      <w:r>
        <w:rPr/>
        <w:t>漳州市长泰区武安镇迎宾路88号</w:t>
      </w:r>
    </w:p>
    <w:p>
      <w:pPr>
        <w:pStyle w:val="null3"/>
        <w:jc w:val="left"/>
      </w:pPr>
      <w:r>
        <w:rPr/>
        <w:t xml:space="preserve"> 邮编： </w:t>
      </w:r>
      <w:r>
        <w:rPr/>
        <w:t>363900</w:t>
      </w:r>
    </w:p>
    <w:p>
      <w:pPr>
        <w:pStyle w:val="null3"/>
        <w:jc w:val="left"/>
      </w:pPr>
      <w:r>
        <w:rPr/>
        <w:t xml:space="preserve"> 联系人： </w:t>
      </w:r>
      <w:r>
        <w:rPr/>
        <w:t>戴先生</w:t>
      </w:r>
    </w:p>
    <w:p>
      <w:pPr>
        <w:pStyle w:val="null3"/>
        <w:jc w:val="left"/>
      </w:pPr>
      <w:r>
        <w:rPr/>
        <w:t xml:space="preserve"> 联系电话： </w:t>
      </w:r>
      <w:r>
        <w:rPr/>
        <w:t>13859253828</w:t>
      </w:r>
    </w:p>
    <w:p>
      <w:pPr>
        <w:pStyle w:val="null3"/>
        <w:ind w:firstLine="480"/>
        <w:jc w:val="left"/>
        <w:outlineLvl w:val="2"/>
      </w:pPr>
      <w:r>
        <w:rPr>
          <w:sz w:val="28"/>
          <w:b/>
        </w:rPr>
        <w:t>14、代理机构</w:t>
      </w:r>
      <w:r>
        <w:rPr>
          <w:sz w:val="28"/>
          <w:b/>
        </w:rPr>
        <w:t>：</w:t>
      </w:r>
      <w:r>
        <w:rPr>
          <w:sz w:val="28"/>
          <w:b/>
        </w:rPr>
        <w:t>福建至诚工程管理服务有限公司</w:t>
      </w:r>
    </w:p>
    <w:p>
      <w:pPr>
        <w:pStyle w:val="null3"/>
        <w:ind w:firstLine="960"/>
        <w:jc w:val="left"/>
      </w:pPr>
      <w:r>
        <w:rPr/>
        <w:t xml:space="preserve"> 地址： </w:t>
      </w:r>
      <w:r>
        <w:rPr/>
        <w:t>西陂街道龙腾中路588号（龙岩国贸天琴湾（2013拍-14地块））10幢201</w:t>
      </w:r>
    </w:p>
    <w:p>
      <w:pPr>
        <w:pStyle w:val="null3"/>
        <w:jc w:val="left"/>
      </w:pPr>
      <w:r>
        <w:rPr/>
        <w:t xml:space="preserve"> 邮编： </w:t>
      </w:r>
      <w:r>
        <w:rPr/>
        <w:t>364000</w:t>
      </w:r>
    </w:p>
    <w:p>
      <w:pPr>
        <w:pStyle w:val="null3"/>
        <w:jc w:val="left"/>
      </w:pPr>
      <w:r>
        <w:rPr/>
        <w:t xml:space="preserve"> 联系人： </w:t>
      </w:r>
      <w:r>
        <w:rPr/>
        <w:t>吴小梅</w:t>
      </w:r>
    </w:p>
    <w:p>
      <w:pPr>
        <w:pStyle w:val="null3"/>
        <w:jc w:val="left"/>
      </w:pPr>
      <w:r>
        <w:rPr/>
        <w:t xml:space="preserve"> 联系电话： </w:t>
      </w:r>
      <w:r>
        <w:rPr/>
        <w:t>18605967576</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福建至诚工程管理服务有限公司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w:t>
                  </w:r>
                </w:p>
              </w:tc>
              <w:tc>
                <w:tcPr>
                  <w:tcW w:type="dxa" w:w="1418"/>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（3）磋商保证金</w:t>
            </w:r>
          </w:p>
          <w:p>
            <w:pPr>
              <w:pStyle w:val="null3"/>
              <w:jc w:val="left"/>
            </w:pPr>
            <w:r>
              <w:rPr/>
              <w:t>※备注说明</w:t>
            </w:r>
          </w:p>
          <w:p>
            <w:pPr>
              <w:pStyle w:val="null3"/>
              <w:jc w:val="left"/>
            </w:pPr>
            <w:r>
              <w:rPr/>
              <w:t>①供应商应根据自身实际情况提供上述资格要求的证明材料，格式可参考磋商文件第五章提供。</w:t>
            </w:r>
          </w:p>
          <w:p>
            <w:pPr>
              <w:pStyle w:val="null3"/>
              <w:jc w:val="left"/>
            </w:pPr>
            <w:r>
              <w:rPr/>
              <w:t>②供应商提供的相应证明材料复印件均应符合：内容完整、清晰、整洁，并由供应商加盖其单位公章。</w:t>
            </w:r>
          </w:p>
          <w:p>
            <w:pPr>
              <w:pStyle w:val="null3"/>
              <w:jc w:val="left"/>
            </w:pPr>
            <w:r>
              <w:rPr/>
              <w:t>③根据采购文件须知前附表1第1项号的“（2）特定资格条件”要求，允许供应商采用资格承诺制的并提供符合要求的资格承诺函，视为满足采购文件的资格要求。</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在磋商过程中，磋商小组可以根据磋商文件和磋商情况实质性变动采购需求中的技术、服务要求以及合同草案条款，但不得变动磋商文件中的其他内容。实质性变动的内容，须经采购人代表确认。</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漳州市长泰区财政局采购监督管理股</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代理服务费收费标准：本项目代理服务费收费标准以合同包的中标金额为计算基数，按差额定率累进法{相应的收费标准如下：（0，100]万元 1.50% }}计取；1.1收取方式：供应商应在领取中标通知书的同时以转账或电汇或现金等付款方式一次性向代理机构缴清代理服务费；1.2缴纳代理费账户信息：开户名：福建至诚工程管理服务有限公司漳州市长泰区分公司 账号：9080710030010000095210 开户行：漳州市长泰区农村信用合作联社武安信用社。</w:t>
            </w:r>
          </w:p>
          <w:p>
            <w:pPr>
              <w:pStyle w:val="null3"/>
              <w:jc w:val="left"/>
            </w:pPr>
            <w:r>
              <w:rPr/>
              <w:t xml:space="preserve"> (2)其他：</w:t>
            </w:r>
          </w:p>
          <w:p>
            <w:pPr>
              <w:pStyle w:val="null3"/>
              <w:jc w:val="left"/>
            </w:pPr>
            <w:r>
              <w:rPr/>
              <w:t>2.1质疑受理的其它要求：a、供应商递交质疑函时还应出具供应商已在福建省政府采购网上公开信息系统上已对本项目进行报名的证明文件（体现报名时间），否则将不被认定为潜在供应商，其质疑将不予受理。【磋商文件首次下载之日为供应商在福建省政府采购网上公开信息系统成功报名之日。】b、供应商为法人或其他组织的，质疑函需逐页加盖供应商单位公章；若本项目接受自然人参加投标且质疑人为自然人的，质疑函需质疑人本人逐页签名，否则质疑将不予受理。c、供应商质疑应在法定质疑期内一次性提出针对同一采购程序环节的质疑，同一采购程序环节不接受多次质疑。d、财政部出台的政府采购供应商质疑函范本下载网址为：https://download.ccgp.gov.cn/2018/zhiyihanfanben.zip。2.2所有资格证明文件应是最新、有效、完整、清晰的。有年检要求的应符合规定。有变更事宜的，变更文件应附齐全。资格审查小组对投标人所提供的资格类文件仅负审核责任。即使供应商所提交的资格类文件通过了审核，在评标过程中乃至确定成交供应商后，如发现供应商所提供的资格类文件不合法或不真实，仍可废除成交供应商中标资格并追究成交供应商的法律责任。2.3若不提供福建省政府采购供应商资格承诺函，除了满足磋商文件资格证明文件资料要求外，还须满足以下要求：①根据《中华人民共和国社会保险法》规定，职工缴交社会保障资金应当包含基本养老保险、基本医疗保险、工伤保险、失业保险、生育保险。根据《国务院办公厅关于全面推进生育保险和职工基本医疗保险合并实施的意见》（国办发〔2019〕10号）文件精神，职工基本医疗保险和生育保险合并实施，因此职工基本医疗保险和生育保险合并的地区，可以不提供生育保险这项（提供合并执行的文件）；未按上述提供的按无效供应商处理。②磋商文件一般资格证明文件提供财务状况报告(财务报告或资信证明）：若投标人选择提供资信证明的，所提供的资信证明须为提交投标文件截止时间前六个月内（含投标当月）任意一个月基本开户银行出具的且在有效期内，否则资格审查不合格。 ★2.4温馨提醒：单位负责人授权书中单位负责人签字或盖章应为手签或盖章，请潜在供应商注意。</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⑪关于首次响应文件递交截止时间过后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⑫其他：</w:t>
            </w:r>
          </w:p>
          <w:p>
            <w:pPr>
              <w:pStyle w:val="null3"/>
              <w:jc w:val="left"/>
            </w:pPr>
            <w:r>
              <w:rPr/>
              <w:t>①本项目支持远程开标，投标人可自行选择到开标现场参加开标会（须携带CA）或者远程参加开标会。②投标人不到开标现场的，请在开标时自行登录采购系统，线上参与开标流程，并按规定在相应时段对响应文件进行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如因投标人自身原因造成无法正常参与开标过程的，不利后果由投标人自行承担。 ④在开标过程中，因系统故障等导致无法继续进行开标的，投标人须配合等待故障处理，待故障解除后继续开标。⑤远程解密及远程签章的开放起始时间均在开标过程中临时开启（解密及远程签章的操作时限一般不超过30分钟，具体以开标现场设置为主），请投标人务必密切关注实时开标流程，并根据流程在系统内按时操作，否则产生的后果由投标人自行承担。 ⑥磋商结束后，供应商需登录福建省政府采购网后台提交最后报价(最后报价需加盖供应商CA章)，且提交最后报价有时间限制。供应商未在规定时间内提交最后报价，视为自动放弃报价。 ⑦投标人选择使用远程参与时，请务必学习、了解相关流程，以福建省政府采购网实时更新的“操作指南”为准，未按规定的流程操作产生的不利后果由投标人自行承担。</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满分为30.0000分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满分为59.0000分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技术响应情况</w:t>
            </w:r>
          </w:p>
        </w:tc>
        <w:tc>
          <w:tcPr>
            <w:tcW w:type="dxa" w:w="831"/>
          </w:tcPr>
          <w:p>
            <w:pPr>
              <w:pStyle w:val="null3"/>
              <w:jc w:val="right"/>
            </w:pPr>
            <w:r>
              <w:rPr/>
              <w:t>56.0000</w:t>
            </w:r>
          </w:p>
        </w:tc>
        <w:tc>
          <w:tcPr>
            <w:tcW w:type="dxa" w:w="4153"/>
          </w:tcPr>
          <w:p>
            <w:pPr>
              <w:pStyle w:val="null3"/>
              <w:jc w:val="left"/>
            </w:pPr>
            <w:r>
              <w:rPr/>
              <w:t>根据各投标供应商对竞争性磋商文件第三章《采购内容及要求》二、技术要求中各项要求的逐项响应承诺等情况由磋商小组进行评分，完全满足或优于竞争性磋商文件的得56分，其中标注“▲”号的技术参数为重要技术参数（技术参数中需提供证明材料项）每负偏离一项扣3分（共计8项），其他技术指标共计17项，其中（项号1-项号6）每负偏离一项扣2.4分,（项号7-项号17）每负偏离一项扣1.6分,扣完为止，正偏离不加分。（针对每条技术指标做技术偏离表并标明证明材料位置，评委依据磋商文件、技术和服务要求响应表及提供佐证材料进行评分。）</w:t>
            </w:r>
          </w:p>
        </w:tc>
      </w:tr>
      <w:tr>
        <w:tc>
          <w:tcPr>
            <w:tcW w:type="dxa" w:w="3322"/>
          </w:tcPr>
          <w:p>
            <w:pPr>
              <w:pStyle w:val="null3"/>
              <w:jc w:val="left"/>
            </w:pPr>
            <w:r>
              <w:rPr/>
              <w:t>整体维护方案</w:t>
            </w:r>
          </w:p>
        </w:tc>
        <w:tc>
          <w:tcPr>
            <w:tcW w:type="dxa" w:w="831"/>
          </w:tcPr>
          <w:p>
            <w:pPr>
              <w:pStyle w:val="null3"/>
              <w:jc w:val="right"/>
            </w:pPr>
            <w:r>
              <w:rPr/>
              <w:t>3.0000</w:t>
            </w:r>
          </w:p>
        </w:tc>
        <w:tc>
          <w:tcPr>
            <w:tcW w:type="dxa" w:w="4153"/>
          </w:tcPr>
          <w:p>
            <w:pPr>
              <w:pStyle w:val="null3"/>
              <w:jc w:val="left"/>
            </w:pPr>
            <w:r>
              <w:rPr/>
              <w:t>根据供应商提供的整体维护方案（整体维护整体方案至少应包括：主要施工方法；保证工程质量、安全、工期、文明施工的措施；防台风、防雨措施；材料、施工机械设备、劳动力计划；施工进度计划等。）由评委进行综合评定：有提供方案的得1.5分；在此基础上，分析全面准确，可操作性强易于实施的加1.5分；方案合理，适用本项目，无明显错误的加1分；适用本项目，无明显错误的加0.5分；未提供或不适用不得分。</w:t>
            </w:r>
          </w:p>
        </w:tc>
      </w:tr>
    </w:tbl>
    <w:p>
      <w:pPr>
        <w:pStyle w:val="null3"/>
        <w:jc w:val="left"/>
      </w:pPr>
      <w:r>
        <w:rPr/>
        <w:t>商务部分评分PB 满分为11.0000分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综合实力</w:t>
            </w:r>
          </w:p>
        </w:tc>
        <w:tc>
          <w:tcPr>
            <w:tcW w:type="dxa" w:w="831"/>
          </w:tcPr>
          <w:p>
            <w:pPr>
              <w:pStyle w:val="null3"/>
              <w:jc w:val="right"/>
            </w:pPr>
            <w:r>
              <w:rPr/>
              <w:t>3.0000</w:t>
            </w:r>
          </w:p>
        </w:tc>
        <w:tc>
          <w:tcPr>
            <w:tcW w:type="dxa" w:w="4153"/>
          </w:tcPr>
          <w:p>
            <w:pPr>
              <w:pStyle w:val="null3"/>
              <w:jc w:val="left"/>
            </w:pPr>
            <w:r>
              <w:rPr/>
              <w:t>供应商拟投入本项目的项目负责人（1人）：具备市政公用工程二级及以上建造师（并具有中级及以上技术职称）的得1.5分；具备机电工程二级及以上建造师（并具有中级及以上技术职称）的得1.5分。须提供有效证书复印件及为其缴纳的投标截止前六个月（不含当月）任意一个月社保缴纳证明并加盖供应商公章，未提供或提供不完整的不得分。（满分3分）</w:t>
            </w:r>
          </w:p>
        </w:tc>
      </w:tr>
      <w:tr>
        <w:tc>
          <w:tcPr>
            <w:tcW w:type="dxa" w:w="3322"/>
          </w:tcPr>
          <w:p>
            <w:pPr>
              <w:pStyle w:val="null3"/>
              <w:jc w:val="left"/>
            </w:pPr>
            <w:r>
              <w:rPr/>
              <w:t>综合实力</w:t>
            </w:r>
          </w:p>
        </w:tc>
        <w:tc>
          <w:tcPr>
            <w:tcW w:type="dxa" w:w="831"/>
          </w:tcPr>
          <w:p>
            <w:pPr>
              <w:pStyle w:val="null3"/>
              <w:jc w:val="right"/>
            </w:pPr>
            <w:r>
              <w:rPr/>
              <w:t>2.0000</w:t>
            </w:r>
          </w:p>
        </w:tc>
        <w:tc>
          <w:tcPr>
            <w:tcW w:type="dxa" w:w="4153"/>
          </w:tcPr>
          <w:p>
            <w:pPr>
              <w:pStyle w:val="null3"/>
              <w:jc w:val="left"/>
            </w:pPr>
            <w:r>
              <w:rPr/>
              <w:t>供应商拟投入本项目的技术人员团队中配备施工员、资料员、安全员、质量员，每提供一项证书得0.5分，满分2分。须提供有效证书复印件及为其缴纳的投标截止前六个月（不含当月）任意一个月社保缴纳证明并加盖供应商公章，未提供或提供不完整的不得分。</w:t>
            </w:r>
          </w:p>
        </w:tc>
      </w:tr>
      <w:tr>
        <w:tc>
          <w:tcPr>
            <w:tcW w:type="dxa" w:w="3322"/>
          </w:tcPr>
          <w:p>
            <w:pPr>
              <w:pStyle w:val="null3"/>
              <w:jc w:val="left"/>
            </w:pPr>
            <w:r>
              <w:rPr/>
              <w:t>同类项目经验与业绩</w:t>
            </w:r>
          </w:p>
        </w:tc>
        <w:tc>
          <w:tcPr>
            <w:tcW w:type="dxa" w:w="831"/>
          </w:tcPr>
          <w:p>
            <w:pPr>
              <w:pStyle w:val="null3"/>
              <w:jc w:val="right"/>
            </w:pPr>
            <w:r>
              <w:rPr/>
              <w:t>3.0000</w:t>
            </w:r>
          </w:p>
        </w:tc>
        <w:tc>
          <w:tcPr>
            <w:tcW w:type="dxa" w:w="4153"/>
          </w:tcPr>
          <w:p>
            <w:pPr>
              <w:pStyle w:val="null3"/>
              <w:jc w:val="left"/>
            </w:pPr>
            <w:r>
              <w:rPr/>
              <w:t>根据供应商2019年1月1日以来（以合同签订时间为准）同类项目（包含：道路交通安全设施运行维护及零星隐患整改项目）的经验的有效证明文件进行评价：每个完整有效业绩得0.5分，满分3分。（说明：完整有效证明文件包括该业绩的中标（成交）公告[提供相关网站中标（成交）公告的下载网页及其网址]、中标（成交）通知书复印件、采购合同文本复印件，以及能够证明该业绩项目已经采购人验收合格的相关证明文件复印件；如未按照磋商文件要求提供该项业绩完整资料的，磋商小组对该项业绩将不予采信。）</w:t>
            </w:r>
          </w:p>
        </w:tc>
      </w:tr>
      <w:tr>
        <w:tc>
          <w:tcPr>
            <w:tcW w:type="dxa" w:w="3322"/>
          </w:tcPr>
          <w:p>
            <w:pPr>
              <w:pStyle w:val="null3"/>
              <w:jc w:val="left"/>
            </w:pPr>
            <w:r>
              <w:rPr/>
              <w:t>售后服务</w:t>
            </w:r>
          </w:p>
        </w:tc>
        <w:tc>
          <w:tcPr>
            <w:tcW w:type="dxa" w:w="831"/>
          </w:tcPr>
          <w:p>
            <w:pPr>
              <w:pStyle w:val="null3"/>
              <w:jc w:val="right"/>
            </w:pPr>
            <w:r>
              <w:rPr/>
              <w:t>3.0000</w:t>
            </w:r>
          </w:p>
        </w:tc>
        <w:tc>
          <w:tcPr>
            <w:tcW w:type="dxa" w:w="4153"/>
          </w:tcPr>
          <w:p>
            <w:pPr>
              <w:pStyle w:val="null3"/>
              <w:jc w:val="left"/>
            </w:pPr>
            <w:r>
              <w:rPr/>
              <w:t>根据供应商针对本项目提供的售后服务方案（包含但不限于磋商文件第三章采购内容及要求中的售后服务要求）由评委进行综合评定：有提供方案，无明显错误的得1.5分，在此基础上，方案阐述全面、合理、重点明显，符合本项目要求的加1.5分；未提供或不适用不得分。（满分3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供应商技术部分的实际得分少于磋商文件设定的技术部分总分50%的，按无效投标处理。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磋商文件第三章“三、商务条件”中内容出现负偏离的，按无效投标处理。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1"/>
        </w:rPr>
        <w:t>1.项目名称：</w:t>
      </w:r>
      <w:r>
        <w:rPr>
          <w:rFonts w:ascii="宋体" w:hAnsi="宋体" w:cs="宋体" w:eastAsia="宋体"/>
          <w:sz w:val="21"/>
        </w:rPr>
        <w:t>2024</w:t>
      </w:r>
      <w:r>
        <w:rPr>
          <w:rFonts w:ascii="宋体" w:hAnsi="宋体" w:cs="宋体" w:eastAsia="宋体"/>
          <w:sz w:val="21"/>
        </w:rPr>
        <w:t>年长泰区道路交通安全设施运行维护及零星隐患整改项目</w:t>
      </w:r>
    </w:p>
    <w:p>
      <w:pPr>
        <w:pStyle w:val="null3"/>
        <w:spacing w:before="90" w:after="90"/>
      </w:pPr>
      <w:r>
        <w:rPr>
          <w:rFonts w:ascii="宋体" w:hAnsi="宋体" w:cs="宋体" w:eastAsia="宋体"/>
          <w:sz w:val="21"/>
        </w:rPr>
        <w:t>2.项目地点：漳州市长泰区，由采购人根据实际需要安排施工地点。</w:t>
      </w:r>
    </w:p>
    <w:p>
      <w:pPr>
        <w:pStyle w:val="null3"/>
        <w:spacing w:before="90" w:after="90"/>
      </w:pPr>
      <w:r>
        <w:rPr>
          <w:rFonts w:ascii="宋体" w:hAnsi="宋体" w:cs="宋体" w:eastAsia="宋体"/>
          <w:sz w:val="21"/>
          <w:color w:val="000000"/>
        </w:rPr>
        <w:t>3.本采购项目的预算金额为</w:t>
      </w:r>
      <w:r>
        <w:rPr>
          <w:rFonts w:ascii="宋体" w:hAnsi="宋体" w:cs="宋体" w:eastAsia="宋体"/>
          <w:sz w:val="21"/>
          <w:color w:val="000000"/>
        </w:rPr>
        <w:t>90万</w:t>
      </w:r>
      <w:r>
        <w:rPr>
          <w:rFonts w:ascii="宋体" w:hAnsi="宋体" w:cs="宋体" w:eastAsia="宋体"/>
          <w:sz w:val="21"/>
          <w:color w:val="000000"/>
        </w:rPr>
        <w:t>元即为合同采购金额，施工数量以实际完成工作量为准，本采购项目合同有效期至本项目结算累计金额达到</w:t>
      </w:r>
      <w:r>
        <w:rPr>
          <w:rFonts w:ascii="宋体" w:hAnsi="宋体" w:cs="宋体" w:eastAsia="宋体"/>
          <w:sz w:val="21"/>
          <w:color w:val="000000"/>
        </w:rPr>
        <w:t>90万元</w:t>
      </w:r>
      <w:r>
        <w:rPr>
          <w:rFonts w:ascii="宋体" w:hAnsi="宋体" w:cs="宋体" w:eastAsia="宋体"/>
          <w:sz w:val="21"/>
          <w:color w:val="000000"/>
        </w:rPr>
        <w:t>（人民币</w:t>
      </w:r>
      <w:r>
        <w:rPr>
          <w:rFonts w:ascii="宋体" w:hAnsi="宋体" w:cs="宋体" w:eastAsia="宋体"/>
          <w:sz w:val="21"/>
          <w:color w:val="000000"/>
        </w:rPr>
        <w:t>玖拾万元</w:t>
      </w:r>
      <w:r>
        <w:rPr>
          <w:rFonts w:ascii="宋体" w:hAnsi="宋体" w:cs="宋体" w:eastAsia="宋体"/>
          <w:sz w:val="21"/>
          <w:color w:val="000000"/>
        </w:rPr>
        <w:t>整</w:t>
      </w:r>
      <w:r>
        <w:rPr>
          <w:rFonts w:ascii="宋体" w:hAnsi="宋体" w:cs="宋体" w:eastAsia="宋体"/>
          <w:sz w:val="21"/>
          <w:color w:val="000000"/>
        </w:rPr>
        <w:t>)时，合同终止。</w:t>
      </w:r>
    </w:p>
    <w:p>
      <w:pPr>
        <w:pStyle w:val="null3"/>
        <w:jc w:val="left"/>
        <w:outlineLvl w:val="2"/>
      </w:pPr>
      <w:r>
        <w:rPr>
          <w:sz w:val="28"/>
          <w:b/>
        </w:rPr>
        <w:t>二、技术要求</w:t>
      </w:r>
    </w:p>
    <w:p>
      <w:pPr>
        <w:pStyle w:val="null3"/>
        <w:jc w:val="left"/>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w:t>
      </w:r>
      <w:r>
        <w:rPr>
          <w:rFonts w:ascii="宋体" w:hAnsi="宋体" w:cs="宋体" w:eastAsia="宋体"/>
          <w:sz w:val="21"/>
          <w:b/>
        </w:rPr>
        <w:t>）</w:t>
      </w:r>
      <w:r>
        <w:rPr>
          <w:rFonts w:ascii="宋体" w:hAnsi="宋体" w:cs="宋体" w:eastAsia="宋体"/>
          <w:sz w:val="21"/>
          <w:b/>
        </w:rPr>
        <w:t>（一）采购清单（详见附件）</w:t>
      </w:r>
      <w:r>
        <w:rPr/>
        <w:t xml:space="preserve"> </w:t>
      </w:r>
    </w:p>
    <w:p>
      <w:pPr>
        <w:pStyle w:val="null3"/>
        <w:spacing w:before="195" w:after="195"/>
      </w:pPr>
      <w:r>
        <w:rPr>
          <w:rFonts w:ascii="宋体" w:hAnsi="宋体" w:cs="宋体" w:eastAsia="宋体"/>
          <w:sz w:val="21"/>
          <w:b/>
        </w:rPr>
        <w:t>（二）技术和服务要求</w:t>
      </w:r>
    </w:p>
    <w:p>
      <w:pPr>
        <w:pStyle w:val="null3"/>
        <w:spacing w:before="90" w:after="9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2</w:t>
      </w:r>
      <w:r>
        <w:rPr>
          <w:rFonts w:ascii="宋体" w:hAnsi="宋体" w:cs="宋体" w:eastAsia="宋体"/>
          <w:sz w:val="21"/>
          <w:b/>
        </w:rPr>
        <w:t>）</w:t>
      </w:r>
      <w:r>
        <w:rPr>
          <w:rFonts w:ascii="宋体" w:hAnsi="宋体" w:cs="宋体" w:eastAsia="宋体"/>
          <w:sz w:val="21"/>
          <w:b/>
        </w:rPr>
        <w:t>1.维护抢修工程技术要求</w:t>
      </w:r>
    </w:p>
    <w:p>
      <w:pPr>
        <w:pStyle w:val="null3"/>
        <w:spacing w:before="90" w:after="90"/>
        <w:ind w:firstLine="480"/>
      </w:pPr>
      <w:r>
        <w:rPr>
          <w:rFonts w:ascii="宋体" w:hAnsi="宋体" w:cs="宋体" w:eastAsia="宋体"/>
          <w:sz w:val="21"/>
        </w:rPr>
        <w:t>（</w:t>
      </w:r>
      <w:r>
        <w:rPr>
          <w:rFonts w:ascii="宋体" w:hAnsi="宋体" w:cs="宋体" w:eastAsia="宋体"/>
          <w:sz w:val="21"/>
        </w:rPr>
        <w:t>1）供应商对所维护抢修范围的道路交通安全设施的数量、完好状况、安全（人身及设备安全）负有全部责任(包括周边道路交通安全设施)，</w:t>
      </w:r>
      <w:r>
        <w:rPr>
          <w:rFonts w:ascii="宋体" w:hAnsi="宋体" w:cs="宋体" w:eastAsia="宋体"/>
          <w:sz w:val="21"/>
          <w:shd w:fill="FFFFFF" w:val="clear"/>
        </w:rPr>
        <w:t>人为造成的除外。</w:t>
      </w:r>
    </w:p>
    <w:p>
      <w:pPr>
        <w:pStyle w:val="null3"/>
        <w:spacing w:before="90" w:after="90"/>
        <w:ind w:firstLine="480"/>
      </w:pPr>
      <w:r>
        <w:rPr>
          <w:rFonts w:ascii="宋体" w:hAnsi="宋体" w:cs="宋体" w:eastAsia="宋体"/>
          <w:sz w:val="21"/>
        </w:rPr>
        <w:t>（</w:t>
      </w:r>
      <w:r>
        <w:rPr>
          <w:rFonts w:ascii="宋体" w:hAnsi="宋体" w:cs="宋体" w:eastAsia="宋体"/>
          <w:sz w:val="21"/>
        </w:rPr>
        <w:t>2）供应商在合同期内要确保其负责维护抢修的交通安全设施及管线检查井等相关设施的完好，需做好检查登记工作（包括对交通安全设施不合理情况登记、反馈），在采购人的指导下做好维修工作。</w:t>
      </w:r>
    </w:p>
    <w:p>
      <w:pPr>
        <w:pStyle w:val="null3"/>
        <w:spacing w:before="90" w:after="90"/>
        <w:ind w:firstLine="480"/>
      </w:pPr>
      <w:r>
        <w:rPr>
          <w:rFonts w:ascii="宋体" w:hAnsi="宋体" w:cs="宋体" w:eastAsia="宋体"/>
          <w:sz w:val="21"/>
        </w:rPr>
        <w:t>（</w:t>
      </w:r>
      <w:r>
        <w:rPr>
          <w:rFonts w:ascii="宋体" w:hAnsi="宋体" w:cs="宋体" w:eastAsia="宋体"/>
          <w:sz w:val="21"/>
        </w:rPr>
        <w:t>3）对于被损坏的交通安全设施及交通信号管线检查井等相关设施，现场可修复的需在规定时间内到达现场进行修复，无法进行现场修复的，应立即报告采购人，并在规定时间内到现场进行拆除，完成现场临时维护工作，于修复规定时限内进行修复。</w:t>
      </w:r>
    </w:p>
    <w:p>
      <w:pPr>
        <w:pStyle w:val="null3"/>
        <w:spacing w:before="90" w:after="90"/>
        <w:ind w:firstLine="480"/>
      </w:pPr>
      <w:r>
        <w:rPr>
          <w:rFonts w:ascii="宋体" w:hAnsi="宋体" w:cs="宋体" w:eastAsia="宋体"/>
          <w:sz w:val="21"/>
        </w:rPr>
        <w:t>（</w:t>
      </w:r>
      <w:r>
        <w:rPr>
          <w:rFonts w:ascii="宋体" w:hAnsi="宋体" w:cs="宋体" w:eastAsia="宋体"/>
          <w:sz w:val="21"/>
        </w:rPr>
        <w:t>4）供应商在交通安全维护过程中，应采取有效的安全防护措施，设置施工安全区域，摆放安全警示标志等，确保施工安全，承担施工期间发生安全问题的全部责任，因此而产生的一切费用由供应商承担。采购人不承担供应商的安全生产、施工责任，并有权对供应商安全生产、施工进行监督。</w:t>
      </w:r>
    </w:p>
    <w:p>
      <w:pPr>
        <w:pStyle w:val="null3"/>
        <w:spacing w:before="90" w:after="90"/>
        <w:ind w:firstLine="480"/>
      </w:pPr>
      <w:r>
        <w:rPr>
          <w:rFonts w:ascii="宋体" w:hAnsi="宋体" w:cs="宋体" w:eastAsia="宋体"/>
          <w:sz w:val="21"/>
        </w:rPr>
        <w:t>（</w:t>
      </w:r>
      <w:r>
        <w:rPr>
          <w:rFonts w:ascii="宋体" w:hAnsi="宋体" w:cs="宋体" w:eastAsia="宋体"/>
          <w:sz w:val="21"/>
        </w:rPr>
        <w:t>5）供应商应定期对项目范围内交通安全设施进行梳理统计，并录像造册以U盘和纸质档报采购人备案。</w:t>
      </w:r>
    </w:p>
    <w:p>
      <w:pPr>
        <w:pStyle w:val="null3"/>
        <w:spacing w:before="90" w:after="90"/>
        <w:ind w:firstLine="480"/>
      </w:pPr>
      <w:r>
        <w:rPr>
          <w:rFonts w:ascii="宋体" w:hAnsi="宋体" w:cs="宋体" w:eastAsia="宋体"/>
          <w:sz w:val="21"/>
        </w:rPr>
        <w:t>（</w:t>
      </w:r>
      <w:r>
        <w:rPr>
          <w:rFonts w:ascii="宋体" w:hAnsi="宋体" w:cs="宋体" w:eastAsia="宋体"/>
          <w:sz w:val="21"/>
        </w:rPr>
        <w:t>6）供应商在合同期内要确保其负责抢修的所有交通安全设施的清洁，确保符合国标、视觉及辨认效果良好、无张贴物、灰尘等异物覆盖。</w:t>
      </w:r>
    </w:p>
    <w:p>
      <w:pPr>
        <w:pStyle w:val="null3"/>
        <w:spacing w:before="90" w:after="90"/>
        <w:ind w:firstLine="480"/>
      </w:pPr>
      <w:r>
        <w:rPr>
          <w:rFonts w:ascii="宋体" w:hAnsi="宋体" w:cs="宋体" w:eastAsia="宋体"/>
          <w:sz w:val="21"/>
        </w:rPr>
        <w:t>（</w:t>
      </w:r>
      <w:r>
        <w:rPr>
          <w:rFonts w:ascii="宋体" w:hAnsi="宋体" w:cs="宋体" w:eastAsia="宋体"/>
          <w:sz w:val="21"/>
        </w:rPr>
        <w:t>7）供应商必须及时发现道路交通设施上非法设置的招牌、标语及广告牌，并及时向采购人报告，根据采购人意见及时拆除。</w:t>
      </w:r>
    </w:p>
    <w:p>
      <w:pPr>
        <w:pStyle w:val="null3"/>
        <w:spacing w:before="90" w:after="90"/>
        <w:ind w:firstLine="480"/>
      </w:pPr>
      <w:r>
        <w:rPr>
          <w:rFonts w:ascii="宋体" w:hAnsi="宋体" w:cs="宋体" w:eastAsia="宋体"/>
          <w:sz w:val="21"/>
        </w:rPr>
        <w:t>（</w:t>
      </w:r>
      <w:r>
        <w:rPr>
          <w:rFonts w:ascii="宋体" w:hAnsi="宋体" w:cs="宋体" w:eastAsia="宋体"/>
          <w:sz w:val="21"/>
        </w:rPr>
        <w:t>8）供应商对项目区域范围内所有的交通安全设施负有日常巡查职责，应及时发现并报告采购人，在采购人发出维护信息后按合同约定时限及时修复，未按规定响应修复的,一次扣500元，因此造成的后果，供应商应承担全部法律责任。</w:t>
      </w:r>
      <w:r>
        <w:rPr>
          <w:rFonts w:ascii="宋体" w:hAnsi="宋体" w:cs="宋体" w:eastAsia="宋体"/>
          <w:sz w:val="21"/>
        </w:rPr>
        <w:t>必要时成交供应商应派员驻点</w:t>
      </w:r>
      <w:r>
        <w:rPr>
          <w:rFonts w:ascii="宋体" w:hAnsi="宋体" w:cs="宋体" w:eastAsia="宋体"/>
          <w:sz w:val="21"/>
        </w:rPr>
        <w:t>。</w:t>
      </w:r>
    </w:p>
    <w:p>
      <w:pPr>
        <w:pStyle w:val="null3"/>
        <w:ind w:firstLine="480"/>
      </w:pPr>
      <w:r>
        <w:rPr>
          <w:rFonts w:ascii="宋体" w:hAnsi="宋体" w:cs="宋体" w:eastAsia="宋体"/>
          <w:sz w:val="21"/>
          <w:shd w:fill="FFFFFF" w:val="clear"/>
        </w:rPr>
        <w:t>（</w:t>
      </w:r>
      <w:r>
        <w:rPr>
          <w:rFonts w:ascii="宋体" w:hAnsi="宋体" w:cs="宋体" w:eastAsia="宋体"/>
          <w:sz w:val="21"/>
          <w:shd w:fill="FFFFFF" w:val="clear"/>
        </w:rPr>
        <w:t>9）供应商安排人员对采购人指定维护区域进行维护抢修工作；负责项目区域内的设施维修、抢修、完善任务；24小时接受采购人指派，处理交通安全设施抢修和应急事件设施保障。</w:t>
      </w:r>
    </w:p>
    <w:p>
      <w:pPr>
        <w:pStyle w:val="null3"/>
        <w:ind w:firstLine="480"/>
      </w:pPr>
      <w:r>
        <w:rPr>
          <w:rFonts w:ascii="宋体" w:hAnsi="宋体" w:cs="宋体" w:eastAsia="宋体"/>
          <w:sz w:val="21"/>
          <w:shd w:fill="FFFFFF" w:val="clear"/>
        </w:rPr>
        <w:t>（</w:t>
      </w:r>
      <w:r>
        <w:rPr>
          <w:rFonts w:ascii="宋体" w:hAnsi="宋体" w:cs="宋体" w:eastAsia="宋体"/>
          <w:sz w:val="21"/>
          <w:shd w:fill="FFFFFF" w:val="clear"/>
        </w:rPr>
        <w:t>10）供应商应承诺，中标后自行承担维护过程中发生的安全事故责任，以及由于自身原因引发的安全事故责任。</w:t>
      </w:r>
    </w:p>
    <w:p>
      <w:pPr>
        <w:pStyle w:val="null3"/>
        <w:spacing w:before="90" w:after="90"/>
        <w:ind w:firstLine="480"/>
      </w:pPr>
      <w:r>
        <w:rPr>
          <w:rFonts w:ascii="宋体" w:hAnsi="宋体" w:cs="宋体" w:eastAsia="宋体"/>
          <w:sz w:val="21"/>
        </w:rPr>
        <w:t>（</w:t>
      </w:r>
      <w:r>
        <w:rPr>
          <w:rFonts w:ascii="宋体" w:hAnsi="宋体" w:cs="宋体" w:eastAsia="宋体"/>
          <w:sz w:val="21"/>
        </w:rPr>
        <w:t>11）供应商接到采购人的抢修通知后到达抢修现场的响应时间：采购人发现行政区内市政道路交通安全设施被损毁、偷盗等情况后，以电话、短信或微信等形式通知供应商起开始计算响应时间，2小时内到达现场；修复时限：供应商采取措施修复交通安全设施工程的时限，自供应商到达现场的反应时间终止点算起，简单维护抢修工程4小时内修复；复杂工程应先设置临时安全防护措施，最长修复时间不超过24小时。</w:t>
      </w:r>
    </w:p>
    <w:p>
      <w:pPr>
        <w:pStyle w:val="null3"/>
        <w:spacing w:before="90" w:after="90"/>
        <w:ind w:firstLine="480"/>
      </w:pPr>
      <w:r>
        <w:rPr>
          <w:rFonts w:ascii="宋体" w:hAnsi="宋体" w:cs="宋体" w:eastAsia="宋体"/>
          <w:sz w:val="21"/>
        </w:rPr>
        <w:t>（</w:t>
      </w:r>
      <w:r>
        <w:rPr>
          <w:rFonts w:ascii="宋体" w:hAnsi="宋体" w:cs="宋体" w:eastAsia="宋体"/>
          <w:sz w:val="21"/>
        </w:rPr>
        <w:t>12）本采购项目设施抢修维护配件（注明的除外）、耗材、仪器、工具、车辆、通讯工具及人工的全部费用均包含在投标总价中。</w:t>
      </w:r>
    </w:p>
    <w:p>
      <w:pPr>
        <w:pStyle w:val="null3"/>
        <w:spacing w:before="90" w:after="9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3</w:t>
      </w:r>
      <w:r>
        <w:rPr>
          <w:rFonts w:ascii="宋体" w:hAnsi="宋体" w:cs="宋体" w:eastAsia="宋体"/>
          <w:sz w:val="21"/>
          <w:b/>
        </w:rPr>
        <w:t>）</w:t>
      </w:r>
      <w:r>
        <w:rPr>
          <w:rFonts w:ascii="宋体" w:hAnsi="宋体" w:cs="宋体" w:eastAsia="宋体"/>
          <w:sz w:val="21"/>
          <w:b/>
        </w:rPr>
        <w:t>2、项目管理要求</w:t>
      </w:r>
    </w:p>
    <w:p>
      <w:pPr>
        <w:pStyle w:val="null3"/>
        <w:spacing w:before="90" w:after="90"/>
        <w:ind w:firstLine="480"/>
      </w:pPr>
      <w:r>
        <w:rPr>
          <w:rFonts w:ascii="宋体" w:hAnsi="宋体" w:cs="宋体" w:eastAsia="宋体"/>
          <w:sz w:val="21"/>
        </w:rPr>
        <w:t>（</w:t>
      </w:r>
      <w:r>
        <w:rPr>
          <w:rFonts w:ascii="宋体" w:hAnsi="宋体" w:cs="宋体" w:eastAsia="宋体"/>
          <w:sz w:val="21"/>
        </w:rPr>
        <w:t>1）供应商必须作好施工记录、隐蔽工程记录、施工资料（前后对比照片）的整理、竣工资料及结算文件的编制等工作。</w:t>
      </w:r>
    </w:p>
    <w:p>
      <w:pPr>
        <w:pStyle w:val="null3"/>
        <w:spacing w:before="90" w:after="90"/>
        <w:ind w:firstLine="480"/>
      </w:pPr>
      <w:r>
        <w:rPr>
          <w:rFonts w:ascii="宋体" w:hAnsi="宋体" w:cs="宋体" w:eastAsia="宋体"/>
          <w:sz w:val="21"/>
        </w:rPr>
        <w:t>（</w:t>
      </w:r>
      <w:r>
        <w:rPr>
          <w:rFonts w:ascii="宋体" w:hAnsi="宋体" w:cs="宋体" w:eastAsia="宋体"/>
          <w:sz w:val="21"/>
        </w:rPr>
        <w:t>2）在工程实施工作中涉及隐蔽工程的，具备隐蔽条件且达到约定的中间验收部位，供应商自检合格后，在隐蔽和中间验收24小时前通知采购人代表及所委托代表参加。采购人代表及所委托代表在验收记录上签字后，方可进行隐蔽和继续施工。</w:t>
      </w:r>
    </w:p>
    <w:p>
      <w:pPr>
        <w:pStyle w:val="null3"/>
        <w:spacing w:before="90" w:after="90"/>
        <w:ind w:firstLine="480"/>
      </w:pPr>
      <w:r>
        <w:rPr>
          <w:rFonts w:ascii="宋体" w:hAnsi="宋体" w:cs="宋体" w:eastAsia="宋体"/>
          <w:sz w:val="21"/>
        </w:rPr>
        <w:t>（</w:t>
      </w:r>
      <w:r>
        <w:rPr>
          <w:rFonts w:ascii="宋体" w:hAnsi="宋体" w:cs="宋体" w:eastAsia="宋体"/>
          <w:sz w:val="21"/>
        </w:rPr>
        <w:t>3）无论采购人代表是否参加验收，当其提出对已经验收和隐蔽工程重新检验的要求时，供应商应按要求进行剥露，并在检验后重新隐蔽或修复后隐蔽。检验合格，采购人承担由此发生的追加合同价款，赔偿供应商损失并相应顺延工期。检验不合格，供应商承担发生的费用，工期也予顺延。</w:t>
      </w:r>
    </w:p>
    <w:p>
      <w:pPr>
        <w:pStyle w:val="null3"/>
        <w:spacing w:before="90" w:after="90"/>
        <w:ind w:firstLine="480"/>
      </w:pPr>
      <w:r>
        <w:rPr>
          <w:rFonts w:ascii="宋体" w:hAnsi="宋体" w:cs="宋体" w:eastAsia="宋体"/>
          <w:sz w:val="21"/>
        </w:rPr>
        <w:t>（</w:t>
      </w:r>
      <w:r>
        <w:rPr>
          <w:rFonts w:ascii="宋体" w:hAnsi="宋体" w:cs="宋体" w:eastAsia="宋体"/>
          <w:sz w:val="21"/>
        </w:rPr>
        <w:t>4）供应商应保管好工程进度、隐蔽工程、障碍物拆除以及所有影响工程的记录（包括材料、设备的来源），以便今后需要评定工程质量时查阅。</w:t>
      </w:r>
    </w:p>
    <w:p>
      <w:pPr>
        <w:pStyle w:val="null3"/>
        <w:spacing w:before="90" w:after="90"/>
        <w:ind w:firstLine="480"/>
      </w:pPr>
      <w:r>
        <w:rPr>
          <w:rFonts w:ascii="宋体" w:hAnsi="宋体" w:cs="宋体" w:eastAsia="宋体"/>
          <w:sz w:val="21"/>
        </w:rPr>
        <w:t>（</w:t>
      </w:r>
      <w:r>
        <w:rPr>
          <w:rFonts w:ascii="宋体" w:hAnsi="宋体" w:cs="宋体" w:eastAsia="宋体"/>
          <w:sz w:val="21"/>
        </w:rPr>
        <w:t>5）在抢修和完善工程施工现场供应商必须按照相关国标、行业标准设置临时交通安全设施，夜间施工必须增加反光的施工标志。供应商认为有必要的周边必须用整齐美观的板材围档。施工结束后，清理施工现场，运走全部施工垃圾。</w:t>
      </w:r>
    </w:p>
    <w:p>
      <w:pPr>
        <w:pStyle w:val="null3"/>
        <w:spacing w:before="90" w:after="90"/>
        <w:ind w:firstLine="480"/>
      </w:pPr>
      <w:r>
        <w:rPr>
          <w:rFonts w:ascii="宋体" w:hAnsi="宋体" w:cs="宋体" w:eastAsia="宋体"/>
          <w:sz w:val="21"/>
        </w:rPr>
        <w:t>（</w:t>
      </w:r>
      <w:r>
        <w:rPr>
          <w:rFonts w:ascii="宋体" w:hAnsi="宋体" w:cs="宋体" w:eastAsia="宋体"/>
          <w:sz w:val="21"/>
        </w:rPr>
        <w:t>6）供应商施工必须达到有关部门规定的安全文明施工标准，确保施工场地区域道路通畅，保持施工现场整洁，做到工完场清，达到创建国家文明城市标准。</w:t>
      </w:r>
    </w:p>
    <w:p>
      <w:pPr>
        <w:pStyle w:val="null3"/>
        <w:spacing w:before="90" w:after="90"/>
        <w:ind w:firstLine="480"/>
      </w:pPr>
      <w:r>
        <w:rPr>
          <w:rFonts w:ascii="宋体" w:hAnsi="宋体" w:cs="宋体" w:eastAsia="宋体"/>
          <w:sz w:val="21"/>
        </w:rPr>
        <w:t>（</w:t>
      </w:r>
      <w:r>
        <w:rPr>
          <w:rFonts w:ascii="宋体" w:hAnsi="宋体" w:cs="宋体" w:eastAsia="宋体"/>
          <w:sz w:val="21"/>
        </w:rPr>
        <w:t>7）供应商必须在施工过程中注意自身及周边安全，做好现场及周边安全设施搭设，遵守《道路作业交通安全标志》（GA182-1998）和《公路养护安全作业规程》（JTG H30-2004）等相关规定。供应商需承担与维护工作相关的各种事故责任，因此而产生的一切费用包含在投标总价中。</w:t>
      </w:r>
    </w:p>
    <w:p>
      <w:pPr>
        <w:pStyle w:val="null3"/>
        <w:spacing w:before="90" w:after="90"/>
        <w:ind w:firstLine="480"/>
      </w:pPr>
      <w:r>
        <w:rPr>
          <w:rFonts w:ascii="宋体" w:hAnsi="宋体" w:cs="宋体" w:eastAsia="宋体"/>
          <w:sz w:val="21"/>
        </w:rPr>
        <w:t>（</w:t>
      </w:r>
      <w:r>
        <w:rPr>
          <w:rFonts w:ascii="宋体" w:hAnsi="宋体" w:cs="宋体" w:eastAsia="宋体"/>
          <w:sz w:val="21"/>
        </w:rPr>
        <w:t>8）供应商的施工时间必须遵守采购人规定，除维护、抢修施工和采购人指定外，高峰期（7:30-9:00,17:00-19:00）禁止施工。</w:t>
      </w:r>
    </w:p>
    <w:p>
      <w:pPr>
        <w:pStyle w:val="null3"/>
        <w:spacing w:before="90" w:after="90"/>
        <w:ind w:firstLine="480"/>
      </w:pPr>
      <w:r>
        <w:rPr>
          <w:rFonts w:ascii="宋体" w:hAnsi="宋体" w:cs="宋体" w:eastAsia="宋体"/>
          <w:sz w:val="21"/>
        </w:rPr>
        <w:t>（</w:t>
      </w:r>
      <w:r>
        <w:rPr>
          <w:rFonts w:ascii="宋体" w:hAnsi="宋体" w:cs="宋体" w:eastAsia="宋体"/>
          <w:sz w:val="21"/>
        </w:rPr>
        <w:t>9）所有工程内容必须由供应商负责完成，工程严禁分包。</w:t>
      </w:r>
    </w:p>
    <w:p>
      <w:pPr>
        <w:pStyle w:val="null3"/>
        <w:spacing w:before="135" w:after="135"/>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4</w:t>
      </w:r>
      <w:r>
        <w:rPr>
          <w:rFonts w:ascii="宋体" w:hAnsi="宋体" w:cs="宋体" w:eastAsia="宋体"/>
          <w:sz w:val="21"/>
          <w:b/>
        </w:rPr>
        <w:t>）</w:t>
      </w:r>
      <w:r>
        <w:rPr>
          <w:rFonts w:ascii="宋体" w:hAnsi="宋体" w:cs="宋体" w:eastAsia="宋体"/>
          <w:sz w:val="21"/>
          <w:b/>
        </w:rPr>
        <w:t>3、交通标志技术要求</w:t>
      </w:r>
    </w:p>
    <w:p>
      <w:pPr>
        <w:pStyle w:val="null3"/>
        <w:spacing w:before="135" w:after="135"/>
        <w:ind w:firstLine="420"/>
      </w:pPr>
      <w:r>
        <w:rPr>
          <w:rFonts w:ascii="calibri" w:hAnsi="calibri" w:cs="calibri" w:eastAsia="calibri"/>
          <w:sz w:val="21"/>
        </w:rPr>
        <w:t>3</w:t>
      </w:r>
      <w:r>
        <w:rPr>
          <w:rFonts w:ascii="calibri" w:hAnsi="calibri" w:cs="calibri" w:eastAsia="calibri"/>
          <w:sz w:val="21"/>
        </w:rPr>
        <w:t>.1.</w:t>
      </w:r>
      <w:r>
        <w:rPr>
          <w:rFonts w:ascii="宋体" w:hAnsi="宋体" w:cs="宋体" w:eastAsia="宋体"/>
          <w:sz w:val="21"/>
        </w:rPr>
        <w:t>技术规范</w:t>
      </w:r>
    </w:p>
    <w:p>
      <w:pPr>
        <w:pStyle w:val="null3"/>
        <w:spacing w:before="135" w:after="135"/>
        <w:ind w:firstLine="420"/>
      </w:pPr>
      <w:r>
        <w:rPr>
          <w:rFonts w:ascii="calibri" w:hAnsi="calibri" w:cs="calibri" w:eastAsia="calibri"/>
          <w:sz w:val="21"/>
        </w:rPr>
        <w:t xml:space="preserve">GB5768-2009 </w:t>
      </w:r>
      <w:r>
        <w:rPr>
          <w:rFonts w:ascii="宋体" w:hAnsi="宋体" w:cs="宋体" w:eastAsia="宋体"/>
          <w:sz w:val="21"/>
        </w:rPr>
        <w:t>道路交通标志和标线；</w:t>
      </w:r>
    </w:p>
    <w:p>
      <w:pPr>
        <w:pStyle w:val="null3"/>
        <w:spacing w:before="135" w:after="120"/>
        <w:ind w:firstLine="420"/>
      </w:pPr>
      <w:r>
        <w:rPr>
          <w:rFonts w:ascii="&quot;times new roman&quot;" w:hAnsi="&quot;times new roman&quot;" w:cs="&quot;times new roman&quot;" w:eastAsia="&quot;times new roman&quot;"/>
          <w:sz w:val="21"/>
        </w:rPr>
        <w:t>GB5768</w:t>
      </w:r>
      <w:r>
        <w:rPr>
          <w:rFonts w:ascii="times new roman, times, serif" w:hAnsi="times new roman, times, serif" w:cs="times new roman, times, serif" w:eastAsia="times new roman, times, serif"/>
          <w:sz w:val="21"/>
        </w:rPr>
        <w:t>.2-2022</w:t>
      </w:r>
      <w:r>
        <w:rPr>
          <w:rFonts w:ascii="&quot;times new roman&quot;" w:hAnsi="&quot;times new roman&quot;" w:cs="&quot;times new roman&quot;" w:eastAsia="&quot;times new roman&quot;"/>
          <w:sz w:val="21"/>
        </w:rPr>
        <w:t xml:space="preserve"> </w:t>
      </w:r>
      <w:r>
        <w:rPr>
          <w:rFonts w:ascii="宋体" w:hAnsi="宋体" w:cs="宋体" w:eastAsia="宋体"/>
          <w:sz w:val="21"/>
        </w:rPr>
        <w:t>道路交通标志和标线</w:t>
      </w:r>
    </w:p>
    <w:p>
      <w:pPr>
        <w:pStyle w:val="null3"/>
        <w:spacing w:before="135" w:after="120"/>
        <w:ind w:firstLine="420"/>
      </w:pPr>
      <w:r>
        <w:rPr>
          <w:rFonts w:ascii="&quot;times new roman&quot;" w:hAnsi="&quot;times new roman&quot;" w:cs="&quot;times new roman&quot;" w:eastAsia="&quot;times new roman&quot;"/>
          <w:sz w:val="21"/>
        </w:rPr>
        <w:t xml:space="preserve">GB 51038-2015  </w:t>
      </w:r>
      <w:r>
        <w:rPr>
          <w:rFonts w:ascii="宋体" w:hAnsi="宋体" w:cs="宋体" w:eastAsia="宋体"/>
          <w:sz w:val="21"/>
        </w:rPr>
        <w:t>城市道路交通标志和标线设置规范</w:t>
      </w:r>
    </w:p>
    <w:p>
      <w:pPr>
        <w:pStyle w:val="null3"/>
        <w:spacing w:before="135" w:after="135"/>
        <w:ind w:firstLine="420"/>
      </w:pPr>
      <w:r>
        <w:rPr>
          <w:rFonts w:ascii="calibri" w:hAnsi="calibri" w:cs="calibri" w:eastAsia="calibri"/>
          <w:sz w:val="21"/>
        </w:rPr>
        <w:t>GB/T 23827-2009</w:t>
      </w:r>
      <w:r>
        <w:rPr>
          <w:rFonts w:ascii="宋体" w:hAnsi="宋体" w:cs="宋体" w:eastAsia="宋体"/>
          <w:sz w:val="21"/>
        </w:rPr>
        <w:t>　道路交通标志板及支撑件</w:t>
      </w:r>
      <w:r>
        <w:rPr>
          <w:rFonts w:ascii="宋体" w:hAnsi="宋体" w:cs="宋体" w:eastAsia="宋体"/>
          <w:sz w:val="21"/>
        </w:rPr>
        <w:t>；</w:t>
      </w:r>
    </w:p>
    <w:p>
      <w:pPr>
        <w:pStyle w:val="null3"/>
        <w:spacing w:before="135" w:after="135"/>
        <w:ind w:firstLine="420"/>
      </w:pPr>
      <w:r>
        <w:rPr>
          <w:rFonts w:ascii="calibri" w:hAnsi="calibri" w:cs="calibri" w:eastAsia="calibri"/>
          <w:sz w:val="21"/>
        </w:rPr>
        <w:t>GB8416</w:t>
      </w:r>
      <w:r>
        <w:rPr>
          <w:rFonts w:ascii="calibri" w:hAnsi="calibri" w:cs="calibri" w:eastAsia="calibri"/>
          <w:sz w:val="21"/>
        </w:rPr>
        <w:t>-</w:t>
      </w:r>
      <w:r>
        <w:rPr>
          <w:rFonts w:ascii="calibri" w:hAnsi="calibri" w:cs="calibri" w:eastAsia="calibri"/>
          <w:sz w:val="21"/>
        </w:rPr>
        <w:t xml:space="preserve">2003 </w:t>
      </w:r>
      <w:r>
        <w:rPr>
          <w:rFonts w:ascii="宋体" w:hAnsi="宋体" w:cs="宋体" w:eastAsia="宋体"/>
          <w:sz w:val="21"/>
        </w:rPr>
        <w:t>视觉信号表面色；</w:t>
      </w:r>
    </w:p>
    <w:p>
      <w:pPr>
        <w:pStyle w:val="null3"/>
        <w:spacing w:before="135" w:after="135"/>
        <w:ind w:firstLine="420"/>
      </w:pPr>
      <w:r>
        <w:rPr>
          <w:rFonts w:ascii="calibri" w:hAnsi="calibri" w:cs="calibri" w:eastAsia="calibri"/>
          <w:sz w:val="21"/>
        </w:rPr>
        <w:t>GB/T 700-2006</w:t>
      </w:r>
      <w:r>
        <w:rPr>
          <w:rFonts w:ascii="宋体" w:hAnsi="宋体" w:cs="宋体" w:eastAsia="宋体"/>
          <w:sz w:val="21"/>
        </w:rPr>
        <w:t>碳素结构钢；</w:t>
      </w:r>
    </w:p>
    <w:p>
      <w:pPr>
        <w:pStyle w:val="null3"/>
        <w:spacing w:before="135" w:after="135"/>
        <w:ind w:firstLine="420"/>
      </w:pPr>
      <w:r>
        <w:rPr>
          <w:rFonts w:ascii="calibri" w:hAnsi="calibri" w:cs="calibri" w:eastAsia="calibri"/>
          <w:sz w:val="21"/>
        </w:rPr>
        <w:t>GB/T 8162-2018</w:t>
      </w:r>
      <w:r>
        <w:rPr>
          <w:rFonts w:ascii="宋体" w:hAnsi="宋体" w:cs="宋体" w:eastAsia="宋体"/>
          <w:sz w:val="21"/>
        </w:rPr>
        <w:t>结构用无缝钢管；</w:t>
      </w:r>
    </w:p>
    <w:p>
      <w:pPr>
        <w:pStyle w:val="null3"/>
        <w:spacing w:before="135" w:after="135"/>
        <w:ind w:firstLine="420"/>
      </w:pPr>
      <w:r>
        <w:rPr>
          <w:rFonts w:ascii="calibri" w:hAnsi="calibri" w:cs="calibri" w:eastAsia="calibri"/>
          <w:sz w:val="21"/>
        </w:rPr>
        <w:t xml:space="preserve">GB/T 3860-2009 </w:t>
      </w:r>
      <w:r>
        <w:rPr>
          <w:rFonts w:ascii="宋体" w:hAnsi="宋体" w:cs="宋体" w:eastAsia="宋体"/>
          <w:sz w:val="21"/>
        </w:rPr>
        <w:t>铝及铝合金板材；其它相关的规范标准。</w:t>
      </w:r>
    </w:p>
    <w:p>
      <w:pPr>
        <w:pStyle w:val="null3"/>
        <w:spacing w:before="135" w:after="135"/>
        <w:ind w:firstLine="420"/>
      </w:pPr>
      <w:r>
        <w:rPr>
          <w:rFonts w:ascii="calibri" w:hAnsi="calibri" w:cs="calibri" w:eastAsia="calibri"/>
          <w:sz w:val="21"/>
        </w:rPr>
        <w:t>3</w:t>
      </w:r>
      <w:r>
        <w:rPr>
          <w:rFonts w:ascii="calibri" w:hAnsi="calibri" w:cs="calibri" w:eastAsia="calibri"/>
          <w:sz w:val="21"/>
        </w:rPr>
        <w:t xml:space="preserve">.2. </w:t>
      </w:r>
      <w:r>
        <w:rPr>
          <w:rFonts w:ascii="宋体" w:hAnsi="宋体" w:cs="宋体" w:eastAsia="宋体"/>
          <w:sz w:val="21"/>
        </w:rPr>
        <w:t>标志板制作要求</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）交通标志必须严格按照《道路交通标志和标线》（</w:t>
      </w:r>
      <w:r>
        <w:rPr>
          <w:rFonts w:ascii="calibri" w:hAnsi="calibri" w:cs="calibri" w:eastAsia="calibri"/>
          <w:sz w:val="21"/>
        </w:rPr>
        <w:t>GB5768—2009</w:t>
      </w:r>
      <w:r>
        <w:rPr>
          <w:rFonts w:ascii="宋体" w:hAnsi="宋体" w:cs="宋体" w:eastAsia="宋体"/>
          <w:sz w:val="21"/>
        </w:rPr>
        <w:t>）的要求制作。</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）交通标志的颜色范围应严格按照</w:t>
      </w:r>
      <w:r>
        <w:rPr>
          <w:rFonts w:ascii="calibri" w:hAnsi="calibri" w:cs="calibri" w:eastAsia="calibri"/>
          <w:sz w:val="21"/>
        </w:rPr>
        <w:t>GB</w:t>
      </w:r>
      <w:r>
        <w:rPr>
          <w:rFonts w:ascii="calibri" w:hAnsi="calibri" w:cs="calibri" w:eastAsia="calibri"/>
          <w:sz w:val="21"/>
        </w:rPr>
        <w:t>/T</w:t>
      </w:r>
      <w:r>
        <w:rPr>
          <w:rFonts w:ascii="calibri" w:hAnsi="calibri" w:cs="calibri" w:eastAsia="calibri"/>
          <w:sz w:val="21"/>
        </w:rPr>
        <w:t>8416-</w:t>
      </w:r>
      <w:r>
        <w:rPr>
          <w:rFonts w:ascii="calibri" w:hAnsi="calibri" w:cs="calibri" w:eastAsia="calibri"/>
          <w:sz w:val="21"/>
        </w:rPr>
        <w:t>2003</w:t>
      </w:r>
      <w:r>
        <w:rPr>
          <w:rFonts w:ascii="宋体" w:hAnsi="宋体" w:cs="宋体" w:eastAsia="宋体"/>
          <w:sz w:val="21"/>
        </w:rPr>
        <w:t>《</w:t>
      </w:r>
      <w:r>
        <w:rPr>
          <w:rFonts w:ascii="宋体" w:hAnsi="宋体" w:cs="宋体" w:eastAsia="宋体"/>
          <w:sz w:val="21"/>
        </w:rPr>
        <w:t>视觉信号表面色</w:t>
      </w:r>
      <w:r>
        <w:rPr>
          <w:rFonts w:ascii="宋体" w:hAnsi="宋体" w:cs="宋体" w:eastAsia="宋体"/>
          <w:sz w:val="21"/>
        </w:rPr>
        <w:t>》的有关规定执行。</w:t>
      </w:r>
      <w:r>
        <w:rPr>
          <w:rFonts w:ascii="calibri" w:hAnsi="calibri" w:cs="calibri" w:eastAsia="calibri"/>
          <w:sz w:val="21"/>
        </w:rPr>
        <w:t xml:space="preserve"> </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）交通标志的反光膜：标志上的文字、符号、底膜均采用钻石级反光膜与超强级反光膜，其各项性能指标必须达到</w:t>
      </w:r>
      <w:r>
        <w:rPr>
          <w:rFonts w:ascii="calibri" w:hAnsi="calibri" w:cs="calibri" w:eastAsia="calibri"/>
          <w:sz w:val="21"/>
        </w:rPr>
        <w:t>GB18833</w:t>
      </w:r>
      <w:r>
        <w:rPr>
          <w:rFonts w:ascii="calibri" w:hAnsi="calibri" w:cs="calibri" w:eastAsia="calibri"/>
          <w:sz w:val="21"/>
        </w:rPr>
        <w:t>-</w:t>
      </w:r>
      <w:r>
        <w:rPr>
          <w:rFonts w:ascii="calibri" w:hAnsi="calibri" w:cs="calibri" w:eastAsia="calibri"/>
          <w:sz w:val="21"/>
        </w:rPr>
        <w:t>2012</w:t>
      </w:r>
      <w:r>
        <w:rPr>
          <w:rFonts w:ascii="宋体" w:hAnsi="宋体" w:cs="宋体" w:eastAsia="宋体"/>
          <w:sz w:val="21"/>
        </w:rPr>
        <w:t>《道路交通反光膜》的要求。粘贴反光膜时，不允许采用手工操作或用溶剂激活粘结剂。在标志面的最外层可涂保护层，如透明涂料等。</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）交通标志底板采用</w:t>
      </w:r>
      <w:r>
        <w:rPr>
          <w:rFonts w:ascii="calibri" w:hAnsi="calibri" w:cs="calibri" w:eastAsia="calibri"/>
          <w:sz w:val="21"/>
        </w:rPr>
        <w:t>3 mm</w:t>
      </w:r>
      <w:r>
        <w:rPr>
          <w:rFonts w:ascii="宋体" w:hAnsi="宋体" w:cs="宋体" w:eastAsia="宋体"/>
          <w:sz w:val="21"/>
        </w:rPr>
        <w:t>厚</w:t>
      </w:r>
      <w:r>
        <w:rPr>
          <w:rFonts w:ascii="calibri" w:hAnsi="calibri" w:cs="calibri" w:eastAsia="calibri"/>
          <w:sz w:val="21"/>
        </w:rPr>
        <w:t>5A02</w:t>
      </w:r>
      <w:r>
        <w:rPr>
          <w:rFonts w:ascii="宋体" w:hAnsi="宋体" w:cs="宋体" w:eastAsia="宋体"/>
          <w:sz w:val="21"/>
        </w:rPr>
        <w:t>铝合金板，标志板边沿采用卷边加固，滑动槽钢采用</w:t>
      </w:r>
      <w:r>
        <w:rPr>
          <w:rFonts w:ascii="calibri" w:hAnsi="calibri" w:cs="calibri" w:eastAsia="calibri"/>
          <w:sz w:val="21"/>
        </w:rPr>
        <w:t>80×18×4LC4</w:t>
      </w:r>
      <w:r>
        <w:rPr>
          <w:rFonts w:ascii="宋体" w:hAnsi="宋体" w:cs="宋体" w:eastAsia="宋体"/>
          <w:sz w:val="21"/>
        </w:rPr>
        <w:t>铝，</w:t>
      </w:r>
      <w:r>
        <w:rPr>
          <w:rFonts w:ascii="calibri" w:hAnsi="calibri" w:cs="calibri" w:eastAsia="calibri"/>
          <w:sz w:val="21"/>
        </w:rPr>
        <w:t>(</w:t>
      </w:r>
      <w:r>
        <w:rPr>
          <w:rFonts w:ascii="宋体" w:hAnsi="宋体" w:cs="宋体" w:eastAsia="宋体"/>
          <w:sz w:val="21"/>
        </w:rPr>
        <w:t>若</w:t>
      </w:r>
      <w:r>
        <w:rPr>
          <w:rFonts w:ascii="宋体" w:hAnsi="宋体" w:cs="宋体" w:eastAsia="宋体"/>
          <w:sz w:val="21"/>
        </w:rPr>
        <w:t>附有图纸的以图纸要求为准</w:t>
      </w:r>
      <w:r>
        <w:rPr>
          <w:rFonts w:ascii="calibri" w:hAnsi="calibri" w:cs="calibri" w:eastAsia="calibri"/>
          <w:sz w:val="21"/>
        </w:rPr>
        <w:t>)</w:t>
      </w:r>
      <w:r>
        <w:rPr>
          <w:rFonts w:ascii="宋体" w:hAnsi="宋体" w:cs="宋体" w:eastAsia="宋体"/>
          <w:sz w:val="21"/>
        </w:rPr>
        <w:t>标志底板与滑动槽采用铝合金铆钉连接，板面上的铆钉头应打磨平整。</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）标志板应平整，表面无明显皱纹、凹痕状变形。</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）标志板不允许存在以下缺陷：</w:t>
      </w:r>
    </w:p>
    <w:p>
      <w:pPr>
        <w:pStyle w:val="null3"/>
        <w:spacing w:before="135" w:after="135"/>
        <w:ind w:firstLine="420"/>
      </w:pPr>
      <w:r>
        <w:rPr>
          <w:rFonts w:ascii="宋体" w:hAnsi="宋体" w:cs="宋体" w:eastAsia="宋体"/>
          <w:sz w:val="21"/>
        </w:rPr>
        <w:t>①</w:t>
      </w:r>
      <w:r>
        <w:rPr>
          <w:rFonts w:ascii="宋体" w:hAnsi="宋体" w:cs="宋体" w:eastAsia="宋体"/>
          <w:sz w:val="21"/>
        </w:rPr>
        <w:t>明显的划痕、损伤和颜色不均匀；</w:t>
      </w:r>
    </w:p>
    <w:p>
      <w:pPr>
        <w:pStyle w:val="null3"/>
        <w:spacing w:before="135" w:after="135"/>
        <w:ind w:firstLine="420"/>
      </w:pPr>
      <w:r>
        <w:rPr>
          <w:rFonts w:ascii="宋体" w:hAnsi="宋体" w:cs="宋体" w:eastAsia="宋体"/>
          <w:sz w:val="21"/>
        </w:rPr>
        <w:t>②</w:t>
      </w:r>
      <w:r>
        <w:rPr>
          <w:rFonts w:ascii="宋体" w:hAnsi="宋体" w:cs="宋体" w:eastAsia="宋体"/>
          <w:sz w:val="21"/>
        </w:rPr>
        <w:t>在任何一处面积为</w:t>
      </w:r>
      <w:r>
        <w:rPr>
          <w:rFonts w:ascii="calibri" w:hAnsi="calibri" w:cs="calibri" w:eastAsia="calibri"/>
          <w:sz w:val="21"/>
        </w:rPr>
        <w:t>(50×50)</w:t>
      </w:r>
      <w:r>
        <w:rPr>
          <w:rFonts w:ascii="宋体" w:hAnsi="宋体" w:cs="宋体" w:eastAsia="宋体"/>
          <w:sz w:val="21"/>
        </w:rPr>
        <w:t>平方厘米的表面上，存在一个或一个以上，总面积大于</w:t>
      </w:r>
      <w:r>
        <w:rPr>
          <w:rFonts w:ascii="calibri" w:hAnsi="calibri" w:cs="calibri" w:eastAsia="calibri"/>
          <w:sz w:val="21"/>
        </w:rPr>
        <w:t>10</w:t>
      </w:r>
      <w:r>
        <w:rPr>
          <w:rFonts w:ascii="宋体" w:hAnsi="宋体" w:cs="宋体" w:eastAsia="宋体"/>
          <w:sz w:val="21"/>
        </w:rPr>
        <w:t>平方毫米的气泡；</w:t>
      </w:r>
    </w:p>
    <w:p>
      <w:pPr>
        <w:pStyle w:val="null3"/>
        <w:spacing w:before="135" w:after="135"/>
        <w:ind w:firstLine="420"/>
      </w:pPr>
      <w:r>
        <w:rPr>
          <w:rFonts w:ascii="宋体" w:hAnsi="宋体" w:cs="宋体" w:eastAsia="宋体"/>
          <w:sz w:val="21"/>
        </w:rPr>
        <w:t>③</w:t>
      </w:r>
      <w:r>
        <w:rPr>
          <w:rFonts w:ascii="宋体" w:hAnsi="宋体" w:cs="宋体" w:eastAsia="宋体"/>
          <w:sz w:val="21"/>
        </w:rPr>
        <w:t>逆反射性能不均匀。</w:t>
      </w:r>
    </w:p>
    <w:p>
      <w:pPr>
        <w:pStyle w:val="null3"/>
        <w:spacing w:before="135" w:after="135"/>
        <w:ind w:firstLine="420"/>
      </w:pPr>
      <w:r>
        <w:rPr>
          <w:rFonts w:ascii="宋体" w:hAnsi="宋体" w:cs="宋体" w:eastAsia="宋体"/>
          <w:sz w:val="21"/>
        </w:rPr>
        <w:t>④</w:t>
      </w:r>
      <w:r>
        <w:rPr>
          <w:rFonts w:ascii="宋体" w:hAnsi="宋体" w:cs="宋体" w:eastAsia="宋体"/>
          <w:sz w:val="21"/>
        </w:rPr>
        <w:t>当标志的长度或宽度，直径小于反光膜产品的最大宽度时，不应有拼接。</w:t>
      </w:r>
    </w:p>
    <w:p>
      <w:pPr>
        <w:pStyle w:val="null3"/>
        <w:spacing w:before="135" w:after="135"/>
        <w:ind w:firstLine="420"/>
      </w:pPr>
      <w:r>
        <w:rPr>
          <w:rFonts w:ascii="宋体" w:hAnsi="宋体" w:cs="宋体" w:eastAsia="宋体"/>
          <w:sz w:val="21"/>
        </w:rPr>
        <w:t>⑤</w:t>
      </w:r>
      <w:r>
        <w:rPr>
          <w:rFonts w:ascii="宋体" w:hAnsi="宋体" w:cs="宋体" w:eastAsia="宋体"/>
          <w:sz w:val="21"/>
        </w:rPr>
        <w:t>旧标志悬臂和抱箍表面需要清理干净，涂刷银粉漆。螺栓、螺母、垫圈需换新。</w:t>
      </w:r>
    </w:p>
    <w:p>
      <w:pPr>
        <w:pStyle w:val="null3"/>
        <w:spacing w:before="135" w:after="135"/>
        <w:ind w:firstLine="420"/>
      </w:pPr>
      <w:r>
        <w:rPr>
          <w:rFonts w:ascii="宋体" w:hAnsi="宋体" w:cs="宋体" w:eastAsia="宋体"/>
          <w:sz w:val="21"/>
        </w:rPr>
        <w:t>⑥</w:t>
      </w:r>
      <w:r>
        <w:rPr>
          <w:rFonts w:ascii="宋体" w:hAnsi="宋体" w:cs="宋体" w:eastAsia="宋体"/>
          <w:sz w:val="21"/>
        </w:rPr>
        <w:t>标志板可采用铝合金、挤压成型的铝合金型材、薄钢板、合成树脂类板等板材制作，板材相关指标及制作应符合现行国家标准《道路交通标志板及支撑件》</w:t>
      </w:r>
      <w:r>
        <w:rPr>
          <w:rFonts w:ascii="calibri" w:hAnsi="calibri" w:cs="calibri" w:eastAsia="calibri"/>
          <w:sz w:val="21"/>
        </w:rPr>
        <w:t>GB/T23827</w:t>
      </w:r>
      <w:r>
        <w:rPr>
          <w:rFonts w:ascii="宋体" w:hAnsi="宋体" w:cs="宋体" w:eastAsia="宋体"/>
          <w:sz w:val="21"/>
        </w:rPr>
        <w:t>的规定；在保证视认性前提下，标志板可分块制作，现场拼装。</w:t>
      </w:r>
    </w:p>
    <w:p>
      <w:pPr>
        <w:pStyle w:val="null3"/>
        <w:spacing w:before="135" w:after="135"/>
        <w:ind w:firstLine="420"/>
      </w:pPr>
      <w:r>
        <w:rPr>
          <w:rFonts w:ascii="calibri" w:hAnsi="calibri" w:cs="calibri" w:eastAsia="calibri"/>
          <w:sz w:val="21"/>
        </w:rPr>
        <w:t>3</w:t>
      </w:r>
      <w:r>
        <w:rPr>
          <w:rFonts w:ascii="calibri" w:hAnsi="calibri" w:cs="calibri" w:eastAsia="calibri"/>
          <w:sz w:val="21"/>
        </w:rPr>
        <w:t>.3.</w:t>
      </w:r>
      <w:r>
        <w:rPr>
          <w:rFonts w:ascii="宋体" w:hAnsi="宋体" w:cs="宋体" w:eastAsia="宋体"/>
          <w:sz w:val="21"/>
        </w:rPr>
        <w:t>标志立柱制作要求</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）立柱抱箍、抱箍底衬采用</w:t>
      </w:r>
      <w:r>
        <w:rPr>
          <w:rFonts w:ascii="calibri" w:hAnsi="calibri" w:cs="calibri" w:eastAsia="calibri"/>
          <w:sz w:val="21"/>
        </w:rPr>
        <w:t>50~5</w:t>
      </w:r>
      <w:r>
        <w:rPr>
          <w:rFonts w:ascii="宋体" w:hAnsi="宋体" w:cs="宋体" w:eastAsia="宋体"/>
          <w:sz w:val="21"/>
        </w:rPr>
        <w:t>扁钢制作，并应配置相应的螺栓、螺母、垫圈。</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）所有标志柱应配有柱帽，柱帽可采用板厚为</w:t>
      </w:r>
      <w:r>
        <w:rPr>
          <w:rFonts w:ascii="calibri" w:hAnsi="calibri" w:cs="calibri" w:eastAsia="calibri"/>
          <w:sz w:val="21"/>
        </w:rPr>
        <w:t>3mm</w:t>
      </w:r>
      <w:r>
        <w:rPr>
          <w:rFonts w:ascii="宋体" w:hAnsi="宋体" w:cs="宋体" w:eastAsia="宋体"/>
          <w:sz w:val="21"/>
        </w:rPr>
        <w:t>的钢板焊接或其它方法紧固的立柱上。</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）标志结构中所有构件均应进行热浸锌处理，螺栓、螺母的镀锌量为</w:t>
      </w:r>
      <w:r>
        <w:rPr>
          <w:rFonts w:ascii="calibri" w:hAnsi="calibri" w:cs="calibri" w:eastAsia="calibri"/>
          <w:sz w:val="21"/>
        </w:rPr>
        <w:t>380g/m</w:t>
      </w:r>
      <w:r>
        <w:rPr>
          <w:rFonts w:ascii="calibri" w:hAnsi="calibri" w:cs="calibri" w:eastAsia="calibri"/>
          <w:sz w:val="21"/>
          <w:vertAlign w:val="superscript"/>
        </w:rPr>
        <w:t>2</w:t>
      </w:r>
      <w:r>
        <w:rPr>
          <w:rFonts w:ascii="宋体" w:hAnsi="宋体" w:cs="宋体" w:eastAsia="宋体"/>
          <w:sz w:val="21"/>
        </w:rPr>
        <w:t>，其他构件均为</w:t>
      </w:r>
      <w:r>
        <w:rPr>
          <w:rFonts w:ascii="calibri" w:hAnsi="calibri" w:cs="calibri" w:eastAsia="calibri"/>
          <w:sz w:val="21"/>
        </w:rPr>
        <w:t>600 g/m</w:t>
      </w:r>
      <w:r>
        <w:rPr>
          <w:rFonts w:ascii="calibri" w:hAnsi="calibri" w:cs="calibri" w:eastAsia="calibri"/>
          <w:sz w:val="21"/>
          <w:vertAlign w:val="superscript"/>
        </w:rPr>
        <w:t>2</w:t>
      </w:r>
      <w:r>
        <w:rPr>
          <w:rFonts w:ascii="宋体" w:hAnsi="宋体" w:cs="宋体" w:eastAsia="宋体"/>
          <w:sz w:val="21"/>
        </w:rPr>
        <w:t>。施工工序为先加工制作，后热浸镀锌，严禁镀锌后加工。</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）所有金属构件除特殊说明外均采用</w:t>
      </w:r>
      <w:r>
        <w:rPr>
          <w:rFonts w:ascii="calibri" w:hAnsi="calibri" w:cs="calibri" w:eastAsia="calibri"/>
          <w:sz w:val="21"/>
        </w:rPr>
        <w:t>Q345</w:t>
      </w:r>
      <w:r>
        <w:rPr>
          <w:rFonts w:ascii="宋体" w:hAnsi="宋体" w:cs="宋体" w:eastAsia="宋体"/>
          <w:sz w:val="21"/>
        </w:rPr>
        <w:t>、</w:t>
      </w:r>
      <w:r>
        <w:rPr>
          <w:rFonts w:ascii="calibri" w:hAnsi="calibri" w:cs="calibri" w:eastAsia="calibri"/>
          <w:sz w:val="21"/>
        </w:rPr>
        <w:t>Q235</w:t>
      </w:r>
      <w:r>
        <w:rPr>
          <w:rFonts w:ascii="宋体" w:hAnsi="宋体" w:cs="宋体" w:eastAsia="宋体"/>
          <w:sz w:val="21"/>
        </w:rPr>
        <w:t>钢制作，符合</w:t>
      </w:r>
      <w:r>
        <w:rPr>
          <w:rFonts w:ascii="calibri" w:hAnsi="calibri" w:cs="calibri" w:eastAsia="calibri"/>
          <w:sz w:val="21"/>
        </w:rPr>
        <w:t>GB</w:t>
      </w:r>
      <w:r>
        <w:rPr>
          <w:rFonts w:ascii="calibri" w:hAnsi="calibri" w:cs="calibri" w:eastAsia="calibri"/>
          <w:sz w:val="21"/>
        </w:rPr>
        <w:t>-</w:t>
      </w:r>
      <w:r>
        <w:rPr>
          <w:rFonts w:ascii="calibri" w:hAnsi="calibri" w:cs="calibri" w:eastAsia="calibri"/>
          <w:sz w:val="21"/>
        </w:rPr>
        <w:t>700</w:t>
      </w:r>
      <w:r>
        <w:rPr>
          <w:rFonts w:ascii="宋体" w:hAnsi="宋体" w:cs="宋体" w:eastAsia="宋体"/>
          <w:sz w:val="21"/>
        </w:rPr>
        <w:t>要求。所有构件的加工制作、组装、焊接等工艺应符合《公路桥涵施工技术规范》</w:t>
      </w:r>
      <w:r>
        <w:rPr>
          <w:rFonts w:ascii="calibri" w:hAnsi="calibri" w:cs="calibri" w:eastAsia="calibri"/>
          <w:sz w:val="21"/>
        </w:rPr>
        <w:t>(JTJ041--2000)</w:t>
      </w:r>
      <w:r>
        <w:rPr>
          <w:rFonts w:ascii="宋体" w:hAnsi="宋体" w:cs="宋体" w:eastAsia="宋体"/>
          <w:sz w:val="21"/>
        </w:rPr>
        <w:t>规定。</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）所有交通标志都应要求定位和设置。安装的标志应与交通流方向几乎成直角，在曲线路段，标志的设置角度应由交通流的行近方向来确定。为了消除路侧标志表面产生的眩光，标志应向后旋转约</w:t>
      </w:r>
      <w:r>
        <w:rPr>
          <w:rFonts w:ascii="calibri" w:hAnsi="calibri" w:cs="calibri" w:eastAsia="calibri"/>
          <w:sz w:val="21"/>
        </w:rPr>
        <w:t>5°</w:t>
      </w:r>
      <w:r>
        <w:rPr>
          <w:rFonts w:ascii="宋体" w:hAnsi="宋体" w:cs="宋体" w:eastAsia="宋体"/>
          <w:sz w:val="21"/>
        </w:rPr>
        <w:t>，以避开车前灯光束的直射；对于路侧标志，标志板内缘距土路肩边缘不得小于</w:t>
      </w:r>
      <w:r>
        <w:rPr>
          <w:rFonts w:ascii="calibri" w:hAnsi="calibri" w:cs="calibri" w:eastAsia="calibri"/>
          <w:sz w:val="21"/>
        </w:rPr>
        <w:t>250mm</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）基础采用明挖法施工，基底应先整平、夯实；基础采用</w:t>
      </w:r>
      <w:r>
        <w:rPr>
          <w:rFonts w:ascii="calibri" w:hAnsi="calibri" w:cs="calibri" w:eastAsia="calibri"/>
          <w:sz w:val="21"/>
        </w:rPr>
        <w:t>C25</w:t>
      </w:r>
      <w:r>
        <w:rPr>
          <w:rFonts w:ascii="宋体" w:hAnsi="宋体" w:cs="宋体" w:eastAsia="宋体"/>
          <w:sz w:val="21"/>
        </w:rPr>
        <w:t>砼现场浇注，钢筋保护层厚度不小于</w:t>
      </w:r>
      <w:r>
        <w:rPr>
          <w:rFonts w:ascii="calibri" w:hAnsi="calibri" w:cs="calibri" w:eastAsia="calibri"/>
          <w:sz w:val="21"/>
        </w:rPr>
        <w:t>25MM;</w:t>
      </w:r>
      <w:r>
        <w:rPr>
          <w:rFonts w:ascii="宋体" w:hAnsi="宋体" w:cs="宋体" w:eastAsia="宋体"/>
          <w:sz w:val="21"/>
        </w:rPr>
        <w:t>基础顶面应预埋</w:t>
      </w:r>
      <w:r>
        <w:rPr>
          <w:rFonts w:ascii="calibri" w:hAnsi="calibri" w:cs="calibri" w:eastAsia="calibri"/>
          <w:sz w:val="21"/>
        </w:rPr>
        <w:t>Q235</w:t>
      </w:r>
      <w:r>
        <w:rPr>
          <w:rFonts w:ascii="宋体" w:hAnsi="宋体" w:cs="宋体" w:eastAsia="宋体"/>
          <w:sz w:val="21"/>
        </w:rPr>
        <w:t>钢底座法兰盘及地脚螺栓</w:t>
      </w:r>
      <w:r>
        <w:rPr>
          <w:rFonts w:ascii="calibri" w:hAnsi="calibri" w:cs="calibri" w:eastAsia="calibri"/>
          <w:sz w:val="21"/>
        </w:rPr>
        <w:t>Q345</w:t>
      </w:r>
      <w:r>
        <w:rPr>
          <w:rFonts w:ascii="宋体" w:hAnsi="宋体" w:cs="宋体" w:eastAsia="宋体"/>
          <w:sz w:val="21"/>
        </w:rPr>
        <w:t>，在浇注砼时，应注意使底座法兰盘与基础对中，并将其嵌进基础（其上表面与基础顶面齐平），同时保持其顶面水平；地脚下部为标准弯钩，预埋时其方向应与底座法兰盘保持垂直。施工时如遇有平曲线路段，应注意调整预埋法兰盘的方向，使其纵向中心线与形成方向保持一致。基础施工完毕，地脚螺栓外露长度宜控制在</w:t>
      </w:r>
      <w:r>
        <w:rPr>
          <w:rFonts w:ascii="calibri" w:hAnsi="calibri" w:cs="calibri" w:eastAsia="calibri"/>
          <w:sz w:val="21"/>
        </w:rPr>
        <w:t>80-100MM</w:t>
      </w:r>
      <w:r>
        <w:rPr>
          <w:rFonts w:ascii="宋体" w:hAnsi="宋体" w:cs="宋体" w:eastAsia="宋体"/>
          <w:sz w:val="21"/>
        </w:rPr>
        <w:t>以内，并对外露螺纹部分加以妥善保护，另外基坑应分层回填夯实。</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）单柱式标志板安装高度距地</w:t>
      </w:r>
      <w:r>
        <w:rPr>
          <w:rFonts w:ascii="calibri" w:hAnsi="calibri" w:cs="calibri" w:eastAsia="calibri"/>
          <w:sz w:val="21"/>
        </w:rPr>
        <w:t>≥2.5m;</w:t>
      </w:r>
      <w:r>
        <w:rPr>
          <w:rFonts w:ascii="宋体" w:hAnsi="宋体" w:cs="宋体" w:eastAsia="宋体"/>
          <w:sz w:val="21"/>
        </w:rPr>
        <w:t>悬臂式标志板安装高度距地</w:t>
      </w:r>
      <w:r>
        <w:rPr>
          <w:rFonts w:ascii="calibri" w:hAnsi="calibri" w:cs="calibri" w:eastAsia="calibri"/>
          <w:sz w:val="21"/>
        </w:rPr>
        <w:t>≥5.5m</w:t>
      </w:r>
      <w:r>
        <w:rPr>
          <w:rFonts w:ascii="calibri" w:hAnsi="calibri" w:cs="calibri" w:eastAsia="calibri"/>
          <w:sz w:val="21"/>
          <w:b/>
        </w:rPr>
        <w:t xml:space="preserve"> </w:t>
      </w:r>
    </w:p>
    <w:p>
      <w:pPr>
        <w:pStyle w:val="null3"/>
        <w:spacing w:before="135" w:after="135"/>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5</w:t>
      </w:r>
      <w:r>
        <w:rPr>
          <w:rFonts w:ascii="宋体" w:hAnsi="宋体" w:cs="宋体" w:eastAsia="宋体"/>
          <w:sz w:val="21"/>
          <w:b/>
        </w:rPr>
        <w:t>）</w:t>
      </w:r>
      <w:r>
        <w:rPr>
          <w:rFonts w:ascii="宋体" w:hAnsi="宋体" w:cs="宋体" w:eastAsia="宋体"/>
          <w:sz w:val="21"/>
          <w:b/>
        </w:rPr>
        <w:t>4、交通标线技术要求</w:t>
      </w:r>
    </w:p>
    <w:p>
      <w:pPr>
        <w:pStyle w:val="null3"/>
        <w:spacing w:before="135" w:after="135"/>
        <w:ind w:firstLine="420"/>
      </w:pPr>
      <w:r>
        <w:rPr>
          <w:rFonts w:ascii="calibri" w:hAnsi="calibri" w:cs="calibri" w:eastAsia="calibri"/>
          <w:sz w:val="21"/>
        </w:rPr>
        <w:t>4</w:t>
      </w:r>
      <w:r>
        <w:rPr>
          <w:rFonts w:ascii="calibri" w:hAnsi="calibri" w:cs="calibri" w:eastAsia="calibri"/>
          <w:sz w:val="21"/>
        </w:rPr>
        <w:t>.1</w:t>
      </w:r>
      <w:r>
        <w:rPr>
          <w:rFonts w:ascii="宋体" w:hAnsi="宋体" w:cs="宋体" w:eastAsia="宋体"/>
          <w:sz w:val="21"/>
        </w:rPr>
        <w:t>．道路交通标线应当根据道路交通横断面、结合道路宽度条件及交通管理的需要而确定，必须符合《道路交通标志和标线》（</w:t>
      </w:r>
      <w:r>
        <w:rPr>
          <w:rFonts w:ascii="calibri" w:hAnsi="calibri" w:cs="calibri" w:eastAsia="calibri"/>
          <w:sz w:val="21"/>
        </w:rPr>
        <w:t xml:space="preserve"> GB5768-2009</w:t>
      </w:r>
      <w:r>
        <w:rPr>
          <w:rFonts w:ascii="calibri" w:hAnsi="calibri" w:cs="calibri" w:eastAsia="calibri"/>
          <w:sz w:val="21"/>
        </w:rPr>
        <w:t>,</w:t>
      </w:r>
      <w:r>
        <w:rPr>
          <w:rFonts w:ascii="calibri" w:hAnsi="calibri" w:cs="calibri" w:eastAsia="calibri"/>
          <w:sz w:val="21"/>
        </w:rPr>
        <w:t>GB5768</w:t>
      </w:r>
      <w:r>
        <w:rPr>
          <w:rFonts w:ascii="calibri" w:hAnsi="calibri" w:cs="calibri" w:eastAsia="calibri"/>
          <w:sz w:val="21"/>
        </w:rPr>
        <w:t>.2</w:t>
      </w:r>
      <w:r>
        <w:rPr>
          <w:rFonts w:ascii="calibri" w:hAnsi="calibri" w:cs="calibri" w:eastAsia="calibri"/>
          <w:sz w:val="21"/>
        </w:rPr>
        <w:t>-</w:t>
      </w:r>
      <w:r>
        <w:rPr>
          <w:rFonts w:ascii="calibri" w:hAnsi="calibri" w:cs="calibri" w:eastAsia="calibri"/>
          <w:sz w:val="21"/>
        </w:rPr>
        <w:t>2022</w:t>
      </w:r>
      <w:r>
        <w:rPr>
          <w:rFonts w:ascii="宋体" w:hAnsi="宋体" w:cs="宋体" w:eastAsia="宋体"/>
          <w:sz w:val="21"/>
        </w:rPr>
        <w:t>）、《城市道路交通标志和标线设置规范》（</w:t>
      </w:r>
      <w:r>
        <w:rPr>
          <w:rFonts w:ascii="calibri" w:hAnsi="calibri" w:cs="calibri" w:eastAsia="calibri"/>
          <w:sz w:val="21"/>
        </w:rPr>
        <w:t>GB 51038-2015</w:t>
      </w:r>
      <w:r>
        <w:rPr>
          <w:rFonts w:ascii="宋体" w:hAnsi="宋体" w:cs="宋体" w:eastAsia="宋体"/>
          <w:sz w:val="21"/>
        </w:rPr>
        <w:t>）、《城市道路设计规范》（</w:t>
      </w:r>
      <w:r>
        <w:rPr>
          <w:rFonts w:ascii="calibri" w:hAnsi="calibri" w:cs="calibri" w:eastAsia="calibri"/>
          <w:sz w:val="21"/>
        </w:rPr>
        <w:t>GJJ37-2016</w:t>
      </w:r>
      <w:r>
        <w:rPr>
          <w:rFonts w:ascii="宋体" w:hAnsi="宋体" w:cs="宋体" w:eastAsia="宋体"/>
          <w:sz w:val="21"/>
        </w:rPr>
        <w:t>）、《公路工程技术标准》（</w:t>
      </w:r>
      <w:r>
        <w:rPr>
          <w:rFonts w:ascii="calibri" w:hAnsi="calibri" w:cs="calibri" w:eastAsia="calibri"/>
          <w:sz w:val="21"/>
        </w:rPr>
        <w:t>JTG B01-2014</w:t>
      </w:r>
      <w:r>
        <w:rPr>
          <w:rFonts w:ascii="宋体" w:hAnsi="宋体" w:cs="宋体" w:eastAsia="宋体"/>
          <w:sz w:val="21"/>
        </w:rPr>
        <w:t>）及《公路交通安全设施设计规范》（</w:t>
      </w:r>
      <w:r>
        <w:rPr>
          <w:rFonts w:ascii="calibri" w:hAnsi="calibri" w:cs="calibri" w:eastAsia="calibri"/>
          <w:sz w:val="21"/>
        </w:rPr>
        <w:t>JTGD81-2017</w:t>
      </w:r>
      <w:r>
        <w:rPr>
          <w:rFonts w:ascii="宋体" w:hAnsi="宋体" w:cs="宋体" w:eastAsia="宋体"/>
          <w:sz w:val="21"/>
        </w:rPr>
        <w:t>）等的有关规定。</w:t>
      </w:r>
    </w:p>
    <w:p>
      <w:pPr>
        <w:pStyle w:val="null3"/>
        <w:spacing w:before="135" w:after="135"/>
        <w:ind w:firstLine="420"/>
      </w:pPr>
      <w:r>
        <w:rPr>
          <w:rFonts w:ascii="calibri" w:hAnsi="calibri" w:cs="calibri" w:eastAsia="calibri"/>
          <w:sz w:val="21"/>
        </w:rPr>
        <w:t>4</w:t>
      </w:r>
      <w:r>
        <w:rPr>
          <w:rFonts w:ascii="calibri" w:hAnsi="calibri" w:cs="calibri" w:eastAsia="calibri"/>
          <w:sz w:val="21"/>
        </w:rPr>
        <w:t>.2</w:t>
      </w:r>
      <w:r>
        <w:rPr>
          <w:rFonts w:ascii="宋体" w:hAnsi="宋体" w:cs="宋体" w:eastAsia="宋体"/>
          <w:sz w:val="21"/>
        </w:rPr>
        <w:t>．标线涂料的质量必须符合《道路交通标线质量要求和检测方法》（</w:t>
      </w:r>
      <w:r>
        <w:rPr>
          <w:rFonts w:ascii="calibri" w:hAnsi="calibri" w:cs="calibri" w:eastAsia="calibri"/>
          <w:sz w:val="21"/>
        </w:rPr>
        <w:t>GB/T16311-2009</w:t>
      </w:r>
      <w:r>
        <w:rPr>
          <w:rFonts w:ascii="宋体" w:hAnsi="宋体" w:cs="宋体" w:eastAsia="宋体"/>
          <w:sz w:val="21"/>
        </w:rPr>
        <w:t>）、《道路标线涂料》（</w:t>
      </w:r>
      <w:r>
        <w:rPr>
          <w:rFonts w:ascii="calibri" w:hAnsi="calibri" w:cs="calibri" w:eastAsia="calibri"/>
          <w:sz w:val="21"/>
        </w:rPr>
        <w:t>GA/T298-2001</w:t>
      </w:r>
      <w:r>
        <w:rPr>
          <w:rFonts w:ascii="宋体" w:hAnsi="宋体" w:cs="宋体" w:eastAsia="宋体"/>
          <w:sz w:val="21"/>
        </w:rPr>
        <w:t>）及《路面标线涂料》 （</w:t>
      </w:r>
      <w:r>
        <w:rPr>
          <w:rFonts w:ascii="calibri" w:hAnsi="calibri" w:cs="calibri" w:eastAsia="calibri"/>
          <w:sz w:val="21"/>
        </w:rPr>
        <w:t>JT/T280-2022</w:t>
      </w:r>
      <w:r>
        <w:rPr>
          <w:rFonts w:ascii="宋体" w:hAnsi="宋体" w:cs="宋体" w:eastAsia="宋体"/>
          <w:sz w:val="21"/>
        </w:rPr>
        <w:t>）的有关技术标准。</w:t>
      </w:r>
      <w:r>
        <w:rPr>
          <w:rFonts w:ascii="calibri" w:hAnsi="calibri" w:cs="calibri" w:eastAsia="calibri"/>
          <w:sz w:val="21"/>
        </w:rPr>
        <w:t xml:space="preserve"> </w:t>
      </w:r>
    </w:p>
    <w:p>
      <w:pPr>
        <w:pStyle w:val="null3"/>
        <w:spacing w:before="135" w:after="135"/>
        <w:ind w:firstLine="420"/>
      </w:pPr>
      <w:r>
        <w:rPr>
          <w:rFonts w:ascii="calibri" w:hAnsi="calibri" w:cs="calibri" w:eastAsia="calibri"/>
          <w:sz w:val="21"/>
        </w:rPr>
        <w:t>4</w:t>
      </w:r>
      <w:r>
        <w:rPr>
          <w:rFonts w:ascii="calibri" w:hAnsi="calibri" w:cs="calibri" w:eastAsia="calibri"/>
          <w:sz w:val="21"/>
        </w:rPr>
        <w:t>.3</w:t>
      </w:r>
      <w:r>
        <w:rPr>
          <w:rFonts w:ascii="宋体" w:hAnsi="宋体" w:cs="宋体" w:eastAsia="宋体"/>
          <w:sz w:val="21"/>
        </w:rPr>
        <w:t>．热熔型标线施工条件及施工工艺应符合有关国家、行业或地方的有关规定。</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）交通标线施工前要清扫地面，除净灰尘杂物和泥土，然后按设计或原有的线形要求放样漆划。标线或底漆涂划后，应放置锥形反光橡胶体或其它护线物体，须待标线干燥后才能撤走。</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）交通标线施工应禁止在雨天和潮湿的路面上进行，热熔型涂料施工时不低于</w:t>
      </w:r>
      <w:r>
        <w:rPr>
          <w:rFonts w:ascii="calibri" w:hAnsi="calibri" w:cs="calibri" w:eastAsia="calibri"/>
          <w:sz w:val="21"/>
        </w:rPr>
        <w:t>10</w:t>
      </w:r>
      <w:r>
        <w:rPr>
          <w:rFonts w:ascii="宋体" w:hAnsi="宋体" w:cs="宋体" w:eastAsia="宋体"/>
          <w:sz w:val="21"/>
        </w:rPr>
        <w:t>℃</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）划标线之前，要根据要求并结合道路平曲线要素等实地放线，以保证标线位置精确、线形顺畅。并做到整齐清晰醒目，色泽与漆膜厚薄均匀，漆划时线条流畅、线型规则。</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交通标线材料选择应符合国家、部、地方制定的标准，具体从使用效果角度要求鲜明的确认性。夜间良好的反光性能，附着力强、防滑、经久耐磨、耐候性、抗污染、抗变色、使用寿命长。从施工角度要求施工简便，安全性好，施工时涂料干燥迅速。</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）所有标线应具有顺畅、平顺、光洁、鲜明、均匀及精美的外观。热熔型道路标线施工时要确保材料用量</w:t>
      </w:r>
      <w:r>
        <w:rPr>
          <w:rFonts w:ascii="calibri" w:hAnsi="calibri" w:cs="calibri" w:eastAsia="calibri"/>
          <w:sz w:val="21"/>
        </w:rPr>
        <w:t>≥5</w:t>
      </w:r>
      <w:r>
        <w:rPr>
          <w:rFonts w:ascii="宋体" w:hAnsi="宋体" w:cs="宋体" w:eastAsia="宋体"/>
          <w:sz w:val="21"/>
        </w:rPr>
        <w:t>㎏</w:t>
      </w:r>
      <w:r>
        <w:rPr>
          <w:rFonts w:ascii="calibri" w:hAnsi="calibri" w:cs="calibri" w:eastAsia="calibri"/>
          <w:sz w:val="21"/>
        </w:rPr>
        <w:t>/</w:t>
      </w:r>
      <w:r>
        <w:rPr>
          <w:rFonts w:ascii="宋体" w:hAnsi="宋体" w:cs="宋体" w:eastAsia="宋体"/>
          <w:sz w:val="21"/>
        </w:rPr>
        <w:t>㎡的施划量，漆膜厚度必须</w:t>
      </w:r>
      <w:r>
        <w:rPr>
          <w:rFonts w:ascii="calibri" w:hAnsi="calibri" w:cs="calibri" w:eastAsia="calibri"/>
          <w:sz w:val="21"/>
        </w:rPr>
        <w:t>≥2.0mm</w:t>
      </w:r>
      <w:r>
        <w:rPr>
          <w:rFonts w:ascii="宋体" w:hAnsi="宋体" w:cs="宋体" w:eastAsia="宋体"/>
          <w:sz w:val="21"/>
        </w:rPr>
        <w:t>。</w:t>
      </w:r>
      <w:r>
        <w:rPr>
          <w:rFonts w:ascii="calibri" w:hAnsi="calibri" w:cs="calibri" w:eastAsia="calibri"/>
          <w:sz w:val="21"/>
        </w:rPr>
        <w:t xml:space="preserve"> </w:t>
      </w:r>
      <w:r>
        <w:rPr>
          <w:rFonts w:ascii="宋体" w:hAnsi="宋体" w:cs="宋体" w:eastAsia="宋体"/>
          <w:sz w:val="21"/>
        </w:rPr>
        <w:t>主材配比：树脂＞</w:t>
      </w:r>
      <w:r>
        <w:rPr>
          <w:rFonts w:ascii="calibri" w:hAnsi="calibri" w:cs="calibri" w:eastAsia="calibri"/>
          <w:sz w:val="21"/>
        </w:rPr>
        <w:t>15%</w:t>
      </w:r>
      <w:r>
        <w:rPr>
          <w:rFonts w:ascii="宋体" w:hAnsi="宋体" w:cs="宋体" w:eastAsia="宋体"/>
          <w:sz w:val="21"/>
        </w:rPr>
        <w:t>、钛白粉＞</w:t>
      </w:r>
      <w:r>
        <w:rPr>
          <w:rFonts w:ascii="calibri" w:hAnsi="calibri" w:cs="calibri" w:eastAsia="calibri"/>
          <w:sz w:val="21"/>
        </w:rPr>
        <w:t>8%</w:t>
      </w:r>
      <w:r>
        <w:rPr>
          <w:rFonts w:ascii="宋体" w:hAnsi="宋体" w:cs="宋体" w:eastAsia="宋体"/>
          <w:sz w:val="21"/>
        </w:rPr>
        <w:t>、黄色标线使用包膜中黄＞</w:t>
      </w:r>
      <w:r>
        <w:rPr>
          <w:rFonts w:ascii="calibri" w:hAnsi="calibri" w:cs="calibri" w:eastAsia="calibri"/>
          <w:sz w:val="21"/>
        </w:rPr>
        <w:t>3%</w:t>
      </w:r>
      <w:r>
        <w:rPr>
          <w:rFonts w:ascii="宋体" w:hAnsi="宋体" w:cs="宋体" w:eastAsia="宋体"/>
          <w:sz w:val="21"/>
        </w:rPr>
        <w:t>、玻璃微珠</w:t>
      </w:r>
      <w:r>
        <w:rPr>
          <w:rFonts w:ascii="calibri" w:hAnsi="calibri" w:cs="calibri" w:eastAsia="calibri"/>
          <w:sz w:val="21"/>
        </w:rPr>
        <w:t>≥30%</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）玻璃微珠符合国家交通部行业标准，在喷涂时标线表面还应均布玻璃微珠，面撒玻璃珠应在涂料喷涂后立即进行，直径符合《路面标线用玻璃珠》（</w:t>
      </w:r>
      <w:r>
        <w:rPr>
          <w:rFonts w:ascii="calibri" w:hAnsi="calibri" w:cs="calibri" w:eastAsia="calibri"/>
          <w:sz w:val="21"/>
        </w:rPr>
        <w:t>GB/T24722-2020</w:t>
      </w:r>
      <w:r>
        <w:rPr>
          <w:rFonts w:ascii="宋体" w:hAnsi="宋体" w:cs="宋体" w:eastAsia="宋体"/>
          <w:sz w:val="21"/>
        </w:rPr>
        <w:t>）要求，以</w:t>
      </w:r>
      <w:r>
        <w:rPr>
          <w:rFonts w:ascii="calibri" w:hAnsi="calibri" w:cs="calibri" w:eastAsia="calibri"/>
          <w:sz w:val="21"/>
        </w:rPr>
        <w:t>2.4g/cm</w:t>
      </w:r>
      <w:r>
        <w:rPr>
          <w:rFonts w:ascii="calibri" w:hAnsi="calibri" w:cs="calibri" w:eastAsia="calibri"/>
          <w:sz w:val="21"/>
          <w:vertAlign w:val="superscript"/>
        </w:rPr>
        <w:t>3</w:t>
      </w:r>
      <w:r>
        <w:rPr>
          <w:rFonts w:ascii="calibri" w:hAnsi="calibri" w:cs="calibri" w:eastAsia="calibri"/>
          <w:sz w:val="21"/>
        </w:rPr>
        <w:t>--4.6 g/cm</w:t>
      </w:r>
      <w:r>
        <w:rPr>
          <w:rFonts w:ascii="calibri" w:hAnsi="calibri" w:cs="calibri" w:eastAsia="calibri"/>
          <w:sz w:val="21"/>
          <w:vertAlign w:val="superscript"/>
        </w:rPr>
        <w:t>3</w:t>
      </w:r>
      <w:r>
        <w:rPr>
          <w:rFonts w:ascii="宋体" w:hAnsi="宋体" w:cs="宋体" w:eastAsia="宋体"/>
          <w:sz w:val="21"/>
        </w:rPr>
        <w:t>的用量加压均匀撒布在所有标线上。标线表面不应出现折线、网状裂缝、起泡现象。</w:t>
      </w:r>
    </w:p>
    <w:p>
      <w:pPr>
        <w:pStyle w:val="null3"/>
        <w:spacing w:before="135" w:after="135"/>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6</w:t>
      </w:r>
      <w:r>
        <w:rPr>
          <w:rFonts w:ascii="宋体" w:hAnsi="宋体" w:cs="宋体" w:eastAsia="宋体"/>
          <w:sz w:val="21"/>
          <w:b/>
        </w:rPr>
        <w:t>）</w:t>
      </w:r>
      <w:r>
        <w:rPr>
          <w:rFonts w:ascii="宋体" w:hAnsi="宋体" w:cs="宋体" w:eastAsia="宋体"/>
          <w:sz w:val="21"/>
          <w:b/>
        </w:rPr>
        <w:t>5、护栏技术要求</w:t>
      </w:r>
    </w:p>
    <w:p>
      <w:pPr>
        <w:pStyle w:val="null3"/>
        <w:spacing w:before="135" w:after="135"/>
        <w:ind w:firstLine="420"/>
      </w:pPr>
      <w:r>
        <w:rPr>
          <w:rFonts w:ascii="calibri" w:hAnsi="calibri" w:cs="calibri" w:eastAsia="calibri"/>
          <w:sz w:val="21"/>
        </w:rPr>
        <w:t>5.</w:t>
      </w:r>
      <w:r>
        <w:rPr>
          <w:rFonts w:ascii="calibri" w:hAnsi="calibri" w:cs="calibri" w:eastAsia="calibri"/>
          <w:sz w:val="21"/>
        </w:rPr>
        <w:t>1</w:t>
      </w:r>
      <w:r>
        <w:rPr>
          <w:rFonts w:ascii="宋体" w:hAnsi="宋体" w:cs="宋体" w:eastAsia="宋体"/>
          <w:sz w:val="21"/>
        </w:rPr>
        <w:t>．波形护栏：设置中央波形护栏或路侧波形护栏，应根据《公路交通安全设施设计规范》（</w:t>
      </w:r>
      <w:r>
        <w:rPr>
          <w:rFonts w:ascii="calibri" w:hAnsi="calibri" w:cs="calibri" w:eastAsia="calibri"/>
          <w:sz w:val="21"/>
        </w:rPr>
        <w:t>JTGD81-2017</w:t>
      </w:r>
      <w:r>
        <w:rPr>
          <w:rFonts w:ascii="宋体" w:hAnsi="宋体" w:cs="宋体" w:eastAsia="宋体"/>
          <w:sz w:val="21"/>
        </w:rPr>
        <w:t>），依据道路等级和防护等级要求，选取对应的波形护栏。</w:t>
      </w:r>
    </w:p>
    <w:p>
      <w:pPr>
        <w:pStyle w:val="null3"/>
        <w:spacing w:before="135" w:after="135"/>
        <w:ind w:firstLine="420"/>
      </w:pPr>
      <w:r>
        <w:rPr>
          <w:rFonts w:ascii="calibri" w:hAnsi="calibri" w:cs="calibri" w:eastAsia="calibri"/>
          <w:sz w:val="21"/>
        </w:rPr>
        <w:t>5.2</w:t>
      </w:r>
      <w:r>
        <w:rPr>
          <w:rFonts w:ascii="宋体" w:hAnsi="宋体" w:cs="宋体" w:eastAsia="宋体"/>
          <w:sz w:val="21"/>
        </w:rPr>
        <w:t>．防眩板护栏：中央隔离护栏长</w:t>
      </w:r>
      <w:r>
        <w:rPr>
          <w:rFonts w:ascii="calibri" w:hAnsi="calibri" w:cs="calibri" w:eastAsia="calibri"/>
          <w:sz w:val="21"/>
        </w:rPr>
        <w:t>3000mm*</w:t>
      </w:r>
      <w:r>
        <w:rPr>
          <w:rFonts w:ascii="宋体" w:hAnsi="宋体" w:cs="宋体" w:eastAsia="宋体"/>
          <w:sz w:val="21"/>
        </w:rPr>
        <w:t>高</w:t>
      </w:r>
      <w:r>
        <w:rPr>
          <w:rFonts w:ascii="calibri" w:hAnsi="calibri" w:cs="calibri" w:eastAsia="calibri"/>
          <w:sz w:val="21"/>
        </w:rPr>
        <w:t xml:space="preserve">1200mm </w:t>
      </w:r>
      <w:r>
        <w:rPr>
          <w:rFonts w:ascii="宋体" w:hAnsi="宋体" w:cs="宋体" w:eastAsia="宋体"/>
          <w:sz w:val="21"/>
        </w:rPr>
        <w:t>、机非隔离护栏长</w:t>
      </w:r>
      <w:r>
        <w:rPr>
          <w:rFonts w:ascii="calibri" w:hAnsi="calibri" w:cs="calibri" w:eastAsia="calibri"/>
          <w:sz w:val="21"/>
        </w:rPr>
        <w:t>3000mm*</w:t>
      </w:r>
      <w:r>
        <w:rPr>
          <w:rFonts w:ascii="宋体" w:hAnsi="宋体" w:cs="宋体" w:eastAsia="宋体"/>
          <w:sz w:val="21"/>
        </w:rPr>
        <w:t>高</w:t>
      </w:r>
      <w:r>
        <w:rPr>
          <w:rFonts w:ascii="calibri" w:hAnsi="calibri" w:cs="calibri" w:eastAsia="calibri"/>
          <w:sz w:val="21"/>
        </w:rPr>
        <w:t>700mm</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）立柱：</w:t>
      </w:r>
      <w:r>
        <w:rPr>
          <w:rFonts w:ascii="calibri" w:hAnsi="calibri" w:cs="calibri" w:eastAsia="calibri"/>
          <w:sz w:val="21"/>
        </w:rPr>
        <w:t>80*40*2mm</w:t>
      </w:r>
      <w:r>
        <w:rPr>
          <w:rFonts w:ascii="宋体" w:hAnsi="宋体" w:cs="宋体" w:eastAsia="宋体"/>
          <w:sz w:val="21"/>
        </w:rPr>
        <w:t>热镀锌钢静电喷涂（白色）</w:t>
      </w:r>
      <w:r>
        <w:rPr>
          <w:rFonts w:ascii="calibri" w:hAnsi="calibri" w:cs="calibri" w:eastAsia="calibri"/>
          <w:sz w:val="21"/>
        </w:rPr>
        <w:t>45</w:t>
      </w:r>
      <w:r>
        <w:rPr>
          <w:rFonts w:ascii="宋体" w:hAnsi="宋体" w:cs="宋体" w:eastAsia="宋体"/>
          <w:sz w:val="21"/>
        </w:rPr>
        <w:t>角焊接防眩光板（</w:t>
      </w:r>
      <w:r>
        <w:rPr>
          <w:rFonts w:ascii="calibri" w:hAnsi="calibri" w:cs="calibri" w:eastAsia="calibri"/>
          <w:sz w:val="21"/>
        </w:rPr>
        <w:t>15</w:t>
      </w:r>
      <w:r>
        <w:rPr>
          <w:rFonts w:ascii="宋体" w:hAnsi="宋体" w:cs="宋体" w:eastAsia="宋体"/>
          <w:sz w:val="21"/>
        </w:rPr>
        <w:t>片），（</w:t>
      </w:r>
      <w:r>
        <w:rPr>
          <w:rFonts w:ascii="calibri" w:hAnsi="calibri" w:cs="calibri" w:eastAsia="calibri"/>
          <w:sz w:val="21"/>
        </w:rPr>
        <w:t>2</w:t>
      </w:r>
      <w:r>
        <w:rPr>
          <w:rFonts w:ascii="宋体" w:hAnsi="宋体" w:cs="宋体" w:eastAsia="宋体"/>
          <w:sz w:val="21"/>
        </w:rPr>
        <w:t>）防眩光板厚</w:t>
      </w:r>
      <w:r>
        <w:rPr>
          <w:rFonts w:ascii="calibri" w:hAnsi="calibri" w:cs="calibri" w:eastAsia="calibri"/>
          <w:sz w:val="21"/>
        </w:rPr>
        <w:t>1.6mm;</w:t>
      </w:r>
      <w:r>
        <w:rPr>
          <w:rFonts w:ascii="宋体" w:hAnsi="宋体" w:cs="宋体" w:eastAsia="宋体"/>
          <w:sz w:val="21"/>
        </w:rPr>
        <w:t>热镀锌钢静电喷涂（上贴进口超强级黄色反光膜）（</w:t>
      </w:r>
      <w:r>
        <w:rPr>
          <w:rFonts w:ascii="calibri" w:hAnsi="calibri" w:cs="calibri" w:eastAsia="calibri"/>
          <w:sz w:val="21"/>
        </w:rPr>
        <w:t>3</w:t>
      </w:r>
      <w:r>
        <w:rPr>
          <w:rFonts w:ascii="宋体" w:hAnsi="宋体" w:cs="宋体" w:eastAsia="宋体"/>
          <w:sz w:val="21"/>
        </w:rPr>
        <w:t>）上横管：</w:t>
      </w:r>
      <w:r>
        <w:rPr>
          <w:rFonts w:ascii="calibri" w:hAnsi="calibri" w:cs="calibri" w:eastAsia="calibri"/>
          <w:sz w:val="21"/>
        </w:rPr>
        <w:t>65*50*1.8mm</w:t>
      </w:r>
      <w:r>
        <w:rPr>
          <w:rFonts w:ascii="宋体" w:hAnsi="宋体" w:cs="宋体" w:eastAsia="宋体"/>
          <w:sz w:val="21"/>
        </w:rPr>
        <w:t>热镀锌钢静电喷涂（白色） （</w:t>
      </w:r>
      <w:r>
        <w:rPr>
          <w:rFonts w:ascii="calibri" w:hAnsi="calibri" w:cs="calibri" w:eastAsia="calibri"/>
          <w:sz w:val="21"/>
        </w:rPr>
        <w:t>4</w:t>
      </w:r>
      <w:r>
        <w:rPr>
          <w:rFonts w:ascii="宋体" w:hAnsi="宋体" w:cs="宋体" w:eastAsia="宋体"/>
          <w:sz w:val="21"/>
        </w:rPr>
        <w:t>）下横管：</w:t>
      </w:r>
      <w:r>
        <w:rPr>
          <w:rFonts w:ascii="calibri" w:hAnsi="calibri" w:cs="calibri" w:eastAsia="calibri"/>
          <w:sz w:val="21"/>
        </w:rPr>
        <w:t>65*38*1.8mm</w:t>
      </w:r>
      <w:r>
        <w:rPr>
          <w:rFonts w:ascii="宋体" w:hAnsi="宋体" w:cs="宋体" w:eastAsia="宋体"/>
          <w:sz w:val="21"/>
        </w:rPr>
        <w:t>热镀锌钢静电喷涂（白色） （</w:t>
      </w:r>
      <w:r>
        <w:rPr>
          <w:rFonts w:ascii="calibri" w:hAnsi="calibri" w:cs="calibri" w:eastAsia="calibri"/>
          <w:sz w:val="21"/>
        </w:rPr>
        <w:t>5</w:t>
      </w:r>
      <w:r>
        <w:rPr>
          <w:rFonts w:ascii="宋体" w:hAnsi="宋体" w:cs="宋体" w:eastAsia="宋体"/>
          <w:sz w:val="21"/>
        </w:rPr>
        <w:t>）镀锌钢板填砼底座（</w:t>
      </w:r>
      <w:r>
        <w:rPr>
          <w:rFonts w:ascii="calibri" w:hAnsi="calibri" w:cs="calibri" w:eastAsia="calibri"/>
          <w:sz w:val="21"/>
        </w:rPr>
        <w:t>400*300*180mm</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）防眩光护栏整体：中间</w:t>
      </w:r>
      <w:r>
        <w:rPr>
          <w:rFonts w:ascii="calibri" w:hAnsi="calibri" w:cs="calibri" w:eastAsia="calibri"/>
          <w:sz w:val="21"/>
        </w:rPr>
        <w:t>15</w:t>
      </w:r>
      <w:r>
        <w:rPr>
          <w:rFonts w:ascii="宋体" w:hAnsi="宋体" w:cs="宋体" w:eastAsia="宋体"/>
          <w:sz w:val="21"/>
        </w:rPr>
        <w:t>条栅片间隔均等。主体颜色为净白色、焊管氩弧焊接后进行纯聚酯彩色粉末喷涂工艺。中间</w:t>
      </w:r>
      <w:r>
        <w:rPr>
          <w:rFonts w:ascii="calibri" w:hAnsi="calibri" w:cs="calibri" w:eastAsia="calibri"/>
          <w:sz w:val="21"/>
        </w:rPr>
        <w:t>15</w:t>
      </w:r>
      <w:r>
        <w:rPr>
          <w:rFonts w:ascii="宋体" w:hAnsi="宋体" w:cs="宋体" w:eastAsia="宋体"/>
          <w:sz w:val="21"/>
        </w:rPr>
        <w:t>条栅片间隔均等。护栏构件喷涂层应均匀，色泽统一，表面光滑、平整。无疤斑、无流滴、无明显凹凸、无熔渣；不得有剥落、气泡、裂纹、擦伤等表面缺陷；型材端部应打磨、去毛刺。护栏整体均不得因技术或工艺质量出现锈迹、裂痕、脱漆（机械清洗车自动清洗不掉漆）和明显褪色，预留镶嵌反光轮廓标孔位必须准确。</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护栏边柱：为组合式双并立（边）柱，路口及路段第一根立柱应加辅助边柱一根，参照线形诱导标，粘贴右侧通行红底（国标红）白图形的超强级以上反光膜。边柱上柱帽孔、平衡栓孔、反光轮廓标的孔位必须预留准确。</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）护栏柱帽：采用金属冲压件二次冲压成型，帽顶与帽裙冲压结合后四角必须点焊后喷漆，帽裙口径边长为</w:t>
      </w:r>
      <w:r>
        <w:rPr>
          <w:rFonts w:ascii="calibri" w:hAnsi="calibri" w:cs="calibri" w:eastAsia="calibri"/>
          <w:sz w:val="21"/>
        </w:rPr>
        <w:t>84×84mm</w:t>
      </w:r>
      <w:r>
        <w:rPr>
          <w:rFonts w:ascii="宋体" w:hAnsi="宋体" w:cs="宋体" w:eastAsia="宋体"/>
          <w:sz w:val="21"/>
        </w:rPr>
        <w:t>，帽裙高度钢质厚度详见项目设 计图纸。达到美观牢固，整体光滑，不得有机械冲压凹点，拉铆钉孔位预留准确。</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）轮廓标：采用标架为钢制一体成形侧向式反光标记</w:t>
      </w:r>
      <w:r>
        <w:rPr>
          <w:rFonts w:ascii="calibri" w:hAnsi="calibri" w:cs="calibri" w:eastAsia="calibri"/>
          <w:sz w:val="21"/>
        </w:rPr>
        <w:t xml:space="preserve"> 180*40mm</w:t>
      </w:r>
      <w:r>
        <w:rPr>
          <w:rFonts w:ascii="宋体" w:hAnsi="宋体" w:cs="宋体" w:eastAsia="宋体"/>
          <w:sz w:val="21"/>
        </w:rPr>
        <w:t>，高强度反光晶格片使用拉铆镶嵌后平直、整齐、牢固不变形。</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）防眩栅片：使用</w:t>
      </w:r>
      <w:r>
        <w:rPr>
          <w:rFonts w:ascii="calibri" w:hAnsi="calibri" w:cs="calibri" w:eastAsia="calibri"/>
          <w:sz w:val="21"/>
        </w:rPr>
        <w:t>S</w:t>
      </w:r>
      <w:r>
        <w:rPr>
          <w:rFonts w:ascii="宋体" w:hAnsi="宋体" w:cs="宋体" w:eastAsia="宋体"/>
          <w:sz w:val="21"/>
        </w:rPr>
        <w:t>型钢质栅片，垂直不变形，两端头成凸形。防眩护栏栅片双面弧型突出部位，从下往上中央隔离护栏</w:t>
      </w:r>
      <w:r>
        <w:rPr>
          <w:rFonts w:ascii="calibri" w:hAnsi="calibri" w:cs="calibri" w:eastAsia="calibri"/>
          <w:sz w:val="21"/>
        </w:rPr>
        <w:t>490×35mm</w:t>
      </w:r>
      <w:r>
        <w:rPr>
          <w:rFonts w:ascii="宋体" w:hAnsi="宋体" w:cs="宋体" w:eastAsia="宋体"/>
          <w:sz w:val="21"/>
        </w:rPr>
        <w:t>、机非隔离护栏</w:t>
      </w:r>
      <w:r>
        <w:rPr>
          <w:rFonts w:ascii="calibri" w:hAnsi="calibri" w:cs="calibri" w:eastAsia="calibri"/>
          <w:sz w:val="21"/>
        </w:rPr>
        <w:t>200×35mm</w:t>
      </w:r>
      <w:r>
        <w:rPr>
          <w:rFonts w:ascii="宋体" w:hAnsi="宋体" w:cs="宋体" w:eastAsia="宋体"/>
          <w:sz w:val="21"/>
        </w:rPr>
        <w:t>贴进口超强级以上反光膜，防眩栅片折边处和其余部位喷涂净白色漆。栅片焊接时，放置</w:t>
      </w:r>
      <w:r>
        <w:rPr>
          <w:rFonts w:ascii="calibri" w:hAnsi="calibri" w:cs="calibri" w:eastAsia="calibri"/>
          <w:sz w:val="21"/>
        </w:rPr>
        <w:t>45</w:t>
      </w:r>
      <w:r>
        <w:rPr>
          <w:rFonts w:ascii="宋体" w:hAnsi="宋体" w:cs="宋体" w:eastAsia="宋体"/>
          <w:sz w:val="21"/>
        </w:rPr>
        <w:t>度角焊接，栅片两端凸出部位插入上下横杆处，接口焊接必须双面满焊。不得有间隙孔，不得使用其它物充填孔。防眩矮护栏整体粉末喷涂净白色漆，其他构件技术要求与防眩护栏相同</w:t>
      </w:r>
      <w:r>
        <w:rPr>
          <w:rFonts w:ascii="calibri" w:hAnsi="calibri" w:cs="calibri" w:eastAsia="calibri"/>
          <w:sz w:val="21"/>
        </w:rPr>
        <w:t>,</w:t>
      </w:r>
      <w:r>
        <w:rPr>
          <w:rFonts w:ascii="宋体" w:hAnsi="宋体" w:cs="宋体" w:eastAsia="宋体"/>
          <w:sz w:val="21"/>
        </w:rPr>
        <w:t>防眩栅片下端粘贴齐平黄色进口超强级反光膜。</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）护栏底座：尺寸为</w:t>
      </w:r>
      <w:r>
        <w:rPr>
          <w:rFonts w:ascii="calibri" w:hAnsi="calibri" w:cs="calibri" w:eastAsia="calibri"/>
          <w:sz w:val="21"/>
        </w:rPr>
        <w:t>400×300×180mm</w:t>
      </w:r>
      <w:r>
        <w:rPr>
          <w:rFonts w:ascii="宋体" w:hAnsi="宋体" w:cs="宋体" w:eastAsia="宋体"/>
          <w:sz w:val="21"/>
        </w:rPr>
        <w:t>，热镀锌钢板冲压成型，两边有凸起</w:t>
      </w:r>
      <w:r>
        <w:rPr>
          <w:rFonts w:ascii="calibri" w:hAnsi="calibri" w:cs="calibri" w:eastAsia="calibri"/>
          <w:sz w:val="21"/>
        </w:rPr>
        <w:t>“</w:t>
      </w:r>
      <w:r>
        <w:rPr>
          <w:rFonts w:ascii="宋体" w:hAnsi="宋体" w:cs="宋体" w:eastAsia="宋体"/>
          <w:sz w:val="21"/>
        </w:rPr>
        <w:t>公安</w:t>
      </w:r>
      <w:r>
        <w:rPr>
          <w:rFonts w:ascii="calibri" w:hAnsi="calibri" w:cs="calibri" w:eastAsia="calibri"/>
          <w:sz w:val="21"/>
        </w:rPr>
        <w:t>”</w:t>
      </w:r>
      <w:r>
        <w:rPr>
          <w:rFonts w:ascii="宋体" w:hAnsi="宋体" w:cs="宋体" w:eastAsia="宋体"/>
          <w:sz w:val="21"/>
        </w:rPr>
        <w:t>字样，内填混凝土，每只底座</w:t>
      </w:r>
      <w:r>
        <w:rPr>
          <w:rFonts w:ascii="calibri" w:hAnsi="calibri" w:cs="calibri" w:eastAsia="calibri"/>
          <w:sz w:val="21"/>
        </w:rPr>
        <w:t>≥25</w:t>
      </w:r>
      <w:r>
        <w:rPr>
          <w:rFonts w:ascii="宋体" w:hAnsi="宋体" w:cs="宋体" w:eastAsia="宋体"/>
          <w:sz w:val="21"/>
        </w:rPr>
        <w:t>公斤，底座两侧端口镶嵌红色反光晶片，固定钢质钉尺寸</w:t>
      </w:r>
      <w:r>
        <w:rPr>
          <w:rFonts w:ascii="calibri" w:hAnsi="calibri" w:cs="calibri" w:eastAsia="calibri"/>
          <w:sz w:val="21"/>
        </w:rPr>
        <w:t>12×200mm</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）上下横杆：采用异形钢材。上下横杆与立柱（边柱）的焊接均应满焊牢固，不得漏焊和点焊、焊接点无毛刺。</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）护栏涂塑层的耐人工气候老化性能</w:t>
      </w:r>
      <w:r>
        <w:rPr>
          <w:rFonts w:ascii="calibri" w:hAnsi="calibri" w:cs="calibri" w:eastAsia="calibri"/>
          <w:sz w:val="21"/>
        </w:rPr>
        <w:t>≥5000</w:t>
      </w:r>
      <w:r>
        <w:rPr>
          <w:rFonts w:ascii="宋体" w:hAnsi="宋体" w:cs="宋体" w:eastAsia="宋体"/>
          <w:sz w:val="21"/>
        </w:rPr>
        <w:t>小时</w:t>
      </w:r>
      <w:r>
        <w:rPr>
          <w:rFonts w:ascii="宋体" w:hAnsi="宋体" w:cs="宋体" w:eastAsia="宋体"/>
          <w:sz w:val="21"/>
        </w:rPr>
        <w:t>，</w:t>
      </w:r>
      <w:r>
        <w:rPr>
          <w:rFonts w:ascii="宋体" w:hAnsi="宋体" w:cs="宋体" w:eastAsia="宋体"/>
          <w:sz w:val="21"/>
        </w:rPr>
        <w:t>耐湿热性能</w:t>
      </w:r>
      <w:r>
        <w:rPr>
          <w:rFonts w:ascii="calibri" w:hAnsi="calibri" w:cs="calibri" w:eastAsia="calibri"/>
          <w:sz w:val="21"/>
        </w:rPr>
        <w:t>≥5000</w:t>
      </w:r>
      <w:r>
        <w:rPr>
          <w:rFonts w:ascii="宋体" w:hAnsi="宋体" w:cs="宋体" w:eastAsia="宋体"/>
          <w:sz w:val="21"/>
        </w:rPr>
        <w:t>小时</w:t>
      </w:r>
      <w:r>
        <w:rPr>
          <w:rFonts w:ascii="宋体" w:hAnsi="宋体" w:cs="宋体" w:eastAsia="宋体"/>
          <w:sz w:val="21"/>
        </w:rPr>
        <w:t>，</w:t>
      </w:r>
      <w:r>
        <w:rPr>
          <w:rFonts w:ascii="宋体" w:hAnsi="宋体" w:cs="宋体" w:eastAsia="宋体"/>
          <w:sz w:val="21"/>
        </w:rPr>
        <w:t>耐盐雾腐蚀性能</w:t>
      </w:r>
      <w:r>
        <w:rPr>
          <w:rFonts w:ascii="calibri" w:hAnsi="calibri" w:cs="calibri" w:eastAsia="calibri"/>
          <w:sz w:val="21"/>
        </w:rPr>
        <w:t>≥5000</w:t>
      </w:r>
      <w:r>
        <w:rPr>
          <w:rFonts w:ascii="宋体" w:hAnsi="宋体" w:cs="宋体" w:eastAsia="宋体"/>
          <w:sz w:val="21"/>
        </w:rPr>
        <w:t>小时检验。</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）护栏所用镀锌钢材的镀层质量</w:t>
      </w:r>
      <w:r>
        <w:rPr>
          <w:rFonts w:ascii="calibri" w:hAnsi="calibri" w:cs="calibri" w:eastAsia="calibri"/>
          <w:sz w:val="21"/>
        </w:rPr>
        <w:t>≥450g/</w:t>
      </w:r>
      <w:r>
        <w:rPr>
          <w:rFonts w:ascii="宋体" w:hAnsi="宋体" w:cs="宋体" w:eastAsia="宋体"/>
          <w:sz w:val="21"/>
        </w:rPr>
        <w:t>㎡。</w:t>
      </w:r>
    </w:p>
    <w:p>
      <w:pPr>
        <w:pStyle w:val="null3"/>
        <w:spacing w:before="135" w:after="135"/>
        <w:ind w:firstLine="420"/>
      </w:pPr>
      <w:r>
        <w:rPr>
          <w:rFonts w:ascii="calibri" w:hAnsi="calibri" w:cs="calibri" w:eastAsia="calibri"/>
          <w:sz w:val="21"/>
        </w:rPr>
        <w:t>6</w:t>
      </w:r>
      <w:r>
        <w:rPr>
          <w:rFonts w:ascii="宋体" w:hAnsi="宋体" w:cs="宋体" w:eastAsia="宋体"/>
          <w:sz w:val="21"/>
        </w:rPr>
        <w:t>、主要设备性能指标要求</w:t>
      </w:r>
    </w:p>
    <w:p>
      <w:pPr>
        <w:pStyle w:val="null3"/>
        <w:spacing w:before="135" w:after="135"/>
        <w:ind w:firstLine="42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7</w:t>
      </w:r>
      <w:r>
        <w:rPr>
          <w:rFonts w:ascii="宋体" w:hAnsi="宋体" w:cs="宋体" w:eastAsia="宋体"/>
          <w:sz w:val="21"/>
          <w:b/>
        </w:rPr>
        <w:t>）</w:t>
      </w:r>
      <w:r>
        <w:rPr>
          <w:rFonts w:ascii="calibri" w:hAnsi="calibri" w:cs="calibri" w:eastAsia="calibri"/>
          <w:sz w:val="21"/>
        </w:rPr>
        <w:t>6.1.</w:t>
      </w:r>
      <w:r>
        <w:rPr>
          <w:rFonts w:ascii="calibri" w:hAnsi="calibri" w:cs="calibri" w:eastAsia="calibri"/>
          <w:sz w:val="21"/>
        </w:rPr>
        <w:t xml:space="preserve"> </w:t>
      </w:r>
      <w:r>
        <w:rPr>
          <w:rFonts w:ascii="宋体" w:hAnsi="宋体" w:cs="宋体" w:eastAsia="宋体"/>
          <w:sz w:val="21"/>
        </w:rPr>
        <w:t>协调式交通信号控制机</w:t>
      </w:r>
      <w:r>
        <w:rPr>
          <w:rFonts w:ascii="宋体" w:hAnsi="宋体" w:cs="宋体" w:eastAsia="宋体"/>
          <w:sz w:val="21"/>
        </w:rPr>
        <w:t>设备</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）符合公安部按照《道路交通信号控制机》（</w:t>
      </w:r>
      <w:r>
        <w:rPr>
          <w:rFonts w:ascii="calibri" w:hAnsi="calibri" w:cs="calibri" w:eastAsia="calibri"/>
          <w:sz w:val="21"/>
        </w:rPr>
        <w:t>GB25280-2016</w:t>
      </w:r>
      <w:r>
        <w:rPr>
          <w:rFonts w:ascii="宋体" w:hAnsi="宋体" w:cs="宋体" w:eastAsia="宋体"/>
          <w:sz w:val="21"/>
        </w:rPr>
        <w:t>）标准，信号控制机的系统采用强实时多任务操作系统，与采购人指挥中心已建的信号协调系统完全兼容</w:t>
      </w:r>
      <w:r>
        <w:rPr>
          <w:rFonts w:ascii="calibri" w:hAnsi="calibri" w:cs="calibri" w:eastAsia="calibri"/>
          <w:sz w:val="21"/>
        </w:rPr>
        <w:t>,</w:t>
      </w:r>
      <w:r>
        <w:rPr>
          <w:rFonts w:ascii="宋体" w:hAnsi="宋体" w:cs="宋体" w:eastAsia="宋体"/>
          <w:sz w:val="21"/>
        </w:rPr>
        <w:t>并实现利用现有交通信号系统联网控制。</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）应支持</w:t>
      </w:r>
      <w:r>
        <w:rPr>
          <w:rFonts w:ascii="calibri" w:hAnsi="calibri" w:cs="calibri" w:eastAsia="calibri"/>
          <w:sz w:val="21"/>
        </w:rPr>
        <w:t>≥48</w:t>
      </w:r>
      <w:r>
        <w:rPr>
          <w:rFonts w:ascii="宋体" w:hAnsi="宋体" w:cs="宋体" w:eastAsia="宋体"/>
          <w:sz w:val="21"/>
        </w:rPr>
        <w:t>路输出，每个输出端子均可定义为机动车灯或人行灯，并独立工作，在信号机内部相位单元上能观察到各个信号灯组灯色的工作状态；</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）应支持配置</w:t>
      </w:r>
      <w:r>
        <w:rPr>
          <w:rFonts w:ascii="calibri" w:hAnsi="calibri" w:cs="calibri" w:eastAsia="calibri"/>
          <w:sz w:val="21"/>
        </w:rPr>
        <w:t>≥108</w:t>
      </w:r>
      <w:r>
        <w:rPr>
          <w:rFonts w:ascii="宋体" w:hAnsi="宋体" w:cs="宋体" w:eastAsia="宋体"/>
          <w:sz w:val="21"/>
        </w:rPr>
        <w:t>个定周期配时方案、</w:t>
      </w:r>
      <w:r>
        <w:rPr>
          <w:rFonts w:ascii="calibri" w:hAnsi="calibri" w:cs="calibri" w:eastAsia="calibri"/>
          <w:sz w:val="21"/>
        </w:rPr>
        <w:t>≥16</w:t>
      </w:r>
      <w:r>
        <w:rPr>
          <w:rFonts w:ascii="宋体" w:hAnsi="宋体" w:cs="宋体" w:eastAsia="宋体"/>
          <w:sz w:val="21"/>
        </w:rPr>
        <w:t>个时段表，每个时段表可以根据用户需要设置不同时段执行不同控制方案；可调度实现区分工作日与非工作日方案、平时与节假日方案；</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）交通信号控制器柜门内嵌在柜体内，连接柜门与柜体的铰链突出柜体表面小于</w:t>
      </w:r>
      <w:r>
        <w:rPr>
          <w:rFonts w:ascii="calibri" w:hAnsi="calibri" w:cs="calibri" w:eastAsia="calibri"/>
          <w:sz w:val="21"/>
        </w:rPr>
        <w:t>3mm</w:t>
      </w:r>
      <w:r>
        <w:rPr>
          <w:rFonts w:ascii="宋体" w:hAnsi="宋体" w:cs="宋体" w:eastAsia="宋体"/>
          <w:sz w:val="21"/>
        </w:rPr>
        <w:t>，柜门（前门、后门、侧门）与柜体的缝隙小于</w:t>
      </w:r>
      <w:r>
        <w:rPr>
          <w:rFonts w:ascii="calibri" w:hAnsi="calibri" w:cs="calibri" w:eastAsia="calibri"/>
          <w:sz w:val="21"/>
        </w:rPr>
        <w:t>3mm</w:t>
      </w:r>
      <w:r>
        <w:rPr>
          <w:rFonts w:ascii="宋体" w:hAnsi="宋体" w:cs="宋体" w:eastAsia="宋体"/>
          <w:sz w:val="21"/>
        </w:rPr>
        <w:t>，避免人为破坏信号机，保障信号机安全。</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）支持宽电压功能，适应电压不稳定的工作环境，应能在</w:t>
      </w:r>
      <w:r>
        <w:rPr>
          <w:rFonts w:ascii="calibri" w:hAnsi="calibri" w:cs="calibri" w:eastAsia="calibri"/>
          <w:sz w:val="21"/>
        </w:rPr>
        <w:t>AC88V~264V</w:t>
      </w:r>
      <w:r>
        <w:rPr>
          <w:rFonts w:ascii="宋体" w:hAnsi="宋体" w:cs="宋体" w:eastAsia="宋体"/>
          <w:sz w:val="21"/>
        </w:rPr>
        <w:t>，</w:t>
      </w:r>
      <w:r>
        <w:rPr>
          <w:rFonts w:ascii="calibri" w:hAnsi="calibri" w:cs="calibri" w:eastAsia="calibri"/>
          <w:sz w:val="21"/>
        </w:rPr>
        <w:t>50/60Hz</w:t>
      </w:r>
      <w:r>
        <w:rPr>
          <w:rFonts w:ascii="宋体" w:hAnsi="宋体" w:cs="宋体" w:eastAsia="宋体"/>
          <w:sz w:val="21"/>
        </w:rPr>
        <w:t>电压下正常启动。</w:t>
      </w:r>
      <w:r>
        <w:rPr>
          <w:rFonts w:ascii="宋体" w:hAnsi="宋体" w:cs="宋体" w:eastAsia="宋体"/>
          <w:sz w:val="21"/>
        </w:rPr>
        <w:t>（提供投标截止时间前生效的具有</w:t>
      </w:r>
      <w:r>
        <w:rPr>
          <w:rFonts w:ascii="calibri" w:hAnsi="calibri" w:cs="calibri" w:eastAsia="calibri"/>
          <w:sz w:val="21"/>
        </w:rPr>
        <w:t>CMA</w:t>
      </w:r>
      <w:r>
        <w:rPr>
          <w:rFonts w:ascii="宋体" w:hAnsi="宋体" w:cs="宋体" w:eastAsia="宋体"/>
          <w:sz w:val="21"/>
        </w:rPr>
        <w:t>或</w:t>
      </w:r>
      <w:r>
        <w:rPr>
          <w:rFonts w:ascii="calibri" w:hAnsi="calibri" w:cs="calibri" w:eastAsia="calibri"/>
          <w:sz w:val="21"/>
        </w:rPr>
        <w:t>CNAS</w:t>
      </w:r>
      <w:r>
        <w:rPr>
          <w:rFonts w:ascii="宋体" w:hAnsi="宋体" w:cs="宋体" w:eastAsia="宋体"/>
          <w:sz w:val="21"/>
        </w:rPr>
        <w:t>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）应支持有线、无线联网，且具备网络链路冗余备份机制，保障系统网络稳定性；</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）支持定周期、多时段定周期、感应、单点优化、无缆线协调、拥堵</w:t>
      </w:r>
      <w:r>
        <w:rPr>
          <w:rFonts w:ascii="calibri" w:hAnsi="calibri" w:cs="calibri" w:eastAsia="calibri"/>
          <w:sz w:val="21"/>
        </w:rPr>
        <w:t>/</w:t>
      </w:r>
      <w:r>
        <w:rPr>
          <w:rFonts w:ascii="宋体" w:hAnsi="宋体" w:cs="宋体" w:eastAsia="宋体"/>
          <w:sz w:val="21"/>
        </w:rPr>
        <w:t>反溢控制、黄闪控制、黑灯、手动控制等功能；</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）信号机采用的芯片具有精确的时钟，与现有中心系统联接后，系统可定时校准信号机时钟，采用具有时、分、秒、年、月、日、星期的晶体时钟计时，保证信号机时钟精度在</w:t>
      </w:r>
      <w:r>
        <w:rPr>
          <w:rFonts w:ascii="calibri" w:hAnsi="calibri" w:cs="calibri" w:eastAsia="calibri"/>
          <w:sz w:val="21"/>
        </w:rPr>
        <w:t xml:space="preserve">1 </w:t>
      </w:r>
      <w:r>
        <w:rPr>
          <w:rFonts w:ascii="宋体" w:hAnsi="宋体" w:cs="宋体" w:eastAsia="宋体"/>
          <w:sz w:val="21"/>
        </w:rPr>
        <w:t>秒内。若信号机不与中心连接，配置</w:t>
      </w:r>
      <w:r>
        <w:rPr>
          <w:rFonts w:ascii="calibri" w:hAnsi="calibri" w:cs="calibri" w:eastAsia="calibri"/>
          <w:sz w:val="21"/>
        </w:rPr>
        <w:t>GPS</w:t>
      </w:r>
      <w:r>
        <w:rPr>
          <w:rFonts w:ascii="宋体" w:hAnsi="宋体" w:cs="宋体" w:eastAsia="宋体"/>
          <w:sz w:val="21"/>
        </w:rPr>
        <w:t>接口，可通过</w:t>
      </w:r>
      <w:r>
        <w:rPr>
          <w:rFonts w:ascii="calibri" w:hAnsi="calibri" w:cs="calibri" w:eastAsia="calibri"/>
          <w:sz w:val="21"/>
        </w:rPr>
        <w:t xml:space="preserve">GPS </w:t>
      </w:r>
      <w:r>
        <w:rPr>
          <w:rFonts w:ascii="宋体" w:hAnsi="宋体" w:cs="宋体" w:eastAsia="宋体"/>
          <w:sz w:val="21"/>
        </w:rPr>
        <w:t>接口进行精确的时钟校准，保证时钟分秒无差。停电时由电池保持时钟继续工作，采用锂电池作为后备电源；</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w:t>
      </w:r>
      <w:r>
        <w:rPr>
          <w:rFonts w:ascii="宋体" w:hAnsi="宋体" w:cs="宋体" w:eastAsia="宋体"/>
          <w:sz w:val="21"/>
        </w:rPr>
        <w:t>信号机支持接入电子警察的数据，可实时采集每个车道的流量和时间占有率数据，并应用于信号机的自适应控制；</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w:t>
      </w:r>
      <w:r>
        <w:rPr>
          <w:rFonts w:ascii="宋体" w:hAnsi="宋体" w:cs="宋体" w:eastAsia="宋体"/>
          <w:sz w:val="21"/>
        </w:rPr>
        <w:t>具有故障自检功能，如信号机死机时迅速做出反应重新启动信号机；出现绿灯冲突时，马上切换到黄闪状态，对绿冲突进行检测和处理，并记录绿冲突的灯组；对信号灯驱动部分和外线出现的故障以及信号机各主要部件的故障进行自动检测和记录；</w:t>
      </w:r>
    </w:p>
    <w:p>
      <w:pPr>
        <w:pStyle w:val="null3"/>
        <w:spacing w:before="135" w:after="135"/>
        <w:ind w:firstLine="420"/>
      </w:pPr>
      <w:r>
        <w:rPr>
          <w:rFonts w:ascii="宋体" w:hAnsi="宋体" w:cs="宋体" w:eastAsia="宋体"/>
          <w:sz w:val="21"/>
        </w:rPr>
        <w:t>（</w:t>
      </w:r>
      <w:r>
        <w:rPr>
          <w:rFonts w:ascii="calibri" w:hAnsi="calibri" w:cs="calibri" w:eastAsia="calibri"/>
          <w:sz w:val="21"/>
        </w:rPr>
        <w:t>11</w:t>
      </w:r>
      <w:r>
        <w:rPr>
          <w:rFonts w:ascii="宋体" w:hAnsi="宋体" w:cs="宋体" w:eastAsia="宋体"/>
          <w:sz w:val="21"/>
        </w:rPr>
        <w:t>）</w:t>
      </w:r>
      <w:r>
        <w:rPr>
          <w:rFonts w:ascii="宋体" w:hAnsi="宋体" w:cs="宋体" w:eastAsia="宋体"/>
          <w:sz w:val="21"/>
        </w:rPr>
        <w:t>交通信号控制器支持接入主电、备电，支持主备电自动切换，具备供电链路故障降级机制，保障信号机稳定供电且不影响路口正常放行；</w:t>
      </w:r>
    </w:p>
    <w:p>
      <w:pPr>
        <w:pStyle w:val="null3"/>
        <w:spacing w:before="135" w:after="135"/>
        <w:ind w:firstLine="420"/>
      </w:pPr>
      <w:r>
        <w:rPr>
          <w:rFonts w:ascii="宋体" w:hAnsi="宋体" w:cs="宋体" w:eastAsia="宋体"/>
          <w:sz w:val="21"/>
        </w:rPr>
        <w:t>（</w:t>
      </w:r>
      <w:r>
        <w:rPr>
          <w:rFonts w:ascii="calibri" w:hAnsi="calibri" w:cs="calibri" w:eastAsia="calibri"/>
          <w:sz w:val="21"/>
        </w:rPr>
        <w:t>12</w:t>
      </w:r>
      <w:r>
        <w:rPr>
          <w:rFonts w:ascii="宋体" w:hAnsi="宋体" w:cs="宋体" w:eastAsia="宋体"/>
          <w:sz w:val="21"/>
        </w:rPr>
        <w:t>）</w:t>
      </w:r>
      <w:r>
        <w:rPr>
          <w:rFonts w:ascii="宋体" w:hAnsi="宋体" w:cs="宋体" w:eastAsia="宋体"/>
          <w:sz w:val="21"/>
        </w:rPr>
        <w:t>信号机内置</w:t>
      </w:r>
      <w:r>
        <w:rPr>
          <w:rFonts w:ascii="calibri" w:hAnsi="calibri" w:cs="calibri" w:eastAsia="calibri"/>
          <w:sz w:val="21"/>
        </w:rPr>
        <w:t>WEB</w:t>
      </w:r>
      <w:r>
        <w:rPr>
          <w:rFonts w:ascii="宋体" w:hAnsi="宋体" w:cs="宋体" w:eastAsia="宋体"/>
          <w:sz w:val="21"/>
        </w:rPr>
        <w:t>服务，可通过浏览器远程升级信号机嵌入式程序，无须路口现场工作，提高维护工作效率；</w:t>
      </w:r>
    </w:p>
    <w:p>
      <w:pPr>
        <w:pStyle w:val="null3"/>
        <w:spacing w:before="135" w:after="135"/>
        <w:ind w:firstLine="420"/>
      </w:pPr>
      <w:r>
        <w:rPr>
          <w:rFonts w:ascii="宋体" w:hAnsi="宋体" w:cs="宋体" w:eastAsia="宋体"/>
          <w:sz w:val="21"/>
        </w:rPr>
        <w:t>（</w:t>
      </w:r>
      <w:r>
        <w:rPr>
          <w:rFonts w:ascii="calibri" w:hAnsi="calibri" w:cs="calibri" w:eastAsia="calibri"/>
          <w:sz w:val="21"/>
        </w:rPr>
        <w:t>13</w:t>
      </w:r>
      <w:r>
        <w:rPr>
          <w:rFonts w:ascii="宋体" w:hAnsi="宋体" w:cs="宋体" w:eastAsia="宋体"/>
          <w:sz w:val="21"/>
        </w:rPr>
        <w:t>）</w:t>
      </w:r>
      <w:r>
        <w:rPr>
          <w:rFonts w:ascii="宋体" w:hAnsi="宋体" w:cs="宋体" w:eastAsia="宋体"/>
          <w:sz w:val="21"/>
        </w:rPr>
        <w:t>支持配置全彩</w:t>
      </w:r>
      <w:r>
        <w:rPr>
          <w:rFonts w:ascii="calibri" w:hAnsi="calibri" w:cs="calibri" w:eastAsia="calibri"/>
          <w:sz w:val="21"/>
        </w:rPr>
        <w:t>LCD</w:t>
      </w:r>
      <w:r>
        <w:rPr>
          <w:rFonts w:ascii="宋体" w:hAnsi="宋体" w:cs="宋体" w:eastAsia="宋体"/>
          <w:sz w:val="21"/>
        </w:rPr>
        <w:t>液晶显示屏，可在现场进行触摸操作，无须携带笔记本等终端设备，即可完成信号机方案配置与操作；</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1</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14</w:t>
      </w:r>
      <w:r>
        <w:rPr>
          <w:rFonts w:ascii="宋体" w:hAnsi="宋体" w:cs="宋体" w:eastAsia="宋体"/>
          <w:sz w:val="21"/>
        </w:rPr>
        <w:t>）▲支持与视频车辆检测器的对接，可通过信号机将视频车辆检测器采集的交通流数据（流量、速度、占有率、车头时距、车长度分类、排队长度等）上传至信号控制系统，以便对信号配时进行动态调整。</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15</w:t>
      </w:r>
      <w:r>
        <w:rPr>
          <w:rFonts w:ascii="宋体" w:hAnsi="宋体" w:cs="宋体" w:eastAsia="宋体"/>
          <w:sz w:val="21"/>
        </w:rPr>
        <w:t>）</w:t>
      </w:r>
      <w:r>
        <w:rPr>
          <w:rFonts w:ascii="宋体" w:hAnsi="宋体" w:cs="宋体" w:eastAsia="宋体"/>
          <w:sz w:val="21"/>
        </w:rPr>
        <w:t>机柜应采用防锈、防腐蚀材料或做过防锈、防腐蚀处理的材料；印刷电路板材料及部件应进行防潮、防腐、防盐雾的处理；</w:t>
      </w:r>
    </w:p>
    <w:p>
      <w:pPr>
        <w:pStyle w:val="null3"/>
        <w:spacing w:before="135" w:after="135"/>
        <w:ind w:firstLine="420"/>
      </w:pPr>
      <w:r>
        <w:rPr>
          <w:rFonts w:ascii="宋体" w:hAnsi="宋体" w:cs="宋体" w:eastAsia="宋体"/>
          <w:sz w:val="21"/>
        </w:rPr>
        <w:t>（</w:t>
      </w:r>
      <w:r>
        <w:rPr>
          <w:rFonts w:ascii="calibri" w:hAnsi="calibri" w:cs="calibri" w:eastAsia="calibri"/>
          <w:sz w:val="21"/>
        </w:rPr>
        <w:t>16</w:t>
      </w:r>
      <w:r>
        <w:rPr>
          <w:rFonts w:ascii="宋体" w:hAnsi="宋体" w:cs="宋体" w:eastAsia="宋体"/>
          <w:sz w:val="21"/>
        </w:rPr>
        <w:t>）</w:t>
      </w:r>
      <w:r>
        <w:rPr>
          <w:rFonts w:ascii="宋体" w:hAnsi="宋体" w:cs="宋体" w:eastAsia="宋体"/>
          <w:sz w:val="21"/>
        </w:rPr>
        <w:t>机柜门满足公安部相关标准要求，门的尺寸应尽可能接近机柜的外部尺寸，机柜门的最大开启角度应大于</w:t>
      </w:r>
      <w:r>
        <w:rPr>
          <w:rFonts w:ascii="calibri" w:hAnsi="calibri" w:cs="calibri" w:eastAsia="calibri"/>
          <w:sz w:val="21"/>
        </w:rPr>
        <w:t>120</w:t>
      </w:r>
      <w:r>
        <w:rPr>
          <w:rFonts w:ascii="宋体" w:hAnsi="宋体" w:cs="宋体" w:eastAsia="宋体"/>
          <w:sz w:val="21"/>
        </w:rPr>
        <w:t>度角；机柜门应设有牢固的统一门锁，以防止被非法使用者打开，门锁上应有保护装置；</w:t>
      </w:r>
    </w:p>
    <w:p>
      <w:pPr>
        <w:pStyle w:val="null3"/>
        <w:spacing w:before="135" w:after="135"/>
        <w:ind w:firstLine="420"/>
      </w:pPr>
      <w:r>
        <w:rPr>
          <w:rFonts w:ascii="宋体" w:hAnsi="宋体" w:cs="宋体" w:eastAsia="宋体"/>
          <w:sz w:val="21"/>
        </w:rPr>
        <w:t>（</w:t>
      </w:r>
      <w:r>
        <w:rPr>
          <w:rFonts w:ascii="calibri" w:hAnsi="calibri" w:cs="calibri" w:eastAsia="calibri"/>
          <w:sz w:val="21"/>
        </w:rPr>
        <w:t>17</w:t>
      </w:r>
      <w:r>
        <w:rPr>
          <w:rFonts w:ascii="宋体" w:hAnsi="宋体" w:cs="宋体" w:eastAsia="宋体"/>
          <w:sz w:val="21"/>
        </w:rPr>
        <w:t>）</w:t>
      </w:r>
      <w:r>
        <w:rPr>
          <w:rFonts w:ascii="宋体" w:hAnsi="宋体" w:cs="宋体" w:eastAsia="宋体"/>
          <w:sz w:val="21"/>
        </w:rPr>
        <w:t>整机功耗：＜</w:t>
      </w:r>
      <w:r>
        <w:rPr>
          <w:rFonts w:ascii="calibri" w:hAnsi="calibri" w:cs="calibri" w:eastAsia="calibri"/>
          <w:sz w:val="21"/>
        </w:rPr>
        <w:t>100W</w:t>
      </w:r>
      <w:r>
        <w:rPr>
          <w:rFonts w:ascii="宋体" w:hAnsi="宋体" w:cs="宋体" w:eastAsia="宋体"/>
          <w:sz w:val="21"/>
        </w:rPr>
        <w:t>（不包括信号灯及外围设备功耗）；</w:t>
      </w:r>
    </w:p>
    <w:p>
      <w:pPr>
        <w:pStyle w:val="null3"/>
        <w:spacing w:before="135" w:after="135"/>
        <w:ind w:firstLine="420"/>
      </w:pPr>
      <w:r>
        <w:rPr>
          <w:rFonts w:ascii="宋体" w:hAnsi="宋体" w:cs="宋体" w:eastAsia="宋体"/>
          <w:sz w:val="21"/>
        </w:rPr>
        <w:t>（</w:t>
      </w:r>
      <w:r>
        <w:rPr>
          <w:rFonts w:ascii="calibri" w:hAnsi="calibri" w:cs="calibri" w:eastAsia="calibri"/>
          <w:sz w:val="21"/>
        </w:rPr>
        <w:t>18</w:t>
      </w:r>
      <w:r>
        <w:rPr>
          <w:rFonts w:ascii="宋体" w:hAnsi="宋体" w:cs="宋体" w:eastAsia="宋体"/>
          <w:sz w:val="21"/>
        </w:rPr>
        <w:t>）</w:t>
      </w:r>
      <w:r>
        <w:rPr>
          <w:rFonts w:ascii="宋体" w:hAnsi="宋体" w:cs="宋体" w:eastAsia="宋体"/>
          <w:sz w:val="21"/>
        </w:rPr>
        <w:t>环境相对湿度：</w:t>
      </w:r>
      <w:r>
        <w:rPr>
          <w:rFonts w:ascii="calibri" w:hAnsi="calibri" w:cs="calibri" w:eastAsia="calibri"/>
          <w:sz w:val="21"/>
        </w:rPr>
        <w:t>≤95</w:t>
      </w:r>
      <w:r>
        <w:rPr>
          <w:rFonts w:ascii="宋体" w:hAnsi="宋体" w:cs="宋体" w:eastAsia="宋体"/>
          <w:sz w:val="21"/>
        </w:rPr>
        <w:t>％，非冷凝；</w:t>
      </w:r>
    </w:p>
    <w:p>
      <w:pPr>
        <w:pStyle w:val="null3"/>
        <w:spacing w:before="135" w:after="135"/>
        <w:ind w:firstLine="420"/>
      </w:pPr>
      <w:r>
        <w:rPr>
          <w:rFonts w:ascii="宋体" w:hAnsi="宋体" w:cs="宋体" w:eastAsia="宋体"/>
          <w:sz w:val="21"/>
        </w:rPr>
        <w:t>（</w:t>
      </w:r>
      <w:r>
        <w:rPr>
          <w:rFonts w:ascii="calibri" w:hAnsi="calibri" w:cs="calibri" w:eastAsia="calibri"/>
          <w:sz w:val="21"/>
        </w:rPr>
        <w:t>19</w:t>
      </w:r>
      <w:r>
        <w:rPr>
          <w:rFonts w:ascii="宋体" w:hAnsi="宋体" w:cs="宋体" w:eastAsia="宋体"/>
          <w:sz w:val="21"/>
        </w:rPr>
        <w:t>）</w:t>
      </w:r>
      <w:r>
        <w:rPr>
          <w:rFonts w:ascii="宋体" w:hAnsi="宋体" w:cs="宋体" w:eastAsia="宋体"/>
          <w:sz w:val="21"/>
        </w:rPr>
        <w:t>绝缘电阻：常态下</w:t>
      </w:r>
      <w:r>
        <w:rPr>
          <w:rFonts w:ascii="宋体" w:hAnsi="宋体" w:cs="宋体" w:eastAsia="宋体"/>
          <w:sz w:val="21"/>
        </w:rPr>
        <w:t>＞</w:t>
      </w:r>
      <w:r>
        <w:rPr>
          <w:rFonts w:ascii="calibri" w:hAnsi="calibri" w:cs="calibri" w:eastAsia="calibri"/>
          <w:sz w:val="21"/>
        </w:rPr>
        <w:t>500MΩ</w:t>
      </w:r>
      <w:r>
        <w:rPr>
          <w:rFonts w:ascii="宋体" w:hAnsi="宋体" w:cs="宋体" w:eastAsia="宋体"/>
          <w:sz w:val="21"/>
        </w:rPr>
        <w:t>（温度</w:t>
      </w:r>
      <w:r>
        <w:rPr>
          <w:rFonts w:ascii="calibri" w:hAnsi="calibri" w:cs="calibri" w:eastAsia="calibri"/>
          <w:sz w:val="21"/>
        </w:rPr>
        <w:t>15-35</w:t>
      </w:r>
      <w:r>
        <w:rPr>
          <w:rFonts w:ascii="宋体" w:hAnsi="宋体" w:cs="宋体" w:eastAsia="宋体"/>
          <w:sz w:val="21"/>
        </w:rPr>
        <w:t>℃</w:t>
      </w:r>
      <w:r>
        <w:rPr>
          <w:rFonts w:ascii="宋体" w:hAnsi="宋体" w:cs="宋体" w:eastAsia="宋体"/>
          <w:sz w:val="21"/>
        </w:rPr>
        <w:t>，湿度</w:t>
      </w:r>
      <w:r>
        <w:rPr>
          <w:rFonts w:ascii="calibri" w:hAnsi="calibri" w:cs="calibri" w:eastAsia="calibri"/>
          <w:sz w:val="21"/>
        </w:rPr>
        <w:t>40-60%</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20</w:t>
      </w:r>
      <w:r>
        <w:rPr>
          <w:rFonts w:ascii="宋体" w:hAnsi="宋体" w:cs="宋体" w:eastAsia="宋体"/>
          <w:sz w:val="21"/>
        </w:rPr>
        <w:t>）</w:t>
      </w:r>
      <w:r>
        <w:rPr>
          <w:rFonts w:ascii="宋体" w:hAnsi="宋体" w:cs="宋体" w:eastAsia="宋体"/>
          <w:sz w:val="21"/>
        </w:rPr>
        <w:t>耐压性能要求：能承受</w:t>
      </w:r>
      <w:r>
        <w:rPr>
          <w:rFonts w:ascii="calibri" w:hAnsi="calibri" w:cs="calibri" w:eastAsia="calibri"/>
          <w:sz w:val="21"/>
        </w:rPr>
        <w:t>1500VAC 50HZ</w:t>
      </w:r>
      <w:r>
        <w:rPr>
          <w:rFonts w:ascii="宋体" w:hAnsi="宋体" w:cs="宋体" w:eastAsia="宋体"/>
          <w:sz w:val="21"/>
        </w:rPr>
        <w:t>，</w:t>
      </w:r>
      <w:r>
        <w:rPr>
          <w:rFonts w:ascii="calibri" w:hAnsi="calibri" w:cs="calibri" w:eastAsia="calibri"/>
          <w:sz w:val="21"/>
        </w:rPr>
        <w:t>1</w:t>
      </w:r>
      <w:r>
        <w:rPr>
          <w:rFonts w:ascii="宋体" w:hAnsi="宋体" w:cs="宋体" w:eastAsia="宋体"/>
          <w:sz w:val="21"/>
        </w:rPr>
        <w:t>分钟无击穿。</w:t>
      </w:r>
    </w:p>
    <w:p>
      <w:pPr>
        <w:pStyle w:val="null3"/>
        <w:spacing w:before="135" w:after="135"/>
        <w:ind w:firstLine="44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8</w:t>
      </w:r>
      <w:r>
        <w:rPr>
          <w:rFonts w:ascii="宋体" w:hAnsi="宋体" w:cs="宋体" w:eastAsia="宋体"/>
          <w:sz w:val="21"/>
          <w:b/>
        </w:rPr>
        <w:t>）</w:t>
      </w:r>
      <w:r>
        <w:rPr>
          <w:rFonts w:ascii="宋体" w:hAnsi="宋体" w:cs="宋体" w:eastAsia="宋体"/>
          <w:sz w:val="22"/>
        </w:rPr>
        <w:t>6.2.</w:t>
      </w:r>
      <w:r>
        <w:rPr>
          <w:rFonts w:ascii="宋体" w:hAnsi="宋体" w:cs="宋体" w:eastAsia="宋体"/>
          <w:sz w:val="21"/>
          <w:shd w:fill="FFFFFF" w:val="clear"/>
        </w:rPr>
        <w:t>交通信号满屏灯</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信号灯规格：</w:t>
      </w:r>
      <w:r>
        <w:rPr>
          <w:rFonts w:ascii="calibri" w:hAnsi="calibri" w:cs="calibri" w:eastAsia="calibri"/>
          <w:sz w:val="21"/>
        </w:rPr>
        <w:t>φ400mm</w:t>
      </w:r>
      <w:r>
        <w:rPr>
          <w:rFonts w:ascii="宋体" w:hAnsi="宋体" w:cs="宋体" w:eastAsia="宋体"/>
          <w:sz w:val="21"/>
        </w:rPr>
        <w:t>，红、黄、绿、满盘分立显示；</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壳体材质：镁铝合金压铸壳体，灯体尺寸：</w:t>
      </w:r>
      <w:r>
        <w:rPr>
          <w:rFonts w:ascii="calibri" w:hAnsi="calibri" w:cs="calibri" w:eastAsia="calibri"/>
          <w:sz w:val="21"/>
        </w:rPr>
        <w:t>1380</w:t>
      </w:r>
      <w:r>
        <w:rPr>
          <w:rFonts w:ascii="宋体" w:hAnsi="宋体" w:cs="宋体" w:eastAsia="宋体"/>
          <w:sz w:val="21"/>
        </w:rPr>
        <w:t>（长）</w:t>
      </w:r>
      <w:r>
        <w:rPr>
          <w:rFonts w:ascii="calibri" w:hAnsi="calibri" w:cs="calibri" w:eastAsia="calibri"/>
          <w:sz w:val="21"/>
        </w:rPr>
        <w:t>*455</w:t>
      </w:r>
      <w:r>
        <w:rPr>
          <w:rFonts w:ascii="宋体" w:hAnsi="宋体" w:cs="宋体" w:eastAsia="宋体"/>
          <w:sz w:val="21"/>
        </w:rPr>
        <w:t>（宽）</w:t>
      </w:r>
      <w:r>
        <w:rPr>
          <w:rFonts w:ascii="calibri" w:hAnsi="calibri" w:cs="calibri" w:eastAsia="calibri"/>
          <w:sz w:val="21"/>
        </w:rPr>
        <w:t>*130</w:t>
      </w:r>
      <w:r>
        <w:rPr>
          <w:rFonts w:ascii="宋体" w:hAnsi="宋体" w:cs="宋体" w:eastAsia="宋体"/>
          <w:sz w:val="21"/>
        </w:rPr>
        <w:t>（厚）</w:t>
      </w:r>
      <w:r>
        <w:rPr>
          <w:rFonts w:ascii="calibri" w:hAnsi="calibri" w:cs="calibri" w:eastAsia="calibri"/>
          <w:sz w:val="21"/>
        </w:rPr>
        <w:t>mm</w:t>
      </w:r>
      <w:r>
        <w:rPr>
          <w:rFonts w:ascii="宋体" w:hAnsi="宋体" w:cs="宋体" w:eastAsia="宋体"/>
          <w:sz w:val="21"/>
        </w:rPr>
        <w:t>，铝质装饰面板和帽沿，钢化玻璃面罩，不锈钢螺丝，整灯防护等级</w:t>
      </w:r>
      <w:r>
        <w:rPr>
          <w:rFonts w:ascii="calibri" w:hAnsi="calibri" w:cs="calibri" w:eastAsia="calibri"/>
          <w:sz w:val="21"/>
        </w:rPr>
        <w:t>IP53</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宋体" w:hAnsi="宋体" w:cs="宋体" w:eastAsia="宋体"/>
          <w:sz w:val="21"/>
        </w:rPr>
        <w:t>发光材料采用高亮度四元素</w:t>
      </w:r>
      <w:r>
        <w:rPr>
          <w:rFonts w:ascii="calibri" w:hAnsi="calibri" w:cs="calibri" w:eastAsia="calibri"/>
          <w:sz w:val="21"/>
        </w:rPr>
        <w:t>LED</w:t>
      </w:r>
      <w:r>
        <w:rPr>
          <w:rFonts w:ascii="宋体" w:hAnsi="宋体" w:cs="宋体" w:eastAsia="宋体"/>
          <w:sz w:val="21"/>
        </w:rPr>
        <w:t>发光管，单管中心亮度红管＞</w:t>
      </w:r>
      <w:r>
        <w:rPr>
          <w:rFonts w:ascii="calibri" w:hAnsi="calibri" w:cs="calibri" w:eastAsia="calibri"/>
          <w:sz w:val="21"/>
        </w:rPr>
        <w:t>4500mcd</w:t>
      </w:r>
      <w:r>
        <w:rPr>
          <w:rFonts w:ascii="宋体" w:hAnsi="宋体" w:cs="宋体" w:eastAsia="宋体"/>
          <w:sz w:val="21"/>
        </w:rPr>
        <w:t>，黄管＞</w:t>
      </w:r>
      <w:r>
        <w:rPr>
          <w:rFonts w:ascii="calibri" w:hAnsi="calibri" w:cs="calibri" w:eastAsia="calibri"/>
          <w:sz w:val="21"/>
        </w:rPr>
        <w:t>4500mcd</w:t>
      </w:r>
      <w:r>
        <w:rPr>
          <w:rFonts w:ascii="宋体" w:hAnsi="宋体" w:cs="宋体" w:eastAsia="宋体"/>
          <w:sz w:val="21"/>
        </w:rPr>
        <w:t>，绿管＞</w:t>
      </w:r>
      <w:r>
        <w:rPr>
          <w:rFonts w:ascii="calibri" w:hAnsi="calibri" w:cs="calibri" w:eastAsia="calibri"/>
          <w:sz w:val="21"/>
        </w:rPr>
        <w:t>8000mcd</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信号灯中心光强</w:t>
      </w:r>
      <w:r>
        <w:rPr>
          <w:rFonts w:ascii="calibri" w:hAnsi="calibri" w:cs="calibri" w:eastAsia="calibri"/>
          <w:sz w:val="21"/>
        </w:rPr>
        <w:t>800~1000CD</w:t>
      </w:r>
      <w:r>
        <w:rPr>
          <w:rFonts w:ascii="宋体" w:hAnsi="宋体" w:cs="宋体" w:eastAsia="宋体"/>
          <w:sz w:val="21"/>
        </w:rPr>
        <w:t>，色度性能符合</w:t>
      </w:r>
      <w:r>
        <w:rPr>
          <w:rFonts w:ascii="calibri" w:hAnsi="calibri" w:cs="calibri" w:eastAsia="calibri"/>
          <w:sz w:val="21"/>
        </w:rPr>
        <w:t>GB14887-2011</w:t>
      </w:r>
      <w:r>
        <w:rPr>
          <w:rFonts w:ascii="宋体" w:hAnsi="宋体" w:cs="宋体" w:eastAsia="宋体"/>
          <w:sz w:val="21"/>
        </w:rPr>
        <w:t>要求；</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发光管数量：红灯＞</w:t>
      </w:r>
      <w:r>
        <w:rPr>
          <w:rFonts w:ascii="calibri" w:hAnsi="calibri" w:cs="calibri" w:eastAsia="calibri"/>
          <w:sz w:val="21"/>
        </w:rPr>
        <w:t>300</w:t>
      </w:r>
      <w:r>
        <w:rPr>
          <w:rFonts w:ascii="宋体" w:hAnsi="宋体" w:cs="宋体" w:eastAsia="宋体"/>
          <w:sz w:val="21"/>
        </w:rPr>
        <w:t>颗，黄灯＞</w:t>
      </w:r>
      <w:r>
        <w:rPr>
          <w:rFonts w:ascii="calibri" w:hAnsi="calibri" w:cs="calibri" w:eastAsia="calibri"/>
          <w:sz w:val="21"/>
        </w:rPr>
        <w:t>300</w:t>
      </w:r>
      <w:r>
        <w:rPr>
          <w:rFonts w:ascii="宋体" w:hAnsi="宋体" w:cs="宋体" w:eastAsia="宋体"/>
          <w:sz w:val="21"/>
        </w:rPr>
        <w:t>颗，绿灯＞</w:t>
      </w:r>
      <w:r>
        <w:rPr>
          <w:rFonts w:ascii="calibri" w:hAnsi="calibri" w:cs="calibri" w:eastAsia="calibri"/>
          <w:sz w:val="21"/>
        </w:rPr>
        <w:t>190</w:t>
      </w:r>
      <w:r>
        <w:rPr>
          <w:rFonts w:ascii="宋体" w:hAnsi="宋体" w:cs="宋体" w:eastAsia="宋体"/>
          <w:sz w:val="21"/>
        </w:rPr>
        <w:t>颗；</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w:t>
      </w:r>
      <w:r>
        <w:rPr>
          <w:rFonts w:ascii="宋体" w:hAnsi="宋体" w:cs="宋体" w:eastAsia="宋体"/>
          <w:sz w:val="21"/>
        </w:rPr>
        <w:t>供电电源：</w:t>
      </w:r>
      <w:r>
        <w:rPr>
          <w:rFonts w:ascii="calibri" w:hAnsi="calibri" w:cs="calibri" w:eastAsia="calibri"/>
          <w:sz w:val="21"/>
        </w:rPr>
        <w:t>AC220V±20%</w:t>
      </w:r>
      <w:r>
        <w:rPr>
          <w:rFonts w:ascii="宋体" w:hAnsi="宋体" w:cs="宋体" w:eastAsia="宋体"/>
          <w:sz w:val="21"/>
        </w:rPr>
        <w:t>，</w:t>
      </w:r>
      <w:r>
        <w:rPr>
          <w:rFonts w:ascii="calibri" w:hAnsi="calibri" w:cs="calibri" w:eastAsia="calibri"/>
          <w:sz w:val="21"/>
        </w:rPr>
        <w:t>50HZ</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宋体" w:hAnsi="宋体" w:cs="宋体" w:eastAsia="宋体"/>
          <w:sz w:val="21"/>
        </w:rPr>
        <w:t>功率</w:t>
      </w:r>
      <w:r>
        <w:rPr>
          <w:rFonts w:ascii="calibri" w:hAnsi="calibri" w:cs="calibri" w:eastAsia="calibri"/>
          <w:sz w:val="21"/>
        </w:rPr>
        <w:t>≤15W</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功率因素＞</w:t>
      </w:r>
      <w:r>
        <w:rPr>
          <w:rFonts w:ascii="calibri" w:hAnsi="calibri" w:cs="calibri" w:eastAsia="calibri"/>
          <w:sz w:val="21"/>
        </w:rPr>
        <w:t>0.9</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w:t>
      </w:r>
      <w:r>
        <w:rPr>
          <w:rFonts w:ascii="宋体" w:hAnsi="宋体" w:cs="宋体" w:eastAsia="宋体"/>
          <w:sz w:val="21"/>
        </w:rPr>
        <w:t>启动关闭响应时间小于</w:t>
      </w:r>
      <w:r>
        <w:rPr>
          <w:rFonts w:ascii="calibri" w:hAnsi="calibri" w:cs="calibri" w:eastAsia="calibri"/>
          <w:sz w:val="21"/>
        </w:rPr>
        <w:t>0.1S</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w:t>
      </w:r>
      <w:r>
        <w:rPr>
          <w:rFonts w:ascii="宋体" w:hAnsi="宋体" w:cs="宋体" w:eastAsia="宋体"/>
          <w:sz w:val="21"/>
        </w:rPr>
        <w:t>红黄绿信号灯单元灯盘电源独立配置，并可无缝互换。</w:t>
      </w:r>
    </w:p>
    <w:p>
      <w:pPr>
        <w:pStyle w:val="null3"/>
        <w:spacing w:before="135" w:after="135"/>
        <w:ind w:firstLine="420"/>
      </w:pPr>
      <w:r>
        <w:rPr>
          <w:rFonts w:ascii="宋体" w:hAnsi="宋体" w:cs="宋体" w:eastAsia="宋体"/>
          <w:sz w:val="21"/>
        </w:rPr>
        <w:t>（</w:t>
      </w:r>
      <w:r>
        <w:rPr>
          <w:rFonts w:ascii="calibri" w:hAnsi="calibri" w:cs="calibri" w:eastAsia="calibri"/>
          <w:sz w:val="21"/>
        </w:rPr>
        <w:t>11</w:t>
      </w:r>
      <w:r>
        <w:rPr>
          <w:rFonts w:ascii="宋体" w:hAnsi="宋体" w:cs="宋体" w:eastAsia="宋体"/>
          <w:sz w:val="21"/>
        </w:rPr>
        <w:t>）</w:t>
      </w:r>
      <w:r>
        <w:rPr>
          <w:rFonts w:ascii="宋体" w:hAnsi="宋体" w:cs="宋体" w:eastAsia="宋体"/>
          <w:sz w:val="21"/>
        </w:rPr>
        <w:t>机动车信号灯杆件高度</w:t>
      </w:r>
      <w:r>
        <w:rPr>
          <w:rFonts w:ascii="calibri" w:hAnsi="calibri" w:cs="calibri" w:eastAsia="calibri"/>
          <w:sz w:val="21"/>
        </w:rPr>
        <w:t>6.5m,</w:t>
      </w:r>
      <w:r>
        <w:rPr>
          <w:rFonts w:ascii="宋体" w:hAnsi="宋体" w:cs="宋体" w:eastAsia="宋体"/>
          <w:sz w:val="21"/>
        </w:rPr>
        <w:t>臂长根据车道宽度设置。</w:t>
      </w:r>
    </w:p>
    <w:p>
      <w:pPr>
        <w:pStyle w:val="null3"/>
        <w:spacing w:before="135" w:after="135"/>
        <w:ind w:firstLine="44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9</w:t>
      </w:r>
      <w:r>
        <w:rPr>
          <w:rFonts w:ascii="宋体" w:hAnsi="宋体" w:cs="宋体" w:eastAsia="宋体"/>
          <w:sz w:val="21"/>
          <w:b/>
        </w:rPr>
        <w:t>）</w:t>
      </w:r>
      <w:r>
        <w:rPr>
          <w:rFonts w:ascii="宋体" w:hAnsi="宋体" w:cs="宋体" w:eastAsia="宋体"/>
          <w:sz w:val="22"/>
        </w:rPr>
        <w:t>6.3.</w:t>
      </w:r>
      <w:r>
        <w:rPr>
          <w:rFonts w:ascii="宋体" w:hAnsi="宋体" w:cs="宋体" w:eastAsia="宋体"/>
          <w:sz w:val="21"/>
          <w:shd w:fill="FFFFFF" w:val="clear"/>
        </w:rPr>
        <w:t>人行横道灯</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信号灯规格：</w:t>
      </w:r>
      <w:r>
        <w:rPr>
          <w:rFonts w:ascii="calibri" w:hAnsi="calibri" w:cs="calibri" w:eastAsia="calibri"/>
          <w:sz w:val="21"/>
        </w:rPr>
        <w:t>φ300mm</w:t>
      </w:r>
      <w:r>
        <w:rPr>
          <w:rFonts w:ascii="宋体" w:hAnsi="宋体" w:cs="宋体" w:eastAsia="宋体"/>
          <w:sz w:val="21"/>
        </w:rPr>
        <w:t>，从上至下分别为静态红人、动态绿人、红绿二合一倒计时；</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壳体材质：镁铝合金压铸壳体，灯体尺寸：</w:t>
      </w:r>
      <w:r>
        <w:rPr>
          <w:rFonts w:ascii="calibri" w:hAnsi="calibri" w:cs="calibri" w:eastAsia="calibri"/>
          <w:sz w:val="21"/>
        </w:rPr>
        <w:t>1065</w:t>
      </w:r>
      <w:r>
        <w:rPr>
          <w:rFonts w:ascii="宋体" w:hAnsi="宋体" w:cs="宋体" w:eastAsia="宋体"/>
          <w:sz w:val="21"/>
        </w:rPr>
        <w:t>（长）</w:t>
      </w:r>
      <w:r>
        <w:rPr>
          <w:rFonts w:ascii="calibri" w:hAnsi="calibri" w:cs="calibri" w:eastAsia="calibri"/>
          <w:sz w:val="21"/>
        </w:rPr>
        <w:t>*350</w:t>
      </w:r>
      <w:r>
        <w:rPr>
          <w:rFonts w:ascii="宋体" w:hAnsi="宋体" w:cs="宋体" w:eastAsia="宋体"/>
          <w:sz w:val="21"/>
        </w:rPr>
        <w:t>（宽）</w:t>
      </w:r>
      <w:r>
        <w:rPr>
          <w:rFonts w:ascii="calibri" w:hAnsi="calibri" w:cs="calibri" w:eastAsia="calibri"/>
          <w:sz w:val="21"/>
        </w:rPr>
        <w:t>*110</w:t>
      </w:r>
      <w:r>
        <w:rPr>
          <w:rFonts w:ascii="宋体" w:hAnsi="宋体" w:cs="宋体" w:eastAsia="宋体"/>
          <w:sz w:val="21"/>
        </w:rPr>
        <w:t>（厚）</w:t>
      </w:r>
      <w:r>
        <w:rPr>
          <w:rFonts w:ascii="calibri" w:hAnsi="calibri" w:cs="calibri" w:eastAsia="calibri"/>
          <w:sz w:val="21"/>
        </w:rPr>
        <w:t>mm</w:t>
      </w:r>
      <w:r>
        <w:rPr>
          <w:rFonts w:ascii="宋体" w:hAnsi="宋体" w:cs="宋体" w:eastAsia="宋体"/>
          <w:sz w:val="21"/>
        </w:rPr>
        <w:t>，铝质装饰面板和帽沿，钢化玻璃面罩，不锈钢螺丝，整灯防护等级</w:t>
      </w:r>
      <w:r>
        <w:rPr>
          <w:rFonts w:ascii="calibri" w:hAnsi="calibri" w:cs="calibri" w:eastAsia="calibri"/>
          <w:sz w:val="21"/>
        </w:rPr>
        <w:t>IP53</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宋体" w:hAnsi="宋体" w:cs="宋体" w:eastAsia="宋体"/>
          <w:sz w:val="21"/>
        </w:rPr>
        <w:t>发光材料采用高亮度四元素</w:t>
      </w:r>
      <w:r>
        <w:rPr>
          <w:rFonts w:ascii="calibri" w:hAnsi="calibri" w:cs="calibri" w:eastAsia="calibri"/>
          <w:sz w:val="21"/>
        </w:rPr>
        <w:t>LED</w:t>
      </w:r>
      <w:r>
        <w:rPr>
          <w:rFonts w:ascii="宋体" w:hAnsi="宋体" w:cs="宋体" w:eastAsia="宋体"/>
          <w:sz w:val="21"/>
        </w:rPr>
        <w:t>发光管，单管中心亮度红管＞</w:t>
      </w:r>
      <w:r>
        <w:rPr>
          <w:rFonts w:ascii="calibri" w:hAnsi="calibri" w:cs="calibri" w:eastAsia="calibri"/>
          <w:sz w:val="21"/>
        </w:rPr>
        <w:t>4500mcd</w:t>
      </w:r>
      <w:r>
        <w:rPr>
          <w:rFonts w:ascii="宋体" w:hAnsi="宋体" w:cs="宋体" w:eastAsia="宋体"/>
          <w:sz w:val="21"/>
        </w:rPr>
        <w:t>，黄管＞</w:t>
      </w:r>
      <w:r>
        <w:rPr>
          <w:rFonts w:ascii="calibri" w:hAnsi="calibri" w:cs="calibri" w:eastAsia="calibri"/>
          <w:sz w:val="21"/>
        </w:rPr>
        <w:t>4500mcd</w:t>
      </w:r>
      <w:r>
        <w:rPr>
          <w:rFonts w:ascii="宋体" w:hAnsi="宋体" w:cs="宋体" w:eastAsia="宋体"/>
          <w:sz w:val="21"/>
        </w:rPr>
        <w:t>，绿管＞</w:t>
      </w:r>
      <w:r>
        <w:rPr>
          <w:rFonts w:ascii="calibri" w:hAnsi="calibri" w:cs="calibri" w:eastAsia="calibri"/>
          <w:sz w:val="21"/>
        </w:rPr>
        <w:t>8000mcd</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信号灯中心发光强度大于</w:t>
      </w:r>
      <w:r>
        <w:rPr>
          <w:rFonts w:ascii="calibri" w:hAnsi="calibri" w:cs="calibri" w:eastAsia="calibri"/>
          <w:sz w:val="21"/>
        </w:rPr>
        <w:t>200CD</w:t>
      </w:r>
      <w:r>
        <w:rPr>
          <w:rFonts w:ascii="宋体" w:hAnsi="宋体" w:cs="宋体" w:eastAsia="宋体"/>
          <w:sz w:val="21"/>
        </w:rPr>
        <w:t>，色度性能符合</w:t>
      </w:r>
      <w:r>
        <w:rPr>
          <w:rFonts w:ascii="calibri" w:hAnsi="calibri" w:cs="calibri" w:eastAsia="calibri"/>
          <w:sz w:val="21"/>
        </w:rPr>
        <w:t>GB14887-2011</w:t>
      </w:r>
      <w:r>
        <w:rPr>
          <w:rFonts w:ascii="宋体" w:hAnsi="宋体" w:cs="宋体" w:eastAsia="宋体"/>
          <w:sz w:val="21"/>
        </w:rPr>
        <w:t>要求；</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发光管数量：红管</w:t>
      </w:r>
      <w:r>
        <w:rPr>
          <w:rFonts w:ascii="calibri" w:hAnsi="calibri" w:cs="calibri" w:eastAsia="calibri"/>
          <w:sz w:val="21"/>
        </w:rPr>
        <w:t>≥168</w:t>
      </w:r>
      <w:r>
        <w:rPr>
          <w:rFonts w:ascii="宋体" w:hAnsi="宋体" w:cs="宋体" w:eastAsia="宋体"/>
          <w:sz w:val="21"/>
        </w:rPr>
        <w:t>颗，绿管</w:t>
      </w:r>
      <w:r>
        <w:rPr>
          <w:rFonts w:ascii="calibri" w:hAnsi="calibri" w:cs="calibri" w:eastAsia="calibri"/>
          <w:sz w:val="21"/>
        </w:rPr>
        <w:t>≥140</w:t>
      </w:r>
      <w:r>
        <w:rPr>
          <w:rFonts w:ascii="宋体" w:hAnsi="宋体" w:cs="宋体" w:eastAsia="宋体"/>
          <w:sz w:val="21"/>
        </w:rPr>
        <w:t>颗；</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w:t>
      </w:r>
      <w:r>
        <w:rPr>
          <w:rFonts w:ascii="宋体" w:hAnsi="宋体" w:cs="宋体" w:eastAsia="宋体"/>
          <w:sz w:val="21"/>
        </w:rPr>
        <w:t>供电电源：</w:t>
      </w:r>
      <w:r>
        <w:rPr>
          <w:rFonts w:ascii="calibri" w:hAnsi="calibri" w:cs="calibri" w:eastAsia="calibri"/>
          <w:sz w:val="21"/>
        </w:rPr>
        <w:t>AC220V±20%</w:t>
      </w:r>
      <w:r>
        <w:rPr>
          <w:rFonts w:ascii="宋体" w:hAnsi="宋体" w:cs="宋体" w:eastAsia="宋体"/>
          <w:sz w:val="21"/>
        </w:rPr>
        <w:t>，</w:t>
      </w:r>
      <w:r>
        <w:rPr>
          <w:rFonts w:ascii="calibri" w:hAnsi="calibri" w:cs="calibri" w:eastAsia="calibri"/>
          <w:sz w:val="21"/>
        </w:rPr>
        <w:t>50HZ</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宋体" w:hAnsi="宋体" w:cs="宋体" w:eastAsia="宋体"/>
          <w:sz w:val="21"/>
        </w:rPr>
        <w:t>功率</w:t>
      </w:r>
      <w:r>
        <w:rPr>
          <w:rFonts w:ascii="calibri" w:hAnsi="calibri" w:cs="calibri" w:eastAsia="calibri"/>
          <w:sz w:val="21"/>
        </w:rPr>
        <w:t>≤12W</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功率因素＞</w:t>
      </w:r>
      <w:r>
        <w:rPr>
          <w:rFonts w:ascii="calibri" w:hAnsi="calibri" w:cs="calibri" w:eastAsia="calibri"/>
          <w:sz w:val="21"/>
        </w:rPr>
        <w:t>0.9</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w:t>
      </w:r>
      <w:r>
        <w:rPr>
          <w:rFonts w:ascii="宋体" w:hAnsi="宋体" w:cs="宋体" w:eastAsia="宋体"/>
          <w:sz w:val="21"/>
        </w:rPr>
        <w:t>启动关闭响应时间小于</w:t>
      </w:r>
      <w:r>
        <w:rPr>
          <w:rFonts w:ascii="calibri" w:hAnsi="calibri" w:cs="calibri" w:eastAsia="calibri"/>
          <w:sz w:val="21"/>
        </w:rPr>
        <w:t>0.1S</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w:t>
      </w:r>
      <w:r>
        <w:rPr>
          <w:rFonts w:ascii="宋体" w:hAnsi="宋体" w:cs="宋体" w:eastAsia="宋体"/>
          <w:sz w:val="21"/>
        </w:rPr>
        <w:t>绿人分两阶段显示方式，绿灯稳定显示时采用仿行人行走动态显示，最后绿闪阶段采用稳定国标图案跟随闪烁显示；</w:t>
      </w:r>
    </w:p>
    <w:p>
      <w:pPr>
        <w:pStyle w:val="null3"/>
        <w:spacing w:before="135" w:after="135"/>
        <w:ind w:firstLine="420"/>
      </w:pPr>
      <w:r>
        <w:rPr>
          <w:rFonts w:ascii="宋体" w:hAnsi="宋体" w:cs="宋体" w:eastAsia="宋体"/>
          <w:sz w:val="21"/>
        </w:rPr>
        <w:t>（</w:t>
      </w:r>
      <w:r>
        <w:rPr>
          <w:rFonts w:ascii="calibri" w:hAnsi="calibri" w:cs="calibri" w:eastAsia="calibri"/>
          <w:sz w:val="21"/>
        </w:rPr>
        <w:t>11</w:t>
      </w:r>
      <w:r>
        <w:rPr>
          <w:rFonts w:ascii="宋体" w:hAnsi="宋体" w:cs="宋体" w:eastAsia="宋体"/>
          <w:sz w:val="21"/>
        </w:rPr>
        <w:t>）</w:t>
      </w:r>
      <w:r>
        <w:rPr>
          <w:rFonts w:ascii="宋体" w:hAnsi="宋体" w:cs="宋体" w:eastAsia="宋体"/>
          <w:sz w:val="21"/>
        </w:rPr>
        <w:t>倒计时最大显示</w:t>
      </w:r>
      <w:r>
        <w:rPr>
          <w:rFonts w:ascii="calibri" w:hAnsi="calibri" w:cs="calibri" w:eastAsia="calibri"/>
          <w:sz w:val="21"/>
        </w:rPr>
        <w:t>99</w:t>
      </w:r>
      <w:r>
        <w:rPr>
          <w:rFonts w:ascii="宋体" w:hAnsi="宋体" w:cs="宋体" w:eastAsia="宋体"/>
          <w:sz w:val="21"/>
        </w:rPr>
        <w:t>秒，集成全周期自学习和脉冲式后半程学习式，通过判断脉冲信号并自动切换工作方式。</w:t>
      </w:r>
    </w:p>
    <w:p>
      <w:pPr>
        <w:pStyle w:val="null3"/>
        <w:spacing w:before="135" w:after="135"/>
        <w:ind w:firstLine="420"/>
      </w:pPr>
      <w:r>
        <w:rPr>
          <w:rFonts w:ascii="宋体" w:hAnsi="宋体" w:cs="宋体" w:eastAsia="宋体"/>
          <w:sz w:val="21"/>
        </w:rPr>
        <w:t>（</w:t>
      </w:r>
      <w:r>
        <w:rPr>
          <w:rFonts w:ascii="calibri" w:hAnsi="calibri" w:cs="calibri" w:eastAsia="calibri"/>
          <w:sz w:val="21"/>
        </w:rPr>
        <w:t>12</w:t>
      </w:r>
      <w:r>
        <w:rPr>
          <w:rFonts w:ascii="宋体" w:hAnsi="宋体" w:cs="宋体" w:eastAsia="宋体"/>
          <w:sz w:val="21"/>
        </w:rPr>
        <w:t>）</w:t>
      </w:r>
      <w:r>
        <w:rPr>
          <w:rFonts w:ascii="宋体" w:hAnsi="宋体" w:cs="宋体" w:eastAsia="宋体"/>
          <w:sz w:val="21"/>
        </w:rPr>
        <w:t>人行横道灯杆件规格：</w:t>
      </w:r>
      <w:r>
        <w:rPr>
          <w:rFonts w:ascii="calibri" w:hAnsi="calibri" w:cs="calibri" w:eastAsia="calibri"/>
          <w:sz w:val="21"/>
        </w:rPr>
        <w:t>Φ89*3500mm</w:t>
      </w:r>
    </w:p>
    <w:p>
      <w:pPr>
        <w:pStyle w:val="null3"/>
        <w:spacing w:before="135" w:after="135"/>
        <w:ind w:firstLine="42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10</w:t>
      </w:r>
      <w:r>
        <w:rPr>
          <w:rFonts w:ascii="宋体" w:hAnsi="宋体" w:cs="宋体" w:eastAsia="宋体"/>
          <w:sz w:val="21"/>
          <w:b/>
        </w:rPr>
        <w:t>）</w:t>
      </w:r>
      <w:r>
        <w:rPr>
          <w:rFonts w:ascii="calibri" w:hAnsi="calibri" w:cs="calibri" w:eastAsia="calibri"/>
          <w:sz w:val="21"/>
        </w:rPr>
        <w:t>6.4.</w:t>
      </w:r>
      <w:r>
        <w:rPr>
          <w:rFonts w:ascii="宋体" w:hAnsi="宋体" w:cs="宋体" w:eastAsia="宋体"/>
          <w:sz w:val="21"/>
        </w:rPr>
        <w:t>倒计时（</w:t>
      </w:r>
      <w:r>
        <w:rPr>
          <w:rFonts w:ascii="宋体" w:hAnsi="宋体" w:cs="宋体" w:eastAsia="宋体"/>
          <w:sz w:val="21"/>
        </w:rPr>
        <w:t>双色</w:t>
      </w:r>
      <w:r>
        <w:rPr>
          <w:rFonts w:ascii="宋体" w:hAnsi="宋体" w:cs="宋体" w:eastAsia="宋体"/>
          <w:sz w:val="21"/>
        </w:rPr>
        <w:t>双位）</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采用全铝壳体和遮沿，经喷塑处理，尺寸</w:t>
      </w:r>
      <w:r>
        <w:rPr>
          <w:rFonts w:ascii="calibri" w:hAnsi="calibri" w:cs="calibri" w:eastAsia="calibri"/>
          <w:sz w:val="21"/>
        </w:rPr>
        <w:t>800*600*140mm</w:t>
      </w:r>
      <w:r>
        <w:rPr>
          <w:rFonts w:ascii="宋体" w:hAnsi="宋体" w:cs="宋体" w:eastAsia="宋体"/>
          <w:sz w:val="21"/>
        </w:rPr>
        <w:t>，整灯防护等级</w:t>
      </w:r>
      <w:r>
        <w:rPr>
          <w:rFonts w:ascii="calibri" w:hAnsi="calibri" w:cs="calibri" w:eastAsia="calibri"/>
          <w:sz w:val="21"/>
        </w:rPr>
        <w:t>IP53</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双</w:t>
      </w:r>
      <w:r>
        <w:rPr>
          <w:rFonts w:ascii="calibri" w:hAnsi="calibri" w:cs="calibri" w:eastAsia="calibri"/>
          <w:sz w:val="21"/>
        </w:rPr>
        <w:t>8</w:t>
      </w:r>
      <w:r>
        <w:rPr>
          <w:rFonts w:ascii="宋体" w:hAnsi="宋体" w:cs="宋体" w:eastAsia="宋体"/>
          <w:sz w:val="21"/>
        </w:rPr>
        <w:t>结构，最大显示</w:t>
      </w:r>
      <w:r>
        <w:rPr>
          <w:rFonts w:ascii="calibri" w:hAnsi="calibri" w:cs="calibri" w:eastAsia="calibri"/>
          <w:sz w:val="21"/>
        </w:rPr>
        <w:t>99</w:t>
      </w:r>
      <w:r>
        <w:rPr>
          <w:rFonts w:ascii="宋体" w:hAnsi="宋体" w:cs="宋体" w:eastAsia="宋体"/>
          <w:sz w:val="21"/>
        </w:rPr>
        <w:t>秒，红、黄、绿倒计时独立显示，字体结构符合</w:t>
      </w:r>
      <w:r>
        <w:rPr>
          <w:rFonts w:ascii="calibri" w:hAnsi="calibri" w:cs="calibri" w:eastAsia="calibri"/>
          <w:sz w:val="21"/>
        </w:rPr>
        <w:t>GAT508-2014</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宋体" w:hAnsi="宋体" w:cs="宋体" w:eastAsia="宋体"/>
          <w:sz w:val="21"/>
        </w:rPr>
        <w:t>采用专用透明面罩，以位为单位将倒计时笔划段密封在专用面罩内，除笔划段显示区域外其余部分经磨砂处理；</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发光材料采用高亮度四元素</w:t>
      </w:r>
      <w:r>
        <w:rPr>
          <w:rFonts w:ascii="calibri" w:hAnsi="calibri" w:cs="calibri" w:eastAsia="calibri"/>
          <w:sz w:val="21"/>
        </w:rPr>
        <w:t>LED</w:t>
      </w:r>
      <w:r>
        <w:rPr>
          <w:rFonts w:ascii="宋体" w:hAnsi="宋体" w:cs="宋体" w:eastAsia="宋体"/>
          <w:sz w:val="21"/>
        </w:rPr>
        <w:t>发光管，单管中心亮度红管＞</w:t>
      </w:r>
      <w:r>
        <w:rPr>
          <w:rFonts w:ascii="calibri" w:hAnsi="calibri" w:cs="calibri" w:eastAsia="calibri"/>
          <w:sz w:val="21"/>
        </w:rPr>
        <w:t>4500mcd</w:t>
      </w:r>
      <w:r>
        <w:rPr>
          <w:rFonts w:ascii="宋体" w:hAnsi="宋体" w:cs="宋体" w:eastAsia="宋体"/>
          <w:sz w:val="21"/>
        </w:rPr>
        <w:t>，黄管＞</w:t>
      </w:r>
      <w:r>
        <w:rPr>
          <w:rFonts w:ascii="calibri" w:hAnsi="calibri" w:cs="calibri" w:eastAsia="calibri"/>
          <w:sz w:val="21"/>
        </w:rPr>
        <w:t>4500mcd</w:t>
      </w:r>
      <w:r>
        <w:rPr>
          <w:rFonts w:ascii="宋体" w:hAnsi="宋体" w:cs="宋体" w:eastAsia="宋体"/>
          <w:sz w:val="21"/>
        </w:rPr>
        <w:t>，绿管＞</w:t>
      </w:r>
      <w:r>
        <w:rPr>
          <w:rFonts w:ascii="calibri" w:hAnsi="calibri" w:cs="calibri" w:eastAsia="calibri"/>
          <w:sz w:val="21"/>
        </w:rPr>
        <w:t>8000mcd</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信号灯中心亮度＞</w:t>
      </w:r>
      <w:r>
        <w:rPr>
          <w:rFonts w:ascii="calibri" w:hAnsi="calibri" w:cs="calibri" w:eastAsia="calibri"/>
          <w:sz w:val="21"/>
        </w:rPr>
        <w:t>7000cd/m2</w:t>
      </w:r>
      <w:r>
        <w:rPr>
          <w:rFonts w:ascii="宋体" w:hAnsi="宋体" w:cs="宋体" w:eastAsia="宋体"/>
          <w:sz w:val="21"/>
        </w:rPr>
        <w:t>，色度性能符合</w:t>
      </w:r>
      <w:r>
        <w:rPr>
          <w:rFonts w:ascii="calibri" w:hAnsi="calibri" w:cs="calibri" w:eastAsia="calibri"/>
          <w:sz w:val="21"/>
        </w:rPr>
        <w:t>GB14887-2011</w:t>
      </w:r>
      <w:r>
        <w:rPr>
          <w:rFonts w:ascii="宋体" w:hAnsi="宋体" w:cs="宋体" w:eastAsia="宋体"/>
          <w:sz w:val="21"/>
        </w:rPr>
        <w:t>要求；</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w:t>
      </w:r>
      <w:r>
        <w:rPr>
          <w:rFonts w:ascii="宋体" w:hAnsi="宋体" w:cs="宋体" w:eastAsia="宋体"/>
          <w:sz w:val="21"/>
        </w:rPr>
        <w:t>发光管数量：红管</w:t>
      </w:r>
      <w:r>
        <w:rPr>
          <w:rFonts w:ascii="calibri" w:hAnsi="calibri" w:cs="calibri" w:eastAsia="calibri"/>
          <w:sz w:val="21"/>
        </w:rPr>
        <w:t>≥392</w:t>
      </w:r>
      <w:r>
        <w:rPr>
          <w:rFonts w:ascii="宋体" w:hAnsi="宋体" w:cs="宋体" w:eastAsia="宋体"/>
          <w:sz w:val="21"/>
        </w:rPr>
        <w:t>颗、黄管</w:t>
      </w:r>
      <w:r>
        <w:rPr>
          <w:rFonts w:ascii="calibri" w:hAnsi="calibri" w:cs="calibri" w:eastAsia="calibri"/>
          <w:sz w:val="21"/>
        </w:rPr>
        <w:t>≥196</w:t>
      </w:r>
      <w:r>
        <w:rPr>
          <w:rFonts w:ascii="宋体" w:hAnsi="宋体" w:cs="宋体" w:eastAsia="宋体"/>
          <w:sz w:val="21"/>
        </w:rPr>
        <w:t>颗、绿管</w:t>
      </w:r>
      <w:r>
        <w:rPr>
          <w:rFonts w:ascii="calibri" w:hAnsi="calibri" w:cs="calibri" w:eastAsia="calibri"/>
          <w:sz w:val="21"/>
        </w:rPr>
        <w:t>≥392</w:t>
      </w:r>
      <w:r>
        <w:rPr>
          <w:rFonts w:ascii="宋体" w:hAnsi="宋体" w:cs="宋体" w:eastAsia="宋体"/>
          <w:sz w:val="21"/>
        </w:rPr>
        <w:t>颗；</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宋体" w:hAnsi="宋体" w:cs="宋体" w:eastAsia="宋体"/>
          <w:sz w:val="21"/>
        </w:rPr>
        <w:t>供电电源：</w:t>
      </w:r>
      <w:r>
        <w:rPr>
          <w:rFonts w:ascii="calibri" w:hAnsi="calibri" w:cs="calibri" w:eastAsia="calibri"/>
          <w:sz w:val="21"/>
        </w:rPr>
        <w:t>AC220V±20%</w:t>
      </w:r>
      <w:r>
        <w:rPr>
          <w:rFonts w:ascii="宋体" w:hAnsi="宋体" w:cs="宋体" w:eastAsia="宋体"/>
          <w:sz w:val="21"/>
        </w:rPr>
        <w:t>，</w:t>
      </w:r>
      <w:r>
        <w:rPr>
          <w:rFonts w:ascii="calibri" w:hAnsi="calibri" w:cs="calibri" w:eastAsia="calibri"/>
          <w:sz w:val="21"/>
        </w:rPr>
        <w:t>50HZ</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功率</w:t>
      </w:r>
      <w:r>
        <w:rPr>
          <w:rFonts w:ascii="calibri" w:hAnsi="calibri" w:cs="calibri" w:eastAsia="calibri"/>
          <w:sz w:val="21"/>
        </w:rPr>
        <w:t>≤35W</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w:t>
      </w:r>
      <w:r>
        <w:rPr>
          <w:rFonts w:ascii="宋体" w:hAnsi="宋体" w:cs="宋体" w:eastAsia="宋体"/>
          <w:sz w:val="21"/>
        </w:rPr>
        <w:t>绝缘电阻＞</w:t>
      </w:r>
      <w:r>
        <w:rPr>
          <w:rFonts w:ascii="calibri" w:hAnsi="calibri" w:cs="calibri" w:eastAsia="calibri"/>
          <w:sz w:val="21"/>
        </w:rPr>
        <w:t>500M</w:t>
      </w:r>
      <w:r>
        <w:rPr>
          <w:rFonts w:ascii="宋体" w:hAnsi="宋体" w:cs="宋体" w:eastAsia="宋体"/>
          <w:sz w:val="21"/>
        </w:rPr>
        <w:t>欧姆；</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w:t>
      </w:r>
      <w:r>
        <w:rPr>
          <w:rFonts w:ascii="宋体" w:hAnsi="宋体" w:cs="宋体" w:eastAsia="宋体"/>
          <w:sz w:val="21"/>
        </w:rPr>
        <w:t>介电强度</w:t>
      </w:r>
      <w:r>
        <w:rPr>
          <w:rFonts w:ascii="calibri" w:hAnsi="calibri" w:cs="calibri" w:eastAsia="calibri"/>
          <w:sz w:val="21"/>
        </w:rPr>
        <w:t>1500V</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11</w:t>
      </w:r>
      <w:r>
        <w:rPr>
          <w:rFonts w:ascii="宋体" w:hAnsi="宋体" w:cs="宋体" w:eastAsia="宋体"/>
          <w:sz w:val="21"/>
        </w:rPr>
        <w:t>）</w:t>
      </w:r>
      <w:r>
        <w:rPr>
          <w:rFonts w:ascii="宋体" w:hAnsi="宋体" w:cs="宋体" w:eastAsia="宋体"/>
          <w:sz w:val="21"/>
        </w:rPr>
        <w:t>温度适应性：</w:t>
      </w:r>
      <w:r>
        <w:rPr>
          <w:rFonts w:ascii="calibri" w:hAnsi="calibri" w:cs="calibri" w:eastAsia="calibri"/>
          <w:sz w:val="21"/>
        </w:rPr>
        <w:t>-40~70</w:t>
      </w:r>
      <w:r>
        <w:rPr>
          <w:rFonts w:ascii="宋体" w:hAnsi="宋体" w:cs="宋体" w:eastAsia="宋体"/>
          <w:sz w:val="21"/>
        </w:rPr>
        <w:t>℃</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12</w:t>
      </w:r>
      <w:r>
        <w:rPr>
          <w:rFonts w:ascii="宋体" w:hAnsi="宋体" w:cs="宋体" w:eastAsia="宋体"/>
          <w:sz w:val="21"/>
        </w:rPr>
        <w:t>）</w:t>
      </w:r>
      <w:r>
        <w:rPr>
          <w:rFonts w:ascii="宋体" w:hAnsi="宋体" w:cs="宋体" w:eastAsia="宋体"/>
          <w:sz w:val="21"/>
        </w:rPr>
        <w:t>工作方式：集成全周期采样</w:t>
      </w:r>
      <w:r>
        <w:rPr>
          <w:rFonts w:ascii="calibri" w:hAnsi="calibri" w:cs="calibri" w:eastAsia="calibri"/>
          <w:sz w:val="21"/>
        </w:rPr>
        <w:t>/</w:t>
      </w:r>
      <w:r>
        <w:rPr>
          <w:rFonts w:ascii="宋体" w:hAnsi="宋体" w:cs="宋体" w:eastAsia="宋体"/>
          <w:sz w:val="21"/>
        </w:rPr>
        <w:t>半周期脉冲采样，根据红灯信号是否存在脉冲自动切换工作方式，无需人工干预。</w:t>
      </w:r>
    </w:p>
    <w:p>
      <w:pPr>
        <w:pStyle w:val="null3"/>
        <w:spacing w:before="135" w:after="135"/>
        <w:ind w:firstLine="42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11</w:t>
      </w:r>
      <w:r>
        <w:rPr>
          <w:rFonts w:ascii="宋体" w:hAnsi="宋体" w:cs="宋体" w:eastAsia="宋体"/>
          <w:sz w:val="21"/>
          <w:b/>
        </w:rPr>
        <w:t>）</w:t>
      </w:r>
      <w:r>
        <w:rPr>
          <w:rFonts w:ascii="calibri" w:hAnsi="calibri" w:cs="calibri" w:eastAsia="calibri"/>
          <w:sz w:val="21"/>
        </w:rPr>
        <w:t>6.5.400W</w:t>
      </w:r>
      <w:r>
        <w:rPr>
          <w:rFonts w:ascii="宋体" w:hAnsi="宋体" w:cs="宋体" w:eastAsia="宋体"/>
          <w:sz w:val="21"/>
        </w:rPr>
        <w:t>智能交通违停球型摄像机</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分辨率支持</w:t>
      </w:r>
      <w:r>
        <w:rPr>
          <w:rFonts w:ascii="calibri" w:hAnsi="calibri" w:cs="calibri" w:eastAsia="calibri"/>
          <w:sz w:val="21"/>
        </w:rPr>
        <w:t>≥2560×1440@30fps</w:t>
      </w:r>
      <w:r>
        <w:rPr>
          <w:rFonts w:ascii="宋体" w:hAnsi="宋体" w:cs="宋体" w:eastAsia="宋体"/>
          <w:sz w:val="21"/>
        </w:rPr>
        <w:t>；支持不小于</w:t>
      </w:r>
      <w:r>
        <w:rPr>
          <w:rFonts w:ascii="calibri" w:hAnsi="calibri" w:cs="calibri" w:eastAsia="calibri"/>
          <w:sz w:val="21"/>
        </w:rPr>
        <w:t>37</w:t>
      </w:r>
      <w:r>
        <w:rPr>
          <w:rFonts w:ascii="宋体" w:hAnsi="宋体" w:cs="宋体" w:eastAsia="宋体"/>
          <w:sz w:val="21"/>
        </w:rPr>
        <w:t>倍光学变倍；</w:t>
      </w:r>
      <w:r>
        <w:rPr>
          <w:rFonts w:ascii="calibri" w:hAnsi="calibri" w:cs="calibri" w:eastAsia="calibri"/>
          <w:sz w:val="21"/>
        </w:rPr>
        <w:t>200</w:t>
      </w:r>
      <w:r>
        <w:rPr>
          <w:rFonts w:ascii="宋体" w:hAnsi="宋体" w:cs="宋体" w:eastAsia="宋体"/>
          <w:sz w:val="21"/>
        </w:rPr>
        <w:t>米以上红外照射距离；支持光学透雾；支持雨刷；支持智能聚焦算法；支持道路违章取证：违停、逆行、压线、变道、机占非、掉头取证以及断网续传；支持音频、报警；彩色：</w:t>
      </w:r>
      <w:r>
        <w:rPr>
          <w:rFonts w:ascii="calibri" w:hAnsi="calibri" w:cs="calibri" w:eastAsia="calibri"/>
          <w:sz w:val="21"/>
        </w:rPr>
        <w:t>0.0005Lux</w:t>
      </w:r>
      <w:r>
        <w:rPr>
          <w:rFonts w:ascii="宋体" w:hAnsi="宋体" w:cs="宋体" w:eastAsia="宋体"/>
          <w:sz w:val="21"/>
        </w:rPr>
        <w:t>；黑白：</w:t>
      </w:r>
      <w:r>
        <w:rPr>
          <w:rFonts w:ascii="calibri" w:hAnsi="calibri" w:cs="calibri" w:eastAsia="calibri"/>
          <w:sz w:val="21"/>
        </w:rPr>
        <w:t>0.0001Lux</w:t>
      </w:r>
      <w:r>
        <w:rPr>
          <w:rFonts w:ascii="宋体" w:hAnsi="宋体" w:cs="宋体" w:eastAsia="宋体"/>
          <w:sz w:val="21"/>
        </w:rPr>
        <w:t>；</w:t>
      </w:r>
      <w:r>
        <w:rPr>
          <w:rFonts w:ascii="calibri" w:hAnsi="calibri" w:cs="calibri" w:eastAsia="calibri"/>
          <w:sz w:val="21"/>
        </w:rPr>
        <w:t>0 Lux with IR</w:t>
      </w:r>
      <w:r>
        <w:rPr>
          <w:rFonts w:ascii="宋体" w:hAnsi="宋体" w:cs="宋体" w:eastAsia="宋体"/>
          <w:sz w:val="21"/>
        </w:rPr>
        <w:t>；支持数字降噪、</w:t>
      </w:r>
      <w:r>
        <w:rPr>
          <w:rFonts w:ascii="calibri" w:hAnsi="calibri" w:cs="calibri" w:eastAsia="calibri"/>
          <w:sz w:val="21"/>
        </w:rPr>
        <w:t>120dB</w:t>
      </w:r>
      <w:r>
        <w:rPr>
          <w:rFonts w:ascii="宋体" w:hAnsi="宋体" w:cs="宋体" w:eastAsia="宋体"/>
          <w:sz w:val="21"/>
        </w:rPr>
        <w:t>超宽动态、强光抑制、电子防抖；水平键控速度最大</w:t>
      </w:r>
      <w:r>
        <w:rPr>
          <w:rFonts w:ascii="calibri" w:hAnsi="calibri" w:cs="calibri" w:eastAsia="calibri"/>
          <w:sz w:val="21"/>
        </w:rPr>
        <w:t>210°/s</w:t>
      </w:r>
      <w:r>
        <w:rPr>
          <w:rFonts w:ascii="宋体" w:hAnsi="宋体" w:cs="宋体" w:eastAsia="宋体"/>
          <w:sz w:val="21"/>
        </w:rPr>
        <w:t>，垂直键控速度最大</w:t>
      </w:r>
      <w:r>
        <w:rPr>
          <w:rFonts w:ascii="calibri" w:hAnsi="calibri" w:cs="calibri" w:eastAsia="calibri"/>
          <w:sz w:val="21"/>
        </w:rPr>
        <w:t>150°/s</w:t>
      </w:r>
      <w:r>
        <w:rPr>
          <w:rFonts w:ascii="宋体" w:hAnsi="宋体" w:cs="宋体" w:eastAsia="宋体"/>
          <w:sz w:val="21"/>
        </w:rPr>
        <w:t>，垂直范围</w:t>
      </w:r>
      <w:r>
        <w:rPr>
          <w:rFonts w:ascii="calibri" w:hAnsi="calibri" w:cs="calibri" w:eastAsia="calibri"/>
          <w:sz w:val="21"/>
        </w:rPr>
        <w:t>-20°~90°</w:t>
      </w:r>
      <w:r>
        <w:rPr>
          <w:rFonts w:ascii="宋体" w:hAnsi="宋体" w:cs="宋体" w:eastAsia="宋体"/>
          <w:sz w:val="21"/>
        </w:rPr>
        <w:t>；</w:t>
      </w:r>
      <w:r>
        <w:rPr>
          <w:rFonts w:ascii="calibri" w:hAnsi="calibri" w:cs="calibri" w:eastAsia="calibri"/>
          <w:sz w:val="21"/>
        </w:rPr>
        <w:t>H.265/H.264/MJPEG</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支持车牌、车牌颜色、车身颜色、车辆类型、车标、车系、车速、年检标志、纸巾盒、香水盒、挂件、安全带状态、遮阳板状态、人脸抠图、主驾驶抽烟状态、主驾驶打电话状态等车辆结构化信息提取</w:t>
      </w:r>
      <w:r>
        <w:rPr>
          <w:rFonts w:ascii="宋体" w:hAnsi="宋体" w:cs="宋体" w:eastAsia="宋体"/>
          <w:sz w:val="21"/>
        </w:rPr>
        <w:t>。</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2</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）▲多场景分别配置不同智能后</w:t>
      </w:r>
      <w:r>
        <w:rPr>
          <w:rFonts w:ascii="calibri" w:hAnsi="calibri" w:cs="calibri" w:eastAsia="calibri"/>
          <w:sz w:val="21"/>
        </w:rPr>
        <w:t>,</w:t>
      </w:r>
      <w:r>
        <w:rPr>
          <w:rFonts w:ascii="宋体" w:hAnsi="宋体" w:cs="宋体" w:eastAsia="宋体"/>
          <w:sz w:val="21"/>
        </w:rPr>
        <w:t>可进行多场景智能巡航</w:t>
      </w:r>
      <w:r>
        <w:rPr>
          <w:rFonts w:ascii="calibri" w:hAnsi="calibri" w:cs="calibri" w:eastAsia="calibri"/>
          <w:sz w:val="21"/>
        </w:rPr>
        <w:t>,</w:t>
      </w:r>
      <w:r>
        <w:rPr>
          <w:rFonts w:ascii="宋体" w:hAnsi="宋体" w:cs="宋体" w:eastAsia="宋体"/>
          <w:sz w:val="21"/>
        </w:rPr>
        <w:t>进行不同智能功能的分时复用。切换码流可继续支持原来的智能</w:t>
      </w:r>
      <w:r>
        <w:rPr>
          <w:rFonts w:ascii="calibri" w:hAnsi="calibri" w:cs="calibri" w:eastAsia="calibri"/>
          <w:sz w:val="21"/>
        </w:rPr>
        <w:t>,</w:t>
      </w:r>
      <w:r>
        <w:rPr>
          <w:rFonts w:ascii="宋体" w:hAnsi="宋体" w:cs="宋体" w:eastAsia="宋体"/>
          <w:sz w:val="21"/>
        </w:rPr>
        <w:t>支持跟踪抓拍。</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）设备运动结束静止在某个位置，当设备水平和垂直角度方向受到外力作用发生偏移时，设备能够检测角度改变并产生报警信息，并可在</w:t>
      </w:r>
      <w:r>
        <w:rPr>
          <w:rFonts w:ascii="calibri" w:hAnsi="calibri" w:cs="calibri" w:eastAsia="calibri"/>
          <w:sz w:val="21"/>
        </w:rPr>
        <w:t>OSD</w:t>
      </w:r>
      <w:r>
        <w:rPr>
          <w:rFonts w:ascii="宋体" w:hAnsi="宋体" w:cs="宋体" w:eastAsia="宋体"/>
          <w:sz w:val="21"/>
        </w:rPr>
        <w:t>上叠加报警信息。</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支持</w:t>
      </w:r>
      <w:r>
        <w:rPr>
          <w:rFonts w:ascii="宋体" w:hAnsi="宋体" w:cs="宋体" w:eastAsia="宋体"/>
          <w:sz w:val="21"/>
        </w:rPr>
        <w:t>≥</w:t>
      </w:r>
      <w:r>
        <w:rPr>
          <w:rFonts w:ascii="calibri" w:hAnsi="calibri" w:cs="calibri" w:eastAsia="calibri"/>
          <w:sz w:val="21"/>
        </w:rPr>
        <w:t>300</w:t>
      </w:r>
      <w:r>
        <w:rPr>
          <w:rFonts w:ascii="宋体" w:hAnsi="宋体" w:cs="宋体" w:eastAsia="宋体"/>
          <w:sz w:val="21"/>
        </w:rPr>
        <w:t>个预置位，</w:t>
      </w:r>
      <w:r>
        <w:rPr>
          <w:rFonts w:ascii="宋体" w:hAnsi="宋体" w:cs="宋体" w:eastAsia="宋体"/>
          <w:sz w:val="21"/>
        </w:rPr>
        <w:t>≥</w:t>
      </w:r>
      <w:r>
        <w:rPr>
          <w:rFonts w:ascii="calibri" w:hAnsi="calibri" w:cs="calibri" w:eastAsia="calibri"/>
          <w:sz w:val="21"/>
        </w:rPr>
        <w:t>8</w:t>
      </w:r>
      <w:r>
        <w:rPr>
          <w:rFonts w:ascii="宋体" w:hAnsi="宋体" w:cs="宋体" w:eastAsia="宋体"/>
          <w:sz w:val="21"/>
        </w:rPr>
        <w:t>条巡航路径，</w:t>
      </w:r>
      <w:r>
        <w:rPr>
          <w:rFonts w:ascii="宋体" w:hAnsi="宋体" w:cs="宋体" w:eastAsia="宋体"/>
          <w:sz w:val="21"/>
        </w:rPr>
        <w:t>≥</w:t>
      </w:r>
      <w:r>
        <w:rPr>
          <w:rFonts w:ascii="calibri" w:hAnsi="calibri" w:cs="calibri" w:eastAsia="calibri"/>
          <w:sz w:val="21"/>
        </w:rPr>
        <w:t>5</w:t>
      </w:r>
      <w:r>
        <w:rPr>
          <w:rFonts w:ascii="宋体" w:hAnsi="宋体" w:cs="宋体" w:eastAsia="宋体"/>
          <w:sz w:val="21"/>
        </w:rPr>
        <w:t>条巡迹路径</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w:t>
      </w:r>
      <w:r>
        <w:rPr>
          <w:rFonts w:ascii="宋体" w:hAnsi="宋体" w:cs="宋体" w:eastAsia="宋体"/>
          <w:sz w:val="21"/>
        </w:rPr>
        <w:t>内置</w:t>
      </w:r>
      <w:r>
        <w:rPr>
          <w:rFonts w:ascii="宋体" w:hAnsi="宋体" w:cs="宋体" w:eastAsia="宋体"/>
          <w:sz w:val="21"/>
        </w:rPr>
        <w:t>≥</w:t>
      </w:r>
      <w:r>
        <w:rPr>
          <w:rFonts w:ascii="calibri" w:hAnsi="calibri" w:cs="calibri" w:eastAsia="calibri"/>
          <w:sz w:val="21"/>
        </w:rPr>
        <w:t>7</w:t>
      </w:r>
      <w:r>
        <w:rPr>
          <w:rFonts w:ascii="宋体" w:hAnsi="宋体" w:cs="宋体" w:eastAsia="宋体"/>
          <w:sz w:val="21"/>
        </w:rPr>
        <w:t>路报警输入和</w:t>
      </w:r>
      <w:r>
        <w:rPr>
          <w:rFonts w:ascii="宋体" w:hAnsi="宋体" w:cs="宋体" w:eastAsia="宋体"/>
          <w:sz w:val="21"/>
        </w:rPr>
        <w:t>≥</w:t>
      </w:r>
      <w:r>
        <w:rPr>
          <w:rFonts w:ascii="calibri" w:hAnsi="calibri" w:cs="calibri" w:eastAsia="calibri"/>
          <w:sz w:val="21"/>
        </w:rPr>
        <w:t>2</w:t>
      </w:r>
      <w:r>
        <w:rPr>
          <w:rFonts w:ascii="宋体" w:hAnsi="宋体" w:cs="宋体" w:eastAsia="宋体"/>
          <w:sz w:val="21"/>
        </w:rPr>
        <w:t>路报警输出，支持报警联动功能</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宋体" w:hAnsi="宋体" w:cs="宋体" w:eastAsia="宋体"/>
          <w:sz w:val="21"/>
        </w:rPr>
        <w:t>支持</w:t>
      </w:r>
      <w:r>
        <w:rPr>
          <w:rFonts w:ascii="calibri" w:hAnsi="calibri" w:cs="calibri" w:eastAsia="calibri"/>
          <w:sz w:val="21"/>
        </w:rPr>
        <w:t>AC24V±25%</w:t>
      </w:r>
      <w:r>
        <w:rPr>
          <w:rFonts w:ascii="宋体" w:hAnsi="宋体" w:cs="宋体" w:eastAsia="宋体"/>
          <w:sz w:val="21"/>
        </w:rPr>
        <w:t>宽电压输入</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支持国密算法</w:t>
      </w:r>
      <w:r>
        <w:rPr>
          <w:rFonts w:ascii="calibri" w:hAnsi="calibri" w:cs="calibri" w:eastAsia="calibri"/>
          <w:sz w:val="21"/>
        </w:rPr>
        <w:t xml:space="preserve"> SM1</w:t>
      </w:r>
      <w:r>
        <w:rPr>
          <w:rFonts w:ascii="宋体" w:hAnsi="宋体" w:cs="宋体" w:eastAsia="宋体"/>
          <w:sz w:val="21"/>
        </w:rPr>
        <w:t>、</w:t>
      </w:r>
      <w:r>
        <w:rPr>
          <w:rFonts w:ascii="calibri" w:hAnsi="calibri" w:cs="calibri" w:eastAsia="calibri"/>
          <w:sz w:val="21"/>
        </w:rPr>
        <w:t>SM2</w:t>
      </w:r>
      <w:r>
        <w:rPr>
          <w:rFonts w:ascii="宋体" w:hAnsi="宋体" w:cs="宋体" w:eastAsia="宋体"/>
          <w:sz w:val="21"/>
        </w:rPr>
        <w:t>、</w:t>
      </w:r>
      <w:r>
        <w:rPr>
          <w:rFonts w:ascii="calibri" w:hAnsi="calibri" w:cs="calibri" w:eastAsia="calibri"/>
          <w:sz w:val="21"/>
        </w:rPr>
        <w:t>SM3</w:t>
      </w:r>
      <w:r>
        <w:rPr>
          <w:rFonts w:ascii="宋体" w:hAnsi="宋体" w:cs="宋体" w:eastAsia="宋体"/>
          <w:sz w:val="21"/>
        </w:rPr>
        <w:t>、</w:t>
      </w:r>
      <w:r>
        <w:rPr>
          <w:rFonts w:ascii="calibri" w:hAnsi="calibri" w:cs="calibri" w:eastAsia="calibri"/>
          <w:sz w:val="21"/>
        </w:rPr>
        <w:t>SM4</w:t>
      </w:r>
      <w:r>
        <w:rPr>
          <w:rFonts w:ascii="宋体" w:hAnsi="宋体" w:cs="宋体" w:eastAsia="宋体"/>
          <w:sz w:val="21"/>
        </w:rPr>
        <w:t>，支持</w:t>
      </w:r>
      <w:r>
        <w:rPr>
          <w:rFonts w:ascii="calibri" w:hAnsi="calibri" w:cs="calibri" w:eastAsia="calibri"/>
          <w:sz w:val="21"/>
        </w:rPr>
        <w:t>GB35114 A</w:t>
      </w:r>
      <w:r>
        <w:rPr>
          <w:rFonts w:ascii="宋体" w:hAnsi="宋体" w:cs="宋体" w:eastAsia="宋体"/>
          <w:sz w:val="21"/>
        </w:rPr>
        <w:t>级</w:t>
      </w:r>
      <w:r>
        <w:rPr>
          <w:rFonts w:ascii="宋体" w:hAnsi="宋体" w:cs="宋体" w:eastAsia="宋体"/>
          <w:sz w:val="21"/>
        </w:rPr>
        <w:t>。</w:t>
      </w:r>
    </w:p>
    <w:p>
      <w:pPr>
        <w:pStyle w:val="null3"/>
        <w:spacing w:before="135" w:after="135"/>
        <w:ind w:firstLine="420"/>
      </w:pPr>
      <w:r>
        <w:rPr>
          <w:rFonts w:ascii="宋体" w:hAnsi="宋体" w:cs="宋体" w:eastAsia="宋体"/>
          <w:sz w:val="21"/>
        </w:rPr>
        <w:t>6.6.</w:t>
      </w:r>
      <w:r>
        <w:rPr>
          <w:rFonts w:ascii="宋体" w:hAnsi="宋体" w:cs="宋体" w:eastAsia="宋体"/>
          <w:sz w:val="21"/>
          <w:shd w:fill="FFFFFF" w:val="clear"/>
        </w:rPr>
        <w:t>电警、卡口监控单元设备</w:t>
      </w:r>
    </w:p>
    <w:p>
      <w:pPr>
        <w:pStyle w:val="null3"/>
        <w:spacing w:before="135" w:after="135"/>
        <w:ind w:firstLine="422"/>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12</w:t>
      </w:r>
      <w:r>
        <w:rPr>
          <w:rFonts w:ascii="宋体" w:hAnsi="宋体" w:cs="宋体" w:eastAsia="宋体"/>
          <w:sz w:val="21"/>
          <w:b/>
        </w:rPr>
        <w:t>）</w:t>
      </w:r>
      <w:r>
        <w:rPr>
          <w:rFonts w:ascii="宋体" w:hAnsi="宋体" w:cs="宋体" w:eastAsia="宋体"/>
          <w:sz w:val="21"/>
          <w:b/>
        </w:rPr>
        <w:t>6.6.</w:t>
      </w:r>
      <w:r>
        <w:rPr>
          <w:rFonts w:ascii="宋体" w:hAnsi="宋体" w:cs="宋体" w:eastAsia="宋体"/>
          <w:sz w:val="21"/>
          <w:b/>
        </w:rPr>
        <w:t>1．</w:t>
      </w:r>
      <w:r>
        <w:rPr>
          <w:rFonts w:ascii="宋体" w:hAnsi="宋体" w:cs="宋体" w:eastAsia="宋体"/>
          <w:sz w:val="21"/>
          <w:b/>
        </w:rPr>
        <w:t>电警抓拍单元</w:t>
      </w:r>
      <w:r>
        <w:rPr>
          <w:rFonts w:ascii="宋体" w:hAnsi="宋体" w:cs="宋体" w:eastAsia="宋体"/>
          <w:sz w:val="21"/>
        </w:rPr>
        <w:t>（无光污染）（依据：《公路车辆智能监测记录系统通用技术》（</w:t>
      </w:r>
      <w:r>
        <w:rPr>
          <w:rFonts w:ascii="calibri" w:hAnsi="calibri" w:cs="calibri" w:eastAsia="calibri"/>
          <w:sz w:val="21"/>
        </w:rPr>
        <w:t>GA/T497</w:t>
      </w:r>
      <w:r>
        <w:rPr>
          <w:rFonts w:ascii="宋体" w:hAnsi="宋体" w:cs="宋体" w:eastAsia="宋体"/>
          <w:sz w:val="21"/>
        </w:rPr>
        <w:t>）和《视频专网集成指挥平台建设技术方案》要求：双车道视图像素不低于</w:t>
      </w:r>
      <w:r>
        <w:rPr>
          <w:rFonts w:ascii="calibri" w:hAnsi="calibri" w:cs="calibri" w:eastAsia="calibri"/>
          <w:sz w:val="21"/>
        </w:rPr>
        <w:t>500</w:t>
      </w:r>
      <w:r>
        <w:rPr>
          <w:rFonts w:ascii="宋体" w:hAnsi="宋体" w:cs="宋体" w:eastAsia="宋体"/>
          <w:sz w:val="21"/>
        </w:rPr>
        <w:t>万，驾乘人员面部有效像素不低于</w:t>
      </w:r>
      <w:r>
        <w:rPr>
          <w:rFonts w:ascii="calibri" w:hAnsi="calibri" w:cs="calibri" w:eastAsia="calibri"/>
          <w:sz w:val="21"/>
        </w:rPr>
        <w:t>100*100</w:t>
      </w:r>
      <w:r>
        <w:rPr>
          <w:rFonts w:ascii="宋体" w:hAnsi="宋体" w:cs="宋体" w:eastAsia="宋体"/>
          <w:sz w:val="21"/>
        </w:rPr>
        <w:t>像素，高清车辆卡口抓拍数据能够直接接入专网版集成指挥平台，数据可用率（准确率与及时率的乘积）要达</w:t>
      </w:r>
      <w:r>
        <w:rPr>
          <w:rFonts w:ascii="calibri" w:hAnsi="calibri" w:cs="calibri" w:eastAsia="calibri"/>
          <w:sz w:val="21"/>
        </w:rPr>
        <w:t>90%</w:t>
      </w:r>
      <w:r>
        <w:rPr>
          <w:rFonts w:ascii="宋体" w:hAnsi="宋体" w:cs="宋体" w:eastAsia="宋体"/>
          <w:sz w:val="21"/>
        </w:rPr>
        <w:t>以上）。</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）支持双码流，满足</w:t>
      </w:r>
      <w:r>
        <w:rPr>
          <w:rFonts w:ascii="calibri" w:hAnsi="calibri" w:cs="calibri" w:eastAsia="calibri"/>
          <w:sz w:val="21"/>
        </w:rPr>
        <w:t>H.265&amp;H.264</w:t>
      </w:r>
      <w:r>
        <w:rPr>
          <w:rFonts w:ascii="宋体" w:hAnsi="宋体" w:cs="宋体" w:eastAsia="宋体"/>
          <w:sz w:val="21"/>
        </w:rPr>
        <w:t>编码</w:t>
      </w:r>
      <w:r>
        <w:rPr>
          <w:rFonts w:ascii="宋体" w:hAnsi="宋体" w:cs="宋体" w:eastAsia="宋体"/>
          <w:sz w:val="21"/>
        </w:rPr>
        <w:t>，</w:t>
      </w:r>
      <w:r>
        <w:rPr>
          <w:rFonts w:ascii="宋体" w:hAnsi="宋体" w:cs="宋体" w:eastAsia="宋体"/>
          <w:sz w:val="21"/>
        </w:rPr>
        <w:t>支持自动白平衡、自动电子快门、自动光圈</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3</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▲支持</w:t>
      </w:r>
      <w:r>
        <w:rPr>
          <w:rFonts w:ascii="calibri" w:hAnsi="calibri" w:cs="calibri" w:eastAsia="calibri"/>
          <w:sz w:val="21"/>
        </w:rPr>
        <w:t>485</w:t>
      </w:r>
      <w:r>
        <w:rPr>
          <w:rFonts w:ascii="宋体" w:hAnsi="宋体" w:cs="宋体" w:eastAsia="宋体"/>
          <w:sz w:val="21"/>
        </w:rPr>
        <w:t>接口自动分配地址功能，在同一个</w:t>
      </w:r>
      <w:r>
        <w:rPr>
          <w:rFonts w:ascii="calibri" w:hAnsi="calibri" w:cs="calibri" w:eastAsia="calibri"/>
          <w:sz w:val="21"/>
        </w:rPr>
        <w:t>485</w:t>
      </w:r>
      <w:r>
        <w:rPr>
          <w:rFonts w:ascii="宋体" w:hAnsi="宋体" w:cs="宋体" w:eastAsia="宋体"/>
          <w:sz w:val="21"/>
        </w:rPr>
        <w:t>接口连接不同外部设备的情况下，支持通过</w:t>
      </w:r>
      <w:r>
        <w:rPr>
          <w:rFonts w:ascii="calibri" w:hAnsi="calibri" w:cs="calibri" w:eastAsia="calibri"/>
          <w:sz w:val="21"/>
        </w:rPr>
        <w:t>485</w:t>
      </w:r>
      <w:r>
        <w:rPr>
          <w:rFonts w:ascii="宋体" w:hAnsi="宋体" w:cs="宋体" w:eastAsia="宋体"/>
          <w:sz w:val="21"/>
        </w:rPr>
        <w:t>协议给每个外部设备分配不同地址编号，可独立配置各设备参数。</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）支持视频检测、雷达、线圈三种触发方式</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）具有网络防雷和防浪涌功能</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）支持平整度和后焦手动调整</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）满足</w:t>
      </w:r>
      <w:r>
        <w:rPr>
          <w:rFonts w:ascii="calibri" w:hAnsi="calibri" w:cs="calibri" w:eastAsia="calibri"/>
          <w:sz w:val="21"/>
        </w:rPr>
        <w:t>GB 35114-A</w:t>
      </w:r>
      <w:r>
        <w:rPr>
          <w:rFonts w:ascii="宋体" w:hAnsi="宋体" w:cs="宋体" w:eastAsia="宋体"/>
          <w:sz w:val="21"/>
        </w:rPr>
        <w:t>级加密标准</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）视频码率：</w:t>
      </w:r>
      <w:r>
        <w:rPr>
          <w:rFonts w:ascii="calibri" w:hAnsi="calibri" w:cs="calibri" w:eastAsia="calibri"/>
          <w:sz w:val="21"/>
        </w:rPr>
        <w:t>H.264</w:t>
      </w:r>
      <w:r>
        <w:rPr>
          <w:rFonts w:ascii="宋体" w:hAnsi="宋体" w:cs="宋体" w:eastAsia="宋体"/>
          <w:sz w:val="21"/>
        </w:rPr>
        <w:t>：</w:t>
      </w:r>
      <w:r>
        <w:rPr>
          <w:rFonts w:ascii="calibri" w:hAnsi="calibri" w:cs="calibri" w:eastAsia="calibri"/>
          <w:sz w:val="21"/>
        </w:rPr>
        <w:t>32kbps~32767kbps H.265</w:t>
      </w:r>
      <w:r>
        <w:rPr>
          <w:rFonts w:ascii="宋体" w:hAnsi="宋体" w:cs="宋体" w:eastAsia="宋体"/>
          <w:sz w:val="21"/>
        </w:rPr>
        <w:t>：</w:t>
      </w:r>
      <w:r>
        <w:rPr>
          <w:rFonts w:ascii="calibri" w:hAnsi="calibri" w:cs="calibri" w:eastAsia="calibri"/>
          <w:sz w:val="21"/>
        </w:rPr>
        <w:t>32kbps~32767kbps MJPEG</w:t>
      </w:r>
      <w:r>
        <w:rPr>
          <w:rFonts w:ascii="宋体" w:hAnsi="宋体" w:cs="宋体" w:eastAsia="宋体"/>
          <w:sz w:val="21"/>
        </w:rPr>
        <w:t>：</w:t>
      </w:r>
      <w:r>
        <w:rPr>
          <w:rFonts w:ascii="calibri" w:hAnsi="calibri" w:cs="calibri" w:eastAsia="calibri"/>
          <w:sz w:val="21"/>
        </w:rPr>
        <w:t>512kbps~32767kbps</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）视频压缩标准：</w:t>
      </w:r>
      <w:r>
        <w:rPr>
          <w:rFonts w:ascii="calibri" w:hAnsi="calibri" w:cs="calibri" w:eastAsia="calibri"/>
          <w:sz w:val="21"/>
        </w:rPr>
        <w:t>MJPEG;H.264;H.265</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）图片合成：支持</w:t>
      </w: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张图片合成；</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）支持根据时间段控制设备端口使能，可对接入不同端口的补光灯进行使能输出，时间段可设。</w:t>
      </w:r>
    </w:p>
    <w:p>
      <w:pPr>
        <w:pStyle w:val="null3"/>
        <w:spacing w:before="135" w:after="135"/>
        <w:ind w:firstLine="422"/>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13</w:t>
      </w:r>
      <w:r>
        <w:rPr>
          <w:rFonts w:ascii="宋体" w:hAnsi="宋体" w:cs="宋体" w:eastAsia="宋体"/>
          <w:sz w:val="21"/>
          <w:b/>
        </w:rPr>
        <w:t>）</w:t>
      </w:r>
      <w:r>
        <w:rPr>
          <w:rFonts w:ascii="宋体" w:hAnsi="宋体" w:cs="宋体" w:eastAsia="宋体"/>
          <w:sz w:val="21"/>
          <w:b/>
        </w:rPr>
        <w:t>6.6.</w:t>
      </w:r>
      <w:r>
        <w:rPr>
          <w:rFonts w:ascii="宋体" w:hAnsi="宋体" w:cs="宋体" w:eastAsia="宋体"/>
          <w:sz w:val="21"/>
          <w:b/>
        </w:rPr>
        <w:t>2．卡</w:t>
      </w:r>
      <w:r>
        <w:rPr>
          <w:rFonts w:ascii="宋体" w:hAnsi="宋体" w:cs="宋体" w:eastAsia="宋体"/>
          <w:sz w:val="21"/>
          <w:b/>
        </w:rPr>
        <w:t>口抓拍单元</w:t>
      </w:r>
      <w:r>
        <w:rPr>
          <w:rFonts w:ascii="宋体" w:hAnsi="宋体" w:cs="宋体" w:eastAsia="宋体"/>
          <w:sz w:val="21"/>
        </w:rPr>
        <w:t>（无光污染）（依据：《公路车辆智能监测记录系统通用技术》（</w:t>
      </w:r>
      <w:r>
        <w:rPr>
          <w:rFonts w:ascii="calibri" w:hAnsi="calibri" w:cs="calibri" w:eastAsia="calibri"/>
          <w:sz w:val="21"/>
        </w:rPr>
        <w:t>GA/T497</w:t>
      </w:r>
      <w:r>
        <w:rPr>
          <w:rFonts w:ascii="宋体" w:hAnsi="宋体" w:cs="宋体" w:eastAsia="宋体"/>
          <w:sz w:val="21"/>
        </w:rPr>
        <w:t>）和《视频专网集成指挥平台建设技术方案》要求：双车道视图像素不低于</w:t>
      </w:r>
      <w:r>
        <w:rPr>
          <w:rFonts w:ascii="calibri" w:hAnsi="calibri" w:cs="calibri" w:eastAsia="calibri"/>
          <w:sz w:val="21"/>
        </w:rPr>
        <w:t>500</w:t>
      </w:r>
      <w:r>
        <w:rPr>
          <w:rFonts w:ascii="宋体" w:hAnsi="宋体" w:cs="宋体" w:eastAsia="宋体"/>
          <w:sz w:val="21"/>
        </w:rPr>
        <w:t>万，驾乘人员面部有效像素不低于</w:t>
      </w:r>
      <w:r>
        <w:rPr>
          <w:rFonts w:ascii="calibri" w:hAnsi="calibri" w:cs="calibri" w:eastAsia="calibri"/>
          <w:sz w:val="21"/>
        </w:rPr>
        <w:t>100*100</w:t>
      </w:r>
      <w:r>
        <w:rPr>
          <w:rFonts w:ascii="宋体" w:hAnsi="宋体" w:cs="宋体" w:eastAsia="宋体"/>
          <w:sz w:val="21"/>
        </w:rPr>
        <w:t>像素，高清车辆卡口抓拍数据能够直接接入专网版集成指挥平台，数据可用率（准确率与及时率的乘积）要达</w:t>
      </w:r>
      <w:r>
        <w:rPr>
          <w:rFonts w:ascii="calibri" w:hAnsi="calibri" w:cs="calibri" w:eastAsia="calibri"/>
          <w:sz w:val="21"/>
        </w:rPr>
        <w:t>90%</w:t>
      </w:r>
      <w:r>
        <w:rPr>
          <w:rFonts w:ascii="宋体" w:hAnsi="宋体" w:cs="宋体" w:eastAsia="宋体"/>
          <w:sz w:val="21"/>
        </w:rPr>
        <w:t>以上）。</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）电子快门：</w:t>
      </w:r>
      <w:r>
        <w:rPr>
          <w:rFonts w:ascii="calibri" w:hAnsi="calibri" w:cs="calibri" w:eastAsia="calibri"/>
          <w:sz w:val="21"/>
        </w:rPr>
        <w:t>1/50s~1/100000s</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）视频分辨率：</w:t>
      </w:r>
      <w:r>
        <w:rPr>
          <w:rFonts w:ascii="calibri" w:hAnsi="calibri" w:cs="calibri" w:eastAsia="calibri"/>
          <w:sz w:val="21"/>
        </w:rPr>
        <w:t>3M</w:t>
      </w:r>
      <w:r>
        <w:rPr>
          <w:rFonts w:ascii="宋体" w:hAnsi="宋体" w:cs="宋体" w:eastAsia="宋体"/>
          <w:sz w:val="21"/>
        </w:rPr>
        <w:t>（</w:t>
      </w:r>
      <w:r>
        <w:rPr>
          <w:rFonts w:ascii="calibri" w:hAnsi="calibri" w:cs="calibri" w:eastAsia="calibri"/>
          <w:sz w:val="21"/>
        </w:rPr>
        <w:t>2048×1536</w:t>
      </w:r>
      <w:r>
        <w:rPr>
          <w:rFonts w:ascii="宋体" w:hAnsi="宋体" w:cs="宋体" w:eastAsia="宋体"/>
          <w:sz w:val="21"/>
        </w:rPr>
        <w:t>）</w:t>
      </w:r>
      <w:r>
        <w:rPr>
          <w:rFonts w:ascii="calibri" w:hAnsi="calibri" w:cs="calibri" w:eastAsia="calibri"/>
          <w:sz w:val="21"/>
        </w:rPr>
        <w:t>/1080P</w:t>
      </w:r>
      <w:r>
        <w:rPr>
          <w:rFonts w:ascii="宋体" w:hAnsi="宋体" w:cs="宋体" w:eastAsia="宋体"/>
          <w:sz w:val="21"/>
        </w:rPr>
        <w:t>（</w:t>
      </w:r>
      <w:r>
        <w:rPr>
          <w:rFonts w:ascii="calibri" w:hAnsi="calibri" w:cs="calibri" w:eastAsia="calibri"/>
          <w:sz w:val="21"/>
        </w:rPr>
        <w:t>1920×1080</w:t>
      </w:r>
      <w:r>
        <w:rPr>
          <w:rFonts w:ascii="宋体" w:hAnsi="宋体" w:cs="宋体" w:eastAsia="宋体"/>
          <w:sz w:val="21"/>
        </w:rPr>
        <w:t>）</w:t>
      </w:r>
      <w:r>
        <w:rPr>
          <w:rFonts w:ascii="calibri" w:hAnsi="calibri" w:cs="calibri" w:eastAsia="calibri"/>
          <w:sz w:val="21"/>
        </w:rPr>
        <w:t>/UXGA</w:t>
      </w:r>
      <w:r>
        <w:rPr>
          <w:rFonts w:ascii="宋体" w:hAnsi="宋体" w:cs="宋体" w:eastAsia="宋体"/>
          <w:sz w:val="21"/>
        </w:rPr>
        <w:t>（</w:t>
      </w:r>
      <w:r>
        <w:rPr>
          <w:rFonts w:ascii="calibri" w:hAnsi="calibri" w:cs="calibri" w:eastAsia="calibri"/>
          <w:sz w:val="21"/>
        </w:rPr>
        <w:t>1600×1200</w:t>
      </w:r>
      <w:r>
        <w:rPr>
          <w:rFonts w:ascii="宋体" w:hAnsi="宋体" w:cs="宋体" w:eastAsia="宋体"/>
          <w:sz w:val="21"/>
        </w:rPr>
        <w:t>）</w:t>
      </w:r>
      <w:r>
        <w:rPr>
          <w:rFonts w:ascii="calibri" w:hAnsi="calibri" w:cs="calibri" w:eastAsia="calibri"/>
          <w:sz w:val="21"/>
        </w:rPr>
        <w:t>/720P</w:t>
      </w:r>
      <w:r>
        <w:rPr>
          <w:rFonts w:ascii="宋体" w:hAnsi="宋体" w:cs="宋体" w:eastAsia="宋体"/>
          <w:sz w:val="21"/>
        </w:rPr>
        <w:t>（</w:t>
      </w:r>
      <w:r>
        <w:rPr>
          <w:rFonts w:ascii="calibri" w:hAnsi="calibri" w:cs="calibri" w:eastAsia="calibri"/>
          <w:sz w:val="21"/>
        </w:rPr>
        <w:t>1280×720</w:t>
      </w:r>
      <w:r>
        <w:rPr>
          <w:rFonts w:ascii="宋体" w:hAnsi="宋体" w:cs="宋体" w:eastAsia="宋体"/>
          <w:sz w:val="21"/>
        </w:rPr>
        <w:t>）</w:t>
      </w:r>
      <w:r>
        <w:rPr>
          <w:rFonts w:ascii="calibri" w:hAnsi="calibri" w:cs="calibri" w:eastAsia="calibri"/>
          <w:sz w:val="21"/>
        </w:rPr>
        <w:t>/D1</w:t>
      </w:r>
      <w:r>
        <w:rPr>
          <w:rFonts w:ascii="宋体" w:hAnsi="宋体" w:cs="宋体" w:eastAsia="宋体"/>
          <w:sz w:val="21"/>
        </w:rPr>
        <w:t>（</w:t>
      </w:r>
      <w:r>
        <w:rPr>
          <w:rFonts w:ascii="calibri" w:hAnsi="calibri" w:cs="calibri" w:eastAsia="calibri"/>
          <w:sz w:val="21"/>
        </w:rPr>
        <w:t>704×576</w:t>
      </w:r>
      <w:r>
        <w:rPr>
          <w:rFonts w:ascii="宋体" w:hAnsi="宋体" w:cs="宋体" w:eastAsia="宋体"/>
          <w:sz w:val="21"/>
        </w:rPr>
        <w:t>）</w:t>
      </w:r>
      <w:r>
        <w:rPr>
          <w:rFonts w:ascii="calibri" w:hAnsi="calibri" w:cs="calibri" w:eastAsia="calibri"/>
          <w:sz w:val="21"/>
        </w:rPr>
        <w:t>/CIF</w:t>
      </w:r>
      <w:r>
        <w:rPr>
          <w:rFonts w:ascii="宋体" w:hAnsi="宋体" w:cs="宋体" w:eastAsia="宋体"/>
          <w:sz w:val="21"/>
        </w:rPr>
        <w:t>（</w:t>
      </w:r>
      <w:r>
        <w:rPr>
          <w:rFonts w:ascii="calibri" w:hAnsi="calibri" w:cs="calibri" w:eastAsia="calibri"/>
          <w:sz w:val="21"/>
        </w:rPr>
        <w:t>352×288</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）视频帧率：最大支持</w:t>
      </w:r>
      <w:r>
        <w:rPr>
          <w:rFonts w:ascii="calibri" w:hAnsi="calibri" w:cs="calibri" w:eastAsia="calibri"/>
          <w:sz w:val="21"/>
        </w:rPr>
        <w:t>50fps;</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）视频码率：</w:t>
      </w:r>
      <w:r>
        <w:rPr>
          <w:rFonts w:ascii="calibri" w:hAnsi="calibri" w:cs="calibri" w:eastAsia="calibri"/>
          <w:sz w:val="21"/>
        </w:rPr>
        <w:t>H.264</w:t>
      </w:r>
      <w:r>
        <w:rPr>
          <w:rFonts w:ascii="宋体" w:hAnsi="宋体" w:cs="宋体" w:eastAsia="宋体"/>
          <w:sz w:val="21"/>
        </w:rPr>
        <w:t>：</w:t>
      </w:r>
      <w:r>
        <w:rPr>
          <w:rFonts w:ascii="calibri" w:hAnsi="calibri" w:cs="calibri" w:eastAsia="calibri"/>
          <w:sz w:val="21"/>
        </w:rPr>
        <w:t>32kbps~32767kbpsH.265</w:t>
      </w:r>
      <w:r>
        <w:rPr>
          <w:rFonts w:ascii="宋体" w:hAnsi="宋体" w:cs="宋体" w:eastAsia="宋体"/>
          <w:sz w:val="21"/>
        </w:rPr>
        <w:t>：</w:t>
      </w:r>
      <w:r>
        <w:rPr>
          <w:rFonts w:ascii="calibri" w:hAnsi="calibri" w:cs="calibri" w:eastAsia="calibri"/>
          <w:sz w:val="21"/>
        </w:rPr>
        <w:t>32kbps~32767kbpsMJPEG</w:t>
      </w:r>
      <w:r>
        <w:rPr>
          <w:rFonts w:ascii="宋体" w:hAnsi="宋体" w:cs="宋体" w:eastAsia="宋体"/>
          <w:sz w:val="21"/>
        </w:rPr>
        <w:t>：</w:t>
      </w:r>
      <w:r>
        <w:rPr>
          <w:rFonts w:ascii="calibri" w:hAnsi="calibri" w:cs="calibri" w:eastAsia="calibri"/>
          <w:sz w:val="21"/>
        </w:rPr>
        <w:t>512kbps~32767kbps</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）视频压缩标准：</w:t>
      </w:r>
      <w:r>
        <w:rPr>
          <w:rFonts w:ascii="calibri" w:hAnsi="calibri" w:cs="calibri" w:eastAsia="calibri"/>
          <w:sz w:val="21"/>
        </w:rPr>
        <w:t>MJPEG;H.264;H.265</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）支持根据时间段控制设备端口使能，可对接入不同端口的补光灯进行使能输出，时间段可设。</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4</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宋体" w:hAnsi="宋体" w:cs="宋体" w:eastAsia="宋体"/>
          <w:sz w:val="21"/>
        </w:rPr>
        <w:t>▲支持设置视频</w:t>
      </w:r>
      <w:r>
        <w:rPr>
          <w:rFonts w:ascii="calibri" w:hAnsi="calibri" w:cs="calibri" w:eastAsia="calibri"/>
          <w:sz w:val="21"/>
        </w:rPr>
        <w:t>3D</w:t>
      </w:r>
      <w:r>
        <w:rPr>
          <w:rFonts w:ascii="宋体" w:hAnsi="宋体" w:cs="宋体" w:eastAsia="宋体"/>
          <w:sz w:val="21"/>
        </w:rPr>
        <w:t>降噪功能，包括视频空域</w:t>
      </w:r>
      <w:r>
        <w:rPr>
          <w:rFonts w:ascii="calibri" w:hAnsi="calibri" w:cs="calibri" w:eastAsia="calibri"/>
          <w:sz w:val="21"/>
        </w:rPr>
        <w:t>3D</w:t>
      </w:r>
      <w:r>
        <w:rPr>
          <w:rFonts w:ascii="宋体" w:hAnsi="宋体" w:cs="宋体" w:eastAsia="宋体"/>
          <w:sz w:val="21"/>
        </w:rPr>
        <w:t>降噪及视频时域</w:t>
      </w:r>
      <w:r>
        <w:rPr>
          <w:rFonts w:ascii="calibri" w:hAnsi="calibri" w:cs="calibri" w:eastAsia="calibri"/>
          <w:sz w:val="21"/>
        </w:rPr>
        <w:t>3D</w:t>
      </w:r>
      <w:r>
        <w:rPr>
          <w:rFonts w:ascii="宋体" w:hAnsi="宋体" w:cs="宋体" w:eastAsia="宋体"/>
          <w:sz w:val="21"/>
        </w:rPr>
        <w:t>降噪，降噪等级</w:t>
      </w:r>
      <w:r>
        <w:rPr>
          <w:rFonts w:ascii="calibri" w:hAnsi="calibri" w:cs="calibri" w:eastAsia="calibri"/>
          <w:sz w:val="21"/>
        </w:rPr>
        <w:t>0~100</w:t>
      </w:r>
      <w:r>
        <w:rPr>
          <w:rFonts w:ascii="宋体" w:hAnsi="宋体" w:cs="宋体" w:eastAsia="宋体"/>
          <w:sz w:val="21"/>
        </w:rPr>
        <w:t>可分别设置，可通过菜单启用或关闭。</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5</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▲支持单帧多区域曝光功能，可对图片和视频进行多个区域的曝光值设置：在抓拍图片和实时视频中对同一个画面的不同区域展示不同亮度场景，曝光区域可调，曝光亮度可调。</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）外置灯接口：不少于</w:t>
      </w:r>
      <w:r>
        <w:rPr>
          <w:rFonts w:ascii="calibri" w:hAnsi="calibri" w:cs="calibri" w:eastAsia="calibri"/>
          <w:sz w:val="21"/>
        </w:rPr>
        <w:t>7</w:t>
      </w:r>
      <w:r>
        <w:rPr>
          <w:rFonts w:ascii="宋体" w:hAnsi="宋体" w:cs="宋体" w:eastAsia="宋体"/>
          <w:sz w:val="21"/>
        </w:rPr>
        <w:t>个，光耦信号输出</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）网络接口：</w:t>
      </w:r>
      <w:r>
        <w:rPr>
          <w:rFonts w:ascii="calibri" w:hAnsi="calibri" w:cs="calibri" w:eastAsia="calibri"/>
          <w:sz w:val="21"/>
        </w:rPr>
        <w:t>2</w:t>
      </w:r>
      <w:r>
        <w:rPr>
          <w:rFonts w:ascii="宋体" w:hAnsi="宋体" w:cs="宋体" w:eastAsia="宋体"/>
          <w:sz w:val="21"/>
        </w:rPr>
        <w:t>个</w:t>
      </w:r>
      <w:r>
        <w:rPr>
          <w:rFonts w:ascii="calibri" w:hAnsi="calibri" w:cs="calibri" w:eastAsia="calibri"/>
          <w:sz w:val="21"/>
        </w:rPr>
        <w:t>RJ-45</w:t>
      </w:r>
      <w:r>
        <w:rPr>
          <w:rFonts w:ascii="宋体" w:hAnsi="宋体" w:cs="宋体" w:eastAsia="宋体"/>
          <w:sz w:val="21"/>
        </w:rPr>
        <w:t>以太网口，支持</w:t>
      </w:r>
      <w:r>
        <w:rPr>
          <w:rFonts w:ascii="calibri" w:hAnsi="calibri" w:cs="calibri" w:eastAsia="calibri"/>
          <w:sz w:val="21"/>
        </w:rPr>
        <w:t>12/100/1000M</w:t>
      </w:r>
      <w:r>
        <w:rPr>
          <w:rFonts w:ascii="宋体" w:hAnsi="宋体" w:cs="宋体" w:eastAsia="宋体"/>
          <w:sz w:val="21"/>
        </w:rPr>
        <w:t>网络数据传输；</w:t>
      </w:r>
    </w:p>
    <w:p>
      <w:pPr>
        <w:pStyle w:val="null3"/>
        <w:spacing w:before="135" w:after="135"/>
        <w:ind w:firstLine="420"/>
      </w:pPr>
      <w:r>
        <w:rPr>
          <w:rFonts w:ascii="宋体" w:hAnsi="宋体" w:cs="宋体" w:eastAsia="宋体"/>
          <w:sz w:val="21"/>
        </w:rPr>
        <w:t>（</w:t>
      </w:r>
      <w:r>
        <w:rPr>
          <w:rFonts w:ascii="calibri" w:hAnsi="calibri" w:cs="calibri" w:eastAsia="calibri"/>
          <w:sz w:val="21"/>
        </w:rPr>
        <w:t>11</w:t>
      </w:r>
      <w:r>
        <w:rPr>
          <w:rFonts w:ascii="宋体" w:hAnsi="宋体" w:cs="宋体" w:eastAsia="宋体"/>
          <w:sz w:val="21"/>
        </w:rPr>
        <w:t>）图片合成：支持</w:t>
      </w: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calibri" w:hAnsi="calibri" w:cs="calibri" w:eastAsia="calibri"/>
          <w:sz w:val="21"/>
        </w:rPr>
        <w:t>4</w:t>
      </w:r>
      <w:r>
        <w:rPr>
          <w:rFonts w:ascii="宋体" w:hAnsi="宋体" w:cs="宋体" w:eastAsia="宋体"/>
          <w:sz w:val="21"/>
        </w:rPr>
        <w:t>张图片合成；</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calibri" w:hAnsi="calibri" w:cs="calibri" w:eastAsia="calibri"/>
          <w:sz w:val="21"/>
        </w:rPr>
        <w:t>2</w:t>
      </w:r>
      <w:r>
        <w:rPr>
          <w:rFonts w:ascii="宋体" w:hAnsi="宋体" w:cs="宋体" w:eastAsia="宋体"/>
          <w:sz w:val="21"/>
        </w:rPr>
        <w:t>）国密功能：支持国密</w:t>
      </w:r>
      <w:r>
        <w:rPr>
          <w:rFonts w:ascii="calibri" w:hAnsi="calibri" w:cs="calibri" w:eastAsia="calibri"/>
          <w:sz w:val="21"/>
        </w:rPr>
        <w:t>GB 35114-A</w:t>
      </w:r>
      <w:r>
        <w:rPr>
          <w:rFonts w:ascii="宋体" w:hAnsi="宋体" w:cs="宋体" w:eastAsia="宋体"/>
          <w:sz w:val="21"/>
        </w:rPr>
        <w:t>级功能；</w:t>
      </w:r>
    </w:p>
    <w:p>
      <w:pPr>
        <w:pStyle w:val="null3"/>
        <w:spacing w:before="135" w:after="135"/>
        <w:ind w:firstLine="422"/>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14</w:t>
      </w:r>
      <w:r>
        <w:rPr>
          <w:rFonts w:ascii="宋体" w:hAnsi="宋体" w:cs="宋体" w:eastAsia="宋体"/>
          <w:sz w:val="21"/>
          <w:b/>
        </w:rPr>
        <w:t>）</w:t>
      </w:r>
      <w:r>
        <w:rPr>
          <w:rFonts w:ascii="calibri" w:hAnsi="calibri" w:cs="calibri" w:eastAsia="calibri"/>
          <w:sz w:val="21"/>
          <w:b/>
        </w:rPr>
        <w:t>6.7.</w:t>
      </w:r>
      <w:r>
        <w:rPr>
          <w:rFonts w:ascii="calibri" w:hAnsi="calibri" w:cs="calibri" w:eastAsia="calibri"/>
          <w:sz w:val="21"/>
          <w:b/>
        </w:rPr>
        <w:t>LED</w:t>
      </w:r>
      <w:r>
        <w:rPr>
          <w:rFonts w:ascii="宋体" w:hAnsi="宋体" w:cs="宋体" w:eastAsia="宋体"/>
          <w:sz w:val="21"/>
          <w:b/>
        </w:rPr>
        <w:t>频闪灯</w:t>
      </w:r>
      <w:r>
        <w:rPr>
          <w:rFonts w:ascii="宋体" w:hAnsi="宋体" w:cs="宋体" w:eastAsia="宋体"/>
          <w:sz w:val="21"/>
        </w:rPr>
        <w:t>（无光污染）符合《交通技术监控成像补光装置通用技术条件》（</w:t>
      </w:r>
      <w:r>
        <w:rPr>
          <w:rFonts w:ascii="calibri" w:hAnsi="calibri" w:cs="calibri" w:eastAsia="calibri"/>
          <w:sz w:val="21"/>
        </w:rPr>
        <w:t>GA/T1202-2022</w:t>
      </w:r>
      <w:r>
        <w:rPr>
          <w:rFonts w:ascii="宋体" w:hAnsi="宋体" w:cs="宋体" w:eastAsia="宋体"/>
          <w:sz w:val="21"/>
        </w:rPr>
        <w:t>）要求。</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）灯型</w:t>
      </w:r>
      <w:r>
        <w:rPr>
          <w:rFonts w:ascii="calibri" w:hAnsi="calibri" w:cs="calibri" w:eastAsia="calibri"/>
          <w:sz w:val="21"/>
        </w:rPr>
        <w:t>LED</w:t>
      </w:r>
      <w:r>
        <w:rPr>
          <w:rFonts w:ascii="宋体" w:hAnsi="宋体" w:cs="宋体" w:eastAsia="宋体"/>
          <w:sz w:val="21"/>
        </w:rPr>
        <w:t>灯</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）光源可见光（波长</w:t>
      </w:r>
      <w:r>
        <w:rPr>
          <w:rFonts w:ascii="calibri" w:hAnsi="calibri" w:cs="calibri" w:eastAsia="calibri"/>
          <w:sz w:val="21"/>
        </w:rPr>
        <w:t>350-780nm</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）色温</w:t>
      </w:r>
      <w:r>
        <w:rPr>
          <w:rFonts w:ascii="calibri" w:hAnsi="calibri" w:cs="calibri" w:eastAsia="calibri"/>
          <w:sz w:val="21"/>
        </w:rPr>
        <w:t>4500K</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）中心光照度</w:t>
      </w:r>
      <w:r>
        <w:rPr>
          <w:rFonts w:ascii="calibri" w:hAnsi="calibri" w:cs="calibri" w:eastAsia="calibri"/>
          <w:sz w:val="21"/>
        </w:rPr>
        <w:t>&lt;40lx</w:t>
      </w:r>
      <w:r>
        <w:rPr>
          <w:rFonts w:ascii="宋体" w:hAnsi="宋体" w:cs="宋体" w:eastAsia="宋体"/>
          <w:sz w:val="21"/>
        </w:rPr>
        <w:t>（</w:t>
      </w:r>
      <w:r>
        <w:rPr>
          <w:rFonts w:ascii="calibri" w:hAnsi="calibri" w:cs="calibri" w:eastAsia="calibri"/>
          <w:sz w:val="21"/>
        </w:rPr>
        <w:t>20m</w:t>
      </w:r>
      <w:r>
        <w:rPr>
          <w:rFonts w:ascii="宋体" w:hAnsi="宋体" w:cs="宋体" w:eastAsia="宋体"/>
          <w:sz w:val="21"/>
        </w:rPr>
        <w:t>光照度）</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）触发方式干接点触发</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）光通量</w:t>
      </w:r>
      <w:r>
        <w:rPr>
          <w:rFonts w:ascii="calibri" w:hAnsi="calibri" w:cs="calibri" w:eastAsia="calibri"/>
          <w:sz w:val="21"/>
        </w:rPr>
        <w:t>≥1800lm</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 xml:space="preserve">）日夜切换支持， </w:t>
      </w:r>
      <w:r>
        <w:rPr>
          <w:rFonts w:ascii="calibri" w:hAnsi="calibri" w:cs="calibri" w:eastAsia="calibri"/>
          <w:sz w:val="21"/>
        </w:rPr>
        <w:t>6</w:t>
      </w:r>
      <w:r>
        <w:rPr>
          <w:rFonts w:ascii="宋体" w:hAnsi="宋体" w:cs="宋体" w:eastAsia="宋体"/>
          <w:sz w:val="21"/>
        </w:rPr>
        <w:t>级以上灵敏度可设置</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）可根据环境亮度自动点亮或者熄灭补光灯，环境亮度阀值</w:t>
      </w:r>
      <w:r>
        <w:rPr>
          <w:rFonts w:ascii="calibri" w:hAnsi="calibri" w:cs="calibri" w:eastAsia="calibri"/>
          <w:sz w:val="21"/>
        </w:rPr>
        <w:t>10</w:t>
      </w:r>
      <w:r>
        <w:rPr>
          <w:rFonts w:ascii="宋体" w:hAnsi="宋体" w:cs="宋体" w:eastAsia="宋体"/>
          <w:sz w:val="21"/>
        </w:rPr>
        <w:t>档可调</w:t>
      </w:r>
    </w:p>
    <w:p>
      <w:pPr>
        <w:pStyle w:val="null3"/>
        <w:spacing w:before="135" w:after="135"/>
        <w:ind w:firstLine="422"/>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15</w:t>
      </w:r>
      <w:r>
        <w:rPr>
          <w:rFonts w:ascii="宋体" w:hAnsi="宋体" w:cs="宋体" w:eastAsia="宋体"/>
          <w:sz w:val="21"/>
          <w:b/>
        </w:rPr>
        <w:t>）</w:t>
      </w:r>
      <w:r>
        <w:rPr>
          <w:rFonts w:ascii="calibri" w:hAnsi="calibri" w:cs="calibri" w:eastAsia="calibri"/>
          <w:sz w:val="21"/>
          <w:b/>
        </w:rPr>
        <w:t>6.8.</w:t>
      </w:r>
      <w:r>
        <w:rPr>
          <w:rFonts w:ascii="宋体" w:hAnsi="宋体" w:cs="宋体" w:eastAsia="宋体"/>
          <w:sz w:val="21"/>
          <w:b/>
        </w:rPr>
        <w:t>卡口补光灯</w:t>
      </w:r>
      <w:r>
        <w:rPr>
          <w:rFonts w:ascii="宋体" w:hAnsi="宋体" w:cs="宋体" w:eastAsia="宋体"/>
          <w:sz w:val="21"/>
        </w:rPr>
        <w:t>（无光污染）符合《交通技术监控成像补光装置通用技术条件》（</w:t>
      </w:r>
      <w:r>
        <w:rPr>
          <w:rFonts w:ascii="calibri" w:hAnsi="calibri" w:cs="calibri" w:eastAsia="calibri"/>
          <w:sz w:val="21"/>
        </w:rPr>
        <w:t>GA/T1202-2022</w:t>
      </w:r>
      <w:r>
        <w:rPr>
          <w:rFonts w:ascii="宋体" w:hAnsi="宋体" w:cs="宋体" w:eastAsia="宋体"/>
          <w:sz w:val="21"/>
        </w:rPr>
        <w:t>）要求。</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）光源可见光（波长</w:t>
      </w:r>
      <w:r>
        <w:rPr>
          <w:rFonts w:ascii="calibri" w:hAnsi="calibri" w:cs="calibri" w:eastAsia="calibri"/>
          <w:sz w:val="21"/>
        </w:rPr>
        <w:t>350-780nm</w:t>
      </w:r>
      <w:r>
        <w:rPr>
          <w:rFonts w:ascii="宋体" w:hAnsi="宋体" w:cs="宋体" w:eastAsia="宋体"/>
          <w:sz w:val="21"/>
        </w:rPr>
        <w:t>）红外</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）色温氙气：</w:t>
      </w:r>
      <w:r>
        <w:rPr>
          <w:rFonts w:ascii="calibri" w:hAnsi="calibri" w:cs="calibri" w:eastAsia="calibri"/>
          <w:sz w:val="21"/>
        </w:rPr>
        <w:t>5800K±200K</w:t>
      </w:r>
      <w:r>
        <w:rPr>
          <w:rFonts w:ascii="宋体" w:hAnsi="宋体" w:cs="宋体" w:eastAsia="宋体"/>
          <w:sz w:val="21"/>
        </w:rPr>
        <w:t>；</w:t>
      </w:r>
      <w:r>
        <w:rPr>
          <w:rFonts w:ascii="calibri" w:hAnsi="calibri" w:cs="calibri" w:eastAsia="calibri"/>
          <w:sz w:val="21"/>
        </w:rPr>
        <w:t>LED</w:t>
      </w:r>
      <w:r>
        <w:rPr>
          <w:rFonts w:ascii="宋体" w:hAnsi="宋体" w:cs="宋体" w:eastAsia="宋体"/>
          <w:sz w:val="21"/>
        </w:rPr>
        <w:t>：</w:t>
      </w:r>
      <w:r>
        <w:rPr>
          <w:rFonts w:ascii="calibri" w:hAnsi="calibri" w:cs="calibri" w:eastAsia="calibri"/>
          <w:sz w:val="21"/>
        </w:rPr>
        <w:t>4500K</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）中心光照度</w:t>
      </w:r>
      <w:r>
        <w:rPr>
          <w:rFonts w:ascii="calibri" w:hAnsi="calibri" w:cs="calibri" w:eastAsia="calibri"/>
          <w:sz w:val="21"/>
        </w:rPr>
        <w:t>LED</w:t>
      </w:r>
      <w:r>
        <w:rPr>
          <w:rFonts w:ascii="宋体" w:hAnsi="宋体" w:cs="宋体" w:eastAsia="宋体"/>
          <w:sz w:val="21"/>
        </w:rPr>
        <w:t>：</w:t>
      </w:r>
      <w:r>
        <w:rPr>
          <w:rFonts w:ascii="calibri" w:hAnsi="calibri" w:cs="calibri" w:eastAsia="calibri"/>
          <w:sz w:val="21"/>
        </w:rPr>
        <w:t>&lt;40lx</w:t>
      </w:r>
      <w:r>
        <w:rPr>
          <w:rFonts w:ascii="宋体" w:hAnsi="宋体" w:cs="宋体" w:eastAsia="宋体"/>
          <w:sz w:val="21"/>
        </w:rPr>
        <w:t>（</w:t>
      </w:r>
      <w:r>
        <w:rPr>
          <w:rFonts w:ascii="calibri" w:hAnsi="calibri" w:cs="calibri" w:eastAsia="calibri"/>
          <w:sz w:val="21"/>
        </w:rPr>
        <w:t>20m</w:t>
      </w:r>
      <w:r>
        <w:rPr>
          <w:rFonts w:ascii="宋体" w:hAnsi="宋体" w:cs="宋体" w:eastAsia="宋体"/>
          <w:sz w:val="21"/>
        </w:rPr>
        <w:t>光照度）氙气：</w:t>
      </w:r>
      <w:r>
        <w:rPr>
          <w:rFonts w:ascii="calibri" w:hAnsi="calibri" w:cs="calibri" w:eastAsia="calibri"/>
          <w:sz w:val="21"/>
        </w:rPr>
        <w:t>≤4000Lx</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）触发方式脉宽触发</w:t>
      </w:r>
      <w:r>
        <w:rPr>
          <w:rFonts w:ascii="calibri" w:hAnsi="calibri" w:cs="calibri" w:eastAsia="calibri"/>
          <w:sz w:val="21"/>
        </w:rPr>
        <w:t>/</w:t>
      </w:r>
      <w:r>
        <w:rPr>
          <w:rFonts w:ascii="宋体" w:hAnsi="宋体" w:cs="宋体" w:eastAsia="宋体"/>
          <w:sz w:val="21"/>
        </w:rPr>
        <w:t>边沿触发</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）补光距离</w:t>
      </w:r>
      <w:r>
        <w:rPr>
          <w:rFonts w:ascii="calibri" w:hAnsi="calibri" w:cs="calibri" w:eastAsia="calibri"/>
          <w:sz w:val="21"/>
        </w:rPr>
        <w:t>16m~26m</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）闪光灯寿命</w:t>
      </w:r>
      <w:r>
        <w:rPr>
          <w:rFonts w:ascii="calibri" w:hAnsi="calibri" w:cs="calibri" w:eastAsia="calibri"/>
          <w:sz w:val="21"/>
        </w:rPr>
        <w:t>≥1000</w:t>
      </w:r>
      <w:r>
        <w:rPr>
          <w:rFonts w:ascii="宋体" w:hAnsi="宋体" w:cs="宋体" w:eastAsia="宋体"/>
          <w:sz w:val="21"/>
        </w:rPr>
        <w:t>万次</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）频率</w:t>
      </w:r>
      <w:r>
        <w:rPr>
          <w:rFonts w:ascii="calibri" w:hAnsi="calibri" w:cs="calibri" w:eastAsia="calibri"/>
          <w:sz w:val="21"/>
        </w:rPr>
        <w:t>50Hz/60Hz/75Hz/90Hz/100Hz/120Hz</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）光通量</w:t>
      </w:r>
      <w:r>
        <w:rPr>
          <w:rFonts w:ascii="calibri" w:hAnsi="calibri" w:cs="calibri" w:eastAsia="calibri"/>
          <w:sz w:val="21"/>
        </w:rPr>
        <w:t>≥1800lm</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）红外白光切换支持</w:t>
      </w:r>
    </w:p>
    <w:p>
      <w:pPr>
        <w:pStyle w:val="null3"/>
        <w:spacing w:before="135" w:after="135"/>
        <w:ind w:firstLine="420"/>
      </w:pPr>
      <w:r>
        <w:rPr>
          <w:rFonts w:ascii="宋体" w:hAnsi="宋体" w:cs="宋体" w:eastAsia="宋体"/>
          <w:sz w:val="21"/>
        </w:rPr>
        <w:t>（</w:t>
      </w:r>
      <w:r>
        <w:rPr>
          <w:rFonts w:ascii="calibri" w:hAnsi="calibri" w:cs="calibri" w:eastAsia="calibri"/>
          <w:sz w:val="21"/>
        </w:rPr>
        <w:t>11</w:t>
      </w:r>
      <w:r>
        <w:rPr>
          <w:rFonts w:ascii="宋体" w:hAnsi="宋体" w:cs="宋体" w:eastAsia="宋体"/>
          <w:sz w:val="21"/>
        </w:rPr>
        <w:t>）亮度调节氙气：</w:t>
      </w:r>
      <w:r>
        <w:rPr>
          <w:rFonts w:ascii="calibri" w:hAnsi="calibri" w:cs="calibri" w:eastAsia="calibri"/>
          <w:sz w:val="21"/>
        </w:rPr>
        <w:t>16</w:t>
      </w:r>
      <w:r>
        <w:rPr>
          <w:rFonts w:ascii="宋体" w:hAnsi="宋体" w:cs="宋体" w:eastAsia="宋体"/>
          <w:sz w:val="21"/>
        </w:rPr>
        <w:t>级以上亮度可调</w:t>
      </w:r>
      <w:r>
        <w:rPr>
          <w:rFonts w:ascii="calibri" w:hAnsi="calibri" w:cs="calibri" w:eastAsia="calibri"/>
          <w:sz w:val="21"/>
        </w:rPr>
        <w:t>LED</w:t>
      </w:r>
      <w:r>
        <w:rPr>
          <w:rFonts w:ascii="宋体" w:hAnsi="宋体" w:cs="宋体" w:eastAsia="宋体"/>
          <w:sz w:val="21"/>
        </w:rPr>
        <w:t>频闪：</w:t>
      </w:r>
      <w:r>
        <w:rPr>
          <w:rFonts w:ascii="calibri" w:hAnsi="calibri" w:cs="calibri" w:eastAsia="calibri"/>
          <w:sz w:val="21"/>
        </w:rPr>
        <w:t>20</w:t>
      </w:r>
      <w:r>
        <w:rPr>
          <w:rFonts w:ascii="宋体" w:hAnsi="宋体" w:cs="宋体" w:eastAsia="宋体"/>
          <w:sz w:val="21"/>
        </w:rPr>
        <w:t>级以上亮度可调</w:t>
      </w:r>
    </w:p>
    <w:p>
      <w:pPr>
        <w:pStyle w:val="null3"/>
        <w:spacing w:before="135" w:after="135"/>
        <w:ind w:firstLine="420"/>
      </w:pPr>
      <w:r>
        <w:rPr>
          <w:rFonts w:ascii="宋体" w:hAnsi="宋体" w:cs="宋体" w:eastAsia="宋体"/>
          <w:sz w:val="21"/>
        </w:rPr>
        <w:t>（</w:t>
      </w:r>
      <w:r>
        <w:rPr>
          <w:rFonts w:ascii="calibri" w:hAnsi="calibri" w:cs="calibri" w:eastAsia="calibri"/>
          <w:sz w:val="21"/>
        </w:rPr>
        <w:t>12</w:t>
      </w:r>
      <w:r>
        <w:rPr>
          <w:rFonts w:ascii="宋体" w:hAnsi="宋体" w:cs="宋体" w:eastAsia="宋体"/>
          <w:sz w:val="21"/>
        </w:rPr>
        <w:t>）支持频闪级联功能 。</w:t>
      </w:r>
    </w:p>
    <w:p>
      <w:pPr>
        <w:pStyle w:val="null3"/>
        <w:spacing w:before="135" w:after="135"/>
        <w:ind w:firstLine="420"/>
      </w:pPr>
      <w:r>
        <w:rPr>
          <w:rFonts w:ascii="calibri" w:hAnsi="calibri" w:cs="calibri" w:eastAsia="calibri"/>
          <w:sz w:val="21"/>
        </w:rPr>
        <w:t>6.9.</w:t>
      </w:r>
      <w:r>
        <w:rPr>
          <w:rFonts w:ascii="宋体" w:hAnsi="宋体" w:cs="宋体" w:eastAsia="宋体"/>
          <w:sz w:val="21"/>
        </w:rPr>
        <w:t>太阳能爆闪灯</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外壳由</w:t>
      </w:r>
      <w:r>
        <w:rPr>
          <w:rFonts w:ascii="宋体" w:hAnsi="宋体" w:cs="宋体" w:eastAsia="宋体"/>
          <w:sz w:val="21"/>
        </w:rPr>
        <w:t>铝合金型材</w:t>
      </w:r>
      <w:r>
        <w:rPr>
          <w:rFonts w:ascii="宋体" w:hAnsi="宋体" w:cs="宋体" w:eastAsia="宋体"/>
          <w:sz w:val="21"/>
        </w:rPr>
        <w:t>组合，表面塑料喷漆，外观精美不易被腐蚀，长时间使用不会出现锈迹。</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采用密封结构组合式灯组，整灯的各组件相连处都进行密封处理，高性能防护，等级大于</w:t>
      </w:r>
      <w:r>
        <w:rPr>
          <w:rFonts w:ascii="calibri" w:hAnsi="calibri" w:cs="calibri" w:eastAsia="calibri"/>
          <w:sz w:val="21"/>
        </w:rPr>
        <w:t>IP53</w:t>
      </w:r>
      <w:r>
        <w:rPr>
          <w:rFonts w:ascii="宋体" w:hAnsi="宋体" w:cs="宋体" w:eastAsia="宋体"/>
          <w:sz w:val="21"/>
        </w:rPr>
        <w:t>，有效防雨、防尘入侵。</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宋体" w:hAnsi="宋体" w:cs="宋体" w:eastAsia="宋体"/>
          <w:sz w:val="21"/>
        </w:rPr>
        <w:t>每组灯板都有</w:t>
      </w:r>
      <w:r>
        <w:rPr>
          <w:rFonts w:ascii="calibri" w:hAnsi="calibri" w:cs="calibri" w:eastAsia="calibri"/>
          <w:sz w:val="21"/>
        </w:rPr>
        <w:t>20</w:t>
      </w:r>
      <w:r>
        <w:rPr>
          <w:rFonts w:ascii="宋体" w:hAnsi="宋体" w:cs="宋体" w:eastAsia="宋体"/>
          <w:sz w:val="21"/>
        </w:rPr>
        <w:t>、</w:t>
      </w:r>
      <w:r>
        <w:rPr>
          <w:rFonts w:ascii="calibri" w:hAnsi="calibri" w:cs="calibri" w:eastAsia="calibri"/>
          <w:sz w:val="21"/>
        </w:rPr>
        <w:t>30</w:t>
      </w:r>
      <w:r>
        <w:rPr>
          <w:rFonts w:ascii="宋体" w:hAnsi="宋体" w:cs="宋体" w:eastAsia="宋体"/>
          <w:sz w:val="21"/>
        </w:rPr>
        <w:t>个单灯（灯可多可少）亮度</w:t>
      </w:r>
      <w:r>
        <w:rPr>
          <w:rFonts w:ascii="calibri" w:hAnsi="calibri" w:cs="calibri" w:eastAsia="calibri"/>
          <w:sz w:val="21"/>
        </w:rPr>
        <w:t>≥8000mcd</w:t>
      </w:r>
      <w:r>
        <w:rPr>
          <w:rFonts w:ascii="宋体" w:hAnsi="宋体" w:cs="宋体" w:eastAsia="宋体"/>
          <w:sz w:val="21"/>
        </w:rPr>
        <w:t>的</w:t>
      </w:r>
      <w:r>
        <w:rPr>
          <w:rFonts w:ascii="calibri" w:hAnsi="calibri" w:cs="calibri" w:eastAsia="calibri"/>
          <w:sz w:val="21"/>
        </w:rPr>
        <w:t>LED</w:t>
      </w:r>
      <w:r>
        <w:rPr>
          <w:rFonts w:ascii="宋体" w:hAnsi="宋体" w:cs="宋体" w:eastAsia="宋体"/>
          <w:sz w:val="21"/>
        </w:rPr>
        <w:t>组成，加上</w:t>
      </w:r>
      <w:r>
        <w:rPr>
          <w:rFonts w:ascii="宋体" w:hAnsi="宋体" w:cs="宋体" w:eastAsia="宋体"/>
          <w:sz w:val="21"/>
        </w:rPr>
        <w:t>真空镀膜</w:t>
      </w:r>
      <w:r>
        <w:rPr>
          <w:rFonts w:ascii="宋体" w:hAnsi="宋体" w:cs="宋体" w:eastAsia="宋体"/>
          <w:sz w:val="21"/>
        </w:rPr>
        <w:t>的</w:t>
      </w:r>
      <w:r>
        <w:rPr>
          <w:rFonts w:ascii="宋体" w:hAnsi="宋体" w:cs="宋体" w:eastAsia="宋体"/>
          <w:sz w:val="21"/>
        </w:rPr>
        <w:t>反光板</w:t>
      </w:r>
      <w:r>
        <w:rPr>
          <w:rFonts w:ascii="宋体" w:hAnsi="宋体" w:cs="宋体" w:eastAsia="宋体"/>
          <w:sz w:val="21"/>
        </w:rPr>
        <w:t>；高透明、高抗冲击、耐老化的</w:t>
      </w:r>
      <w:r>
        <w:rPr>
          <w:rFonts w:ascii="宋体" w:hAnsi="宋体" w:cs="宋体" w:eastAsia="宋体"/>
          <w:sz w:val="21"/>
        </w:rPr>
        <w:t>聚碳酸酯</w:t>
      </w:r>
      <w:r>
        <w:rPr>
          <w:rFonts w:ascii="宋体" w:hAnsi="宋体" w:cs="宋体" w:eastAsia="宋体"/>
          <w:sz w:val="21"/>
        </w:rPr>
        <w:t>灯罩，可使本灯夜间距离超过</w:t>
      </w:r>
      <w:r>
        <w:rPr>
          <w:rFonts w:ascii="calibri" w:hAnsi="calibri" w:cs="calibri" w:eastAsia="calibri"/>
          <w:sz w:val="21"/>
        </w:rPr>
        <w:t>2000</w:t>
      </w:r>
      <w:r>
        <w:rPr>
          <w:rFonts w:ascii="宋体" w:hAnsi="宋体" w:cs="宋体" w:eastAsia="宋体"/>
          <w:sz w:val="21"/>
        </w:rPr>
        <w:t>米，可光控或长亮二档调节（可选），满足不同的路段和时间使用。</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配有</w:t>
      </w:r>
      <w:r>
        <w:rPr>
          <w:rFonts w:ascii="宋体" w:hAnsi="宋体" w:cs="宋体" w:eastAsia="宋体"/>
          <w:sz w:val="21"/>
        </w:rPr>
        <w:t>太阳能板</w:t>
      </w:r>
      <w:r>
        <w:rPr>
          <w:rFonts w:ascii="宋体" w:hAnsi="宋体" w:cs="宋体" w:eastAsia="宋体"/>
          <w:sz w:val="21"/>
        </w:rPr>
        <w:t>一块，太阳能单晶</w:t>
      </w:r>
      <w:r>
        <w:rPr>
          <w:rFonts w:ascii="calibri" w:hAnsi="calibri" w:cs="calibri" w:eastAsia="calibri"/>
          <w:sz w:val="21"/>
        </w:rPr>
        <w:t>/</w:t>
      </w:r>
      <w:r>
        <w:rPr>
          <w:rFonts w:ascii="宋体" w:hAnsi="宋体" w:cs="宋体" w:eastAsia="宋体"/>
          <w:sz w:val="21"/>
        </w:rPr>
        <w:t>多晶电池板，采用铝边框玻璃压层，透光更好，吸收能量更高，配有电瓶，阴雨天无光照天气时可持续工作</w:t>
      </w:r>
      <w:r>
        <w:rPr>
          <w:rFonts w:ascii="calibri" w:hAnsi="calibri" w:cs="calibri" w:eastAsia="calibri"/>
          <w:sz w:val="21"/>
        </w:rPr>
        <w:t>150</w:t>
      </w:r>
      <w:r>
        <w:rPr>
          <w:rFonts w:ascii="宋体" w:hAnsi="宋体" w:cs="宋体" w:eastAsia="宋体"/>
          <w:sz w:val="21"/>
        </w:rPr>
        <w:t>个小时的电量供应，另配有</w:t>
      </w:r>
      <w:r>
        <w:rPr>
          <w:rFonts w:ascii="宋体" w:hAnsi="宋体" w:cs="宋体" w:eastAsia="宋体"/>
          <w:sz w:val="21"/>
        </w:rPr>
        <w:t>过充电</w:t>
      </w:r>
      <w:r>
        <w:rPr>
          <w:rFonts w:ascii="宋体" w:hAnsi="宋体" w:cs="宋体" w:eastAsia="宋体"/>
          <w:sz w:val="21"/>
        </w:rPr>
        <w:t>过放电</w:t>
      </w:r>
      <w:r>
        <w:rPr>
          <w:rFonts w:ascii="宋体" w:hAnsi="宋体" w:cs="宋体" w:eastAsia="宋体"/>
          <w:sz w:val="21"/>
        </w:rPr>
        <w:t>保护功能，平衡电流</w:t>
      </w:r>
      <w:r>
        <w:rPr>
          <w:rFonts w:ascii="宋体" w:hAnsi="宋体" w:cs="宋体" w:eastAsia="宋体"/>
          <w:sz w:val="21"/>
        </w:rPr>
        <w:t>电路稳定性</w:t>
      </w:r>
      <w:r>
        <w:rPr>
          <w:rFonts w:ascii="宋体" w:hAnsi="宋体" w:cs="宋体" w:eastAsia="宋体"/>
          <w:sz w:val="21"/>
        </w:rPr>
        <w:t>，线路板采用环保</w:t>
      </w:r>
      <w:r>
        <w:rPr>
          <w:rFonts w:ascii="宋体" w:hAnsi="宋体" w:cs="宋体" w:eastAsia="宋体"/>
          <w:sz w:val="21"/>
        </w:rPr>
        <w:t>三防漆</w:t>
      </w:r>
      <w:r>
        <w:rPr>
          <w:rFonts w:ascii="宋体" w:hAnsi="宋体" w:cs="宋体" w:eastAsia="宋体"/>
          <w:sz w:val="21"/>
        </w:rPr>
        <w:t>涂层，保护性能更好。</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w:t>
      </w:r>
      <w:r>
        <w:rPr>
          <w:rFonts w:ascii="calibri" w:hAnsi="calibri" w:cs="calibri" w:eastAsia="calibri"/>
          <w:sz w:val="21"/>
        </w:rPr>
        <w:t>LED</w:t>
      </w:r>
      <w:r>
        <w:rPr>
          <w:rFonts w:ascii="宋体" w:hAnsi="宋体" w:cs="宋体" w:eastAsia="宋体"/>
          <w:sz w:val="21"/>
        </w:rPr>
        <w:t>寿命</w:t>
      </w:r>
      <w:r>
        <w:rPr>
          <w:rFonts w:ascii="calibri" w:hAnsi="calibri" w:cs="calibri" w:eastAsia="calibri"/>
          <w:sz w:val="21"/>
        </w:rPr>
        <w:t>10</w:t>
      </w:r>
      <w:r>
        <w:rPr>
          <w:rFonts w:ascii="宋体" w:hAnsi="宋体" w:cs="宋体" w:eastAsia="宋体"/>
          <w:sz w:val="21"/>
        </w:rPr>
        <w:t>万小时</w:t>
      </w:r>
      <w:r>
        <w:rPr>
          <w:rFonts w:ascii="calibri" w:hAnsi="calibri" w:cs="calibri" w:eastAsia="calibri"/>
          <w:sz w:val="21"/>
        </w:rPr>
        <w:t>,</w:t>
      </w:r>
      <w:r>
        <w:rPr>
          <w:rFonts w:ascii="宋体" w:hAnsi="宋体" w:cs="宋体" w:eastAsia="宋体"/>
          <w:sz w:val="21"/>
        </w:rPr>
        <w:t>红色和蓝色，</w:t>
      </w:r>
      <w:r>
        <w:rPr>
          <w:rFonts w:ascii="宋体" w:hAnsi="宋体" w:cs="宋体" w:eastAsia="宋体"/>
          <w:sz w:val="21"/>
        </w:rPr>
        <w:t>蓄电池</w:t>
      </w:r>
      <w:r>
        <w:rPr>
          <w:rFonts w:ascii="宋体" w:hAnsi="宋体" w:cs="宋体" w:eastAsia="宋体"/>
          <w:sz w:val="21"/>
        </w:rPr>
        <w:t>功率</w:t>
      </w:r>
      <w:r>
        <w:rPr>
          <w:rFonts w:ascii="calibri" w:hAnsi="calibri" w:cs="calibri" w:eastAsia="calibri"/>
          <w:sz w:val="21"/>
        </w:rPr>
        <w:t>12V/4Ah,</w:t>
      </w:r>
      <w:r>
        <w:rPr>
          <w:rFonts w:ascii="宋体" w:hAnsi="宋体" w:cs="宋体" w:eastAsia="宋体"/>
          <w:sz w:val="21"/>
        </w:rPr>
        <w:t>寿命</w:t>
      </w:r>
      <w:r>
        <w:rPr>
          <w:rFonts w:ascii="calibri" w:hAnsi="calibri" w:cs="calibri" w:eastAsia="calibri"/>
          <w:sz w:val="21"/>
        </w:rPr>
        <w:t>2</w:t>
      </w:r>
      <w:r>
        <w:rPr>
          <w:rFonts w:ascii="宋体" w:hAnsi="宋体" w:cs="宋体" w:eastAsia="宋体"/>
          <w:sz w:val="21"/>
        </w:rPr>
        <w:t>年；可视距离</w:t>
      </w:r>
      <w:r>
        <w:rPr>
          <w:rFonts w:ascii="calibri" w:hAnsi="calibri" w:cs="calibri" w:eastAsia="calibri"/>
          <w:sz w:val="21"/>
        </w:rPr>
        <w:t>2km</w:t>
      </w:r>
      <w:r>
        <w:rPr>
          <w:rFonts w:ascii="宋体" w:hAnsi="宋体" w:cs="宋体" w:eastAsia="宋体"/>
          <w:sz w:val="21"/>
        </w:rPr>
        <w:t>；闪烁功率大于</w:t>
      </w:r>
      <w:r>
        <w:rPr>
          <w:rFonts w:ascii="calibri" w:hAnsi="calibri" w:cs="calibri" w:eastAsia="calibri"/>
          <w:sz w:val="21"/>
        </w:rPr>
        <w:t>180</w:t>
      </w:r>
      <w:r>
        <w:rPr>
          <w:rFonts w:ascii="宋体" w:hAnsi="宋体" w:cs="宋体" w:eastAsia="宋体"/>
          <w:sz w:val="21"/>
        </w:rPr>
        <w:t>次</w:t>
      </w:r>
      <w:r>
        <w:rPr>
          <w:rFonts w:ascii="calibri" w:hAnsi="calibri" w:cs="calibri" w:eastAsia="calibri"/>
          <w:sz w:val="21"/>
        </w:rPr>
        <w:t>/min</w:t>
      </w:r>
      <w:r>
        <w:rPr>
          <w:rFonts w:ascii="宋体" w:hAnsi="宋体" w:cs="宋体" w:eastAsia="宋体"/>
          <w:sz w:val="21"/>
        </w:rPr>
        <w:t>；</w:t>
      </w:r>
      <w:r>
        <w:rPr>
          <w:rFonts w:ascii="宋体" w:hAnsi="宋体" w:cs="宋体" w:eastAsia="宋体"/>
          <w:sz w:val="21"/>
        </w:rPr>
        <w:t>太阳能电池板</w:t>
      </w:r>
      <w:r>
        <w:rPr>
          <w:rFonts w:ascii="宋体" w:hAnsi="宋体" w:cs="宋体" w:eastAsia="宋体"/>
          <w:sz w:val="21"/>
        </w:rPr>
        <w:t>功率：</w:t>
      </w:r>
      <w:r>
        <w:rPr>
          <w:rFonts w:ascii="calibri" w:hAnsi="calibri" w:cs="calibri" w:eastAsia="calibri"/>
          <w:sz w:val="21"/>
        </w:rPr>
        <w:t>3W</w:t>
      </w:r>
      <w:r>
        <w:rPr>
          <w:rFonts w:ascii="宋体" w:hAnsi="宋体" w:cs="宋体" w:eastAsia="宋体"/>
          <w:sz w:val="21"/>
        </w:rPr>
        <w:t>。</w:t>
      </w:r>
    </w:p>
    <w:p>
      <w:pPr>
        <w:pStyle w:val="null3"/>
        <w:spacing w:before="135" w:after="135"/>
        <w:ind w:firstLine="42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16</w:t>
      </w:r>
      <w:r>
        <w:rPr>
          <w:rFonts w:ascii="宋体" w:hAnsi="宋体" w:cs="宋体" w:eastAsia="宋体"/>
          <w:sz w:val="21"/>
          <w:b/>
        </w:rPr>
        <w:t>）</w:t>
      </w:r>
      <w:r>
        <w:rPr>
          <w:rFonts w:ascii="calibri" w:hAnsi="calibri" w:cs="calibri" w:eastAsia="calibri"/>
          <w:sz w:val="21"/>
        </w:rPr>
        <w:t>6.10.</w:t>
      </w:r>
      <w:r>
        <w:rPr>
          <w:rFonts w:ascii="宋体" w:hAnsi="宋体" w:cs="宋体" w:eastAsia="宋体"/>
          <w:sz w:val="21"/>
        </w:rPr>
        <w:t>智能终端管理设备（</w:t>
      </w:r>
      <w:r>
        <w:rPr>
          <w:rFonts w:ascii="calibri" w:hAnsi="calibri" w:cs="calibri" w:eastAsia="calibri"/>
          <w:sz w:val="21"/>
        </w:rPr>
        <w:t>20</w:t>
      </w:r>
      <w:r>
        <w:rPr>
          <w:rFonts w:ascii="宋体" w:hAnsi="宋体" w:cs="宋体" w:eastAsia="宋体"/>
          <w:sz w:val="21"/>
        </w:rPr>
        <w:t>路）</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支持视频接入和卡口合成两种工作模式切换，视频接入模式支持</w:t>
      </w:r>
      <w:r>
        <w:rPr>
          <w:rFonts w:ascii="calibri" w:hAnsi="calibri" w:cs="calibri" w:eastAsia="calibri"/>
          <w:sz w:val="21"/>
        </w:rPr>
        <w:t>24</w:t>
      </w:r>
      <w:r>
        <w:rPr>
          <w:rFonts w:ascii="宋体" w:hAnsi="宋体" w:cs="宋体" w:eastAsia="宋体"/>
          <w:sz w:val="21"/>
        </w:rPr>
        <w:t>路高清视频及图片输入，无图片合成功能，卡口合成模式支持</w:t>
      </w:r>
      <w:r>
        <w:rPr>
          <w:rFonts w:ascii="calibri" w:hAnsi="calibri" w:cs="calibri" w:eastAsia="calibri"/>
          <w:sz w:val="21"/>
        </w:rPr>
        <w:t>20</w:t>
      </w:r>
      <w:r>
        <w:rPr>
          <w:rFonts w:ascii="宋体" w:hAnsi="宋体" w:cs="宋体" w:eastAsia="宋体"/>
          <w:sz w:val="21"/>
        </w:rPr>
        <w:t>路高清视频及图片输入，同时支持图片合成；</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可添加</w:t>
      </w:r>
      <w:r>
        <w:rPr>
          <w:rFonts w:ascii="calibri" w:hAnsi="calibri" w:cs="calibri" w:eastAsia="calibri"/>
          <w:sz w:val="21"/>
        </w:rPr>
        <w:t>IP</w:t>
      </w:r>
      <w:r>
        <w:rPr>
          <w:rFonts w:ascii="宋体" w:hAnsi="宋体" w:cs="宋体" w:eastAsia="宋体"/>
          <w:sz w:val="21"/>
        </w:rPr>
        <w:t>摄像机≥</w:t>
      </w:r>
      <w:r>
        <w:rPr>
          <w:rFonts w:ascii="calibri" w:hAnsi="calibri" w:cs="calibri" w:eastAsia="calibri"/>
          <w:sz w:val="21"/>
        </w:rPr>
        <w:t>24</w:t>
      </w:r>
      <w:r>
        <w:rPr>
          <w:rFonts w:ascii="宋体" w:hAnsi="宋体" w:cs="宋体" w:eastAsia="宋体"/>
          <w:sz w:val="21"/>
        </w:rPr>
        <w:t>路，支持网络高清视频和图片同时接入，总码率不小于</w:t>
      </w:r>
      <w:r>
        <w:rPr>
          <w:rFonts w:ascii="calibri" w:hAnsi="calibri" w:cs="calibri" w:eastAsia="calibri"/>
          <w:sz w:val="21"/>
        </w:rPr>
        <w:t>350Mbps</w:t>
      </w:r>
      <w:r>
        <w:rPr>
          <w:rFonts w:ascii="宋体" w:hAnsi="宋体" w:cs="宋体" w:eastAsia="宋体"/>
          <w:sz w:val="21"/>
        </w:rPr>
        <w:t>（提供投标截止时间前生效的具有</w:t>
      </w:r>
      <w:r>
        <w:rPr>
          <w:rFonts w:ascii="calibri" w:hAnsi="calibri" w:cs="calibri" w:eastAsia="calibri"/>
          <w:sz w:val="21"/>
        </w:rPr>
        <w:t>CMA</w:t>
      </w:r>
      <w:r>
        <w:rPr>
          <w:rFonts w:ascii="宋体" w:hAnsi="宋体" w:cs="宋体" w:eastAsia="宋体"/>
          <w:sz w:val="21"/>
        </w:rPr>
        <w:t>或</w:t>
      </w:r>
      <w:r>
        <w:rPr>
          <w:rFonts w:ascii="calibri" w:hAnsi="calibri" w:cs="calibri" w:eastAsia="calibri"/>
          <w:sz w:val="21"/>
        </w:rPr>
        <w:t>CNAS</w:t>
      </w:r>
      <w:r>
        <w:rPr>
          <w:rFonts w:ascii="宋体" w:hAnsi="宋体" w:cs="宋体" w:eastAsia="宋体"/>
          <w:sz w:val="21"/>
        </w:rPr>
        <w:t>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宋体" w:hAnsi="宋体" w:cs="宋体" w:eastAsia="宋体"/>
          <w:sz w:val="21"/>
        </w:rPr>
        <w:t>支持一对多、多对一、多对多通道区间测速，支持多区间独立配置，支持区分大小车以及高低限速值，支持异常测速值过滤，支持根据不同超速比设置对应的违法名称和违法代码；</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支持</w:t>
      </w:r>
      <w:r>
        <w:rPr>
          <w:rFonts w:ascii="calibri" w:hAnsi="calibri" w:cs="calibri" w:eastAsia="calibri"/>
          <w:sz w:val="21"/>
        </w:rPr>
        <w:t>1/2/3/4/5/6</w:t>
      </w:r>
      <w:r>
        <w:rPr>
          <w:rFonts w:ascii="宋体" w:hAnsi="宋体" w:cs="宋体" w:eastAsia="宋体"/>
          <w:sz w:val="21"/>
        </w:rPr>
        <w:t>张图片普通合成和关联合成，支持两通道、三通道、多通道关联匹配并将图片合成或编组，支持</w:t>
      </w:r>
      <w:r>
        <w:rPr>
          <w:rFonts w:ascii="calibri" w:hAnsi="calibri" w:cs="calibri" w:eastAsia="calibri"/>
          <w:sz w:val="21"/>
        </w:rPr>
        <w:t>ID</w:t>
      </w:r>
      <w:r>
        <w:rPr>
          <w:rFonts w:ascii="宋体" w:hAnsi="宋体" w:cs="宋体" w:eastAsia="宋体"/>
          <w:sz w:val="21"/>
        </w:rPr>
        <w:t>匹配、车牌匹配、先</w:t>
      </w:r>
      <w:r>
        <w:rPr>
          <w:rFonts w:ascii="calibri" w:hAnsi="calibri" w:cs="calibri" w:eastAsia="calibri"/>
          <w:sz w:val="21"/>
        </w:rPr>
        <w:t>ID</w:t>
      </w:r>
      <w:r>
        <w:rPr>
          <w:rFonts w:ascii="宋体" w:hAnsi="宋体" w:cs="宋体" w:eastAsia="宋体"/>
          <w:sz w:val="21"/>
        </w:rPr>
        <w:t>后车牌匹配方式，支持以车型、车道、车牌颜色、车身颜色进行模糊匹配，支持多匹配方案独立设置，合成形状、顺序和特写图片序号可自定义设置；</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6</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w:t>
      </w:r>
      <w:r>
        <w:rPr>
          <w:rFonts w:ascii="calibri" w:hAnsi="calibri" w:cs="calibri" w:eastAsia="calibri"/>
          <w:sz w:val="21"/>
        </w:rPr>
        <w:t>LCD</w:t>
      </w:r>
      <w:r>
        <w:rPr>
          <w:rFonts w:ascii="宋体" w:hAnsi="宋体" w:cs="宋体" w:eastAsia="宋体"/>
          <w:sz w:val="21"/>
        </w:rPr>
        <w:t>显示屏支持设置系统时间，显示系统时间、显示</w:t>
      </w:r>
      <w:r>
        <w:rPr>
          <w:rFonts w:ascii="calibri" w:hAnsi="calibri" w:cs="calibri" w:eastAsia="calibri"/>
          <w:sz w:val="21"/>
        </w:rPr>
        <w:t>G1</w:t>
      </w:r>
      <w:r>
        <w:rPr>
          <w:rFonts w:ascii="宋体" w:hAnsi="宋体" w:cs="宋体" w:eastAsia="宋体"/>
          <w:sz w:val="21"/>
        </w:rPr>
        <w:t>，</w:t>
      </w:r>
      <w:r>
        <w:rPr>
          <w:rFonts w:ascii="calibri" w:hAnsi="calibri" w:cs="calibri" w:eastAsia="calibri"/>
          <w:sz w:val="21"/>
        </w:rPr>
        <w:t>G2</w:t>
      </w:r>
      <w:r>
        <w:rPr>
          <w:rFonts w:ascii="宋体" w:hAnsi="宋体" w:cs="宋体" w:eastAsia="宋体"/>
          <w:sz w:val="21"/>
        </w:rPr>
        <w:t>网口</w:t>
      </w:r>
      <w:r>
        <w:rPr>
          <w:rFonts w:ascii="calibri" w:hAnsi="calibri" w:cs="calibri" w:eastAsia="calibri"/>
          <w:sz w:val="21"/>
        </w:rPr>
        <w:t>IP</w:t>
      </w:r>
      <w:r>
        <w:rPr>
          <w:rFonts w:ascii="宋体" w:hAnsi="宋体" w:cs="宋体" w:eastAsia="宋体"/>
          <w:sz w:val="21"/>
        </w:rPr>
        <w:t>地址，显示硬盘状态、显示设备温度，可通过按钮进行信息翻页、设置等操作；</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6</w:t>
      </w:r>
      <w:r>
        <w:rPr>
          <w:rFonts w:ascii="宋体" w:hAnsi="宋体" w:cs="宋体" w:eastAsia="宋体"/>
          <w:sz w:val="21"/>
        </w:rPr>
        <w:t>）</w:t>
      </w:r>
      <w:r>
        <w:rPr>
          <w:rFonts w:ascii="宋体" w:hAnsi="宋体" w:cs="宋体" w:eastAsia="宋体"/>
          <w:sz w:val="21"/>
        </w:rPr>
        <w:t>支持路口管理统计，可对路口的设备状态、卡口、流量、违法、事件进行分类管理和统计，并通过折线图或柱状图展示，支持日报表和周报表；</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宋体" w:hAnsi="宋体" w:cs="宋体" w:eastAsia="宋体"/>
          <w:sz w:val="21"/>
        </w:rPr>
        <w:t>支持按时间、通道、违法类型、车牌、车速、车道、对象类型、车牌颜色、车身颜色、主</w:t>
      </w:r>
      <w:r>
        <w:rPr>
          <w:rFonts w:ascii="calibri" w:hAnsi="calibri" w:cs="calibri" w:eastAsia="calibri"/>
          <w:sz w:val="21"/>
        </w:rPr>
        <w:t>/</w:t>
      </w:r>
      <w:r>
        <w:rPr>
          <w:rFonts w:ascii="宋体" w:hAnsi="宋体" w:cs="宋体" w:eastAsia="宋体"/>
          <w:sz w:val="21"/>
        </w:rPr>
        <w:t>副驾驶安全带状态、主</w:t>
      </w:r>
      <w:r>
        <w:rPr>
          <w:rFonts w:ascii="calibri" w:hAnsi="calibri" w:cs="calibri" w:eastAsia="calibri"/>
          <w:sz w:val="21"/>
        </w:rPr>
        <w:t>/</w:t>
      </w:r>
      <w:r>
        <w:rPr>
          <w:rFonts w:ascii="宋体" w:hAnsi="宋体" w:cs="宋体" w:eastAsia="宋体"/>
          <w:sz w:val="21"/>
        </w:rPr>
        <w:t>副驾驶遮阳板状态查询图片功能，支持</w:t>
      </w:r>
      <w:r>
        <w:rPr>
          <w:rFonts w:ascii="calibri" w:hAnsi="calibri" w:cs="calibri" w:eastAsia="calibri"/>
          <w:sz w:val="21"/>
        </w:rPr>
        <w:t>csv</w:t>
      </w:r>
      <w:r>
        <w:rPr>
          <w:rFonts w:ascii="宋体" w:hAnsi="宋体" w:cs="宋体" w:eastAsia="宋体"/>
          <w:sz w:val="21"/>
        </w:rPr>
        <w:t>或</w:t>
      </w:r>
      <w:r>
        <w:rPr>
          <w:rFonts w:ascii="calibri" w:hAnsi="calibri" w:cs="calibri" w:eastAsia="calibri"/>
          <w:sz w:val="21"/>
        </w:rPr>
        <w:t>excel</w:t>
      </w:r>
      <w:r>
        <w:rPr>
          <w:rFonts w:ascii="宋体" w:hAnsi="宋体" w:cs="宋体" w:eastAsia="宋体"/>
          <w:sz w:val="21"/>
        </w:rPr>
        <w:t>格式导出查询结果；</w:t>
      </w:r>
    </w:p>
    <w:p>
      <w:pPr>
        <w:pStyle w:val="null3"/>
        <w:spacing w:before="135" w:after="135"/>
        <w:ind w:firstLine="420"/>
      </w:pPr>
      <w:r>
        <w:rPr>
          <w:rFonts w:ascii="宋体" w:hAnsi="宋体" w:cs="宋体" w:eastAsia="宋体"/>
          <w:sz w:val="21"/>
        </w:rPr>
        <w:t>（</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标配</w:t>
      </w:r>
      <w:r>
        <w:rPr>
          <w:rFonts w:ascii="calibri" w:hAnsi="calibri" w:cs="calibri" w:eastAsia="calibri"/>
          <w:sz w:val="21"/>
        </w:rPr>
        <w:t>1</w:t>
      </w:r>
      <w:r>
        <w:rPr>
          <w:rFonts w:ascii="宋体" w:hAnsi="宋体" w:cs="宋体" w:eastAsia="宋体"/>
          <w:sz w:val="21"/>
        </w:rPr>
        <w:t>个</w:t>
      </w:r>
      <w:r>
        <w:rPr>
          <w:rFonts w:ascii="calibri" w:hAnsi="calibri" w:cs="calibri" w:eastAsia="calibri"/>
          <w:sz w:val="21"/>
        </w:rPr>
        <w:t>2T</w:t>
      </w:r>
      <w:r>
        <w:rPr>
          <w:rFonts w:ascii="宋体" w:hAnsi="宋体" w:cs="宋体" w:eastAsia="宋体"/>
          <w:sz w:val="21"/>
        </w:rPr>
        <w:t>硬盘，最大支持</w:t>
      </w:r>
      <w:r>
        <w:rPr>
          <w:rFonts w:ascii="calibri" w:hAnsi="calibri" w:cs="calibri" w:eastAsia="calibri"/>
          <w:sz w:val="21"/>
        </w:rPr>
        <w:t>4</w:t>
      </w:r>
      <w:r>
        <w:rPr>
          <w:rFonts w:ascii="宋体" w:hAnsi="宋体" w:cs="宋体" w:eastAsia="宋体"/>
          <w:sz w:val="21"/>
        </w:rPr>
        <w:t>个</w:t>
      </w:r>
      <w:r>
        <w:rPr>
          <w:rFonts w:ascii="calibri" w:hAnsi="calibri" w:cs="calibri" w:eastAsia="calibri"/>
          <w:sz w:val="21"/>
        </w:rPr>
        <w:t>SATA</w:t>
      </w:r>
      <w:r>
        <w:rPr>
          <w:rFonts w:ascii="宋体" w:hAnsi="宋体" w:cs="宋体" w:eastAsia="宋体"/>
          <w:sz w:val="21"/>
        </w:rPr>
        <w:t>接口</w:t>
      </w:r>
      <w:r>
        <w:rPr>
          <w:rFonts w:ascii="calibri" w:hAnsi="calibri" w:cs="calibri" w:eastAsia="calibri"/>
          <w:sz w:val="21"/>
        </w:rPr>
        <w:t xml:space="preserve">3.5" </w:t>
      </w:r>
      <w:r>
        <w:rPr>
          <w:rFonts w:ascii="宋体" w:hAnsi="宋体" w:cs="宋体" w:eastAsia="宋体"/>
          <w:sz w:val="21"/>
        </w:rPr>
        <w:t>硬盘；</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w:t>
      </w:r>
      <w:r>
        <w:rPr>
          <w:rFonts w:ascii="宋体" w:hAnsi="宋体" w:cs="宋体" w:eastAsia="宋体"/>
          <w:sz w:val="21"/>
        </w:rPr>
        <w:t>支持按时间、通道查询车流量功能，支持</w:t>
      </w:r>
      <w:r>
        <w:rPr>
          <w:rFonts w:ascii="calibri" w:hAnsi="calibri" w:cs="calibri" w:eastAsia="calibri"/>
          <w:sz w:val="21"/>
        </w:rPr>
        <w:t>CSV</w:t>
      </w:r>
      <w:r>
        <w:rPr>
          <w:rFonts w:ascii="宋体" w:hAnsi="宋体" w:cs="宋体" w:eastAsia="宋体"/>
          <w:sz w:val="21"/>
        </w:rPr>
        <w:t>格式导出查询结果；</w:t>
      </w:r>
    </w:p>
    <w:p>
      <w:pPr>
        <w:pStyle w:val="null3"/>
        <w:spacing w:before="135" w:after="135"/>
        <w:ind w:firstLine="420"/>
      </w:pPr>
      <w:r>
        <w:rPr>
          <w:rFonts w:ascii="宋体" w:hAnsi="宋体" w:cs="宋体" w:eastAsia="宋体"/>
          <w:sz w:val="21"/>
        </w:rPr>
        <w:t>（</w:t>
      </w:r>
      <w:r>
        <w:rPr>
          <w:rFonts w:ascii="calibri" w:hAnsi="calibri" w:cs="calibri" w:eastAsia="calibri"/>
          <w:sz w:val="21"/>
        </w:rPr>
        <w:t>10</w:t>
      </w:r>
      <w:r>
        <w:rPr>
          <w:rFonts w:ascii="宋体" w:hAnsi="宋体" w:cs="宋体" w:eastAsia="宋体"/>
          <w:sz w:val="21"/>
        </w:rPr>
        <w:t>）</w:t>
      </w:r>
      <w:r>
        <w:rPr>
          <w:rFonts w:ascii="宋体" w:hAnsi="宋体" w:cs="宋体" w:eastAsia="宋体"/>
          <w:sz w:val="21"/>
        </w:rPr>
        <w:t>支持</w:t>
      </w:r>
      <w:r>
        <w:rPr>
          <w:rFonts w:ascii="calibri" w:hAnsi="calibri" w:cs="calibri" w:eastAsia="calibri"/>
          <w:sz w:val="21"/>
        </w:rPr>
        <w:t>GPS/</w:t>
      </w:r>
      <w:r>
        <w:rPr>
          <w:rFonts w:ascii="宋体" w:hAnsi="宋体" w:cs="宋体" w:eastAsia="宋体"/>
          <w:sz w:val="21"/>
        </w:rPr>
        <w:t>北斗功能；</w:t>
      </w:r>
    </w:p>
    <w:p>
      <w:pPr>
        <w:pStyle w:val="null3"/>
        <w:spacing w:before="135" w:after="135"/>
        <w:ind w:firstLine="420"/>
      </w:pPr>
      <w:r>
        <w:rPr>
          <w:rFonts w:ascii="宋体" w:hAnsi="宋体" w:cs="宋体" w:eastAsia="宋体"/>
          <w:sz w:val="21"/>
        </w:rPr>
        <w:t>（</w:t>
      </w:r>
      <w:r>
        <w:rPr>
          <w:rFonts w:ascii="calibri" w:hAnsi="calibri" w:cs="calibri" w:eastAsia="calibri"/>
          <w:sz w:val="21"/>
        </w:rPr>
        <w:t>11</w:t>
      </w:r>
      <w:r>
        <w:rPr>
          <w:rFonts w:ascii="宋体" w:hAnsi="宋体" w:cs="宋体" w:eastAsia="宋体"/>
          <w:sz w:val="21"/>
        </w:rPr>
        <w:t>）</w:t>
      </w:r>
      <w:r>
        <w:rPr>
          <w:rFonts w:ascii="宋体" w:hAnsi="宋体" w:cs="宋体" w:eastAsia="宋体"/>
          <w:sz w:val="21"/>
        </w:rPr>
        <w:t>支持硬盘图片和录像配额比例设置，支持盘满循环覆盖；</w:t>
      </w:r>
    </w:p>
    <w:p>
      <w:pPr>
        <w:pStyle w:val="null3"/>
        <w:spacing w:before="135" w:after="135"/>
        <w:ind w:firstLine="420"/>
      </w:pPr>
      <w:r>
        <w:rPr>
          <w:rFonts w:ascii="宋体" w:hAnsi="宋体" w:cs="宋体" w:eastAsia="宋体"/>
          <w:sz w:val="21"/>
        </w:rPr>
        <w:t>（</w:t>
      </w:r>
      <w:r>
        <w:rPr>
          <w:rFonts w:ascii="calibri" w:hAnsi="calibri" w:cs="calibri" w:eastAsia="calibri"/>
          <w:sz w:val="21"/>
        </w:rPr>
        <w:t>12</w:t>
      </w:r>
      <w:r>
        <w:rPr>
          <w:rFonts w:ascii="宋体" w:hAnsi="宋体" w:cs="宋体" w:eastAsia="宋体"/>
          <w:sz w:val="21"/>
        </w:rPr>
        <w:t>）</w:t>
      </w:r>
      <w:r>
        <w:rPr>
          <w:rFonts w:ascii="宋体" w:hAnsi="宋体" w:cs="宋体" w:eastAsia="宋体"/>
          <w:sz w:val="21"/>
        </w:rPr>
        <w:t>断网续传、自动注册、黑白名单导入导出、数据防删改功能。</w:t>
      </w:r>
    </w:p>
    <w:p>
      <w:pPr>
        <w:pStyle w:val="null3"/>
        <w:spacing w:before="135" w:after="135"/>
        <w:ind w:firstLine="420"/>
      </w:pPr>
      <w:r>
        <w:rPr>
          <w:rFonts w:ascii="宋体" w:hAnsi="宋体" w:cs="宋体" w:eastAsia="宋体"/>
          <w:sz w:val="21"/>
          <w:b/>
        </w:rPr>
        <w:t>（</w:t>
      </w:r>
      <w:r>
        <w:rPr>
          <w:rFonts w:ascii="宋体" w:hAnsi="宋体" w:cs="宋体" w:eastAsia="宋体"/>
          <w:sz w:val="21"/>
          <w:b/>
        </w:rPr>
        <w:t>项号</w:t>
      </w:r>
      <w:r>
        <w:rPr>
          <w:rFonts w:ascii="宋体" w:hAnsi="宋体" w:cs="宋体" w:eastAsia="宋体"/>
          <w:sz w:val="21"/>
          <w:b/>
        </w:rPr>
        <w:t>17</w:t>
      </w:r>
      <w:r>
        <w:rPr>
          <w:rFonts w:ascii="宋体" w:hAnsi="宋体" w:cs="宋体" w:eastAsia="宋体"/>
          <w:sz w:val="21"/>
          <w:b/>
        </w:rPr>
        <w:t>）</w:t>
      </w:r>
      <w:r>
        <w:rPr>
          <w:rFonts w:ascii="calibri" w:hAnsi="calibri" w:cs="calibri" w:eastAsia="calibri"/>
          <w:sz w:val="21"/>
        </w:rPr>
        <w:t xml:space="preserve">6.11. </w:t>
      </w:r>
      <w:r>
        <w:rPr>
          <w:rFonts w:ascii="宋体" w:hAnsi="宋体" w:cs="宋体" w:eastAsia="宋体"/>
          <w:sz w:val="21"/>
        </w:rPr>
        <w:t>（</w:t>
      </w:r>
      <w:r>
        <w:rPr>
          <w:rFonts w:ascii="calibri" w:hAnsi="calibri" w:cs="calibri" w:eastAsia="calibri"/>
          <w:sz w:val="21"/>
        </w:rPr>
        <w:t>24</w:t>
      </w:r>
      <w:r>
        <w:rPr>
          <w:rFonts w:ascii="宋体" w:hAnsi="宋体" w:cs="宋体" w:eastAsia="宋体"/>
          <w:sz w:val="21"/>
        </w:rPr>
        <w:t>盘位）视频云存储节点</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主处理器：高性能六核处理器；</w:t>
      </w:r>
    </w:p>
    <w:p>
      <w:pPr>
        <w:pStyle w:val="null3"/>
        <w:spacing w:before="135" w:after="135"/>
        <w:ind w:firstLine="420"/>
      </w:pPr>
      <w:r>
        <w:rPr>
          <w:rFonts w:ascii="宋体" w:hAnsi="宋体" w:cs="宋体" w:eastAsia="宋体"/>
          <w:sz w:val="21"/>
        </w:rPr>
        <w:t>（</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操作系统：嵌入式</w:t>
      </w:r>
      <w:r>
        <w:rPr>
          <w:rFonts w:ascii="calibri" w:hAnsi="calibri" w:cs="calibri" w:eastAsia="calibri"/>
          <w:sz w:val="21"/>
        </w:rPr>
        <w:t>LINUX</w:t>
      </w:r>
      <w:r>
        <w:rPr>
          <w:rFonts w:ascii="宋体" w:hAnsi="宋体" w:cs="宋体" w:eastAsia="宋体"/>
          <w:sz w:val="21"/>
        </w:rPr>
        <w:t>系统；</w:t>
      </w:r>
    </w:p>
    <w:p>
      <w:pPr>
        <w:pStyle w:val="null3"/>
        <w:spacing w:before="135" w:after="135"/>
        <w:ind w:firstLine="420"/>
      </w:pPr>
      <w:r>
        <w:rPr>
          <w:rFonts w:ascii="宋体" w:hAnsi="宋体" w:cs="宋体" w:eastAsia="宋体"/>
          <w:sz w:val="21"/>
        </w:rPr>
        <w:t>（</w:t>
      </w:r>
      <w:r>
        <w:rPr>
          <w:rFonts w:ascii="calibri" w:hAnsi="calibri" w:cs="calibri" w:eastAsia="calibri"/>
          <w:sz w:val="21"/>
        </w:rPr>
        <w:t>3</w:t>
      </w:r>
      <w:r>
        <w:rPr>
          <w:rFonts w:ascii="宋体" w:hAnsi="宋体" w:cs="宋体" w:eastAsia="宋体"/>
          <w:sz w:val="21"/>
        </w:rPr>
        <w:t>）</w:t>
      </w:r>
      <w:r>
        <w:rPr>
          <w:rFonts w:ascii="宋体" w:hAnsi="宋体" w:cs="宋体" w:eastAsia="宋体"/>
          <w:sz w:val="21"/>
        </w:rPr>
        <w:t>高速缓存：</w:t>
      </w:r>
      <w:r>
        <w:rPr>
          <w:rFonts w:ascii="宋体" w:hAnsi="宋体" w:cs="宋体" w:eastAsia="宋体"/>
          <w:sz w:val="21"/>
        </w:rPr>
        <w:t>≥</w:t>
      </w:r>
      <w:r>
        <w:rPr>
          <w:rFonts w:ascii="calibri" w:hAnsi="calibri" w:cs="calibri" w:eastAsia="calibri"/>
          <w:sz w:val="21"/>
        </w:rPr>
        <w:t xml:space="preserve">16GB DDR4 </w:t>
      </w:r>
      <w:r>
        <w:rPr>
          <w:rFonts w:ascii="宋体" w:hAnsi="宋体" w:cs="宋体" w:eastAsia="宋体"/>
          <w:sz w:val="21"/>
        </w:rPr>
        <w:t>主频</w:t>
      </w:r>
      <w:r>
        <w:rPr>
          <w:rFonts w:ascii="宋体" w:hAnsi="宋体" w:cs="宋体" w:eastAsia="宋体"/>
          <w:sz w:val="21"/>
        </w:rPr>
        <w:t>≥</w:t>
      </w:r>
      <w:r>
        <w:rPr>
          <w:rFonts w:ascii="calibri" w:hAnsi="calibri" w:cs="calibri" w:eastAsia="calibri"/>
          <w:sz w:val="21"/>
        </w:rPr>
        <w:t>2666MHz</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4</w:t>
      </w:r>
      <w:r>
        <w:rPr>
          <w:rFonts w:ascii="宋体" w:hAnsi="宋体" w:cs="宋体" w:eastAsia="宋体"/>
          <w:sz w:val="21"/>
        </w:rPr>
        <w:t>）</w:t>
      </w:r>
      <w:r>
        <w:rPr>
          <w:rFonts w:ascii="宋体" w:hAnsi="宋体" w:cs="宋体" w:eastAsia="宋体"/>
          <w:sz w:val="21"/>
        </w:rPr>
        <w:t>电源冗余：</w:t>
      </w:r>
      <w:r>
        <w:rPr>
          <w:rFonts w:ascii="calibri" w:hAnsi="calibri" w:cs="calibri" w:eastAsia="calibri"/>
          <w:sz w:val="21"/>
        </w:rPr>
        <w:t>1+1</w:t>
      </w:r>
      <w:r>
        <w:rPr>
          <w:rFonts w:ascii="宋体" w:hAnsi="宋体" w:cs="宋体" w:eastAsia="宋体"/>
          <w:sz w:val="21"/>
        </w:rPr>
        <w:t>冗余电源；支持热插拔</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5</w:t>
      </w:r>
      <w:r>
        <w:rPr>
          <w:rFonts w:ascii="宋体" w:hAnsi="宋体" w:cs="宋体" w:eastAsia="宋体"/>
          <w:sz w:val="21"/>
        </w:rPr>
        <w:t>）</w:t>
      </w:r>
      <w:r>
        <w:rPr>
          <w:rFonts w:ascii="宋体" w:hAnsi="宋体" w:cs="宋体" w:eastAsia="宋体"/>
          <w:sz w:val="21"/>
        </w:rPr>
        <w:t>支持基于云原生架构和容器化技术，支持网络、</w:t>
      </w:r>
      <w:r>
        <w:rPr>
          <w:rFonts w:ascii="calibri" w:hAnsi="calibri" w:cs="calibri" w:eastAsia="calibri"/>
          <w:sz w:val="21"/>
        </w:rPr>
        <w:t>CPU</w:t>
      </w:r>
      <w:r>
        <w:rPr>
          <w:rFonts w:ascii="宋体" w:hAnsi="宋体" w:cs="宋体" w:eastAsia="宋体"/>
          <w:sz w:val="21"/>
        </w:rPr>
        <w:t>、存储空间、</w:t>
      </w:r>
      <w:r>
        <w:rPr>
          <w:rFonts w:ascii="calibri" w:hAnsi="calibri" w:cs="calibri" w:eastAsia="calibri"/>
          <w:sz w:val="21"/>
        </w:rPr>
        <w:t>SSD</w:t>
      </w:r>
      <w:r>
        <w:rPr>
          <w:rFonts w:ascii="宋体" w:hAnsi="宋体" w:cs="宋体" w:eastAsia="宋体"/>
          <w:sz w:val="21"/>
        </w:rPr>
        <w:t>等多种资源虚拟化、进行统一管理和调度；支持基于</w:t>
      </w:r>
      <w:r>
        <w:rPr>
          <w:rFonts w:ascii="calibri" w:hAnsi="calibri" w:cs="calibri" w:eastAsia="calibri"/>
          <w:sz w:val="21"/>
        </w:rPr>
        <w:t>CPU</w:t>
      </w:r>
      <w:r>
        <w:rPr>
          <w:rFonts w:ascii="宋体" w:hAnsi="宋体" w:cs="宋体" w:eastAsia="宋体"/>
          <w:sz w:val="21"/>
        </w:rPr>
        <w:t>、</w:t>
      </w:r>
      <w:r>
        <w:rPr>
          <w:rFonts w:ascii="calibri" w:hAnsi="calibri" w:cs="calibri" w:eastAsia="calibri"/>
          <w:sz w:val="21"/>
        </w:rPr>
        <w:t>GPU</w:t>
      </w:r>
      <w:r>
        <w:rPr>
          <w:rFonts w:ascii="宋体" w:hAnsi="宋体" w:cs="宋体" w:eastAsia="宋体"/>
          <w:sz w:val="21"/>
        </w:rPr>
        <w:t>、容器业务类型、超融合节点类型等多种复杂调度策略。 基于容器化进行智能化负载均衡管理。支持数据库、数据存储、智能分析、平台应用等多种业务模型进行统一调度和管理。支持单台服务器构建超融合云存储系统，支持单台扩展为多台超融合集群系统。支持第三方应用通过容器化方式快速在超融合系统中进行部署和统一调度</w:t>
      </w:r>
      <w:r>
        <w:rPr>
          <w:rFonts w:ascii="宋体" w:hAnsi="宋体" w:cs="宋体" w:eastAsia="宋体"/>
          <w:sz w:val="21"/>
        </w:rPr>
        <w:t>；</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7</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6</w:t>
      </w:r>
      <w:r>
        <w:rPr>
          <w:rFonts w:ascii="宋体" w:hAnsi="宋体" w:cs="宋体" w:eastAsia="宋体"/>
          <w:sz w:val="21"/>
        </w:rPr>
        <w:t>）</w:t>
      </w:r>
      <w:r>
        <w:rPr>
          <w:rFonts w:ascii="calibri" w:hAnsi="calibri" w:cs="calibri" w:eastAsia="calibri"/>
          <w:sz w:val="21"/>
        </w:rPr>
        <w:t>.</w:t>
      </w:r>
      <w:r>
        <w:rPr>
          <w:rFonts w:ascii="宋体" w:hAnsi="宋体" w:cs="宋体" w:eastAsia="宋体"/>
          <w:sz w:val="21"/>
        </w:rPr>
        <w:t>▲支持多网络平面，在多网络平面具备统一存储命名空间，提供唯一入口</w:t>
      </w:r>
      <w:r>
        <w:rPr>
          <w:rFonts w:ascii="calibri" w:hAnsi="calibri" w:cs="calibri" w:eastAsia="calibri"/>
          <w:sz w:val="21"/>
        </w:rPr>
        <w:t>IP</w:t>
      </w:r>
      <w:r>
        <w:rPr>
          <w:rFonts w:ascii="宋体" w:hAnsi="宋体" w:cs="宋体" w:eastAsia="宋体"/>
          <w:sz w:val="21"/>
        </w:rPr>
        <w:t>访问，支持多网映射；支持网闸一键复制快速配置，支持识别当前网闸里的异常配置并快速告警，支持网闸功能的一键清空，支持以上传文件方式一键配置网闸，支持网闸模板下载；</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宋体" w:hAnsi="宋体" w:cs="宋体" w:eastAsia="宋体"/>
          <w:sz w:val="21"/>
        </w:rPr>
        <w:t>（</w:t>
      </w:r>
      <w:r>
        <w:rPr>
          <w:rFonts w:ascii="calibri" w:hAnsi="calibri" w:cs="calibri" w:eastAsia="calibri"/>
          <w:sz w:val="21"/>
        </w:rPr>
        <w:t>7</w:t>
      </w:r>
      <w:r>
        <w:rPr>
          <w:rFonts w:ascii="宋体" w:hAnsi="宋体" w:cs="宋体" w:eastAsia="宋体"/>
          <w:sz w:val="21"/>
        </w:rPr>
        <w:t>）</w:t>
      </w:r>
      <w:r>
        <w:rPr>
          <w:rFonts w:ascii="宋体" w:hAnsi="宋体" w:cs="宋体" w:eastAsia="宋体"/>
          <w:sz w:val="21"/>
        </w:rPr>
        <w:t>云存储支持</w:t>
      </w:r>
      <w:r>
        <w:rPr>
          <w:rFonts w:ascii="calibri" w:hAnsi="calibri" w:cs="calibri" w:eastAsia="calibri"/>
          <w:sz w:val="21"/>
        </w:rPr>
        <w:t>5</w:t>
      </w:r>
      <w:r>
        <w:rPr>
          <w:rFonts w:ascii="宋体" w:hAnsi="宋体" w:cs="宋体" w:eastAsia="宋体"/>
          <w:sz w:val="21"/>
        </w:rPr>
        <w:t>种智能数据恢复策略：支持读或者下载时自动判断和触发数据恢复</w:t>
      </w:r>
      <w:r>
        <w:rPr>
          <w:rFonts w:ascii="calibri" w:hAnsi="calibri" w:cs="calibri" w:eastAsia="calibri"/>
          <w:sz w:val="21"/>
        </w:rPr>
        <w:t>;</w:t>
      </w:r>
      <w:r>
        <w:rPr>
          <w:rFonts w:ascii="宋体" w:hAnsi="宋体" w:cs="宋体" w:eastAsia="宋体"/>
          <w:sz w:val="21"/>
        </w:rPr>
        <w:t>支持小文件、静态数据、热点数据优先恢复；支持以时间维度顺序恢复；支持对打标的特定文件、锁定的文件优先恢复；支持手动选择关键点位、关键时间段的录像、图片数据优先进行恢复；多种数据恢复策略支持组合配置、支持全自动自适应，保障数据存储可靠性；</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p>
    <w:p>
      <w:pPr>
        <w:pStyle w:val="null3"/>
        <w:spacing w:before="135" w:after="135"/>
        <w:ind w:firstLine="420"/>
      </w:pPr>
      <w:r>
        <w:rPr>
          <w:rFonts w:ascii="仿宋_gb2312" w:hAnsi="仿宋_gb2312" w:cs="仿宋_gb2312" w:eastAsia="仿宋_gb2312"/>
          <w:sz w:val="21"/>
        </w:rPr>
        <w:t>（</w:t>
      </w:r>
      <w:r>
        <w:rPr>
          <w:rFonts w:ascii="仿宋_gb2312" w:hAnsi="仿宋_gb2312" w:cs="仿宋_gb2312" w:eastAsia="仿宋_gb2312"/>
          <w:sz w:val="21"/>
        </w:rPr>
        <w:t>▲项号</w:t>
      </w:r>
      <w:r>
        <w:rPr>
          <w:rFonts w:ascii="仿宋_gb2312" w:hAnsi="仿宋_gb2312" w:cs="仿宋_gb2312" w:eastAsia="仿宋_gb2312"/>
          <w:sz w:val="21"/>
        </w:rPr>
        <w:t>8</w:t>
      </w:r>
      <w:r>
        <w:rPr>
          <w:rFonts w:ascii="仿宋_gb2312" w:hAnsi="仿宋_gb2312" w:cs="仿宋_gb2312" w:eastAsia="仿宋_gb2312"/>
          <w:sz w:val="21"/>
        </w:rPr>
        <w:t>）</w:t>
      </w:r>
      <w:r>
        <w:rPr>
          <w:rFonts w:ascii="宋体" w:hAnsi="宋体" w:cs="宋体" w:eastAsia="宋体"/>
          <w:sz w:val="21"/>
        </w:rPr>
        <w:t>（</w:t>
      </w:r>
      <w:r>
        <w:rPr>
          <w:rFonts w:ascii="calibri" w:hAnsi="calibri" w:cs="calibri" w:eastAsia="calibri"/>
          <w:sz w:val="21"/>
        </w:rPr>
        <w:t>8</w:t>
      </w:r>
      <w:r>
        <w:rPr>
          <w:rFonts w:ascii="宋体" w:hAnsi="宋体" w:cs="宋体" w:eastAsia="宋体"/>
          <w:sz w:val="21"/>
        </w:rPr>
        <w:t>）</w:t>
      </w:r>
      <w:r>
        <w:rPr>
          <w:rFonts w:ascii="宋体" w:hAnsi="宋体" w:cs="宋体" w:eastAsia="宋体"/>
          <w:sz w:val="21"/>
        </w:rPr>
        <w:t>▲支持对硬盘进行在线优雅安全下线和上线（先进行指令交互，再进行上下线操作），业务无感知，数据读写无异常，无需触发数据恢复。支持对异常盘快速搜索，快速定位，支持按照不同类别对硬盘进行排序和关键字搜索，支持按照节点列表快速搜索集群所有节点上的异常硬盘情况；</w:t>
      </w:r>
      <w:r>
        <w:rPr>
          <w:rFonts w:ascii="宋体" w:hAnsi="宋体" w:cs="宋体" w:eastAsia="宋体"/>
          <w:sz w:val="22"/>
        </w:rPr>
        <w:t>（提供投标截止时间前生效的具有</w:t>
      </w:r>
      <w:r>
        <w:rPr>
          <w:rFonts w:ascii="宋体" w:hAnsi="宋体" w:cs="宋体" w:eastAsia="宋体"/>
          <w:sz w:val="22"/>
        </w:rPr>
        <w:t>CMA或CNAS认证的检验（检测）机构出具的有效检验（检测）报告，并加盖供应商公章作为依据）</w:t>
      </w:r>
      <w:r>
        <w:rPr>
          <w:rFonts w:ascii="宋体" w:hAnsi="宋体" w:cs="宋体" w:eastAsia="宋体"/>
          <w:sz w:val="21"/>
        </w:rPr>
        <w:t>。</w:t>
      </w:r>
    </w:p>
    <w:p>
      <w:pPr>
        <w:pStyle w:val="null3"/>
        <w:spacing w:before="135" w:after="135"/>
        <w:ind w:firstLine="420"/>
      </w:pPr>
      <w:r>
        <w:rPr>
          <w:rFonts w:ascii="宋体" w:hAnsi="宋体" w:cs="宋体" w:eastAsia="宋体"/>
          <w:sz w:val="21"/>
        </w:rPr>
        <w:t>（</w:t>
      </w:r>
      <w:r>
        <w:rPr>
          <w:rFonts w:ascii="calibri" w:hAnsi="calibri" w:cs="calibri" w:eastAsia="calibri"/>
          <w:sz w:val="21"/>
        </w:rPr>
        <w:t>9</w:t>
      </w:r>
      <w:r>
        <w:rPr>
          <w:rFonts w:ascii="宋体" w:hAnsi="宋体" w:cs="宋体" w:eastAsia="宋体"/>
          <w:sz w:val="21"/>
        </w:rPr>
        <w:t>）</w:t>
      </w:r>
      <w:r>
        <w:rPr>
          <w:rFonts w:ascii="宋体" w:hAnsi="宋体" w:cs="宋体" w:eastAsia="宋体"/>
          <w:sz w:val="21"/>
        </w:rPr>
        <w:t>网络接口：</w:t>
      </w:r>
      <w:r>
        <w:rPr>
          <w:rFonts w:ascii="宋体" w:hAnsi="宋体" w:cs="宋体" w:eastAsia="宋体"/>
          <w:sz w:val="21"/>
        </w:rPr>
        <w:t>≥</w:t>
      </w:r>
      <w:r>
        <w:rPr>
          <w:rFonts w:ascii="calibri" w:hAnsi="calibri" w:cs="calibri" w:eastAsia="calibri"/>
          <w:sz w:val="21"/>
        </w:rPr>
        <w:t>8</w:t>
      </w:r>
      <w:r>
        <w:rPr>
          <w:rFonts w:ascii="宋体" w:hAnsi="宋体" w:cs="宋体" w:eastAsia="宋体"/>
          <w:sz w:val="21"/>
        </w:rPr>
        <w:t>个千兆数据电口；</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calibri" w:hAnsi="calibri" w:cs="calibri" w:eastAsia="calibri"/>
          <w:sz w:val="21"/>
        </w:rPr>
        <w:t>0</w:t>
      </w:r>
      <w:r>
        <w:rPr>
          <w:rFonts w:ascii="宋体" w:hAnsi="宋体" w:cs="宋体" w:eastAsia="宋体"/>
          <w:sz w:val="21"/>
        </w:rPr>
        <w:t>）</w:t>
      </w:r>
      <w:r>
        <w:rPr>
          <w:rFonts w:ascii="宋体" w:hAnsi="宋体" w:cs="宋体" w:eastAsia="宋体"/>
          <w:sz w:val="21"/>
        </w:rPr>
        <w:t>硬盘个数：标配内置</w:t>
      </w:r>
      <w:r>
        <w:rPr>
          <w:rFonts w:ascii="calibri" w:hAnsi="calibri" w:cs="calibri" w:eastAsia="calibri"/>
          <w:sz w:val="21"/>
        </w:rPr>
        <w:t xml:space="preserve"> 1</w:t>
      </w:r>
      <w:r>
        <w:rPr>
          <w:rFonts w:ascii="宋体" w:hAnsi="宋体" w:cs="宋体" w:eastAsia="宋体"/>
          <w:sz w:val="21"/>
        </w:rPr>
        <w:t>块</w:t>
      </w:r>
      <w:r>
        <w:rPr>
          <w:rFonts w:ascii="宋体" w:hAnsi="宋体" w:cs="宋体" w:eastAsia="宋体"/>
          <w:sz w:val="21"/>
        </w:rPr>
        <w:t>≥</w:t>
      </w:r>
      <w:r>
        <w:rPr>
          <w:rFonts w:ascii="calibri" w:hAnsi="calibri" w:cs="calibri" w:eastAsia="calibri"/>
          <w:sz w:val="21"/>
        </w:rPr>
        <w:t xml:space="preserve"> 240G </w:t>
      </w:r>
      <w:r>
        <w:rPr>
          <w:rFonts w:ascii="宋体" w:hAnsi="宋体" w:cs="宋体" w:eastAsia="宋体"/>
          <w:sz w:val="21"/>
        </w:rPr>
        <w:t>企业级固态硬盘</w:t>
      </w:r>
      <w:r>
        <w:rPr>
          <w:rFonts w:ascii="宋体" w:hAnsi="宋体" w:cs="宋体" w:eastAsia="宋体"/>
          <w:sz w:val="21"/>
        </w:rPr>
        <w:t>；</w:t>
      </w:r>
      <w:r>
        <w:rPr>
          <w:rFonts w:ascii="宋体" w:hAnsi="宋体" w:cs="宋体" w:eastAsia="宋体"/>
          <w:sz w:val="21"/>
        </w:rPr>
        <w:t>最大支持</w:t>
      </w:r>
      <w:r>
        <w:rPr>
          <w:rFonts w:ascii="calibri" w:hAnsi="calibri" w:cs="calibri" w:eastAsia="calibri"/>
          <w:sz w:val="21"/>
        </w:rPr>
        <w:t>24</w:t>
      </w:r>
      <w:r>
        <w:rPr>
          <w:rFonts w:ascii="宋体" w:hAnsi="宋体" w:cs="宋体" w:eastAsia="宋体"/>
          <w:sz w:val="21"/>
        </w:rPr>
        <w:t>个</w:t>
      </w:r>
      <w:r>
        <w:rPr>
          <w:rFonts w:ascii="calibri" w:hAnsi="calibri" w:cs="calibri" w:eastAsia="calibri"/>
          <w:sz w:val="21"/>
        </w:rPr>
        <w:t>SATA</w:t>
      </w:r>
      <w:r>
        <w:rPr>
          <w:rFonts w:ascii="宋体" w:hAnsi="宋体" w:cs="宋体" w:eastAsia="宋体"/>
          <w:sz w:val="21"/>
        </w:rPr>
        <w:t>硬盘或者</w:t>
      </w:r>
      <w:r>
        <w:rPr>
          <w:rFonts w:ascii="calibri" w:hAnsi="calibri" w:cs="calibri" w:eastAsia="calibri"/>
          <w:sz w:val="21"/>
        </w:rPr>
        <w:t>SAS</w:t>
      </w:r>
      <w:r>
        <w:rPr>
          <w:rFonts w:ascii="宋体" w:hAnsi="宋体" w:cs="宋体" w:eastAsia="宋体"/>
          <w:sz w:val="21"/>
        </w:rPr>
        <w:t>硬盘；</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calibri" w:hAnsi="calibri" w:cs="calibri" w:eastAsia="calibri"/>
          <w:sz w:val="21"/>
        </w:rPr>
        <w:t>1</w:t>
      </w:r>
      <w:r>
        <w:rPr>
          <w:rFonts w:ascii="宋体" w:hAnsi="宋体" w:cs="宋体" w:eastAsia="宋体"/>
          <w:sz w:val="21"/>
        </w:rPr>
        <w:t>）</w:t>
      </w:r>
      <w:r>
        <w:rPr>
          <w:rFonts w:ascii="宋体" w:hAnsi="宋体" w:cs="宋体" w:eastAsia="宋体"/>
          <w:sz w:val="21"/>
        </w:rPr>
        <w:t>支持录像业务级别按空间、时间的循环覆盖；</w:t>
      </w:r>
    </w:p>
    <w:p>
      <w:pPr>
        <w:pStyle w:val="null3"/>
        <w:spacing w:before="135" w:after="135"/>
        <w:ind w:firstLine="420"/>
      </w:pPr>
      <w:r>
        <w:rPr>
          <w:rFonts w:ascii="宋体" w:hAnsi="宋体" w:cs="宋体" w:eastAsia="宋体"/>
          <w:sz w:val="21"/>
        </w:rPr>
        <w:t>（</w:t>
      </w:r>
      <w:r>
        <w:rPr>
          <w:rFonts w:ascii="calibri" w:hAnsi="calibri" w:cs="calibri" w:eastAsia="calibri"/>
          <w:sz w:val="21"/>
        </w:rPr>
        <w:t>1</w:t>
      </w:r>
      <w:r>
        <w:rPr>
          <w:rFonts w:ascii="calibri" w:hAnsi="calibri" w:cs="calibri" w:eastAsia="calibri"/>
          <w:sz w:val="21"/>
        </w:rPr>
        <w:t>2</w:t>
      </w:r>
      <w:r>
        <w:rPr>
          <w:rFonts w:ascii="宋体" w:hAnsi="宋体" w:cs="宋体" w:eastAsia="宋体"/>
          <w:sz w:val="21"/>
        </w:rPr>
        <w:t>）</w:t>
      </w:r>
      <w:r>
        <w:rPr>
          <w:rFonts w:ascii="宋体" w:hAnsi="宋体" w:cs="宋体" w:eastAsia="宋体"/>
          <w:sz w:val="21"/>
        </w:rPr>
        <w:t>支持融合存储，支持视频、图片、文档等数据混合存储。</w:t>
      </w:r>
    </w:p>
    <w:p>
      <w:pPr>
        <w:pStyle w:val="null3"/>
        <w:spacing w:before="135" w:after="135"/>
        <w:ind w:firstLine="420"/>
      </w:pPr>
      <w:r>
        <w:rPr>
          <w:rFonts w:ascii="宋体" w:hAnsi="宋体" w:cs="宋体" w:eastAsia="宋体"/>
          <w:sz w:val="21"/>
          <w:b/>
        </w:rPr>
        <w:t>注：</w:t>
      </w:r>
    </w:p>
    <w:p>
      <w:pPr>
        <w:pStyle w:val="null3"/>
        <w:spacing w:before="135" w:after="135"/>
        <w:ind w:firstLine="420"/>
      </w:pPr>
      <w:r>
        <w:rPr>
          <w:rFonts w:ascii="calibri" w:hAnsi="calibri" w:cs="calibri" w:eastAsia="calibri"/>
          <w:sz w:val="21"/>
        </w:rPr>
        <w:t>1</w:t>
      </w:r>
      <w:r>
        <w:rPr>
          <w:rFonts w:ascii="宋体" w:hAnsi="宋体" w:cs="宋体" w:eastAsia="宋体"/>
          <w:sz w:val="21"/>
        </w:rPr>
        <w:t>、工程量清单中的项目特征描述与磋商文件</w:t>
      </w:r>
      <w:r>
        <w:rPr>
          <w:rFonts w:ascii="calibri" w:hAnsi="calibri" w:cs="calibri" w:eastAsia="calibri"/>
          <w:sz w:val="21"/>
        </w:rPr>
        <w:t xml:space="preserve"> </w:t>
      </w:r>
      <w:r>
        <w:rPr>
          <w:rFonts w:ascii="宋体" w:hAnsi="宋体" w:cs="宋体" w:eastAsia="宋体"/>
          <w:sz w:val="21"/>
        </w:rPr>
        <w:t>第三章 内容及要求“二、技术和服务要求”不同的，按磋商文件</w:t>
      </w:r>
      <w:r>
        <w:rPr>
          <w:rFonts w:ascii="calibri" w:hAnsi="calibri" w:cs="calibri" w:eastAsia="calibri"/>
          <w:sz w:val="21"/>
        </w:rPr>
        <w:t xml:space="preserve"> </w:t>
      </w:r>
      <w:r>
        <w:rPr>
          <w:rFonts w:ascii="宋体" w:hAnsi="宋体" w:cs="宋体" w:eastAsia="宋体"/>
          <w:sz w:val="21"/>
        </w:rPr>
        <w:t>第三章</w:t>
      </w:r>
      <w:r>
        <w:rPr>
          <w:rFonts w:ascii="calibri" w:hAnsi="calibri" w:cs="calibri" w:eastAsia="calibri"/>
          <w:sz w:val="21"/>
        </w:rPr>
        <w:t xml:space="preserve"> </w:t>
      </w:r>
      <w:r>
        <w:rPr>
          <w:rFonts w:ascii="宋体" w:hAnsi="宋体" w:cs="宋体" w:eastAsia="宋体"/>
          <w:sz w:val="21"/>
        </w:rPr>
        <w:t>内容及要求“二、技术和服务要求”执行。</w:t>
      </w:r>
    </w:p>
    <w:p>
      <w:pPr>
        <w:pStyle w:val="null3"/>
        <w:spacing w:before="135" w:after="135"/>
        <w:ind w:firstLine="420"/>
      </w:pPr>
      <w:r>
        <w:rPr>
          <w:rFonts w:ascii="calibri" w:hAnsi="calibri" w:cs="calibri" w:eastAsia="calibri"/>
          <w:sz w:val="21"/>
        </w:rPr>
        <w:t>2</w:t>
      </w:r>
      <w:r>
        <w:rPr>
          <w:rFonts w:ascii="宋体" w:hAnsi="宋体" w:cs="宋体" w:eastAsia="宋体"/>
          <w:sz w:val="21"/>
        </w:rPr>
        <w:t>、若涉及到尺寸的允许±</w:t>
      </w:r>
      <w:r>
        <w:rPr>
          <w:rFonts w:ascii="calibri" w:hAnsi="calibri" w:cs="calibri" w:eastAsia="calibri"/>
          <w:sz w:val="21"/>
        </w:rPr>
        <w:t>2MM</w:t>
      </w:r>
      <w:r>
        <w:rPr>
          <w:rFonts w:ascii="宋体" w:hAnsi="宋体" w:cs="宋体" w:eastAsia="宋体"/>
          <w:sz w:val="21"/>
        </w:rPr>
        <w:t>。</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福建省漳州市长泰区采购人指定地点</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自合同签订之日起至本项目结算累计金额达到90万元（人民币玖拾万元整)时，合同终止。</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达到国家现行的验评标准中规定的合格标准。</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供应商完成施工并自检合格后，供应商向采购人提交工程验收申请，采购人负责联系相关部门、专家等按验收标准进行验收，达到质量要求后，交付采购人使用。验收过程产生的相关费用由供应商支付。</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每季度支付一次。根据当季度采购人需求完成的工程量经采购人及委托的监理公司验收合格后，付至当季度完成工程量的100%。（结算费用=∑（各种类预算审核单价×（1-下浮率8%）×实际完成工作数量），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calibri" w:hAnsi="calibri" w:cs="calibri" w:eastAsia="calibri"/>
          <w:sz w:val="21"/>
        </w:rPr>
        <w:t>8.</w:t>
      </w:r>
      <w:r>
        <w:rPr>
          <w:rFonts w:ascii="宋体" w:hAnsi="宋体" w:cs="宋体" w:eastAsia="宋体"/>
          <w:sz w:val="21"/>
        </w:rPr>
        <w:t>报价要求</w:t>
      </w:r>
    </w:p>
    <w:p>
      <w:pPr>
        <w:pStyle w:val="null3"/>
        <w:spacing w:before="135" w:after="135"/>
        <w:ind w:firstLine="420"/>
      </w:pPr>
      <w:r>
        <w:rPr>
          <w:rFonts w:ascii="calibri" w:hAnsi="calibri" w:cs="calibri" w:eastAsia="calibri"/>
          <w:sz w:val="21"/>
        </w:rPr>
        <w:t>8.1</w:t>
      </w:r>
      <w:r>
        <w:rPr>
          <w:rFonts w:ascii="宋体" w:hAnsi="宋体" w:cs="宋体" w:eastAsia="宋体"/>
          <w:sz w:val="21"/>
        </w:rPr>
        <w:t>本项目</w:t>
      </w:r>
      <w:r>
        <w:rPr>
          <w:rFonts w:ascii="宋体" w:hAnsi="宋体" w:cs="宋体" w:eastAsia="宋体"/>
          <w:sz w:val="21"/>
        </w:rPr>
        <w:t>总</w:t>
      </w:r>
      <w:r>
        <w:rPr>
          <w:rFonts w:ascii="宋体" w:hAnsi="宋体" w:cs="宋体" w:eastAsia="宋体"/>
          <w:sz w:val="21"/>
        </w:rPr>
        <w:t>预算金额为</w:t>
      </w:r>
      <w:r>
        <w:rPr>
          <w:rFonts w:ascii="宋体" w:hAnsi="宋体" w:cs="宋体" w:eastAsia="宋体"/>
          <w:sz w:val="21"/>
        </w:rPr>
        <w:t>90万</w:t>
      </w:r>
      <w:r>
        <w:rPr>
          <w:rFonts w:ascii="宋体" w:hAnsi="宋体" w:cs="宋体" w:eastAsia="宋体"/>
          <w:sz w:val="21"/>
        </w:rPr>
        <w:t>元（</w:t>
      </w:r>
      <w:r>
        <w:rPr>
          <w:rFonts w:ascii="宋体" w:hAnsi="宋体" w:cs="宋体" w:eastAsia="宋体"/>
          <w:sz w:val="21"/>
        </w:rPr>
        <w:t>扣除</w:t>
      </w:r>
      <w:r>
        <w:rPr>
          <w:rFonts w:ascii="宋体" w:hAnsi="宋体" w:cs="宋体" w:eastAsia="宋体"/>
          <w:sz w:val="21"/>
        </w:rPr>
        <w:t>预算咨询费、预算审核费、结算审核费、监理服务费等</w:t>
      </w:r>
      <w:r>
        <w:rPr>
          <w:rFonts w:ascii="宋体" w:hAnsi="宋体" w:cs="宋体" w:eastAsia="宋体"/>
          <w:sz w:val="21"/>
        </w:rPr>
        <w:t>费用，剩余费用为施工使用</w:t>
      </w:r>
      <w:r>
        <w:rPr>
          <w:rFonts w:ascii="宋体" w:hAnsi="宋体" w:cs="宋体" w:eastAsia="宋体"/>
          <w:sz w:val="21"/>
        </w:rPr>
        <w:t>）；维护期限为自合同签订之日起至本项目所有费用结算累计金额达到</w:t>
      </w:r>
      <w:r>
        <w:rPr>
          <w:rFonts w:ascii="宋体" w:hAnsi="宋体" w:cs="宋体" w:eastAsia="宋体"/>
          <w:sz w:val="21"/>
        </w:rPr>
        <w:t>90万</w:t>
      </w:r>
      <w:r>
        <w:rPr>
          <w:rFonts w:ascii="宋体" w:hAnsi="宋体" w:cs="宋体" w:eastAsia="宋体"/>
          <w:sz w:val="21"/>
        </w:rPr>
        <w:t>元（人民币</w:t>
      </w:r>
      <w:r>
        <w:rPr>
          <w:rFonts w:ascii="宋体" w:hAnsi="宋体" w:cs="宋体" w:eastAsia="宋体"/>
          <w:sz w:val="21"/>
        </w:rPr>
        <w:t>玖拾万元</w:t>
      </w:r>
      <w:r>
        <w:rPr>
          <w:rFonts w:ascii="宋体" w:hAnsi="宋体" w:cs="宋体" w:eastAsia="宋体"/>
          <w:sz w:val="21"/>
        </w:rPr>
        <w:t>整</w:t>
      </w:r>
      <w:r>
        <w:rPr>
          <w:rFonts w:ascii="calibri" w:hAnsi="calibri" w:cs="calibri" w:eastAsia="calibri"/>
          <w:sz w:val="21"/>
        </w:rPr>
        <w:t>)</w:t>
      </w:r>
      <w:r>
        <w:rPr>
          <w:rFonts w:ascii="宋体" w:hAnsi="宋体" w:cs="宋体" w:eastAsia="宋体"/>
          <w:sz w:val="21"/>
        </w:rPr>
        <w:t>时，合同终止。</w:t>
      </w:r>
    </w:p>
    <w:p>
      <w:pPr>
        <w:pStyle w:val="null3"/>
        <w:spacing w:before="135" w:after="135"/>
        <w:ind w:firstLine="420"/>
      </w:pPr>
      <w:r>
        <w:rPr>
          <w:rFonts w:ascii="calibri" w:hAnsi="calibri" w:cs="calibri" w:eastAsia="calibri"/>
          <w:sz w:val="21"/>
        </w:rPr>
        <w:t>8.2本项目因具体数量无法预估，采购清单里的单价作为结算依据。供应商统一报价为90万元整。供应商需在响应文件中承诺下浮率为8%（格式自拟），供应商未按此承诺的，视为未实质响应磋商文件，按无效标处理。</w:t>
      </w:r>
    </w:p>
    <w:p>
      <w:pPr>
        <w:pStyle w:val="null3"/>
        <w:spacing w:before="135" w:after="135"/>
        <w:ind w:firstLine="420"/>
      </w:pPr>
      <w:r>
        <w:rPr>
          <w:rFonts w:ascii="calibri" w:hAnsi="calibri" w:cs="calibri" w:eastAsia="calibri"/>
          <w:sz w:val="21"/>
        </w:rPr>
        <w:t>8.</w:t>
      </w:r>
      <w:r>
        <w:rPr>
          <w:rFonts w:ascii="calibri" w:hAnsi="calibri" w:cs="calibri" w:eastAsia="calibri"/>
          <w:sz w:val="21"/>
        </w:rPr>
        <w:t>3</w:t>
      </w:r>
      <w:r>
        <w:rPr>
          <w:rFonts w:ascii="宋体" w:hAnsi="宋体" w:cs="宋体" w:eastAsia="宋体"/>
          <w:sz w:val="21"/>
        </w:rPr>
        <w:t>结算费用</w:t>
      </w:r>
      <w:r>
        <w:rPr>
          <w:rFonts w:ascii="calibri" w:hAnsi="calibri" w:cs="calibri" w:eastAsia="calibri"/>
          <w:sz w:val="21"/>
        </w:rPr>
        <w:t>=</w:t>
      </w:r>
      <w:r>
        <w:rPr>
          <w:rFonts w:ascii="宋体" w:hAnsi="宋体" w:cs="宋体" w:eastAsia="宋体"/>
          <w:sz w:val="21"/>
        </w:rPr>
        <w:t>∑（各种类预算审核单价×（</w:t>
      </w:r>
      <w:r>
        <w:rPr>
          <w:rFonts w:ascii="calibri" w:hAnsi="calibri" w:cs="calibri" w:eastAsia="calibri"/>
          <w:sz w:val="21"/>
        </w:rPr>
        <w:t>1-</w:t>
      </w:r>
      <w:r>
        <w:rPr>
          <w:rFonts w:ascii="宋体" w:hAnsi="宋体" w:cs="宋体" w:eastAsia="宋体"/>
          <w:sz w:val="21"/>
        </w:rPr>
        <w:t>下浮率</w:t>
      </w:r>
      <w:r>
        <w:rPr>
          <w:rFonts w:ascii="calibri" w:hAnsi="calibri" w:cs="calibri" w:eastAsia="calibri"/>
          <w:sz w:val="21"/>
        </w:rPr>
        <w:t>8%</w:t>
      </w:r>
      <w:r>
        <w:rPr>
          <w:rFonts w:ascii="宋体" w:hAnsi="宋体" w:cs="宋体" w:eastAsia="宋体"/>
          <w:sz w:val="21"/>
        </w:rPr>
        <w:t>）×实际完成工作数量）。</w:t>
      </w:r>
    </w:p>
    <w:p>
      <w:pPr>
        <w:pStyle w:val="null3"/>
        <w:spacing w:before="135" w:after="135"/>
        <w:ind w:firstLine="420"/>
      </w:pPr>
      <w:r>
        <w:rPr>
          <w:rFonts w:ascii="calibri" w:hAnsi="calibri" w:cs="calibri" w:eastAsia="calibri"/>
          <w:sz w:val="21"/>
        </w:rPr>
        <w:t>8.4</w:t>
      </w:r>
      <w:r>
        <w:rPr>
          <w:rFonts w:ascii="宋体" w:hAnsi="宋体" w:cs="宋体" w:eastAsia="宋体"/>
          <w:sz w:val="21"/>
        </w:rPr>
        <w:t>供应商的报价</w:t>
      </w:r>
      <w:r>
        <w:rPr>
          <w:rFonts w:ascii="宋体" w:hAnsi="宋体" w:cs="宋体" w:eastAsia="宋体"/>
          <w:sz w:val="21"/>
        </w:rPr>
        <w:t>已包括但不限于</w:t>
      </w:r>
      <w:r>
        <w:rPr>
          <w:rFonts w:ascii="宋体" w:hAnsi="宋体" w:cs="宋体" w:eastAsia="宋体"/>
          <w:sz w:val="21"/>
        </w:rPr>
        <w:t>人工费、维护设备设施费、施工费、税收等有关本项目的一切费用。在合同实施期间，各拟维护项目单价不受市场价格及政策性价格的调整而增减。</w:t>
      </w:r>
    </w:p>
    <w:p>
      <w:pPr>
        <w:pStyle w:val="null3"/>
        <w:spacing w:before="135" w:after="135"/>
        <w:ind w:firstLine="420"/>
      </w:pPr>
      <w:r>
        <w:rPr>
          <w:rFonts w:ascii="calibri" w:hAnsi="calibri" w:cs="calibri" w:eastAsia="calibri"/>
          <w:sz w:val="21"/>
        </w:rPr>
        <w:t>8.5</w:t>
      </w:r>
      <w:r>
        <w:rPr>
          <w:rFonts w:ascii="宋体" w:hAnsi="宋体" w:cs="宋体" w:eastAsia="宋体"/>
          <w:sz w:val="21"/>
        </w:rPr>
        <w:t>供应商应自行协调与当地或相关部门的关系，并承担由此所发生的费用。</w:t>
      </w:r>
    </w:p>
    <w:p>
      <w:pPr>
        <w:pStyle w:val="null3"/>
        <w:spacing w:before="135" w:after="135"/>
        <w:ind w:firstLine="420"/>
      </w:pPr>
      <w:r>
        <w:rPr>
          <w:rFonts w:ascii="calibri" w:hAnsi="calibri" w:cs="calibri" w:eastAsia="calibri"/>
          <w:sz w:val="21"/>
        </w:rPr>
        <w:t>8.</w:t>
      </w:r>
      <w:r>
        <w:rPr>
          <w:rFonts w:ascii="calibri" w:hAnsi="calibri" w:cs="calibri" w:eastAsia="calibri"/>
          <w:sz w:val="21"/>
        </w:rPr>
        <w:t>6</w:t>
      </w:r>
      <w:r>
        <w:rPr>
          <w:rFonts w:ascii="宋体" w:hAnsi="宋体" w:cs="宋体" w:eastAsia="宋体"/>
          <w:sz w:val="21"/>
        </w:rPr>
        <w:t>本磋商文件、响应文件、合同、产品技术标准说明及国家有关的质量规范、标准规定，均为本招标项目的验收依据。</w:t>
      </w:r>
    </w:p>
    <w:p>
      <w:pPr>
        <w:pStyle w:val="null3"/>
        <w:spacing w:before="135" w:after="135"/>
        <w:ind w:firstLine="420"/>
      </w:pPr>
      <w:r>
        <w:rPr>
          <w:rFonts w:ascii="calibri" w:hAnsi="calibri" w:cs="calibri" w:eastAsia="calibri"/>
          <w:sz w:val="21"/>
        </w:rPr>
        <w:t>9.</w:t>
      </w:r>
      <w:r>
        <w:rPr>
          <w:rFonts w:ascii="宋体" w:hAnsi="宋体" w:cs="宋体" w:eastAsia="宋体"/>
          <w:sz w:val="21"/>
        </w:rPr>
        <w:t>质量要求</w:t>
      </w:r>
    </w:p>
    <w:p>
      <w:pPr>
        <w:pStyle w:val="null3"/>
        <w:spacing w:before="135" w:after="135"/>
        <w:ind w:firstLine="420"/>
      </w:pPr>
      <w:r>
        <w:rPr>
          <w:rFonts w:ascii="calibri" w:hAnsi="calibri" w:cs="calibri" w:eastAsia="calibri"/>
          <w:sz w:val="21"/>
        </w:rPr>
        <w:t>9.1</w:t>
      </w:r>
      <w:r>
        <w:rPr>
          <w:rFonts w:ascii="宋体" w:hAnsi="宋体" w:cs="宋体" w:eastAsia="宋体"/>
          <w:sz w:val="21"/>
        </w:rPr>
        <w:t>质量要求</w:t>
      </w:r>
    </w:p>
    <w:p>
      <w:pPr>
        <w:pStyle w:val="null3"/>
        <w:spacing w:before="135" w:after="135"/>
        <w:ind w:firstLine="420"/>
      </w:pPr>
      <w:r>
        <w:rPr>
          <w:rFonts w:ascii="calibri" w:hAnsi="calibri" w:cs="calibri" w:eastAsia="calibri"/>
          <w:sz w:val="21"/>
        </w:rPr>
        <w:t>9.1.1</w:t>
      </w:r>
      <w:r>
        <w:rPr>
          <w:rFonts w:ascii="宋体" w:hAnsi="宋体" w:cs="宋体" w:eastAsia="宋体"/>
          <w:sz w:val="21"/>
        </w:rPr>
        <w:t>本工程质量标准必须达到国家现行的验评标准中规定的合格等级。</w:t>
      </w:r>
    </w:p>
    <w:p>
      <w:pPr>
        <w:pStyle w:val="null3"/>
        <w:spacing w:before="135" w:after="135"/>
        <w:ind w:firstLine="420"/>
      </w:pPr>
      <w:r>
        <w:rPr>
          <w:rFonts w:ascii="calibri" w:hAnsi="calibri" w:cs="calibri" w:eastAsia="calibri"/>
          <w:sz w:val="21"/>
        </w:rPr>
        <w:t>9.1.2</w:t>
      </w:r>
      <w:r>
        <w:rPr>
          <w:rFonts w:ascii="宋体" w:hAnsi="宋体" w:cs="宋体" w:eastAsia="宋体"/>
          <w:sz w:val="21"/>
        </w:rPr>
        <w:t>因成交人原因工程质量达不到规定的质量等级，成交人必须按合同约定承担违约金并承担采购人由此产生的其他损失，并在采购人要求的时间内无条件返</w:t>
      </w:r>
      <w:r>
        <w:rPr>
          <w:rFonts w:ascii="宋体" w:hAnsi="宋体" w:cs="宋体" w:eastAsia="宋体"/>
          <w:sz w:val="21"/>
          <w:shd w:fill="FFFFFF" w:val="clear"/>
        </w:rPr>
        <w:t>修，质量验收合格后方交付使用。</w:t>
      </w:r>
    </w:p>
    <w:p>
      <w:pPr>
        <w:pStyle w:val="null3"/>
        <w:spacing w:before="135" w:after="135"/>
        <w:ind w:firstLine="420"/>
      </w:pPr>
      <w:r>
        <w:rPr>
          <w:rFonts w:ascii="calibri" w:hAnsi="calibri" w:cs="calibri" w:eastAsia="calibri"/>
          <w:sz w:val="21"/>
        </w:rPr>
        <w:t>9.2</w:t>
      </w:r>
      <w:r>
        <w:rPr>
          <w:rFonts w:ascii="宋体" w:hAnsi="宋体" w:cs="宋体" w:eastAsia="宋体"/>
          <w:sz w:val="21"/>
        </w:rPr>
        <w:t>售后服务要求</w:t>
      </w:r>
    </w:p>
    <w:p>
      <w:pPr>
        <w:pStyle w:val="null3"/>
        <w:spacing w:before="135" w:after="135"/>
        <w:ind w:firstLine="420"/>
      </w:pPr>
      <w:r>
        <w:rPr>
          <w:rFonts w:ascii="calibri" w:hAnsi="calibri" w:cs="calibri" w:eastAsia="calibri"/>
          <w:sz w:val="21"/>
        </w:rPr>
        <w:t>9.2.1</w:t>
      </w:r>
      <w:r>
        <w:rPr>
          <w:rFonts w:ascii="宋体" w:hAnsi="宋体" w:cs="宋体" w:eastAsia="宋体"/>
          <w:sz w:val="21"/>
        </w:rPr>
        <w:t>本次采购项目要求自验收合格投入使用之日起提供</w:t>
      </w:r>
      <w:r>
        <w:rPr>
          <w:rFonts w:ascii="宋体" w:hAnsi="宋体" w:cs="宋体" w:eastAsia="宋体"/>
          <w:sz w:val="21"/>
        </w:rPr>
        <w:t>贰</w:t>
      </w:r>
      <w:r>
        <w:rPr>
          <w:rFonts w:ascii="宋体" w:hAnsi="宋体" w:cs="宋体" w:eastAsia="宋体"/>
          <w:sz w:val="21"/>
        </w:rPr>
        <w:t>年免费</w:t>
      </w:r>
      <w:r>
        <w:rPr>
          <w:rFonts w:ascii="宋体" w:hAnsi="宋体" w:cs="宋体" w:eastAsia="宋体"/>
          <w:sz w:val="21"/>
        </w:rPr>
        <w:t>保修。供应商可提供更长的保修年限（供应商必须在响应文件中明确响应的具体保修年限）。</w:t>
      </w:r>
    </w:p>
    <w:p>
      <w:pPr>
        <w:pStyle w:val="null3"/>
        <w:spacing w:before="135" w:after="135"/>
        <w:ind w:firstLine="420"/>
      </w:pPr>
      <w:r>
        <w:rPr>
          <w:rFonts w:ascii="calibri" w:hAnsi="calibri" w:cs="calibri" w:eastAsia="calibri"/>
          <w:sz w:val="21"/>
        </w:rPr>
        <w:t>9.2.2</w:t>
      </w:r>
      <w:r>
        <w:rPr>
          <w:rFonts w:ascii="宋体" w:hAnsi="宋体" w:cs="宋体" w:eastAsia="宋体"/>
          <w:sz w:val="21"/>
        </w:rPr>
        <w:t>保修期内，除不可抗力外，所有施工项目任何施工或维修费用均由成交人承担，非人为原因而出现的任何问题，由成交人负责包修、包换，并承担修理、调换产生的相关费用，并在接到采购人通知后</w:t>
      </w:r>
      <w:r>
        <w:rPr>
          <w:rFonts w:ascii="calibri" w:hAnsi="calibri" w:cs="calibri" w:eastAsia="calibri"/>
          <w:sz w:val="21"/>
        </w:rPr>
        <w:t>4</w:t>
      </w:r>
      <w:r>
        <w:rPr>
          <w:rFonts w:ascii="宋体" w:hAnsi="宋体" w:cs="宋体" w:eastAsia="宋体"/>
          <w:sz w:val="21"/>
        </w:rPr>
        <w:t>小时内到达现场进行维修响应，</w:t>
      </w:r>
      <w:r>
        <w:rPr>
          <w:rFonts w:ascii="calibri" w:hAnsi="calibri" w:cs="calibri" w:eastAsia="calibri"/>
          <w:sz w:val="21"/>
        </w:rPr>
        <w:t>8</w:t>
      </w:r>
      <w:r>
        <w:rPr>
          <w:rFonts w:ascii="宋体" w:hAnsi="宋体" w:cs="宋体" w:eastAsia="宋体"/>
          <w:sz w:val="21"/>
        </w:rPr>
        <w:t>小时内修复，在</w:t>
      </w:r>
      <w:r>
        <w:rPr>
          <w:rFonts w:ascii="calibri" w:hAnsi="calibri" w:cs="calibri" w:eastAsia="calibri"/>
          <w:sz w:val="21"/>
        </w:rPr>
        <w:t>24</w:t>
      </w:r>
      <w:r>
        <w:rPr>
          <w:rFonts w:ascii="宋体" w:hAnsi="宋体" w:cs="宋体" w:eastAsia="宋体"/>
          <w:sz w:val="21"/>
        </w:rPr>
        <w:t>小时内仍无法修复的，保修期内需免费提供代用产品或免费更换新产品，其性能指标不得低于原采购产品的性能指标，供应商须对此作出承诺。</w:t>
      </w:r>
    </w:p>
    <w:p>
      <w:pPr>
        <w:pStyle w:val="null3"/>
        <w:spacing w:before="135" w:after="135"/>
        <w:ind w:firstLine="420"/>
      </w:pPr>
      <w:r>
        <w:rPr>
          <w:rFonts w:ascii="calibri" w:hAnsi="calibri" w:cs="calibri" w:eastAsia="calibri"/>
          <w:sz w:val="21"/>
        </w:rPr>
        <w:t>9.2.3</w:t>
      </w:r>
      <w:r>
        <w:rPr>
          <w:rFonts w:ascii="宋体" w:hAnsi="宋体" w:cs="宋体" w:eastAsia="宋体"/>
          <w:sz w:val="21"/>
        </w:rPr>
        <w:t>保修期过后，如发生损坏，维修人员应在接到通知后</w:t>
      </w:r>
      <w:r>
        <w:rPr>
          <w:rFonts w:ascii="calibri" w:hAnsi="calibri" w:cs="calibri" w:eastAsia="calibri"/>
          <w:sz w:val="21"/>
        </w:rPr>
        <w:t>8</w:t>
      </w:r>
      <w:r>
        <w:rPr>
          <w:rFonts w:ascii="宋体" w:hAnsi="宋体" w:cs="宋体" w:eastAsia="宋体"/>
          <w:sz w:val="21"/>
        </w:rPr>
        <w:t>小时内到达现场进行维修，经检修确需进行产品更换的，按照供应商承诺的保修期满后的优惠价格向采购人提供相应产品并负责修复。</w:t>
      </w:r>
    </w:p>
    <w:p>
      <w:pPr>
        <w:pStyle w:val="null3"/>
        <w:spacing w:before="135" w:after="135"/>
        <w:ind w:firstLine="420"/>
      </w:pPr>
      <w:r>
        <w:rPr>
          <w:rFonts w:ascii="calibri" w:hAnsi="calibri" w:cs="calibri" w:eastAsia="calibri"/>
          <w:sz w:val="21"/>
        </w:rPr>
        <w:t>9.2.</w:t>
      </w:r>
      <w:r>
        <w:rPr>
          <w:rFonts w:ascii="calibri" w:hAnsi="calibri" w:cs="calibri" w:eastAsia="calibri"/>
          <w:sz w:val="21"/>
        </w:rPr>
        <w:t>4</w:t>
      </w:r>
      <w:r>
        <w:rPr>
          <w:rFonts w:ascii="宋体" w:hAnsi="宋体" w:cs="宋体" w:eastAsia="宋体"/>
          <w:sz w:val="21"/>
        </w:rPr>
        <w:t>供应商应在投标文件中提供详细具体的售后服务承诺条款及保证。</w:t>
      </w:r>
    </w:p>
    <w:p>
      <w:pPr>
        <w:pStyle w:val="null3"/>
        <w:spacing w:before="135" w:after="135"/>
        <w:ind w:firstLine="420"/>
      </w:pPr>
      <w:r>
        <w:rPr>
          <w:rFonts w:ascii="calibri" w:hAnsi="calibri" w:cs="calibri" w:eastAsia="calibri"/>
          <w:sz w:val="21"/>
        </w:rPr>
        <w:t>10.</w:t>
      </w:r>
      <w:r>
        <w:rPr>
          <w:rFonts w:ascii="宋体" w:hAnsi="宋体" w:cs="宋体" w:eastAsia="宋体"/>
          <w:sz w:val="21"/>
        </w:rPr>
        <w:t>合同签订及付款条件</w:t>
      </w:r>
    </w:p>
    <w:p>
      <w:pPr>
        <w:pStyle w:val="null3"/>
        <w:spacing w:before="135" w:after="135"/>
        <w:ind w:firstLine="420"/>
      </w:pPr>
      <w:r>
        <w:rPr>
          <w:rFonts w:ascii="calibri" w:hAnsi="calibri" w:cs="calibri" w:eastAsia="calibri"/>
          <w:sz w:val="21"/>
        </w:rPr>
        <w:t>10.1</w:t>
      </w:r>
      <w:r>
        <w:rPr>
          <w:rFonts w:ascii="宋体" w:hAnsi="宋体" w:cs="宋体" w:eastAsia="宋体"/>
          <w:sz w:val="21"/>
        </w:rPr>
        <w:t>合同签订</w:t>
      </w:r>
    </w:p>
    <w:p>
      <w:pPr>
        <w:pStyle w:val="null3"/>
        <w:spacing w:before="135" w:after="135"/>
        <w:ind w:firstLine="420"/>
      </w:pPr>
      <w:r>
        <w:rPr>
          <w:rFonts w:ascii="calibri" w:hAnsi="calibri" w:cs="calibri" w:eastAsia="calibri"/>
          <w:sz w:val="21"/>
        </w:rPr>
        <w:t>10.1</w:t>
      </w:r>
      <w:r>
        <w:rPr>
          <w:rFonts w:ascii="宋体" w:hAnsi="宋体" w:cs="宋体" w:eastAsia="宋体"/>
          <w:sz w:val="21"/>
        </w:rPr>
        <w:t>成交人接到《成交通知书》后</w:t>
      </w:r>
      <w:r>
        <w:rPr>
          <w:rFonts w:ascii="calibri" w:hAnsi="calibri" w:cs="calibri" w:eastAsia="calibri"/>
          <w:sz w:val="21"/>
        </w:rPr>
        <w:t>30</w:t>
      </w:r>
      <w:r>
        <w:rPr>
          <w:rFonts w:ascii="宋体" w:hAnsi="宋体" w:cs="宋体" w:eastAsia="宋体"/>
          <w:sz w:val="21"/>
        </w:rPr>
        <w:t>个日历天内，持《中标通知书》与采购人联系合同签订等相关事宜。</w:t>
      </w:r>
    </w:p>
    <w:p>
      <w:pPr>
        <w:pStyle w:val="null3"/>
        <w:spacing w:before="135" w:after="135"/>
        <w:ind w:firstLine="420"/>
      </w:pPr>
      <w:r>
        <w:rPr>
          <w:rFonts w:ascii="calibri" w:hAnsi="calibri" w:cs="calibri" w:eastAsia="calibri"/>
          <w:sz w:val="21"/>
        </w:rPr>
        <w:t>10.2</w:t>
      </w:r>
      <w:r>
        <w:rPr>
          <w:rFonts w:ascii="宋体" w:hAnsi="宋体" w:cs="宋体" w:eastAsia="宋体"/>
          <w:sz w:val="21"/>
        </w:rPr>
        <w:t>磋商文件条款、供应商的响应文件内容均为合同签订的基础。成交人应在合同签订后的</w:t>
      </w:r>
      <w:r>
        <w:rPr>
          <w:rFonts w:ascii="calibri" w:hAnsi="calibri" w:cs="calibri" w:eastAsia="calibri"/>
          <w:sz w:val="21"/>
        </w:rPr>
        <w:t>2</w:t>
      </w:r>
      <w:r>
        <w:rPr>
          <w:rFonts w:ascii="宋体" w:hAnsi="宋体" w:cs="宋体" w:eastAsia="宋体"/>
          <w:sz w:val="21"/>
        </w:rPr>
        <w:t>个工作日内将合同副本送招标代</w:t>
      </w:r>
      <w:r>
        <w:rPr>
          <w:rFonts w:ascii="calibri" w:hAnsi="calibri" w:cs="calibri" w:eastAsia="calibri"/>
          <w:sz w:val="21"/>
        </w:rPr>
        <w:t xml:space="preserve"> </w:t>
      </w:r>
      <w:r>
        <w:rPr>
          <w:rFonts w:ascii="宋体" w:hAnsi="宋体" w:cs="宋体" w:eastAsia="宋体"/>
          <w:sz w:val="21"/>
        </w:rPr>
        <w:t>理机构备案。</w:t>
      </w:r>
    </w:p>
    <w:p>
      <w:pPr>
        <w:pStyle w:val="null3"/>
        <w:spacing w:before="135" w:after="135"/>
        <w:ind w:firstLine="420"/>
      </w:pPr>
      <w:r>
        <w:rPr>
          <w:rFonts w:ascii="calibri" w:hAnsi="calibri" w:cs="calibri" w:eastAsia="calibri"/>
          <w:sz w:val="21"/>
        </w:rPr>
        <w:t>11.</w:t>
      </w:r>
      <w:r>
        <w:rPr>
          <w:rFonts w:ascii="宋体" w:hAnsi="宋体" w:cs="宋体" w:eastAsia="宋体"/>
          <w:sz w:val="21"/>
        </w:rPr>
        <w:t>验收条件及标准</w:t>
      </w:r>
    </w:p>
    <w:p>
      <w:pPr>
        <w:pStyle w:val="null3"/>
        <w:spacing w:before="135" w:after="135"/>
        <w:ind w:firstLine="420"/>
      </w:pPr>
      <w:r>
        <w:rPr>
          <w:rFonts w:ascii="calibri" w:hAnsi="calibri" w:cs="calibri" w:eastAsia="calibri"/>
          <w:sz w:val="21"/>
        </w:rPr>
        <w:t>11.1</w:t>
      </w:r>
      <w:r>
        <w:rPr>
          <w:rFonts w:ascii="宋体" w:hAnsi="宋体" w:cs="宋体" w:eastAsia="宋体"/>
          <w:sz w:val="21"/>
        </w:rPr>
        <w:t>磋商文件、响应文件、技术标准说明及国家有关的质量标准规定，均为验收依据。</w:t>
      </w:r>
    </w:p>
    <w:p>
      <w:pPr>
        <w:pStyle w:val="null3"/>
        <w:spacing w:before="135" w:after="135"/>
        <w:ind w:firstLine="420"/>
      </w:pPr>
      <w:r>
        <w:rPr>
          <w:rFonts w:ascii="calibri" w:hAnsi="calibri" w:cs="calibri" w:eastAsia="calibri"/>
          <w:sz w:val="21"/>
        </w:rPr>
        <w:t>11.2</w:t>
      </w:r>
      <w:r>
        <w:rPr>
          <w:rFonts w:ascii="宋体" w:hAnsi="宋体" w:cs="宋体" w:eastAsia="宋体"/>
          <w:sz w:val="21"/>
        </w:rPr>
        <w:t>自检：项目完成后，成交人应对项目进行测试和试验，其结果必须符合相关标准要求，并出具自检详细检测报告。</w:t>
      </w:r>
    </w:p>
    <w:p>
      <w:pPr>
        <w:pStyle w:val="null3"/>
        <w:spacing w:before="135" w:after="135"/>
        <w:ind w:firstLine="420"/>
      </w:pPr>
      <w:r>
        <w:rPr>
          <w:rFonts w:ascii="calibri" w:hAnsi="calibri" w:cs="calibri" w:eastAsia="calibri"/>
          <w:sz w:val="21"/>
        </w:rPr>
        <w:t>11.3</w:t>
      </w:r>
      <w:r>
        <w:rPr>
          <w:rFonts w:ascii="宋体" w:hAnsi="宋体" w:cs="宋体" w:eastAsia="宋体"/>
          <w:sz w:val="21"/>
        </w:rPr>
        <w:t>初验：成交人完成每条路施工并自检合格后，成交人向采购人提交工程初验申请，并负责联系相关部门会同采购人按验收标准进行联合验收，达到质量要求后，交付采购人使用。</w:t>
      </w:r>
    </w:p>
    <w:p>
      <w:pPr>
        <w:pStyle w:val="null3"/>
        <w:spacing w:before="135" w:after="135"/>
        <w:ind w:firstLine="420"/>
      </w:pPr>
      <w:r>
        <w:rPr>
          <w:rFonts w:ascii="calibri" w:hAnsi="calibri" w:cs="calibri" w:eastAsia="calibri"/>
          <w:sz w:val="21"/>
        </w:rPr>
        <w:t>11.4</w:t>
      </w:r>
      <w:r>
        <w:rPr>
          <w:rFonts w:ascii="宋体" w:hAnsi="宋体" w:cs="宋体" w:eastAsia="宋体"/>
          <w:sz w:val="21"/>
        </w:rPr>
        <w:t>最终验收：成交人完成施工并自检合格后，中成交人向采购人提交工程验收申请，并负责联系相关部门会同采购人按验收标准进行联合验收，达到质量要求后，交付采购人使用。</w:t>
      </w:r>
    </w:p>
    <w:p>
      <w:pPr>
        <w:pStyle w:val="null3"/>
        <w:spacing w:before="135" w:after="135"/>
        <w:ind w:firstLine="420"/>
      </w:pPr>
      <w:r>
        <w:rPr>
          <w:rFonts w:ascii="calibri" w:hAnsi="calibri" w:cs="calibri" w:eastAsia="calibri"/>
          <w:sz w:val="21"/>
        </w:rPr>
        <w:t>11.5</w:t>
      </w:r>
      <w:r>
        <w:rPr>
          <w:rFonts w:ascii="宋体" w:hAnsi="宋体" w:cs="宋体" w:eastAsia="宋体"/>
          <w:sz w:val="21"/>
        </w:rPr>
        <w:t>因成交人原因导致项目验收质量不合格的，应在采购人要求的时间内无偿返工至质量合格，并通过有关部门验收。</w:t>
      </w:r>
    </w:p>
    <w:p>
      <w:pPr>
        <w:pStyle w:val="null3"/>
        <w:spacing w:before="135" w:after="135"/>
        <w:ind w:firstLine="420"/>
      </w:pPr>
      <w:r>
        <w:rPr>
          <w:rFonts w:ascii="calibri" w:hAnsi="calibri" w:cs="calibri" w:eastAsia="calibri"/>
          <w:sz w:val="21"/>
        </w:rPr>
        <w:t>11.6</w:t>
      </w:r>
      <w:r>
        <w:rPr>
          <w:rFonts w:ascii="宋体" w:hAnsi="宋体" w:cs="宋体" w:eastAsia="宋体"/>
          <w:sz w:val="21"/>
        </w:rPr>
        <w:t>成交人应遵守工程建设安全生产及文明施工的有关管理规定，严格按规范标准组织施工，并随时接受行业安全文明检查人员依法实施的监督检查，采取必要的安全防护措施，消除事故隐患。</w:t>
      </w:r>
    </w:p>
    <w:p>
      <w:pPr>
        <w:pStyle w:val="null3"/>
        <w:spacing w:before="135" w:after="135"/>
        <w:ind w:firstLine="420"/>
      </w:pPr>
      <w:r>
        <w:rPr>
          <w:rFonts w:ascii="calibri" w:hAnsi="calibri" w:cs="calibri" w:eastAsia="calibri"/>
          <w:sz w:val="21"/>
        </w:rPr>
        <w:t xml:space="preserve">11.7 </w:t>
      </w:r>
      <w:r>
        <w:rPr>
          <w:rFonts w:ascii="宋体" w:hAnsi="宋体" w:cs="宋体" w:eastAsia="宋体"/>
          <w:sz w:val="21"/>
        </w:rPr>
        <w:t>本项目验收过程中发生的一切费用由成交人支付。</w:t>
      </w:r>
      <w:r>
        <w:rPr>
          <w:rFonts w:ascii="calibri" w:hAnsi="calibri" w:cs="calibri" w:eastAsia="calibri"/>
          <w:sz w:val="21"/>
        </w:rPr>
        <w:t xml:space="preserve"> </w:t>
      </w:r>
    </w:p>
    <w:p>
      <w:pPr>
        <w:pStyle w:val="null3"/>
        <w:jc w:val="left"/>
        <w:outlineLvl w:val="2"/>
      </w:pPr>
      <w:r>
        <w:rPr>
          <w:sz w:val="28"/>
          <w:b/>
        </w:rPr>
        <w:t>四、其他事项</w:t>
      </w:r>
    </w:p>
    <w:p>
      <w:pPr>
        <w:pStyle w:val="null3"/>
        <w:jc w:val="left"/>
      </w:pPr>
      <w:r>
        <w:rPr/>
        <w:t>无</w:t>
      </w:r>
    </w:p>
    <w:p>
      <w:pPr>
        <w:pStyle w:val="null3"/>
        <w:jc w:val="left"/>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[350625]FJZC[CS]2024003</w:t>
      </w:r>
    </w:p>
    <w:p>
      <w:pPr>
        <w:pStyle w:val="null3"/>
        <w:jc w:val="left"/>
      </w:pPr>
      <w:r>
        <w:rPr/>
        <w:t>项目名称：</w:t>
      </w:r>
      <w:r>
        <w:rPr/>
        <w:t>2024年长泰区道路交通安全设施运行维护及零星隐患整改项目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2024年长泰区道路交通安全设施运行维护及零星隐患整改项目</w:t>
            </w:r>
          </w:p>
        </w:tc>
        <w:tc>
          <w:tcPr>
            <w:tcW w:type="dxa" w:w="1661"/>
          </w:tcPr>
          <w:p>
            <w:pPr>
              <w:pStyle w:val="null3"/>
              <w:jc w:val="left"/>
            </w:pPr>
            <w:r>
              <w:rPr/>
              <w:t xml:space="preserve"> 900000.0000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[350625]FJZC[CS]2024003</w:t>
      </w:r>
    </w:p>
    <w:p>
      <w:pPr>
        <w:pStyle w:val="null3"/>
        <w:jc w:val="left"/>
      </w:pPr>
      <w:r>
        <w:rPr/>
        <w:t>项目名称：</w:t>
      </w:r>
      <w:r>
        <w:rPr/>
        <w:t>2024年长泰区道路交通安全设施运行维护及零星隐患整改项目</w:t>
      </w:r>
    </w:p>
    <w:p>
      <w:pPr>
        <w:pStyle w:val="null3"/>
        <w:jc w:val="left"/>
      </w:pPr>
      <w:r>
        <w:rPr/>
        <w:t xml:space="preserve"> 2024年长泰区道路交通安全设施运行维护及零星隐患整改项目</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2024年长泰区道路交通安全设施运行维护及零星隐患整改项目</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900000.0000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2"/>
      </w:pPr>
      <w:r>
        <w:rPr>
          <w:sz w:val="28"/>
          <w:b/>
        </w:rPr>
        <w:t>附件3-4 证明材料</w:t>
      </w:r>
    </w:p>
    <w:p>
      <w:pPr>
        <w:pStyle w:val="null3"/>
        <w:ind w:firstLine="480"/>
        <w:jc w:val="left"/>
      </w:pPr>
      <w:r>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pPr>
        <w:pStyle w:val="null3"/>
        <w:jc w:val="center"/>
        <w:outlineLvl w:val="2"/>
      </w:pPr>
      <w:r>
        <w:rPr>
          <w:sz w:val="28"/>
          <w:b/>
        </w:rPr>
        <w:t>附件3-4-1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pPr>
      <w:r>
        <w:rPr/>
        <w:t xml:space="preserve"> </w:t>
        <w:br/>
        <w:br w:type="page"/>
      </w:r>
    </w:p>
    <w:p>
      <w:pPr>
        <w:pStyle w:val="null3"/>
        <w:jc w:val="center"/>
        <w:outlineLvl w:val="2"/>
      </w:pPr>
      <w:r>
        <w:rPr>
          <w:sz w:val="28"/>
          <w:b/>
        </w:rPr>
        <w:t>附件3-4-2 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 xml:space="preserve">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附件3-5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附件3-6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附件3-7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附件3-8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