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B5D3B9">
      <w:pPr>
        <w:jc w:val="center"/>
        <w:rPr>
          <w:rFonts w:hint="eastAsia" w:ascii="黑体" w:hAnsi="黑体" w:eastAsia="黑体" w:cs="黑体"/>
          <w:b/>
          <w:bCs/>
          <w:sz w:val="56"/>
          <w:szCs w:val="56"/>
          <w:lang w:eastAsia="zh-CN"/>
        </w:rPr>
      </w:pPr>
      <w:bookmarkStart w:id="385" w:name="_GoBack"/>
      <w:r>
        <w:rPr>
          <w:rFonts w:hint="eastAsia" w:ascii="黑体" w:hAnsi="黑体" w:eastAsia="黑体" w:cs="黑体"/>
          <w:sz w:val="32"/>
          <w:szCs w:val="32"/>
        </w:rPr>
        <w:drawing>
          <wp:anchor distT="0" distB="0" distL="114300" distR="114300" simplePos="0" relativeHeight="251659264" behindDoc="0" locked="0" layoutInCell="1" allowOverlap="1">
            <wp:simplePos x="0" y="0"/>
            <wp:positionH relativeFrom="column">
              <wp:posOffset>-715645</wp:posOffset>
            </wp:positionH>
            <wp:positionV relativeFrom="paragraph">
              <wp:posOffset>-746760</wp:posOffset>
            </wp:positionV>
            <wp:extent cx="6821170" cy="9914255"/>
            <wp:effectExtent l="0" t="0" r="6350" b="6985"/>
            <wp:wrapNone/>
            <wp:docPr id="4" name="图片 4" descr="招标文件——二街镇生活垃圾清运服务项目4.27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招标文件——二街镇生活垃圾清运服务项目4.27_01"/>
                    <pic:cNvPicPr>
                      <a:picLocks noChangeAspect="1"/>
                    </pic:cNvPicPr>
                  </pic:nvPicPr>
                  <pic:blipFill>
                    <a:blip r:embed="rId10"/>
                    <a:stretch>
                      <a:fillRect/>
                    </a:stretch>
                  </pic:blipFill>
                  <pic:spPr>
                    <a:xfrm>
                      <a:off x="0" y="0"/>
                      <a:ext cx="6821170" cy="9914255"/>
                    </a:xfrm>
                    <a:prstGeom prst="rect">
                      <a:avLst/>
                    </a:prstGeom>
                  </pic:spPr>
                </pic:pic>
              </a:graphicData>
            </a:graphic>
          </wp:anchor>
        </w:drawing>
      </w:r>
      <w:bookmarkEnd w:id="385"/>
      <w:r>
        <w:rPr>
          <w:rFonts w:hint="eastAsia" w:ascii="黑体" w:hAnsi="黑体" w:eastAsia="黑体" w:cs="黑体"/>
          <w:b/>
          <w:bCs/>
          <w:sz w:val="56"/>
          <w:szCs w:val="56"/>
          <w:lang w:eastAsia="zh-CN"/>
        </w:rPr>
        <w:t>二街镇生活垃圾清运服务项目</w:t>
      </w:r>
    </w:p>
    <w:p w14:paraId="41CA068F">
      <w:pPr>
        <w:pStyle w:val="16"/>
        <w:ind w:left="0" w:leftChars="0" w:firstLine="0" w:firstLineChars="0"/>
        <w:rPr>
          <w:rFonts w:hint="eastAsia" w:ascii="黑体" w:hAnsi="黑体" w:eastAsia="黑体" w:cs="黑体"/>
          <w:b/>
          <w:bCs/>
          <w:sz w:val="56"/>
          <w:szCs w:val="56"/>
          <w:lang w:eastAsia="zh-CN"/>
        </w:rPr>
      </w:pPr>
    </w:p>
    <w:p w14:paraId="230701E0">
      <w:pPr>
        <w:pStyle w:val="16"/>
        <w:ind w:left="0" w:leftChars="0" w:firstLine="0" w:firstLineChars="0"/>
        <w:rPr>
          <w:rFonts w:hint="eastAsia" w:ascii="黑体" w:hAnsi="黑体" w:eastAsia="黑体" w:cs="黑体"/>
          <w:b/>
          <w:bCs/>
          <w:sz w:val="56"/>
          <w:szCs w:val="56"/>
          <w:lang w:eastAsia="zh-CN"/>
        </w:rPr>
      </w:pPr>
    </w:p>
    <w:p w14:paraId="36CB7565">
      <w:pPr>
        <w:jc w:val="center"/>
        <w:rPr>
          <w:rFonts w:hint="eastAsia" w:ascii="黑体" w:hAnsi="黑体" w:eastAsia="黑体" w:cs="黑体"/>
          <w:sz w:val="72"/>
          <w:szCs w:val="72"/>
        </w:rPr>
      </w:pPr>
    </w:p>
    <w:p w14:paraId="06D80021">
      <w:pPr>
        <w:pStyle w:val="16"/>
        <w:rPr>
          <w:rFonts w:hint="eastAsia" w:ascii="黑体" w:hAnsi="黑体" w:eastAsia="黑体" w:cs="黑体"/>
        </w:rPr>
      </w:pPr>
    </w:p>
    <w:p w14:paraId="029416FD">
      <w:pPr>
        <w:jc w:val="center"/>
        <w:rPr>
          <w:rFonts w:hint="eastAsia" w:ascii="黑体" w:hAnsi="黑体" w:eastAsia="黑体" w:cs="黑体"/>
          <w:sz w:val="72"/>
          <w:szCs w:val="72"/>
        </w:rPr>
      </w:pPr>
      <w:r>
        <w:rPr>
          <w:rFonts w:hint="eastAsia" w:ascii="黑体" w:hAnsi="黑体" w:eastAsia="黑体" w:cs="黑体"/>
          <w:sz w:val="72"/>
          <w:szCs w:val="72"/>
        </w:rPr>
        <w:t>公开招标文件</w:t>
      </w:r>
    </w:p>
    <w:p w14:paraId="457EAC3A">
      <w:pPr>
        <w:jc w:val="center"/>
        <w:rPr>
          <w:rFonts w:hint="eastAsia" w:ascii="黑体" w:hAnsi="黑体" w:eastAsia="黑体" w:cs="黑体"/>
          <w:sz w:val="44"/>
          <w:szCs w:val="44"/>
          <w:lang w:val="en-US" w:eastAsia="zh-CN"/>
        </w:rPr>
      </w:pPr>
      <w:bookmarkStart w:id="0" w:name="_Hlk164181180"/>
      <w:r>
        <w:rPr>
          <w:rFonts w:hint="eastAsia" w:ascii="黑体" w:hAnsi="黑体" w:eastAsia="黑体" w:cs="黑体"/>
          <w:sz w:val="32"/>
          <w:szCs w:val="32"/>
        </w:rPr>
        <w:t>项目编号：KMKHZB[2026]1-041</w:t>
      </w:r>
      <w:r>
        <w:rPr>
          <w:rFonts w:hint="eastAsia" w:ascii="黑体" w:hAnsi="黑体" w:eastAsia="黑体" w:cs="黑体"/>
          <w:sz w:val="32"/>
          <w:szCs w:val="32"/>
          <w:lang w:val="en-US" w:eastAsia="zh-CN"/>
        </w:rPr>
        <w:t xml:space="preserve"> </w:t>
      </w:r>
    </w:p>
    <w:p w14:paraId="6E244F10">
      <w:pPr>
        <w:pStyle w:val="16"/>
        <w:rPr>
          <w:rFonts w:hint="eastAsia" w:ascii="黑体" w:hAnsi="黑体" w:eastAsia="黑体" w:cs="黑体"/>
          <w:sz w:val="44"/>
          <w:szCs w:val="44"/>
        </w:rPr>
      </w:pPr>
    </w:p>
    <w:p w14:paraId="64C28BC7">
      <w:pPr>
        <w:pStyle w:val="16"/>
        <w:rPr>
          <w:rFonts w:hint="eastAsia" w:ascii="黑体" w:hAnsi="黑体" w:eastAsia="黑体" w:cs="黑体"/>
          <w:sz w:val="44"/>
          <w:szCs w:val="44"/>
        </w:rPr>
      </w:pPr>
    </w:p>
    <w:p w14:paraId="40E9FF01">
      <w:pPr>
        <w:jc w:val="center"/>
        <w:rPr>
          <w:rFonts w:hint="eastAsia" w:ascii="黑体" w:hAnsi="黑体" w:eastAsia="黑体" w:cs="黑体"/>
          <w:sz w:val="44"/>
          <w:szCs w:val="44"/>
        </w:rPr>
      </w:pPr>
    </w:p>
    <w:bookmarkEnd w:id="0"/>
    <w:p w14:paraId="0C84E620">
      <w:pPr>
        <w:rPr>
          <w:rFonts w:hint="default" w:ascii="黑体" w:hAnsi="黑体" w:eastAsia="黑体" w:cs="黑体"/>
          <w:sz w:val="32"/>
          <w:szCs w:val="32"/>
          <w:u w:val="single"/>
          <w:lang w:val="en-US" w:eastAsia="zh-CN"/>
        </w:rPr>
      </w:pPr>
      <w:r>
        <w:rPr>
          <w:rFonts w:hint="eastAsia" w:ascii="黑体" w:hAnsi="黑体" w:eastAsia="黑体" w:cs="黑体"/>
          <w:sz w:val="32"/>
          <w:szCs w:val="32"/>
        </w:rPr>
        <w:t>采购计划备案号：</w:t>
      </w:r>
      <w:r>
        <w:rPr>
          <w:rFonts w:hint="eastAsia" w:ascii="黑体" w:hAnsi="黑体" w:eastAsia="黑体" w:cs="黑体"/>
          <w:sz w:val="32"/>
          <w:szCs w:val="32"/>
          <w:u w:val="single"/>
          <w:lang w:val="en-US" w:eastAsia="zh-CN"/>
        </w:rPr>
        <w:t>4530122JH202600305</w:t>
      </w:r>
    </w:p>
    <w:p w14:paraId="7CE98621">
      <w:pPr>
        <w:rPr>
          <w:rFonts w:hint="default" w:ascii="黑体" w:hAnsi="黑体" w:eastAsia="黑体" w:cs="黑体"/>
          <w:sz w:val="32"/>
          <w:szCs w:val="32"/>
          <w:lang w:val="en-US"/>
        </w:rPr>
      </w:pPr>
      <w:r>
        <w:rPr>
          <w:rFonts w:hint="eastAsia" w:ascii="黑体" w:hAnsi="黑体" w:eastAsia="黑体" w:cs="黑体"/>
          <w:sz w:val="32"/>
          <w:szCs w:val="32"/>
        </w:rPr>
        <w:t>项目名称：</w:t>
      </w:r>
      <w:r>
        <w:rPr>
          <w:rFonts w:hint="eastAsia" w:ascii="黑体" w:hAnsi="黑体" w:eastAsia="黑体" w:cs="黑体"/>
          <w:sz w:val="32"/>
          <w:szCs w:val="32"/>
          <w:u w:val="single"/>
          <w:lang w:val="en-US" w:eastAsia="zh-CN"/>
        </w:rPr>
        <w:t>二街镇生活垃圾清运服务项目</w:t>
      </w:r>
    </w:p>
    <w:p w14:paraId="4BDFB421">
      <w:pPr>
        <w:rPr>
          <w:rFonts w:hint="eastAsia" w:ascii="黑体" w:hAnsi="黑体" w:eastAsia="黑体" w:cs="黑体"/>
          <w:sz w:val="32"/>
          <w:szCs w:val="32"/>
          <w:lang w:val="en-US" w:eastAsia="zh-CN"/>
        </w:rPr>
      </w:pPr>
      <w:r>
        <w:rPr>
          <w:rFonts w:hint="eastAsia" w:ascii="黑体" w:hAnsi="黑体" w:eastAsia="黑体" w:cs="黑体"/>
          <w:sz w:val="32"/>
          <w:szCs w:val="32"/>
        </w:rPr>
        <w:t>采购人：</w:t>
      </w:r>
      <w:r>
        <w:rPr>
          <w:rFonts w:hint="eastAsia" w:ascii="黑体" w:hAnsi="黑体" w:eastAsia="黑体" w:cs="黑体"/>
          <w:sz w:val="32"/>
          <w:szCs w:val="32"/>
          <w:u w:val="single"/>
          <w:lang w:val="en-US" w:eastAsia="zh-CN"/>
        </w:rPr>
        <w:t>昆明市晋宁区二街镇人民政府</w:t>
      </w:r>
    </w:p>
    <w:p w14:paraId="7290E9C0">
      <w:pPr>
        <w:rPr>
          <w:rFonts w:hint="eastAsia" w:ascii="黑体" w:hAnsi="黑体" w:eastAsia="黑体" w:cs="黑体"/>
          <w:sz w:val="32"/>
          <w:szCs w:val="32"/>
        </w:rPr>
      </w:pPr>
      <w:r>
        <w:rPr>
          <w:rFonts w:hint="eastAsia" w:ascii="黑体" w:hAnsi="黑体" w:eastAsia="黑体" w:cs="黑体"/>
          <w:sz w:val="32"/>
          <w:szCs w:val="32"/>
        </w:rPr>
        <w:t>采购代理机构：</w:t>
      </w:r>
      <w:r>
        <w:rPr>
          <w:rFonts w:hint="eastAsia" w:ascii="黑体" w:hAnsi="黑体" w:eastAsia="黑体" w:cs="黑体"/>
          <w:sz w:val="32"/>
          <w:szCs w:val="32"/>
          <w:u w:val="single"/>
          <w:lang w:val="en-US" w:eastAsia="zh-CN"/>
        </w:rPr>
        <w:t>昆明阔海建设工程咨询有限公司</w:t>
      </w:r>
    </w:p>
    <w:p w14:paraId="516572DA">
      <w:pPr>
        <w:rPr>
          <w:rFonts w:hint="eastAsia" w:ascii="黑体" w:hAnsi="黑体" w:eastAsia="黑体" w:cs="黑体"/>
        </w:rPr>
      </w:pPr>
    </w:p>
    <w:p w14:paraId="16A2CD2D">
      <w:pPr>
        <w:jc w:val="center"/>
        <w:rPr>
          <w:rFonts w:hint="eastAsia" w:ascii="黑体" w:hAnsi="黑体" w:eastAsia="黑体" w:cs="黑体"/>
          <w:sz w:val="32"/>
          <w:szCs w:val="32"/>
        </w:rPr>
      </w:pPr>
      <w:r>
        <w:rPr>
          <w:rFonts w:hint="eastAsia" w:ascii="黑体" w:hAnsi="黑体" w:eastAsia="黑体"/>
          <w:sz w:val="32"/>
          <w:szCs w:val="32"/>
        </w:rPr>
        <w:t>二〇二</w:t>
      </w:r>
      <w:r>
        <w:rPr>
          <w:rFonts w:hint="eastAsia" w:ascii="黑体" w:hAnsi="黑体" w:eastAsia="黑体"/>
          <w:sz w:val="32"/>
          <w:szCs w:val="32"/>
          <w:lang w:val="en-US" w:eastAsia="zh-CN"/>
        </w:rPr>
        <w:t>六</w:t>
      </w:r>
      <w:r>
        <w:rPr>
          <w:rFonts w:hint="eastAsia" w:ascii="黑体" w:hAnsi="黑体" w:eastAsia="黑体"/>
          <w:sz w:val="32"/>
          <w:szCs w:val="32"/>
        </w:rPr>
        <w:t>年</w:t>
      </w:r>
      <w:r>
        <w:rPr>
          <w:rFonts w:hint="eastAsia" w:ascii="黑体" w:hAnsi="黑体" w:eastAsia="黑体"/>
          <w:sz w:val="32"/>
          <w:szCs w:val="32"/>
          <w:lang w:val="en-US" w:eastAsia="zh-CN"/>
        </w:rPr>
        <w:t>四</w:t>
      </w:r>
      <w:r>
        <w:rPr>
          <w:rFonts w:hint="eastAsia" w:ascii="黑体" w:hAnsi="黑体" w:eastAsia="黑体"/>
          <w:sz w:val="32"/>
          <w:szCs w:val="32"/>
        </w:rPr>
        <w:t>月</w:t>
      </w:r>
    </w:p>
    <w:p w14:paraId="6CB5FE5F">
      <w:pPr>
        <w:jc w:val="both"/>
        <w:rPr>
          <w:rFonts w:hint="eastAsia" w:ascii="方正小标宋_GBK" w:hAnsi="方正小标宋_GBK" w:eastAsia="方正小标宋_GBK" w:cs="方正小标宋_GBK"/>
          <w:sz w:val="48"/>
          <w:szCs w:val="48"/>
          <w:lang w:eastAsia="zh-CN"/>
        </w:rPr>
        <w:sectPr>
          <w:headerReference r:id="rId5" w:type="default"/>
          <w:footerReference r:id="rId6" w:type="default"/>
          <w:pgSz w:w="11906" w:h="16838"/>
          <w:pgMar w:top="1440" w:right="1800" w:bottom="1440" w:left="1800" w:header="851" w:footer="992" w:gutter="0"/>
          <w:cols w:space="425" w:num="1"/>
          <w:docGrid w:type="lines" w:linePitch="312" w:charSpace="0"/>
        </w:sectPr>
      </w:pPr>
    </w:p>
    <w:p w14:paraId="39F65268">
      <w:pPr>
        <w:pStyle w:val="16"/>
        <w:rPr>
          <w:rFonts w:hint="eastAsia"/>
          <w:lang w:eastAsia="zh-CN"/>
        </w:rPr>
      </w:pPr>
    </w:p>
    <w:p w14:paraId="67B9036E">
      <w:pPr>
        <w:jc w:val="center"/>
        <w:rPr>
          <w:rFonts w:hint="eastAsia" w:ascii="黑体" w:hAnsi="黑体" w:eastAsia="黑体"/>
          <w:b/>
          <w:bCs/>
          <w:sz w:val="32"/>
          <w:szCs w:val="32"/>
        </w:rPr>
      </w:pPr>
      <w:r>
        <w:rPr>
          <w:rFonts w:hint="eastAsia" w:ascii="黑体" w:hAnsi="黑体" w:eastAsia="黑体"/>
          <w:b/>
          <w:bCs/>
          <w:sz w:val="32"/>
          <w:szCs w:val="32"/>
        </w:rPr>
        <w:t>目 录</w:t>
      </w:r>
    </w:p>
    <w:p w14:paraId="6308CD98">
      <w:pPr>
        <w:pStyle w:val="23"/>
        <w:tabs>
          <w:tab w:val="right" w:leader="dot" w:pos="8306"/>
        </w:tabs>
        <w:rPr>
          <w:rFonts w:hint="eastAsia"/>
        </w:rPr>
      </w:pPr>
      <w:r>
        <w:fldChar w:fldCharType="begin"/>
      </w:r>
      <w:r>
        <w:instrText xml:space="preserve"> </w:instrText>
      </w:r>
      <w:r>
        <w:rPr>
          <w:rFonts w:hint="eastAsia"/>
        </w:rPr>
        <w:instrText xml:space="preserve">TOC \o "1-4" \h \z \u</w:instrText>
      </w:r>
      <w:r>
        <w:instrText xml:space="preserve"> </w:instrText>
      </w:r>
      <w:r>
        <w:fldChar w:fldCharType="separate"/>
      </w:r>
      <w:r>
        <w:fldChar w:fldCharType="begin"/>
      </w:r>
      <w:r>
        <w:instrText xml:space="preserve"> HYPERLINK \l "_Toc20705" </w:instrText>
      </w:r>
      <w:r>
        <w:fldChar w:fldCharType="separate"/>
      </w:r>
      <w:r>
        <w:rPr>
          <w:rFonts w:hint="eastAsia" w:cs="仿宋_GB2312"/>
          <w:szCs w:val="24"/>
        </w:rPr>
        <w:t xml:space="preserve">第一章 </w:t>
      </w:r>
      <w:r>
        <w:rPr>
          <w:rFonts w:hint="eastAsia"/>
        </w:rPr>
        <w:t>投标邀请</w:t>
      </w:r>
      <w:r>
        <w:tab/>
      </w:r>
      <w:r>
        <w:fldChar w:fldCharType="begin"/>
      </w:r>
      <w:r>
        <w:instrText xml:space="preserve"> PAGEREF _Toc20705 \h </w:instrText>
      </w:r>
      <w:r>
        <w:fldChar w:fldCharType="separate"/>
      </w:r>
      <w:r>
        <w:t>7</w:t>
      </w:r>
      <w:r>
        <w:fldChar w:fldCharType="end"/>
      </w:r>
      <w:r>
        <w:fldChar w:fldCharType="end"/>
      </w:r>
    </w:p>
    <w:p w14:paraId="12243497">
      <w:pPr>
        <w:pStyle w:val="23"/>
        <w:tabs>
          <w:tab w:val="right" w:leader="dot" w:pos="8306"/>
        </w:tabs>
        <w:rPr>
          <w:rFonts w:hint="eastAsia"/>
        </w:rPr>
      </w:pPr>
      <w:r>
        <w:fldChar w:fldCharType="begin"/>
      </w:r>
      <w:r>
        <w:instrText xml:space="preserve"> HYPERLINK \l "_Toc26411" </w:instrText>
      </w:r>
      <w:r>
        <w:fldChar w:fldCharType="separate"/>
      </w:r>
      <w:r>
        <w:rPr>
          <w:b w:val="0"/>
          <w:bCs w:val="0"/>
        </w:rPr>
        <w:t>二街镇生活垃圾清运服务项目</w:t>
      </w:r>
      <w:r>
        <w:rPr>
          <w:rFonts w:hint="eastAsia"/>
          <w:b w:val="0"/>
          <w:bCs w:val="0"/>
          <w:caps w:val="0"/>
          <w:smallCaps/>
        </w:rPr>
        <w:t>招标公告</w:t>
      </w:r>
      <w:r>
        <w:tab/>
      </w:r>
      <w:r>
        <w:fldChar w:fldCharType="begin"/>
      </w:r>
      <w:r>
        <w:instrText xml:space="preserve"> PAGEREF _Toc26411 \h </w:instrText>
      </w:r>
      <w:r>
        <w:fldChar w:fldCharType="separate"/>
      </w:r>
      <w:r>
        <w:t>8</w:t>
      </w:r>
      <w:r>
        <w:fldChar w:fldCharType="end"/>
      </w:r>
      <w:r>
        <w:fldChar w:fldCharType="end"/>
      </w:r>
    </w:p>
    <w:p w14:paraId="7F3DF6AD">
      <w:pPr>
        <w:pStyle w:val="26"/>
        <w:tabs>
          <w:tab w:val="right" w:leader="dot" w:pos="8306"/>
        </w:tabs>
        <w:rPr>
          <w:rFonts w:hint="eastAsia"/>
        </w:rPr>
      </w:pPr>
      <w:r>
        <w:fldChar w:fldCharType="begin"/>
      </w:r>
      <w:r>
        <w:instrText xml:space="preserve"> HYPERLINK \l "_Toc352" </w:instrText>
      </w:r>
      <w:r>
        <w:fldChar w:fldCharType="separate"/>
      </w:r>
      <w:r>
        <w:rPr>
          <w:rFonts w:hint="eastAsia"/>
        </w:rPr>
        <w:t>一、项目基本情况</w:t>
      </w:r>
      <w:r>
        <w:rPr>
          <w:rFonts w:hint="eastAsia"/>
        </w:rPr>
        <w:tab/>
      </w:r>
      <w:r>
        <w:rPr>
          <w:rFonts w:hint="eastAsia"/>
        </w:rPr>
        <w:fldChar w:fldCharType="begin"/>
      </w:r>
      <w:r>
        <w:rPr>
          <w:rFonts w:hint="eastAsia"/>
        </w:rPr>
        <w:instrText xml:space="preserve"> PAGEREF _Toc352 \h </w:instrText>
      </w:r>
      <w:r>
        <w:rPr>
          <w:rFonts w:hint="eastAsia"/>
        </w:rPr>
        <w:fldChar w:fldCharType="separate"/>
      </w:r>
      <w:r>
        <w:rPr>
          <w:rFonts w:hint="eastAsia"/>
        </w:rPr>
        <w:t>8</w:t>
      </w:r>
      <w:r>
        <w:rPr>
          <w:rFonts w:hint="eastAsia"/>
        </w:rPr>
        <w:fldChar w:fldCharType="end"/>
      </w:r>
      <w:r>
        <w:rPr>
          <w:rFonts w:hint="eastAsia"/>
        </w:rPr>
        <w:fldChar w:fldCharType="end"/>
      </w:r>
    </w:p>
    <w:p w14:paraId="4A6B38B3">
      <w:pPr>
        <w:pStyle w:val="26"/>
        <w:tabs>
          <w:tab w:val="right" w:leader="dot" w:pos="8306"/>
        </w:tabs>
        <w:rPr>
          <w:rFonts w:hint="eastAsia"/>
        </w:rPr>
      </w:pPr>
      <w:r>
        <w:fldChar w:fldCharType="begin"/>
      </w:r>
      <w:r>
        <w:instrText xml:space="preserve"> HYPERLINK \l "_Toc28854" </w:instrText>
      </w:r>
      <w:r>
        <w:fldChar w:fldCharType="separate"/>
      </w:r>
      <w:r>
        <w:rPr>
          <w:rFonts w:hint="eastAsia"/>
        </w:rPr>
        <w:t>二、投标供应商的资格要求：</w:t>
      </w:r>
      <w:r>
        <w:rPr>
          <w:rFonts w:hint="eastAsia"/>
        </w:rPr>
        <w:tab/>
      </w:r>
      <w:r>
        <w:rPr>
          <w:rFonts w:hint="eastAsia"/>
        </w:rPr>
        <w:fldChar w:fldCharType="begin"/>
      </w:r>
      <w:r>
        <w:rPr>
          <w:rFonts w:hint="eastAsia"/>
        </w:rPr>
        <w:instrText xml:space="preserve"> PAGEREF _Toc28854 \h </w:instrText>
      </w:r>
      <w:r>
        <w:rPr>
          <w:rFonts w:hint="eastAsia"/>
        </w:rPr>
        <w:fldChar w:fldCharType="separate"/>
      </w:r>
      <w:r>
        <w:rPr>
          <w:rFonts w:hint="eastAsia"/>
        </w:rPr>
        <w:t>11</w:t>
      </w:r>
      <w:r>
        <w:rPr>
          <w:rFonts w:hint="eastAsia"/>
        </w:rPr>
        <w:fldChar w:fldCharType="end"/>
      </w:r>
      <w:r>
        <w:rPr>
          <w:rFonts w:hint="eastAsia"/>
        </w:rPr>
        <w:fldChar w:fldCharType="end"/>
      </w:r>
    </w:p>
    <w:p w14:paraId="4B7B5B93">
      <w:pPr>
        <w:pStyle w:val="26"/>
        <w:tabs>
          <w:tab w:val="right" w:leader="dot" w:pos="8306"/>
        </w:tabs>
        <w:rPr>
          <w:rFonts w:hint="eastAsia"/>
        </w:rPr>
      </w:pPr>
      <w:r>
        <w:fldChar w:fldCharType="begin"/>
      </w:r>
      <w:r>
        <w:instrText xml:space="preserve"> HYPERLINK \l "_Toc10562" </w:instrText>
      </w:r>
      <w:r>
        <w:fldChar w:fldCharType="separate"/>
      </w:r>
      <w:r>
        <w:rPr>
          <w:rFonts w:hint="eastAsia"/>
        </w:rPr>
        <w:t>三、获取招标文件</w:t>
      </w:r>
      <w:r>
        <w:rPr>
          <w:rFonts w:hint="eastAsia"/>
        </w:rPr>
        <w:tab/>
      </w:r>
      <w:r>
        <w:rPr>
          <w:rFonts w:hint="eastAsia"/>
        </w:rPr>
        <w:fldChar w:fldCharType="begin"/>
      </w:r>
      <w:r>
        <w:rPr>
          <w:rFonts w:hint="eastAsia"/>
        </w:rPr>
        <w:instrText xml:space="preserve"> PAGEREF _Toc10562 \h </w:instrText>
      </w:r>
      <w:r>
        <w:rPr>
          <w:rFonts w:hint="eastAsia"/>
        </w:rPr>
        <w:fldChar w:fldCharType="separate"/>
      </w:r>
      <w:r>
        <w:rPr>
          <w:rFonts w:hint="eastAsia"/>
        </w:rPr>
        <w:t>12</w:t>
      </w:r>
      <w:r>
        <w:rPr>
          <w:rFonts w:hint="eastAsia"/>
        </w:rPr>
        <w:fldChar w:fldCharType="end"/>
      </w:r>
      <w:r>
        <w:rPr>
          <w:rFonts w:hint="eastAsia"/>
        </w:rPr>
        <w:fldChar w:fldCharType="end"/>
      </w:r>
    </w:p>
    <w:p w14:paraId="23B1ABFE">
      <w:pPr>
        <w:pStyle w:val="26"/>
        <w:tabs>
          <w:tab w:val="right" w:leader="dot" w:pos="8306"/>
        </w:tabs>
        <w:rPr>
          <w:rFonts w:hint="eastAsia"/>
        </w:rPr>
      </w:pPr>
      <w:r>
        <w:fldChar w:fldCharType="begin"/>
      </w:r>
      <w:r>
        <w:instrText xml:space="preserve"> HYPERLINK \l "_Toc27295" </w:instrText>
      </w:r>
      <w:r>
        <w:fldChar w:fldCharType="separate"/>
      </w:r>
      <w:r>
        <w:rPr>
          <w:rFonts w:hint="eastAsia"/>
        </w:rPr>
        <w:t>四、提交投标文件截止时间、时间和地点</w:t>
      </w:r>
      <w:r>
        <w:rPr>
          <w:rFonts w:hint="eastAsia"/>
        </w:rPr>
        <w:tab/>
      </w:r>
      <w:r>
        <w:rPr>
          <w:rFonts w:hint="eastAsia"/>
        </w:rPr>
        <w:fldChar w:fldCharType="begin"/>
      </w:r>
      <w:r>
        <w:rPr>
          <w:rFonts w:hint="eastAsia"/>
        </w:rPr>
        <w:instrText xml:space="preserve"> PAGEREF _Toc27295 \h </w:instrText>
      </w:r>
      <w:r>
        <w:rPr>
          <w:rFonts w:hint="eastAsia"/>
        </w:rPr>
        <w:fldChar w:fldCharType="separate"/>
      </w:r>
      <w:r>
        <w:rPr>
          <w:rFonts w:hint="eastAsia"/>
        </w:rPr>
        <w:t>13</w:t>
      </w:r>
      <w:r>
        <w:rPr>
          <w:rFonts w:hint="eastAsia"/>
        </w:rPr>
        <w:fldChar w:fldCharType="end"/>
      </w:r>
      <w:r>
        <w:rPr>
          <w:rFonts w:hint="eastAsia"/>
        </w:rPr>
        <w:fldChar w:fldCharType="end"/>
      </w:r>
    </w:p>
    <w:p w14:paraId="28BBA578">
      <w:pPr>
        <w:pStyle w:val="26"/>
        <w:tabs>
          <w:tab w:val="right" w:leader="dot" w:pos="8306"/>
        </w:tabs>
        <w:rPr>
          <w:rFonts w:hint="eastAsia"/>
        </w:rPr>
      </w:pPr>
      <w:r>
        <w:fldChar w:fldCharType="begin"/>
      </w:r>
      <w:r>
        <w:instrText xml:space="preserve"> HYPERLINK \l "_Toc10617" </w:instrText>
      </w:r>
      <w:r>
        <w:fldChar w:fldCharType="separate"/>
      </w:r>
      <w:r>
        <w:rPr>
          <w:rFonts w:hint="eastAsia"/>
        </w:rPr>
        <w:t>五、公告期限</w:t>
      </w:r>
      <w:r>
        <w:rPr>
          <w:rFonts w:hint="eastAsia"/>
        </w:rPr>
        <w:tab/>
      </w:r>
      <w:r>
        <w:rPr>
          <w:rFonts w:hint="eastAsia"/>
        </w:rPr>
        <w:fldChar w:fldCharType="begin"/>
      </w:r>
      <w:r>
        <w:rPr>
          <w:rFonts w:hint="eastAsia"/>
        </w:rPr>
        <w:instrText xml:space="preserve"> PAGEREF _Toc10617 \h </w:instrText>
      </w:r>
      <w:r>
        <w:rPr>
          <w:rFonts w:hint="eastAsia"/>
        </w:rPr>
        <w:fldChar w:fldCharType="separate"/>
      </w:r>
      <w:r>
        <w:rPr>
          <w:rFonts w:hint="eastAsia"/>
        </w:rPr>
        <w:t>14</w:t>
      </w:r>
      <w:r>
        <w:rPr>
          <w:rFonts w:hint="eastAsia"/>
        </w:rPr>
        <w:fldChar w:fldCharType="end"/>
      </w:r>
      <w:r>
        <w:rPr>
          <w:rFonts w:hint="eastAsia"/>
        </w:rPr>
        <w:fldChar w:fldCharType="end"/>
      </w:r>
    </w:p>
    <w:p w14:paraId="064C2BD0">
      <w:pPr>
        <w:pStyle w:val="26"/>
        <w:tabs>
          <w:tab w:val="right" w:leader="dot" w:pos="8306"/>
        </w:tabs>
        <w:rPr>
          <w:rFonts w:hint="eastAsia"/>
        </w:rPr>
      </w:pPr>
      <w:r>
        <w:fldChar w:fldCharType="begin"/>
      </w:r>
      <w:r>
        <w:instrText xml:space="preserve"> HYPERLINK \l "_Toc22605" </w:instrText>
      </w:r>
      <w:r>
        <w:fldChar w:fldCharType="separate"/>
      </w:r>
      <w:r>
        <w:rPr>
          <w:rFonts w:hint="eastAsia"/>
        </w:rPr>
        <w:t>六、其他补充事宜</w:t>
      </w:r>
      <w:r>
        <w:rPr>
          <w:rFonts w:hint="eastAsia"/>
        </w:rPr>
        <w:tab/>
      </w:r>
      <w:r>
        <w:rPr>
          <w:rFonts w:hint="eastAsia"/>
        </w:rPr>
        <w:fldChar w:fldCharType="begin"/>
      </w:r>
      <w:r>
        <w:rPr>
          <w:rFonts w:hint="eastAsia"/>
        </w:rPr>
        <w:instrText xml:space="preserve"> PAGEREF _Toc22605 \h </w:instrText>
      </w:r>
      <w:r>
        <w:rPr>
          <w:rFonts w:hint="eastAsia"/>
        </w:rPr>
        <w:fldChar w:fldCharType="separate"/>
      </w:r>
      <w:r>
        <w:rPr>
          <w:rFonts w:hint="eastAsia"/>
        </w:rPr>
        <w:t>14</w:t>
      </w:r>
      <w:r>
        <w:rPr>
          <w:rFonts w:hint="eastAsia"/>
        </w:rPr>
        <w:fldChar w:fldCharType="end"/>
      </w:r>
      <w:r>
        <w:rPr>
          <w:rFonts w:hint="eastAsia"/>
        </w:rPr>
        <w:fldChar w:fldCharType="end"/>
      </w:r>
    </w:p>
    <w:p w14:paraId="12CD6AAB">
      <w:pPr>
        <w:pStyle w:val="26"/>
        <w:tabs>
          <w:tab w:val="right" w:leader="dot" w:pos="8306"/>
        </w:tabs>
        <w:rPr>
          <w:rFonts w:hint="eastAsia"/>
        </w:rPr>
      </w:pPr>
      <w:r>
        <w:fldChar w:fldCharType="begin"/>
      </w:r>
      <w:r>
        <w:instrText xml:space="preserve"> HYPERLINK \l "_Toc27929" </w:instrText>
      </w:r>
      <w:r>
        <w:fldChar w:fldCharType="separate"/>
      </w:r>
      <w:r>
        <w:rPr>
          <w:rFonts w:hint="eastAsia"/>
        </w:rPr>
        <w:t>七、对本次招标提出询问，请按以下方式联系。</w:t>
      </w:r>
      <w:r>
        <w:rPr>
          <w:rFonts w:hint="eastAsia"/>
        </w:rPr>
        <w:tab/>
      </w:r>
      <w:r>
        <w:rPr>
          <w:rFonts w:hint="eastAsia"/>
        </w:rPr>
        <w:fldChar w:fldCharType="begin"/>
      </w:r>
      <w:r>
        <w:rPr>
          <w:rFonts w:hint="eastAsia"/>
        </w:rPr>
        <w:instrText xml:space="preserve"> PAGEREF _Toc27929 \h </w:instrText>
      </w:r>
      <w:r>
        <w:rPr>
          <w:rFonts w:hint="eastAsia"/>
        </w:rPr>
        <w:fldChar w:fldCharType="separate"/>
      </w:r>
      <w:r>
        <w:rPr>
          <w:rFonts w:hint="eastAsia"/>
        </w:rPr>
        <w:t>15</w:t>
      </w:r>
      <w:r>
        <w:rPr>
          <w:rFonts w:hint="eastAsia"/>
        </w:rPr>
        <w:fldChar w:fldCharType="end"/>
      </w:r>
      <w:r>
        <w:rPr>
          <w:rFonts w:hint="eastAsia"/>
        </w:rPr>
        <w:fldChar w:fldCharType="end"/>
      </w:r>
    </w:p>
    <w:p w14:paraId="277BC92B">
      <w:pPr>
        <w:pStyle w:val="23"/>
        <w:tabs>
          <w:tab w:val="right" w:leader="dot" w:pos="8306"/>
        </w:tabs>
        <w:rPr>
          <w:rFonts w:hint="eastAsia"/>
        </w:rPr>
      </w:pPr>
      <w:r>
        <w:fldChar w:fldCharType="begin"/>
      </w:r>
      <w:r>
        <w:instrText xml:space="preserve"> HYPERLINK \l "_Toc24712" </w:instrText>
      </w:r>
      <w:r>
        <w:fldChar w:fldCharType="separate"/>
      </w:r>
      <w:r>
        <w:rPr>
          <w:rFonts w:hint="eastAsia"/>
        </w:rPr>
        <w:t>第二章 投标供应商须知</w:t>
      </w:r>
      <w:r>
        <w:tab/>
      </w:r>
      <w:r>
        <w:fldChar w:fldCharType="begin"/>
      </w:r>
      <w:r>
        <w:instrText xml:space="preserve"> PAGEREF _Toc24712 \h </w:instrText>
      </w:r>
      <w:r>
        <w:fldChar w:fldCharType="separate"/>
      </w:r>
      <w:r>
        <w:t>16</w:t>
      </w:r>
      <w:r>
        <w:fldChar w:fldCharType="end"/>
      </w:r>
      <w:r>
        <w:fldChar w:fldCharType="end"/>
      </w:r>
    </w:p>
    <w:p w14:paraId="7448DE13">
      <w:pPr>
        <w:pStyle w:val="26"/>
        <w:tabs>
          <w:tab w:val="right" w:leader="dot" w:pos="8306"/>
        </w:tabs>
        <w:rPr>
          <w:rFonts w:hint="eastAsia"/>
        </w:rPr>
      </w:pPr>
      <w:r>
        <w:fldChar w:fldCharType="begin"/>
      </w:r>
      <w:r>
        <w:instrText xml:space="preserve"> HYPERLINK \l "_Toc28594" </w:instrText>
      </w:r>
      <w:r>
        <w:fldChar w:fldCharType="separate"/>
      </w:r>
      <w:r>
        <w:rPr>
          <w:rFonts w:hint="eastAsia"/>
        </w:rPr>
        <w:t>一、 投标供应商须知前附表</w:t>
      </w:r>
      <w:r>
        <w:tab/>
      </w:r>
      <w:r>
        <w:fldChar w:fldCharType="begin"/>
      </w:r>
      <w:r>
        <w:instrText xml:space="preserve"> PAGEREF _Toc28594 \h </w:instrText>
      </w:r>
      <w:r>
        <w:fldChar w:fldCharType="separate"/>
      </w:r>
      <w:r>
        <w:t>16</w:t>
      </w:r>
      <w:r>
        <w:fldChar w:fldCharType="end"/>
      </w:r>
      <w:r>
        <w:fldChar w:fldCharType="end"/>
      </w:r>
    </w:p>
    <w:p w14:paraId="0AB63A13">
      <w:pPr>
        <w:pStyle w:val="26"/>
        <w:tabs>
          <w:tab w:val="right" w:leader="dot" w:pos="8306"/>
        </w:tabs>
        <w:rPr>
          <w:rFonts w:hint="eastAsia"/>
        </w:rPr>
      </w:pPr>
      <w:r>
        <w:fldChar w:fldCharType="begin"/>
      </w:r>
      <w:r>
        <w:instrText xml:space="preserve"> HYPERLINK \l "_Toc18687" </w:instrText>
      </w:r>
      <w:r>
        <w:fldChar w:fldCharType="separate"/>
      </w:r>
      <w:r>
        <w:rPr>
          <w:rFonts w:hint="eastAsia"/>
        </w:rPr>
        <w:t>二、 投标供应商须知</w:t>
      </w:r>
      <w:r>
        <w:tab/>
      </w:r>
      <w:r>
        <w:fldChar w:fldCharType="begin"/>
      </w:r>
      <w:r>
        <w:instrText xml:space="preserve"> PAGEREF _Toc18687 \h </w:instrText>
      </w:r>
      <w:r>
        <w:fldChar w:fldCharType="separate"/>
      </w:r>
      <w:r>
        <w:t>25</w:t>
      </w:r>
      <w:r>
        <w:fldChar w:fldCharType="end"/>
      </w:r>
      <w:r>
        <w:fldChar w:fldCharType="end"/>
      </w:r>
    </w:p>
    <w:p w14:paraId="7DFF6FBA">
      <w:pPr>
        <w:pStyle w:val="17"/>
        <w:tabs>
          <w:tab w:val="right" w:leader="dot" w:pos="8306"/>
        </w:tabs>
        <w:rPr>
          <w:rFonts w:hint="eastAsia"/>
        </w:rPr>
      </w:pPr>
      <w:r>
        <w:fldChar w:fldCharType="begin"/>
      </w:r>
      <w:r>
        <w:instrText xml:space="preserve"> HYPERLINK \l "_Toc7977" </w:instrText>
      </w:r>
      <w:r>
        <w:fldChar w:fldCharType="separate"/>
      </w:r>
      <w:r>
        <w:rPr>
          <w:rFonts w:hint="eastAsia"/>
        </w:rPr>
        <w:t>（一） 总则</w:t>
      </w:r>
      <w:r>
        <w:tab/>
      </w:r>
      <w:r>
        <w:fldChar w:fldCharType="begin"/>
      </w:r>
      <w:r>
        <w:instrText xml:space="preserve"> PAGEREF _Toc7977 \h </w:instrText>
      </w:r>
      <w:r>
        <w:fldChar w:fldCharType="separate"/>
      </w:r>
      <w:r>
        <w:t>25</w:t>
      </w:r>
      <w:r>
        <w:fldChar w:fldCharType="end"/>
      </w:r>
      <w:r>
        <w:fldChar w:fldCharType="end"/>
      </w:r>
    </w:p>
    <w:p w14:paraId="2EF0E5CD">
      <w:pPr>
        <w:pStyle w:val="24"/>
        <w:tabs>
          <w:tab w:val="right" w:leader="dot" w:pos="8306"/>
        </w:tabs>
        <w:rPr>
          <w:rFonts w:hint="eastAsia"/>
        </w:rPr>
      </w:pPr>
      <w:r>
        <w:fldChar w:fldCharType="begin"/>
      </w:r>
      <w:r>
        <w:instrText xml:space="preserve"> HYPERLINK \l "_Toc21293" </w:instrText>
      </w:r>
      <w:r>
        <w:fldChar w:fldCharType="separate"/>
      </w:r>
      <w:r>
        <w:t xml:space="preserve">1. </w:t>
      </w:r>
      <w:r>
        <w:rPr>
          <w:rFonts w:hint="eastAsia"/>
        </w:rPr>
        <w:t>适用范围</w:t>
      </w:r>
      <w:r>
        <w:tab/>
      </w:r>
      <w:r>
        <w:fldChar w:fldCharType="begin"/>
      </w:r>
      <w:r>
        <w:instrText xml:space="preserve"> PAGEREF _Toc21293 \h </w:instrText>
      </w:r>
      <w:r>
        <w:fldChar w:fldCharType="separate"/>
      </w:r>
      <w:r>
        <w:t>25</w:t>
      </w:r>
      <w:r>
        <w:fldChar w:fldCharType="end"/>
      </w:r>
      <w:r>
        <w:fldChar w:fldCharType="end"/>
      </w:r>
    </w:p>
    <w:p w14:paraId="13BE1147">
      <w:pPr>
        <w:pStyle w:val="24"/>
        <w:tabs>
          <w:tab w:val="right" w:leader="dot" w:pos="8306"/>
        </w:tabs>
        <w:rPr>
          <w:rFonts w:hint="eastAsia"/>
        </w:rPr>
      </w:pPr>
      <w:r>
        <w:fldChar w:fldCharType="begin"/>
      </w:r>
      <w:r>
        <w:instrText xml:space="preserve"> HYPERLINK \l "_Toc15755" </w:instrText>
      </w:r>
      <w:r>
        <w:fldChar w:fldCharType="separate"/>
      </w:r>
      <w:r>
        <w:t xml:space="preserve">2. </w:t>
      </w:r>
      <w:r>
        <w:rPr>
          <w:rFonts w:hint="eastAsia"/>
        </w:rPr>
        <w:t>基本定义</w:t>
      </w:r>
      <w:r>
        <w:tab/>
      </w:r>
      <w:r>
        <w:fldChar w:fldCharType="begin"/>
      </w:r>
      <w:r>
        <w:instrText xml:space="preserve"> PAGEREF _Toc15755 \h </w:instrText>
      </w:r>
      <w:r>
        <w:fldChar w:fldCharType="separate"/>
      </w:r>
      <w:r>
        <w:t>25</w:t>
      </w:r>
      <w:r>
        <w:fldChar w:fldCharType="end"/>
      </w:r>
      <w:r>
        <w:fldChar w:fldCharType="end"/>
      </w:r>
    </w:p>
    <w:p w14:paraId="73C1C672">
      <w:pPr>
        <w:pStyle w:val="24"/>
        <w:tabs>
          <w:tab w:val="right" w:leader="dot" w:pos="8306"/>
        </w:tabs>
        <w:rPr>
          <w:rFonts w:hint="eastAsia"/>
        </w:rPr>
      </w:pPr>
      <w:r>
        <w:fldChar w:fldCharType="begin"/>
      </w:r>
      <w:r>
        <w:instrText xml:space="preserve"> HYPERLINK \l "_Toc11616" </w:instrText>
      </w:r>
      <w:r>
        <w:fldChar w:fldCharType="separate"/>
      </w:r>
      <w:r>
        <w:t xml:space="preserve">3. </w:t>
      </w:r>
      <w:r>
        <w:rPr>
          <w:rFonts w:hint="eastAsia"/>
        </w:rPr>
        <w:t>资金来源</w:t>
      </w:r>
      <w:r>
        <w:tab/>
      </w:r>
      <w:r>
        <w:fldChar w:fldCharType="begin"/>
      </w:r>
      <w:r>
        <w:instrText xml:space="preserve"> PAGEREF _Toc11616 \h </w:instrText>
      </w:r>
      <w:r>
        <w:fldChar w:fldCharType="separate"/>
      </w:r>
      <w:r>
        <w:t>25</w:t>
      </w:r>
      <w:r>
        <w:fldChar w:fldCharType="end"/>
      </w:r>
      <w:r>
        <w:fldChar w:fldCharType="end"/>
      </w:r>
    </w:p>
    <w:p w14:paraId="73E69B55">
      <w:pPr>
        <w:pStyle w:val="24"/>
        <w:tabs>
          <w:tab w:val="right" w:leader="dot" w:pos="8306"/>
        </w:tabs>
        <w:rPr>
          <w:rFonts w:hint="eastAsia"/>
        </w:rPr>
      </w:pPr>
      <w:r>
        <w:fldChar w:fldCharType="begin"/>
      </w:r>
      <w:r>
        <w:instrText xml:space="preserve"> HYPERLINK \l "_Toc19075" </w:instrText>
      </w:r>
      <w:r>
        <w:fldChar w:fldCharType="separate"/>
      </w:r>
      <w:r>
        <w:t xml:space="preserve">4. </w:t>
      </w:r>
      <w:r>
        <w:rPr>
          <w:rFonts w:hint="eastAsia"/>
        </w:rPr>
        <w:t>投标供应商资格要求</w:t>
      </w:r>
      <w:r>
        <w:tab/>
      </w:r>
      <w:r>
        <w:fldChar w:fldCharType="begin"/>
      </w:r>
      <w:r>
        <w:instrText xml:space="preserve"> PAGEREF _Toc19075 \h </w:instrText>
      </w:r>
      <w:r>
        <w:fldChar w:fldCharType="separate"/>
      </w:r>
      <w:r>
        <w:t>25</w:t>
      </w:r>
      <w:r>
        <w:fldChar w:fldCharType="end"/>
      </w:r>
      <w:r>
        <w:fldChar w:fldCharType="end"/>
      </w:r>
    </w:p>
    <w:p w14:paraId="2E9D49B4">
      <w:pPr>
        <w:pStyle w:val="24"/>
        <w:tabs>
          <w:tab w:val="right" w:leader="dot" w:pos="8306"/>
        </w:tabs>
        <w:rPr>
          <w:rFonts w:hint="eastAsia"/>
        </w:rPr>
      </w:pPr>
      <w:r>
        <w:fldChar w:fldCharType="begin"/>
      </w:r>
      <w:r>
        <w:instrText xml:space="preserve"> HYPERLINK \l "_Toc229" </w:instrText>
      </w:r>
      <w:r>
        <w:fldChar w:fldCharType="separate"/>
      </w:r>
      <w:r>
        <w:t xml:space="preserve">5. </w:t>
      </w:r>
      <w:r>
        <w:rPr>
          <w:rFonts w:hint="eastAsia"/>
        </w:rPr>
        <w:t>费用承担</w:t>
      </w:r>
      <w:r>
        <w:tab/>
      </w:r>
      <w:r>
        <w:fldChar w:fldCharType="begin"/>
      </w:r>
      <w:r>
        <w:instrText xml:space="preserve"> PAGEREF _Toc229 \h </w:instrText>
      </w:r>
      <w:r>
        <w:fldChar w:fldCharType="separate"/>
      </w:r>
      <w:r>
        <w:t>26</w:t>
      </w:r>
      <w:r>
        <w:fldChar w:fldCharType="end"/>
      </w:r>
      <w:r>
        <w:fldChar w:fldCharType="end"/>
      </w:r>
    </w:p>
    <w:p w14:paraId="1D0E7A0A">
      <w:pPr>
        <w:pStyle w:val="24"/>
        <w:tabs>
          <w:tab w:val="right" w:leader="dot" w:pos="8306"/>
        </w:tabs>
        <w:rPr>
          <w:rFonts w:hint="eastAsia"/>
        </w:rPr>
      </w:pPr>
      <w:r>
        <w:fldChar w:fldCharType="begin"/>
      </w:r>
      <w:r>
        <w:instrText xml:space="preserve"> HYPERLINK \l "_Toc31051" </w:instrText>
      </w:r>
      <w:r>
        <w:fldChar w:fldCharType="separate"/>
      </w:r>
      <w:r>
        <w:t xml:space="preserve">6. </w:t>
      </w:r>
      <w:r>
        <w:rPr>
          <w:rFonts w:hint="eastAsia"/>
        </w:rPr>
        <w:t>保密</w:t>
      </w:r>
      <w:r>
        <w:tab/>
      </w:r>
      <w:r>
        <w:fldChar w:fldCharType="begin"/>
      </w:r>
      <w:r>
        <w:instrText xml:space="preserve"> PAGEREF _Toc31051 \h </w:instrText>
      </w:r>
      <w:r>
        <w:fldChar w:fldCharType="separate"/>
      </w:r>
      <w:r>
        <w:t>26</w:t>
      </w:r>
      <w:r>
        <w:fldChar w:fldCharType="end"/>
      </w:r>
      <w:r>
        <w:fldChar w:fldCharType="end"/>
      </w:r>
    </w:p>
    <w:p w14:paraId="0F6C60F8">
      <w:pPr>
        <w:pStyle w:val="24"/>
        <w:tabs>
          <w:tab w:val="right" w:leader="dot" w:pos="8306"/>
        </w:tabs>
        <w:rPr>
          <w:rFonts w:hint="eastAsia"/>
        </w:rPr>
      </w:pPr>
      <w:r>
        <w:fldChar w:fldCharType="begin"/>
      </w:r>
      <w:r>
        <w:instrText xml:space="preserve"> HYPERLINK \l "_Toc11945" </w:instrText>
      </w:r>
      <w:r>
        <w:fldChar w:fldCharType="separate"/>
      </w:r>
      <w:r>
        <w:t xml:space="preserve">7. </w:t>
      </w:r>
      <w:r>
        <w:rPr>
          <w:rFonts w:hint="eastAsia"/>
        </w:rPr>
        <w:t>语言文字</w:t>
      </w:r>
      <w:r>
        <w:tab/>
      </w:r>
      <w:r>
        <w:fldChar w:fldCharType="begin"/>
      </w:r>
      <w:r>
        <w:instrText xml:space="preserve"> PAGEREF _Toc11945 \h </w:instrText>
      </w:r>
      <w:r>
        <w:fldChar w:fldCharType="separate"/>
      </w:r>
      <w:r>
        <w:t>26</w:t>
      </w:r>
      <w:r>
        <w:fldChar w:fldCharType="end"/>
      </w:r>
      <w:r>
        <w:fldChar w:fldCharType="end"/>
      </w:r>
    </w:p>
    <w:p w14:paraId="407575F9">
      <w:pPr>
        <w:pStyle w:val="24"/>
        <w:tabs>
          <w:tab w:val="right" w:leader="dot" w:pos="8306"/>
        </w:tabs>
        <w:rPr>
          <w:rFonts w:hint="eastAsia"/>
        </w:rPr>
      </w:pPr>
      <w:r>
        <w:fldChar w:fldCharType="begin"/>
      </w:r>
      <w:r>
        <w:instrText xml:space="preserve"> HYPERLINK \l "_Toc8015" </w:instrText>
      </w:r>
      <w:r>
        <w:fldChar w:fldCharType="separate"/>
      </w:r>
      <w:r>
        <w:t xml:space="preserve">8. </w:t>
      </w:r>
      <w:r>
        <w:rPr>
          <w:rFonts w:hint="eastAsia"/>
        </w:rPr>
        <w:t>计量单位</w:t>
      </w:r>
      <w:r>
        <w:tab/>
      </w:r>
      <w:r>
        <w:fldChar w:fldCharType="begin"/>
      </w:r>
      <w:r>
        <w:instrText xml:space="preserve"> PAGEREF _Toc8015 \h </w:instrText>
      </w:r>
      <w:r>
        <w:fldChar w:fldCharType="separate"/>
      </w:r>
      <w:r>
        <w:t>26</w:t>
      </w:r>
      <w:r>
        <w:fldChar w:fldCharType="end"/>
      </w:r>
      <w:r>
        <w:fldChar w:fldCharType="end"/>
      </w:r>
    </w:p>
    <w:p w14:paraId="45371E4F">
      <w:pPr>
        <w:pStyle w:val="24"/>
        <w:tabs>
          <w:tab w:val="right" w:leader="dot" w:pos="8306"/>
        </w:tabs>
        <w:rPr>
          <w:rFonts w:hint="eastAsia"/>
        </w:rPr>
      </w:pPr>
      <w:r>
        <w:fldChar w:fldCharType="begin"/>
      </w:r>
      <w:r>
        <w:instrText xml:space="preserve"> HYPERLINK \l "_Toc5582" </w:instrText>
      </w:r>
      <w:r>
        <w:fldChar w:fldCharType="separate"/>
      </w:r>
      <w:r>
        <w:t xml:space="preserve">9. </w:t>
      </w:r>
      <w:r>
        <w:rPr>
          <w:rFonts w:hint="eastAsia"/>
        </w:rPr>
        <w:t>现场考察和答疑会</w:t>
      </w:r>
      <w:r>
        <w:tab/>
      </w:r>
      <w:r>
        <w:fldChar w:fldCharType="begin"/>
      </w:r>
      <w:r>
        <w:instrText xml:space="preserve"> PAGEREF _Toc5582 \h </w:instrText>
      </w:r>
      <w:r>
        <w:fldChar w:fldCharType="separate"/>
      </w:r>
      <w:r>
        <w:t>26</w:t>
      </w:r>
      <w:r>
        <w:fldChar w:fldCharType="end"/>
      </w:r>
      <w:r>
        <w:fldChar w:fldCharType="end"/>
      </w:r>
    </w:p>
    <w:p w14:paraId="2888765C">
      <w:pPr>
        <w:pStyle w:val="24"/>
        <w:tabs>
          <w:tab w:val="right" w:leader="dot" w:pos="8306"/>
        </w:tabs>
        <w:rPr>
          <w:rFonts w:hint="eastAsia"/>
        </w:rPr>
      </w:pPr>
      <w:r>
        <w:fldChar w:fldCharType="begin"/>
      </w:r>
      <w:r>
        <w:instrText xml:space="preserve"> HYPERLINK \l "_Toc10471" </w:instrText>
      </w:r>
      <w:r>
        <w:fldChar w:fldCharType="separate"/>
      </w:r>
      <w:r>
        <w:t xml:space="preserve">10. </w:t>
      </w:r>
      <w:r>
        <w:rPr>
          <w:rFonts w:hint="eastAsia"/>
        </w:rPr>
        <w:t>中标后分包</w:t>
      </w:r>
      <w:r>
        <w:tab/>
      </w:r>
      <w:r>
        <w:fldChar w:fldCharType="begin"/>
      </w:r>
      <w:r>
        <w:instrText xml:space="preserve"> PAGEREF _Toc10471 \h </w:instrText>
      </w:r>
      <w:r>
        <w:fldChar w:fldCharType="separate"/>
      </w:r>
      <w:r>
        <w:t>27</w:t>
      </w:r>
      <w:r>
        <w:fldChar w:fldCharType="end"/>
      </w:r>
      <w:r>
        <w:fldChar w:fldCharType="end"/>
      </w:r>
    </w:p>
    <w:p w14:paraId="31859147">
      <w:pPr>
        <w:pStyle w:val="24"/>
        <w:tabs>
          <w:tab w:val="right" w:leader="dot" w:pos="8306"/>
        </w:tabs>
        <w:rPr>
          <w:rFonts w:hint="eastAsia"/>
        </w:rPr>
      </w:pPr>
      <w:r>
        <w:fldChar w:fldCharType="begin"/>
      </w:r>
      <w:r>
        <w:instrText xml:space="preserve"> HYPERLINK \l "_Toc23562" </w:instrText>
      </w:r>
      <w:r>
        <w:fldChar w:fldCharType="separate"/>
      </w:r>
      <w:r>
        <w:t xml:space="preserve">11. </w:t>
      </w:r>
      <w:r>
        <w:rPr>
          <w:rFonts w:hint="eastAsia"/>
        </w:rPr>
        <w:t>电子投标说明</w:t>
      </w:r>
      <w:r>
        <w:tab/>
      </w:r>
      <w:r>
        <w:fldChar w:fldCharType="begin"/>
      </w:r>
      <w:r>
        <w:instrText xml:space="preserve"> PAGEREF _Toc23562 \h </w:instrText>
      </w:r>
      <w:r>
        <w:fldChar w:fldCharType="separate"/>
      </w:r>
      <w:r>
        <w:t>27</w:t>
      </w:r>
      <w:r>
        <w:fldChar w:fldCharType="end"/>
      </w:r>
      <w:r>
        <w:fldChar w:fldCharType="end"/>
      </w:r>
    </w:p>
    <w:p w14:paraId="7A7F0541">
      <w:pPr>
        <w:pStyle w:val="17"/>
        <w:tabs>
          <w:tab w:val="right" w:leader="dot" w:pos="8306"/>
        </w:tabs>
        <w:rPr>
          <w:rFonts w:hint="eastAsia"/>
        </w:rPr>
      </w:pPr>
      <w:r>
        <w:fldChar w:fldCharType="begin"/>
      </w:r>
      <w:r>
        <w:instrText xml:space="preserve"> HYPERLINK \l "_Toc19657" </w:instrText>
      </w:r>
      <w:r>
        <w:fldChar w:fldCharType="separate"/>
      </w:r>
      <w:r>
        <w:rPr>
          <w:rFonts w:hint="eastAsia"/>
        </w:rPr>
        <w:t>（二） 招标文件</w:t>
      </w:r>
      <w:r>
        <w:tab/>
      </w:r>
      <w:r>
        <w:fldChar w:fldCharType="begin"/>
      </w:r>
      <w:r>
        <w:instrText xml:space="preserve"> PAGEREF _Toc19657 \h </w:instrText>
      </w:r>
      <w:r>
        <w:fldChar w:fldCharType="separate"/>
      </w:r>
      <w:r>
        <w:t>28</w:t>
      </w:r>
      <w:r>
        <w:fldChar w:fldCharType="end"/>
      </w:r>
      <w:r>
        <w:fldChar w:fldCharType="end"/>
      </w:r>
    </w:p>
    <w:p w14:paraId="268EF2A6">
      <w:pPr>
        <w:pStyle w:val="24"/>
        <w:tabs>
          <w:tab w:val="right" w:leader="dot" w:pos="8306"/>
        </w:tabs>
        <w:rPr>
          <w:rFonts w:hint="eastAsia"/>
        </w:rPr>
      </w:pPr>
      <w:r>
        <w:fldChar w:fldCharType="begin"/>
      </w:r>
      <w:r>
        <w:instrText xml:space="preserve"> HYPERLINK \l "_Toc11714" </w:instrText>
      </w:r>
      <w:r>
        <w:fldChar w:fldCharType="separate"/>
      </w:r>
      <w:r>
        <w:t xml:space="preserve">12. </w:t>
      </w:r>
      <w:r>
        <w:rPr>
          <w:rFonts w:hint="eastAsia"/>
        </w:rPr>
        <w:t>招标文件的组成</w:t>
      </w:r>
      <w:r>
        <w:tab/>
      </w:r>
      <w:r>
        <w:fldChar w:fldCharType="begin"/>
      </w:r>
      <w:r>
        <w:instrText xml:space="preserve"> PAGEREF _Toc11714 \h </w:instrText>
      </w:r>
      <w:r>
        <w:fldChar w:fldCharType="separate"/>
      </w:r>
      <w:r>
        <w:t>28</w:t>
      </w:r>
      <w:r>
        <w:fldChar w:fldCharType="end"/>
      </w:r>
      <w:r>
        <w:fldChar w:fldCharType="end"/>
      </w:r>
    </w:p>
    <w:p w14:paraId="7708B96D">
      <w:pPr>
        <w:pStyle w:val="24"/>
        <w:tabs>
          <w:tab w:val="right" w:leader="dot" w:pos="8306"/>
        </w:tabs>
        <w:rPr>
          <w:rFonts w:hint="eastAsia"/>
        </w:rPr>
      </w:pPr>
      <w:r>
        <w:fldChar w:fldCharType="begin"/>
      </w:r>
      <w:r>
        <w:instrText xml:space="preserve"> HYPERLINK \l "_Toc15397" </w:instrText>
      </w:r>
      <w:r>
        <w:fldChar w:fldCharType="separate"/>
      </w:r>
      <w:r>
        <w:t xml:space="preserve">13. </w:t>
      </w:r>
      <w:r>
        <w:rPr>
          <w:rFonts w:hint="eastAsia"/>
        </w:rPr>
        <w:t>招标文件的询问、澄清或者修改</w:t>
      </w:r>
      <w:r>
        <w:tab/>
      </w:r>
      <w:r>
        <w:fldChar w:fldCharType="begin"/>
      </w:r>
      <w:r>
        <w:instrText xml:space="preserve"> PAGEREF _Toc15397 \h </w:instrText>
      </w:r>
      <w:r>
        <w:fldChar w:fldCharType="separate"/>
      </w:r>
      <w:r>
        <w:t>28</w:t>
      </w:r>
      <w:r>
        <w:fldChar w:fldCharType="end"/>
      </w:r>
      <w:r>
        <w:fldChar w:fldCharType="end"/>
      </w:r>
    </w:p>
    <w:p w14:paraId="759E6A70">
      <w:pPr>
        <w:pStyle w:val="17"/>
        <w:tabs>
          <w:tab w:val="right" w:leader="dot" w:pos="8306"/>
        </w:tabs>
        <w:rPr>
          <w:rFonts w:hint="eastAsia"/>
        </w:rPr>
      </w:pPr>
      <w:r>
        <w:fldChar w:fldCharType="begin"/>
      </w:r>
      <w:r>
        <w:instrText xml:space="preserve"> HYPERLINK \l "_Toc23618" </w:instrText>
      </w:r>
      <w:r>
        <w:fldChar w:fldCharType="separate"/>
      </w:r>
      <w:r>
        <w:rPr>
          <w:rFonts w:hint="eastAsia"/>
        </w:rPr>
        <w:t>（三） 投标文件</w:t>
      </w:r>
      <w:r>
        <w:tab/>
      </w:r>
      <w:r>
        <w:fldChar w:fldCharType="begin"/>
      </w:r>
      <w:r>
        <w:instrText xml:space="preserve"> PAGEREF _Toc23618 \h </w:instrText>
      </w:r>
      <w:r>
        <w:fldChar w:fldCharType="separate"/>
      </w:r>
      <w:r>
        <w:t>29</w:t>
      </w:r>
      <w:r>
        <w:fldChar w:fldCharType="end"/>
      </w:r>
      <w:r>
        <w:fldChar w:fldCharType="end"/>
      </w:r>
    </w:p>
    <w:p w14:paraId="2B55436A">
      <w:pPr>
        <w:pStyle w:val="24"/>
        <w:tabs>
          <w:tab w:val="right" w:leader="dot" w:pos="8306"/>
        </w:tabs>
        <w:rPr>
          <w:rFonts w:hint="eastAsia"/>
        </w:rPr>
      </w:pPr>
      <w:r>
        <w:fldChar w:fldCharType="begin"/>
      </w:r>
      <w:r>
        <w:instrText xml:space="preserve"> HYPERLINK \l "_Toc15498" </w:instrText>
      </w:r>
      <w:r>
        <w:fldChar w:fldCharType="separate"/>
      </w:r>
      <w:r>
        <w:t xml:space="preserve">14. </w:t>
      </w:r>
      <w:r>
        <w:rPr>
          <w:rFonts w:hint="eastAsia"/>
        </w:rPr>
        <w:t>投标文件的组成</w:t>
      </w:r>
      <w:r>
        <w:tab/>
      </w:r>
      <w:r>
        <w:fldChar w:fldCharType="begin"/>
      </w:r>
      <w:r>
        <w:instrText xml:space="preserve"> PAGEREF _Toc15498 \h </w:instrText>
      </w:r>
      <w:r>
        <w:fldChar w:fldCharType="separate"/>
      </w:r>
      <w:r>
        <w:t>29</w:t>
      </w:r>
      <w:r>
        <w:fldChar w:fldCharType="end"/>
      </w:r>
      <w:r>
        <w:fldChar w:fldCharType="end"/>
      </w:r>
    </w:p>
    <w:p w14:paraId="36AC7A00">
      <w:pPr>
        <w:pStyle w:val="24"/>
        <w:tabs>
          <w:tab w:val="right" w:leader="dot" w:pos="8306"/>
        </w:tabs>
        <w:rPr>
          <w:rFonts w:hint="eastAsia"/>
        </w:rPr>
      </w:pPr>
      <w:r>
        <w:fldChar w:fldCharType="begin"/>
      </w:r>
      <w:r>
        <w:instrText xml:space="preserve"> HYPERLINK \l "_Toc12935" </w:instrText>
      </w:r>
      <w:r>
        <w:fldChar w:fldCharType="separate"/>
      </w:r>
      <w:r>
        <w:t xml:space="preserve">15. </w:t>
      </w:r>
      <w:r>
        <w:rPr>
          <w:rFonts w:hint="eastAsia"/>
        </w:rPr>
        <w:t>投标报价</w:t>
      </w:r>
      <w:r>
        <w:tab/>
      </w:r>
      <w:r>
        <w:fldChar w:fldCharType="begin"/>
      </w:r>
      <w:r>
        <w:instrText xml:space="preserve"> PAGEREF _Toc12935 \h </w:instrText>
      </w:r>
      <w:r>
        <w:fldChar w:fldCharType="separate"/>
      </w:r>
      <w:r>
        <w:t>30</w:t>
      </w:r>
      <w:r>
        <w:fldChar w:fldCharType="end"/>
      </w:r>
      <w:r>
        <w:fldChar w:fldCharType="end"/>
      </w:r>
    </w:p>
    <w:p w14:paraId="3590FC95">
      <w:pPr>
        <w:pStyle w:val="24"/>
        <w:tabs>
          <w:tab w:val="right" w:leader="dot" w:pos="8306"/>
        </w:tabs>
        <w:rPr>
          <w:rFonts w:hint="eastAsia"/>
        </w:rPr>
      </w:pPr>
      <w:r>
        <w:fldChar w:fldCharType="begin"/>
      </w:r>
      <w:r>
        <w:instrText xml:space="preserve"> HYPERLINK \l "_Toc16897" </w:instrText>
      </w:r>
      <w:r>
        <w:fldChar w:fldCharType="separate"/>
      </w:r>
      <w:r>
        <w:t xml:space="preserve">16. </w:t>
      </w:r>
      <w:r>
        <w:rPr>
          <w:rFonts w:hint="eastAsia"/>
        </w:rPr>
        <w:t>投标有效期</w:t>
      </w:r>
      <w:r>
        <w:tab/>
      </w:r>
      <w:r>
        <w:fldChar w:fldCharType="begin"/>
      </w:r>
      <w:r>
        <w:instrText xml:space="preserve"> PAGEREF _Toc16897 \h </w:instrText>
      </w:r>
      <w:r>
        <w:fldChar w:fldCharType="separate"/>
      </w:r>
      <w:r>
        <w:t>30</w:t>
      </w:r>
      <w:r>
        <w:fldChar w:fldCharType="end"/>
      </w:r>
      <w:r>
        <w:fldChar w:fldCharType="end"/>
      </w:r>
    </w:p>
    <w:p w14:paraId="70BB13FA">
      <w:pPr>
        <w:pStyle w:val="24"/>
        <w:tabs>
          <w:tab w:val="right" w:leader="dot" w:pos="8306"/>
        </w:tabs>
        <w:rPr>
          <w:rFonts w:hint="eastAsia"/>
        </w:rPr>
      </w:pPr>
      <w:r>
        <w:fldChar w:fldCharType="begin"/>
      </w:r>
      <w:r>
        <w:instrText xml:space="preserve"> HYPERLINK \l "_Toc23918" </w:instrText>
      </w:r>
      <w:r>
        <w:fldChar w:fldCharType="separate"/>
      </w:r>
      <w:r>
        <w:t xml:space="preserve">17. </w:t>
      </w:r>
      <w:r>
        <w:rPr>
          <w:rFonts w:hint="eastAsia"/>
        </w:rPr>
        <w:t>投标文件的编制</w:t>
      </w:r>
      <w:r>
        <w:tab/>
      </w:r>
      <w:r>
        <w:fldChar w:fldCharType="begin"/>
      </w:r>
      <w:r>
        <w:instrText xml:space="preserve"> PAGEREF _Toc23918 \h </w:instrText>
      </w:r>
      <w:r>
        <w:fldChar w:fldCharType="separate"/>
      </w:r>
      <w:r>
        <w:t>31</w:t>
      </w:r>
      <w:r>
        <w:fldChar w:fldCharType="end"/>
      </w:r>
      <w:r>
        <w:fldChar w:fldCharType="end"/>
      </w:r>
    </w:p>
    <w:p w14:paraId="37379A39">
      <w:pPr>
        <w:pStyle w:val="17"/>
        <w:tabs>
          <w:tab w:val="right" w:leader="dot" w:pos="8306"/>
        </w:tabs>
        <w:rPr>
          <w:rFonts w:hint="eastAsia"/>
        </w:rPr>
      </w:pPr>
      <w:r>
        <w:fldChar w:fldCharType="begin"/>
      </w:r>
      <w:r>
        <w:instrText xml:space="preserve"> HYPERLINK \l "_Toc4873" </w:instrText>
      </w:r>
      <w:r>
        <w:fldChar w:fldCharType="separate"/>
      </w:r>
      <w:r>
        <w:rPr>
          <w:rFonts w:hint="eastAsia"/>
        </w:rPr>
        <w:t xml:space="preserve">（四） </w:t>
      </w:r>
      <w:r>
        <w:rPr>
          <w:rFonts w:hint="eastAsia" w:hAnsiTheme="minorHAnsi"/>
        </w:rPr>
        <w:t>投标</w:t>
      </w:r>
      <w:r>
        <w:tab/>
      </w:r>
      <w:r>
        <w:fldChar w:fldCharType="begin"/>
      </w:r>
      <w:r>
        <w:instrText xml:space="preserve"> PAGEREF _Toc4873 \h </w:instrText>
      </w:r>
      <w:r>
        <w:fldChar w:fldCharType="separate"/>
      </w:r>
      <w:r>
        <w:t>31</w:t>
      </w:r>
      <w:r>
        <w:fldChar w:fldCharType="end"/>
      </w:r>
      <w:r>
        <w:fldChar w:fldCharType="end"/>
      </w:r>
    </w:p>
    <w:p w14:paraId="7A8D246E">
      <w:pPr>
        <w:pStyle w:val="24"/>
        <w:tabs>
          <w:tab w:val="right" w:leader="dot" w:pos="8306"/>
        </w:tabs>
        <w:rPr>
          <w:rFonts w:hint="eastAsia"/>
        </w:rPr>
      </w:pPr>
      <w:r>
        <w:fldChar w:fldCharType="begin"/>
      </w:r>
      <w:r>
        <w:instrText xml:space="preserve"> HYPERLINK \l "_Toc27206" </w:instrText>
      </w:r>
      <w:r>
        <w:fldChar w:fldCharType="separate"/>
      </w:r>
      <w:r>
        <w:t xml:space="preserve">18. </w:t>
      </w:r>
      <w:r>
        <w:rPr>
          <w:rFonts w:hint="eastAsia"/>
        </w:rPr>
        <w:t>投标文件的加密</w:t>
      </w:r>
      <w:r>
        <w:tab/>
      </w:r>
      <w:r>
        <w:fldChar w:fldCharType="begin"/>
      </w:r>
      <w:r>
        <w:instrText xml:space="preserve"> PAGEREF _Toc27206 \h </w:instrText>
      </w:r>
      <w:r>
        <w:fldChar w:fldCharType="separate"/>
      </w:r>
      <w:r>
        <w:t>31</w:t>
      </w:r>
      <w:r>
        <w:fldChar w:fldCharType="end"/>
      </w:r>
      <w:r>
        <w:fldChar w:fldCharType="end"/>
      </w:r>
    </w:p>
    <w:p w14:paraId="191D3BBD">
      <w:pPr>
        <w:pStyle w:val="24"/>
        <w:tabs>
          <w:tab w:val="right" w:leader="dot" w:pos="8306"/>
        </w:tabs>
        <w:rPr>
          <w:rFonts w:hint="eastAsia"/>
        </w:rPr>
      </w:pPr>
      <w:r>
        <w:fldChar w:fldCharType="begin"/>
      </w:r>
      <w:r>
        <w:instrText xml:space="preserve"> HYPERLINK \l "_Toc3408" </w:instrText>
      </w:r>
      <w:r>
        <w:fldChar w:fldCharType="separate"/>
      </w:r>
      <w:r>
        <w:t xml:space="preserve">19. </w:t>
      </w:r>
      <w:r>
        <w:rPr>
          <w:rFonts w:hint="eastAsia"/>
        </w:rPr>
        <w:t>投标文件的递交（上传）</w:t>
      </w:r>
      <w:r>
        <w:tab/>
      </w:r>
      <w:r>
        <w:fldChar w:fldCharType="begin"/>
      </w:r>
      <w:r>
        <w:instrText xml:space="preserve"> PAGEREF _Toc3408 \h </w:instrText>
      </w:r>
      <w:r>
        <w:fldChar w:fldCharType="separate"/>
      </w:r>
      <w:r>
        <w:t>31</w:t>
      </w:r>
      <w:r>
        <w:fldChar w:fldCharType="end"/>
      </w:r>
      <w:r>
        <w:fldChar w:fldCharType="end"/>
      </w:r>
    </w:p>
    <w:p w14:paraId="3F9011F2">
      <w:pPr>
        <w:pStyle w:val="24"/>
        <w:tabs>
          <w:tab w:val="right" w:leader="dot" w:pos="8306"/>
        </w:tabs>
        <w:rPr>
          <w:rFonts w:hint="eastAsia"/>
        </w:rPr>
      </w:pPr>
      <w:r>
        <w:fldChar w:fldCharType="begin"/>
      </w:r>
      <w:r>
        <w:instrText xml:space="preserve"> HYPERLINK \l "_Toc14110" </w:instrText>
      </w:r>
      <w:r>
        <w:fldChar w:fldCharType="separate"/>
      </w:r>
      <w:r>
        <w:t xml:space="preserve">20. </w:t>
      </w:r>
      <w:r>
        <w:rPr>
          <w:rFonts w:hint="eastAsia"/>
        </w:rPr>
        <w:t>拒收</w:t>
      </w:r>
      <w:r>
        <w:tab/>
      </w:r>
      <w:r>
        <w:fldChar w:fldCharType="begin"/>
      </w:r>
      <w:r>
        <w:instrText xml:space="preserve"> PAGEREF _Toc14110 \h </w:instrText>
      </w:r>
      <w:r>
        <w:fldChar w:fldCharType="separate"/>
      </w:r>
      <w:r>
        <w:t>32</w:t>
      </w:r>
      <w:r>
        <w:fldChar w:fldCharType="end"/>
      </w:r>
      <w:r>
        <w:fldChar w:fldCharType="end"/>
      </w:r>
    </w:p>
    <w:p w14:paraId="1A448235">
      <w:pPr>
        <w:pStyle w:val="24"/>
        <w:tabs>
          <w:tab w:val="right" w:leader="dot" w:pos="8306"/>
        </w:tabs>
        <w:rPr>
          <w:rFonts w:hint="eastAsia"/>
        </w:rPr>
      </w:pPr>
      <w:r>
        <w:fldChar w:fldCharType="begin"/>
      </w:r>
      <w:r>
        <w:instrText xml:space="preserve"> HYPERLINK \l "_Toc6497" </w:instrText>
      </w:r>
      <w:r>
        <w:fldChar w:fldCharType="separate"/>
      </w:r>
      <w:r>
        <w:t xml:space="preserve">21. </w:t>
      </w:r>
      <w:r>
        <w:rPr>
          <w:rFonts w:hint="eastAsia"/>
        </w:rPr>
        <w:t>投标文件的修改与撤回</w:t>
      </w:r>
      <w:r>
        <w:tab/>
      </w:r>
      <w:r>
        <w:fldChar w:fldCharType="begin"/>
      </w:r>
      <w:r>
        <w:instrText xml:space="preserve"> PAGEREF _Toc6497 \h </w:instrText>
      </w:r>
      <w:r>
        <w:fldChar w:fldCharType="separate"/>
      </w:r>
      <w:r>
        <w:t>32</w:t>
      </w:r>
      <w:r>
        <w:fldChar w:fldCharType="end"/>
      </w:r>
      <w:r>
        <w:fldChar w:fldCharType="end"/>
      </w:r>
    </w:p>
    <w:p w14:paraId="3EEE9328">
      <w:pPr>
        <w:pStyle w:val="24"/>
        <w:tabs>
          <w:tab w:val="right" w:leader="dot" w:pos="8306"/>
        </w:tabs>
        <w:rPr>
          <w:rFonts w:hint="eastAsia"/>
        </w:rPr>
      </w:pPr>
      <w:r>
        <w:fldChar w:fldCharType="begin"/>
      </w:r>
      <w:r>
        <w:instrText xml:space="preserve"> HYPERLINK \l "_Toc19007" </w:instrText>
      </w:r>
      <w:r>
        <w:fldChar w:fldCharType="separate"/>
      </w:r>
      <w:r>
        <w:t xml:space="preserve">22. </w:t>
      </w:r>
      <w:r>
        <w:rPr>
          <w:rFonts w:hint="eastAsia"/>
        </w:rPr>
        <w:t>实物样品</w:t>
      </w:r>
      <w:r>
        <w:tab/>
      </w:r>
      <w:r>
        <w:fldChar w:fldCharType="begin"/>
      </w:r>
      <w:r>
        <w:instrText xml:space="preserve"> PAGEREF _Toc19007 \h </w:instrText>
      </w:r>
      <w:r>
        <w:fldChar w:fldCharType="separate"/>
      </w:r>
      <w:r>
        <w:t>32</w:t>
      </w:r>
      <w:r>
        <w:fldChar w:fldCharType="end"/>
      </w:r>
      <w:r>
        <w:fldChar w:fldCharType="end"/>
      </w:r>
    </w:p>
    <w:p w14:paraId="4B602E22">
      <w:pPr>
        <w:pStyle w:val="24"/>
        <w:tabs>
          <w:tab w:val="right" w:leader="dot" w:pos="8306"/>
        </w:tabs>
        <w:rPr>
          <w:rFonts w:hint="eastAsia"/>
        </w:rPr>
      </w:pPr>
      <w:r>
        <w:fldChar w:fldCharType="begin"/>
      </w:r>
      <w:r>
        <w:instrText xml:space="preserve"> HYPERLINK \l "_Toc3235" </w:instrText>
      </w:r>
      <w:r>
        <w:fldChar w:fldCharType="separate"/>
      </w:r>
      <w:r>
        <w:t xml:space="preserve">23. </w:t>
      </w:r>
      <w:r>
        <w:rPr>
          <w:rFonts w:hint="eastAsia"/>
        </w:rPr>
        <w:t>演示</w:t>
      </w:r>
      <w:r>
        <w:tab/>
      </w:r>
      <w:r>
        <w:fldChar w:fldCharType="begin"/>
      </w:r>
      <w:r>
        <w:instrText xml:space="preserve"> PAGEREF _Toc3235 \h </w:instrText>
      </w:r>
      <w:r>
        <w:fldChar w:fldCharType="separate"/>
      </w:r>
      <w:r>
        <w:t>32</w:t>
      </w:r>
      <w:r>
        <w:fldChar w:fldCharType="end"/>
      </w:r>
      <w:r>
        <w:fldChar w:fldCharType="end"/>
      </w:r>
    </w:p>
    <w:p w14:paraId="7638FC4B">
      <w:pPr>
        <w:pStyle w:val="17"/>
        <w:tabs>
          <w:tab w:val="right" w:leader="dot" w:pos="8306"/>
        </w:tabs>
        <w:rPr>
          <w:rFonts w:hint="eastAsia"/>
        </w:rPr>
      </w:pPr>
      <w:r>
        <w:fldChar w:fldCharType="begin"/>
      </w:r>
      <w:r>
        <w:instrText xml:space="preserve"> HYPERLINK \l "_Toc29358" </w:instrText>
      </w:r>
      <w:r>
        <w:fldChar w:fldCharType="separate"/>
      </w:r>
      <w:r>
        <w:rPr>
          <w:rFonts w:hint="eastAsia" w:hAnsiTheme="minorHAnsi"/>
        </w:rPr>
        <w:t>（五） 开标</w:t>
      </w:r>
      <w:r>
        <w:tab/>
      </w:r>
      <w:r>
        <w:fldChar w:fldCharType="begin"/>
      </w:r>
      <w:r>
        <w:instrText xml:space="preserve"> PAGEREF _Toc29358 \h </w:instrText>
      </w:r>
      <w:r>
        <w:fldChar w:fldCharType="separate"/>
      </w:r>
      <w:r>
        <w:t>33</w:t>
      </w:r>
      <w:r>
        <w:fldChar w:fldCharType="end"/>
      </w:r>
      <w:r>
        <w:fldChar w:fldCharType="end"/>
      </w:r>
    </w:p>
    <w:p w14:paraId="70BB5F82">
      <w:pPr>
        <w:pStyle w:val="24"/>
        <w:tabs>
          <w:tab w:val="right" w:leader="dot" w:pos="8306"/>
        </w:tabs>
        <w:rPr>
          <w:rFonts w:hint="eastAsia"/>
        </w:rPr>
      </w:pPr>
      <w:r>
        <w:fldChar w:fldCharType="begin"/>
      </w:r>
      <w:r>
        <w:instrText xml:space="preserve"> HYPERLINK \l "_Toc29781" </w:instrText>
      </w:r>
      <w:r>
        <w:fldChar w:fldCharType="separate"/>
      </w:r>
      <w:r>
        <w:t xml:space="preserve">24. </w:t>
      </w:r>
      <w:r>
        <w:rPr>
          <w:rFonts w:hint="eastAsia"/>
        </w:rPr>
        <w:t>开标会议准备</w:t>
      </w:r>
      <w:r>
        <w:tab/>
      </w:r>
      <w:r>
        <w:fldChar w:fldCharType="begin"/>
      </w:r>
      <w:r>
        <w:instrText xml:space="preserve"> PAGEREF _Toc29781 \h </w:instrText>
      </w:r>
      <w:r>
        <w:fldChar w:fldCharType="separate"/>
      </w:r>
      <w:r>
        <w:t>33</w:t>
      </w:r>
      <w:r>
        <w:fldChar w:fldCharType="end"/>
      </w:r>
      <w:r>
        <w:fldChar w:fldCharType="end"/>
      </w:r>
    </w:p>
    <w:p w14:paraId="74AF75CA">
      <w:pPr>
        <w:pStyle w:val="24"/>
        <w:tabs>
          <w:tab w:val="right" w:leader="dot" w:pos="8306"/>
        </w:tabs>
        <w:rPr>
          <w:rFonts w:hint="eastAsia"/>
        </w:rPr>
      </w:pPr>
      <w:r>
        <w:fldChar w:fldCharType="begin"/>
      </w:r>
      <w:r>
        <w:instrText xml:space="preserve"> HYPERLINK \l "_Toc25018" </w:instrText>
      </w:r>
      <w:r>
        <w:fldChar w:fldCharType="separate"/>
      </w:r>
      <w:r>
        <w:t xml:space="preserve">25. </w:t>
      </w:r>
      <w:r>
        <w:rPr>
          <w:rFonts w:hint="eastAsia"/>
        </w:rPr>
        <w:t>开标时间和地点</w:t>
      </w:r>
      <w:r>
        <w:tab/>
      </w:r>
      <w:r>
        <w:fldChar w:fldCharType="begin"/>
      </w:r>
      <w:r>
        <w:instrText xml:space="preserve"> PAGEREF _Toc25018 \h </w:instrText>
      </w:r>
      <w:r>
        <w:fldChar w:fldCharType="separate"/>
      </w:r>
      <w:r>
        <w:t>33</w:t>
      </w:r>
      <w:r>
        <w:fldChar w:fldCharType="end"/>
      </w:r>
      <w:r>
        <w:fldChar w:fldCharType="end"/>
      </w:r>
    </w:p>
    <w:p w14:paraId="60CED386">
      <w:pPr>
        <w:pStyle w:val="24"/>
        <w:tabs>
          <w:tab w:val="right" w:leader="dot" w:pos="8306"/>
        </w:tabs>
        <w:rPr>
          <w:rFonts w:hint="eastAsia"/>
        </w:rPr>
      </w:pPr>
      <w:r>
        <w:fldChar w:fldCharType="begin"/>
      </w:r>
      <w:r>
        <w:instrText xml:space="preserve"> HYPERLINK \l "_Toc22894" </w:instrText>
      </w:r>
      <w:r>
        <w:fldChar w:fldCharType="separate"/>
      </w:r>
      <w:r>
        <w:t xml:space="preserve">26. </w:t>
      </w:r>
      <w:r>
        <w:rPr>
          <w:rFonts w:hint="eastAsia"/>
        </w:rPr>
        <w:t>开标程序</w:t>
      </w:r>
      <w:r>
        <w:tab/>
      </w:r>
      <w:r>
        <w:fldChar w:fldCharType="begin"/>
      </w:r>
      <w:r>
        <w:instrText xml:space="preserve"> PAGEREF _Toc22894 \h </w:instrText>
      </w:r>
      <w:r>
        <w:fldChar w:fldCharType="separate"/>
      </w:r>
      <w:r>
        <w:t>33</w:t>
      </w:r>
      <w:r>
        <w:fldChar w:fldCharType="end"/>
      </w:r>
      <w:r>
        <w:fldChar w:fldCharType="end"/>
      </w:r>
    </w:p>
    <w:p w14:paraId="2FEB2B6A">
      <w:pPr>
        <w:pStyle w:val="24"/>
        <w:tabs>
          <w:tab w:val="right" w:leader="dot" w:pos="8306"/>
        </w:tabs>
        <w:rPr>
          <w:rFonts w:hint="eastAsia"/>
        </w:rPr>
      </w:pPr>
      <w:r>
        <w:fldChar w:fldCharType="begin"/>
      </w:r>
      <w:r>
        <w:instrText xml:space="preserve"> HYPERLINK \l "_Toc11732" </w:instrText>
      </w:r>
      <w:r>
        <w:fldChar w:fldCharType="separate"/>
      </w:r>
      <w:r>
        <w:t xml:space="preserve">27. </w:t>
      </w:r>
      <w:r>
        <w:rPr>
          <w:rFonts w:hint="eastAsia"/>
        </w:rPr>
        <w:t>开标疑义及回避情形</w:t>
      </w:r>
      <w:r>
        <w:tab/>
      </w:r>
      <w:r>
        <w:fldChar w:fldCharType="begin"/>
      </w:r>
      <w:r>
        <w:instrText xml:space="preserve"> PAGEREF _Toc11732 \h </w:instrText>
      </w:r>
      <w:r>
        <w:fldChar w:fldCharType="separate"/>
      </w:r>
      <w:r>
        <w:t>34</w:t>
      </w:r>
      <w:r>
        <w:fldChar w:fldCharType="end"/>
      </w:r>
      <w:r>
        <w:fldChar w:fldCharType="end"/>
      </w:r>
    </w:p>
    <w:p w14:paraId="145FF739">
      <w:pPr>
        <w:pStyle w:val="17"/>
        <w:tabs>
          <w:tab w:val="right" w:leader="dot" w:pos="8306"/>
        </w:tabs>
        <w:rPr>
          <w:rFonts w:hint="eastAsia"/>
        </w:rPr>
      </w:pPr>
      <w:r>
        <w:fldChar w:fldCharType="begin"/>
      </w:r>
      <w:r>
        <w:instrText xml:space="preserve"> HYPERLINK \l "_Toc19601" </w:instrText>
      </w:r>
      <w:r>
        <w:fldChar w:fldCharType="separate"/>
      </w:r>
      <w:r>
        <w:rPr>
          <w:rFonts w:hint="eastAsia" w:hAnsiTheme="minorHAnsi"/>
        </w:rPr>
        <w:t>（六） 资格审查</w:t>
      </w:r>
      <w:r>
        <w:tab/>
      </w:r>
      <w:r>
        <w:fldChar w:fldCharType="begin"/>
      </w:r>
      <w:r>
        <w:instrText xml:space="preserve"> PAGEREF _Toc19601 \h </w:instrText>
      </w:r>
      <w:r>
        <w:fldChar w:fldCharType="separate"/>
      </w:r>
      <w:r>
        <w:t>34</w:t>
      </w:r>
      <w:r>
        <w:fldChar w:fldCharType="end"/>
      </w:r>
      <w:r>
        <w:fldChar w:fldCharType="end"/>
      </w:r>
    </w:p>
    <w:p w14:paraId="7586F774">
      <w:pPr>
        <w:pStyle w:val="24"/>
        <w:tabs>
          <w:tab w:val="right" w:leader="dot" w:pos="8306"/>
        </w:tabs>
        <w:rPr>
          <w:rFonts w:hint="eastAsia"/>
        </w:rPr>
      </w:pPr>
      <w:r>
        <w:fldChar w:fldCharType="begin"/>
      </w:r>
      <w:r>
        <w:instrText xml:space="preserve"> HYPERLINK \l "_Toc28993" </w:instrText>
      </w:r>
      <w:r>
        <w:fldChar w:fldCharType="separate"/>
      </w:r>
      <w:r>
        <w:t xml:space="preserve">28. </w:t>
      </w:r>
      <w:r>
        <w:rPr>
          <w:rFonts w:hint="eastAsia"/>
        </w:rPr>
        <w:t>资格审查及审查主体</w:t>
      </w:r>
      <w:r>
        <w:tab/>
      </w:r>
      <w:r>
        <w:fldChar w:fldCharType="begin"/>
      </w:r>
      <w:r>
        <w:instrText xml:space="preserve"> PAGEREF _Toc28993 \h </w:instrText>
      </w:r>
      <w:r>
        <w:fldChar w:fldCharType="separate"/>
      </w:r>
      <w:r>
        <w:t>34</w:t>
      </w:r>
      <w:r>
        <w:fldChar w:fldCharType="end"/>
      </w:r>
      <w:r>
        <w:fldChar w:fldCharType="end"/>
      </w:r>
    </w:p>
    <w:p w14:paraId="5D6C3FD9">
      <w:pPr>
        <w:pStyle w:val="17"/>
        <w:tabs>
          <w:tab w:val="right" w:leader="dot" w:pos="8306"/>
        </w:tabs>
        <w:rPr>
          <w:rFonts w:hint="eastAsia"/>
        </w:rPr>
      </w:pPr>
      <w:r>
        <w:fldChar w:fldCharType="begin"/>
      </w:r>
      <w:r>
        <w:instrText xml:space="preserve"> HYPERLINK \l "_Toc17002" </w:instrText>
      </w:r>
      <w:r>
        <w:fldChar w:fldCharType="separate"/>
      </w:r>
      <w:r>
        <w:rPr>
          <w:rFonts w:hint="eastAsia" w:hAnsiTheme="minorHAnsi"/>
        </w:rPr>
        <w:t>（七） 评标</w:t>
      </w:r>
      <w:r>
        <w:tab/>
      </w:r>
      <w:r>
        <w:fldChar w:fldCharType="begin"/>
      </w:r>
      <w:r>
        <w:instrText xml:space="preserve"> PAGEREF _Toc17002 \h </w:instrText>
      </w:r>
      <w:r>
        <w:fldChar w:fldCharType="separate"/>
      </w:r>
      <w:r>
        <w:t>34</w:t>
      </w:r>
      <w:r>
        <w:fldChar w:fldCharType="end"/>
      </w:r>
      <w:r>
        <w:fldChar w:fldCharType="end"/>
      </w:r>
    </w:p>
    <w:p w14:paraId="34B31E15">
      <w:pPr>
        <w:pStyle w:val="24"/>
        <w:tabs>
          <w:tab w:val="right" w:leader="dot" w:pos="8306"/>
        </w:tabs>
        <w:rPr>
          <w:rFonts w:hint="eastAsia"/>
        </w:rPr>
      </w:pPr>
      <w:r>
        <w:fldChar w:fldCharType="begin"/>
      </w:r>
      <w:r>
        <w:instrText xml:space="preserve"> HYPERLINK \l "_Toc2933" </w:instrText>
      </w:r>
      <w:r>
        <w:fldChar w:fldCharType="separate"/>
      </w:r>
      <w:r>
        <w:t xml:space="preserve">29. </w:t>
      </w:r>
      <w:r>
        <w:rPr>
          <w:rFonts w:hint="eastAsia"/>
        </w:rPr>
        <w:t>评标委员会</w:t>
      </w:r>
      <w:r>
        <w:tab/>
      </w:r>
      <w:r>
        <w:fldChar w:fldCharType="begin"/>
      </w:r>
      <w:r>
        <w:instrText xml:space="preserve"> PAGEREF _Toc2933 \h </w:instrText>
      </w:r>
      <w:r>
        <w:fldChar w:fldCharType="separate"/>
      </w:r>
      <w:r>
        <w:t>34</w:t>
      </w:r>
      <w:r>
        <w:fldChar w:fldCharType="end"/>
      </w:r>
      <w:r>
        <w:fldChar w:fldCharType="end"/>
      </w:r>
    </w:p>
    <w:p w14:paraId="18756FFB">
      <w:pPr>
        <w:pStyle w:val="24"/>
        <w:tabs>
          <w:tab w:val="right" w:leader="dot" w:pos="8306"/>
        </w:tabs>
        <w:rPr>
          <w:rFonts w:hint="eastAsia"/>
        </w:rPr>
      </w:pPr>
      <w:r>
        <w:fldChar w:fldCharType="begin"/>
      </w:r>
      <w:r>
        <w:instrText xml:space="preserve"> HYPERLINK \l "_Toc19506" </w:instrText>
      </w:r>
      <w:r>
        <w:fldChar w:fldCharType="separate"/>
      </w:r>
      <w:r>
        <w:t xml:space="preserve">30. </w:t>
      </w:r>
      <w:r>
        <w:rPr>
          <w:rFonts w:hint="eastAsia"/>
        </w:rPr>
        <w:t>评标</w:t>
      </w:r>
      <w:r>
        <w:tab/>
      </w:r>
      <w:r>
        <w:fldChar w:fldCharType="begin"/>
      </w:r>
      <w:r>
        <w:instrText xml:space="preserve"> PAGEREF _Toc19506 \h </w:instrText>
      </w:r>
      <w:r>
        <w:fldChar w:fldCharType="separate"/>
      </w:r>
      <w:r>
        <w:t>35</w:t>
      </w:r>
      <w:r>
        <w:fldChar w:fldCharType="end"/>
      </w:r>
      <w:r>
        <w:fldChar w:fldCharType="end"/>
      </w:r>
    </w:p>
    <w:p w14:paraId="14D6590C">
      <w:pPr>
        <w:pStyle w:val="17"/>
        <w:tabs>
          <w:tab w:val="right" w:leader="dot" w:pos="8306"/>
        </w:tabs>
        <w:rPr>
          <w:rFonts w:hint="eastAsia"/>
        </w:rPr>
      </w:pPr>
      <w:r>
        <w:fldChar w:fldCharType="begin"/>
      </w:r>
      <w:r>
        <w:instrText xml:space="preserve"> HYPERLINK \l "_Toc524" </w:instrText>
      </w:r>
      <w:r>
        <w:fldChar w:fldCharType="separate"/>
      </w:r>
      <w:r>
        <w:rPr>
          <w:rFonts w:hint="eastAsia" w:hAnsiTheme="minorHAnsi"/>
        </w:rPr>
        <w:t>（八） 中标</w:t>
      </w:r>
      <w:r>
        <w:tab/>
      </w:r>
      <w:r>
        <w:fldChar w:fldCharType="begin"/>
      </w:r>
      <w:r>
        <w:instrText xml:space="preserve"> PAGEREF _Toc524 \h </w:instrText>
      </w:r>
      <w:r>
        <w:fldChar w:fldCharType="separate"/>
      </w:r>
      <w:r>
        <w:t>35</w:t>
      </w:r>
      <w:r>
        <w:fldChar w:fldCharType="end"/>
      </w:r>
      <w:r>
        <w:fldChar w:fldCharType="end"/>
      </w:r>
    </w:p>
    <w:p w14:paraId="3070568A">
      <w:pPr>
        <w:pStyle w:val="24"/>
        <w:tabs>
          <w:tab w:val="right" w:leader="dot" w:pos="8306"/>
        </w:tabs>
        <w:rPr>
          <w:rFonts w:hint="eastAsia"/>
        </w:rPr>
      </w:pPr>
      <w:r>
        <w:fldChar w:fldCharType="begin"/>
      </w:r>
      <w:r>
        <w:instrText xml:space="preserve"> HYPERLINK \l "_Toc21815" </w:instrText>
      </w:r>
      <w:r>
        <w:fldChar w:fldCharType="separate"/>
      </w:r>
      <w:r>
        <w:t xml:space="preserve">31. </w:t>
      </w:r>
      <w:r>
        <w:rPr>
          <w:rFonts w:hint="eastAsia"/>
        </w:rPr>
        <w:t>确定中标人</w:t>
      </w:r>
      <w:r>
        <w:tab/>
      </w:r>
      <w:r>
        <w:fldChar w:fldCharType="begin"/>
      </w:r>
      <w:r>
        <w:instrText xml:space="preserve"> PAGEREF _Toc21815 \h </w:instrText>
      </w:r>
      <w:r>
        <w:fldChar w:fldCharType="separate"/>
      </w:r>
      <w:r>
        <w:t>35</w:t>
      </w:r>
      <w:r>
        <w:fldChar w:fldCharType="end"/>
      </w:r>
      <w:r>
        <w:fldChar w:fldCharType="end"/>
      </w:r>
    </w:p>
    <w:p w14:paraId="31C8555C">
      <w:pPr>
        <w:pStyle w:val="24"/>
        <w:tabs>
          <w:tab w:val="right" w:leader="dot" w:pos="8306"/>
        </w:tabs>
        <w:rPr>
          <w:rFonts w:hint="eastAsia"/>
        </w:rPr>
      </w:pPr>
      <w:r>
        <w:fldChar w:fldCharType="begin"/>
      </w:r>
      <w:r>
        <w:instrText xml:space="preserve"> HYPERLINK \l "_Toc9917" </w:instrText>
      </w:r>
      <w:r>
        <w:fldChar w:fldCharType="separate"/>
      </w:r>
      <w:r>
        <w:t xml:space="preserve">32. </w:t>
      </w:r>
      <w:r>
        <w:rPr>
          <w:rFonts w:hint="eastAsia"/>
        </w:rPr>
        <w:t>中标结果公告</w:t>
      </w:r>
      <w:r>
        <w:tab/>
      </w:r>
      <w:r>
        <w:fldChar w:fldCharType="begin"/>
      </w:r>
      <w:r>
        <w:instrText xml:space="preserve"> PAGEREF _Toc9917 \h </w:instrText>
      </w:r>
      <w:r>
        <w:fldChar w:fldCharType="separate"/>
      </w:r>
      <w:r>
        <w:t>35</w:t>
      </w:r>
      <w:r>
        <w:fldChar w:fldCharType="end"/>
      </w:r>
      <w:r>
        <w:fldChar w:fldCharType="end"/>
      </w:r>
    </w:p>
    <w:p w14:paraId="146BBEB0">
      <w:pPr>
        <w:pStyle w:val="24"/>
        <w:tabs>
          <w:tab w:val="right" w:leader="dot" w:pos="8306"/>
        </w:tabs>
        <w:rPr>
          <w:rFonts w:hint="eastAsia"/>
        </w:rPr>
      </w:pPr>
      <w:r>
        <w:fldChar w:fldCharType="begin"/>
      </w:r>
      <w:r>
        <w:instrText xml:space="preserve"> HYPERLINK \l "_Toc5513" </w:instrText>
      </w:r>
      <w:r>
        <w:fldChar w:fldCharType="separate"/>
      </w:r>
      <w:r>
        <w:t xml:space="preserve">33. </w:t>
      </w:r>
      <w:r>
        <w:rPr>
          <w:rFonts w:hint="eastAsia"/>
        </w:rPr>
        <w:t>中标通知</w:t>
      </w:r>
      <w:r>
        <w:tab/>
      </w:r>
      <w:r>
        <w:fldChar w:fldCharType="begin"/>
      </w:r>
      <w:r>
        <w:instrText xml:space="preserve"> PAGEREF _Toc5513 \h </w:instrText>
      </w:r>
      <w:r>
        <w:fldChar w:fldCharType="separate"/>
      </w:r>
      <w:r>
        <w:t>35</w:t>
      </w:r>
      <w:r>
        <w:fldChar w:fldCharType="end"/>
      </w:r>
      <w:r>
        <w:fldChar w:fldCharType="end"/>
      </w:r>
    </w:p>
    <w:p w14:paraId="5E93D6F2">
      <w:pPr>
        <w:pStyle w:val="17"/>
        <w:tabs>
          <w:tab w:val="right" w:leader="dot" w:pos="8306"/>
        </w:tabs>
        <w:rPr>
          <w:rFonts w:hint="eastAsia"/>
        </w:rPr>
      </w:pPr>
      <w:r>
        <w:fldChar w:fldCharType="begin"/>
      </w:r>
      <w:r>
        <w:instrText xml:space="preserve"> HYPERLINK \l "_Toc4541" </w:instrText>
      </w:r>
      <w:r>
        <w:fldChar w:fldCharType="separate"/>
      </w:r>
      <w:r>
        <w:rPr>
          <w:rFonts w:hint="eastAsia" w:hAnsiTheme="minorHAnsi"/>
        </w:rPr>
        <w:t>（九） 签订合同</w:t>
      </w:r>
      <w:r>
        <w:tab/>
      </w:r>
      <w:r>
        <w:fldChar w:fldCharType="begin"/>
      </w:r>
      <w:r>
        <w:instrText xml:space="preserve"> PAGEREF _Toc4541 \h </w:instrText>
      </w:r>
      <w:r>
        <w:fldChar w:fldCharType="separate"/>
      </w:r>
      <w:r>
        <w:t>36</w:t>
      </w:r>
      <w:r>
        <w:fldChar w:fldCharType="end"/>
      </w:r>
      <w:r>
        <w:fldChar w:fldCharType="end"/>
      </w:r>
    </w:p>
    <w:p w14:paraId="11E5FC80">
      <w:pPr>
        <w:pStyle w:val="24"/>
        <w:tabs>
          <w:tab w:val="right" w:leader="dot" w:pos="8306"/>
        </w:tabs>
        <w:rPr>
          <w:rFonts w:hint="eastAsia"/>
        </w:rPr>
      </w:pPr>
      <w:r>
        <w:fldChar w:fldCharType="begin"/>
      </w:r>
      <w:r>
        <w:instrText xml:space="preserve"> HYPERLINK \l "_Toc11078" </w:instrText>
      </w:r>
      <w:r>
        <w:fldChar w:fldCharType="separate"/>
      </w:r>
      <w:r>
        <w:t xml:space="preserve">34. </w:t>
      </w:r>
      <w:r>
        <w:rPr>
          <w:rFonts w:hint="eastAsia"/>
        </w:rPr>
        <w:t>履约保证金</w:t>
      </w:r>
      <w:r>
        <w:tab/>
      </w:r>
      <w:r>
        <w:fldChar w:fldCharType="begin"/>
      </w:r>
      <w:r>
        <w:instrText xml:space="preserve"> PAGEREF _Toc11078 \h </w:instrText>
      </w:r>
      <w:r>
        <w:fldChar w:fldCharType="separate"/>
      </w:r>
      <w:r>
        <w:t>36</w:t>
      </w:r>
      <w:r>
        <w:fldChar w:fldCharType="end"/>
      </w:r>
      <w:r>
        <w:fldChar w:fldCharType="end"/>
      </w:r>
    </w:p>
    <w:p w14:paraId="514C73C4">
      <w:pPr>
        <w:pStyle w:val="24"/>
        <w:tabs>
          <w:tab w:val="right" w:leader="dot" w:pos="8306"/>
        </w:tabs>
        <w:rPr>
          <w:rFonts w:hint="eastAsia"/>
        </w:rPr>
      </w:pPr>
      <w:r>
        <w:fldChar w:fldCharType="begin"/>
      </w:r>
      <w:r>
        <w:instrText xml:space="preserve"> HYPERLINK \l "_Toc15470" </w:instrText>
      </w:r>
      <w:r>
        <w:fldChar w:fldCharType="separate"/>
      </w:r>
      <w:r>
        <w:t xml:space="preserve">35. </w:t>
      </w:r>
      <w:r>
        <w:rPr>
          <w:rFonts w:hint="eastAsia"/>
        </w:rPr>
        <w:t>签订合同</w:t>
      </w:r>
      <w:r>
        <w:tab/>
      </w:r>
      <w:r>
        <w:fldChar w:fldCharType="begin"/>
      </w:r>
      <w:r>
        <w:instrText xml:space="preserve"> PAGEREF _Toc15470 \h </w:instrText>
      </w:r>
      <w:r>
        <w:fldChar w:fldCharType="separate"/>
      </w:r>
      <w:r>
        <w:t>36</w:t>
      </w:r>
      <w:r>
        <w:fldChar w:fldCharType="end"/>
      </w:r>
      <w:r>
        <w:fldChar w:fldCharType="end"/>
      </w:r>
    </w:p>
    <w:p w14:paraId="284B6E3C">
      <w:pPr>
        <w:pStyle w:val="17"/>
        <w:tabs>
          <w:tab w:val="right" w:leader="dot" w:pos="8306"/>
        </w:tabs>
        <w:rPr>
          <w:rFonts w:hint="eastAsia"/>
        </w:rPr>
      </w:pPr>
      <w:r>
        <w:fldChar w:fldCharType="begin"/>
      </w:r>
      <w:r>
        <w:instrText xml:space="preserve"> HYPERLINK \l "_Toc5916" </w:instrText>
      </w:r>
      <w:r>
        <w:fldChar w:fldCharType="separate"/>
      </w:r>
      <w:r>
        <w:rPr>
          <w:rFonts w:hint="eastAsia" w:hAnsiTheme="minorHAnsi"/>
        </w:rPr>
        <w:t>（十） 质疑和投诉</w:t>
      </w:r>
      <w:r>
        <w:tab/>
      </w:r>
      <w:r>
        <w:fldChar w:fldCharType="begin"/>
      </w:r>
      <w:r>
        <w:instrText xml:space="preserve"> PAGEREF _Toc5916 \h </w:instrText>
      </w:r>
      <w:r>
        <w:fldChar w:fldCharType="separate"/>
      </w:r>
      <w:r>
        <w:t>36</w:t>
      </w:r>
      <w:r>
        <w:fldChar w:fldCharType="end"/>
      </w:r>
      <w:r>
        <w:fldChar w:fldCharType="end"/>
      </w:r>
    </w:p>
    <w:p w14:paraId="218DAB84">
      <w:pPr>
        <w:pStyle w:val="24"/>
        <w:tabs>
          <w:tab w:val="right" w:leader="dot" w:pos="8306"/>
        </w:tabs>
        <w:rPr>
          <w:rFonts w:hint="eastAsia"/>
        </w:rPr>
      </w:pPr>
      <w:r>
        <w:fldChar w:fldCharType="begin"/>
      </w:r>
      <w:r>
        <w:instrText xml:space="preserve"> HYPERLINK \l "_Toc9806" </w:instrText>
      </w:r>
      <w:r>
        <w:fldChar w:fldCharType="separate"/>
      </w:r>
      <w:r>
        <w:t xml:space="preserve">36. </w:t>
      </w:r>
      <w:r>
        <w:rPr>
          <w:rFonts w:hint="eastAsia"/>
        </w:rPr>
        <w:t>质疑</w:t>
      </w:r>
      <w:r>
        <w:tab/>
      </w:r>
      <w:r>
        <w:fldChar w:fldCharType="begin"/>
      </w:r>
      <w:r>
        <w:instrText xml:space="preserve"> PAGEREF _Toc9806 \h </w:instrText>
      </w:r>
      <w:r>
        <w:fldChar w:fldCharType="separate"/>
      </w:r>
      <w:r>
        <w:t>36</w:t>
      </w:r>
      <w:r>
        <w:fldChar w:fldCharType="end"/>
      </w:r>
      <w:r>
        <w:fldChar w:fldCharType="end"/>
      </w:r>
    </w:p>
    <w:p w14:paraId="54B93349">
      <w:pPr>
        <w:pStyle w:val="24"/>
        <w:tabs>
          <w:tab w:val="right" w:leader="dot" w:pos="8306"/>
        </w:tabs>
        <w:rPr>
          <w:rFonts w:hint="eastAsia"/>
        </w:rPr>
      </w:pPr>
      <w:r>
        <w:fldChar w:fldCharType="begin"/>
      </w:r>
      <w:r>
        <w:instrText xml:space="preserve"> HYPERLINK \l "_Toc32246" </w:instrText>
      </w:r>
      <w:r>
        <w:fldChar w:fldCharType="separate"/>
      </w:r>
      <w:r>
        <w:t xml:space="preserve">37. </w:t>
      </w:r>
      <w:r>
        <w:rPr>
          <w:rFonts w:hint="eastAsia"/>
        </w:rPr>
        <w:t>质疑答复</w:t>
      </w:r>
      <w:r>
        <w:tab/>
      </w:r>
      <w:r>
        <w:fldChar w:fldCharType="begin"/>
      </w:r>
      <w:r>
        <w:instrText xml:space="preserve"> PAGEREF _Toc32246 \h </w:instrText>
      </w:r>
      <w:r>
        <w:fldChar w:fldCharType="separate"/>
      </w:r>
      <w:r>
        <w:t>37</w:t>
      </w:r>
      <w:r>
        <w:fldChar w:fldCharType="end"/>
      </w:r>
      <w:r>
        <w:fldChar w:fldCharType="end"/>
      </w:r>
    </w:p>
    <w:p w14:paraId="7118CF4F">
      <w:pPr>
        <w:pStyle w:val="24"/>
        <w:tabs>
          <w:tab w:val="right" w:leader="dot" w:pos="8306"/>
        </w:tabs>
        <w:rPr>
          <w:rFonts w:hint="eastAsia"/>
        </w:rPr>
      </w:pPr>
      <w:r>
        <w:fldChar w:fldCharType="begin"/>
      </w:r>
      <w:r>
        <w:instrText xml:space="preserve"> HYPERLINK \l "_Toc32376" </w:instrText>
      </w:r>
      <w:r>
        <w:fldChar w:fldCharType="separate"/>
      </w:r>
      <w:r>
        <w:t xml:space="preserve">38. </w:t>
      </w:r>
      <w:r>
        <w:rPr>
          <w:rFonts w:hint="eastAsia"/>
        </w:rPr>
        <w:t>投诉</w:t>
      </w:r>
      <w:r>
        <w:tab/>
      </w:r>
      <w:r>
        <w:fldChar w:fldCharType="begin"/>
      </w:r>
      <w:r>
        <w:instrText xml:space="preserve"> PAGEREF _Toc32376 \h </w:instrText>
      </w:r>
      <w:r>
        <w:fldChar w:fldCharType="separate"/>
      </w:r>
      <w:r>
        <w:t>37</w:t>
      </w:r>
      <w:r>
        <w:fldChar w:fldCharType="end"/>
      </w:r>
      <w:r>
        <w:fldChar w:fldCharType="end"/>
      </w:r>
    </w:p>
    <w:p w14:paraId="35F7A018">
      <w:pPr>
        <w:pStyle w:val="17"/>
        <w:tabs>
          <w:tab w:val="right" w:leader="dot" w:pos="8306"/>
        </w:tabs>
        <w:rPr>
          <w:rFonts w:hint="eastAsia"/>
        </w:rPr>
      </w:pPr>
      <w:r>
        <w:fldChar w:fldCharType="begin"/>
      </w:r>
      <w:r>
        <w:instrText xml:space="preserve"> HYPERLINK \l "_Toc24814" </w:instrText>
      </w:r>
      <w:r>
        <w:fldChar w:fldCharType="separate"/>
      </w:r>
      <w:r>
        <w:rPr>
          <w:rFonts w:hint="eastAsia" w:hAnsiTheme="minorHAnsi"/>
        </w:rPr>
        <w:t>（十一） 采购代理服务费</w:t>
      </w:r>
      <w:r>
        <w:tab/>
      </w:r>
      <w:r>
        <w:fldChar w:fldCharType="begin"/>
      </w:r>
      <w:r>
        <w:instrText xml:space="preserve"> PAGEREF _Toc24814 \h </w:instrText>
      </w:r>
      <w:r>
        <w:fldChar w:fldCharType="separate"/>
      </w:r>
      <w:r>
        <w:t>38</w:t>
      </w:r>
      <w:r>
        <w:fldChar w:fldCharType="end"/>
      </w:r>
      <w:r>
        <w:fldChar w:fldCharType="end"/>
      </w:r>
    </w:p>
    <w:p w14:paraId="2929E8F3">
      <w:pPr>
        <w:pStyle w:val="24"/>
        <w:tabs>
          <w:tab w:val="right" w:leader="dot" w:pos="8306"/>
        </w:tabs>
        <w:rPr>
          <w:rFonts w:hint="eastAsia"/>
        </w:rPr>
      </w:pPr>
      <w:r>
        <w:fldChar w:fldCharType="begin"/>
      </w:r>
      <w:r>
        <w:instrText xml:space="preserve"> HYPERLINK \l "_Toc24135" </w:instrText>
      </w:r>
      <w:r>
        <w:fldChar w:fldCharType="separate"/>
      </w:r>
      <w:r>
        <w:t xml:space="preserve">39. </w:t>
      </w:r>
      <w:r>
        <w:rPr>
          <w:rFonts w:hint="eastAsia"/>
        </w:rPr>
        <w:t>收取方式和标准</w:t>
      </w:r>
      <w:r>
        <w:tab/>
      </w:r>
      <w:r>
        <w:fldChar w:fldCharType="begin"/>
      </w:r>
      <w:r>
        <w:instrText xml:space="preserve"> PAGEREF _Toc24135 \h </w:instrText>
      </w:r>
      <w:r>
        <w:fldChar w:fldCharType="separate"/>
      </w:r>
      <w:r>
        <w:t>38</w:t>
      </w:r>
      <w:r>
        <w:fldChar w:fldCharType="end"/>
      </w:r>
      <w:r>
        <w:fldChar w:fldCharType="end"/>
      </w:r>
    </w:p>
    <w:p w14:paraId="3A290955">
      <w:pPr>
        <w:pStyle w:val="17"/>
        <w:tabs>
          <w:tab w:val="right" w:leader="dot" w:pos="8306"/>
        </w:tabs>
        <w:rPr>
          <w:rFonts w:hint="eastAsia"/>
        </w:rPr>
      </w:pPr>
      <w:r>
        <w:fldChar w:fldCharType="begin"/>
      </w:r>
      <w:r>
        <w:instrText xml:space="preserve"> HYPERLINK \l "_Toc17917" </w:instrText>
      </w:r>
      <w:r>
        <w:fldChar w:fldCharType="separate"/>
      </w:r>
      <w:r>
        <w:rPr>
          <w:rFonts w:hint="eastAsia" w:hAnsiTheme="minorHAnsi"/>
        </w:rPr>
        <w:t>（十二） 无效投标和废标</w:t>
      </w:r>
      <w:r>
        <w:tab/>
      </w:r>
      <w:r>
        <w:fldChar w:fldCharType="begin"/>
      </w:r>
      <w:r>
        <w:instrText xml:space="preserve"> PAGEREF _Toc17917 \h </w:instrText>
      </w:r>
      <w:r>
        <w:fldChar w:fldCharType="separate"/>
      </w:r>
      <w:r>
        <w:t>38</w:t>
      </w:r>
      <w:r>
        <w:fldChar w:fldCharType="end"/>
      </w:r>
      <w:r>
        <w:fldChar w:fldCharType="end"/>
      </w:r>
    </w:p>
    <w:p w14:paraId="707E79FF">
      <w:pPr>
        <w:pStyle w:val="24"/>
        <w:tabs>
          <w:tab w:val="right" w:leader="dot" w:pos="8306"/>
        </w:tabs>
        <w:rPr>
          <w:rFonts w:hint="eastAsia"/>
        </w:rPr>
      </w:pPr>
      <w:r>
        <w:fldChar w:fldCharType="begin"/>
      </w:r>
      <w:r>
        <w:instrText xml:space="preserve"> HYPERLINK \l "_Toc17867" </w:instrText>
      </w:r>
      <w:r>
        <w:fldChar w:fldCharType="separate"/>
      </w:r>
      <w:r>
        <w:t xml:space="preserve">40. </w:t>
      </w:r>
      <w:r>
        <w:rPr>
          <w:rFonts w:hint="eastAsia"/>
        </w:rPr>
        <w:t>无效投标</w:t>
      </w:r>
      <w:r>
        <w:tab/>
      </w:r>
      <w:r>
        <w:fldChar w:fldCharType="begin"/>
      </w:r>
      <w:r>
        <w:instrText xml:space="preserve"> PAGEREF _Toc17867 \h </w:instrText>
      </w:r>
      <w:r>
        <w:fldChar w:fldCharType="separate"/>
      </w:r>
      <w:r>
        <w:t>38</w:t>
      </w:r>
      <w:r>
        <w:fldChar w:fldCharType="end"/>
      </w:r>
      <w:r>
        <w:fldChar w:fldCharType="end"/>
      </w:r>
    </w:p>
    <w:p w14:paraId="04AA9058">
      <w:pPr>
        <w:pStyle w:val="24"/>
        <w:tabs>
          <w:tab w:val="right" w:leader="dot" w:pos="8306"/>
        </w:tabs>
        <w:rPr>
          <w:rFonts w:hint="eastAsia"/>
        </w:rPr>
      </w:pPr>
      <w:r>
        <w:fldChar w:fldCharType="begin"/>
      </w:r>
      <w:r>
        <w:instrText xml:space="preserve"> HYPERLINK \l "_Toc24321" </w:instrText>
      </w:r>
      <w:r>
        <w:fldChar w:fldCharType="separate"/>
      </w:r>
      <w:r>
        <w:t xml:space="preserve">41. </w:t>
      </w:r>
      <w:r>
        <w:rPr>
          <w:rFonts w:hint="eastAsia"/>
        </w:rPr>
        <w:t>废标</w:t>
      </w:r>
      <w:r>
        <w:tab/>
      </w:r>
      <w:r>
        <w:fldChar w:fldCharType="begin"/>
      </w:r>
      <w:r>
        <w:instrText xml:space="preserve"> PAGEREF _Toc24321 \h </w:instrText>
      </w:r>
      <w:r>
        <w:fldChar w:fldCharType="separate"/>
      </w:r>
      <w:r>
        <w:t>38</w:t>
      </w:r>
      <w:r>
        <w:fldChar w:fldCharType="end"/>
      </w:r>
      <w:r>
        <w:fldChar w:fldCharType="end"/>
      </w:r>
    </w:p>
    <w:p w14:paraId="1B5220E2">
      <w:pPr>
        <w:pStyle w:val="17"/>
        <w:tabs>
          <w:tab w:val="right" w:leader="dot" w:pos="8306"/>
        </w:tabs>
        <w:rPr>
          <w:rFonts w:hint="eastAsia"/>
        </w:rPr>
      </w:pPr>
      <w:r>
        <w:fldChar w:fldCharType="begin"/>
      </w:r>
      <w:r>
        <w:instrText xml:space="preserve"> HYPERLINK \l "_Toc20788" </w:instrText>
      </w:r>
      <w:r>
        <w:fldChar w:fldCharType="separate"/>
      </w:r>
      <w:r>
        <w:rPr>
          <w:rFonts w:hint="eastAsia" w:hAnsiTheme="minorHAnsi"/>
        </w:rPr>
        <w:t>（十三） 落实政府采购政策</w:t>
      </w:r>
      <w:r>
        <w:tab/>
      </w:r>
      <w:r>
        <w:fldChar w:fldCharType="begin"/>
      </w:r>
      <w:r>
        <w:instrText xml:space="preserve"> PAGEREF _Toc20788 \h </w:instrText>
      </w:r>
      <w:r>
        <w:fldChar w:fldCharType="separate"/>
      </w:r>
      <w:r>
        <w:t>39</w:t>
      </w:r>
      <w:r>
        <w:fldChar w:fldCharType="end"/>
      </w:r>
      <w:r>
        <w:fldChar w:fldCharType="end"/>
      </w:r>
    </w:p>
    <w:p w14:paraId="576FC00F">
      <w:pPr>
        <w:pStyle w:val="24"/>
        <w:tabs>
          <w:tab w:val="right" w:leader="dot" w:pos="8306"/>
        </w:tabs>
        <w:rPr>
          <w:rFonts w:hint="eastAsia"/>
        </w:rPr>
      </w:pPr>
      <w:r>
        <w:fldChar w:fldCharType="begin"/>
      </w:r>
      <w:r>
        <w:instrText xml:space="preserve"> HYPERLINK \l "_Toc27146" </w:instrText>
      </w:r>
      <w:r>
        <w:fldChar w:fldCharType="separate"/>
      </w:r>
      <w:r>
        <w:t>42. 支持国产和进口产品审批</w:t>
      </w:r>
      <w:r>
        <w:tab/>
      </w:r>
      <w:r>
        <w:fldChar w:fldCharType="begin"/>
      </w:r>
      <w:r>
        <w:instrText xml:space="preserve"> PAGEREF _Toc27146 \h </w:instrText>
      </w:r>
      <w:r>
        <w:fldChar w:fldCharType="separate"/>
      </w:r>
      <w:r>
        <w:t>39</w:t>
      </w:r>
      <w:r>
        <w:fldChar w:fldCharType="end"/>
      </w:r>
      <w:r>
        <w:fldChar w:fldCharType="end"/>
      </w:r>
    </w:p>
    <w:p w14:paraId="7C0E732A">
      <w:pPr>
        <w:pStyle w:val="24"/>
        <w:tabs>
          <w:tab w:val="right" w:leader="dot" w:pos="8306"/>
        </w:tabs>
        <w:rPr>
          <w:rFonts w:hint="eastAsia"/>
        </w:rPr>
      </w:pPr>
      <w:r>
        <w:fldChar w:fldCharType="begin"/>
      </w:r>
      <w:r>
        <w:instrText xml:space="preserve"> HYPERLINK \l "_Toc5737" </w:instrText>
      </w:r>
      <w:r>
        <w:fldChar w:fldCharType="separate"/>
      </w:r>
      <w:r>
        <w:t xml:space="preserve">43. </w:t>
      </w:r>
      <w:r>
        <w:rPr>
          <w:rFonts w:hint="eastAsia"/>
        </w:rPr>
        <w:t>中小企业、监狱企业及残疾人福利性单位</w:t>
      </w:r>
      <w:r>
        <w:tab/>
      </w:r>
      <w:r>
        <w:fldChar w:fldCharType="begin"/>
      </w:r>
      <w:r>
        <w:instrText xml:space="preserve"> PAGEREF _Toc5737 \h </w:instrText>
      </w:r>
      <w:r>
        <w:fldChar w:fldCharType="separate"/>
      </w:r>
      <w:r>
        <w:t>39</w:t>
      </w:r>
      <w:r>
        <w:fldChar w:fldCharType="end"/>
      </w:r>
      <w:r>
        <w:fldChar w:fldCharType="end"/>
      </w:r>
    </w:p>
    <w:p w14:paraId="4D906C9C">
      <w:pPr>
        <w:pStyle w:val="24"/>
        <w:tabs>
          <w:tab w:val="right" w:leader="dot" w:pos="8306"/>
        </w:tabs>
        <w:rPr>
          <w:rFonts w:hint="eastAsia"/>
        </w:rPr>
      </w:pPr>
      <w:r>
        <w:fldChar w:fldCharType="begin"/>
      </w:r>
      <w:r>
        <w:instrText xml:space="preserve"> HYPERLINK \l "_Toc7448" </w:instrText>
      </w:r>
      <w:r>
        <w:fldChar w:fldCharType="separate"/>
      </w:r>
      <w:r>
        <w:t xml:space="preserve">44. </w:t>
      </w:r>
      <w:r>
        <w:rPr>
          <w:rFonts w:hint="eastAsia"/>
        </w:rPr>
        <w:t>政府采购节能产品、环境标志产品</w:t>
      </w:r>
      <w:r>
        <w:tab/>
      </w:r>
      <w:r>
        <w:fldChar w:fldCharType="begin"/>
      </w:r>
      <w:r>
        <w:instrText xml:space="preserve"> PAGEREF _Toc7448 \h </w:instrText>
      </w:r>
      <w:r>
        <w:fldChar w:fldCharType="separate"/>
      </w:r>
      <w:r>
        <w:t>39</w:t>
      </w:r>
      <w:r>
        <w:fldChar w:fldCharType="end"/>
      </w:r>
      <w:r>
        <w:fldChar w:fldCharType="end"/>
      </w:r>
    </w:p>
    <w:p w14:paraId="45126AD8">
      <w:pPr>
        <w:pStyle w:val="17"/>
        <w:tabs>
          <w:tab w:val="right" w:leader="dot" w:pos="8306"/>
        </w:tabs>
        <w:rPr>
          <w:rFonts w:hint="eastAsia"/>
        </w:rPr>
      </w:pPr>
      <w:r>
        <w:fldChar w:fldCharType="begin"/>
      </w:r>
      <w:r>
        <w:instrText xml:space="preserve"> HYPERLINK \l "_Toc21590" </w:instrText>
      </w:r>
      <w:r>
        <w:fldChar w:fldCharType="separate"/>
      </w:r>
      <w:r>
        <w:rPr>
          <w:rFonts w:hint="eastAsia" w:hAnsiTheme="minorHAnsi"/>
        </w:rPr>
        <w:t>（十四） 政府采购合同融资政策</w:t>
      </w:r>
      <w:r>
        <w:tab/>
      </w:r>
      <w:r>
        <w:fldChar w:fldCharType="begin"/>
      </w:r>
      <w:r>
        <w:instrText xml:space="preserve"> PAGEREF _Toc21590 \h </w:instrText>
      </w:r>
      <w:r>
        <w:fldChar w:fldCharType="separate"/>
      </w:r>
      <w:r>
        <w:t>40</w:t>
      </w:r>
      <w:r>
        <w:fldChar w:fldCharType="end"/>
      </w:r>
      <w:r>
        <w:fldChar w:fldCharType="end"/>
      </w:r>
    </w:p>
    <w:p w14:paraId="4D99966C">
      <w:pPr>
        <w:pStyle w:val="24"/>
        <w:tabs>
          <w:tab w:val="right" w:leader="dot" w:pos="8306"/>
        </w:tabs>
        <w:rPr>
          <w:rFonts w:hint="eastAsia"/>
        </w:rPr>
      </w:pPr>
      <w:r>
        <w:fldChar w:fldCharType="begin"/>
      </w:r>
      <w:r>
        <w:instrText xml:space="preserve"> HYPERLINK \l "_Toc16553" </w:instrText>
      </w:r>
      <w:r>
        <w:fldChar w:fldCharType="separate"/>
      </w:r>
      <w:r>
        <w:t xml:space="preserve">45. </w:t>
      </w:r>
      <w:r>
        <w:rPr>
          <w:rFonts w:hint="eastAsia"/>
        </w:rPr>
        <w:t>政府采购合同融资政策</w:t>
      </w:r>
      <w:r>
        <w:tab/>
      </w:r>
      <w:r>
        <w:fldChar w:fldCharType="begin"/>
      </w:r>
      <w:r>
        <w:instrText xml:space="preserve"> PAGEREF _Toc16553 \h </w:instrText>
      </w:r>
      <w:r>
        <w:fldChar w:fldCharType="separate"/>
      </w:r>
      <w:r>
        <w:t>40</w:t>
      </w:r>
      <w:r>
        <w:fldChar w:fldCharType="end"/>
      </w:r>
      <w:r>
        <w:fldChar w:fldCharType="end"/>
      </w:r>
    </w:p>
    <w:p w14:paraId="57154172">
      <w:pPr>
        <w:pStyle w:val="17"/>
        <w:tabs>
          <w:tab w:val="right" w:leader="dot" w:pos="8306"/>
        </w:tabs>
        <w:rPr>
          <w:rFonts w:hint="eastAsia"/>
        </w:rPr>
      </w:pPr>
      <w:r>
        <w:fldChar w:fldCharType="begin"/>
      </w:r>
      <w:r>
        <w:instrText xml:space="preserve"> HYPERLINK \l "_Toc10687" </w:instrText>
      </w:r>
      <w:r>
        <w:fldChar w:fldCharType="separate"/>
      </w:r>
      <w:r>
        <w:rPr>
          <w:rFonts w:hint="eastAsia" w:hAnsiTheme="minorHAnsi"/>
        </w:rPr>
        <w:t>（十五） 其他</w:t>
      </w:r>
      <w:r>
        <w:tab/>
      </w:r>
      <w:r>
        <w:fldChar w:fldCharType="begin"/>
      </w:r>
      <w:r>
        <w:instrText xml:space="preserve"> PAGEREF _Toc10687 \h </w:instrText>
      </w:r>
      <w:r>
        <w:fldChar w:fldCharType="separate"/>
      </w:r>
      <w:r>
        <w:t>40</w:t>
      </w:r>
      <w:r>
        <w:fldChar w:fldCharType="end"/>
      </w:r>
      <w:r>
        <w:fldChar w:fldCharType="end"/>
      </w:r>
    </w:p>
    <w:p w14:paraId="093DD17A">
      <w:pPr>
        <w:pStyle w:val="24"/>
        <w:tabs>
          <w:tab w:val="right" w:leader="dot" w:pos="8306"/>
        </w:tabs>
        <w:rPr>
          <w:rFonts w:hint="eastAsia"/>
        </w:rPr>
      </w:pPr>
      <w:r>
        <w:fldChar w:fldCharType="begin"/>
      </w:r>
      <w:r>
        <w:instrText xml:space="preserve"> HYPERLINK \l "_Toc30657" </w:instrText>
      </w:r>
      <w:r>
        <w:fldChar w:fldCharType="separate"/>
      </w:r>
      <w:r>
        <w:t xml:space="preserve">46. </w:t>
      </w:r>
      <w:r>
        <w:rPr>
          <w:rFonts w:hint="eastAsia"/>
        </w:rPr>
        <w:t>需要补充的其他内容</w:t>
      </w:r>
      <w:r>
        <w:tab/>
      </w:r>
      <w:r>
        <w:fldChar w:fldCharType="begin"/>
      </w:r>
      <w:r>
        <w:instrText xml:space="preserve"> PAGEREF _Toc30657 \h </w:instrText>
      </w:r>
      <w:r>
        <w:fldChar w:fldCharType="separate"/>
      </w:r>
      <w:r>
        <w:t>40</w:t>
      </w:r>
      <w:r>
        <w:fldChar w:fldCharType="end"/>
      </w:r>
      <w:r>
        <w:fldChar w:fldCharType="end"/>
      </w:r>
    </w:p>
    <w:p w14:paraId="1F3465B7">
      <w:pPr>
        <w:pStyle w:val="24"/>
        <w:tabs>
          <w:tab w:val="right" w:leader="dot" w:pos="8306"/>
        </w:tabs>
        <w:rPr>
          <w:rFonts w:hint="eastAsia"/>
        </w:rPr>
      </w:pPr>
      <w:r>
        <w:fldChar w:fldCharType="begin"/>
      </w:r>
      <w:r>
        <w:instrText xml:space="preserve"> HYPERLINK \l "_Toc30617" </w:instrText>
      </w:r>
      <w:r>
        <w:fldChar w:fldCharType="separate"/>
      </w:r>
      <w:r>
        <w:t xml:space="preserve">47. </w:t>
      </w:r>
      <w:r>
        <w:rPr>
          <w:rFonts w:hint="eastAsia"/>
        </w:rPr>
        <w:t>适用法律</w:t>
      </w:r>
      <w:r>
        <w:tab/>
      </w:r>
      <w:r>
        <w:fldChar w:fldCharType="begin"/>
      </w:r>
      <w:r>
        <w:instrText xml:space="preserve"> PAGEREF _Toc30617 \h </w:instrText>
      </w:r>
      <w:r>
        <w:fldChar w:fldCharType="separate"/>
      </w:r>
      <w:r>
        <w:t>40</w:t>
      </w:r>
      <w:r>
        <w:fldChar w:fldCharType="end"/>
      </w:r>
      <w:r>
        <w:fldChar w:fldCharType="end"/>
      </w:r>
    </w:p>
    <w:p w14:paraId="2885303E">
      <w:pPr>
        <w:pStyle w:val="24"/>
        <w:tabs>
          <w:tab w:val="right" w:leader="dot" w:pos="8306"/>
        </w:tabs>
        <w:rPr>
          <w:rFonts w:hint="eastAsia"/>
        </w:rPr>
      </w:pPr>
      <w:r>
        <w:fldChar w:fldCharType="begin"/>
      </w:r>
      <w:r>
        <w:instrText xml:space="preserve"> HYPERLINK \l "_Toc26982" </w:instrText>
      </w:r>
      <w:r>
        <w:fldChar w:fldCharType="separate"/>
      </w:r>
      <w:r>
        <w:t xml:space="preserve">48. </w:t>
      </w:r>
      <w:r>
        <w:rPr>
          <w:rFonts w:hint="eastAsia"/>
        </w:rPr>
        <w:t>解释权</w:t>
      </w:r>
      <w:r>
        <w:tab/>
      </w:r>
      <w:r>
        <w:fldChar w:fldCharType="begin"/>
      </w:r>
      <w:r>
        <w:instrText xml:space="preserve"> PAGEREF _Toc26982 \h </w:instrText>
      </w:r>
      <w:r>
        <w:fldChar w:fldCharType="separate"/>
      </w:r>
      <w:r>
        <w:t>40</w:t>
      </w:r>
      <w:r>
        <w:fldChar w:fldCharType="end"/>
      </w:r>
      <w:r>
        <w:fldChar w:fldCharType="end"/>
      </w:r>
    </w:p>
    <w:p w14:paraId="100B2136">
      <w:pPr>
        <w:pStyle w:val="23"/>
        <w:tabs>
          <w:tab w:val="right" w:leader="dot" w:pos="8306"/>
        </w:tabs>
        <w:rPr>
          <w:rFonts w:hint="eastAsia"/>
        </w:rPr>
      </w:pPr>
      <w:r>
        <w:fldChar w:fldCharType="begin"/>
      </w:r>
      <w:r>
        <w:instrText xml:space="preserve"> HYPERLINK \l "_Toc29493" </w:instrText>
      </w:r>
      <w:r>
        <w:fldChar w:fldCharType="separate"/>
      </w:r>
      <w:r>
        <w:rPr>
          <w:rFonts w:hint="eastAsia"/>
        </w:rPr>
        <w:t>第三章 采购需求</w:t>
      </w:r>
      <w:r>
        <w:tab/>
      </w:r>
      <w:r>
        <w:fldChar w:fldCharType="begin"/>
      </w:r>
      <w:r>
        <w:instrText xml:space="preserve"> PAGEREF _Toc29493 \h </w:instrText>
      </w:r>
      <w:r>
        <w:fldChar w:fldCharType="separate"/>
      </w:r>
      <w:r>
        <w:t>41</w:t>
      </w:r>
      <w:r>
        <w:fldChar w:fldCharType="end"/>
      </w:r>
      <w:r>
        <w:fldChar w:fldCharType="end"/>
      </w:r>
    </w:p>
    <w:p w14:paraId="197C18DD">
      <w:pPr>
        <w:pStyle w:val="23"/>
        <w:tabs>
          <w:tab w:val="right" w:leader="dot" w:pos="8306"/>
        </w:tabs>
        <w:rPr>
          <w:rFonts w:hint="eastAsia"/>
        </w:rPr>
      </w:pPr>
      <w:r>
        <w:fldChar w:fldCharType="begin"/>
      </w:r>
      <w:r>
        <w:instrText xml:space="preserve"> HYPERLINK \l "_Toc24211" </w:instrText>
      </w:r>
      <w:r>
        <w:fldChar w:fldCharType="separate"/>
      </w:r>
      <w:r>
        <w:rPr>
          <w:rFonts w:hint="eastAsia"/>
        </w:rPr>
        <w:t>第四章 资格审查方法及标准</w:t>
      </w:r>
      <w:r>
        <w:tab/>
      </w:r>
      <w:r>
        <w:fldChar w:fldCharType="begin"/>
      </w:r>
      <w:r>
        <w:instrText xml:space="preserve"> PAGEREF _Toc24211 \h </w:instrText>
      </w:r>
      <w:r>
        <w:fldChar w:fldCharType="separate"/>
      </w:r>
      <w:r>
        <w:t>42</w:t>
      </w:r>
      <w:r>
        <w:fldChar w:fldCharType="end"/>
      </w:r>
      <w:r>
        <w:fldChar w:fldCharType="end"/>
      </w:r>
    </w:p>
    <w:p w14:paraId="03107209">
      <w:pPr>
        <w:pStyle w:val="26"/>
        <w:tabs>
          <w:tab w:val="right" w:leader="dot" w:pos="8306"/>
        </w:tabs>
        <w:rPr>
          <w:rFonts w:hint="eastAsia"/>
        </w:rPr>
      </w:pPr>
      <w:r>
        <w:fldChar w:fldCharType="begin"/>
      </w:r>
      <w:r>
        <w:instrText xml:space="preserve"> HYPERLINK \l "_Toc20166" </w:instrText>
      </w:r>
      <w:r>
        <w:fldChar w:fldCharType="separate"/>
      </w:r>
      <w:r>
        <w:rPr>
          <w:rFonts w:hint="eastAsia"/>
          <w:lang w:val="zh-CN"/>
        </w:rPr>
        <w:t>一、 资格审查</w:t>
      </w:r>
      <w:r>
        <w:rPr>
          <w:rFonts w:hint="eastAsia"/>
        </w:rPr>
        <w:t>方法</w:t>
      </w:r>
      <w:r>
        <w:tab/>
      </w:r>
      <w:r>
        <w:fldChar w:fldCharType="begin"/>
      </w:r>
      <w:r>
        <w:instrText xml:space="preserve"> PAGEREF _Toc20166 \h </w:instrText>
      </w:r>
      <w:r>
        <w:fldChar w:fldCharType="separate"/>
      </w:r>
      <w:r>
        <w:t>42</w:t>
      </w:r>
      <w:r>
        <w:fldChar w:fldCharType="end"/>
      </w:r>
      <w:r>
        <w:fldChar w:fldCharType="end"/>
      </w:r>
    </w:p>
    <w:p w14:paraId="32046C38">
      <w:pPr>
        <w:pStyle w:val="26"/>
        <w:tabs>
          <w:tab w:val="right" w:leader="dot" w:pos="8306"/>
        </w:tabs>
        <w:rPr>
          <w:rFonts w:hint="eastAsia"/>
        </w:rPr>
      </w:pPr>
      <w:r>
        <w:fldChar w:fldCharType="begin"/>
      </w:r>
      <w:r>
        <w:instrText xml:space="preserve"> HYPERLINK \l "_Toc16693" </w:instrText>
      </w:r>
      <w:r>
        <w:fldChar w:fldCharType="separate"/>
      </w:r>
      <w:r>
        <w:rPr>
          <w:rFonts w:hint="eastAsia"/>
          <w:lang w:val="zh-CN"/>
        </w:rPr>
        <w:t>二、 资格审查程序</w:t>
      </w:r>
      <w:r>
        <w:tab/>
      </w:r>
      <w:r>
        <w:fldChar w:fldCharType="begin"/>
      </w:r>
      <w:r>
        <w:instrText xml:space="preserve"> PAGEREF _Toc16693 \h </w:instrText>
      </w:r>
      <w:r>
        <w:fldChar w:fldCharType="separate"/>
      </w:r>
      <w:r>
        <w:t>42</w:t>
      </w:r>
      <w:r>
        <w:fldChar w:fldCharType="end"/>
      </w:r>
      <w:r>
        <w:fldChar w:fldCharType="end"/>
      </w:r>
    </w:p>
    <w:p w14:paraId="3F991F34">
      <w:pPr>
        <w:pStyle w:val="17"/>
        <w:tabs>
          <w:tab w:val="right" w:leader="dot" w:pos="8306"/>
        </w:tabs>
        <w:rPr>
          <w:rFonts w:hint="eastAsia"/>
        </w:rPr>
      </w:pPr>
      <w:r>
        <w:fldChar w:fldCharType="begin"/>
      </w:r>
      <w:r>
        <w:instrText xml:space="preserve"> HYPERLINK \l "_Toc21252" </w:instrText>
      </w:r>
      <w:r>
        <w:fldChar w:fldCharType="separate"/>
      </w:r>
      <w:r>
        <w:rPr>
          <w:rFonts w:hint="eastAsia"/>
        </w:rPr>
        <w:t xml:space="preserve">（一） </w:t>
      </w:r>
      <w:r>
        <w:rPr>
          <w:rFonts w:hint="eastAsia"/>
          <w:lang w:val="zh-CN"/>
        </w:rPr>
        <w:t>资格审查</w:t>
      </w:r>
      <w:r>
        <w:tab/>
      </w:r>
      <w:r>
        <w:fldChar w:fldCharType="begin"/>
      </w:r>
      <w:r>
        <w:instrText xml:space="preserve"> PAGEREF _Toc21252 \h </w:instrText>
      </w:r>
      <w:r>
        <w:fldChar w:fldCharType="separate"/>
      </w:r>
      <w:r>
        <w:t>42</w:t>
      </w:r>
      <w:r>
        <w:fldChar w:fldCharType="end"/>
      </w:r>
      <w:r>
        <w:fldChar w:fldCharType="end"/>
      </w:r>
    </w:p>
    <w:p w14:paraId="57CEAEA4">
      <w:pPr>
        <w:pStyle w:val="17"/>
        <w:tabs>
          <w:tab w:val="right" w:leader="dot" w:pos="8306"/>
        </w:tabs>
        <w:rPr>
          <w:rFonts w:hint="eastAsia"/>
        </w:rPr>
      </w:pPr>
      <w:r>
        <w:fldChar w:fldCharType="begin"/>
      </w:r>
      <w:r>
        <w:instrText xml:space="preserve"> HYPERLINK \l "_Toc2997" </w:instrText>
      </w:r>
      <w:r>
        <w:fldChar w:fldCharType="separate"/>
      </w:r>
      <w:r>
        <w:rPr>
          <w:rFonts w:hint="eastAsia"/>
          <w:lang w:val="zh-CN"/>
        </w:rPr>
        <w:t>（二） 信用信息核查</w:t>
      </w:r>
      <w:r>
        <w:tab/>
      </w:r>
      <w:r>
        <w:fldChar w:fldCharType="begin"/>
      </w:r>
      <w:r>
        <w:instrText xml:space="preserve"> PAGEREF _Toc2997 \h </w:instrText>
      </w:r>
      <w:r>
        <w:fldChar w:fldCharType="separate"/>
      </w:r>
      <w:r>
        <w:t>42</w:t>
      </w:r>
      <w:r>
        <w:fldChar w:fldCharType="end"/>
      </w:r>
      <w:r>
        <w:fldChar w:fldCharType="end"/>
      </w:r>
    </w:p>
    <w:p w14:paraId="5DF7922B">
      <w:pPr>
        <w:pStyle w:val="17"/>
        <w:tabs>
          <w:tab w:val="right" w:leader="dot" w:pos="8306"/>
        </w:tabs>
        <w:rPr>
          <w:rFonts w:hint="eastAsia"/>
        </w:rPr>
      </w:pPr>
      <w:r>
        <w:fldChar w:fldCharType="begin"/>
      </w:r>
      <w:r>
        <w:instrText xml:space="preserve"> HYPERLINK \l "_Toc23290" </w:instrText>
      </w:r>
      <w:r>
        <w:fldChar w:fldCharType="separate"/>
      </w:r>
      <w:r>
        <w:rPr>
          <w:rFonts w:hint="eastAsia"/>
          <w:lang w:val="zh-CN"/>
        </w:rPr>
        <w:t>（三） 资格审查结果</w:t>
      </w:r>
      <w:r>
        <w:tab/>
      </w:r>
      <w:r>
        <w:fldChar w:fldCharType="begin"/>
      </w:r>
      <w:r>
        <w:instrText xml:space="preserve"> PAGEREF _Toc23290 \h </w:instrText>
      </w:r>
      <w:r>
        <w:fldChar w:fldCharType="separate"/>
      </w:r>
      <w:r>
        <w:t>43</w:t>
      </w:r>
      <w:r>
        <w:fldChar w:fldCharType="end"/>
      </w:r>
      <w:r>
        <w:fldChar w:fldCharType="end"/>
      </w:r>
    </w:p>
    <w:p w14:paraId="7D5FDDB0">
      <w:pPr>
        <w:pStyle w:val="26"/>
        <w:tabs>
          <w:tab w:val="right" w:leader="dot" w:pos="8306"/>
        </w:tabs>
        <w:rPr>
          <w:rFonts w:hint="eastAsia"/>
        </w:rPr>
      </w:pPr>
      <w:r>
        <w:fldChar w:fldCharType="begin"/>
      </w:r>
      <w:r>
        <w:instrText xml:space="preserve"> HYPERLINK \l "_Toc30225" </w:instrText>
      </w:r>
      <w:r>
        <w:fldChar w:fldCharType="separate"/>
      </w:r>
      <w:r>
        <w:rPr>
          <w:rFonts w:hint="eastAsia"/>
        </w:rPr>
        <w:t xml:space="preserve">三、 </w:t>
      </w:r>
      <w:r>
        <w:rPr>
          <w:rFonts w:hint="eastAsia" w:cs="宋体" w:asciiTheme="majorEastAsia" w:hAnsiTheme="majorEastAsia" w:eastAsiaTheme="majorEastAsia"/>
          <w:kern w:val="0"/>
          <w:szCs w:val="21"/>
        </w:rPr>
        <w:t>资格审查标准</w:t>
      </w:r>
      <w:r>
        <w:tab/>
      </w:r>
      <w:r>
        <w:fldChar w:fldCharType="begin"/>
      </w:r>
      <w:r>
        <w:instrText xml:space="preserve"> PAGEREF _Toc30225 \h </w:instrText>
      </w:r>
      <w:r>
        <w:fldChar w:fldCharType="separate"/>
      </w:r>
      <w:r>
        <w:t>44</w:t>
      </w:r>
      <w:r>
        <w:fldChar w:fldCharType="end"/>
      </w:r>
      <w:r>
        <w:fldChar w:fldCharType="end"/>
      </w:r>
    </w:p>
    <w:p w14:paraId="31B1606A">
      <w:pPr>
        <w:pStyle w:val="23"/>
        <w:tabs>
          <w:tab w:val="right" w:leader="dot" w:pos="8306"/>
        </w:tabs>
        <w:rPr>
          <w:rFonts w:hint="eastAsia"/>
        </w:rPr>
      </w:pPr>
      <w:r>
        <w:fldChar w:fldCharType="begin"/>
      </w:r>
      <w:r>
        <w:instrText xml:space="preserve"> HYPERLINK \l "_Toc27463" </w:instrText>
      </w:r>
      <w:r>
        <w:fldChar w:fldCharType="separate"/>
      </w:r>
      <w:r>
        <w:rPr>
          <w:rFonts w:hint="eastAsia"/>
        </w:rPr>
        <w:t>第五章 评标办法及标准</w:t>
      </w:r>
      <w:r>
        <w:tab/>
      </w:r>
      <w:r>
        <w:fldChar w:fldCharType="begin"/>
      </w:r>
      <w:r>
        <w:instrText xml:space="preserve"> PAGEREF _Toc27463 \h </w:instrText>
      </w:r>
      <w:r>
        <w:fldChar w:fldCharType="separate"/>
      </w:r>
      <w:r>
        <w:t>47</w:t>
      </w:r>
      <w:r>
        <w:fldChar w:fldCharType="end"/>
      </w:r>
      <w:r>
        <w:fldChar w:fldCharType="end"/>
      </w:r>
    </w:p>
    <w:p w14:paraId="33A21F3C">
      <w:pPr>
        <w:pStyle w:val="26"/>
        <w:tabs>
          <w:tab w:val="right" w:leader="dot" w:pos="8306"/>
        </w:tabs>
        <w:rPr>
          <w:rFonts w:hint="eastAsia"/>
        </w:rPr>
      </w:pPr>
      <w:r>
        <w:fldChar w:fldCharType="begin"/>
      </w:r>
      <w:r>
        <w:instrText xml:space="preserve"> HYPERLINK \l "_Toc21664" </w:instrText>
      </w:r>
      <w:r>
        <w:fldChar w:fldCharType="separate"/>
      </w:r>
      <w:r>
        <w:rPr>
          <w:rFonts w:hint="eastAsia"/>
          <w:lang w:val="zh-CN"/>
        </w:rPr>
        <w:t>一、 评标办法前附表</w:t>
      </w:r>
      <w:r>
        <w:tab/>
      </w:r>
      <w:r>
        <w:fldChar w:fldCharType="begin"/>
      </w:r>
      <w:r>
        <w:instrText xml:space="preserve"> PAGEREF _Toc21664 \h </w:instrText>
      </w:r>
      <w:r>
        <w:fldChar w:fldCharType="separate"/>
      </w:r>
      <w:r>
        <w:t>47</w:t>
      </w:r>
      <w:r>
        <w:fldChar w:fldCharType="end"/>
      </w:r>
      <w:r>
        <w:fldChar w:fldCharType="end"/>
      </w:r>
    </w:p>
    <w:p w14:paraId="1C25D8E6">
      <w:pPr>
        <w:pStyle w:val="26"/>
        <w:tabs>
          <w:tab w:val="right" w:leader="dot" w:pos="8306"/>
        </w:tabs>
        <w:rPr>
          <w:rFonts w:hint="eastAsia"/>
        </w:rPr>
      </w:pPr>
      <w:r>
        <w:fldChar w:fldCharType="begin"/>
      </w:r>
      <w:r>
        <w:instrText xml:space="preserve"> HYPERLINK \l "_Toc10327" </w:instrText>
      </w:r>
      <w:r>
        <w:fldChar w:fldCharType="separate"/>
      </w:r>
      <w:r>
        <w:rPr>
          <w:rFonts w:hint="eastAsia"/>
          <w:lang w:val="zh-CN"/>
        </w:rPr>
        <w:t>二、 评标程序</w:t>
      </w:r>
      <w:r>
        <w:tab/>
      </w:r>
      <w:r>
        <w:fldChar w:fldCharType="begin"/>
      </w:r>
      <w:r>
        <w:instrText xml:space="preserve"> PAGEREF _Toc10327 \h </w:instrText>
      </w:r>
      <w:r>
        <w:fldChar w:fldCharType="separate"/>
      </w:r>
      <w:r>
        <w:t>48</w:t>
      </w:r>
      <w:r>
        <w:fldChar w:fldCharType="end"/>
      </w:r>
      <w:r>
        <w:fldChar w:fldCharType="end"/>
      </w:r>
    </w:p>
    <w:p w14:paraId="39481473">
      <w:pPr>
        <w:pStyle w:val="17"/>
        <w:tabs>
          <w:tab w:val="right" w:leader="dot" w:pos="8306"/>
        </w:tabs>
        <w:rPr>
          <w:rFonts w:hint="eastAsia"/>
        </w:rPr>
      </w:pPr>
      <w:r>
        <w:fldChar w:fldCharType="begin"/>
      </w:r>
      <w:r>
        <w:instrText xml:space="preserve"> HYPERLINK \l "_Toc32228" </w:instrText>
      </w:r>
      <w:r>
        <w:fldChar w:fldCharType="separate"/>
      </w:r>
      <w:r>
        <w:rPr>
          <w:rFonts w:hint="eastAsia"/>
          <w:lang w:val="zh-CN"/>
        </w:rPr>
        <w:t>（一） 符合性审查</w:t>
      </w:r>
      <w:r>
        <w:tab/>
      </w:r>
      <w:r>
        <w:fldChar w:fldCharType="begin"/>
      </w:r>
      <w:r>
        <w:instrText xml:space="preserve"> PAGEREF _Toc32228 \h </w:instrText>
      </w:r>
      <w:r>
        <w:fldChar w:fldCharType="separate"/>
      </w:r>
      <w:r>
        <w:t>48</w:t>
      </w:r>
      <w:r>
        <w:fldChar w:fldCharType="end"/>
      </w:r>
      <w:r>
        <w:fldChar w:fldCharType="end"/>
      </w:r>
    </w:p>
    <w:p w14:paraId="43FBD646">
      <w:pPr>
        <w:pStyle w:val="17"/>
        <w:tabs>
          <w:tab w:val="right" w:leader="dot" w:pos="8306"/>
        </w:tabs>
        <w:rPr>
          <w:rFonts w:hint="eastAsia"/>
        </w:rPr>
      </w:pPr>
      <w:r>
        <w:fldChar w:fldCharType="begin"/>
      </w:r>
      <w:r>
        <w:instrText xml:space="preserve"> HYPERLINK \l "_Toc19286" </w:instrText>
      </w:r>
      <w:r>
        <w:fldChar w:fldCharType="separate"/>
      </w:r>
      <w:r>
        <w:rPr>
          <w:rFonts w:hint="eastAsia"/>
          <w:lang w:val="zh-CN"/>
        </w:rPr>
        <w:t>（二） 投标文件澄清</w:t>
      </w:r>
      <w:r>
        <w:rPr>
          <w:rFonts w:hint="eastAsia"/>
        </w:rPr>
        <w:t>及修正</w:t>
      </w:r>
      <w:r>
        <w:tab/>
      </w:r>
      <w:r>
        <w:fldChar w:fldCharType="begin"/>
      </w:r>
      <w:r>
        <w:instrText xml:space="preserve"> PAGEREF _Toc19286 \h </w:instrText>
      </w:r>
      <w:r>
        <w:fldChar w:fldCharType="separate"/>
      </w:r>
      <w:r>
        <w:t>48</w:t>
      </w:r>
      <w:r>
        <w:fldChar w:fldCharType="end"/>
      </w:r>
      <w:r>
        <w:fldChar w:fldCharType="end"/>
      </w:r>
    </w:p>
    <w:p w14:paraId="0A21B01B">
      <w:pPr>
        <w:pStyle w:val="17"/>
        <w:tabs>
          <w:tab w:val="right" w:leader="dot" w:pos="8306"/>
        </w:tabs>
        <w:rPr>
          <w:rFonts w:hint="eastAsia"/>
        </w:rPr>
      </w:pPr>
      <w:r>
        <w:fldChar w:fldCharType="begin"/>
      </w:r>
      <w:r>
        <w:instrText xml:space="preserve"> HYPERLINK \l "_Toc30757" </w:instrText>
      </w:r>
      <w:r>
        <w:fldChar w:fldCharType="separate"/>
      </w:r>
      <w:r>
        <w:rPr>
          <w:rFonts w:hint="eastAsia"/>
        </w:rPr>
        <w:t>（三） 比较和评价</w:t>
      </w:r>
      <w:r>
        <w:tab/>
      </w:r>
      <w:r>
        <w:fldChar w:fldCharType="begin"/>
      </w:r>
      <w:r>
        <w:instrText xml:space="preserve"> PAGEREF _Toc30757 \h </w:instrText>
      </w:r>
      <w:r>
        <w:fldChar w:fldCharType="separate"/>
      </w:r>
      <w:r>
        <w:t>49</w:t>
      </w:r>
      <w:r>
        <w:fldChar w:fldCharType="end"/>
      </w:r>
      <w:r>
        <w:fldChar w:fldCharType="end"/>
      </w:r>
    </w:p>
    <w:p w14:paraId="7B879159">
      <w:pPr>
        <w:pStyle w:val="17"/>
        <w:tabs>
          <w:tab w:val="right" w:leader="dot" w:pos="8306"/>
        </w:tabs>
        <w:rPr>
          <w:rFonts w:hint="eastAsia"/>
        </w:rPr>
      </w:pPr>
      <w:r>
        <w:fldChar w:fldCharType="begin"/>
      </w:r>
      <w:r>
        <w:instrText xml:space="preserve"> HYPERLINK \l "_Toc29689" </w:instrText>
      </w:r>
      <w:r>
        <w:fldChar w:fldCharType="separate"/>
      </w:r>
      <w:r>
        <w:rPr>
          <w:rFonts w:hint="eastAsia"/>
          <w:lang w:val="zh-CN"/>
        </w:rPr>
        <w:t>（四） 评标报告</w:t>
      </w:r>
      <w:r>
        <w:tab/>
      </w:r>
      <w:r>
        <w:fldChar w:fldCharType="begin"/>
      </w:r>
      <w:r>
        <w:instrText xml:space="preserve"> PAGEREF _Toc29689 \h </w:instrText>
      </w:r>
      <w:r>
        <w:fldChar w:fldCharType="separate"/>
      </w:r>
      <w:r>
        <w:t>51</w:t>
      </w:r>
      <w:r>
        <w:fldChar w:fldCharType="end"/>
      </w:r>
      <w:r>
        <w:fldChar w:fldCharType="end"/>
      </w:r>
    </w:p>
    <w:p w14:paraId="32F30393">
      <w:pPr>
        <w:pStyle w:val="17"/>
        <w:tabs>
          <w:tab w:val="right" w:leader="dot" w:pos="8306"/>
        </w:tabs>
        <w:rPr>
          <w:rFonts w:hint="eastAsia"/>
        </w:rPr>
      </w:pPr>
      <w:r>
        <w:fldChar w:fldCharType="begin"/>
      </w:r>
      <w:r>
        <w:instrText xml:space="preserve"> HYPERLINK \l "_Toc29863" </w:instrText>
      </w:r>
      <w:r>
        <w:fldChar w:fldCharType="separate"/>
      </w:r>
      <w:r>
        <w:rPr>
          <w:rFonts w:hint="eastAsia"/>
          <w:lang w:val="zh-CN"/>
        </w:rPr>
        <w:t>（五） 应予废标的情形</w:t>
      </w:r>
      <w:r>
        <w:tab/>
      </w:r>
      <w:r>
        <w:fldChar w:fldCharType="begin"/>
      </w:r>
      <w:r>
        <w:instrText xml:space="preserve"> PAGEREF _Toc29863 \h </w:instrText>
      </w:r>
      <w:r>
        <w:fldChar w:fldCharType="separate"/>
      </w:r>
      <w:r>
        <w:t>52</w:t>
      </w:r>
      <w:r>
        <w:fldChar w:fldCharType="end"/>
      </w:r>
      <w:r>
        <w:fldChar w:fldCharType="end"/>
      </w:r>
    </w:p>
    <w:p w14:paraId="7A326A35">
      <w:pPr>
        <w:pStyle w:val="17"/>
        <w:tabs>
          <w:tab w:val="right" w:leader="dot" w:pos="8306"/>
        </w:tabs>
        <w:rPr>
          <w:rFonts w:hint="eastAsia"/>
        </w:rPr>
      </w:pPr>
      <w:r>
        <w:fldChar w:fldCharType="begin"/>
      </w:r>
      <w:r>
        <w:instrText xml:space="preserve"> HYPERLINK \l "_Toc25935" </w:instrText>
      </w:r>
      <w:r>
        <w:fldChar w:fldCharType="separate"/>
      </w:r>
      <w:r>
        <w:rPr>
          <w:rFonts w:hint="eastAsia"/>
          <w:lang w:val="zh-CN"/>
        </w:rPr>
        <w:t>（六） 停止评标的情形</w:t>
      </w:r>
      <w:r>
        <w:tab/>
      </w:r>
      <w:r>
        <w:fldChar w:fldCharType="begin"/>
      </w:r>
      <w:r>
        <w:instrText xml:space="preserve"> PAGEREF _Toc25935 \h </w:instrText>
      </w:r>
      <w:r>
        <w:fldChar w:fldCharType="separate"/>
      </w:r>
      <w:r>
        <w:t>52</w:t>
      </w:r>
      <w:r>
        <w:fldChar w:fldCharType="end"/>
      </w:r>
      <w:r>
        <w:fldChar w:fldCharType="end"/>
      </w:r>
    </w:p>
    <w:p w14:paraId="6067BE16">
      <w:pPr>
        <w:pStyle w:val="26"/>
        <w:tabs>
          <w:tab w:val="right" w:leader="dot" w:pos="8306"/>
        </w:tabs>
        <w:rPr>
          <w:rFonts w:hint="eastAsia"/>
        </w:rPr>
      </w:pPr>
      <w:r>
        <w:fldChar w:fldCharType="begin"/>
      </w:r>
      <w:r>
        <w:instrText xml:space="preserve"> HYPERLINK \l "_Toc3505" </w:instrText>
      </w:r>
      <w:r>
        <w:fldChar w:fldCharType="separate"/>
      </w:r>
      <w:r>
        <w:rPr>
          <w:rFonts w:hint="eastAsia"/>
          <w:lang w:val="zh-CN"/>
        </w:rPr>
        <w:t>三、 评标标准</w:t>
      </w:r>
      <w:r>
        <w:tab/>
      </w:r>
      <w:r>
        <w:fldChar w:fldCharType="begin"/>
      </w:r>
      <w:r>
        <w:instrText xml:space="preserve"> PAGEREF _Toc3505 \h </w:instrText>
      </w:r>
      <w:r>
        <w:fldChar w:fldCharType="separate"/>
      </w:r>
      <w:r>
        <w:t>53</w:t>
      </w:r>
      <w:r>
        <w:fldChar w:fldCharType="end"/>
      </w:r>
      <w:r>
        <w:fldChar w:fldCharType="end"/>
      </w:r>
    </w:p>
    <w:p w14:paraId="726BD278">
      <w:pPr>
        <w:pStyle w:val="17"/>
        <w:tabs>
          <w:tab w:val="right" w:leader="dot" w:pos="8306"/>
        </w:tabs>
        <w:rPr>
          <w:rFonts w:hint="eastAsia"/>
        </w:rPr>
      </w:pPr>
      <w:r>
        <w:fldChar w:fldCharType="begin"/>
      </w:r>
      <w:r>
        <w:instrText xml:space="preserve"> HYPERLINK \l "_Toc28203" </w:instrText>
      </w:r>
      <w:r>
        <w:fldChar w:fldCharType="separate"/>
      </w:r>
      <w:r>
        <w:rPr>
          <w:rFonts w:hint="eastAsia"/>
          <w:lang w:val="zh-CN"/>
        </w:rPr>
        <w:t>（一） 符合性审查表</w:t>
      </w:r>
      <w:r>
        <w:tab/>
      </w:r>
      <w:r>
        <w:fldChar w:fldCharType="begin"/>
      </w:r>
      <w:r>
        <w:instrText xml:space="preserve"> PAGEREF _Toc28203 \h </w:instrText>
      </w:r>
      <w:r>
        <w:fldChar w:fldCharType="separate"/>
      </w:r>
      <w:r>
        <w:t>53</w:t>
      </w:r>
      <w:r>
        <w:fldChar w:fldCharType="end"/>
      </w:r>
      <w:r>
        <w:fldChar w:fldCharType="end"/>
      </w:r>
    </w:p>
    <w:p w14:paraId="7EAFFF5A">
      <w:pPr>
        <w:pStyle w:val="17"/>
        <w:tabs>
          <w:tab w:val="right" w:leader="dot" w:pos="8306"/>
        </w:tabs>
        <w:rPr>
          <w:rFonts w:hint="eastAsia"/>
        </w:rPr>
      </w:pPr>
      <w:r>
        <w:fldChar w:fldCharType="begin"/>
      </w:r>
      <w:r>
        <w:instrText xml:space="preserve"> HYPERLINK \l "_Toc9674" </w:instrText>
      </w:r>
      <w:r>
        <w:fldChar w:fldCharType="separate"/>
      </w:r>
      <w:r>
        <w:rPr>
          <w:rFonts w:hint="eastAsia"/>
          <w:lang w:val="zh-CN"/>
        </w:rPr>
        <w:t>（二） 评分标准【综合评标法适用】</w:t>
      </w:r>
      <w:r>
        <w:tab/>
      </w:r>
      <w:r>
        <w:fldChar w:fldCharType="begin"/>
      </w:r>
      <w:r>
        <w:instrText xml:space="preserve"> PAGEREF _Toc9674 \h </w:instrText>
      </w:r>
      <w:r>
        <w:fldChar w:fldCharType="separate"/>
      </w:r>
      <w:r>
        <w:t>54</w:t>
      </w:r>
      <w:r>
        <w:fldChar w:fldCharType="end"/>
      </w:r>
      <w:r>
        <w:fldChar w:fldCharType="end"/>
      </w:r>
    </w:p>
    <w:p w14:paraId="0F6CE766">
      <w:pPr>
        <w:pStyle w:val="23"/>
        <w:tabs>
          <w:tab w:val="right" w:leader="dot" w:pos="8306"/>
        </w:tabs>
        <w:rPr>
          <w:rFonts w:hint="eastAsia"/>
        </w:rPr>
      </w:pPr>
      <w:r>
        <w:fldChar w:fldCharType="begin"/>
      </w:r>
      <w:r>
        <w:instrText xml:space="preserve"> HYPERLINK \l "_Toc501" </w:instrText>
      </w:r>
      <w:r>
        <w:fldChar w:fldCharType="separate"/>
      </w:r>
      <w:r>
        <w:rPr>
          <w:rFonts w:hint="eastAsia"/>
          <w:lang w:val="zh-CN"/>
        </w:rPr>
        <w:t>第六章 合同草案</w:t>
      </w:r>
      <w:r>
        <w:tab/>
      </w:r>
      <w:r>
        <w:fldChar w:fldCharType="begin"/>
      </w:r>
      <w:r>
        <w:instrText xml:space="preserve"> PAGEREF _Toc501 \h </w:instrText>
      </w:r>
      <w:r>
        <w:fldChar w:fldCharType="separate"/>
      </w:r>
      <w:r>
        <w:t>59</w:t>
      </w:r>
      <w:r>
        <w:fldChar w:fldCharType="end"/>
      </w:r>
      <w:r>
        <w:fldChar w:fldCharType="end"/>
      </w:r>
    </w:p>
    <w:p w14:paraId="0C03D483">
      <w:pPr>
        <w:pStyle w:val="23"/>
        <w:tabs>
          <w:tab w:val="right" w:leader="dot" w:pos="8306"/>
        </w:tabs>
        <w:rPr>
          <w:rFonts w:hint="eastAsia"/>
        </w:rPr>
      </w:pPr>
      <w:r>
        <w:fldChar w:fldCharType="begin"/>
      </w:r>
      <w:r>
        <w:instrText xml:space="preserve"> HYPERLINK \l "_Toc31184" </w:instrText>
      </w:r>
      <w:r>
        <w:fldChar w:fldCharType="separate"/>
      </w:r>
      <w:r>
        <w:rPr>
          <w:rFonts w:hint="eastAsia"/>
        </w:rPr>
        <w:t xml:space="preserve">第七章 </w:t>
      </w:r>
      <w:r>
        <w:t>投标文件的格式</w:t>
      </w:r>
      <w:r>
        <w:tab/>
      </w:r>
      <w:r>
        <w:fldChar w:fldCharType="begin"/>
      </w:r>
      <w:r>
        <w:instrText xml:space="preserve"> PAGEREF _Toc31184 \h </w:instrText>
      </w:r>
      <w:r>
        <w:fldChar w:fldCharType="separate"/>
      </w:r>
      <w:r>
        <w:t>60</w:t>
      </w:r>
      <w:r>
        <w:fldChar w:fldCharType="end"/>
      </w:r>
      <w:r>
        <w:fldChar w:fldCharType="end"/>
      </w:r>
    </w:p>
    <w:p w14:paraId="1B4A3BC2">
      <w:pPr>
        <w:pStyle w:val="26"/>
        <w:tabs>
          <w:tab w:val="right" w:leader="dot" w:pos="8306"/>
        </w:tabs>
        <w:rPr>
          <w:rFonts w:hint="eastAsia"/>
        </w:rPr>
      </w:pPr>
      <w:r>
        <w:fldChar w:fldCharType="begin"/>
      </w:r>
      <w:r>
        <w:instrText xml:space="preserve"> HYPERLINK \l "_Toc27867" </w:instrText>
      </w:r>
      <w:r>
        <w:fldChar w:fldCharType="separate"/>
      </w:r>
      <w:r>
        <w:rPr>
          <w:rFonts w:hint="eastAsia"/>
          <w:lang w:val="zh-CN"/>
        </w:rPr>
        <w:t>一、 投标函及报价文件</w:t>
      </w:r>
      <w:r>
        <w:tab/>
      </w:r>
      <w:r>
        <w:fldChar w:fldCharType="begin"/>
      </w:r>
      <w:r>
        <w:instrText xml:space="preserve"> PAGEREF _Toc27867 \h </w:instrText>
      </w:r>
      <w:r>
        <w:fldChar w:fldCharType="separate"/>
      </w:r>
      <w:r>
        <w:t>70</w:t>
      </w:r>
      <w:r>
        <w:fldChar w:fldCharType="end"/>
      </w:r>
      <w:r>
        <w:fldChar w:fldCharType="end"/>
      </w:r>
    </w:p>
    <w:p w14:paraId="37052551">
      <w:pPr>
        <w:pStyle w:val="17"/>
        <w:tabs>
          <w:tab w:val="right" w:leader="dot" w:pos="8306"/>
        </w:tabs>
        <w:rPr>
          <w:rFonts w:hint="eastAsia"/>
        </w:rPr>
      </w:pPr>
      <w:r>
        <w:fldChar w:fldCharType="begin"/>
      </w:r>
      <w:r>
        <w:instrText xml:space="preserve"> HYPERLINK \l "_Toc17622" </w:instrText>
      </w:r>
      <w:r>
        <w:fldChar w:fldCharType="separate"/>
      </w:r>
      <w:r>
        <w:rPr>
          <w:rFonts w:hint="eastAsia"/>
        </w:rPr>
        <w:t>（一） 投标函</w:t>
      </w:r>
      <w:r>
        <w:tab/>
      </w:r>
      <w:r>
        <w:fldChar w:fldCharType="begin"/>
      </w:r>
      <w:r>
        <w:instrText xml:space="preserve"> PAGEREF _Toc17622 \h </w:instrText>
      </w:r>
      <w:r>
        <w:fldChar w:fldCharType="separate"/>
      </w:r>
      <w:r>
        <w:t>71</w:t>
      </w:r>
      <w:r>
        <w:fldChar w:fldCharType="end"/>
      </w:r>
      <w:r>
        <w:fldChar w:fldCharType="end"/>
      </w:r>
    </w:p>
    <w:p w14:paraId="4A591DE4">
      <w:pPr>
        <w:pStyle w:val="17"/>
        <w:tabs>
          <w:tab w:val="right" w:leader="dot" w:pos="8306"/>
        </w:tabs>
        <w:rPr>
          <w:rFonts w:hint="eastAsia"/>
        </w:rPr>
      </w:pPr>
      <w:r>
        <w:fldChar w:fldCharType="begin"/>
      </w:r>
      <w:r>
        <w:instrText xml:space="preserve"> HYPERLINK \l "_Toc9918" </w:instrText>
      </w:r>
      <w:r>
        <w:fldChar w:fldCharType="separate"/>
      </w:r>
      <w:r>
        <w:rPr>
          <w:rFonts w:hint="eastAsia"/>
        </w:rPr>
        <w:t>（二） 开标一览表</w:t>
      </w:r>
      <w:r>
        <w:tab/>
      </w:r>
      <w:r>
        <w:fldChar w:fldCharType="begin"/>
      </w:r>
      <w:r>
        <w:instrText xml:space="preserve"> PAGEREF _Toc9918 \h </w:instrText>
      </w:r>
      <w:r>
        <w:fldChar w:fldCharType="separate"/>
      </w:r>
      <w:r>
        <w:t>73</w:t>
      </w:r>
      <w:r>
        <w:fldChar w:fldCharType="end"/>
      </w:r>
      <w:r>
        <w:fldChar w:fldCharType="end"/>
      </w:r>
    </w:p>
    <w:p w14:paraId="5B926654">
      <w:pPr>
        <w:pStyle w:val="17"/>
        <w:tabs>
          <w:tab w:val="right" w:leader="dot" w:pos="8306"/>
        </w:tabs>
        <w:rPr>
          <w:rFonts w:hint="eastAsia"/>
        </w:rPr>
      </w:pPr>
      <w:r>
        <w:fldChar w:fldCharType="begin"/>
      </w:r>
      <w:r>
        <w:instrText xml:space="preserve"> HYPERLINK \l "_Toc8780" </w:instrText>
      </w:r>
      <w:r>
        <w:fldChar w:fldCharType="separate"/>
      </w:r>
      <w:r>
        <w:rPr>
          <w:rFonts w:hint="eastAsia"/>
        </w:rPr>
        <w:t>（三） 法定代表人（负责人）身份证明</w:t>
      </w:r>
      <w:r>
        <w:tab/>
      </w:r>
      <w:r>
        <w:fldChar w:fldCharType="begin"/>
      </w:r>
      <w:r>
        <w:instrText xml:space="preserve"> PAGEREF _Toc8780 \h </w:instrText>
      </w:r>
      <w:r>
        <w:fldChar w:fldCharType="separate"/>
      </w:r>
      <w:r>
        <w:t>74</w:t>
      </w:r>
      <w:r>
        <w:fldChar w:fldCharType="end"/>
      </w:r>
      <w:r>
        <w:fldChar w:fldCharType="end"/>
      </w:r>
    </w:p>
    <w:p w14:paraId="5EC4D3C1">
      <w:pPr>
        <w:pStyle w:val="17"/>
        <w:tabs>
          <w:tab w:val="right" w:leader="dot" w:pos="8306"/>
        </w:tabs>
        <w:rPr>
          <w:rFonts w:hint="eastAsia"/>
        </w:rPr>
      </w:pPr>
      <w:r>
        <w:fldChar w:fldCharType="begin"/>
      </w:r>
      <w:r>
        <w:instrText xml:space="preserve"> HYPERLINK \l "_Toc6481" </w:instrText>
      </w:r>
      <w:r>
        <w:fldChar w:fldCharType="separate"/>
      </w:r>
      <w:r>
        <w:rPr>
          <w:rFonts w:hint="eastAsia"/>
        </w:rPr>
        <w:t>（四） 法定代表人（负责人）授权书</w:t>
      </w:r>
      <w:r>
        <w:tab/>
      </w:r>
      <w:r>
        <w:fldChar w:fldCharType="begin"/>
      </w:r>
      <w:r>
        <w:instrText xml:space="preserve"> PAGEREF _Toc6481 \h </w:instrText>
      </w:r>
      <w:r>
        <w:fldChar w:fldCharType="separate"/>
      </w:r>
      <w:r>
        <w:t>75</w:t>
      </w:r>
      <w:r>
        <w:fldChar w:fldCharType="end"/>
      </w:r>
      <w:r>
        <w:fldChar w:fldCharType="end"/>
      </w:r>
    </w:p>
    <w:p w14:paraId="6B731122">
      <w:pPr>
        <w:pStyle w:val="26"/>
        <w:tabs>
          <w:tab w:val="right" w:leader="dot" w:pos="8306"/>
        </w:tabs>
        <w:rPr>
          <w:rFonts w:hint="eastAsia"/>
        </w:rPr>
      </w:pPr>
      <w:r>
        <w:fldChar w:fldCharType="begin"/>
      </w:r>
      <w:r>
        <w:instrText xml:space="preserve"> HYPERLINK \l "_Toc8743" </w:instrText>
      </w:r>
      <w:r>
        <w:fldChar w:fldCharType="separate"/>
      </w:r>
      <w:r>
        <w:rPr>
          <w:rFonts w:hint="eastAsia"/>
          <w:lang w:val="zh-CN"/>
        </w:rPr>
        <w:t>二、 资格证明文件</w:t>
      </w:r>
      <w:r>
        <w:tab/>
      </w:r>
      <w:r>
        <w:fldChar w:fldCharType="begin"/>
      </w:r>
      <w:r>
        <w:instrText xml:space="preserve"> PAGEREF _Toc8743 \h </w:instrText>
      </w:r>
      <w:r>
        <w:fldChar w:fldCharType="separate"/>
      </w:r>
      <w:r>
        <w:t>76</w:t>
      </w:r>
      <w:r>
        <w:fldChar w:fldCharType="end"/>
      </w:r>
      <w:r>
        <w:fldChar w:fldCharType="end"/>
      </w:r>
    </w:p>
    <w:p w14:paraId="5E6BF767">
      <w:pPr>
        <w:pStyle w:val="17"/>
        <w:tabs>
          <w:tab w:val="right" w:leader="dot" w:pos="8306"/>
        </w:tabs>
        <w:rPr>
          <w:rFonts w:hint="eastAsia"/>
        </w:rPr>
      </w:pPr>
      <w:r>
        <w:fldChar w:fldCharType="begin"/>
      </w:r>
      <w:r>
        <w:instrText xml:space="preserve"> HYPERLINK \l "_Toc10600" </w:instrText>
      </w:r>
      <w:r>
        <w:fldChar w:fldCharType="separate"/>
      </w:r>
      <w:r>
        <w:rPr>
          <w:rFonts w:hint="eastAsia"/>
        </w:rPr>
        <w:t>（一） 企业法人营业执照、事业单位法人证书或团体组织法人证书</w:t>
      </w:r>
      <w:r>
        <w:tab/>
      </w:r>
      <w:r>
        <w:fldChar w:fldCharType="begin"/>
      </w:r>
      <w:r>
        <w:instrText xml:space="preserve"> PAGEREF _Toc10600 \h </w:instrText>
      </w:r>
      <w:r>
        <w:fldChar w:fldCharType="separate"/>
      </w:r>
      <w:r>
        <w:t>77</w:t>
      </w:r>
      <w:r>
        <w:fldChar w:fldCharType="end"/>
      </w:r>
      <w:r>
        <w:fldChar w:fldCharType="end"/>
      </w:r>
    </w:p>
    <w:p w14:paraId="1E9563D1">
      <w:pPr>
        <w:pStyle w:val="17"/>
        <w:tabs>
          <w:tab w:val="right" w:leader="dot" w:pos="8306"/>
        </w:tabs>
        <w:rPr>
          <w:rFonts w:hint="eastAsia"/>
        </w:rPr>
      </w:pPr>
      <w:r>
        <w:fldChar w:fldCharType="begin"/>
      </w:r>
      <w:r>
        <w:instrText xml:space="preserve"> HYPERLINK \l "_Toc11275" </w:instrText>
      </w:r>
      <w:r>
        <w:fldChar w:fldCharType="separate"/>
      </w:r>
      <w:r>
        <w:rPr>
          <w:rFonts w:hint="eastAsia"/>
        </w:rPr>
        <w:t>（二） 资格条件承诺书</w:t>
      </w:r>
      <w:r>
        <w:tab/>
      </w:r>
      <w:r>
        <w:fldChar w:fldCharType="begin"/>
      </w:r>
      <w:r>
        <w:instrText xml:space="preserve"> PAGEREF _Toc11275 \h </w:instrText>
      </w:r>
      <w:r>
        <w:fldChar w:fldCharType="separate"/>
      </w:r>
      <w:r>
        <w:t>77</w:t>
      </w:r>
      <w:r>
        <w:fldChar w:fldCharType="end"/>
      </w:r>
      <w:r>
        <w:fldChar w:fldCharType="end"/>
      </w:r>
    </w:p>
    <w:p w14:paraId="15946170">
      <w:pPr>
        <w:pStyle w:val="17"/>
        <w:tabs>
          <w:tab w:val="right" w:leader="dot" w:pos="8306"/>
        </w:tabs>
        <w:rPr>
          <w:rFonts w:hint="eastAsia"/>
        </w:rPr>
      </w:pPr>
      <w:r>
        <w:fldChar w:fldCharType="begin"/>
      </w:r>
      <w:r>
        <w:instrText xml:space="preserve"> HYPERLINK \l "_Toc8674" </w:instrText>
      </w:r>
      <w:r>
        <w:fldChar w:fldCharType="separate"/>
      </w:r>
      <w:r>
        <w:rPr>
          <w:rFonts w:hint="eastAsia"/>
        </w:rPr>
        <w:t>（三） 资格证明文件</w:t>
      </w:r>
      <w:r>
        <w:tab/>
      </w:r>
      <w:r>
        <w:fldChar w:fldCharType="begin"/>
      </w:r>
      <w:r>
        <w:instrText xml:space="preserve"> PAGEREF _Toc8674 \h </w:instrText>
      </w:r>
      <w:r>
        <w:fldChar w:fldCharType="separate"/>
      </w:r>
      <w:r>
        <w:t>78</w:t>
      </w:r>
      <w:r>
        <w:fldChar w:fldCharType="end"/>
      </w:r>
      <w:r>
        <w:fldChar w:fldCharType="end"/>
      </w:r>
    </w:p>
    <w:p w14:paraId="6E3B2097">
      <w:pPr>
        <w:pStyle w:val="17"/>
        <w:tabs>
          <w:tab w:val="right" w:leader="dot" w:pos="8306"/>
        </w:tabs>
        <w:rPr>
          <w:rFonts w:hint="eastAsia"/>
        </w:rPr>
      </w:pPr>
      <w:r>
        <w:fldChar w:fldCharType="begin"/>
      </w:r>
      <w:r>
        <w:instrText xml:space="preserve"> HYPERLINK \l "_Toc12875" </w:instrText>
      </w:r>
      <w:r>
        <w:fldChar w:fldCharType="separate"/>
      </w:r>
      <w:r>
        <w:rPr>
          <w:rFonts w:hint="eastAsia"/>
        </w:rPr>
        <w:t>（四） 其他资格证明文件</w:t>
      </w:r>
      <w:r>
        <w:tab/>
      </w:r>
      <w:r>
        <w:fldChar w:fldCharType="begin"/>
      </w:r>
      <w:r>
        <w:instrText xml:space="preserve"> PAGEREF _Toc12875 \h </w:instrText>
      </w:r>
      <w:r>
        <w:fldChar w:fldCharType="separate"/>
      </w:r>
      <w:r>
        <w:t>79</w:t>
      </w:r>
      <w:r>
        <w:fldChar w:fldCharType="end"/>
      </w:r>
      <w:r>
        <w:fldChar w:fldCharType="end"/>
      </w:r>
    </w:p>
    <w:p w14:paraId="7228DE38">
      <w:pPr>
        <w:pStyle w:val="26"/>
        <w:tabs>
          <w:tab w:val="right" w:leader="dot" w:pos="8306"/>
        </w:tabs>
        <w:rPr>
          <w:rFonts w:hint="eastAsia"/>
        </w:rPr>
      </w:pPr>
      <w:r>
        <w:fldChar w:fldCharType="begin"/>
      </w:r>
      <w:r>
        <w:instrText xml:space="preserve"> HYPERLINK \l "_Toc10680" </w:instrText>
      </w:r>
      <w:r>
        <w:fldChar w:fldCharType="separate"/>
      </w:r>
      <w:r>
        <w:rPr>
          <w:rFonts w:hint="eastAsia"/>
          <w:lang w:val="zh-CN"/>
        </w:rPr>
        <w:t>三、 其他响应文件</w:t>
      </w:r>
      <w:r>
        <w:tab/>
      </w:r>
      <w:r>
        <w:fldChar w:fldCharType="begin"/>
      </w:r>
      <w:r>
        <w:instrText xml:space="preserve"> PAGEREF _Toc10680 \h </w:instrText>
      </w:r>
      <w:r>
        <w:fldChar w:fldCharType="separate"/>
      </w:r>
      <w:r>
        <w:t>80</w:t>
      </w:r>
      <w:r>
        <w:fldChar w:fldCharType="end"/>
      </w:r>
      <w:r>
        <w:fldChar w:fldCharType="end"/>
      </w:r>
    </w:p>
    <w:p w14:paraId="3064D6EE">
      <w:pPr>
        <w:pStyle w:val="17"/>
        <w:tabs>
          <w:tab w:val="right" w:leader="dot" w:pos="8306"/>
        </w:tabs>
        <w:rPr>
          <w:rFonts w:hint="eastAsia"/>
        </w:rPr>
      </w:pPr>
      <w:r>
        <w:fldChar w:fldCharType="begin"/>
      </w:r>
      <w:r>
        <w:instrText xml:space="preserve"> HYPERLINK \l "_Toc3620" </w:instrText>
      </w:r>
      <w:r>
        <w:fldChar w:fldCharType="separate"/>
      </w:r>
      <w:r>
        <w:rPr>
          <w:rFonts w:hint="eastAsia"/>
        </w:rPr>
        <w:t>（一） 商务部分</w:t>
      </w:r>
      <w:r>
        <w:tab/>
      </w:r>
      <w:r>
        <w:fldChar w:fldCharType="begin"/>
      </w:r>
      <w:r>
        <w:instrText xml:space="preserve"> PAGEREF _Toc3620 \h </w:instrText>
      </w:r>
      <w:r>
        <w:fldChar w:fldCharType="separate"/>
      </w:r>
      <w:r>
        <w:t>81</w:t>
      </w:r>
      <w:r>
        <w:fldChar w:fldCharType="end"/>
      </w:r>
      <w:r>
        <w:fldChar w:fldCharType="end"/>
      </w:r>
    </w:p>
    <w:p w14:paraId="0EFCC62C">
      <w:pPr>
        <w:pStyle w:val="24"/>
        <w:tabs>
          <w:tab w:val="right" w:leader="dot" w:pos="8306"/>
        </w:tabs>
        <w:rPr>
          <w:rFonts w:hint="eastAsia"/>
        </w:rPr>
      </w:pPr>
      <w:r>
        <w:fldChar w:fldCharType="begin"/>
      </w:r>
      <w:r>
        <w:instrText xml:space="preserve"> HYPERLINK \l "_Toc29365" </w:instrText>
      </w:r>
      <w:r>
        <w:fldChar w:fldCharType="separate"/>
      </w:r>
      <w:r>
        <w:rPr>
          <w:rFonts w:hint="eastAsia"/>
        </w:rPr>
        <w:t>1. 商务响应偏离表</w:t>
      </w:r>
      <w:r>
        <w:tab/>
      </w:r>
      <w:r>
        <w:fldChar w:fldCharType="begin"/>
      </w:r>
      <w:r>
        <w:instrText xml:space="preserve"> PAGEREF _Toc29365 \h </w:instrText>
      </w:r>
      <w:r>
        <w:fldChar w:fldCharType="separate"/>
      </w:r>
      <w:r>
        <w:t>81</w:t>
      </w:r>
      <w:r>
        <w:fldChar w:fldCharType="end"/>
      </w:r>
      <w:r>
        <w:fldChar w:fldCharType="end"/>
      </w:r>
    </w:p>
    <w:p w14:paraId="37021000">
      <w:pPr>
        <w:pStyle w:val="24"/>
        <w:tabs>
          <w:tab w:val="right" w:leader="dot" w:pos="8306"/>
        </w:tabs>
        <w:rPr>
          <w:rFonts w:hint="eastAsia"/>
        </w:rPr>
      </w:pPr>
      <w:r>
        <w:fldChar w:fldCharType="begin"/>
      </w:r>
      <w:r>
        <w:instrText xml:space="preserve"> HYPERLINK \l "_Toc31156" </w:instrText>
      </w:r>
      <w:r>
        <w:fldChar w:fldCharType="separate"/>
      </w:r>
      <w:r>
        <w:rPr>
          <w:rFonts w:hint="eastAsia"/>
        </w:rPr>
        <w:t>2. 其他商务文件</w:t>
      </w:r>
      <w:r>
        <w:tab/>
      </w:r>
      <w:r>
        <w:fldChar w:fldCharType="begin"/>
      </w:r>
      <w:r>
        <w:instrText xml:space="preserve"> PAGEREF _Toc31156 \h </w:instrText>
      </w:r>
      <w:r>
        <w:fldChar w:fldCharType="separate"/>
      </w:r>
      <w:r>
        <w:t>82</w:t>
      </w:r>
      <w:r>
        <w:fldChar w:fldCharType="end"/>
      </w:r>
      <w:r>
        <w:fldChar w:fldCharType="end"/>
      </w:r>
    </w:p>
    <w:p w14:paraId="11E18A12">
      <w:pPr>
        <w:pStyle w:val="17"/>
        <w:tabs>
          <w:tab w:val="right" w:leader="dot" w:pos="8306"/>
        </w:tabs>
        <w:rPr>
          <w:rFonts w:hint="eastAsia"/>
        </w:rPr>
      </w:pPr>
      <w:r>
        <w:fldChar w:fldCharType="begin"/>
      </w:r>
      <w:r>
        <w:instrText xml:space="preserve"> HYPERLINK \l "_Toc18450" </w:instrText>
      </w:r>
      <w:r>
        <w:fldChar w:fldCharType="separate"/>
      </w:r>
      <w:r>
        <w:rPr>
          <w:rFonts w:hint="eastAsia"/>
        </w:rPr>
        <w:t>（二） 技术部分</w:t>
      </w:r>
      <w:r>
        <w:tab/>
      </w:r>
      <w:r>
        <w:fldChar w:fldCharType="begin"/>
      </w:r>
      <w:r>
        <w:instrText xml:space="preserve"> PAGEREF _Toc18450 \h </w:instrText>
      </w:r>
      <w:r>
        <w:fldChar w:fldCharType="separate"/>
      </w:r>
      <w:r>
        <w:t>83</w:t>
      </w:r>
      <w:r>
        <w:fldChar w:fldCharType="end"/>
      </w:r>
      <w:r>
        <w:fldChar w:fldCharType="end"/>
      </w:r>
    </w:p>
    <w:p w14:paraId="146C5BD5">
      <w:pPr>
        <w:pStyle w:val="24"/>
        <w:tabs>
          <w:tab w:val="right" w:leader="dot" w:pos="8306"/>
        </w:tabs>
        <w:rPr>
          <w:rFonts w:hint="eastAsia"/>
        </w:rPr>
      </w:pPr>
      <w:r>
        <w:fldChar w:fldCharType="begin"/>
      </w:r>
      <w:r>
        <w:instrText xml:space="preserve"> HYPERLINK \l "_Toc28309" </w:instrText>
      </w:r>
      <w:r>
        <w:fldChar w:fldCharType="separate"/>
      </w:r>
      <w:r>
        <w:rPr>
          <w:rFonts w:hint="eastAsia"/>
        </w:rPr>
        <w:t>1. 技术响应偏离表</w:t>
      </w:r>
      <w:r>
        <w:tab/>
      </w:r>
      <w:r>
        <w:fldChar w:fldCharType="begin"/>
      </w:r>
      <w:r>
        <w:instrText xml:space="preserve"> PAGEREF _Toc28309 \h </w:instrText>
      </w:r>
      <w:r>
        <w:fldChar w:fldCharType="separate"/>
      </w:r>
      <w:r>
        <w:t>83</w:t>
      </w:r>
      <w:r>
        <w:fldChar w:fldCharType="end"/>
      </w:r>
      <w:r>
        <w:fldChar w:fldCharType="end"/>
      </w:r>
    </w:p>
    <w:p w14:paraId="6E218883">
      <w:pPr>
        <w:pStyle w:val="24"/>
        <w:tabs>
          <w:tab w:val="right" w:leader="dot" w:pos="8306"/>
        </w:tabs>
        <w:rPr>
          <w:rFonts w:hint="eastAsia"/>
        </w:rPr>
      </w:pPr>
      <w:r>
        <w:fldChar w:fldCharType="begin"/>
      </w:r>
      <w:r>
        <w:instrText xml:space="preserve"> HYPERLINK \l "_Toc21281" </w:instrText>
      </w:r>
      <w:r>
        <w:fldChar w:fldCharType="separate"/>
      </w:r>
      <w:r>
        <w:rPr>
          <w:rFonts w:hint="eastAsia"/>
        </w:rPr>
        <w:t>2. 技术方案</w:t>
      </w:r>
      <w:r>
        <w:tab/>
      </w:r>
      <w:r>
        <w:fldChar w:fldCharType="begin"/>
      </w:r>
      <w:r>
        <w:instrText xml:space="preserve"> PAGEREF _Toc21281 \h </w:instrText>
      </w:r>
      <w:r>
        <w:fldChar w:fldCharType="separate"/>
      </w:r>
      <w:r>
        <w:t>84</w:t>
      </w:r>
      <w:r>
        <w:fldChar w:fldCharType="end"/>
      </w:r>
      <w:r>
        <w:fldChar w:fldCharType="end"/>
      </w:r>
    </w:p>
    <w:p w14:paraId="255290A0">
      <w:pPr>
        <w:pStyle w:val="24"/>
        <w:tabs>
          <w:tab w:val="right" w:leader="dot" w:pos="8306"/>
        </w:tabs>
        <w:rPr>
          <w:rFonts w:hint="eastAsia"/>
        </w:rPr>
      </w:pPr>
      <w:r>
        <w:fldChar w:fldCharType="begin"/>
      </w:r>
      <w:r>
        <w:instrText xml:space="preserve"> HYPERLINK \l "_Toc13937" </w:instrText>
      </w:r>
      <w:r>
        <w:fldChar w:fldCharType="separate"/>
      </w:r>
      <w:r>
        <w:rPr>
          <w:rFonts w:hint="eastAsia"/>
        </w:rPr>
        <w:t>3. 其他技术文件</w:t>
      </w:r>
      <w:r>
        <w:tab/>
      </w:r>
      <w:r>
        <w:fldChar w:fldCharType="begin"/>
      </w:r>
      <w:r>
        <w:instrText xml:space="preserve"> PAGEREF _Toc13937 \h </w:instrText>
      </w:r>
      <w:r>
        <w:fldChar w:fldCharType="separate"/>
      </w:r>
      <w:r>
        <w:t>85</w:t>
      </w:r>
      <w:r>
        <w:fldChar w:fldCharType="end"/>
      </w:r>
      <w:r>
        <w:fldChar w:fldCharType="end"/>
      </w:r>
    </w:p>
    <w:p w14:paraId="3FF18E71">
      <w:pPr>
        <w:pStyle w:val="17"/>
        <w:tabs>
          <w:tab w:val="right" w:leader="dot" w:pos="8306"/>
        </w:tabs>
        <w:rPr>
          <w:rFonts w:hint="eastAsia"/>
        </w:rPr>
      </w:pPr>
      <w:r>
        <w:fldChar w:fldCharType="begin"/>
      </w:r>
      <w:r>
        <w:instrText xml:space="preserve"> HYPERLINK \l "_Toc19994" </w:instrText>
      </w:r>
      <w:r>
        <w:fldChar w:fldCharType="separate"/>
      </w:r>
      <w:r>
        <w:rPr>
          <w:rFonts w:hint="eastAsia"/>
        </w:rPr>
        <w:t>（三） 落实政府采购政策相关证明文件</w:t>
      </w:r>
      <w:r>
        <w:tab/>
      </w:r>
      <w:r>
        <w:fldChar w:fldCharType="begin"/>
      </w:r>
      <w:r>
        <w:instrText xml:space="preserve"> PAGEREF _Toc19994 \h </w:instrText>
      </w:r>
      <w:r>
        <w:fldChar w:fldCharType="separate"/>
      </w:r>
      <w:r>
        <w:t>86</w:t>
      </w:r>
      <w:r>
        <w:fldChar w:fldCharType="end"/>
      </w:r>
      <w:r>
        <w:fldChar w:fldCharType="end"/>
      </w:r>
    </w:p>
    <w:p w14:paraId="0E0744A5">
      <w:pPr>
        <w:pStyle w:val="24"/>
        <w:tabs>
          <w:tab w:val="right" w:leader="dot" w:pos="8306"/>
        </w:tabs>
        <w:rPr>
          <w:rFonts w:hint="eastAsia"/>
        </w:rPr>
      </w:pPr>
      <w:r>
        <w:fldChar w:fldCharType="begin"/>
      </w:r>
      <w:r>
        <w:instrText xml:space="preserve"> HYPERLINK \l "_Toc9475" </w:instrText>
      </w:r>
      <w:r>
        <w:fldChar w:fldCharType="separate"/>
      </w:r>
      <w:r>
        <w:rPr>
          <w:rFonts w:hint="eastAsia"/>
        </w:rPr>
        <w:t>1. 节能环保产品清单及证明材料【如适用】</w:t>
      </w:r>
      <w:r>
        <w:tab/>
      </w:r>
      <w:r>
        <w:fldChar w:fldCharType="begin"/>
      </w:r>
      <w:r>
        <w:instrText xml:space="preserve"> PAGEREF _Toc9475 \h </w:instrText>
      </w:r>
      <w:r>
        <w:fldChar w:fldCharType="separate"/>
      </w:r>
      <w:r>
        <w:t>86</w:t>
      </w:r>
      <w:r>
        <w:fldChar w:fldCharType="end"/>
      </w:r>
      <w:r>
        <w:fldChar w:fldCharType="end"/>
      </w:r>
    </w:p>
    <w:p w14:paraId="516CFC52">
      <w:pPr>
        <w:pStyle w:val="24"/>
        <w:tabs>
          <w:tab w:val="right" w:leader="dot" w:pos="8306"/>
        </w:tabs>
        <w:rPr>
          <w:rFonts w:hint="eastAsia"/>
        </w:rPr>
      </w:pPr>
      <w:r>
        <w:fldChar w:fldCharType="begin"/>
      </w:r>
      <w:r>
        <w:instrText xml:space="preserve"> HYPERLINK \l "_Toc24200" </w:instrText>
      </w:r>
      <w:r>
        <w:fldChar w:fldCharType="separate"/>
      </w:r>
      <w:r>
        <w:rPr>
          <w:rFonts w:hint="eastAsia"/>
        </w:rPr>
        <w:t>2. 中小企业声明函【如适用】</w:t>
      </w:r>
      <w:r>
        <w:tab/>
      </w:r>
      <w:r>
        <w:fldChar w:fldCharType="begin"/>
      </w:r>
      <w:r>
        <w:instrText xml:space="preserve"> PAGEREF _Toc24200 \h </w:instrText>
      </w:r>
      <w:r>
        <w:fldChar w:fldCharType="separate"/>
      </w:r>
      <w:r>
        <w:t>87</w:t>
      </w:r>
      <w:r>
        <w:fldChar w:fldCharType="end"/>
      </w:r>
      <w:r>
        <w:fldChar w:fldCharType="end"/>
      </w:r>
    </w:p>
    <w:p w14:paraId="1CA02AA4">
      <w:pPr>
        <w:pStyle w:val="24"/>
        <w:tabs>
          <w:tab w:val="right" w:leader="dot" w:pos="8306"/>
        </w:tabs>
        <w:rPr>
          <w:rFonts w:hint="eastAsia"/>
        </w:rPr>
      </w:pPr>
      <w:r>
        <w:fldChar w:fldCharType="begin"/>
      </w:r>
      <w:r>
        <w:instrText xml:space="preserve"> HYPERLINK \l "_Toc28520" </w:instrText>
      </w:r>
      <w:r>
        <w:fldChar w:fldCharType="separate"/>
      </w:r>
      <w:r>
        <w:rPr>
          <w:rFonts w:hint="eastAsia"/>
        </w:rPr>
        <w:t>3. 监狱企业证明文件【如适用】</w:t>
      </w:r>
      <w:r>
        <w:tab/>
      </w:r>
      <w:r>
        <w:fldChar w:fldCharType="begin"/>
      </w:r>
      <w:r>
        <w:instrText xml:space="preserve"> PAGEREF _Toc28520 \h </w:instrText>
      </w:r>
      <w:r>
        <w:fldChar w:fldCharType="separate"/>
      </w:r>
      <w:r>
        <w:t>88</w:t>
      </w:r>
      <w:r>
        <w:fldChar w:fldCharType="end"/>
      </w:r>
      <w:r>
        <w:fldChar w:fldCharType="end"/>
      </w:r>
    </w:p>
    <w:p w14:paraId="5A4E7A04">
      <w:pPr>
        <w:pStyle w:val="24"/>
        <w:tabs>
          <w:tab w:val="right" w:leader="dot" w:pos="8306"/>
        </w:tabs>
        <w:rPr>
          <w:rFonts w:hint="eastAsia"/>
        </w:rPr>
      </w:pPr>
      <w:r>
        <w:fldChar w:fldCharType="begin"/>
      </w:r>
      <w:r>
        <w:instrText xml:space="preserve"> HYPERLINK \l "_Toc23531" </w:instrText>
      </w:r>
      <w:r>
        <w:fldChar w:fldCharType="separate"/>
      </w:r>
      <w:r>
        <w:rPr>
          <w:rFonts w:hint="eastAsia"/>
        </w:rPr>
        <w:t xml:space="preserve">4. </w:t>
      </w:r>
      <w:r>
        <w:t>残疾人福利性单位声明函</w:t>
      </w:r>
      <w:r>
        <w:rPr>
          <w:rFonts w:hint="eastAsia"/>
        </w:rPr>
        <w:t>【如适用】</w:t>
      </w:r>
      <w:r>
        <w:tab/>
      </w:r>
      <w:r>
        <w:fldChar w:fldCharType="begin"/>
      </w:r>
      <w:r>
        <w:instrText xml:space="preserve"> PAGEREF _Toc23531 \h </w:instrText>
      </w:r>
      <w:r>
        <w:fldChar w:fldCharType="separate"/>
      </w:r>
      <w:r>
        <w:t>89</w:t>
      </w:r>
      <w:r>
        <w:fldChar w:fldCharType="end"/>
      </w:r>
      <w:r>
        <w:fldChar w:fldCharType="end"/>
      </w:r>
    </w:p>
    <w:p w14:paraId="1E3B5E4C">
      <w:pPr>
        <w:pStyle w:val="24"/>
        <w:tabs>
          <w:tab w:val="right" w:leader="dot" w:pos="8306"/>
        </w:tabs>
        <w:rPr>
          <w:rFonts w:hint="eastAsia"/>
        </w:rPr>
      </w:pPr>
      <w:r>
        <w:fldChar w:fldCharType="begin"/>
      </w:r>
      <w:r>
        <w:instrText xml:space="preserve"> HYPERLINK \l "_Toc29356" </w:instrText>
      </w:r>
      <w:r>
        <w:fldChar w:fldCharType="separate"/>
      </w:r>
      <w:r>
        <w:rPr>
          <w:rFonts w:hint="eastAsia"/>
        </w:rPr>
        <w:t>5. 投标供应商认为需要提供的其他资料</w:t>
      </w:r>
      <w:r>
        <w:tab/>
      </w:r>
      <w:r>
        <w:fldChar w:fldCharType="begin"/>
      </w:r>
      <w:r>
        <w:instrText xml:space="preserve"> PAGEREF _Toc29356 \h </w:instrText>
      </w:r>
      <w:r>
        <w:fldChar w:fldCharType="separate"/>
      </w:r>
      <w:r>
        <w:t>92</w:t>
      </w:r>
      <w:r>
        <w:fldChar w:fldCharType="end"/>
      </w:r>
      <w:r>
        <w:fldChar w:fldCharType="end"/>
      </w:r>
    </w:p>
    <w:p w14:paraId="21AD6D75">
      <w:pPr>
        <w:rPr>
          <w:rFonts w:hint="eastAsia"/>
        </w:rPr>
      </w:pPr>
      <w:r>
        <w:fldChar w:fldCharType="end"/>
      </w:r>
    </w:p>
    <w:p w14:paraId="3AC5BD5A">
      <w:pPr>
        <w:jc w:val="center"/>
        <w:rPr>
          <w:rFonts w:hint="eastAsia" w:ascii="黑体" w:hAnsi="黑体" w:eastAsia="黑体"/>
          <w:b/>
          <w:bCs/>
          <w:sz w:val="32"/>
          <w:szCs w:val="32"/>
        </w:rPr>
      </w:pPr>
    </w:p>
    <w:p w14:paraId="7BFC0DC2">
      <w:pPr>
        <w:jc w:val="center"/>
        <w:rPr>
          <w:rFonts w:hint="eastAsia" w:ascii="黑体" w:hAnsi="黑体" w:eastAsia="黑体"/>
          <w:b/>
          <w:bCs/>
          <w:sz w:val="32"/>
          <w:szCs w:val="32"/>
        </w:rPr>
        <w:sectPr>
          <w:pgSz w:w="11906" w:h="16838"/>
          <w:pgMar w:top="1440" w:right="1800" w:bottom="1440" w:left="1800" w:header="851" w:footer="992" w:gutter="0"/>
          <w:cols w:space="425" w:num="1"/>
          <w:docGrid w:type="lines" w:linePitch="312" w:charSpace="0"/>
        </w:sectPr>
      </w:pPr>
    </w:p>
    <w:p w14:paraId="3AC12789">
      <w:pPr>
        <w:pStyle w:val="3"/>
        <w:numPr>
          <w:ilvl w:val="0"/>
          <w:numId w:val="2"/>
        </w:numPr>
        <w:rPr>
          <w:rFonts w:hint="eastAsia" w:cs="仿宋_GB2312"/>
          <w:szCs w:val="24"/>
        </w:rPr>
      </w:pPr>
      <w:bookmarkStart w:id="1" w:name="_Toc155185859"/>
      <w:bookmarkStart w:id="2" w:name="_Toc20705"/>
      <w:r>
        <w:rPr>
          <w:rFonts w:hint="eastAsia"/>
        </w:rPr>
        <w:t>投标邀请</w:t>
      </w:r>
      <w:bookmarkEnd w:id="1"/>
      <w:bookmarkEnd w:id="2"/>
      <w:bookmarkStart w:id="3" w:name="_Hlk130458318"/>
    </w:p>
    <w:p w14:paraId="5392B013">
      <w:pPr>
        <w:spacing w:line="480" w:lineRule="auto"/>
        <w:jc w:val="center"/>
        <w:outlineLvl w:val="0"/>
        <w:rPr>
          <w:rFonts w:hint="eastAsia" w:cs="宋体"/>
          <w:b/>
          <w:sz w:val="32"/>
          <w:szCs w:val="32"/>
        </w:rPr>
      </w:pPr>
      <w:bookmarkStart w:id="4" w:name="_Toc109899829"/>
      <w:bookmarkStart w:id="5" w:name="_Toc155185860"/>
      <w:bookmarkStart w:id="6" w:name="_Toc44583628"/>
      <w:bookmarkStart w:id="7" w:name="_Toc35393629"/>
      <w:bookmarkStart w:id="8" w:name="_Toc35393798"/>
      <w:bookmarkStart w:id="9" w:name="_Toc109900248"/>
      <w:bookmarkStart w:id="10" w:name="_Toc28359089"/>
      <w:bookmarkStart w:id="11" w:name="_Toc140132745"/>
      <w:bookmarkStart w:id="12" w:name="_Toc109899410"/>
      <w:bookmarkStart w:id="13" w:name="_Toc28359012"/>
      <w:r>
        <w:rPr>
          <w:rFonts w:hint="eastAsia"/>
          <w:lang w:val="hr-HR"/>
        </w:rPr>
        <w:br w:type="page"/>
      </w:r>
      <w:bookmarkStart w:id="14" w:name="_Toc26411"/>
      <w:r>
        <w:rPr>
          <w:rFonts w:hint="eastAsia" w:cs="宋体"/>
          <w:b/>
          <w:sz w:val="32"/>
          <w:szCs w:val="32"/>
          <w:lang w:val="hr-HR" w:eastAsia="zh-CN"/>
        </w:rPr>
        <w:t>二街镇生活垃圾清运服务项目</w:t>
      </w:r>
      <w:r>
        <w:rPr>
          <w:rFonts w:hint="eastAsia" w:cs="宋体"/>
          <w:b/>
          <w:sz w:val="32"/>
          <w:szCs w:val="32"/>
          <w:lang w:val="en-US" w:eastAsia="zh-CN"/>
        </w:rPr>
        <w:t>的</w:t>
      </w:r>
      <w:r>
        <w:rPr>
          <w:rFonts w:hint="eastAsia" w:cs="宋体"/>
          <w:b/>
          <w:sz w:val="32"/>
          <w:szCs w:val="32"/>
        </w:rPr>
        <w:t>招标公告</w:t>
      </w:r>
      <w:bookmarkEnd w:id="14"/>
    </w:p>
    <w:p w14:paraId="3C102E9D">
      <w:pPr>
        <w:pBdr>
          <w:top w:val="single" w:color="000000" w:sz="4" w:space="1"/>
          <w:left w:val="single" w:color="000000" w:sz="4" w:space="4"/>
          <w:bottom w:val="single" w:color="000000" w:sz="4" w:space="1"/>
          <w:right w:val="single" w:color="000000" w:sz="4" w:space="4"/>
        </w:pBdr>
        <w:rPr>
          <w:rFonts w:hint="eastAsia" w:cs="宋体"/>
          <w:sz w:val="24"/>
          <w:szCs w:val="24"/>
        </w:rPr>
      </w:pPr>
      <w:bookmarkStart w:id="15" w:name="_Toc308530447"/>
      <w:bookmarkStart w:id="16" w:name="_Toc309030717"/>
      <w:bookmarkStart w:id="17" w:name="_Toc308530169"/>
      <w:bookmarkStart w:id="18" w:name="_Toc309029540"/>
      <w:bookmarkStart w:id="19" w:name="_Toc309030114"/>
      <w:r>
        <w:rPr>
          <w:rFonts w:hint="eastAsia" w:cs="宋体"/>
          <w:sz w:val="24"/>
          <w:szCs w:val="24"/>
        </w:rPr>
        <w:t>项目概况：</w:t>
      </w:r>
    </w:p>
    <w:p w14:paraId="61441B23">
      <w:pPr>
        <w:pBdr>
          <w:top w:val="single" w:color="000000" w:sz="4" w:space="1"/>
          <w:left w:val="single" w:color="000000" w:sz="4" w:space="4"/>
          <w:bottom w:val="single" w:color="000000" w:sz="4" w:space="1"/>
          <w:right w:val="single" w:color="000000" w:sz="4" w:space="4"/>
        </w:pBdr>
        <w:wordWrap w:val="0"/>
        <w:ind w:firstLine="480" w:firstLineChars="200"/>
        <w:rPr>
          <w:rFonts w:hint="eastAsia" w:cs="宋体"/>
          <w:sz w:val="28"/>
          <w:szCs w:val="28"/>
        </w:rPr>
      </w:pPr>
      <w:r>
        <w:rPr>
          <w:rFonts w:hint="eastAsia" w:cs="宋体"/>
          <w:sz w:val="24"/>
          <w:szCs w:val="24"/>
          <w:u w:val="single"/>
          <w:lang w:val="hr-HR" w:eastAsia="zh-CN"/>
        </w:rPr>
        <w:t>二街镇生活垃圾清运服务项目</w:t>
      </w:r>
      <w:r>
        <w:rPr>
          <w:rFonts w:hint="eastAsia" w:cs="宋体"/>
          <w:sz w:val="24"/>
          <w:szCs w:val="24"/>
        </w:rPr>
        <w:t>的潜在投标供应商</w:t>
      </w:r>
      <w:r>
        <w:rPr>
          <w:rFonts w:hint="eastAsia" w:cs="宋体"/>
          <w:bCs/>
          <w:sz w:val="24"/>
          <w:szCs w:val="24"/>
        </w:rPr>
        <w:t>在</w:t>
      </w:r>
      <w:r>
        <w:rPr>
          <w:rFonts w:hint="eastAsia" w:cs="宋体"/>
          <w:sz w:val="24"/>
          <w:szCs w:val="24"/>
          <w:u w:val="single"/>
        </w:rPr>
        <w:t>政府采购</w:t>
      </w:r>
      <w:r>
        <w:rPr>
          <w:rFonts w:hint="eastAsia" w:cs="宋体"/>
          <w:color w:val="auto"/>
          <w:sz w:val="24"/>
          <w:szCs w:val="24"/>
          <w:u w:val="single"/>
        </w:rPr>
        <w:t>云平台（https://www.zcygov.cn/）</w:t>
      </w:r>
      <w:r>
        <w:rPr>
          <w:rFonts w:hint="eastAsia" w:cs="宋体"/>
          <w:color w:val="auto"/>
          <w:sz w:val="24"/>
          <w:szCs w:val="24"/>
        </w:rPr>
        <w:t xml:space="preserve">获取招标文件，并于 </w:t>
      </w:r>
      <w:r>
        <w:rPr>
          <w:rFonts w:hint="eastAsia" w:cs="宋体"/>
          <w:color w:val="FF0000"/>
          <w:sz w:val="24"/>
          <w:szCs w:val="24"/>
          <w:u w:val="single"/>
        </w:rPr>
        <w:t>202</w:t>
      </w:r>
      <w:r>
        <w:rPr>
          <w:rFonts w:hint="eastAsia" w:cs="宋体"/>
          <w:color w:val="FF0000"/>
          <w:sz w:val="24"/>
          <w:szCs w:val="24"/>
          <w:u w:val="single"/>
          <w:lang w:val="en-US" w:eastAsia="zh-CN"/>
        </w:rPr>
        <w:t>6</w:t>
      </w:r>
      <w:r>
        <w:rPr>
          <w:rFonts w:hint="eastAsia" w:cs="宋体"/>
          <w:color w:val="FF0000"/>
          <w:sz w:val="24"/>
          <w:szCs w:val="24"/>
          <w:u w:val="single"/>
        </w:rPr>
        <w:t>年</w:t>
      </w:r>
      <w:r>
        <w:rPr>
          <w:rFonts w:hint="eastAsia" w:cs="宋体"/>
          <w:color w:val="FF0000"/>
          <w:sz w:val="24"/>
          <w:szCs w:val="24"/>
          <w:u w:val="single"/>
          <w:lang w:val="en-US" w:eastAsia="zh-CN"/>
        </w:rPr>
        <w:t>5</w:t>
      </w:r>
      <w:r>
        <w:rPr>
          <w:rFonts w:hint="eastAsia" w:cs="宋体"/>
          <w:color w:val="FF0000"/>
          <w:sz w:val="24"/>
          <w:szCs w:val="24"/>
          <w:u w:val="single"/>
        </w:rPr>
        <w:t>月</w:t>
      </w:r>
      <w:r>
        <w:rPr>
          <w:rFonts w:hint="eastAsia" w:cs="宋体"/>
          <w:color w:val="FF0000"/>
          <w:sz w:val="24"/>
          <w:szCs w:val="24"/>
          <w:u w:val="single"/>
          <w:lang w:val="en-US" w:eastAsia="zh-CN"/>
        </w:rPr>
        <w:t>18</w:t>
      </w:r>
      <w:r>
        <w:rPr>
          <w:rFonts w:hint="eastAsia" w:cs="宋体"/>
          <w:color w:val="FF0000"/>
          <w:sz w:val="24"/>
          <w:szCs w:val="24"/>
          <w:u w:val="single"/>
        </w:rPr>
        <w:t>日9点30分（北京时间）</w:t>
      </w:r>
      <w:r>
        <w:rPr>
          <w:rFonts w:hint="eastAsia" w:cs="宋体"/>
          <w:color w:val="auto"/>
          <w:sz w:val="24"/>
          <w:szCs w:val="24"/>
        </w:rPr>
        <w:t>前提交投标</w:t>
      </w:r>
      <w:r>
        <w:rPr>
          <w:rFonts w:hint="eastAsia" w:cs="宋体"/>
          <w:sz w:val="24"/>
          <w:szCs w:val="24"/>
        </w:rPr>
        <w:t>文件。</w:t>
      </w:r>
    </w:p>
    <w:p w14:paraId="79C983D8">
      <w:pPr>
        <w:pStyle w:val="52"/>
        <w:spacing w:before="260" w:after="260" w:line="360" w:lineRule="auto"/>
        <w:jc w:val="both"/>
        <w:rPr>
          <w:rFonts w:hint="eastAsia" w:ascii="宋体" w:hAnsi="宋体" w:cs="宋体"/>
          <w:bCs w:val="0"/>
          <w:sz w:val="28"/>
          <w:szCs w:val="28"/>
        </w:rPr>
      </w:pPr>
      <w:bookmarkStart w:id="20" w:name="_Toc35393621"/>
      <w:bookmarkEnd w:id="20"/>
      <w:bookmarkStart w:id="21" w:name="_Toc30547"/>
      <w:bookmarkEnd w:id="21"/>
      <w:bookmarkStart w:id="22" w:name="_Toc28651"/>
      <w:bookmarkEnd w:id="22"/>
      <w:bookmarkStart w:id="23" w:name="_Toc16624"/>
      <w:bookmarkEnd w:id="23"/>
      <w:bookmarkStart w:id="24" w:name="_Toc28359002"/>
      <w:bookmarkEnd w:id="24"/>
      <w:bookmarkStart w:id="25" w:name="_Toc28359079"/>
      <w:bookmarkEnd w:id="25"/>
      <w:bookmarkStart w:id="26" w:name="_Toc35393790"/>
      <w:bookmarkEnd w:id="26"/>
      <w:bookmarkStart w:id="27" w:name="_Toc352"/>
      <w:bookmarkStart w:id="28" w:name="_Hlk24379207"/>
      <w:r>
        <w:rPr>
          <w:rFonts w:hint="eastAsia" w:ascii="宋体" w:hAnsi="宋体" w:cs="宋体"/>
          <w:bCs w:val="0"/>
          <w:sz w:val="28"/>
          <w:szCs w:val="28"/>
        </w:rPr>
        <w:t>一、项目基本情况</w:t>
      </w:r>
      <w:bookmarkEnd w:id="27"/>
    </w:p>
    <w:p w14:paraId="08B4ED7A">
      <w:pPr>
        <w:ind w:firstLine="480" w:firstLineChars="200"/>
        <w:rPr>
          <w:rFonts w:hint="eastAsia" w:cs="宋体"/>
          <w:color w:val="000000" w:themeColor="text1"/>
          <w:sz w:val="24"/>
          <w:szCs w:val="24"/>
          <w:u w:val="none"/>
          <w:lang w:val="en-US" w:eastAsia="zh-CN"/>
          <w14:textFill>
            <w14:solidFill>
              <w14:schemeClr w14:val="tx1"/>
            </w14:solidFill>
          </w14:textFill>
        </w:rPr>
      </w:pPr>
      <w:r>
        <w:rPr>
          <w:rFonts w:hint="eastAsia" w:cs="宋体"/>
          <w:sz w:val="24"/>
          <w:szCs w:val="24"/>
        </w:rPr>
        <w:t>1.1</w:t>
      </w:r>
      <w:r>
        <w:rPr>
          <w:rFonts w:hint="eastAsia" w:cs="宋体"/>
          <w:color w:val="FF0000"/>
          <w:sz w:val="24"/>
          <w:szCs w:val="24"/>
        </w:rPr>
        <w:t>政府采购计划编号：</w:t>
      </w:r>
      <w:r>
        <w:rPr>
          <w:rFonts w:hint="eastAsia" w:cs="宋体"/>
          <w:color w:val="FF0000"/>
          <w:sz w:val="24"/>
          <w:szCs w:val="24"/>
          <w:u w:val="single"/>
          <w:lang w:val="en-US" w:eastAsia="zh-CN"/>
        </w:rPr>
        <w:t>4530122JH202600305</w:t>
      </w:r>
      <w:r>
        <w:rPr>
          <w:rFonts w:hint="eastAsia" w:cs="宋体"/>
          <w:color w:val="FF0000"/>
          <w:sz w:val="24"/>
          <w:szCs w:val="24"/>
          <w:u w:val="none"/>
          <w:lang w:val="en-US" w:eastAsia="zh-CN"/>
        </w:rPr>
        <w:t xml:space="preserve"> </w:t>
      </w:r>
    </w:p>
    <w:p w14:paraId="2026B287">
      <w:pPr>
        <w:ind w:firstLine="480" w:firstLineChars="200"/>
        <w:rPr>
          <w:rFonts w:hint="eastAsia" w:cs="宋体"/>
          <w:sz w:val="24"/>
          <w:szCs w:val="24"/>
        </w:rPr>
      </w:pPr>
      <w:r>
        <w:rPr>
          <w:rFonts w:hint="eastAsia" w:cs="宋体"/>
          <w:sz w:val="24"/>
          <w:szCs w:val="24"/>
        </w:rPr>
        <w:t>1.2项目名称：</w:t>
      </w:r>
      <w:r>
        <w:rPr>
          <w:rFonts w:hint="eastAsia" w:cs="宋体"/>
          <w:sz w:val="24"/>
          <w:szCs w:val="24"/>
          <w:u w:val="single"/>
          <w:lang w:val="hr-HR" w:eastAsia="zh-CN"/>
        </w:rPr>
        <w:t>二街镇生活垃圾清运服务项目</w:t>
      </w:r>
      <w:r>
        <w:rPr>
          <w:rFonts w:hint="eastAsia" w:cs="宋体"/>
          <w:sz w:val="24"/>
          <w:szCs w:val="24"/>
        </w:rPr>
        <w:t>。</w:t>
      </w:r>
    </w:p>
    <w:bookmarkEnd w:id="28"/>
    <w:p w14:paraId="1F246BE1">
      <w:pPr>
        <w:ind w:firstLine="480" w:firstLineChars="200"/>
        <w:rPr>
          <w:rFonts w:hint="eastAsia" w:cs="宋体"/>
          <w:sz w:val="24"/>
          <w:szCs w:val="24"/>
        </w:rPr>
      </w:pPr>
      <w:r>
        <w:rPr>
          <w:rFonts w:hint="eastAsia" w:cs="宋体"/>
          <w:sz w:val="24"/>
          <w:szCs w:val="24"/>
        </w:rPr>
        <w:t>1.3预算金额：</w:t>
      </w:r>
      <w:r>
        <w:rPr>
          <w:rFonts w:hint="eastAsia" w:cs="宋体"/>
          <w:sz w:val="24"/>
          <w:szCs w:val="24"/>
          <w:u w:val="single"/>
          <w:lang w:val="en-US" w:eastAsia="zh-CN"/>
        </w:rPr>
        <w:t>130</w:t>
      </w:r>
      <w:r>
        <w:rPr>
          <w:rFonts w:hint="eastAsia" w:cs="宋体"/>
          <w:sz w:val="24"/>
          <w:szCs w:val="24"/>
          <w:u w:val="single"/>
        </w:rPr>
        <w:t>万元</w:t>
      </w:r>
      <w:r>
        <w:rPr>
          <w:rFonts w:hint="eastAsia" w:cs="宋体"/>
          <w:sz w:val="24"/>
          <w:szCs w:val="24"/>
          <w:u w:val="single"/>
          <w:lang w:val="en-US" w:eastAsia="zh-CN"/>
        </w:rPr>
        <w:t>(一采三年）</w:t>
      </w:r>
      <w:r>
        <w:rPr>
          <w:rFonts w:hint="eastAsia" w:cs="宋体"/>
          <w:sz w:val="24"/>
          <w:szCs w:val="24"/>
        </w:rPr>
        <w:t>。</w:t>
      </w:r>
    </w:p>
    <w:p w14:paraId="5D9B36E4">
      <w:pPr>
        <w:ind w:firstLine="480" w:firstLineChars="200"/>
        <w:rPr>
          <w:rFonts w:hint="eastAsia" w:cs="宋体"/>
          <w:color w:val="auto"/>
          <w:sz w:val="24"/>
          <w:szCs w:val="24"/>
        </w:rPr>
      </w:pPr>
      <w:r>
        <w:rPr>
          <w:rFonts w:hint="eastAsia" w:cs="宋体"/>
          <w:color w:val="auto"/>
          <w:sz w:val="24"/>
          <w:szCs w:val="24"/>
        </w:rPr>
        <w:t>1.4最高限价：</w:t>
      </w:r>
      <w:r>
        <w:rPr>
          <w:rFonts w:hint="eastAsia" w:cs="宋体"/>
          <w:color w:val="auto"/>
          <w:sz w:val="24"/>
          <w:szCs w:val="24"/>
          <w:u w:val="single"/>
          <w:lang w:val="en-US" w:eastAsia="zh-CN"/>
        </w:rPr>
        <w:t>127.117138万元/年</w:t>
      </w:r>
      <w:r>
        <w:rPr>
          <w:rFonts w:hint="eastAsia" w:cs="宋体"/>
          <w:color w:val="auto"/>
          <w:sz w:val="24"/>
          <w:szCs w:val="24"/>
        </w:rPr>
        <w:t>。</w:t>
      </w:r>
    </w:p>
    <w:p w14:paraId="1DED5660">
      <w:pPr>
        <w:ind w:firstLine="480" w:firstLineChars="200"/>
        <w:rPr>
          <w:rFonts w:hint="eastAsia" w:cs="宋体"/>
          <w:sz w:val="24"/>
          <w:szCs w:val="24"/>
        </w:rPr>
      </w:pPr>
      <w:r>
        <w:rPr>
          <w:rFonts w:hint="eastAsia" w:cs="宋体"/>
          <w:sz w:val="24"/>
          <w:szCs w:val="24"/>
        </w:rPr>
        <w:t>1.5标包划分：本项目仅设一个包。</w:t>
      </w:r>
    </w:p>
    <w:p w14:paraId="18F32632">
      <w:pPr>
        <w:ind w:firstLine="480" w:firstLineChars="200"/>
        <w:rPr>
          <w:rFonts w:hint="eastAsia" w:cs="宋体"/>
          <w:sz w:val="24"/>
          <w:szCs w:val="24"/>
        </w:rPr>
      </w:pPr>
      <w:r>
        <w:rPr>
          <w:rFonts w:hint="eastAsia" w:cs="宋体"/>
          <w:sz w:val="24"/>
          <w:szCs w:val="24"/>
        </w:rPr>
        <w:t>1.6采购需求：</w:t>
      </w:r>
    </w:p>
    <w:tbl>
      <w:tblPr>
        <w:tblStyle w:val="31"/>
        <w:tblW w:w="89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74"/>
      </w:tblGrid>
      <w:tr w14:paraId="3AC8A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974" w:type="dxa"/>
          </w:tcPr>
          <w:p w14:paraId="0BB54747">
            <w:pPr>
              <w:pStyle w:val="10"/>
              <w:spacing w:line="240" w:lineRule="auto"/>
              <w:rPr>
                <w:rFonts w:hint="eastAsia" w:ascii="宋体" w:hAnsi="宋体" w:eastAsia="宋体" w:cs="宋体"/>
                <w:b/>
                <w:color w:val="auto"/>
                <w:sz w:val="28"/>
                <w:szCs w:val="28"/>
                <w:shd w:val="clear" w:color="auto" w:fill="FFFFFF"/>
              </w:rPr>
            </w:pPr>
            <w:r>
              <w:rPr>
                <w:rFonts w:hint="eastAsia" w:ascii="宋体" w:hAnsi="宋体" w:eastAsia="宋体" w:cs="宋体"/>
                <w:b/>
                <w:color w:val="auto"/>
                <w:sz w:val="28"/>
                <w:szCs w:val="28"/>
                <w:shd w:val="clear" w:color="auto" w:fill="FFFFFF"/>
              </w:rPr>
              <w:t>（一）采购标的需实现的功能或者目标，以及为落实政府采购政策需满足的要求：</w:t>
            </w:r>
          </w:p>
          <w:p w14:paraId="4FC9C5E7">
            <w:pPr>
              <w:numPr>
                <w:ilvl w:val="0"/>
                <w:numId w:val="0"/>
              </w:numPr>
              <w:spacing w:line="360" w:lineRule="auto"/>
              <w:ind w:leftChars="0" w:firstLine="480" w:firstLineChars="200"/>
              <w:rPr>
                <w:rFonts w:hint="eastAsia" w:ascii="宋体" w:hAnsi="宋体" w:eastAsia="宋体" w:cs="宋体"/>
                <w:bCs/>
                <w:sz w:val="24"/>
                <w:szCs w:val="24"/>
                <w:u w:val="none"/>
              </w:rPr>
            </w:pPr>
            <w:r>
              <w:rPr>
                <w:rFonts w:hint="eastAsia" w:ascii="宋体" w:hAnsi="宋体" w:eastAsia="宋体" w:cs="宋体"/>
                <w:bCs/>
                <w:sz w:val="24"/>
                <w:szCs w:val="24"/>
                <w:u w:val="none"/>
                <w:lang w:val="en-US" w:eastAsia="zh-CN"/>
              </w:rPr>
              <w:t>1.</w:t>
            </w:r>
            <w:r>
              <w:rPr>
                <w:rFonts w:hint="eastAsia" w:ascii="宋体" w:hAnsi="宋体" w:eastAsia="宋体" w:cs="宋体"/>
                <w:bCs/>
                <w:color w:val="000000" w:themeColor="text1"/>
                <w:kern w:val="2"/>
                <w:sz w:val="24"/>
                <w:szCs w:val="24"/>
                <w:u w:val="none"/>
                <w:shd w:val="clear" w:color="auto" w:fill="FFFFFF"/>
                <w:lang w:val="en-US" w:eastAsia="zh-CN" w:bidi="ar-SA"/>
                <w14:textFill>
                  <w14:solidFill>
                    <w14:schemeClr w14:val="tx1"/>
                  </w14:solidFill>
                </w14:textFill>
              </w:rPr>
              <w:t>实现的功能或者目标：</w:t>
            </w:r>
            <w:r>
              <w:rPr>
                <w:rFonts w:hint="eastAsia" w:ascii="宋体" w:hAnsi="宋体" w:eastAsia="宋体" w:cs="宋体"/>
                <w:bCs/>
                <w:sz w:val="24"/>
                <w:szCs w:val="24"/>
                <w:u w:val="none"/>
              </w:rPr>
              <w:t>晋宁县二街镇集镇及9个村委会（28个自然村、31个村小组）的生活垃圾清运服务（包含二街生活垃圾中转站调运至小海口焚烧厂或二街工业园区垃圾焚烧厂及生活垃圾中转站日常运营管理)</w:t>
            </w:r>
          </w:p>
          <w:p w14:paraId="585E935C">
            <w:pPr>
              <w:keepNext w:val="0"/>
              <w:keepLines w:val="0"/>
              <w:widowControl/>
              <w:suppressLineNumbers w:val="0"/>
              <w:spacing w:before="0" w:beforeAutospacing="0" w:after="0" w:afterAutospacing="0" w:line="360" w:lineRule="auto"/>
              <w:ind w:right="0" w:firstLine="240" w:firstLineChars="100"/>
              <w:jc w:val="left"/>
              <w:rPr>
                <w:rFonts w:hint="eastAsia" w:ascii="宋体" w:hAnsi="宋体" w:eastAsia="宋体" w:cs="宋体"/>
                <w:bCs/>
                <w:color w:val="auto"/>
                <w:sz w:val="24"/>
                <w:szCs w:val="24"/>
                <w:shd w:val="clear" w:color="auto" w:fill="FFFFFF"/>
                <w:lang w:val="en-US" w:eastAsia="zh-CN"/>
              </w:rPr>
            </w:pPr>
            <w:r>
              <w:rPr>
                <w:rFonts w:hint="eastAsia" w:ascii="宋体" w:hAnsi="宋体" w:eastAsia="宋体" w:cs="宋体"/>
                <w:bCs/>
                <w:color w:val="auto"/>
                <w:sz w:val="24"/>
                <w:szCs w:val="24"/>
                <w:shd w:val="clear" w:color="auto" w:fill="FFFFFF"/>
                <w:lang w:val="en-US" w:eastAsia="zh-CN"/>
              </w:rPr>
              <w:t xml:space="preserve"> </w:t>
            </w:r>
            <w:r>
              <w:rPr>
                <w:rFonts w:hint="eastAsia" w:ascii="宋体" w:hAnsi="宋体" w:eastAsia="宋体" w:cs="宋体"/>
                <w:bCs/>
                <w:sz w:val="24"/>
                <w:szCs w:val="24"/>
                <w:u w:val="none"/>
                <w:lang w:val="en-US" w:eastAsia="zh-CN"/>
              </w:rPr>
              <w:t>2.</w:t>
            </w:r>
            <w:r>
              <w:rPr>
                <w:rFonts w:hint="eastAsia" w:ascii="宋体" w:hAnsi="宋体" w:eastAsia="宋体" w:cs="宋体"/>
                <w:color w:val="000000" w:themeColor="text1"/>
                <w:kern w:val="2"/>
                <w:sz w:val="24"/>
                <w:szCs w:val="24"/>
                <w:lang w:val="en-US" w:eastAsia="zh-CN" w:bidi="ar"/>
                <w14:textFill>
                  <w14:solidFill>
                    <w14:schemeClr w14:val="tx1"/>
                  </w14:solidFill>
                </w14:textFill>
              </w:rPr>
              <w:t>落实政府采购政策需满足的要求:</w:t>
            </w:r>
            <w:r>
              <w:rPr>
                <w:rFonts w:hint="eastAsia" w:ascii="宋体" w:hAnsi="宋体" w:eastAsia="宋体" w:cs="宋体"/>
                <w:bCs/>
                <w:color w:val="000000" w:themeColor="text1"/>
                <w:sz w:val="24"/>
                <w:szCs w:val="24"/>
                <w:u w:val="none"/>
                <w:lang w:val="en-US" w:eastAsia="zh-CN"/>
                <w14:textFill>
                  <w14:solidFill>
                    <w14:schemeClr w14:val="tx1"/>
                  </w14:solidFill>
                </w14:textFill>
              </w:rPr>
              <w:t>本项目专门面向中小企业采购。</w:t>
            </w:r>
            <w:r>
              <w:rPr>
                <w:rFonts w:hint="eastAsia" w:ascii="宋体" w:hAnsi="宋体" w:eastAsia="宋体" w:cs="宋体"/>
                <w:bCs/>
                <w:sz w:val="24"/>
                <w:szCs w:val="24"/>
                <w:u w:val="none"/>
                <w:lang w:val="en-US" w:eastAsia="zh-CN"/>
              </w:rPr>
              <w:t>根据《政府采购促进中小企业发展管理办法》（财库[2020]46 号）及《关于进一步加大政府采购支持中小企业力度的通知》（财库[2022]19号）的规定,监狱企业和残疾人福利性单位视同小型、微型企业。</w:t>
            </w:r>
          </w:p>
          <w:p w14:paraId="03DEE550">
            <w:pPr>
              <w:pStyle w:val="10"/>
              <w:numPr>
                <w:ilvl w:val="0"/>
                <w:numId w:val="3"/>
              </w:numPr>
              <w:rPr>
                <w:rFonts w:hint="eastAsia" w:ascii="宋体" w:hAnsi="宋体" w:eastAsia="宋体" w:cs="宋体"/>
                <w:b/>
                <w:color w:val="auto"/>
                <w:sz w:val="28"/>
                <w:szCs w:val="28"/>
                <w:shd w:val="clear" w:color="auto" w:fill="FFFFFF"/>
              </w:rPr>
            </w:pPr>
            <w:r>
              <w:rPr>
                <w:rFonts w:hint="eastAsia" w:ascii="宋体" w:hAnsi="宋体" w:eastAsia="宋体" w:cs="宋体"/>
                <w:b/>
                <w:color w:val="auto"/>
                <w:sz w:val="28"/>
                <w:szCs w:val="28"/>
                <w:shd w:val="clear" w:color="auto" w:fill="FFFFFF"/>
              </w:rPr>
              <w:t>采购标的需执行的国家相关标准、行业标准、地方标准或者其他标准、规范:</w:t>
            </w:r>
          </w:p>
          <w:p w14:paraId="791345C4">
            <w:pPr>
              <w:pStyle w:val="10"/>
              <w:numPr>
                <w:ilvl w:val="0"/>
                <w:numId w:val="0"/>
              </w:numPr>
              <w:ind w:firstLine="480" w:firstLineChars="200"/>
              <w:rPr>
                <w:rFonts w:hint="default" w:ascii="仿宋" w:hAnsi="仿宋" w:eastAsia="宋体" w:cs="仿宋"/>
                <w:bCs/>
                <w:kern w:val="2"/>
                <w:sz w:val="24"/>
                <w:szCs w:val="24"/>
                <w:u w:val="none"/>
                <w:lang w:val="en-US" w:eastAsia="zh-CN" w:bidi="ar-SA"/>
              </w:rPr>
            </w:pPr>
            <w:r>
              <w:rPr>
                <w:rFonts w:hint="eastAsia" w:ascii="仿宋" w:hAnsi="仿宋" w:eastAsia="宋体" w:cs="仿宋"/>
                <w:bCs/>
                <w:kern w:val="2"/>
                <w:sz w:val="24"/>
                <w:szCs w:val="24"/>
                <w:u w:val="none"/>
                <w:lang w:val="en-US" w:eastAsia="zh-CN" w:bidi="ar-SA"/>
              </w:rPr>
              <w:t>符合国家、行业及地方现行相关技术标准、规范及《昆明市环境卫生作业规范及质量标准》等。</w:t>
            </w:r>
          </w:p>
          <w:p w14:paraId="28B949D0">
            <w:pPr>
              <w:pStyle w:val="10"/>
              <w:numPr>
                <w:ilvl w:val="0"/>
                <w:numId w:val="4"/>
              </w:numPr>
              <w:rPr>
                <w:rFonts w:hint="eastAsia" w:ascii="宋体" w:hAnsi="宋体" w:eastAsia="宋体" w:cs="宋体"/>
                <w:b/>
                <w:color w:val="auto"/>
                <w:sz w:val="28"/>
                <w:szCs w:val="28"/>
                <w:shd w:val="clear" w:color="auto" w:fill="FFFFFF"/>
              </w:rPr>
            </w:pPr>
            <w:r>
              <w:rPr>
                <w:rFonts w:hint="eastAsia" w:ascii="宋体" w:hAnsi="宋体" w:eastAsia="宋体" w:cs="宋体"/>
                <w:b/>
                <w:color w:val="auto"/>
                <w:sz w:val="28"/>
                <w:szCs w:val="28"/>
                <w:shd w:val="clear" w:color="auto" w:fill="FFFFFF"/>
              </w:rPr>
              <w:t>采购标的需满足的质量、安全、技术规格、物理特性等要求;</w:t>
            </w:r>
          </w:p>
          <w:p w14:paraId="3D9871CB">
            <w:pPr>
              <w:spacing w:line="360" w:lineRule="auto"/>
              <w:ind w:left="120" w:firstLine="480" w:firstLineChars="200"/>
              <w:rPr>
                <w:rFonts w:hint="eastAsia" w:ascii="宋体" w:hAnsi="宋体" w:eastAsia="宋体" w:cs="宋体"/>
                <w:bCs/>
                <w:kern w:val="2"/>
                <w:sz w:val="24"/>
                <w:szCs w:val="24"/>
                <w:u w:val="none"/>
                <w:shd w:val="clear" w:color="auto" w:fill="FFFFFF"/>
                <w:lang w:val="en-US" w:eastAsia="zh-CN" w:bidi="ar-SA"/>
              </w:rPr>
            </w:pPr>
            <w:r>
              <w:rPr>
                <w:rFonts w:hint="eastAsia" w:ascii="宋体" w:hAnsi="宋体" w:eastAsia="宋体" w:cs="宋体"/>
                <w:bCs/>
                <w:kern w:val="2"/>
                <w:sz w:val="24"/>
                <w:szCs w:val="24"/>
                <w:u w:val="none"/>
                <w:shd w:val="clear" w:color="auto" w:fill="FFFFFF"/>
                <w:lang w:val="en-US" w:eastAsia="zh-CN" w:bidi="ar-SA"/>
              </w:rPr>
              <w:t>1.乙方必须保证每天对所有垃圾收集点垃圾进行及时清运，做到日清日运，不得出现成堆垃圾或杂土，跟随垃圾车的清洁工必须按要求自带清洁工具把垃圾收集间外残余留地垃圾及时清扫干净，不得出现残余垃圾再次污染。</w:t>
            </w:r>
          </w:p>
          <w:p w14:paraId="334CD8B6">
            <w:pPr>
              <w:spacing w:line="360" w:lineRule="auto"/>
              <w:ind w:left="120" w:firstLine="480" w:firstLineChars="200"/>
              <w:rPr>
                <w:rFonts w:hint="eastAsia" w:ascii="宋体" w:hAnsi="宋体" w:eastAsia="宋体" w:cs="宋体"/>
                <w:bCs/>
                <w:kern w:val="2"/>
                <w:sz w:val="24"/>
                <w:szCs w:val="24"/>
                <w:u w:val="none"/>
                <w:shd w:val="clear" w:color="auto" w:fill="FFFFFF"/>
                <w:lang w:val="en-US" w:eastAsia="zh-CN" w:bidi="ar-SA"/>
              </w:rPr>
            </w:pPr>
            <w:r>
              <w:rPr>
                <w:rFonts w:hint="eastAsia" w:ascii="宋体" w:hAnsi="宋体" w:eastAsia="宋体" w:cs="宋体"/>
                <w:bCs/>
                <w:kern w:val="2"/>
                <w:sz w:val="24"/>
                <w:szCs w:val="24"/>
                <w:u w:val="none"/>
                <w:shd w:val="clear" w:color="auto" w:fill="FFFFFF"/>
                <w:lang w:val="en-US" w:eastAsia="zh-CN" w:bidi="ar-SA"/>
              </w:rPr>
              <w:t>2.清运时间：原则上每个垃圾房必须每日至少清运一次，其中集镇垃圾收集间于每天早上7：30前完成清运，其余各村垃圾收集间于每天下午16：00前完成清运，每次清运必须彻底，并对垃圾收集间周边垃圾进行清扫保洁，因站点增减，承包方须无条件服从甲方安排。</w:t>
            </w:r>
          </w:p>
          <w:p w14:paraId="4ED0406A">
            <w:pPr>
              <w:spacing w:line="360" w:lineRule="auto"/>
              <w:ind w:left="120" w:firstLine="480" w:firstLineChars="200"/>
              <w:rPr>
                <w:rFonts w:hint="eastAsia" w:ascii="宋体" w:hAnsi="宋体" w:eastAsia="宋体" w:cs="宋体"/>
                <w:bCs/>
                <w:kern w:val="2"/>
                <w:sz w:val="24"/>
                <w:szCs w:val="24"/>
                <w:u w:val="none"/>
                <w:shd w:val="clear" w:color="auto" w:fill="FFFFFF"/>
                <w:lang w:val="en-US" w:eastAsia="zh-CN" w:bidi="ar-SA"/>
              </w:rPr>
            </w:pPr>
            <w:r>
              <w:rPr>
                <w:rFonts w:hint="eastAsia" w:ascii="宋体" w:hAnsi="宋体" w:eastAsia="宋体" w:cs="宋体"/>
                <w:bCs/>
                <w:kern w:val="2"/>
                <w:sz w:val="24"/>
                <w:szCs w:val="24"/>
                <w:u w:val="none"/>
                <w:shd w:val="clear" w:color="auto" w:fill="FFFFFF"/>
                <w:lang w:val="en-US" w:eastAsia="zh-CN" w:bidi="ar-SA"/>
              </w:rPr>
              <w:t>3.所使用环卫车辆必须按照国家规定的审验时间，按期进行审验购买保险，在垃圾调运工作中，运输车辆做到定期清洗、定期保养，加强车辆管护。清运车辆运行须作好封闭措施，避免垃圾沿路飘落，以保持沿路环境卫生。</w:t>
            </w:r>
          </w:p>
          <w:p w14:paraId="4F4B9635">
            <w:pPr>
              <w:spacing w:line="360" w:lineRule="auto"/>
              <w:ind w:left="120" w:firstLine="480" w:firstLineChars="200"/>
              <w:rPr>
                <w:rFonts w:hint="eastAsia" w:ascii="宋体" w:hAnsi="宋体" w:eastAsia="宋体" w:cs="宋体"/>
                <w:bCs/>
                <w:kern w:val="2"/>
                <w:sz w:val="24"/>
                <w:szCs w:val="24"/>
                <w:u w:val="none"/>
                <w:shd w:val="clear" w:color="auto" w:fill="FFFFFF"/>
                <w:lang w:val="en-US" w:eastAsia="zh-CN" w:bidi="ar-SA"/>
              </w:rPr>
            </w:pPr>
            <w:r>
              <w:rPr>
                <w:rFonts w:hint="eastAsia" w:ascii="宋体" w:hAnsi="宋体" w:eastAsia="宋体" w:cs="宋体"/>
                <w:bCs/>
                <w:kern w:val="2"/>
                <w:sz w:val="24"/>
                <w:szCs w:val="24"/>
                <w:u w:val="none"/>
                <w:shd w:val="clear" w:color="auto" w:fill="FFFFFF"/>
                <w:lang w:val="en-US" w:eastAsia="zh-CN" w:bidi="ar-SA"/>
              </w:rPr>
              <w:t xml:space="preserve">4.承包清运期内，因新增垃圾收集点的，须一并负责清运（确因道路无法通达增加的除外），不再增加任何费用。 </w:t>
            </w:r>
          </w:p>
          <w:p w14:paraId="32B71A14">
            <w:pPr>
              <w:spacing w:line="360" w:lineRule="auto"/>
              <w:ind w:left="120" w:firstLine="480" w:firstLineChars="200"/>
              <w:rPr>
                <w:rFonts w:hint="eastAsia" w:ascii="宋体" w:hAnsi="宋体" w:eastAsia="宋体" w:cs="宋体"/>
                <w:bCs/>
                <w:kern w:val="2"/>
                <w:sz w:val="24"/>
                <w:szCs w:val="24"/>
                <w:u w:val="none"/>
                <w:shd w:val="clear" w:color="auto" w:fill="FFFFFF"/>
                <w:lang w:val="en-US" w:eastAsia="zh-CN" w:bidi="ar-SA"/>
              </w:rPr>
            </w:pPr>
            <w:r>
              <w:rPr>
                <w:rFonts w:hint="eastAsia" w:ascii="宋体" w:hAnsi="宋体" w:eastAsia="宋体" w:cs="宋体"/>
                <w:bCs/>
                <w:kern w:val="2"/>
                <w:sz w:val="24"/>
                <w:szCs w:val="24"/>
                <w:u w:val="none"/>
                <w:shd w:val="clear" w:color="auto" w:fill="FFFFFF"/>
                <w:lang w:val="en-US" w:eastAsia="zh-CN" w:bidi="ar-SA"/>
              </w:rPr>
              <w:t>5.遇到上级检查或其他原因，需要清运车进行卫生突击清理的，乙方必须无条件服从甲方的安排，确保垃圾清运及时到位。否则，由甲方临时雇用人员清理，所需费用由承包人承担，并在当月承包费中扣除。</w:t>
            </w:r>
          </w:p>
          <w:p w14:paraId="202C42C5">
            <w:pPr>
              <w:spacing w:line="360" w:lineRule="auto"/>
              <w:ind w:left="120" w:firstLine="480" w:firstLineChars="200"/>
              <w:rPr>
                <w:rFonts w:hint="eastAsia" w:ascii="宋体" w:hAnsi="宋体" w:eastAsia="宋体" w:cs="宋体"/>
                <w:bCs/>
                <w:kern w:val="2"/>
                <w:sz w:val="24"/>
                <w:szCs w:val="24"/>
                <w:u w:val="none"/>
                <w:shd w:val="clear" w:color="auto" w:fill="FFFFFF"/>
                <w:lang w:val="en-US" w:eastAsia="zh-CN" w:bidi="ar-SA"/>
              </w:rPr>
            </w:pPr>
            <w:r>
              <w:rPr>
                <w:rFonts w:hint="eastAsia" w:ascii="宋体" w:hAnsi="宋体" w:eastAsia="宋体" w:cs="宋体"/>
                <w:bCs/>
                <w:kern w:val="2"/>
                <w:sz w:val="24"/>
                <w:szCs w:val="24"/>
                <w:u w:val="none"/>
                <w:shd w:val="clear" w:color="auto" w:fill="FFFFFF"/>
                <w:lang w:val="en-US" w:eastAsia="zh-CN" w:bidi="ar-SA"/>
              </w:rPr>
              <w:t>6.在垃圾清运过程中造成的垃圾收集点设备损坏的由承包方负责修缮；如乙方不进行修缮，而由甲方进行修缮所产生的一切费用将从垃圾清运承包款中扣除。</w:t>
            </w:r>
          </w:p>
          <w:p w14:paraId="323D01AA">
            <w:pPr>
              <w:spacing w:line="360" w:lineRule="auto"/>
              <w:ind w:left="120" w:firstLine="480" w:firstLineChars="200"/>
              <w:rPr>
                <w:rFonts w:hint="eastAsia" w:ascii="宋体" w:hAnsi="宋体" w:eastAsia="宋体" w:cs="宋体"/>
                <w:bCs/>
                <w:kern w:val="2"/>
                <w:sz w:val="24"/>
                <w:szCs w:val="24"/>
                <w:u w:val="none"/>
                <w:shd w:val="clear" w:color="auto" w:fill="FFFFFF"/>
                <w:lang w:val="en-US" w:eastAsia="zh-CN" w:bidi="ar-SA"/>
              </w:rPr>
            </w:pPr>
            <w:r>
              <w:rPr>
                <w:rFonts w:hint="eastAsia" w:ascii="宋体" w:hAnsi="宋体" w:eastAsia="宋体" w:cs="宋体"/>
                <w:bCs/>
                <w:kern w:val="2"/>
                <w:sz w:val="24"/>
                <w:szCs w:val="24"/>
                <w:u w:val="none"/>
                <w:shd w:val="clear" w:color="auto" w:fill="FFFFFF"/>
                <w:lang w:val="en-US" w:eastAsia="zh-CN" w:bidi="ar-SA"/>
              </w:rPr>
              <w:t>7.乙方不得随意倾倒垃圾，必须及时清运至小海口垃圾焚烧厂或二街工业园区垃圾焚烧厂进行统一处理。</w:t>
            </w:r>
          </w:p>
          <w:p w14:paraId="196B9166">
            <w:pPr>
              <w:spacing w:line="360" w:lineRule="auto"/>
              <w:ind w:left="120" w:firstLine="480" w:firstLineChars="200"/>
              <w:rPr>
                <w:rFonts w:hint="eastAsia" w:ascii="宋体" w:hAnsi="宋体" w:eastAsia="宋体" w:cs="宋体"/>
                <w:bCs/>
                <w:kern w:val="2"/>
                <w:sz w:val="24"/>
                <w:szCs w:val="24"/>
                <w:u w:val="none"/>
                <w:shd w:val="clear" w:color="auto" w:fill="FFFFFF"/>
                <w:lang w:val="en-US" w:eastAsia="zh-CN" w:bidi="ar-SA"/>
              </w:rPr>
            </w:pPr>
            <w:r>
              <w:rPr>
                <w:rFonts w:hint="eastAsia" w:ascii="宋体" w:hAnsi="宋体" w:eastAsia="宋体" w:cs="宋体"/>
                <w:bCs/>
                <w:kern w:val="2"/>
                <w:sz w:val="24"/>
                <w:szCs w:val="24"/>
                <w:u w:val="none"/>
                <w:shd w:val="clear" w:color="auto" w:fill="FFFFFF"/>
                <w:lang w:val="en-US" w:eastAsia="zh-CN" w:bidi="ar-SA"/>
              </w:rPr>
              <w:t>8.乙方不得以任何名义向第三者收取卫生费或其他费用。</w:t>
            </w:r>
          </w:p>
          <w:p w14:paraId="206E684D">
            <w:pPr>
              <w:spacing w:line="360" w:lineRule="auto"/>
              <w:ind w:left="120" w:firstLine="480" w:firstLineChars="200"/>
              <w:rPr>
                <w:rFonts w:hint="eastAsia" w:ascii="宋体" w:hAnsi="宋体" w:eastAsia="宋体" w:cs="宋体"/>
                <w:bCs/>
                <w:kern w:val="2"/>
                <w:sz w:val="24"/>
                <w:szCs w:val="24"/>
                <w:u w:val="none"/>
                <w:shd w:val="clear" w:color="auto" w:fill="FFFFFF"/>
                <w:lang w:val="en-US" w:eastAsia="zh-CN" w:bidi="ar-SA"/>
              </w:rPr>
            </w:pPr>
            <w:r>
              <w:rPr>
                <w:rFonts w:hint="eastAsia" w:ascii="宋体" w:hAnsi="宋体" w:eastAsia="宋体" w:cs="宋体"/>
                <w:bCs/>
                <w:kern w:val="2"/>
                <w:sz w:val="24"/>
                <w:szCs w:val="24"/>
                <w:u w:val="none"/>
                <w:shd w:val="clear" w:color="auto" w:fill="FFFFFF"/>
                <w:lang w:val="en-US" w:eastAsia="zh-CN" w:bidi="ar-SA"/>
              </w:rPr>
              <w:t>9.在合同期限内，乙方必须按照国家有关规定为环卫车辆驾驶员、收集、清运管理人员购买相关保险及环卫车辆保险；加强安全生产管理，期间所发生的一切安全事故、人员病、伤、残、死、车辆受损等责任均由乙方承担。</w:t>
            </w:r>
          </w:p>
          <w:p w14:paraId="3573CFBE">
            <w:pPr>
              <w:spacing w:line="360" w:lineRule="auto"/>
              <w:ind w:left="120" w:firstLine="480" w:firstLineChars="200"/>
              <w:rPr>
                <w:rFonts w:hint="eastAsia" w:ascii="宋体" w:hAnsi="宋体" w:eastAsia="宋体" w:cs="宋体"/>
                <w:bCs/>
                <w:kern w:val="2"/>
                <w:sz w:val="24"/>
                <w:szCs w:val="24"/>
                <w:u w:val="none"/>
                <w:shd w:val="clear" w:color="auto" w:fill="FFFFFF"/>
                <w:lang w:val="en-US" w:eastAsia="zh-CN" w:bidi="ar-SA"/>
              </w:rPr>
            </w:pPr>
            <w:r>
              <w:rPr>
                <w:rFonts w:hint="eastAsia" w:ascii="宋体" w:hAnsi="宋体" w:eastAsia="宋体" w:cs="宋体"/>
                <w:bCs/>
                <w:kern w:val="2"/>
                <w:sz w:val="24"/>
                <w:szCs w:val="24"/>
                <w:u w:val="none"/>
                <w:shd w:val="clear" w:color="auto" w:fill="FFFFFF"/>
                <w:lang w:val="en-US" w:eastAsia="zh-CN" w:bidi="ar-SA"/>
              </w:rPr>
              <w:t>10.合同期限内，乙方必须严格按照《昆明市环境卫生作业规范及质量标准》执行。</w:t>
            </w:r>
          </w:p>
          <w:p w14:paraId="67F56652">
            <w:pPr>
              <w:spacing w:line="360" w:lineRule="auto"/>
              <w:ind w:left="120" w:firstLine="480" w:firstLineChars="200"/>
              <w:rPr>
                <w:rFonts w:hint="eastAsia" w:ascii="宋体" w:hAnsi="宋体" w:eastAsia="宋体" w:cs="宋体"/>
                <w:bCs/>
                <w:kern w:val="2"/>
                <w:sz w:val="24"/>
                <w:szCs w:val="24"/>
                <w:u w:val="none"/>
                <w:shd w:val="clear" w:color="auto" w:fill="FFFFFF"/>
                <w:lang w:val="en-US" w:eastAsia="zh-CN" w:bidi="ar-SA"/>
              </w:rPr>
            </w:pPr>
            <w:r>
              <w:rPr>
                <w:rFonts w:hint="eastAsia" w:ascii="宋体" w:hAnsi="宋体" w:eastAsia="宋体" w:cs="宋体"/>
                <w:bCs/>
                <w:kern w:val="2"/>
                <w:sz w:val="24"/>
                <w:szCs w:val="24"/>
                <w:u w:val="none"/>
                <w:shd w:val="clear" w:color="auto" w:fill="FFFFFF"/>
                <w:lang w:val="en-US" w:eastAsia="zh-CN" w:bidi="ar-SA"/>
              </w:rPr>
              <w:t>11.其他未明确事宜按《昆明市城市环境卫生作业规范》规定执行。</w:t>
            </w:r>
          </w:p>
          <w:p w14:paraId="7F80C806">
            <w:pPr>
              <w:pStyle w:val="10"/>
              <w:numPr>
                <w:ilvl w:val="0"/>
                <w:numId w:val="4"/>
              </w:numPr>
              <w:rPr>
                <w:rFonts w:hint="eastAsia" w:ascii="宋体" w:hAnsi="宋体" w:eastAsia="宋体" w:cs="宋体"/>
                <w:b/>
                <w:color w:val="auto"/>
                <w:sz w:val="28"/>
                <w:szCs w:val="28"/>
                <w:shd w:val="clear" w:color="auto" w:fill="FFFFFF"/>
              </w:rPr>
            </w:pPr>
            <w:r>
              <w:rPr>
                <w:rFonts w:hint="eastAsia" w:ascii="宋体" w:hAnsi="宋体" w:eastAsia="宋体" w:cs="宋体"/>
                <w:b/>
                <w:color w:val="auto"/>
                <w:sz w:val="28"/>
                <w:szCs w:val="28"/>
                <w:shd w:val="clear" w:color="auto" w:fill="FFFFFF"/>
              </w:rPr>
              <w:t>采购标的的数量、采购项目交付或者实施的时间和地点;</w:t>
            </w:r>
          </w:p>
          <w:p w14:paraId="1F7AA206">
            <w:pPr>
              <w:pStyle w:val="10"/>
              <w:ind w:firstLine="480" w:firstLineChars="200"/>
              <w:rPr>
                <w:rFonts w:hint="eastAsia" w:ascii="宋体" w:hAnsi="宋体" w:eastAsia="宋体" w:cs="宋体"/>
                <w:bCs/>
                <w:color w:val="auto"/>
                <w:sz w:val="24"/>
                <w:szCs w:val="24"/>
                <w:shd w:val="clear" w:color="auto" w:fill="FFFFFF"/>
                <w:lang w:val="en-US" w:eastAsia="zh-CN"/>
              </w:rPr>
            </w:pPr>
            <w:r>
              <w:rPr>
                <w:rFonts w:hint="eastAsia" w:ascii="宋体" w:hAnsi="宋体" w:eastAsia="宋体" w:cs="宋体"/>
                <w:bCs/>
                <w:kern w:val="2"/>
                <w:sz w:val="24"/>
                <w:szCs w:val="24"/>
                <w:u w:val="none"/>
                <w:shd w:val="clear" w:color="auto" w:fill="FFFFFF"/>
                <w:lang w:val="en-US" w:eastAsia="zh-CN" w:bidi="ar-SA"/>
              </w:rPr>
              <w:t>1.</w:t>
            </w:r>
            <w:r>
              <w:rPr>
                <w:rFonts w:hint="eastAsia" w:ascii="宋体" w:hAnsi="宋体" w:eastAsia="宋体" w:cs="宋体"/>
                <w:bCs/>
                <w:color w:val="auto"/>
                <w:sz w:val="24"/>
                <w:szCs w:val="24"/>
                <w:shd w:val="clear" w:color="auto" w:fill="FFFFFF"/>
                <w:lang w:val="en-US" w:eastAsia="zh-CN"/>
              </w:rPr>
              <w:t>采购标的数量：1项。</w:t>
            </w:r>
          </w:p>
          <w:p w14:paraId="7469FA35">
            <w:pPr>
              <w:pStyle w:val="10"/>
              <w:ind w:firstLine="480" w:firstLineChars="200"/>
              <w:rPr>
                <w:rFonts w:hint="eastAsia" w:ascii="宋体" w:hAnsi="宋体" w:eastAsia="宋体" w:cs="宋体"/>
                <w:bCs/>
                <w:color w:val="auto"/>
                <w:sz w:val="24"/>
                <w:szCs w:val="24"/>
                <w:shd w:val="clear" w:color="auto" w:fill="FFFFFF"/>
                <w:lang w:val="en-US" w:eastAsia="zh-CN"/>
              </w:rPr>
            </w:pPr>
            <w:r>
              <w:rPr>
                <w:rFonts w:hint="eastAsia" w:ascii="宋体" w:hAnsi="宋体" w:eastAsia="宋体" w:cs="宋体"/>
                <w:bCs/>
                <w:color w:val="auto"/>
                <w:sz w:val="24"/>
                <w:szCs w:val="24"/>
                <w:shd w:val="clear" w:color="auto" w:fill="FFFFFF"/>
              </w:rPr>
              <w:t>2.</w:t>
            </w:r>
            <w:r>
              <w:rPr>
                <w:rFonts w:hint="eastAsia" w:ascii="宋体" w:hAnsi="宋体" w:eastAsia="宋体" w:cs="宋体"/>
                <w:bCs/>
                <w:color w:val="auto"/>
                <w:sz w:val="24"/>
                <w:szCs w:val="24"/>
                <w:shd w:val="clear" w:color="auto" w:fill="FFFFFF"/>
                <w:lang w:val="en-US" w:eastAsia="zh-CN"/>
              </w:rPr>
              <w:t>服务期限</w:t>
            </w:r>
            <w:r>
              <w:rPr>
                <w:rFonts w:hint="eastAsia" w:ascii="宋体" w:hAnsi="宋体" w:eastAsia="宋体" w:cs="宋体"/>
                <w:bCs/>
                <w:color w:val="auto"/>
                <w:sz w:val="24"/>
                <w:szCs w:val="24"/>
                <w:shd w:val="clear" w:color="auto" w:fill="FFFFFF"/>
                <w:lang w:eastAsia="zh-CN"/>
              </w:rPr>
              <w:t>：</w:t>
            </w:r>
            <w:r>
              <w:rPr>
                <w:rFonts w:hint="eastAsia" w:ascii="宋体" w:hAnsi="宋体" w:eastAsia="宋体" w:cs="宋体"/>
                <w:bCs/>
                <w:color w:val="auto"/>
                <w:sz w:val="24"/>
                <w:szCs w:val="24"/>
                <w:shd w:val="clear" w:color="auto" w:fill="FFFFFF"/>
              </w:rPr>
              <w:t>2026年6月1日</w:t>
            </w:r>
            <w:r>
              <w:rPr>
                <w:rFonts w:hint="eastAsia" w:cs="宋体"/>
                <w:bCs/>
                <w:color w:val="auto"/>
                <w:sz w:val="24"/>
                <w:szCs w:val="24"/>
                <w:shd w:val="clear" w:color="auto" w:fill="FFFFFF"/>
                <w:lang w:val="en-US" w:eastAsia="zh-CN"/>
              </w:rPr>
              <w:t>-2029年5月31日</w:t>
            </w:r>
            <w:r>
              <w:rPr>
                <w:rFonts w:hint="eastAsia" w:ascii="宋体" w:hAnsi="宋体" w:eastAsia="宋体" w:cs="宋体"/>
                <w:bCs/>
                <w:color w:val="auto"/>
                <w:sz w:val="24"/>
                <w:szCs w:val="24"/>
                <w:shd w:val="clear" w:color="auto" w:fill="FFFFFF"/>
                <w:lang w:val="en-US" w:eastAsia="zh-CN"/>
              </w:rPr>
              <w:t>。</w:t>
            </w:r>
          </w:p>
          <w:p w14:paraId="2D9912D7">
            <w:pPr>
              <w:pStyle w:val="10"/>
              <w:ind w:firstLine="480" w:firstLineChars="200"/>
              <w:rPr>
                <w:rFonts w:hint="eastAsia" w:ascii="宋体" w:hAnsi="宋体" w:eastAsia="宋体" w:cs="宋体"/>
                <w:bCs/>
                <w:color w:val="auto"/>
                <w:sz w:val="24"/>
                <w:szCs w:val="24"/>
                <w:shd w:val="clear" w:color="auto" w:fill="FFFFFF"/>
                <w:lang w:eastAsia="zh-CN"/>
              </w:rPr>
            </w:pP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bCs/>
                <w:color w:val="auto"/>
                <w:sz w:val="24"/>
                <w:szCs w:val="24"/>
                <w:shd w:val="clear" w:color="auto" w:fill="FFFFFF"/>
              </w:rPr>
              <w:t>3.实施地点：</w:t>
            </w:r>
            <w:r>
              <w:rPr>
                <w:rFonts w:hint="eastAsia" w:ascii="宋体" w:hAnsi="宋体" w:eastAsia="宋体" w:cs="宋体"/>
                <w:bCs/>
                <w:color w:val="auto"/>
                <w:sz w:val="24"/>
                <w:szCs w:val="24"/>
                <w:shd w:val="clear" w:color="auto" w:fill="FFFFFF"/>
                <w:lang w:val="en-US" w:eastAsia="zh-CN"/>
              </w:rPr>
              <w:t>晋宁区</w:t>
            </w:r>
            <w:r>
              <w:rPr>
                <w:rFonts w:hint="eastAsia" w:ascii="宋体" w:hAnsi="宋体" w:eastAsia="宋体" w:cs="宋体"/>
                <w:bCs/>
                <w:color w:val="auto"/>
                <w:sz w:val="24"/>
                <w:szCs w:val="24"/>
                <w:shd w:val="clear" w:color="auto" w:fill="FFFFFF"/>
              </w:rPr>
              <w:t>二街镇集镇及9个村委会（28个自然村、31个村小组）</w:t>
            </w:r>
            <w:r>
              <w:rPr>
                <w:rFonts w:hint="eastAsia" w:ascii="宋体" w:hAnsi="宋体" w:eastAsia="宋体" w:cs="宋体"/>
                <w:bCs/>
                <w:color w:val="auto"/>
                <w:sz w:val="24"/>
                <w:szCs w:val="24"/>
                <w:shd w:val="clear" w:color="auto" w:fill="FFFFFF"/>
                <w:lang w:eastAsia="zh-CN"/>
              </w:rPr>
              <w:t>，</w:t>
            </w:r>
            <w:r>
              <w:rPr>
                <w:rFonts w:hint="eastAsia" w:ascii="宋体" w:hAnsi="宋体" w:eastAsia="宋体" w:cs="宋体"/>
                <w:bCs/>
                <w:color w:val="auto"/>
                <w:sz w:val="24"/>
                <w:szCs w:val="24"/>
                <w:shd w:val="clear" w:color="auto" w:fill="FFFFFF"/>
                <w:lang w:val="en-US" w:eastAsia="zh-CN"/>
              </w:rPr>
              <w:t>采购人指定地点</w:t>
            </w:r>
            <w:r>
              <w:rPr>
                <w:rFonts w:hint="eastAsia" w:ascii="宋体" w:hAnsi="宋体" w:eastAsia="宋体" w:cs="宋体"/>
                <w:bCs/>
                <w:color w:val="auto"/>
                <w:sz w:val="24"/>
                <w:szCs w:val="24"/>
                <w:shd w:val="clear" w:color="auto" w:fill="FFFFFF"/>
                <w:lang w:eastAsia="zh-CN"/>
              </w:rPr>
              <w:t>。</w:t>
            </w:r>
          </w:p>
          <w:p w14:paraId="589F49A1">
            <w:pPr>
              <w:pStyle w:val="10"/>
              <w:rPr>
                <w:rFonts w:hint="eastAsia" w:ascii="宋体" w:hAnsi="宋体" w:eastAsia="宋体" w:cs="宋体"/>
                <w:b/>
                <w:color w:val="auto"/>
                <w:sz w:val="28"/>
                <w:szCs w:val="28"/>
                <w:shd w:val="clear" w:color="auto" w:fill="FFFFFF"/>
              </w:rPr>
            </w:pPr>
            <w:r>
              <w:rPr>
                <w:rFonts w:hint="eastAsia" w:ascii="宋体" w:hAnsi="宋体" w:eastAsia="宋体" w:cs="宋体"/>
                <w:b/>
                <w:color w:val="auto"/>
                <w:sz w:val="28"/>
                <w:szCs w:val="28"/>
                <w:shd w:val="clear" w:color="auto" w:fill="FFFFFF"/>
              </w:rPr>
              <w:t>（五）采购标的需满足的服务标准、期限、效率等要求;</w:t>
            </w:r>
          </w:p>
          <w:p w14:paraId="0EEB101A">
            <w:pPr>
              <w:pStyle w:val="10"/>
              <w:numPr>
                <w:ilvl w:val="0"/>
                <w:numId w:val="0"/>
              </w:numPr>
              <w:ind w:firstLine="720" w:firstLineChars="300"/>
              <w:rPr>
                <w:rFonts w:hint="eastAsia" w:ascii="宋体" w:hAnsi="宋体" w:eastAsia="宋体" w:cs="宋体"/>
                <w:color w:val="auto"/>
                <w:sz w:val="24"/>
                <w:szCs w:val="24"/>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w:t>
            </w:r>
            <w:r>
              <w:rPr>
                <w:rFonts w:hint="eastAsia" w:ascii="宋体" w:hAnsi="宋体" w:eastAsia="宋体" w:cs="宋体"/>
                <w:color w:val="auto"/>
                <w:sz w:val="24"/>
                <w:szCs w:val="24"/>
              </w:rPr>
              <w:t>1.服务</w:t>
            </w:r>
            <w:r>
              <w:rPr>
                <w:rFonts w:hint="eastAsia" w:cs="宋体"/>
                <w:color w:val="auto"/>
                <w:sz w:val="24"/>
                <w:szCs w:val="24"/>
                <w:lang w:val="en-US" w:eastAsia="zh-CN"/>
              </w:rPr>
              <w:t>质量</w:t>
            </w:r>
            <w:r>
              <w:rPr>
                <w:rFonts w:hint="eastAsia" w:ascii="宋体" w:hAnsi="宋体" w:eastAsia="宋体" w:cs="宋体"/>
                <w:color w:val="auto"/>
                <w:sz w:val="24"/>
                <w:szCs w:val="24"/>
              </w:rPr>
              <w:t>标准：</w:t>
            </w:r>
            <w:r>
              <w:rPr>
                <w:rFonts w:hint="eastAsia" w:ascii="宋体" w:hAnsi="宋体" w:eastAsia="宋体" w:cs="宋体"/>
                <w:bCs/>
                <w:kern w:val="2"/>
                <w:sz w:val="24"/>
                <w:szCs w:val="24"/>
                <w:u w:val="none"/>
                <w:shd w:val="clear" w:color="auto" w:fill="FFFFFF"/>
                <w:lang w:val="en-US" w:eastAsia="zh-CN" w:bidi="ar-SA"/>
              </w:rPr>
              <w:t>符合《昆明市环境卫生作业规范及质量标准》规定</w:t>
            </w:r>
            <w:r>
              <w:rPr>
                <w:rFonts w:hint="eastAsia" w:cs="宋体"/>
                <w:bCs/>
                <w:kern w:val="2"/>
                <w:sz w:val="24"/>
                <w:szCs w:val="24"/>
                <w:u w:val="none"/>
                <w:shd w:val="clear" w:color="auto" w:fill="FFFFFF"/>
                <w:lang w:val="en-US" w:eastAsia="zh-CN" w:bidi="ar-SA"/>
              </w:rPr>
              <w:t>，</w:t>
            </w:r>
            <w:r>
              <w:rPr>
                <w:rFonts w:hint="eastAsia" w:ascii="仿宋" w:hAnsi="仿宋" w:eastAsia="宋体" w:cs="仿宋"/>
                <w:bCs/>
                <w:kern w:val="2"/>
                <w:sz w:val="24"/>
                <w:szCs w:val="24"/>
                <w:u w:val="none"/>
                <w:lang w:val="en-US" w:eastAsia="zh-CN" w:bidi="ar-SA"/>
              </w:rPr>
              <w:t>满足采购人的需求</w:t>
            </w:r>
            <w:r>
              <w:rPr>
                <w:rFonts w:hint="eastAsia" w:ascii="仿宋" w:hAnsi="仿宋" w:cs="仿宋"/>
                <w:bCs/>
                <w:kern w:val="2"/>
                <w:sz w:val="24"/>
                <w:szCs w:val="24"/>
                <w:u w:val="none"/>
                <w:lang w:val="en-US" w:eastAsia="zh-CN" w:bidi="ar-SA"/>
              </w:rPr>
              <w:t>。</w:t>
            </w:r>
          </w:p>
          <w:p w14:paraId="61EE29F9">
            <w:pPr>
              <w:pStyle w:val="8"/>
              <w:ind w:left="0" w:leftChars="0" w:firstLine="480" w:firstLineChars="200"/>
              <w:rPr>
                <w:rFonts w:hint="eastAsia" w:ascii="宋体" w:hAnsi="宋体" w:eastAsia="宋体" w:cs="宋体"/>
                <w:bCs/>
                <w:color w:val="auto"/>
                <w:sz w:val="24"/>
                <w:szCs w:val="24"/>
                <w:shd w:val="clear" w:color="auto" w:fill="FFFFFF"/>
                <w:lang w:val="en-US" w:eastAsia="zh-CN"/>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w:t>
            </w:r>
            <w:r>
              <w:rPr>
                <w:rFonts w:hint="eastAsia" w:ascii="宋体" w:hAnsi="宋体" w:eastAsia="宋体" w:cs="宋体"/>
                <w:color w:val="auto"/>
                <w:kern w:val="2"/>
                <w:sz w:val="24"/>
                <w:szCs w:val="24"/>
              </w:rPr>
              <w:t>2.服务期限：</w:t>
            </w:r>
            <w:r>
              <w:rPr>
                <w:rFonts w:hint="eastAsia" w:cs="宋体"/>
                <w:bCs/>
                <w:color w:val="auto"/>
                <w:sz w:val="24"/>
                <w:szCs w:val="24"/>
                <w:shd w:val="clear" w:color="auto" w:fill="FFFFFF"/>
                <w:lang w:val="en-US" w:eastAsia="zh-CN"/>
              </w:rPr>
              <w:t>3</w:t>
            </w:r>
            <w:r>
              <w:rPr>
                <w:rFonts w:hint="eastAsia" w:ascii="宋体" w:hAnsi="宋体" w:eastAsia="宋体" w:cs="宋体"/>
                <w:bCs/>
                <w:color w:val="auto"/>
                <w:sz w:val="24"/>
                <w:szCs w:val="24"/>
                <w:shd w:val="clear" w:color="auto" w:fill="FFFFFF"/>
                <w:lang w:val="en-US" w:eastAsia="zh-CN"/>
              </w:rPr>
              <w:t>年，合同一年一签</w:t>
            </w:r>
            <w:r>
              <w:rPr>
                <w:rFonts w:hint="eastAsia" w:cs="宋体"/>
                <w:bCs/>
                <w:color w:val="auto"/>
                <w:sz w:val="24"/>
                <w:szCs w:val="24"/>
                <w:shd w:val="clear" w:color="auto" w:fill="FFFFFF"/>
                <w:lang w:val="en-US" w:eastAsia="zh-CN"/>
              </w:rPr>
              <w:t>（合同履行期间采购人将对中标人进行合同履约考核，若中标人考核评价不合格的，采购人有权终止合同）</w:t>
            </w:r>
            <w:r>
              <w:rPr>
                <w:rFonts w:hint="eastAsia" w:ascii="宋体" w:hAnsi="宋体" w:eastAsia="宋体" w:cs="宋体"/>
                <w:bCs/>
                <w:color w:val="auto"/>
                <w:sz w:val="24"/>
                <w:szCs w:val="24"/>
                <w:shd w:val="clear" w:color="auto" w:fill="FFFFFF"/>
                <w:lang w:val="en-US" w:eastAsia="zh-CN"/>
              </w:rPr>
              <w:t>。</w:t>
            </w:r>
          </w:p>
          <w:p w14:paraId="24D3F453">
            <w:pPr>
              <w:pStyle w:val="10"/>
              <w:rPr>
                <w:rFonts w:hint="eastAsia" w:ascii="宋体" w:hAnsi="宋体" w:eastAsia="宋体" w:cs="宋体"/>
                <w:b/>
                <w:color w:val="auto"/>
                <w:sz w:val="28"/>
                <w:szCs w:val="28"/>
                <w:shd w:val="clear" w:color="auto" w:fill="FFFFFF"/>
              </w:rPr>
            </w:pPr>
            <w:r>
              <w:rPr>
                <w:rFonts w:hint="eastAsia" w:ascii="宋体" w:hAnsi="宋体" w:eastAsia="宋体" w:cs="宋体"/>
                <w:b/>
                <w:color w:val="auto"/>
                <w:sz w:val="28"/>
                <w:szCs w:val="28"/>
                <w:shd w:val="clear" w:color="auto" w:fill="FFFFFF"/>
              </w:rPr>
              <w:t>（六）采购标的的验收标准;</w:t>
            </w:r>
          </w:p>
          <w:p w14:paraId="1B6B6214">
            <w:pPr>
              <w:pStyle w:val="10"/>
              <w:spacing w:line="360" w:lineRule="auto"/>
              <w:ind w:firstLine="480" w:firstLineChars="200"/>
              <w:rPr>
                <w:rFonts w:hint="eastAsia" w:ascii="宋体" w:hAnsi="宋体" w:eastAsia="宋体" w:cs="宋体"/>
                <w:bCs/>
                <w:color w:val="auto"/>
                <w:sz w:val="28"/>
                <w:szCs w:val="28"/>
                <w:shd w:val="clear" w:color="auto" w:fill="FFFFFF"/>
              </w:rPr>
            </w:pPr>
            <w:r>
              <w:rPr>
                <w:rFonts w:hint="eastAsia" w:ascii="宋体" w:hAnsi="宋体" w:eastAsia="宋体" w:cs="宋体"/>
                <w:bCs/>
                <w:color w:val="auto"/>
                <w:sz w:val="24"/>
                <w:szCs w:val="24"/>
                <w:shd w:val="clear" w:color="auto" w:fill="FFFFFF"/>
              </w:rPr>
              <w:t>采购人将严格按照招标文件要求对中标方进行验收</w:t>
            </w:r>
            <w:r>
              <w:rPr>
                <w:rFonts w:hint="eastAsia" w:ascii="宋体" w:hAnsi="宋体" w:eastAsia="宋体" w:cs="宋体"/>
                <w:bCs/>
                <w:color w:val="auto"/>
                <w:sz w:val="28"/>
                <w:szCs w:val="28"/>
                <w:shd w:val="clear" w:color="auto" w:fill="FFFFFF"/>
              </w:rPr>
              <w:t>。</w:t>
            </w:r>
          </w:p>
          <w:p w14:paraId="531E41BF">
            <w:pPr>
              <w:pStyle w:val="10"/>
              <w:numPr>
                <w:ilvl w:val="0"/>
                <w:numId w:val="5"/>
              </w:numPr>
              <w:rPr>
                <w:rFonts w:hint="eastAsia" w:ascii="宋体" w:hAnsi="宋体" w:eastAsia="宋体" w:cs="宋体"/>
                <w:color w:val="auto"/>
                <w:sz w:val="28"/>
                <w:szCs w:val="28"/>
              </w:rPr>
            </w:pPr>
            <w:r>
              <w:rPr>
                <w:rFonts w:hint="eastAsia" w:ascii="宋体" w:hAnsi="宋体" w:eastAsia="宋体" w:cs="宋体"/>
                <w:b/>
                <w:color w:val="auto"/>
                <w:sz w:val="28"/>
                <w:szCs w:val="28"/>
                <w:shd w:val="clear" w:color="auto" w:fill="FFFFFF"/>
              </w:rPr>
              <w:t>采购标的的其他技术、服务等要求。</w:t>
            </w:r>
          </w:p>
          <w:p w14:paraId="0AA0EF9B">
            <w:pPr>
              <w:pStyle w:val="11"/>
              <w:numPr>
                <w:ilvl w:val="0"/>
                <w:numId w:val="0"/>
              </w:numPr>
              <w:ind w:firstLine="480" w:firstLineChars="200"/>
              <w:rPr>
                <w:rFonts w:hint="eastAsia" w:ascii="宋体" w:hAnsi="宋体" w:eastAsia="宋体" w:cs="宋体"/>
                <w:bCs/>
                <w:color w:val="000000" w:themeColor="text1"/>
                <w:kern w:val="2"/>
                <w:sz w:val="24"/>
                <w:szCs w:val="24"/>
                <w:shd w:val="clear" w:color="auto" w:fill="FFFFFF"/>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付款方式：每2个月验收一次，待验收合格后进行支付。</w:t>
            </w:r>
          </w:p>
          <w:p w14:paraId="5E5C3A1F">
            <w:pPr>
              <w:pStyle w:val="10"/>
              <w:spacing w:line="360" w:lineRule="auto"/>
              <w:ind w:firstLine="480" w:firstLineChars="200"/>
              <w:rPr>
                <w:rFonts w:hint="eastAsia" w:ascii="宋体" w:hAnsi="宋体" w:eastAsia="宋体" w:cs="宋体"/>
                <w:bCs/>
                <w:color w:val="auto"/>
                <w:kern w:val="2"/>
                <w:sz w:val="24"/>
                <w:szCs w:val="24"/>
                <w:shd w:val="clear" w:color="auto" w:fill="FFFFFF"/>
                <w:lang w:val="en-US" w:eastAsia="zh-CN" w:bidi="ar-SA"/>
              </w:rPr>
            </w:pPr>
            <w:r>
              <w:rPr>
                <w:rFonts w:hint="eastAsia" w:ascii="宋体" w:hAnsi="宋体" w:eastAsia="宋体" w:cs="宋体"/>
                <w:bCs/>
                <w:color w:val="auto"/>
                <w:kern w:val="2"/>
                <w:sz w:val="24"/>
                <w:szCs w:val="24"/>
                <w:shd w:val="clear" w:color="auto" w:fill="FFFFFF"/>
                <w:lang w:val="en-US" w:eastAsia="zh-CN" w:bidi="ar-SA"/>
              </w:rPr>
              <w:t>2.本项目服务采购是否伴随有货物：否。</w:t>
            </w:r>
          </w:p>
          <w:p w14:paraId="6D1EBC97">
            <w:pPr>
              <w:pStyle w:val="11"/>
              <w:ind w:firstLine="480" w:firstLineChars="200"/>
              <w:rPr>
                <w:rFonts w:hint="eastAsia" w:ascii="宋体" w:hAnsi="宋体" w:eastAsia="宋体" w:cs="宋体"/>
                <w:color w:val="auto"/>
                <w:sz w:val="24"/>
              </w:rPr>
            </w:pPr>
            <w:r>
              <w:rPr>
                <w:rFonts w:hint="eastAsia" w:ascii="宋体" w:hAnsi="宋体" w:eastAsia="宋体" w:cs="宋体"/>
                <w:bCs/>
                <w:color w:val="auto"/>
                <w:kern w:val="2"/>
                <w:sz w:val="24"/>
                <w:szCs w:val="24"/>
                <w:shd w:val="clear" w:color="auto" w:fill="FFFFFF"/>
                <w:lang w:val="en-US" w:eastAsia="zh-CN" w:bidi="ar-SA"/>
              </w:rPr>
              <w:t>3.本项目不接受联合体投标。</w:t>
            </w:r>
          </w:p>
        </w:tc>
      </w:tr>
    </w:tbl>
    <w:p w14:paraId="0EF8F5E6">
      <w:pPr>
        <w:pStyle w:val="52"/>
        <w:spacing w:before="260" w:after="260" w:line="360" w:lineRule="auto"/>
        <w:jc w:val="both"/>
        <w:rPr>
          <w:rFonts w:hint="eastAsia" w:ascii="宋体" w:hAnsi="宋体" w:cs="宋体"/>
          <w:bCs w:val="0"/>
          <w:sz w:val="28"/>
          <w:szCs w:val="28"/>
        </w:rPr>
      </w:pPr>
      <w:bookmarkStart w:id="29" w:name="_Toc28359003"/>
      <w:bookmarkEnd w:id="29"/>
      <w:bookmarkStart w:id="30" w:name="_Toc10155"/>
      <w:bookmarkEnd w:id="30"/>
      <w:bookmarkStart w:id="31" w:name="_Toc35393622"/>
      <w:bookmarkEnd w:id="31"/>
      <w:bookmarkStart w:id="32" w:name="_Toc3064"/>
      <w:bookmarkEnd w:id="32"/>
      <w:bookmarkStart w:id="33" w:name="_Toc23681"/>
      <w:bookmarkEnd w:id="33"/>
      <w:bookmarkStart w:id="34" w:name="_Toc35393791"/>
      <w:bookmarkEnd w:id="34"/>
      <w:bookmarkStart w:id="35" w:name="_Toc28359080"/>
      <w:bookmarkEnd w:id="35"/>
      <w:bookmarkStart w:id="36" w:name="_Toc28854"/>
      <w:r>
        <w:rPr>
          <w:rFonts w:hint="eastAsia" w:ascii="宋体" w:hAnsi="宋体" w:cs="宋体"/>
          <w:bCs w:val="0"/>
          <w:sz w:val="28"/>
          <w:szCs w:val="28"/>
        </w:rPr>
        <w:t>二、投标供应商的资格要求：</w:t>
      </w:r>
      <w:bookmarkEnd w:id="36"/>
    </w:p>
    <w:p w14:paraId="1DE4BAF9">
      <w:pPr>
        <w:ind w:firstLine="540"/>
        <w:rPr>
          <w:rFonts w:hint="eastAsia" w:cs="宋体"/>
          <w:sz w:val="24"/>
          <w:szCs w:val="24"/>
        </w:rPr>
      </w:pPr>
      <w:bookmarkStart w:id="37" w:name="_Toc35393792"/>
      <w:bookmarkEnd w:id="37"/>
      <w:bookmarkStart w:id="38" w:name="_Toc4536"/>
      <w:bookmarkEnd w:id="38"/>
      <w:bookmarkStart w:id="39" w:name="_Toc22491"/>
      <w:bookmarkEnd w:id="39"/>
      <w:bookmarkStart w:id="40" w:name="_Toc1149"/>
      <w:bookmarkEnd w:id="40"/>
      <w:bookmarkStart w:id="41" w:name="_Toc35393623"/>
      <w:bookmarkEnd w:id="41"/>
      <w:r>
        <w:rPr>
          <w:rFonts w:hint="eastAsia" w:cs="宋体"/>
          <w:sz w:val="24"/>
          <w:szCs w:val="24"/>
        </w:rPr>
        <w:t>1.满足《中华人民共和国政府采购法》第二十二条规定；</w:t>
      </w:r>
    </w:p>
    <w:p w14:paraId="7FF5EE14">
      <w:pPr>
        <w:ind w:firstLine="540"/>
        <w:rPr>
          <w:rFonts w:hint="eastAsia" w:cs="宋体"/>
          <w:sz w:val="24"/>
          <w:szCs w:val="24"/>
        </w:rPr>
      </w:pPr>
      <w:r>
        <w:rPr>
          <w:rFonts w:hint="eastAsia" w:cs="宋体"/>
          <w:sz w:val="24"/>
          <w:szCs w:val="24"/>
        </w:rPr>
        <w:t>（1）具有独立承担民事责任的能力。</w:t>
      </w:r>
    </w:p>
    <w:p w14:paraId="1DDF47DE">
      <w:pPr>
        <w:ind w:firstLine="540"/>
        <w:rPr>
          <w:rFonts w:hint="eastAsia" w:cs="宋体"/>
          <w:sz w:val="24"/>
          <w:szCs w:val="24"/>
        </w:rPr>
      </w:pPr>
      <w:r>
        <w:rPr>
          <w:rFonts w:hint="eastAsia" w:cs="宋体"/>
          <w:sz w:val="24"/>
          <w:szCs w:val="24"/>
        </w:rPr>
        <w:t>（2）具有良好的商业信誉和健全的财务会计制度。</w:t>
      </w:r>
    </w:p>
    <w:p w14:paraId="16AA0C9E">
      <w:pPr>
        <w:ind w:firstLine="540"/>
        <w:rPr>
          <w:rFonts w:hint="eastAsia" w:cs="宋体"/>
          <w:sz w:val="24"/>
          <w:szCs w:val="24"/>
        </w:rPr>
      </w:pPr>
      <w:r>
        <w:rPr>
          <w:rFonts w:hint="eastAsia" w:cs="宋体"/>
          <w:sz w:val="24"/>
          <w:szCs w:val="24"/>
        </w:rPr>
        <w:t>（3）具有履行合同所必需的设备和专业技术能力。</w:t>
      </w:r>
    </w:p>
    <w:p w14:paraId="0899AD5A">
      <w:pPr>
        <w:ind w:firstLine="540"/>
        <w:rPr>
          <w:rFonts w:hint="eastAsia" w:cs="宋体"/>
          <w:sz w:val="24"/>
          <w:szCs w:val="24"/>
        </w:rPr>
      </w:pPr>
      <w:r>
        <w:rPr>
          <w:rFonts w:hint="eastAsia" w:cs="宋体"/>
          <w:sz w:val="24"/>
          <w:szCs w:val="24"/>
        </w:rPr>
        <w:t>（4）有依法缴纳税收和社会保障资金的良好记录。</w:t>
      </w:r>
    </w:p>
    <w:p w14:paraId="33450CF8">
      <w:pPr>
        <w:ind w:firstLine="540"/>
        <w:rPr>
          <w:rFonts w:hint="eastAsia" w:cs="宋体"/>
          <w:b/>
          <w:bCs/>
          <w:sz w:val="24"/>
          <w:szCs w:val="24"/>
        </w:rPr>
      </w:pPr>
      <w:r>
        <w:rPr>
          <w:rFonts w:hint="eastAsia" w:cs="宋体"/>
          <w:sz w:val="24"/>
          <w:szCs w:val="24"/>
        </w:rPr>
        <w:t>（5）参加采购活动前3年内，在经营活动中没有重大违法记录。</w:t>
      </w:r>
      <w:r>
        <w:rPr>
          <w:rFonts w:hint="eastAsia" w:cs="宋体"/>
          <w:b/>
          <w:bCs/>
          <w:sz w:val="24"/>
          <w:szCs w:val="24"/>
        </w:rPr>
        <w:t>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1617F337">
      <w:pPr>
        <w:ind w:firstLine="540"/>
        <w:rPr>
          <w:rFonts w:hint="eastAsia" w:cs="宋体"/>
          <w:sz w:val="24"/>
          <w:szCs w:val="24"/>
        </w:rPr>
      </w:pPr>
      <w:r>
        <w:rPr>
          <w:rFonts w:hint="eastAsia" w:cs="宋体"/>
          <w:sz w:val="24"/>
          <w:szCs w:val="24"/>
        </w:rPr>
        <w:t>（6）法律、行政法规规定的其他条件。</w:t>
      </w:r>
    </w:p>
    <w:p w14:paraId="76F097DA">
      <w:pPr>
        <w:ind w:firstLine="540"/>
        <w:rPr>
          <w:rFonts w:hint="eastAsia" w:cs="宋体"/>
          <w:sz w:val="24"/>
          <w:szCs w:val="24"/>
        </w:rPr>
      </w:pPr>
      <w:r>
        <w:rPr>
          <w:rFonts w:hint="eastAsia" w:cs="宋体"/>
          <w:sz w:val="24"/>
          <w:szCs w:val="24"/>
        </w:rPr>
        <w:t>无。</w:t>
      </w:r>
    </w:p>
    <w:p w14:paraId="02AEE622">
      <w:pPr>
        <w:ind w:firstLine="540"/>
        <w:rPr>
          <w:rFonts w:hint="eastAsia" w:cs="宋体"/>
          <w:sz w:val="24"/>
          <w:szCs w:val="24"/>
        </w:rPr>
      </w:pPr>
      <w:r>
        <w:rPr>
          <w:rFonts w:hint="eastAsia" w:cs="宋体"/>
          <w:sz w:val="24"/>
          <w:szCs w:val="24"/>
        </w:rPr>
        <w:t>2.落实政府采购政策需满足的资格要求：</w:t>
      </w:r>
    </w:p>
    <w:p w14:paraId="6511A3BA">
      <w:pPr>
        <w:ind w:firstLine="540"/>
        <w:rPr>
          <w:rFonts w:hint="eastAsia" w:cs="宋体"/>
          <w:sz w:val="24"/>
          <w:szCs w:val="24"/>
        </w:rPr>
      </w:pPr>
      <w:r>
        <w:rPr>
          <w:rFonts w:hint="eastAsia" w:cs="宋体"/>
          <w:sz w:val="24"/>
          <w:szCs w:val="24"/>
        </w:rPr>
        <w:t>本项目专门面向中小企业采购。大型企业、大型企业的分支机构、控股股东为大型企业或与大企业的负责人为同一人的供应商不得参与本项目政府采购活动。供应商应当按照该办法规定提供《中小企业声明函》，并对声明函的合法有效性负责，未按规定提交声明函的供应商，资格审查不通过。残疾人福利性单位和监狱企业视同小微企业，提供相应证明文件享受上述政府采购政策。</w:t>
      </w:r>
    </w:p>
    <w:p w14:paraId="652EF1B6">
      <w:pPr>
        <w:ind w:firstLine="480" w:firstLineChars="200"/>
        <w:rPr>
          <w:rFonts w:hint="eastAsia" w:cs="宋体"/>
          <w:sz w:val="24"/>
          <w:szCs w:val="24"/>
        </w:rPr>
      </w:pPr>
      <w:r>
        <w:rPr>
          <w:rFonts w:hint="eastAsia" w:cs="宋体"/>
          <w:sz w:val="24"/>
          <w:szCs w:val="24"/>
        </w:rPr>
        <w:t>3.本项目的特定资格要求：</w:t>
      </w:r>
    </w:p>
    <w:p w14:paraId="6D78F683">
      <w:pPr>
        <w:ind w:firstLine="540"/>
        <w:rPr>
          <w:rFonts w:hint="eastAsia" w:cs="宋体"/>
          <w:sz w:val="24"/>
          <w:szCs w:val="24"/>
        </w:rPr>
      </w:pPr>
      <w:bookmarkStart w:id="42" w:name="_Toc10562"/>
      <w:r>
        <w:rPr>
          <w:rFonts w:hint="eastAsia" w:cs="宋体"/>
          <w:sz w:val="24"/>
          <w:szCs w:val="24"/>
        </w:rPr>
        <w:t>（1）单位负责人为同一人或者存在控股、管理关系的不同单位，不得同时参加本项目投标。</w:t>
      </w:r>
    </w:p>
    <w:p w14:paraId="5857A2D7">
      <w:pPr>
        <w:ind w:firstLine="540"/>
        <w:rPr>
          <w:rFonts w:hint="eastAsia" w:cs="宋体"/>
          <w:sz w:val="24"/>
          <w:szCs w:val="24"/>
        </w:rPr>
      </w:pPr>
      <w:r>
        <w:rPr>
          <w:rFonts w:hint="eastAsia" w:cs="宋体"/>
          <w:sz w:val="24"/>
          <w:szCs w:val="24"/>
        </w:rPr>
        <w:t>（</w:t>
      </w:r>
      <w:r>
        <w:rPr>
          <w:rFonts w:hint="eastAsia" w:cs="宋体"/>
          <w:sz w:val="24"/>
          <w:szCs w:val="24"/>
          <w:lang w:val="en-US" w:eastAsia="zh-CN"/>
        </w:rPr>
        <w:t>2</w:t>
      </w:r>
      <w:r>
        <w:rPr>
          <w:rFonts w:hint="eastAsia" w:cs="宋体"/>
          <w:sz w:val="24"/>
          <w:szCs w:val="24"/>
        </w:rPr>
        <w:t>）供应商中标后不得将采购项目整体转包给其他主体实施。</w:t>
      </w:r>
    </w:p>
    <w:p w14:paraId="4527ADA0">
      <w:pPr>
        <w:numPr>
          <w:ilvl w:val="0"/>
          <w:numId w:val="6"/>
        </w:numPr>
        <w:ind w:firstLine="540"/>
        <w:rPr>
          <w:rFonts w:hint="eastAsia" w:cs="宋体"/>
          <w:sz w:val="24"/>
          <w:szCs w:val="24"/>
        </w:rPr>
      </w:pPr>
      <w:r>
        <w:rPr>
          <w:rFonts w:hint="eastAsia" w:cs="宋体"/>
          <w:sz w:val="24"/>
          <w:szCs w:val="24"/>
        </w:rPr>
        <w:t>供应商在参加政府采购活动前3年内因违法经营被禁止在一定期限内参加政府采购活动，期限届满的，可以参加本次政府采购活动。</w:t>
      </w:r>
    </w:p>
    <w:p w14:paraId="0AE80AF6">
      <w:pPr>
        <w:numPr>
          <w:ilvl w:val="0"/>
          <w:numId w:val="6"/>
        </w:numPr>
        <w:ind w:firstLine="540"/>
        <w:rPr>
          <w:rFonts w:hint="eastAsia" w:cs="宋体"/>
          <w:sz w:val="24"/>
          <w:szCs w:val="24"/>
        </w:rPr>
      </w:pPr>
      <w:r>
        <w:rPr>
          <w:rFonts w:hint="eastAsia" w:cs="宋体"/>
          <w:sz w:val="24"/>
          <w:szCs w:val="24"/>
        </w:rPr>
        <w:t>供应商应当具备</w:t>
      </w:r>
      <w:r>
        <w:rPr>
          <w:rFonts w:hint="eastAsia" w:cs="宋体"/>
          <w:sz w:val="24"/>
          <w:szCs w:val="24"/>
          <w:lang w:val="en-US" w:eastAsia="zh-CN"/>
        </w:rPr>
        <w:t>城市管理行政主管部门核发的</w:t>
      </w:r>
      <w:r>
        <w:rPr>
          <w:rFonts w:hint="eastAsia" w:cs="宋体"/>
          <w:sz w:val="24"/>
          <w:szCs w:val="24"/>
          <w:lang w:eastAsia="zh-CN"/>
        </w:rPr>
        <w:t>《</w:t>
      </w:r>
      <w:r>
        <w:rPr>
          <w:rFonts w:hint="eastAsia" w:cs="宋体"/>
          <w:sz w:val="24"/>
          <w:szCs w:val="24"/>
          <w:lang w:val="en-US" w:eastAsia="zh-CN"/>
        </w:rPr>
        <w:t>从事</w:t>
      </w:r>
      <w:r>
        <w:rPr>
          <w:rFonts w:hint="eastAsia" w:cs="宋体"/>
          <w:sz w:val="24"/>
          <w:szCs w:val="24"/>
        </w:rPr>
        <w:t>生活垃圾经营性清扫、收集、运输服务许可证</w:t>
      </w:r>
      <w:r>
        <w:rPr>
          <w:rFonts w:hint="eastAsia" w:cs="宋体"/>
          <w:sz w:val="24"/>
          <w:szCs w:val="24"/>
          <w:lang w:eastAsia="zh-CN"/>
        </w:rPr>
        <w:t>》</w:t>
      </w:r>
      <w:r>
        <w:rPr>
          <w:rFonts w:hint="eastAsia" w:cs="宋体"/>
          <w:sz w:val="24"/>
          <w:szCs w:val="24"/>
        </w:rPr>
        <w:t>。</w:t>
      </w:r>
    </w:p>
    <w:p w14:paraId="0BDC097C">
      <w:pPr>
        <w:pStyle w:val="52"/>
        <w:spacing w:before="260" w:after="260" w:line="360" w:lineRule="auto"/>
        <w:jc w:val="both"/>
        <w:rPr>
          <w:rFonts w:hint="eastAsia" w:ascii="宋体" w:hAnsi="宋体" w:cs="宋体"/>
          <w:bCs w:val="0"/>
          <w:sz w:val="28"/>
          <w:szCs w:val="28"/>
        </w:rPr>
      </w:pPr>
      <w:r>
        <w:rPr>
          <w:rFonts w:hint="eastAsia" w:ascii="宋体" w:hAnsi="宋体" w:cs="宋体"/>
          <w:bCs w:val="0"/>
          <w:sz w:val="28"/>
          <w:szCs w:val="28"/>
        </w:rPr>
        <w:t>三、获取招标文件</w:t>
      </w:r>
      <w:bookmarkEnd w:id="42"/>
    </w:p>
    <w:p w14:paraId="4B0BDA40">
      <w:pPr>
        <w:ind w:firstLine="540"/>
        <w:rPr>
          <w:rFonts w:hint="eastAsia" w:cs="宋体"/>
          <w:sz w:val="24"/>
          <w:szCs w:val="24"/>
        </w:rPr>
      </w:pPr>
      <w:r>
        <w:rPr>
          <w:rFonts w:hint="eastAsia" w:cs="宋体"/>
          <w:sz w:val="24"/>
          <w:szCs w:val="24"/>
        </w:rPr>
        <w:t>时间：</w:t>
      </w:r>
      <w:r>
        <w:rPr>
          <w:rFonts w:hint="eastAsia" w:cs="宋体"/>
          <w:color w:val="FF0000"/>
          <w:sz w:val="24"/>
          <w:szCs w:val="24"/>
          <w:u w:val="single"/>
        </w:rPr>
        <w:t>202</w:t>
      </w:r>
      <w:r>
        <w:rPr>
          <w:rFonts w:hint="eastAsia" w:cs="宋体"/>
          <w:color w:val="FF0000"/>
          <w:sz w:val="24"/>
          <w:szCs w:val="24"/>
          <w:u w:val="single"/>
          <w:lang w:val="en-US" w:eastAsia="zh-CN"/>
        </w:rPr>
        <w:t>6</w:t>
      </w:r>
      <w:r>
        <w:rPr>
          <w:rFonts w:hint="eastAsia" w:cs="宋体"/>
          <w:color w:val="FF0000"/>
          <w:sz w:val="24"/>
          <w:szCs w:val="24"/>
          <w:u w:val="single"/>
        </w:rPr>
        <w:t>年</w:t>
      </w:r>
      <w:r>
        <w:rPr>
          <w:rFonts w:hint="eastAsia" w:cs="宋体"/>
          <w:color w:val="FF0000"/>
          <w:sz w:val="24"/>
          <w:szCs w:val="24"/>
          <w:u w:val="single"/>
          <w:lang w:val="en-US" w:eastAsia="zh-CN"/>
        </w:rPr>
        <w:t>4</w:t>
      </w:r>
      <w:r>
        <w:rPr>
          <w:rFonts w:hint="eastAsia" w:cs="宋体"/>
          <w:color w:val="FF0000"/>
          <w:sz w:val="24"/>
          <w:szCs w:val="24"/>
          <w:u w:val="single"/>
        </w:rPr>
        <w:t>月</w:t>
      </w:r>
      <w:r>
        <w:rPr>
          <w:rFonts w:hint="eastAsia" w:cs="宋体"/>
          <w:color w:val="FF0000"/>
          <w:sz w:val="24"/>
          <w:szCs w:val="24"/>
          <w:u w:val="single"/>
          <w:lang w:val="en-US" w:eastAsia="zh-CN"/>
        </w:rPr>
        <w:t>28</w:t>
      </w:r>
      <w:r>
        <w:rPr>
          <w:rFonts w:hint="eastAsia" w:cs="宋体"/>
          <w:color w:val="FF0000"/>
          <w:sz w:val="24"/>
          <w:szCs w:val="24"/>
          <w:u w:val="single"/>
        </w:rPr>
        <w:t xml:space="preserve">日至 </w:t>
      </w:r>
      <w:r>
        <w:rPr>
          <w:rFonts w:hint="eastAsia" w:cs="宋体"/>
          <w:color w:val="FF0000"/>
          <w:sz w:val="24"/>
          <w:szCs w:val="24"/>
          <w:u w:val="single"/>
          <w:lang w:val="en-US" w:eastAsia="zh-CN"/>
        </w:rPr>
        <w:t>2026</w:t>
      </w:r>
      <w:r>
        <w:rPr>
          <w:rFonts w:hint="eastAsia" w:cs="宋体"/>
          <w:color w:val="FF0000"/>
          <w:sz w:val="24"/>
          <w:szCs w:val="24"/>
          <w:u w:val="single"/>
        </w:rPr>
        <w:t xml:space="preserve"> 年</w:t>
      </w:r>
      <w:r>
        <w:rPr>
          <w:rFonts w:hint="eastAsia" w:cs="宋体"/>
          <w:color w:val="FF0000"/>
          <w:sz w:val="24"/>
          <w:szCs w:val="24"/>
          <w:u w:val="single"/>
          <w:lang w:val="en-US" w:eastAsia="zh-CN"/>
        </w:rPr>
        <w:t>5</w:t>
      </w:r>
      <w:r>
        <w:rPr>
          <w:rFonts w:hint="eastAsia" w:cs="宋体"/>
          <w:color w:val="FF0000"/>
          <w:sz w:val="24"/>
          <w:szCs w:val="24"/>
          <w:u w:val="single"/>
        </w:rPr>
        <w:t>月</w:t>
      </w:r>
      <w:r>
        <w:rPr>
          <w:rFonts w:hint="eastAsia" w:cs="宋体"/>
          <w:color w:val="FF0000"/>
          <w:sz w:val="24"/>
          <w:szCs w:val="24"/>
          <w:u w:val="single"/>
          <w:lang w:val="en-US" w:eastAsia="zh-CN"/>
        </w:rPr>
        <w:t>8</w:t>
      </w:r>
      <w:r>
        <w:rPr>
          <w:rFonts w:hint="eastAsia" w:cs="宋体"/>
          <w:color w:val="FF0000"/>
          <w:sz w:val="24"/>
          <w:szCs w:val="24"/>
          <w:u w:val="single"/>
        </w:rPr>
        <w:t>日</w:t>
      </w:r>
      <w:r>
        <w:rPr>
          <w:rFonts w:hint="eastAsia" w:cs="宋体"/>
          <w:sz w:val="24"/>
          <w:szCs w:val="24"/>
        </w:rPr>
        <w:t>（节假日除外），每天上午0：00至12：00，下午12：00至23：59（北京时间，法定节假日除外 ）</w:t>
      </w:r>
    </w:p>
    <w:p w14:paraId="5E759AF2">
      <w:pPr>
        <w:ind w:firstLine="540"/>
        <w:rPr>
          <w:rFonts w:hint="eastAsia" w:cs="宋体"/>
          <w:sz w:val="24"/>
          <w:szCs w:val="24"/>
        </w:rPr>
      </w:pPr>
      <w:r>
        <w:rPr>
          <w:rFonts w:hint="eastAsia" w:cs="宋体"/>
          <w:sz w:val="24"/>
          <w:szCs w:val="24"/>
        </w:rPr>
        <w:t>方式：1.凡有意参加投标者，须在政采云平台办理数字证书（CA），CA申领链接：http://yzt.ynsmartcert.cn/cms/yztkmkh12.html（客服热线：0871-67276028&lt;紧急可拨19988166369&gt;）或https://middle.zcygov.cn/ca/apply/edit?certType=32，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 CA 需到云南CA办理处进行升级）。外省供应商在政采云平台办理的其他CA可直接使用，无需重复办理。2.按上述要求获取文件的供应商视为合法获取了本项目采购文件，具备本项目的投标资格。</w:t>
      </w:r>
    </w:p>
    <w:p w14:paraId="02C9C156">
      <w:pPr>
        <w:pStyle w:val="52"/>
        <w:spacing w:before="260" w:after="260" w:line="360" w:lineRule="auto"/>
        <w:jc w:val="both"/>
        <w:rPr>
          <w:rFonts w:hint="eastAsia" w:ascii="宋体" w:hAnsi="宋体" w:cs="宋体"/>
          <w:b w:val="0"/>
          <w:sz w:val="28"/>
          <w:szCs w:val="28"/>
        </w:rPr>
      </w:pPr>
      <w:bookmarkStart w:id="43" w:name="_Toc24963"/>
      <w:bookmarkEnd w:id="43"/>
      <w:bookmarkStart w:id="44" w:name="_Toc2770"/>
      <w:bookmarkEnd w:id="44"/>
      <w:bookmarkStart w:id="45" w:name="_Toc35393624"/>
      <w:bookmarkEnd w:id="45"/>
      <w:bookmarkStart w:id="46" w:name="_Toc14174"/>
      <w:bookmarkEnd w:id="46"/>
      <w:bookmarkStart w:id="47" w:name="_Toc35393793"/>
      <w:bookmarkEnd w:id="47"/>
      <w:bookmarkStart w:id="48" w:name="_Toc28359082"/>
      <w:bookmarkEnd w:id="48"/>
      <w:bookmarkStart w:id="49" w:name="_Toc28359005"/>
      <w:bookmarkEnd w:id="49"/>
      <w:bookmarkStart w:id="50" w:name="_Toc27295"/>
      <w:r>
        <w:rPr>
          <w:rFonts w:hint="eastAsia" w:ascii="宋体" w:hAnsi="宋体" w:cs="宋体"/>
          <w:bCs w:val="0"/>
          <w:sz w:val="28"/>
          <w:szCs w:val="28"/>
        </w:rPr>
        <w:t>四、提交投标文件截止时间、时间和地点</w:t>
      </w:r>
      <w:bookmarkEnd w:id="50"/>
    </w:p>
    <w:p w14:paraId="1370E7FE">
      <w:pPr>
        <w:ind w:firstLine="480" w:firstLineChars="200"/>
        <w:rPr>
          <w:rFonts w:hint="eastAsia" w:cs="宋体"/>
          <w:bCs/>
          <w:sz w:val="24"/>
          <w:szCs w:val="24"/>
        </w:rPr>
      </w:pPr>
      <w:r>
        <w:rPr>
          <w:rFonts w:hint="eastAsia" w:cs="宋体"/>
          <w:bCs/>
          <w:sz w:val="24"/>
          <w:szCs w:val="24"/>
        </w:rPr>
        <w:t>提交投标文件截止时间：</w:t>
      </w:r>
      <w:r>
        <w:rPr>
          <w:rFonts w:hint="eastAsia" w:cs="宋体"/>
          <w:bCs/>
          <w:color w:val="FF0000"/>
          <w:sz w:val="24"/>
          <w:szCs w:val="24"/>
          <w:u w:val="single"/>
        </w:rPr>
        <w:t>202</w:t>
      </w:r>
      <w:r>
        <w:rPr>
          <w:rFonts w:hint="eastAsia" w:cs="宋体"/>
          <w:bCs/>
          <w:color w:val="FF0000"/>
          <w:sz w:val="24"/>
          <w:szCs w:val="24"/>
          <w:u w:val="single"/>
          <w:lang w:val="en-US" w:eastAsia="zh-CN"/>
        </w:rPr>
        <w:t>6</w:t>
      </w:r>
      <w:r>
        <w:rPr>
          <w:rFonts w:hint="eastAsia" w:cs="宋体"/>
          <w:bCs/>
          <w:color w:val="FF0000"/>
          <w:sz w:val="24"/>
          <w:szCs w:val="24"/>
          <w:u w:val="single"/>
        </w:rPr>
        <w:t>年</w:t>
      </w:r>
      <w:r>
        <w:rPr>
          <w:rFonts w:hint="eastAsia" w:cs="宋体"/>
          <w:bCs/>
          <w:color w:val="FF0000"/>
          <w:sz w:val="24"/>
          <w:szCs w:val="24"/>
          <w:u w:val="single"/>
          <w:lang w:val="en-US" w:eastAsia="zh-CN"/>
        </w:rPr>
        <w:t>5</w:t>
      </w:r>
      <w:r>
        <w:rPr>
          <w:rFonts w:hint="eastAsia" w:cs="宋体"/>
          <w:bCs/>
          <w:color w:val="FF0000"/>
          <w:sz w:val="24"/>
          <w:szCs w:val="24"/>
          <w:u w:val="single"/>
        </w:rPr>
        <w:t>月</w:t>
      </w:r>
      <w:r>
        <w:rPr>
          <w:rFonts w:hint="eastAsia" w:cs="宋体"/>
          <w:bCs/>
          <w:color w:val="FF0000"/>
          <w:sz w:val="24"/>
          <w:szCs w:val="24"/>
          <w:u w:val="single"/>
          <w:lang w:val="en-US" w:eastAsia="zh-CN"/>
        </w:rPr>
        <w:t>18</w:t>
      </w:r>
      <w:r>
        <w:rPr>
          <w:rFonts w:hint="eastAsia" w:cs="宋体"/>
          <w:bCs/>
          <w:color w:val="FF0000"/>
          <w:sz w:val="24"/>
          <w:szCs w:val="24"/>
          <w:u w:val="single"/>
        </w:rPr>
        <w:t>日9 点30 分</w:t>
      </w:r>
      <w:r>
        <w:rPr>
          <w:rFonts w:hint="eastAsia" w:cs="宋体"/>
          <w:bCs/>
          <w:sz w:val="24"/>
          <w:szCs w:val="24"/>
        </w:rPr>
        <w:t>（北京时间）</w:t>
      </w:r>
    </w:p>
    <w:p w14:paraId="0C2929DB">
      <w:pPr>
        <w:ind w:right="742" w:rightChars="309" w:firstLine="480" w:firstLineChars="200"/>
        <w:rPr>
          <w:rFonts w:hint="eastAsia" w:cs="宋体"/>
          <w:sz w:val="24"/>
          <w:szCs w:val="24"/>
        </w:rPr>
      </w:pPr>
      <w:r>
        <w:rPr>
          <w:rFonts w:hint="eastAsia" w:cs="宋体"/>
          <w:sz w:val="24"/>
          <w:szCs w:val="24"/>
        </w:rPr>
        <w:t>开标时间：同投标文件递交截止时间</w:t>
      </w:r>
    </w:p>
    <w:p w14:paraId="48F8F6B0">
      <w:pPr>
        <w:ind w:firstLine="480" w:firstLineChars="200"/>
        <w:rPr>
          <w:rFonts w:hint="eastAsia" w:cs="宋体"/>
          <w:sz w:val="28"/>
          <w:szCs w:val="28"/>
        </w:rPr>
      </w:pPr>
      <w:r>
        <w:rPr>
          <w:rFonts w:hint="eastAsia" w:cs="宋体"/>
          <w:sz w:val="24"/>
          <w:szCs w:val="24"/>
        </w:rPr>
        <w:t>开标地点：昆明阔海建设工程咨询有限公司会议室（晋宁区昆阳街道办事处湖景天颐家园一期42幢3层 ）</w:t>
      </w:r>
    </w:p>
    <w:p w14:paraId="6827DCDE">
      <w:pPr>
        <w:pStyle w:val="52"/>
        <w:spacing w:before="260" w:after="260" w:line="240" w:lineRule="auto"/>
        <w:jc w:val="both"/>
        <w:rPr>
          <w:rFonts w:hint="eastAsia" w:ascii="宋体" w:hAnsi="宋体" w:cs="宋体"/>
          <w:bCs w:val="0"/>
          <w:sz w:val="28"/>
          <w:szCs w:val="28"/>
        </w:rPr>
      </w:pPr>
      <w:bookmarkStart w:id="51" w:name="_Toc20933"/>
      <w:bookmarkEnd w:id="51"/>
      <w:bookmarkStart w:id="52" w:name="_Toc15457"/>
      <w:bookmarkEnd w:id="52"/>
      <w:bookmarkStart w:id="53" w:name="_Toc5121"/>
      <w:bookmarkEnd w:id="53"/>
      <w:bookmarkStart w:id="54" w:name="_Toc10617"/>
      <w:r>
        <w:rPr>
          <w:rFonts w:hint="eastAsia" w:ascii="宋体" w:hAnsi="宋体" w:cs="宋体"/>
          <w:bCs w:val="0"/>
          <w:sz w:val="28"/>
          <w:szCs w:val="28"/>
        </w:rPr>
        <w:t>五、公告期限</w:t>
      </w:r>
      <w:bookmarkEnd w:id="54"/>
    </w:p>
    <w:p w14:paraId="24268C78">
      <w:pPr>
        <w:spacing w:line="240" w:lineRule="auto"/>
        <w:ind w:firstLine="480" w:firstLineChars="200"/>
        <w:rPr>
          <w:rFonts w:hint="eastAsia" w:cs="宋体"/>
          <w:kern w:val="0"/>
          <w:sz w:val="24"/>
          <w:szCs w:val="24"/>
        </w:rPr>
      </w:pPr>
      <w:r>
        <w:rPr>
          <w:rFonts w:hint="eastAsia" w:cs="宋体"/>
          <w:kern w:val="0"/>
          <w:sz w:val="24"/>
          <w:szCs w:val="24"/>
        </w:rPr>
        <w:t>自本公告发布之日起5个工作日。</w:t>
      </w:r>
    </w:p>
    <w:p w14:paraId="065FB2DD">
      <w:pPr>
        <w:pStyle w:val="52"/>
        <w:spacing w:before="260" w:after="260" w:line="240" w:lineRule="auto"/>
        <w:jc w:val="both"/>
        <w:rPr>
          <w:rFonts w:hint="eastAsia" w:eastAsia="宋体" w:cs="宋体"/>
          <w:kern w:val="0"/>
          <w:sz w:val="28"/>
          <w:szCs w:val="28"/>
          <w:lang w:val="en-US" w:eastAsia="zh-CN"/>
        </w:rPr>
      </w:pPr>
      <w:bookmarkStart w:id="55" w:name="_Toc17640"/>
      <w:bookmarkEnd w:id="55"/>
      <w:bookmarkStart w:id="56" w:name="_Toc32004"/>
      <w:bookmarkEnd w:id="56"/>
      <w:bookmarkStart w:id="57" w:name="_Toc7701"/>
      <w:bookmarkEnd w:id="57"/>
      <w:bookmarkStart w:id="58" w:name="_Toc22605"/>
      <w:r>
        <w:rPr>
          <w:rFonts w:hint="eastAsia" w:ascii="宋体" w:hAnsi="宋体" w:cs="宋体"/>
          <w:bCs w:val="0"/>
          <w:sz w:val="28"/>
          <w:szCs w:val="28"/>
        </w:rPr>
        <w:t>六、其他补充事宜</w:t>
      </w:r>
      <w:bookmarkEnd w:id="58"/>
    </w:p>
    <w:p w14:paraId="0DDBBD84">
      <w:pPr>
        <w:ind w:firstLine="480" w:firstLineChars="200"/>
        <w:rPr>
          <w:rFonts w:hint="eastAsia" w:cs="宋体"/>
          <w:kern w:val="0"/>
          <w:sz w:val="24"/>
          <w:szCs w:val="24"/>
        </w:rPr>
      </w:pPr>
      <w:r>
        <w:rPr>
          <w:rFonts w:hint="eastAsia" w:cs="宋体"/>
          <w:kern w:val="0"/>
          <w:sz w:val="24"/>
          <w:szCs w:val="24"/>
          <w:lang w:val="en-US" w:eastAsia="zh-CN"/>
        </w:rPr>
        <w:t>1</w:t>
      </w:r>
      <w:r>
        <w:rPr>
          <w:rFonts w:hint="eastAsia" w:cs="宋体"/>
          <w:kern w:val="0"/>
          <w:sz w:val="24"/>
          <w:szCs w:val="24"/>
        </w:rPr>
        <w:t>.发布公告的媒体：本项目采购公告在云南省政府采购网（http://www.yngp.com/）发布，其他网站转载后与云南省政府采购网发布信息不一致的，采购人和代理机构均不承担任何责任。</w:t>
      </w:r>
    </w:p>
    <w:p w14:paraId="4B585AFD">
      <w:pPr>
        <w:ind w:firstLine="482" w:firstLineChars="200"/>
        <w:rPr>
          <w:rFonts w:hint="eastAsia" w:cs="宋体"/>
          <w:kern w:val="0"/>
          <w:sz w:val="24"/>
          <w:szCs w:val="24"/>
        </w:rPr>
      </w:pPr>
      <w:r>
        <w:rPr>
          <w:rFonts w:hint="eastAsia" w:cs="宋体"/>
          <w:b/>
          <w:bCs/>
          <w:kern w:val="0"/>
          <w:sz w:val="24"/>
          <w:szCs w:val="24"/>
          <w:lang w:val="en-US" w:eastAsia="zh-CN"/>
        </w:rPr>
        <w:t>2</w:t>
      </w:r>
      <w:r>
        <w:rPr>
          <w:rFonts w:hint="eastAsia" w:cs="宋体"/>
          <w:b/>
          <w:bCs/>
          <w:kern w:val="0"/>
          <w:sz w:val="24"/>
          <w:szCs w:val="24"/>
        </w:rPr>
        <w:t>.供应商应当在政采云电子投标客户端上编制响应文件，并生成电子加密标书（后缀名：.jmbs），投标文件制作完成并生成加密标书后，供应商需在开标前将加密的投标文件上传至政采云平台。具体操作请下载附件（供应商政府采购电子交易平台操作指南）</w:t>
      </w:r>
    </w:p>
    <w:p w14:paraId="372A484C">
      <w:pPr>
        <w:ind w:firstLine="480" w:firstLineChars="200"/>
        <w:rPr>
          <w:rFonts w:hint="eastAsia" w:cs="宋体"/>
          <w:kern w:val="0"/>
          <w:sz w:val="24"/>
          <w:szCs w:val="24"/>
        </w:rPr>
      </w:pPr>
      <w:r>
        <w:rPr>
          <w:rFonts w:hint="eastAsia" w:cs="宋体"/>
          <w:kern w:val="0"/>
          <w:sz w:val="24"/>
          <w:szCs w:val="24"/>
          <w:lang w:val="en-US" w:eastAsia="zh-CN"/>
        </w:rPr>
        <w:t>3</w:t>
      </w:r>
      <w:r>
        <w:rPr>
          <w:rFonts w:hint="eastAsia" w:cs="宋体"/>
          <w:kern w:val="0"/>
          <w:sz w:val="24"/>
          <w:szCs w:val="24"/>
        </w:rPr>
        <w:t>.政府采购监督部门：昆明市晋宁区财政局</w:t>
      </w:r>
    </w:p>
    <w:p w14:paraId="09957DA3">
      <w:pPr>
        <w:ind w:firstLine="480" w:firstLineChars="200"/>
        <w:rPr>
          <w:rFonts w:hint="eastAsia" w:cs="宋体"/>
          <w:kern w:val="0"/>
          <w:sz w:val="24"/>
          <w:szCs w:val="24"/>
        </w:rPr>
      </w:pPr>
      <w:r>
        <w:rPr>
          <w:rFonts w:hint="eastAsia" w:cs="宋体"/>
          <w:kern w:val="0"/>
          <w:sz w:val="24"/>
          <w:szCs w:val="24"/>
        </w:rPr>
        <w:t>供应商认为采购文件内容、采购过程及中标结果使自己的权益受到损害的，可以在知道或者应知其权益受到损害之日起7个工作日内，以书面形式向采购人或代理机构提出质疑（质疑函范本详见招标文件附件）。采购人或代理机构应在收到书面质疑后7个工作日内作出答复，若投标供应商对答复仍不满意或采购人、采购代理机构均未在规定时间内予以答复的可向昆明市晋宁区财政局按《政府采购投标供应商投诉处理办法》（财政部第94号令）有关规定进行投诉。</w:t>
      </w:r>
    </w:p>
    <w:p w14:paraId="58A11452">
      <w:pPr>
        <w:ind w:firstLine="480" w:firstLineChars="200"/>
        <w:rPr>
          <w:rFonts w:hint="eastAsia" w:cs="宋体"/>
          <w:kern w:val="0"/>
          <w:sz w:val="24"/>
          <w:szCs w:val="24"/>
        </w:rPr>
      </w:pPr>
      <w:r>
        <w:rPr>
          <w:rFonts w:hint="eastAsia" w:cs="宋体"/>
          <w:kern w:val="0"/>
          <w:sz w:val="24"/>
          <w:szCs w:val="24"/>
        </w:rPr>
        <w:t>昆明市晋宁区财政局联系电话：0871-67896932</w:t>
      </w:r>
    </w:p>
    <w:p w14:paraId="65C19B88">
      <w:pPr>
        <w:ind w:firstLine="480" w:firstLineChars="200"/>
        <w:rPr>
          <w:rFonts w:hint="eastAsia" w:cs="宋体"/>
          <w:kern w:val="0"/>
          <w:sz w:val="24"/>
          <w:szCs w:val="24"/>
        </w:rPr>
      </w:pPr>
      <w:r>
        <w:rPr>
          <w:rFonts w:hint="eastAsia" w:cs="宋体"/>
          <w:kern w:val="0"/>
          <w:sz w:val="24"/>
          <w:szCs w:val="24"/>
        </w:rPr>
        <w:t>联系人：杨老师</w:t>
      </w:r>
    </w:p>
    <w:p w14:paraId="6C2D9075">
      <w:pPr>
        <w:ind w:firstLine="480" w:firstLineChars="200"/>
        <w:rPr>
          <w:rFonts w:hint="eastAsia" w:cs="宋体"/>
          <w:kern w:val="0"/>
          <w:sz w:val="24"/>
          <w:szCs w:val="24"/>
        </w:rPr>
      </w:pPr>
      <w:r>
        <w:rPr>
          <w:rFonts w:hint="eastAsia" w:cs="宋体"/>
          <w:kern w:val="0"/>
          <w:sz w:val="24"/>
          <w:szCs w:val="24"/>
        </w:rPr>
        <w:t>地址：昆明市晋宁区昆阳街道办永乐大街云南磷化集团综合办公楼8楼。</w:t>
      </w:r>
    </w:p>
    <w:p w14:paraId="57EAE952">
      <w:pPr>
        <w:pStyle w:val="52"/>
        <w:spacing w:before="260" w:after="260" w:line="360" w:lineRule="auto"/>
        <w:jc w:val="both"/>
        <w:rPr>
          <w:rFonts w:hint="eastAsia" w:ascii="宋体" w:hAnsi="宋体" w:cs="宋体"/>
          <w:bCs w:val="0"/>
          <w:sz w:val="28"/>
          <w:szCs w:val="28"/>
        </w:rPr>
      </w:pPr>
      <w:bookmarkStart w:id="59" w:name="_Toc28359085"/>
      <w:bookmarkEnd w:id="59"/>
      <w:bookmarkStart w:id="60" w:name="_Toc35393796"/>
      <w:bookmarkEnd w:id="60"/>
      <w:bookmarkStart w:id="61" w:name="_Toc21409"/>
      <w:bookmarkEnd w:id="61"/>
      <w:bookmarkStart w:id="62" w:name="_Toc28359008"/>
      <w:bookmarkEnd w:id="62"/>
      <w:bookmarkStart w:id="63" w:name="_Toc21276"/>
      <w:bookmarkEnd w:id="63"/>
      <w:bookmarkStart w:id="64" w:name="_Toc35393627"/>
      <w:bookmarkEnd w:id="64"/>
      <w:bookmarkStart w:id="65" w:name="_Toc20003"/>
      <w:bookmarkEnd w:id="65"/>
      <w:bookmarkStart w:id="66" w:name="_Toc27929"/>
      <w:r>
        <w:rPr>
          <w:rFonts w:hint="eastAsia" w:ascii="宋体" w:hAnsi="宋体" w:cs="宋体"/>
          <w:bCs w:val="0"/>
          <w:sz w:val="28"/>
          <w:szCs w:val="28"/>
        </w:rPr>
        <w:t>七、对本次招标提出询问，请按以下方式联系</w:t>
      </w:r>
      <w:bookmarkEnd w:id="66"/>
    </w:p>
    <w:p w14:paraId="656F8856">
      <w:pPr>
        <w:widowControl/>
        <w:spacing w:line="480" w:lineRule="auto"/>
        <w:rPr>
          <w:rFonts w:hint="eastAsia" w:cs="宋体"/>
          <w:sz w:val="24"/>
          <w:szCs w:val="24"/>
        </w:rPr>
      </w:pPr>
      <w:r>
        <w:rPr>
          <w:rFonts w:hint="eastAsia" w:cs="宋体"/>
          <w:sz w:val="28"/>
          <w:szCs w:val="28"/>
        </w:rPr>
        <w:t>　</w:t>
      </w:r>
      <w:r>
        <w:rPr>
          <w:rFonts w:hint="eastAsia" w:cs="宋体"/>
          <w:sz w:val="24"/>
          <w:szCs w:val="24"/>
        </w:rPr>
        <w:t>　　1.采购人信息</w:t>
      </w:r>
    </w:p>
    <w:p w14:paraId="79571F60">
      <w:pPr>
        <w:spacing w:line="480" w:lineRule="auto"/>
        <w:ind w:left="1190" w:leftChars="371" w:hanging="300" w:hangingChars="125"/>
        <w:rPr>
          <w:rFonts w:hint="eastAsia" w:cs="宋体"/>
          <w:sz w:val="24"/>
          <w:szCs w:val="24"/>
          <w:u w:val="single"/>
        </w:rPr>
      </w:pPr>
      <w:r>
        <w:rPr>
          <w:rFonts w:hint="eastAsia" w:cs="宋体"/>
          <w:sz w:val="24"/>
          <w:szCs w:val="24"/>
        </w:rPr>
        <w:t>名 称：</w:t>
      </w:r>
      <w:r>
        <w:rPr>
          <w:rFonts w:hint="eastAsia" w:cs="宋体"/>
          <w:sz w:val="24"/>
          <w:szCs w:val="24"/>
          <w:u w:val="single"/>
          <w:lang w:eastAsia="zh-CN"/>
        </w:rPr>
        <w:t>昆明市晋宁区二街镇人民政府</w:t>
      </w:r>
    </w:p>
    <w:p w14:paraId="6BC963B8">
      <w:pPr>
        <w:spacing w:line="480" w:lineRule="auto"/>
        <w:ind w:left="1190" w:leftChars="371" w:hanging="300" w:hangingChars="125"/>
        <w:rPr>
          <w:rFonts w:hint="eastAsia" w:cs="宋体"/>
          <w:sz w:val="24"/>
          <w:szCs w:val="24"/>
          <w:u w:val="single"/>
        </w:rPr>
      </w:pPr>
      <w:r>
        <w:rPr>
          <w:rFonts w:hint="eastAsia" w:cs="宋体"/>
          <w:sz w:val="24"/>
          <w:szCs w:val="24"/>
        </w:rPr>
        <w:t>地址：</w:t>
      </w:r>
      <w:bookmarkStart w:id="67" w:name="_Toc28359086"/>
      <w:bookmarkStart w:id="68" w:name="_Toc28359009"/>
      <w:r>
        <w:rPr>
          <w:rFonts w:hint="eastAsia" w:cs="宋体"/>
          <w:sz w:val="24"/>
          <w:szCs w:val="24"/>
          <w:u w:val="single"/>
        </w:rPr>
        <w:t>昆明市晋宁区古二段与肖鲁段交叉口东50米二街人民文化宫附近</w:t>
      </w:r>
    </w:p>
    <w:p w14:paraId="7533A8F8">
      <w:pPr>
        <w:spacing w:line="480" w:lineRule="auto"/>
        <w:ind w:left="1190" w:leftChars="371" w:hanging="300" w:hangingChars="125"/>
        <w:rPr>
          <w:rFonts w:hint="default" w:eastAsia="宋体" w:cs="宋体"/>
          <w:sz w:val="24"/>
          <w:szCs w:val="24"/>
          <w:u w:val="single"/>
          <w:lang w:val="en-US" w:eastAsia="zh-CN"/>
        </w:rPr>
      </w:pPr>
      <w:r>
        <w:rPr>
          <w:rFonts w:hint="eastAsia" w:cs="宋体"/>
          <w:sz w:val="24"/>
          <w:szCs w:val="24"/>
        </w:rPr>
        <w:t>联系方式：</w:t>
      </w:r>
      <w:r>
        <w:rPr>
          <w:rFonts w:hint="eastAsia" w:cs="宋体"/>
          <w:sz w:val="24"/>
          <w:szCs w:val="24"/>
          <w:u w:val="single"/>
          <w:lang w:val="en-US" w:eastAsia="zh-CN"/>
        </w:rPr>
        <w:t>非师</w:t>
      </w:r>
      <w:r>
        <w:rPr>
          <w:rFonts w:hint="eastAsia" w:cs="宋体"/>
          <w:sz w:val="24"/>
          <w:szCs w:val="24"/>
          <w:u w:val="single"/>
        </w:rPr>
        <w:t>0871-678</w:t>
      </w:r>
      <w:r>
        <w:rPr>
          <w:rFonts w:hint="eastAsia" w:cs="宋体"/>
          <w:sz w:val="24"/>
          <w:szCs w:val="24"/>
          <w:u w:val="single"/>
          <w:lang w:val="en-US" w:eastAsia="zh-CN"/>
        </w:rPr>
        <w:t>99928</w:t>
      </w:r>
    </w:p>
    <w:p w14:paraId="0402FB64">
      <w:pPr>
        <w:pStyle w:val="16"/>
        <w:rPr>
          <w:rFonts w:hint="eastAsia"/>
          <w:sz w:val="24"/>
          <w:szCs w:val="24"/>
        </w:rPr>
      </w:pPr>
    </w:p>
    <w:bookmarkEnd w:id="67"/>
    <w:bookmarkEnd w:id="68"/>
    <w:p w14:paraId="732E4707">
      <w:pPr>
        <w:spacing w:line="480" w:lineRule="auto"/>
        <w:ind w:left="1190" w:leftChars="371" w:hanging="300" w:hangingChars="125"/>
        <w:rPr>
          <w:rFonts w:hint="eastAsia" w:cs="宋体"/>
          <w:sz w:val="24"/>
          <w:szCs w:val="24"/>
        </w:rPr>
      </w:pPr>
      <w:r>
        <w:rPr>
          <w:rFonts w:hint="eastAsia" w:cs="宋体"/>
          <w:sz w:val="24"/>
          <w:szCs w:val="24"/>
        </w:rPr>
        <w:t>2.采购代理机构信息</w:t>
      </w:r>
    </w:p>
    <w:p w14:paraId="7A98D751">
      <w:pPr>
        <w:spacing w:line="480" w:lineRule="auto"/>
        <w:ind w:firstLine="720" w:firstLineChars="300"/>
        <w:rPr>
          <w:rFonts w:hint="eastAsia" w:cs="宋体"/>
          <w:sz w:val="24"/>
          <w:szCs w:val="24"/>
        </w:rPr>
      </w:pPr>
      <w:r>
        <w:rPr>
          <w:rFonts w:hint="eastAsia" w:cs="宋体"/>
          <w:sz w:val="24"/>
          <w:szCs w:val="24"/>
        </w:rPr>
        <w:t>名 称：</w:t>
      </w:r>
      <w:r>
        <w:rPr>
          <w:rFonts w:hint="eastAsia" w:cs="宋体"/>
          <w:sz w:val="24"/>
          <w:szCs w:val="24"/>
          <w:u w:val="single"/>
        </w:rPr>
        <w:t>昆明阔海建设工程咨询有限公司</w:t>
      </w:r>
    </w:p>
    <w:p w14:paraId="56040CAE">
      <w:pPr>
        <w:spacing w:line="480" w:lineRule="auto"/>
        <w:ind w:firstLine="720" w:firstLineChars="300"/>
        <w:rPr>
          <w:rFonts w:hint="eastAsia" w:cs="宋体"/>
          <w:sz w:val="24"/>
          <w:szCs w:val="24"/>
          <w:u w:val="single"/>
        </w:rPr>
      </w:pPr>
      <w:r>
        <w:rPr>
          <w:rFonts w:hint="eastAsia" w:cs="宋体"/>
          <w:sz w:val="24"/>
          <w:szCs w:val="24"/>
        </w:rPr>
        <w:t>地　址：</w:t>
      </w:r>
      <w:bookmarkStart w:id="69" w:name="_Toc28359087"/>
      <w:bookmarkStart w:id="70" w:name="_Toc28359010"/>
      <w:r>
        <w:rPr>
          <w:rFonts w:hint="eastAsia" w:cs="宋体"/>
          <w:sz w:val="24"/>
          <w:szCs w:val="24"/>
          <w:u w:val="single"/>
        </w:rPr>
        <w:t>晋宁区昆阳街道办事处湖景天颐家园一期42幢3层</w:t>
      </w:r>
    </w:p>
    <w:p w14:paraId="031476BF">
      <w:pPr>
        <w:spacing w:line="480" w:lineRule="auto"/>
        <w:ind w:firstLine="720" w:firstLineChars="300"/>
        <w:rPr>
          <w:rFonts w:hint="default" w:eastAsia="宋体" w:cs="宋体"/>
          <w:sz w:val="24"/>
          <w:szCs w:val="24"/>
          <w:u w:val="single"/>
          <w:lang w:val="en-US" w:eastAsia="zh-CN"/>
        </w:rPr>
      </w:pPr>
      <w:r>
        <w:rPr>
          <w:rFonts w:hint="eastAsia" w:cs="宋体"/>
          <w:sz w:val="24"/>
          <w:szCs w:val="24"/>
        </w:rPr>
        <w:t>联系方式：</w:t>
      </w:r>
      <w:r>
        <w:rPr>
          <w:rFonts w:hint="eastAsia" w:cs="宋体"/>
          <w:color w:val="auto"/>
          <w:sz w:val="24"/>
          <w:szCs w:val="24"/>
          <w:u w:val="single"/>
          <w:lang w:val="en-US" w:eastAsia="zh-CN"/>
        </w:rPr>
        <w:t>李竑、</w:t>
      </w:r>
      <w:r>
        <w:rPr>
          <w:rFonts w:hint="eastAsia" w:hAnsi="宋体" w:cs="宋体"/>
          <w:color w:val="auto"/>
          <w:sz w:val="24"/>
          <w:szCs w:val="24"/>
          <w:u w:val="single"/>
        </w:rPr>
        <w:t>张</w:t>
      </w:r>
      <w:r>
        <w:rPr>
          <w:rFonts w:hint="eastAsia" w:hAnsi="宋体" w:cs="宋体"/>
          <w:color w:val="auto"/>
          <w:sz w:val="24"/>
          <w:szCs w:val="24"/>
          <w:u w:val="single"/>
          <w:lang w:val="en-US" w:eastAsia="zh-CN"/>
        </w:rPr>
        <w:t>悦</w:t>
      </w:r>
      <w:r>
        <w:rPr>
          <w:rFonts w:hint="eastAsia" w:cs="宋体"/>
          <w:color w:val="auto"/>
          <w:sz w:val="24"/>
          <w:szCs w:val="24"/>
          <w:u w:val="single"/>
          <w:lang w:val="en-US" w:eastAsia="zh-CN"/>
        </w:rPr>
        <w:t xml:space="preserve">  </w:t>
      </w:r>
      <w:r>
        <w:rPr>
          <w:rFonts w:hint="eastAsia" w:cs="宋体"/>
          <w:sz w:val="24"/>
          <w:szCs w:val="24"/>
          <w:u w:val="single"/>
        </w:rPr>
        <w:t>0871-67803770</w:t>
      </w:r>
      <w:bookmarkEnd w:id="69"/>
      <w:bookmarkEnd w:id="70"/>
      <w:r>
        <w:rPr>
          <w:rFonts w:hint="eastAsia" w:cs="宋体"/>
          <w:sz w:val="24"/>
          <w:szCs w:val="24"/>
          <w:u w:val="single"/>
          <w:lang w:eastAsia="zh-CN"/>
        </w:rPr>
        <w:t>、</w:t>
      </w:r>
      <w:r>
        <w:rPr>
          <w:rFonts w:hint="eastAsia" w:cs="宋体"/>
          <w:sz w:val="24"/>
          <w:szCs w:val="24"/>
          <w:u w:val="single"/>
          <w:lang w:val="en-US" w:eastAsia="zh-CN"/>
        </w:rPr>
        <w:t>15969523836</w:t>
      </w:r>
    </w:p>
    <w:p w14:paraId="58990A3D">
      <w:pPr>
        <w:pStyle w:val="16"/>
        <w:rPr>
          <w:rFonts w:hint="eastAsia"/>
          <w:sz w:val="24"/>
          <w:szCs w:val="24"/>
        </w:rPr>
      </w:pPr>
    </w:p>
    <w:p w14:paraId="7E52A220">
      <w:pPr>
        <w:spacing w:line="480" w:lineRule="auto"/>
        <w:ind w:firstLine="720" w:firstLineChars="300"/>
        <w:rPr>
          <w:rFonts w:hint="eastAsia" w:cs="宋体"/>
          <w:sz w:val="24"/>
          <w:szCs w:val="24"/>
        </w:rPr>
      </w:pPr>
      <w:r>
        <w:rPr>
          <w:rFonts w:hint="eastAsia" w:cs="宋体"/>
          <w:sz w:val="24"/>
          <w:szCs w:val="24"/>
        </w:rPr>
        <w:t>3.项目联系方式</w:t>
      </w:r>
    </w:p>
    <w:p w14:paraId="00647E0C">
      <w:pPr>
        <w:pStyle w:val="56"/>
        <w:spacing w:line="480" w:lineRule="auto"/>
        <w:ind w:firstLine="720" w:firstLineChars="300"/>
        <w:rPr>
          <w:rFonts w:hint="default" w:hAnsi="宋体" w:eastAsia="宋体" w:cs="宋体"/>
          <w:color w:val="auto"/>
          <w:sz w:val="24"/>
          <w:szCs w:val="24"/>
          <w:lang w:val="en-US" w:eastAsia="zh-CN"/>
        </w:rPr>
      </w:pPr>
      <w:r>
        <w:rPr>
          <w:rFonts w:hint="eastAsia" w:hAnsi="宋体" w:cs="宋体"/>
          <w:color w:val="auto"/>
          <w:sz w:val="24"/>
          <w:szCs w:val="24"/>
        </w:rPr>
        <w:t>项目联系人：</w:t>
      </w:r>
      <w:r>
        <w:rPr>
          <w:rFonts w:hint="eastAsia" w:cs="宋体"/>
          <w:color w:val="auto"/>
          <w:sz w:val="24"/>
          <w:szCs w:val="24"/>
          <w:u w:val="single"/>
          <w:lang w:val="en-US" w:eastAsia="zh-CN"/>
        </w:rPr>
        <w:t>李竑、</w:t>
      </w:r>
      <w:r>
        <w:rPr>
          <w:rFonts w:hint="eastAsia" w:hAnsi="宋体" w:cs="宋体"/>
          <w:color w:val="auto"/>
          <w:sz w:val="24"/>
          <w:szCs w:val="24"/>
          <w:u w:val="single"/>
        </w:rPr>
        <w:t>张</w:t>
      </w:r>
      <w:r>
        <w:rPr>
          <w:rFonts w:hint="eastAsia" w:hAnsi="宋体" w:cs="宋体"/>
          <w:color w:val="auto"/>
          <w:sz w:val="24"/>
          <w:szCs w:val="24"/>
          <w:u w:val="single"/>
          <w:lang w:val="en-US" w:eastAsia="zh-CN"/>
        </w:rPr>
        <w:t>悦</w:t>
      </w:r>
      <w:r>
        <w:rPr>
          <w:rFonts w:hint="eastAsia" w:cs="宋体"/>
          <w:color w:val="auto"/>
          <w:sz w:val="24"/>
          <w:szCs w:val="24"/>
          <w:u w:val="single"/>
          <w:lang w:val="en-US" w:eastAsia="zh-CN"/>
        </w:rPr>
        <w:t xml:space="preserve"> </w:t>
      </w:r>
      <w:r>
        <w:rPr>
          <w:rFonts w:hint="eastAsia" w:hAnsi="宋体" w:cs="宋体"/>
          <w:color w:val="auto"/>
          <w:sz w:val="24"/>
          <w:szCs w:val="24"/>
          <w:u w:val="single"/>
          <w:lang w:val="en-US" w:eastAsia="zh-CN"/>
        </w:rPr>
        <w:t xml:space="preserve"> </w:t>
      </w:r>
    </w:p>
    <w:p w14:paraId="64ACA000">
      <w:pPr>
        <w:ind w:firstLine="720" w:firstLineChars="300"/>
        <w:rPr>
          <w:rFonts w:hint="eastAsia"/>
          <w:lang w:val="hr-HR"/>
        </w:rPr>
      </w:pPr>
      <w:r>
        <w:rPr>
          <w:rFonts w:hint="eastAsia" w:cs="宋体"/>
          <w:sz w:val="24"/>
          <w:szCs w:val="24"/>
        </w:rPr>
        <w:t>电　话：</w:t>
      </w:r>
      <w:r>
        <w:rPr>
          <w:rFonts w:hint="eastAsia" w:cs="宋体"/>
          <w:sz w:val="24"/>
          <w:szCs w:val="24"/>
          <w:u w:val="single"/>
        </w:rPr>
        <w:t xml:space="preserve">0871-67803770 </w:t>
      </w:r>
      <w:bookmarkEnd w:id="15"/>
      <w:bookmarkEnd w:id="16"/>
      <w:bookmarkEnd w:id="17"/>
      <w:bookmarkEnd w:id="18"/>
      <w:bookmarkEnd w:id="19"/>
      <w:bookmarkStart w:id="71" w:name="_Toc6042"/>
      <w:bookmarkEnd w:id="71"/>
      <w:bookmarkStart w:id="72" w:name="_Toc450311983"/>
      <w:bookmarkEnd w:id="72"/>
      <w:r>
        <w:rPr>
          <w:rFonts w:hint="eastAsia" w:ascii="仿宋" w:hAnsi="仿宋" w:eastAsia="仿宋"/>
          <w:b/>
          <w:sz w:val="32"/>
          <w:szCs w:val="32"/>
        </w:rPr>
        <w:br w:type="page"/>
      </w:r>
    </w:p>
    <w:bookmarkEnd w:id="4"/>
    <w:bookmarkEnd w:id="5"/>
    <w:bookmarkEnd w:id="6"/>
    <w:bookmarkEnd w:id="7"/>
    <w:bookmarkEnd w:id="8"/>
    <w:bookmarkEnd w:id="9"/>
    <w:bookmarkEnd w:id="10"/>
    <w:bookmarkEnd w:id="11"/>
    <w:bookmarkEnd w:id="12"/>
    <w:bookmarkEnd w:id="13"/>
    <w:p w14:paraId="4F2ECD17">
      <w:pPr>
        <w:pStyle w:val="3"/>
        <w:numPr>
          <w:ilvl w:val="0"/>
          <w:numId w:val="2"/>
        </w:numPr>
        <w:rPr>
          <w:rFonts w:hint="eastAsia"/>
        </w:rPr>
      </w:pPr>
      <w:bookmarkStart w:id="73" w:name="_Toc24712"/>
      <w:bookmarkStart w:id="74" w:name="_Toc155185867"/>
      <w:r>
        <w:rPr>
          <w:rFonts w:hint="eastAsia"/>
        </w:rPr>
        <w:t>投标供应商须知</w:t>
      </w:r>
      <w:bookmarkEnd w:id="73"/>
      <w:bookmarkEnd w:id="74"/>
    </w:p>
    <w:bookmarkEnd w:id="3"/>
    <w:p w14:paraId="24A93615">
      <w:pPr>
        <w:pStyle w:val="4"/>
        <w:numPr>
          <w:ilvl w:val="0"/>
          <w:numId w:val="7"/>
        </w:numPr>
        <w:rPr>
          <w:rFonts w:hint="eastAsia"/>
        </w:rPr>
      </w:pPr>
      <w:bookmarkStart w:id="75" w:name="_Toc155185868"/>
      <w:bookmarkStart w:id="76" w:name="_Toc28594"/>
      <w:r>
        <w:rPr>
          <w:rFonts w:hint="eastAsia"/>
        </w:rPr>
        <w:t>投标供应商须知前附表</w:t>
      </w:r>
      <w:bookmarkEnd w:id="75"/>
      <w:bookmarkEnd w:id="76"/>
    </w:p>
    <w:p w14:paraId="13AF8130">
      <w:pPr>
        <w:pStyle w:val="36"/>
        <w:rPr>
          <w:rFonts w:hint="eastAsia"/>
        </w:rPr>
      </w:pPr>
      <w:r>
        <w:rPr>
          <w:rFonts w:hint="eastAsia"/>
        </w:rPr>
        <w:t>投标供应商应仔细阅读本招标文件的第二章“投标供应商须知”，下面所列资料是对“投标供应商须知”的具体补充和说明。如有矛盾，应以本表为准。</w:t>
      </w:r>
    </w:p>
    <w:tbl>
      <w:tblPr>
        <w:tblStyle w:val="31"/>
        <w:tblW w:w="8531" w:type="dxa"/>
        <w:tblInd w:w="-4"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108" w:type="dxa"/>
          <w:bottom w:w="57" w:type="dxa"/>
          <w:right w:w="108" w:type="dxa"/>
        </w:tblCellMar>
      </w:tblPr>
      <w:tblGrid>
        <w:gridCol w:w="970"/>
        <w:gridCol w:w="1720"/>
        <w:gridCol w:w="5841"/>
      </w:tblGrid>
      <w:tr w14:paraId="568B185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43" w:hRule="atLeast"/>
          <w:tblHeader/>
        </w:trPr>
        <w:tc>
          <w:tcPr>
            <w:tcW w:w="97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60FD246">
            <w:pPr>
              <w:pStyle w:val="48"/>
              <w:jc w:val="center"/>
              <w:rPr>
                <w:rFonts w:hint="eastAsia"/>
                <w:b/>
                <w:bCs/>
              </w:rPr>
            </w:pPr>
            <w:r>
              <w:rPr>
                <w:rFonts w:hint="eastAsia"/>
                <w:b/>
                <w:bCs/>
              </w:rPr>
              <w:t>条款号</w:t>
            </w:r>
          </w:p>
        </w:tc>
        <w:tc>
          <w:tcPr>
            <w:tcW w:w="172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2F15DA6">
            <w:pPr>
              <w:pStyle w:val="48"/>
              <w:jc w:val="center"/>
              <w:rPr>
                <w:rFonts w:hint="eastAsia"/>
                <w:b/>
                <w:bCs/>
              </w:rPr>
            </w:pPr>
            <w:r>
              <w:rPr>
                <w:rFonts w:hint="eastAsia"/>
                <w:b/>
                <w:bCs/>
              </w:rPr>
              <w:t>条款名称</w:t>
            </w:r>
          </w:p>
        </w:tc>
        <w:tc>
          <w:tcPr>
            <w:tcW w:w="5841"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9434AB3">
            <w:pPr>
              <w:pStyle w:val="48"/>
              <w:jc w:val="center"/>
              <w:rPr>
                <w:rFonts w:hint="eastAsia"/>
                <w:b/>
                <w:bCs/>
              </w:rPr>
            </w:pPr>
            <w:r>
              <w:rPr>
                <w:rFonts w:hint="eastAsia"/>
                <w:b/>
                <w:bCs/>
              </w:rPr>
              <w:t>内  容</w:t>
            </w:r>
          </w:p>
        </w:tc>
      </w:tr>
      <w:tr w14:paraId="7992116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12" w:hRule="atLeast"/>
        </w:trPr>
        <w:tc>
          <w:tcPr>
            <w:tcW w:w="970" w:type="dxa"/>
            <w:tcBorders>
              <w:top w:val="single" w:color="auto" w:sz="4" w:space="0"/>
            </w:tcBorders>
            <w:vAlign w:val="center"/>
          </w:tcPr>
          <w:p w14:paraId="6329B588">
            <w:pPr>
              <w:pStyle w:val="48"/>
              <w:jc w:val="center"/>
              <w:rPr>
                <w:rFonts w:hint="eastAsia"/>
              </w:rPr>
            </w:pPr>
            <w:r>
              <w:t>2.2</w:t>
            </w:r>
          </w:p>
        </w:tc>
        <w:tc>
          <w:tcPr>
            <w:tcW w:w="1720" w:type="dxa"/>
            <w:tcBorders>
              <w:top w:val="single" w:color="auto" w:sz="4" w:space="0"/>
            </w:tcBorders>
            <w:vAlign w:val="center"/>
          </w:tcPr>
          <w:p w14:paraId="27EF148B">
            <w:pPr>
              <w:pStyle w:val="48"/>
              <w:rPr>
                <w:rFonts w:hint="eastAsia"/>
              </w:rPr>
            </w:pPr>
            <w:r>
              <w:rPr>
                <w:rFonts w:hint="eastAsia"/>
              </w:rPr>
              <w:t>采购人</w:t>
            </w:r>
          </w:p>
        </w:tc>
        <w:tc>
          <w:tcPr>
            <w:tcW w:w="5841" w:type="dxa"/>
            <w:tcBorders>
              <w:top w:val="single" w:color="auto" w:sz="4" w:space="0"/>
            </w:tcBorders>
            <w:vAlign w:val="center"/>
          </w:tcPr>
          <w:p w14:paraId="5220537A">
            <w:pPr>
              <w:pStyle w:val="48"/>
              <w:rPr>
                <w:rFonts w:hint="eastAsia"/>
              </w:rPr>
            </w:pPr>
            <w:r>
              <w:rPr>
                <w:rFonts w:hint="eastAsia"/>
                <w:lang w:eastAsia="zh-CN"/>
              </w:rPr>
              <w:t>昆明市晋宁区二街镇人民政府</w:t>
            </w:r>
          </w:p>
        </w:tc>
      </w:tr>
      <w:tr w14:paraId="59AB90D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7F4EBAFB">
            <w:pPr>
              <w:pStyle w:val="48"/>
              <w:jc w:val="center"/>
              <w:rPr>
                <w:rFonts w:hint="eastAsia"/>
              </w:rPr>
            </w:pPr>
            <w:r>
              <w:t>2.3</w:t>
            </w:r>
          </w:p>
        </w:tc>
        <w:tc>
          <w:tcPr>
            <w:tcW w:w="1720" w:type="dxa"/>
            <w:vAlign w:val="center"/>
          </w:tcPr>
          <w:p w14:paraId="3EE0E021">
            <w:pPr>
              <w:pStyle w:val="48"/>
              <w:rPr>
                <w:rFonts w:hint="eastAsia"/>
              </w:rPr>
            </w:pPr>
            <w:r>
              <w:rPr>
                <w:rFonts w:hint="eastAsia"/>
              </w:rPr>
              <w:t>采购代理机构</w:t>
            </w:r>
          </w:p>
        </w:tc>
        <w:tc>
          <w:tcPr>
            <w:tcW w:w="5841" w:type="dxa"/>
            <w:vAlign w:val="center"/>
          </w:tcPr>
          <w:p w14:paraId="78648C7D">
            <w:pPr>
              <w:pStyle w:val="48"/>
              <w:rPr>
                <w:rFonts w:hint="eastAsia"/>
              </w:rPr>
            </w:pPr>
            <w:r>
              <w:rPr>
                <w:rFonts w:hint="eastAsia"/>
              </w:rPr>
              <w:t>昆明阔海建设工程咨询有限公司</w:t>
            </w:r>
          </w:p>
        </w:tc>
      </w:tr>
      <w:tr w14:paraId="46D6E1D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270D748E">
            <w:pPr>
              <w:pStyle w:val="48"/>
              <w:jc w:val="center"/>
              <w:rPr>
                <w:rFonts w:hint="eastAsia"/>
              </w:rPr>
            </w:pPr>
            <w:r>
              <w:t>2.4</w:t>
            </w:r>
          </w:p>
        </w:tc>
        <w:tc>
          <w:tcPr>
            <w:tcW w:w="1720" w:type="dxa"/>
            <w:vAlign w:val="center"/>
          </w:tcPr>
          <w:p w14:paraId="0BEEC53E">
            <w:pPr>
              <w:pStyle w:val="48"/>
              <w:rPr>
                <w:rFonts w:hint="eastAsia"/>
              </w:rPr>
            </w:pPr>
            <w:r>
              <w:rPr>
                <w:rFonts w:hint="eastAsia"/>
              </w:rPr>
              <w:t>监督管理部门</w:t>
            </w:r>
          </w:p>
        </w:tc>
        <w:tc>
          <w:tcPr>
            <w:tcW w:w="5841" w:type="dxa"/>
            <w:vAlign w:val="center"/>
          </w:tcPr>
          <w:p w14:paraId="2ACE2AE9">
            <w:pPr>
              <w:pStyle w:val="48"/>
              <w:rPr>
                <w:rFonts w:hint="eastAsia"/>
              </w:rPr>
            </w:pPr>
            <w:r>
              <w:rPr>
                <w:rFonts w:hint="eastAsia"/>
              </w:rPr>
              <w:t>昆明市晋宁区财政局</w:t>
            </w:r>
          </w:p>
        </w:tc>
      </w:tr>
      <w:tr w14:paraId="5909760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50BADB8C">
            <w:pPr>
              <w:pStyle w:val="48"/>
              <w:jc w:val="center"/>
              <w:rPr>
                <w:rFonts w:hint="eastAsia"/>
              </w:rPr>
            </w:pPr>
            <w:r>
              <w:t>2.5</w:t>
            </w:r>
          </w:p>
        </w:tc>
        <w:tc>
          <w:tcPr>
            <w:tcW w:w="1720" w:type="dxa"/>
            <w:vAlign w:val="center"/>
          </w:tcPr>
          <w:p w14:paraId="70FED2C4">
            <w:pPr>
              <w:pStyle w:val="48"/>
              <w:rPr>
                <w:rFonts w:hint="eastAsia"/>
              </w:rPr>
            </w:pPr>
            <w:r>
              <w:rPr>
                <w:rFonts w:hint="eastAsia"/>
              </w:rPr>
              <w:t>项目名称</w:t>
            </w:r>
          </w:p>
        </w:tc>
        <w:tc>
          <w:tcPr>
            <w:tcW w:w="5841" w:type="dxa"/>
            <w:vAlign w:val="center"/>
          </w:tcPr>
          <w:p w14:paraId="2D63D398">
            <w:pPr>
              <w:pStyle w:val="48"/>
              <w:rPr>
                <w:rFonts w:hint="eastAsia" w:eastAsia="宋体"/>
                <w:lang w:eastAsia="zh-CN"/>
              </w:rPr>
            </w:pPr>
            <w:r>
              <w:rPr>
                <w:rFonts w:hint="eastAsia" w:eastAsia="宋体"/>
                <w:lang w:eastAsia="zh-CN"/>
              </w:rPr>
              <w:t>二街镇生活垃圾清运服务项目</w:t>
            </w:r>
          </w:p>
        </w:tc>
      </w:tr>
      <w:tr w14:paraId="3415D98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7CF13E53">
            <w:pPr>
              <w:pStyle w:val="48"/>
              <w:jc w:val="center"/>
              <w:rPr>
                <w:rFonts w:hint="eastAsia"/>
              </w:rPr>
            </w:pPr>
            <w:r>
              <w:t>2.6</w:t>
            </w:r>
          </w:p>
        </w:tc>
        <w:tc>
          <w:tcPr>
            <w:tcW w:w="1720" w:type="dxa"/>
            <w:vAlign w:val="center"/>
          </w:tcPr>
          <w:p w14:paraId="3944BCAB">
            <w:pPr>
              <w:pStyle w:val="48"/>
              <w:rPr>
                <w:rFonts w:hint="eastAsia"/>
              </w:rPr>
            </w:pPr>
            <w:r>
              <w:rPr>
                <w:rFonts w:hint="eastAsia"/>
              </w:rPr>
              <w:t>项目地点</w:t>
            </w:r>
          </w:p>
        </w:tc>
        <w:tc>
          <w:tcPr>
            <w:tcW w:w="5841" w:type="dxa"/>
            <w:vAlign w:val="center"/>
          </w:tcPr>
          <w:p w14:paraId="69FB3DB0">
            <w:pPr>
              <w:pStyle w:val="48"/>
              <w:rPr>
                <w:rFonts w:hint="default" w:eastAsia="宋体"/>
                <w:lang w:val="en-US" w:eastAsia="zh-CN"/>
              </w:rPr>
            </w:pPr>
            <w:r>
              <w:rPr>
                <w:rFonts w:hint="default" w:eastAsia="宋体"/>
                <w:lang w:val="en-US" w:eastAsia="zh-CN"/>
              </w:rPr>
              <w:t>晋宁县二街镇集镇及9个村委会（28个自然村、31个村小组），采购人指定地点。</w:t>
            </w:r>
          </w:p>
        </w:tc>
      </w:tr>
      <w:tr w14:paraId="3D3F3C5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77A9EB12">
            <w:pPr>
              <w:pStyle w:val="48"/>
              <w:jc w:val="center"/>
              <w:rPr>
                <w:rFonts w:hint="eastAsia"/>
              </w:rPr>
            </w:pPr>
            <w:r>
              <w:t>2.7</w:t>
            </w:r>
          </w:p>
        </w:tc>
        <w:tc>
          <w:tcPr>
            <w:tcW w:w="1720" w:type="dxa"/>
            <w:vAlign w:val="center"/>
          </w:tcPr>
          <w:p w14:paraId="6300C5C7">
            <w:pPr>
              <w:pStyle w:val="48"/>
              <w:rPr>
                <w:rFonts w:hint="eastAsia"/>
              </w:rPr>
            </w:pPr>
            <w:r>
              <w:rPr>
                <w:rFonts w:hint="eastAsia"/>
              </w:rPr>
              <w:t>项目内容</w:t>
            </w:r>
          </w:p>
        </w:tc>
        <w:tc>
          <w:tcPr>
            <w:tcW w:w="5841" w:type="dxa"/>
            <w:vAlign w:val="center"/>
          </w:tcPr>
          <w:p w14:paraId="43DDBEC3">
            <w:pPr>
              <w:pStyle w:val="48"/>
              <w:rPr>
                <w:rFonts w:hint="default"/>
                <w:lang w:val="en-US"/>
              </w:rPr>
            </w:pPr>
            <w:r>
              <w:rPr>
                <w:rFonts w:hint="eastAsia"/>
                <w:lang w:val="en-US" w:eastAsia="zh-CN"/>
              </w:rPr>
              <w:t>生活垃圾清运</w:t>
            </w:r>
          </w:p>
        </w:tc>
      </w:tr>
      <w:tr w14:paraId="0F40896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2ED22E91">
            <w:pPr>
              <w:pStyle w:val="48"/>
              <w:jc w:val="center"/>
              <w:rPr>
                <w:rFonts w:hint="eastAsia"/>
              </w:rPr>
            </w:pPr>
            <w:r>
              <w:t>2.8</w:t>
            </w:r>
          </w:p>
        </w:tc>
        <w:tc>
          <w:tcPr>
            <w:tcW w:w="1720" w:type="dxa"/>
            <w:vAlign w:val="center"/>
          </w:tcPr>
          <w:p w14:paraId="3E11F399">
            <w:pPr>
              <w:pStyle w:val="48"/>
              <w:rPr>
                <w:rFonts w:hint="eastAsia"/>
              </w:rPr>
            </w:pPr>
            <w:r>
              <w:rPr>
                <w:rFonts w:hint="eastAsia"/>
              </w:rPr>
              <w:t>项目属性</w:t>
            </w:r>
          </w:p>
        </w:tc>
        <w:tc>
          <w:tcPr>
            <w:tcW w:w="5841" w:type="dxa"/>
            <w:vAlign w:val="center"/>
          </w:tcPr>
          <w:p w14:paraId="33472916">
            <w:pPr>
              <w:pStyle w:val="48"/>
              <w:rPr>
                <w:rFonts w:hint="eastAsia"/>
              </w:rPr>
            </w:pPr>
            <w:r>
              <w:rPr>
                <w:rFonts w:hint="eastAsia"/>
              </w:rPr>
              <w:t>服务</w:t>
            </w:r>
          </w:p>
        </w:tc>
      </w:tr>
      <w:tr w14:paraId="0ECB3E7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05162B5E">
            <w:pPr>
              <w:pStyle w:val="48"/>
              <w:jc w:val="center"/>
              <w:rPr>
                <w:rFonts w:hint="eastAsia"/>
              </w:rPr>
            </w:pPr>
            <w:r>
              <w:t>3.1</w:t>
            </w:r>
          </w:p>
        </w:tc>
        <w:tc>
          <w:tcPr>
            <w:tcW w:w="1720" w:type="dxa"/>
            <w:vAlign w:val="center"/>
          </w:tcPr>
          <w:p w14:paraId="53D3A906">
            <w:pPr>
              <w:pStyle w:val="48"/>
              <w:rPr>
                <w:rFonts w:hint="eastAsia"/>
              </w:rPr>
            </w:pPr>
            <w:r>
              <w:rPr>
                <w:rFonts w:hint="eastAsia"/>
              </w:rPr>
              <w:t>资金来源</w:t>
            </w:r>
          </w:p>
        </w:tc>
        <w:tc>
          <w:tcPr>
            <w:tcW w:w="5841" w:type="dxa"/>
            <w:vAlign w:val="center"/>
          </w:tcPr>
          <w:p w14:paraId="6EDAB2EF">
            <w:pPr>
              <w:pStyle w:val="48"/>
              <w:rPr>
                <w:rFonts w:hint="eastAsia"/>
              </w:rPr>
            </w:pPr>
            <w:r>
              <w:rPr>
                <w:rFonts w:hint="eastAsia"/>
              </w:rPr>
              <w:t>财政性资金。</w:t>
            </w:r>
          </w:p>
        </w:tc>
      </w:tr>
      <w:tr w14:paraId="5B4E808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0AEA71FF">
            <w:pPr>
              <w:pStyle w:val="48"/>
              <w:jc w:val="center"/>
              <w:rPr>
                <w:rFonts w:hint="eastAsia"/>
              </w:rPr>
            </w:pPr>
            <w:r>
              <w:t>4.1</w:t>
            </w:r>
          </w:p>
        </w:tc>
        <w:tc>
          <w:tcPr>
            <w:tcW w:w="1720" w:type="dxa"/>
            <w:vAlign w:val="center"/>
          </w:tcPr>
          <w:p w14:paraId="4F608856">
            <w:pPr>
              <w:pStyle w:val="48"/>
              <w:rPr>
                <w:rFonts w:hint="eastAsia"/>
              </w:rPr>
            </w:pPr>
            <w:r>
              <w:rPr>
                <w:rFonts w:hint="eastAsia"/>
              </w:rPr>
              <w:t>投标供应商资格要求</w:t>
            </w:r>
          </w:p>
        </w:tc>
        <w:tc>
          <w:tcPr>
            <w:tcW w:w="5841" w:type="dxa"/>
            <w:vAlign w:val="center"/>
          </w:tcPr>
          <w:p w14:paraId="73E4B9D0">
            <w:pPr>
              <w:pStyle w:val="48"/>
              <w:rPr>
                <w:rFonts w:hint="eastAsia"/>
              </w:rPr>
            </w:pPr>
            <w:r>
              <w:rPr>
                <w:rFonts w:hint="eastAsia"/>
              </w:rPr>
              <w:t>详见第一章”投标邀请”第二项“投标供应商资格要求”。</w:t>
            </w:r>
          </w:p>
        </w:tc>
      </w:tr>
      <w:tr w14:paraId="43AA69E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7D40604D">
            <w:pPr>
              <w:pStyle w:val="48"/>
              <w:jc w:val="center"/>
              <w:rPr>
                <w:rFonts w:hint="eastAsia"/>
              </w:rPr>
            </w:pPr>
            <w:r>
              <w:t>4.2</w:t>
            </w:r>
          </w:p>
        </w:tc>
        <w:tc>
          <w:tcPr>
            <w:tcW w:w="1720" w:type="dxa"/>
            <w:vAlign w:val="center"/>
          </w:tcPr>
          <w:p w14:paraId="349CF703">
            <w:pPr>
              <w:pStyle w:val="48"/>
              <w:rPr>
                <w:rFonts w:hint="eastAsia"/>
              </w:rPr>
            </w:pPr>
            <w:r>
              <w:rPr>
                <w:rFonts w:hint="eastAsia"/>
              </w:rPr>
              <w:t>是否接受联合体投标</w:t>
            </w:r>
          </w:p>
        </w:tc>
        <w:tc>
          <w:tcPr>
            <w:tcW w:w="5841" w:type="dxa"/>
            <w:vAlign w:val="center"/>
          </w:tcPr>
          <w:p w14:paraId="26E872DC">
            <w:pPr>
              <w:pStyle w:val="48"/>
              <w:rPr>
                <w:rFonts w:hint="eastAsia"/>
              </w:rPr>
            </w:pPr>
            <w:r>
              <w:rPr>
                <w:rFonts w:hint="eastAsia"/>
              </w:rPr>
              <w:sym w:font="Wingdings" w:char="00FE"/>
            </w:r>
            <w:r>
              <w:rPr>
                <w:rFonts w:hint="eastAsia"/>
              </w:rPr>
              <w:t>不接受</w:t>
            </w:r>
          </w:p>
          <w:p w14:paraId="5B168612">
            <w:pPr>
              <w:pStyle w:val="48"/>
              <w:rPr>
                <w:rFonts w:hint="eastAsia"/>
              </w:rPr>
            </w:pPr>
            <w:r>
              <w:rPr>
                <w:rFonts w:hint="eastAsia"/>
              </w:rPr>
              <w:sym w:font="Wingdings" w:char="00A8"/>
            </w:r>
            <w:r>
              <w:rPr>
                <w:rFonts w:hint="eastAsia"/>
              </w:rPr>
              <w:t>接受，应满足下列要求：</w:t>
            </w:r>
          </w:p>
          <w:p w14:paraId="0481FDD1">
            <w:pPr>
              <w:pStyle w:val="48"/>
              <w:rPr>
                <w:rFonts w:hint="eastAsia"/>
              </w:rPr>
            </w:pPr>
            <w:r>
              <w:rPr>
                <w:rFonts w:hint="eastAsia"/>
              </w:rPr>
              <w:t>应当向采购人提交联合协议，载明联合体各方承担的工作和义务。联合体各方应当共同与采购人签订采购合同，就采购合同约定的事项对采购人承担连带责任。联合体中有同类资质的供应商按照联合体分工承担相同工作的，应当按照资质等级较低的供应商确定资质等级。</w:t>
            </w:r>
          </w:p>
        </w:tc>
      </w:tr>
      <w:tr w14:paraId="4EF6152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256499CE">
            <w:pPr>
              <w:pStyle w:val="48"/>
              <w:jc w:val="center"/>
              <w:rPr>
                <w:rFonts w:hint="eastAsia"/>
              </w:rPr>
            </w:pPr>
            <w:r>
              <w:t>9.1</w:t>
            </w:r>
          </w:p>
        </w:tc>
        <w:tc>
          <w:tcPr>
            <w:tcW w:w="1720" w:type="dxa"/>
            <w:vAlign w:val="center"/>
          </w:tcPr>
          <w:p w14:paraId="38D387C1">
            <w:pPr>
              <w:pStyle w:val="48"/>
              <w:rPr>
                <w:rFonts w:hint="eastAsia"/>
              </w:rPr>
            </w:pPr>
            <w:bookmarkStart w:id="77" w:name="_Hlk143529175"/>
            <w:r>
              <w:rPr>
                <w:rFonts w:hint="eastAsia"/>
              </w:rPr>
              <w:t>现场考察和答疑会</w:t>
            </w:r>
            <w:bookmarkEnd w:id="77"/>
          </w:p>
        </w:tc>
        <w:tc>
          <w:tcPr>
            <w:tcW w:w="5841" w:type="dxa"/>
            <w:vAlign w:val="center"/>
          </w:tcPr>
          <w:p w14:paraId="261E2C1B">
            <w:pPr>
              <w:pStyle w:val="48"/>
              <w:rPr>
                <w:rFonts w:hint="eastAsia"/>
              </w:rPr>
            </w:pPr>
            <w:r>
              <w:rPr>
                <w:rFonts w:hint="eastAsia"/>
              </w:rPr>
              <w:sym w:font="Wingdings" w:char="00FE"/>
            </w:r>
            <w:r>
              <w:rPr>
                <w:rFonts w:hint="eastAsia"/>
              </w:rPr>
              <w:t>不组织，投标供应商自行前往</w:t>
            </w:r>
          </w:p>
          <w:p w14:paraId="51EFF77B">
            <w:pPr>
              <w:pStyle w:val="48"/>
              <w:rPr>
                <w:rFonts w:hint="eastAsia"/>
              </w:rPr>
            </w:pPr>
            <w:r>
              <w:rPr>
                <w:rFonts w:hint="eastAsia"/>
              </w:rPr>
              <w:sym w:font="Wingdings" w:char="00A8"/>
            </w:r>
            <w:r>
              <w:rPr>
                <w:rFonts w:hint="eastAsia"/>
              </w:rPr>
              <w:t>组织</w:t>
            </w:r>
          </w:p>
          <w:p w14:paraId="4BE69D65">
            <w:pPr>
              <w:pStyle w:val="48"/>
              <w:rPr>
                <w:rFonts w:hint="eastAsia"/>
              </w:rPr>
            </w:pPr>
            <w:r>
              <w:rPr>
                <w:rFonts w:hint="eastAsia"/>
              </w:rPr>
              <w:t>时间：</w:t>
            </w:r>
            <w:r>
              <w:rPr>
                <w:rFonts w:hint="eastAsia"/>
                <w:u w:val="single"/>
              </w:rPr>
              <w:t xml:space="preserve">      </w:t>
            </w:r>
            <w:r>
              <w:rPr>
                <w:u w:val="single"/>
              </w:rPr>
              <w:t xml:space="preserve">               </w:t>
            </w:r>
            <w:r>
              <w:rPr>
                <w:rFonts w:hint="eastAsia"/>
              </w:rPr>
              <w:t>。</w:t>
            </w:r>
          </w:p>
          <w:p w14:paraId="462DD210">
            <w:pPr>
              <w:pStyle w:val="48"/>
              <w:rPr>
                <w:rFonts w:hint="eastAsia"/>
              </w:rPr>
            </w:pPr>
            <w:r>
              <w:rPr>
                <w:rFonts w:hint="eastAsia"/>
              </w:rPr>
              <w:t>地点：</w:t>
            </w:r>
            <w:r>
              <w:rPr>
                <w:rFonts w:hint="eastAsia"/>
                <w:u w:val="single"/>
              </w:rPr>
              <w:t xml:space="preserve">      </w:t>
            </w:r>
            <w:r>
              <w:rPr>
                <w:u w:val="single"/>
              </w:rPr>
              <w:t xml:space="preserve">               </w:t>
            </w:r>
            <w:r>
              <w:rPr>
                <w:rFonts w:hint="eastAsia"/>
              </w:rPr>
              <w:t>。</w:t>
            </w:r>
          </w:p>
        </w:tc>
      </w:tr>
      <w:tr w14:paraId="5EAA109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66B8F456">
            <w:pPr>
              <w:pStyle w:val="48"/>
              <w:jc w:val="center"/>
              <w:rPr>
                <w:rFonts w:hint="eastAsia"/>
              </w:rPr>
            </w:pPr>
            <w:r>
              <w:t>10</w:t>
            </w:r>
          </w:p>
        </w:tc>
        <w:tc>
          <w:tcPr>
            <w:tcW w:w="1720" w:type="dxa"/>
            <w:vAlign w:val="center"/>
          </w:tcPr>
          <w:p w14:paraId="3BBD024A">
            <w:pPr>
              <w:pStyle w:val="48"/>
              <w:rPr>
                <w:rFonts w:hint="eastAsia"/>
              </w:rPr>
            </w:pPr>
            <w:r>
              <w:rPr>
                <w:rFonts w:hint="eastAsia"/>
              </w:rPr>
              <w:t>中标后分包</w:t>
            </w:r>
          </w:p>
        </w:tc>
        <w:tc>
          <w:tcPr>
            <w:tcW w:w="5841" w:type="dxa"/>
            <w:vAlign w:val="center"/>
          </w:tcPr>
          <w:p w14:paraId="3F1585F3">
            <w:pPr>
              <w:pStyle w:val="48"/>
              <w:rPr>
                <w:rFonts w:hint="eastAsia"/>
              </w:rPr>
            </w:pPr>
            <w:r>
              <w:rPr>
                <w:rFonts w:hint="eastAsia"/>
              </w:rPr>
              <w:sym w:font="Wingdings" w:char="00FE"/>
            </w:r>
            <w:r>
              <w:rPr>
                <w:rFonts w:hint="eastAsia"/>
              </w:rPr>
              <w:t>不允许</w:t>
            </w:r>
          </w:p>
          <w:p w14:paraId="518F8EBC">
            <w:pPr>
              <w:pStyle w:val="48"/>
              <w:rPr>
                <w:rFonts w:hint="eastAsia"/>
              </w:rPr>
            </w:pPr>
            <w:r>
              <w:rPr>
                <w:rFonts w:hint="eastAsia"/>
              </w:rPr>
              <w:sym w:font="Wingdings" w:char="00A8"/>
            </w:r>
            <w:r>
              <w:rPr>
                <w:rFonts w:hint="eastAsia"/>
              </w:rPr>
              <w:t>允许，分包内容要求：</w:t>
            </w:r>
          </w:p>
          <w:p w14:paraId="2C4A2680">
            <w:pPr>
              <w:pStyle w:val="48"/>
              <w:ind w:firstLine="480" w:firstLineChars="200"/>
              <w:rPr>
                <w:rFonts w:hint="eastAsia"/>
              </w:rPr>
            </w:pPr>
            <w:r>
              <w:rPr>
                <w:rFonts w:hint="eastAsia"/>
              </w:rPr>
              <w:t>仅允许对本项目的非主体、非关键性工作进行分包。</w:t>
            </w:r>
          </w:p>
          <w:p w14:paraId="12C8BD8A">
            <w:pPr>
              <w:pStyle w:val="48"/>
              <w:ind w:firstLine="480" w:firstLineChars="200"/>
              <w:rPr>
                <w:rFonts w:hint="eastAsia"/>
              </w:rPr>
            </w:pPr>
            <w:r>
              <w:rPr>
                <w:rFonts w:hint="eastAsia"/>
              </w:rPr>
              <w:t>分包金额要求：</w:t>
            </w:r>
            <w:r>
              <w:rPr>
                <w:rFonts w:hint="eastAsia"/>
                <w:u w:val="single"/>
              </w:rPr>
              <w:t xml:space="preserve"> </w:t>
            </w:r>
            <w:r>
              <w:rPr>
                <w:u w:val="single"/>
              </w:rPr>
              <w:t xml:space="preserve">          </w:t>
            </w:r>
            <w:r>
              <w:rPr>
                <w:rFonts w:hint="eastAsia"/>
              </w:rPr>
              <w:t>。</w:t>
            </w:r>
          </w:p>
          <w:p w14:paraId="63DF303F">
            <w:pPr>
              <w:pStyle w:val="48"/>
              <w:ind w:firstLine="480" w:firstLineChars="200"/>
              <w:rPr>
                <w:rFonts w:hint="eastAsia"/>
              </w:rPr>
            </w:pPr>
            <w:r>
              <w:rPr>
                <w:rFonts w:hint="eastAsia"/>
              </w:rPr>
              <w:t>分包人资质要求：</w:t>
            </w:r>
            <w:r>
              <w:rPr>
                <w:rFonts w:hint="eastAsia"/>
                <w:u w:val="single"/>
              </w:rPr>
              <w:t xml:space="preserve"> </w:t>
            </w:r>
            <w:r>
              <w:rPr>
                <w:u w:val="single"/>
              </w:rPr>
              <w:t xml:space="preserve">        </w:t>
            </w:r>
            <w:r>
              <w:rPr>
                <w:rFonts w:hint="eastAsia"/>
              </w:rPr>
              <w:t>。</w:t>
            </w:r>
          </w:p>
        </w:tc>
      </w:tr>
      <w:tr w14:paraId="2CC509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36" w:hRule="atLeast"/>
        </w:trPr>
        <w:tc>
          <w:tcPr>
            <w:tcW w:w="970" w:type="dxa"/>
            <w:vAlign w:val="center"/>
          </w:tcPr>
          <w:p w14:paraId="0EED5EC9">
            <w:pPr>
              <w:pStyle w:val="48"/>
              <w:jc w:val="center"/>
              <w:rPr>
                <w:rFonts w:hint="eastAsia"/>
              </w:rPr>
            </w:pPr>
            <w:r>
              <w:rPr>
                <w:rFonts w:hint="eastAsia"/>
              </w:rPr>
              <w:t>1</w:t>
            </w:r>
            <w:r>
              <w:t>1.5</w:t>
            </w:r>
          </w:p>
        </w:tc>
        <w:tc>
          <w:tcPr>
            <w:tcW w:w="1720" w:type="dxa"/>
            <w:vAlign w:val="center"/>
          </w:tcPr>
          <w:p w14:paraId="099A6382">
            <w:pPr>
              <w:pStyle w:val="48"/>
              <w:rPr>
                <w:rFonts w:hint="eastAsia"/>
              </w:rPr>
            </w:pPr>
            <w:r>
              <w:rPr>
                <w:rFonts w:hint="eastAsia"/>
              </w:rPr>
              <w:t>电子交易系统咨询</w:t>
            </w:r>
          </w:p>
        </w:tc>
        <w:tc>
          <w:tcPr>
            <w:tcW w:w="5841" w:type="dxa"/>
            <w:vAlign w:val="center"/>
          </w:tcPr>
          <w:p w14:paraId="4000F190">
            <w:pPr>
              <w:pStyle w:val="48"/>
              <w:rPr>
                <w:rFonts w:hint="eastAsia"/>
              </w:rPr>
            </w:pPr>
            <w:r>
              <w:rPr>
                <w:rFonts w:hint="eastAsia"/>
                <w:szCs w:val="24"/>
              </w:rPr>
              <w:t>如有问题，应当在提交投标文件截止时间</w:t>
            </w:r>
            <w:r>
              <w:rPr>
                <w:b/>
                <w:szCs w:val="24"/>
              </w:rPr>
              <w:t>24</w:t>
            </w:r>
            <w:r>
              <w:rPr>
                <w:rFonts w:hint="eastAsia"/>
                <w:b/>
                <w:szCs w:val="24"/>
              </w:rPr>
              <w:t>小时前</w:t>
            </w:r>
            <w:r>
              <w:rPr>
                <w:rFonts w:hint="eastAsia"/>
                <w:bCs/>
                <w:szCs w:val="24"/>
              </w:rPr>
              <w:t>咨询供应商客户端</w:t>
            </w:r>
            <w:r>
              <w:rPr>
                <w:rFonts w:hint="eastAsia"/>
                <w:bCs/>
              </w:rPr>
              <w:t>或政府采购交易系统。</w:t>
            </w:r>
          </w:p>
        </w:tc>
      </w:tr>
      <w:tr w14:paraId="4CD3256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0882BF8C">
            <w:pPr>
              <w:pStyle w:val="48"/>
              <w:jc w:val="center"/>
              <w:rPr>
                <w:rFonts w:hint="eastAsia"/>
              </w:rPr>
            </w:pPr>
            <w:r>
              <w:rPr>
                <w:rFonts w:hint="eastAsia"/>
              </w:rPr>
              <w:t>1</w:t>
            </w:r>
            <w:r>
              <w:t>1.6</w:t>
            </w:r>
          </w:p>
        </w:tc>
        <w:tc>
          <w:tcPr>
            <w:tcW w:w="1720" w:type="dxa"/>
            <w:vAlign w:val="center"/>
          </w:tcPr>
          <w:p w14:paraId="23D9811F">
            <w:pPr>
              <w:pStyle w:val="48"/>
              <w:rPr>
                <w:rFonts w:hint="eastAsia"/>
              </w:rPr>
            </w:pPr>
            <w:r>
              <w:rPr>
                <w:rFonts w:hint="eastAsia"/>
              </w:rPr>
              <w:t>政府采购交易系统</w:t>
            </w:r>
            <w:r>
              <w:t>联系方式</w:t>
            </w:r>
          </w:p>
        </w:tc>
        <w:tc>
          <w:tcPr>
            <w:tcW w:w="5841" w:type="dxa"/>
            <w:vAlign w:val="center"/>
          </w:tcPr>
          <w:p w14:paraId="2E38452B">
            <w:pPr>
              <w:pStyle w:val="48"/>
              <w:rPr>
                <w:rFonts w:hint="eastAsia"/>
              </w:rPr>
            </w:pPr>
            <w:r>
              <w:rPr>
                <w:rFonts w:hint="eastAsia"/>
              </w:rPr>
              <w:t>联系人：</w:t>
            </w:r>
            <w:r>
              <w:rPr>
                <w:rFonts w:hint="eastAsia"/>
                <w:u w:val="single"/>
              </w:rPr>
              <w:t>东软集团股份有限公司工作人员</w:t>
            </w:r>
            <w:r>
              <w:rPr>
                <w:rFonts w:hint="eastAsia"/>
              </w:rPr>
              <w:t>。</w:t>
            </w:r>
          </w:p>
          <w:p w14:paraId="3B2EE282">
            <w:pPr>
              <w:pStyle w:val="48"/>
              <w:rPr>
                <w:rFonts w:hint="eastAsia"/>
              </w:rPr>
            </w:pPr>
            <w:r>
              <w:rPr>
                <w:rFonts w:hint="eastAsia"/>
              </w:rPr>
              <w:t>联系电话：</w:t>
            </w:r>
            <w:r>
              <w:rPr>
                <w:rFonts w:hint="eastAsia"/>
                <w:u w:val="single"/>
              </w:rPr>
              <w:t>0871-65383105、0871-65378716、0871-65391971、0871-65390547</w:t>
            </w:r>
            <w:r>
              <w:rPr>
                <w:rFonts w:hint="eastAsia"/>
              </w:rPr>
              <w:t>。</w:t>
            </w:r>
          </w:p>
          <w:p w14:paraId="7BE31199">
            <w:pPr>
              <w:pStyle w:val="48"/>
              <w:rPr>
                <w:rFonts w:hint="eastAsia"/>
              </w:rPr>
            </w:pPr>
            <w:r>
              <w:rPr>
                <w:rFonts w:hint="eastAsia"/>
              </w:rPr>
              <w:t>其他联系方式：</w:t>
            </w:r>
            <w:r>
              <w:rPr>
                <w:rFonts w:hint="eastAsia"/>
                <w:u w:val="single"/>
              </w:rPr>
              <w:t xml:space="preserve"> </w:t>
            </w:r>
            <w:r>
              <w:rPr>
                <w:u w:val="single"/>
              </w:rPr>
              <w:t xml:space="preserve">    </w:t>
            </w:r>
            <w:r>
              <w:rPr>
                <w:rFonts w:hint="eastAsia"/>
                <w:u w:val="single"/>
              </w:rPr>
              <w:t>/</w:t>
            </w:r>
            <w:r>
              <w:rPr>
                <w:u w:val="single"/>
              </w:rPr>
              <w:t xml:space="preserve">      </w:t>
            </w:r>
            <w:r>
              <w:rPr>
                <w:rFonts w:hint="eastAsia"/>
              </w:rPr>
              <w:t>。</w:t>
            </w:r>
          </w:p>
        </w:tc>
      </w:tr>
      <w:tr w14:paraId="0548D86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56BB6E76">
            <w:pPr>
              <w:pStyle w:val="48"/>
              <w:jc w:val="center"/>
              <w:rPr>
                <w:rFonts w:hint="eastAsia"/>
              </w:rPr>
            </w:pPr>
            <w:r>
              <w:t>13.1</w:t>
            </w:r>
          </w:p>
        </w:tc>
        <w:tc>
          <w:tcPr>
            <w:tcW w:w="1720" w:type="dxa"/>
            <w:vAlign w:val="center"/>
          </w:tcPr>
          <w:p w14:paraId="095E0AC6">
            <w:pPr>
              <w:pStyle w:val="48"/>
              <w:rPr>
                <w:rFonts w:hint="eastAsia"/>
              </w:rPr>
            </w:pPr>
            <w:r>
              <w:rPr>
                <w:rFonts w:hint="eastAsia"/>
              </w:rPr>
              <w:t>提出询问方式</w:t>
            </w:r>
          </w:p>
        </w:tc>
        <w:tc>
          <w:tcPr>
            <w:tcW w:w="5841" w:type="dxa"/>
            <w:vAlign w:val="center"/>
          </w:tcPr>
          <w:p w14:paraId="3FEBCFB3">
            <w:pPr>
              <w:pStyle w:val="48"/>
              <w:rPr>
                <w:rFonts w:hint="eastAsia"/>
              </w:rPr>
            </w:pPr>
            <w:r>
              <w:rPr>
                <w:rFonts w:hint="eastAsia"/>
              </w:rPr>
              <w:t>提出询问方式：可致电采购代理机构工作人员询问。</w:t>
            </w:r>
          </w:p>
          <w:p w14:paraId="2FB50407">
            <w:pPr>
              <w:pStyle w:val="48"/>
              <w:rPr>
                <w:rFonts w:hint="eastAsia"/>
              </w:rPr>
            </w:pPr>
            <w:r>
              <w:rPr>
                <w:rFonts w:hint="eastAsia"/>
              </w:rPr>
              <w:t>其他询问方式：</w:t>
            </w:r>
            <w:r>
              <w:rPr>
                <w:rFonts w:hint="eastAsia"/>
                <w:u w:val="single"/>
              </w:rPr>
              <w:t xml:space="preserve"> </w:t>
            </w:r>
            <w:r>
              <w:rPr>
                <w:u w:val="single"/>
              </w:rPr>
              <w:t xml:space="preserve">   </w:t>
            </w:r>
            <w:r>
              <w:rPr>
                <w:rFonts w:hint="eastAsia"/>
                <w:u w:val="single"/>
              </w:rPr>
              <w:t>/</w:t>
            </w:r>
            <w:r>
              <w:rPr>
                <w:u w:val="single"/>
              </w:rPr>
              <w:t xml:space="preserve">       </w:t>
            </w:r>
            <w:r>
              <w:rPr>
                <w:rFonts w:hint="eastAsia"/>
              </w:rPr>
              <w:t>。</w:t>
            </w:r>
          </w:p>
        </w:tc>
      </w:tr>
      <w:tr w14:paraId="5973795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76" w:hRule="atLeast"/>
        </w:trPr>
        <w:tc>
          <w:tcPr>
            <w:tcW w:w="970" w:type="dxa"/>
            <w:vAlign w:val="center"/>
          </w:tcPr>
          <w:p w14:paraId="5D5DF877">
            <w:pPr>
              <w:pStyle w:val="48"/>
              <w:jc w:val="center"/>
              <w:rPr>
                <w:rFonts w:hint="eastAsia"/>
                <w:color w:val="000000" w:themeColor="text1"/>
                <w14:textFill>
                  <w14:solidFill>
                    <w14:schemeClr w14:val="tx1"/>
                  </w14:solidFill>
                </w14:textFill>
              </w:rPr>
            </w:pPr>
            <w:r>
              <w:rPr>
                <w:color w:val="000000" w:themeColor="text1"/>
                <w14:textFill>
                  <w14:solidFill>
                    <w14:schemeClr w14:val="tx1"/>
                  </w14:solidFill>
                </w14:textFill>
              </w:rPr>
              <w:t>15.2</w:t>
            </w:r>
          </w:p>
        </w:tc>
        <w:tc>
          <w:tcPr>
            <w:tcW w:w="1720" w:type="dxa"/>
            <w:vAlign w:val="center"/>
          </w:tcPr>
          <w:p w14:paraId="1626D2F3">
            <w:pPr>
              <w:pStyle w:val="4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报价方式</w:t>
            </w:r>
          </w:p>
        </w:tc>
        <w:tc>
          <w:tcPr>
            <w:tcW w:w="5841" w:type="dxa"/>
            <w:vAlign w:val="center"/>
          </w:tcPr>
          <w:p w14:paraId="0F7CE35A">
            <w:pPr>
              <w:pStyle w:val="48"/>
              <w:rPr>
                <w:rFonts w:hint="default"/>
                <w:color w:val="000000" w:themeColor="text1"/>
                <w:szCs w:val="24"/>
                <w:lang w:val="en-US" w:eastAsia="zh-CN"/>
                <w14:textFill>
                  <w14:solidFill>
                    <w14:schemeClr w14:val="tx1"/>
                  </w14:solidFill>
                </w14:textFill>
              </w:rPr>
            </w:pPr>
            <w:r>
              <w:rPr>
                <w:rFonts w:hint="default"/>
                <w:color w:val="000000" w:themeColor="text1"/>
                <w:szCs w:val="24"/>
                <w:lang w:val="en-US" w:eastAsia="zh-CN"/>
                <w14:textFill>
                  <w14:solidFill>
                    <w14:schemeClr w14:val="tx1"/>
                  </w14:solidFill>
                </w14:textFill>
              </w:rPr>
              <w:t>本项目采用总价包干的形式进行报价</w:t>
            </w:r>
          </w:p>
        </w:tc>
      </w:tr>
      <w:tr w14:paraId="77CBD70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37BE46B3">
            <w:pPr>
              <w:pStyle w:val="48"/>
              <w:jc w:val="center"/>
              <w:rPr>
                <w:rFonts w:hint="eastAsia"/>
              </w:rPr>
            </w:pPr>
            <w:r>
              <w:t>15.6</w:t>
            </w:r>
          </w:p>
        </w:tc>
        <w:tc>
          <w:tcPr>
            <w:tcW w:w="1720" w:type="dxa"/>
            <w:vAlign w:val="center"/>
          </w:tcPr>
          <w:p w14:paraId="26C7608E">
            <w:pPr>
              <w:pStyle w:val="48"/>
              <w:rPr>
                <w:rFonts w:hint="eastAsia"/>
              </w:rPr>
            </w:pPr>
            <w:r>
              <w:rPr>
                <w:rFonts w:hint="eastAsia"/>
              </w:rPr>
              <w:t>最高限价</w:t>
            </w:r>
          </w:p>
        </w:tc>
        <w:tc>
          <w:tcPr>
            <w:tcW w:w="5841" w:type="dxa"/>
            <w:vAlign w:val="center"/>
          </w:tcPr>
          <w:p w14:paraId="031A1E5F">
            <w:pPr>
              <w:pStyle w:val="48"/>
              <w:rPr>
                <w:rFonts w:hint="eastAsia"/>
              </w:rPr>
            </w:pPr>
            <w:r>
              <w:rPr>
                <w:rFonts w:hint="eastAsia"/>
              </w:rPr>
              <w:t>详见第一章”投标邀请”</w:t>
            </w:r>
          </w:p>
        </w:tc>
      </w:tr>
      <w:tr w14:paraId="4838D57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0" w:hRule="atLeast"/>
        </w:trPr>
        <w:tc>
          <w:tcPr>
            <w:tcW w:w="970" w:type="dxa"/>
            <w:vAlign w:val="center"/>
          </w:tcPr>
          <w:p w14:paraId="56A65E78">
            <w:pPr>
              <w:pStyle w:val="48"/>
              <w:jc w:val="center"/>
              <w:rPr>
                <w:rFonts w:hint="eastAsia"/>
              </w:rPr>
            </w:pPr>
            <w:r>
              <w:t>16.1</w:t>
            </w:r>
          </w:p>
        </w:tc>
        <w:tc>
          <w:tcPr>
            <w:tcW w:w="1720" w:type="dxa"/>
            <w:vAlign w:val="center"/>
          </w:tcPr>
          <w:p w14:paraId="66B65EBD">
            <w:pPr>
              <w:pStyle w:val="48"/>
              <w:rPr>
                <w:rFonts w:hint="eastAsia"/>
              </w:rPr>
            </w:pPr>
            <w:r>
              <w:rPr>
                <w:rFonts w:hint="eastAsia"/>
              </w:rPr>
              <w:t>投标有效期</w:t>
            </w:r>
          </w:p>
        </w:tc>
        <w:tc>
          <w:tcPr>
            <w:tcW w:w="5841" w:type="dxa"/>
            <w:vAlign w:val="center"/>
          </w:tcPr>
          <w:p w14:paraId="35D69509">
            <w:pPr>
              <w:pStyle w:val="48"/>
              <w:rPr>
                <w:rFonts w:hint="eastAsia"/>
              </w:rPr>
            </w:pPr>
            <w:r>
              <w:rPr>
                <w:rFonts w:hint="eastAsia"/>
              </w:rPr>
              <w:t>投标截止日期后</w:t>
            </w:r>
            <w:r>
              <w:rPr>
                <w:rFonts w:hint="eastAsia"/>
                <w:u w:val="single"/>
              </w:rPr>
              <w:t>90</w:t>
            </w:r>
            <w:r>
              <w:rPr>
                <w:rFonts w:hint="eastAsia"/>
              </w:rPr>
              <w:t>日历天</w:t>
            </w:r>
          </w:p>
        </w:tc>
      </w:tr>
      <w:tr w14:paraId="37DD41A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3B407C49">
            <w:pPr>
              <w:pStyle w:val="48"/>
              <w:jc w:val="center"/>
              <w:rPr>
                <w:rFonts w:hint="eastAsia"/>
              </w:rPr>
            </w:pPr>
            <w:r>
              <w:t>19.1</w:t>
            </w:r>
          </w:p>
        </w:tc>
        <w:tc>
          <w:tcPr>
            <w:tcW w:w="1720" w:type="dxa"/>
            <w:vAlign w:val="center"/>
          </w:tcPr>
          <w:p w14:paraId="354BE441">
            <w:pPr>
              <w:pStyle w:val="48"/>
              <w:rPr>
                <w:rFonts w:hint="eastAsia"/>
              </w:rPr>
            </w:pPr>
            <w:r>
              <w:rPr>
                <w:rFonts w:hint="eastAsia"/>
              </w:rPr>
              <w:t>投标截止时间</w:t>
            </w:r>
          </w:p>
        </w:tc>
        <w:tc>
          <w:tcPr>
            <w:tcW w:w="5841" w:type="dxa"/>
            <w:vAlign w:val="center"/>
          </w:tcPr>
          <w:p w14:paraId="1B8922FF">
            <w:pPr>
              <w:pStyle w:val="48"/>
              <w:rPr>
                <w:rFonts w:hint="eastAsia"/>
              </w:rPr>
            </w:pPr>
            <w:r>
              <w:rPr>
                <w:rFonts w:hint="eastAsia"/>
              </w:rPr>
              <w:t>详见第一章”投标邀请”</w:t>
            </w:r>
          </w:p>
        </w:tc>
      </w:tr>
      <w:tr w14:paraId="0FB45FE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28A8A6F6">
            <w:pPr>
              <w:pStyle w:val="48"/>
              <w:jc w:val="center"/>
              <w:rPr>
                <w:rFonts w:hint="eastAsia"/>
              </w:rPr>
            </w:pPr>
            <w:r>
              <w:t>19.2</w:t>
            </w:r>
          </w:p>
        </w:tc>
        <w:tc>
          <w:tcPr>
            <w:tcW w:w="1720" w:type="dxa"/>
            <w:vAlign w:val="center"/>
          </w:tcPr>
          <w:p w14:paraId="3253B453">
            <w:pPr>
              <w:pStyle w:val="48"/>
              <w:rPr>
                <w:rFonts w:hint="eastAsia"/>
              </w:rPr>
            </w:pPr>
            <w:r>
              <w:rPr>
                <w:rFonts w:hint="eastAsia"/>
              </w:rPr>
              <w:t>递交投标文件地点</w:t>
            </w:r>
          </w:p>
        </w:tc>
        <w:tc>
          <w:tcPr>
            <w:tcW w:w="5841" w:type="dxa"/>
            <w:vAlign w:val="center"/>
          </w:tcPr>
          <w:p w14:paraId="3D93DF06">
            <w:pPr>
              <w:pStyle w:val="48"/>
              <w:rPr>
                <w:rFonts w:hint="eastAsia"/>
              </w:rPr>
            </w:pPr>
            <w:r>
              <w:rPr>
                <w:rFonts w:hint="eastAsia"/>
              </w:rPr>
              <w:t>详见第一章”投标邀请”</w:t>
            </w:r>
          </w:p>
        </w:tc>
      </w:tr>
      <w:tr w14:paraId="6BC0BEF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64EB8EA4">
            <w:pPr>
              <w:pStyle w:val="48"/>
              <w:jc w:val="center"/>
              <w:rPr>
                <w:rFonts w:hint="eastAsia"/>
              </w:rPr>
            </w:pPr>
            <w:r>
              <w:t>22.1</w:t>
            </w:r>
          </w:p>
        </w:tc>
        <w:tc>
          <w:tcPr>
            <w:tcW w:w="1720" w:type="dxa"/>
            <w:vAlign w:val="center"/>
          </w:tcPr>
          <w:p w14:paraId="00F34067">
            <w:pPr>
              <w:pStyle w:val="48"/>
              <w:rPr>
                <w:rFonts w:hint="eastAsia"/>
              </w:rPr>
            </w:pPr>
            <w:r>
              <w:rPr>
                <w:rFonts w:hint="eastAsia"/>
              </w:rPr>
              <w:t>实物样品</w:t>
            </w:r>
          </w:p>
        </w:tc>
        <w:tc>
          <w:tcPr>
            <w:tcW w:w="5841" w:type="dxa"/>
            <w:vAlign w:val="center"/>
          </w:tcPr>
          <w:p w14:paraId="540A717E">
            <w:pPr>
              <w:pStyle w:val="48"/>
              <w:rPr>
                <w:rFonts w:hint="eastAsia"/>
              </w:rPr>
            </w:pPr>
            <w:r>
              <w:rPr>
                <w:rFonts w:hint="eastAsia"/>
              </w:rPr>
              <w:t>本项目无需提供样品。</w:t>
            </w:r>
          </w:p>
          <w:p w14:paraId="3D9F8A6F">
            <w:pPr>
              <w:pStyle w:val="48"/>
              <w:rPr>
                <w:rFonts w:hint="eastAsia"/>
              </w:rPr>
            </w:pPr>
            <w:r>
              <w:rPr>
                <w:rFonts w:hint="eastAsia"/>
              </w:rPr>
              <w:t>提供样品的品种有：/ 。</w:t>
            </w:r>
          </w:p>
          <w:p w14:paraId="12650C1F">
            <w:pPr>
              <w:pStyle w:val="48"/>
              <w:rPr>
                <w:rFonts w:hint="eastAsia"/>
              </w:rPr>
            </w:pPr>
            <w:r>
              <w:rPr>
                <w:rFonts w:hint="eastAsia"/>
              </w:rPr>
              <w:t>样品规格：/</w:t>
            </w:r>
          </w:p>
          <w:p w14:paraId="5548D21A">
            <w:pPr>
              <w:pStyle w:val="48"/>
              <w:rPr>
                <w:rFonts w:hint="eastAsia"/>
              </w:rPr>
            </w:pPr>
            <w:r>
              <w:rPr>
                <w:rFonts w:hint="eastAsia"/>
              </w:rPr>
              <w:t xml:space="preserve">样品密封要求：/ </w:t>
            </w:r>
          </w:p>
          <w:p w14:paraId="7C942C6E">
            <w:pPr>
              <w:pStyle w:val="48"/>
              <w:rPr>
                <w:rFonts w:hint="eastAsia"/>
              </w:rPr>
            </w:pPr>
            <w:r>
              <w:rPr>
                <w:rFonts w:hint="eastAsia"/>
              </w:rPr>
              <w:t>开标当天</w:t>
            </w:r>
            <w:r>
              <w:rPr>
                <w:rFonts w:hint="eastAsia"/>
                <w:u w:val="single"/>
              </w:rPr>
              <w:t xml:space="preserve">  </w:t>
            </w:r>
            <w:r>
              <w:rPr>
                <w:rFonts w:hint="eastAsia"/>
              </w:rPr>
              <w:t>/</w:t>
            </w:r>
            <w:r>
              <w:rPr>
                <w:rFonts w:hint="eastAsia"/>
                <w:u w:val="single"/>
              </w:rPr>
              <w:t xml:space="preserve"> 时 </w:t>
            </w:r>
            <w:r>
              <w:rPr>
                <w:rFonts w:hint="eastAsia"/>
              </w:rPr>
              <w:t>/</w:t>
            </w:r>
            <w:r>
              <w:rPr>
                <w:rFonts w:hint="eastAsia"/>
                <w:u w:val="single"/>
              </w:rPr>
              <w:t xml:space="preserve"> 分</w:t>
            </w:r>
            <w:r>
              <w:rPr>
                <w:rFonts w:hint="eastAsia"/>
              </w:rPr>
              <w:t>至</w:t>
            </w:r>
            <w:r>
              <w:rPr>
                <w:rFonts w:hint="eastAsia"/>
                <w:u w:val="single"/>
              </w:rPr>
              <w:t xml:space="preserve"> </w:t>
            </w:r>
            <w:r>
              <w:rPr>
                <w:rFonts w:hint="eastAsia"/>
              </w:rPr>
              <w:t>/</w:t>
            </w:r>
            <w:r>
              <w:rPr>
                <w:rFonts w:hint="eastAsia"/>
                <w:u w:val="single"/>
              </w:rPr>
              <w:t xml:space="preserve"> 时  </w:t>
            </w:r>
            <w:r>
              <w:rPr>
                <w:rFonts w:hint="eastAsia"/>
              </w:rPr>
              <w:t>/</w:t>
            </w:r>
            <w:r>
              <w:rPr>
                <w:rFonts w:hint="eastAsia"/>
                <w:u w:val="single"/>
              </w:rPr>
              <w:t>分</w:t>
            </w:r>
            <w:r>
              <w:rPr>
                <w:rFonts w:hint="eastAsia"/>
              </w:rPr>
              <w:t>，提供至（地点）：/，逾期提供的样品将不予接受。</w:t>
            </w:r>
          </w:p>
        </w:tc>
      </w:tr>
      <w:tr w14:paraId="7A20A22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5B8F673D">
            <w:pPr>
              <w:pStyle w:val="48"/>
              <w:jc w:val="center"/>
              <w:rPr>
                <w:rFonts w:hint="eastAsia"/>
              </w:rPr>
            </w:pPr>
            <w:r>
              <w:t>23.1</w:t>
            </w:r>
          </w:p>
        </w:tc>
        <w:tc>
          <w:tcPr>
            <w:tcW w:w="1720" w:type="dxa"/>
            <w:vAlign w:val="center"/>
          </w:tcPr>
          <w:p w14:paraId="4CC211A3">
            <w:pPr>
              <w:pStyle w:val="48"/>
              <w:rPr>
                <w:rFonts w:hint="eastAsia"/>
              </w:rPr>
            </w:pPr>
            <w:r>
              <w:rPr>
                <w:rFonts w:hint="eastAsia"/>
              </w:rPr>
              <w:t>项目演示</w:t>
            </w:r>
          </w:p>
        </w:tc>
        <w:tc>
          <w:tcPr>
            <w:tcW w:w="5841" w:type="dxa"/>
            <w:vAlign w:val="center"/>
          </w:tcPr>
          <w:p w14:paraId="27F0EB6A">
            <w:pPr>
              <w:pStyle w:val="48"/>
              <w:rPr>
                <w:rFonts w:hint="eastAsia"/>
              </w:rPr>
            </w:pPr>
            <w:r>
              <w:rPr>
                <w:rFonts w:hint="eastAsia"/>
              </w:rPr>
              <w:sym w:font="Wingdings" w:char="00FE"/>
            </w:r>
            <w:r>
              <w:rPr>
                <w:rFonts w:hint="eastAsia"/>
              </w:rPr>
              <w:t>不进行</w:t>
            </w:r>
          </w:p>
          <w:p w14:paraId="2C719AC4">
            <w:pPr>
              <w:pStyle w:val="48"/>
              <w:rPr>
                <w:rFonts w:hint="eastAsia"/>
              </w:rPr>
            </w:pPr>
            <w:r>
              <w:rPr>
                <w:rFonts w:hint="eastAsia"/>
              </w:rPr>
              <w:sym w:font="Wingdings" w:char="00A8"/>
            </w:r>
            <w:r>
              <w:rPr>
                <w:rFonts w:hint="eastAsia"/>
              </w:rPr>
              <w:t>进行，现场演示/远程线上演示</w:t>
            </w:r>
          </w:p>
          <w:p w14:paraId="533CE8BE">
            <w:pPr>
              <w:pStyle w:val="48"/>
              <w:rPr>
                <w:rFonts w:hint="eastAsia"/>
              </w:rPr>
            </w:pPr>
            <w:r>
              <w:t>1.</w:t>
            </w:r>
            <w:r>
              <w:rPr>
                <w:rFonts w:hint="eastAsia"/>
              </w:rPr>
              <w:t>演示时间不得超过</w:t>
            </w:r>
            <w:r>
              <w:rPr>
                <w:rFonts w:hint="eastAsia"/>
                <w:u w:val="single"/>
              </w:rPr>
              <w:t xml:space="preserve">   </w:t>
            </w:r>
            <w:r>
              <w:rPr>
                <w:rFonts w:hint="eastAsia"/>
              </w:rPr>
              <w:t>分钟；</w:t>
            </w:r>
          </w:p>
          <w:p w14:paraId="58B5E492">
            <w:pPr>
              <w:pStyle w:val="48"/>
              <w:rPr>
                <w:rFonts w:hint="eastAsia"/>
              </w:rPr>
            </w:pPr>
            <w:r>
              <w:t>2.</w:t>
            </w:r>
            <w:r>
              <w:rPr>
                <w:rFonts w:hint="eastAsia"/>
              </w:rPr>
              <w:t>进行远程线上演示的，投标供应商应提前自行准备好演示的软硬配置环境和网络环境，做好演示的各项准备工作。因投标供应商自身原因无法演示或者演示效果不理想的，导致的后果由投标供应商自行承担；</w:t>
            </w:r>
          </w:p>
          <w:p w14:paraId="5B5E4700">
            <w:pPr>
              <w:pStyle w:val="48"/>
              <w:rPr>
                <w:rFonts w:hint="eastAsia"/>
              </w:rPr>
            </w:pPr>
            <w:r>
              <w:t>3.</w:t>
            </w:r>
            <w:r>
              <w:rPr>
                <w:rFonts w:hint="eastAsia"/>
              </w:rPr>
              <w:t>进行现场演示的，演示人员不得超过/人，演示现场提供</w:t>
            </w:r>
            <w:r>
              <w:rPr>
                <w:rFonts w:hint="eastAsia"/>
                <w:u w:val="single"/>
              </w:rPr>
              <w:t xml:space="preserve">    /   </w:t>
            </w:r>
            <w:r>
              <w:rPr>
                <w:rFonts w:hint="eastAsia"/>
              </w:rPr>
              <w:t>。</w:t>
            </w:r>
          </w:p>
        </w:tc>
      </w:tr>
      <w:tr w14:paraId="1167A5E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0F27C58B">
            <w:pPr>
              <w:pStyle w:val="48"/>
              <w:jc w:val="center"/>
              <w:rPr>
                <w:rFonts w:hint="eastAsia"/>
              </w:rPr>
            </w:pPr>
            <w:r>
              <w:t>24.1</w:t>
            </w:r>
          </w:p>
        </w:tc>
        <w:tc>
          <w:tcPr>
            <w:tcW w:w="1720" w:type="dxa"/>
            <w:vAlign w:val="center"/>
          </w:tcPr>
          <w:p w14:paraId="6EAF5DE9">
            <w:pPr>
              <w:pStyle w:val="48"/>
              <w:rPr>
                <w:rFonts w:hint="eastAsia"/>
              </w:rPr>
            </w:pPr>
            <w:r>
              <w:rPr>
                <w:rFonts w:hint="eastAsia"/>
              </w:rPr>
              <w:t>远程开标会议环境准备</w:t>
            </w:r>
          </w:p>
        </w:tc>
        <w:tc>
          <w:tcPr>
            <w:tcW w:w="5841" w:type="dxa"/>
            <w:vAlign w:val="center"/>
          </w:tcPr>
          <w:p w14:paraId="7CC93A4D">
            <w:pPr>
              <w:pStyle w:val="48"/>
              <w:rPr>
                <w:rFonts w:hint="eastAsia"/>
              </w:rPr>
            </w:pPr>
            <w:r>
              <w:rPr>
                <w:rFonts w:hint="eastAsia"/>
              </w:rPr>
              <w:t>远程开标会议环境要求：符合政采云系统操作条件要求即可，具体按操作说明执行。</w:t>
            </w:r>
          </w:p>
          <w:p w14:paraId="0EBC15CC">
            <w:pPr>
              <w:pStyle w:val="48"/>
              <w:rPr>
                <w:rFonts w:hint="eastAsia"/>
              </w:rPr>
            </w:pPr>
            <w:r>
              <w:rPr>
                <w:rFonts w:hint="eastAsia"/>
              </w:rPr>
              <w:t>操作说明：供应商可登陆https://customer.zcygov.cn/CA-driver-download?utm=web-cafront.3ddc8fbb.0.0.87133ef03d5611eca03abdd942cbc4e6，下载“政采云电子投标客户端”。</w:t>
            </w:r>
          </w:p>
        </w:tc>
      </w:tr>
      <w:tr w14:paraId="008250E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3EE7904B">
            <w:pPr>
              <w:pStyle w:val="48"/>
              <w:jc w:val="center"/>
              <w:rPr>
                <w:rFonts w:hint="eastAsia"/>
              </w:rPr>
            </w:pPr>
            <w:r>
              <w:t>25.1</w:t>
            </w:r>
          </w:p>
        </w:tc>
        <w:tc>
          <w:tcPr>
            <w:tcW w:w="1720" w:type="dxa"/>
            <w:vAlign w:val="center"/>
          </w:tcPr>
          <w:p w14:paraId="632F4E13">
            <w:pPr>
              <w:pStyle w:val="48"/>
              <w:rPr>
                <w:rFonts w:hint="eastAsia"/>
              </w:rPr>
            </w:pPr>
            <w:r>
              <w:rPr>
                <w:rFonts w:hint="eastAsia"/>
              </w:rPr>
              <w:t>开标时间和地点</w:t>
            </w:r>
          </w:p>
        </w:tc>
        <w:tc>
          <w:tcPr>
            <w:tcW w:w="5841" w:type="dxa"/>
            <w:vAlign w:val="center"/>
          </w:tcPr>
          <w:p w14:paraId="0143530A">
            <w:pPr>
              <w:pStyle w:val="48"/>
              <w:rPr>
                <w:rFonts w:hint="eastAsia"/>
              </w:rPr>
            </w:pPr>
            <w:r>
              <w:rPr>
                <w:rFonts w:hint="eastAsia"/>
              </w:rPr>
              <w:t>详见第一章”投标邀请”</w:t>
            </w:r>
          </w:p>
        </w:tc>
      </w:tr>
      <w:tr w14:paraId="75DD608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456F20AD">
            <w:pPr>
              <w:pStyle w:val="48"/>
              <w:jc w:val="center"/>
              <w:rPr>
                <w:rFonts w:hint="eastAsia"/>
              </w:rPr>
            </w:pPr>
            <w:r>
              <w:rPr>
                <w:rFonts w:hint="eastAsia"/>
              </w:rPr>
              <w:t>27.1</w:t>
            </w:r>
          </w:p>
        </w:tc>
        <w:tc>
          <w:tcPr>
            <w:tcW w:w="1720" w:type="dxa"/>
            <w:vAlign w:val="center"/>
          </w:tcPr>
          <w:p w14:paraId="2862EEB4">
            <w:pPr>
              <w:pStyle w:val="48"/>
              <w:rPr>
                <w:rFonts w:hint="eastAsia"/>
              </w:rPr>
            </w:pPr>
            <w:r>
              <w:rPr>
                <w:rFonts w:hint="eastAsia"/>
              </w:rPr>
              <w:t>采购人及采购代理机构工作人员需要回避的情形及开始时出现列举情形时的处理方式</w:t>
            </w:r>
          </w:p>
        </w:tc>
        <w:tc>
          <w:tcPr>
            <w:tcW w:w="5841" w:type="dxa"/>
            <w:vAlign w:val="center"/>
          </w:tcPr>
          <w:p w14:paraId="4A96BF6F">
            <w:pPr>
              <w:pStyle w:val="48"/>
              <w:ind w:firstLine="480" w:firstLineChars="200"/>
              <w:rPr>
                <w:rFonts w:hint="eastAsia"/>
              </w:rPr>
            </w:pPr>
            <w:r>
              <w:rPr>
                <w:rFonts w:hint="eastAsia"/>
              </w:rPr>
              <w:t>在政府采购活动中，采购人员及相关人员与供应商有下列利害关系之一的，应当回避：</w:t>
            </w:r>
          </w:p>
          <w:p w14:paraId="42724D88">
            <w:pPr>
              <w:pStyle w:val="48"/>
              <w:rPr>
                <w:rFonts w:hint="eastAsia"/>
              </w:rPr>
            </w:pPr>
            <w:r>
              <w:rPr>
                <w:rFonts w:hint="eastAsia"/>
              </w:rPr>
              <w:t>（1）参加采购活动前3年内与供应商存在劳动关系；</w:t>
            </w:r>
          </w:p>
          <w:p w14:paraId="2AFB2E16">
            <w:pPr>
              <w:pStyle w:val="48"/>
              <w:rPr>
                <w:rFonts w:hint="eastAsia"/>
              </w:rPr>
            </w:pPr>
            <w:r>
              <w:rPr>
                <w:rFonts w:hint="eastAsia"/>
              </w:rPr>
              <w:t>（2）参加采购活动前3年内担任供应商的董事、监事；</w:t>
            </w:r>
          </w:p>
          <w:p w14:paraId="6C590149">
            <w:pPr>
              <w:pStyle w:val="48"/>
              <w:rPr>
                <w:rFonts w:hint="eastAsia"/>
              </w:rPr>
            </w:pPr>
            <w:r>
              <w:rPr>
                <w:rFonts w:hint="eastAsia"/>
              </w:rPr>
              <w:t>（3）参加采购活动前3年内是供应商的控股股东或者实际控制人；</w:t>
            </w:r>
          </w:p>
          <w:p w14:paraId="7DBE3DB3">
            <w:pPr>
              <w:pStyle w:val="48"/>
              <w:rPr>
                <w:rFonts w:hint="eastAsia"/>
              </w:rPr>
            </w:pPr>
            <w:r>
              <w:rPr>
                <w:rFonts w:hint="eastAsia"/>
              </w:rPr>
              <w:t>（4）与供应商的法定代表人或者负责人有夫妻、直系血亲、三代以内旁系血亲或者近姻亲关系；</w:t>
            </w:r>
          </w:p>
          <w:p w14:paraId="3599E998">
            <w:pPr>
              <w:pStyle w:val="48"/>
              <w:rPr>
                <w:rFonts w:hint="eastAsia"/>
              </w:rPr>
            </w:pPr>
            <w:r>
              <w:rPr>
                <w:rFonts w:hint="eastAsia"/>
              </w:rPr>
              <w:t>（5）与供应商有其他可能影响政府采购活动公平、公正进行的关系。</w:t>
            </w:r>
          </w:p>
          <w:p w14:paraId="68D1E72A">
            <w:pPr>
              <w:pStyle w:val="48"/>
              <w:ind w:firstLine="480" w:firstLineChars="200"/>
              <w:rPr>
                <w:rFonts w:hint="eastAsia"/>
              </w:rPr>
            </w:pPr>
            <w:r>
              <w:rPr>
                <w:rFonts w:hint="eastAsia"/>
              </w:rPr>
              <w:t>在开标过程中，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开标过程中投标供应商未针对需要回避情形提出回避申请的，事后不得针对该问题提出质疑和投诉。</w:t>
            </w:r>
          </w:p>
        </w:tc>
      </w:tr>
      <w:tr w14:paraId="59E8376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2D6D52FF">
            <w:pPr>
              <w:pStyle w:val="48"/>
              <w:jc w:val="center"/>
              <w:rPr>
                <w:rFonts w:hint="eastAsia"/>
              </w:rPr>
            </w:pPr>
            <w:r>
              <w:t>26.3</w:t>
            </w:r>
          </w:p>
        </w:tc>
        <w:tc>
          <w:tcPr>
            <w:tcW w:w="1720" w:type="dxa"/>
            <w:vAlign w:val="center"/>
          </w:tcPr>
          <w:p w14:paraId="58028BDC">
            <w:pPr>
              <w:pStyle w:val="48"/>
              <w:rPr>
                <w:rFonts w:hint="eastAsia"/>
              </w:rPr>
            </w:pPr>
            <w:r>
              <w:rPr>
                <w:rFonts w:hint="eastAsia"/>
              </w:rPr>
              <w:t>解密投标文件的时限</w:t>
            </w:r>
          </w:p>
        </w:tc>
        <w:tc>
          <w:tcPr>
            <w:tcW w:w="5841" w:type="dxa"/>
            <w:vAlign w:val="center"/>
          </w:tcPr>
          <w:p w14:paraId="31E16B3C">
            <w:pPr>
              <w:pStyle w:val="48"/>
              <w:rPr>
                <w:rFonts w:hint="eastAsia"/>
              </w:rPr>
            </w:pPr>
            <w:r>
              <w:rPr>
                <w:rFonts w:hint="eastAsia"/>
                <w:u w:val="single"/>
              </w:rPr>
              <w:t>60</w:t>
            </w:r>
            <w:r>
              <w:rPr>
                <w:rFonts w:hint="eastAsia"/>
              </w:rPr>
              <w:t>分钟，若遇到系统异常情况，采购代理机构须经监督人员同意后可延长解密时间。投标供应商因自身原因未按规定解密投标文件的，承担相应责任。</w:t>
            </w:r>
          </w:p>
        </w:tc>
      </w:tr>
      <w:tr w14:paraId="5E59CAE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5DA35D33">
            <w:pPr>
              <w:pStyle w:val="48"/>
              <w:jc w:val="center"/>
              <w:rPr>
                <w:rFonts w:hint="eastAsia"/>
              </w:rPr>
            </w:pPr>
            <w:r>
              <w:t>30.2</w:t>
            </w:r>
          </w:p>
        </w:tc>
        <w:tc>
          <w:tcPr>
            <w:tcW w:w="1720" w:type="dxa"/>
            <w:vAlign w:val="center"/>
          </w:tcPr>
          <w:p w14:paraId="6563607B">
            <w:pPr>
              <w:pStyle w:val="48"/>
              <w:rPr>
                <w:rFonts w:hint="eastAsia"/>
              </w:rPr>
            </w:pPr>
            <w:r>
              <w:rPr>
                <w:rFonts w:hint="eastAsia"/>
              </w:rPr>
              <w:t>推荐中标候选人</w:t>
            </w:r>
          </w:p>
        </w:tc>
        <w:tc>
          <w:tcPr>
            <w:tcW w:w="5841" w:type="dxa"/>
            <w:vAlign w:val="center"/>
          </w:tcPr>
          <w:p w14:paraId="0739EC03">
            <w:pPr>
              <w:pStyle w:val="48"/>
              <w:rPr>
                <w:rFonts w:hint="eastAsia"/>
              </w:rPr>
            </w:pPr>
            <w:r>
              <w:rPr>
                <w:rFonts w:hint="eastAsia"/>
              </w:rPr>
              <w:t>中标候选人数量</w:t>
            </w:r>
            <w:r>
              <w:rPr>
                <w:rFonts w:hint="eastAsia"/>
                <w:u w:val="single"/>
              </w:rPr>
              <w:t xml:space="preserve"> 3</w:t>
            </w:r>
            <w:r>
              <w:rPr>
                <w:rFonts w:hint="eastAsia"/>
              </w:rPr>
              <w:t>家</w:t>
            </w:r>
          </w:p>
        </w:tc>
      </w:tr>
      <w:tr w14:paraId="600DB2F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4DE9D370">
            <w:pPr>
              <w:pStyle w:val="48"/>
              <w:jc w:val="center"/>
              <w:rPr>
                <w:rFonts w:hint="eastAsia"/>
              </w:rPr>
            </w:pPr>
            <w:r>
              <w:t>31.1</w:t>
            </w:r>
          </w:p>
        </w:tc>
        <w:tc>
          <w:tcPr>
            <w:tcW w:w="1720" w:type="dxa"/>
            <w:vAlign w:val="center"/>
          </w:tcPr>
          <w:p w14:paraId="3DCB3B84">
            <w:pPr>
              <w:pStyle w:val="48"/>
              <w:rPr>
                <w:rFonts w:hint="eastAsia"/>
              </w:rPr>
            </w:pPr>
            <w:r>
              <w:rPr>
                <w:rFonts w:hint="eastAsia"/>
              </w:rPr>
              <w:t>确定中标人</w:t>
            </w:r>
          </w:p>
        </w:tc>
        <w:tc>
          <w:tcPr>
            <w:tcW w:w="5841" w:type="dxa"/>
            <w:vAlign w:val="center"/>
          </w:tcPr>
          <w:p w14:paraId="4D0EADC9">
            <w:pPr>
              <w:pStyle w:val="48"/>
              <w:rPr>
                <w:rFonts w:hint="eastAsia"/>
              </w:rPr>
            </w:pPr>
            <w:r>
              <w:rPr>
                <w:rFonts w:hint="eastAsia"/>
              </w:rPr>
              <w:sym w:font="Wingdings" w:char="00FE"/>
            </w:r>
            <w:r>
              <w:rPr>
                <w:rFonts w:hint="eastAsia"/>
              </w:rPr>
              <w:t>采购人按评审报告中推荐的中标候选人排序确定中标人。</w:t>
            </w:r>
          </w:p>
          <w:p w14:paraId="755C6CB1">
            <w:pPr>
              <w:pStyle w:val="48"/>
              <w:rPr>
                <w:rFonts w:hint="eastAsia"/>
              </w:rPr>
            </w:pPr>
            <w:r>
              <w:rPr>
                <w:rFonts w:hint="eastAsia"/>
              </w:rPr>
              <w:sym w:font="Wingdings" w:char="00A8"/>
            </w:r>
            <w:r>
              <w:rPr>
                <w:rFonts w:hint="eastAsia"/>
              </w:rPr>
              <w:t>采购人委托评标委员会直接确定中标人。</w:t>
            </w:r>
          </w:p>
        </w:tc>
      </w:tr>
      <w:tr w14:paraId="3745F2A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52AFA7B3">
            <w:pPr>
              <w:pStyle w:val="48"/>
              <w:jc w:val="center"/>
              <w:rPr>
                <w:rFonts w:hint="eastAsia"/>
              </w:rPr>
            </w:pPr>
            <w:r>
              <w:t>32.1</w:t>
            </w:r>
          </w:p>
        </w:tc>
        <w:tc>
          <w:tcPr>
            <w:tcW w:w="1720" w:type="dxa"/>
            <w:vAlign w:val="center"/>
          </w:tcPr>
          <w:p w14:paraId="601BB39B">
            <w:pPr>
              <w:pStyle w:val="48"/>
              <w:rPr>
                <w:rFonts w:hint="eastAsia"/>
              </w:rPr>
            </w:pPr>
            <w:r>
              <w:rPr>
                <w:rFonts w:hint="eastAsia"/>
              </w:rPr>
              <w:t>中标结果公告</w:t>
            </w:r>
          </w:p>
        </w:tc>
        <w:tc>
          <w:tcPr>
            <w:tcW w:w="5841" w:type="dxa"/>
            <w:vAlign w:val="center"/>
          </w:tcPr>
          <w:p w14:paraId="1E8EAA50">
            <w:pPr>
              <w:pStyle w:val="48"/>
              <w:rPr>
                <w:rFonts w:hint="eastAsia"/>
              </w:rPr>
            </w:pPr>
            <w:r>
              <w:rPr>
                <w:rFonts w:hint="eastAsia"/>
              </w:rPr>
              <w:t>公告媒介：云南省政府采购网</w:t>
            </w:r>
          </w:p>
        </w:tc>
      </w:tr>
      <w:tr w14:paraId="3604426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2A6C3215">
            <w:pPr>
              <w:pStyle w:val="48"/>
              <w:jc w:val="center"/>
              <w:rPr>
                <w:rFonts w:hint="eastAsia"/>
              </w:rPr>
            </w:pPr>
            <w:r>
              <w:t>34.1</w:t>
            </w:r>
          </w:p>
        </w:tc>
        <w:tc>
          <w:tcPr>
            <w:tcW w:w="1720" w:type="dxa"/>
            <w:vAlign w:val="center"/>
          </w:tcPr>
          <w:p w14:paraId="467A9439">
            <w:pPr>
              <w:pStyle w:val="4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履约保证金</w:t>
            </w:r>
          </w:p>
        </w:tc>
        <w:tc>
          <w:tcPr>
            <w:tcW w:w="5841" w:type="dxa"/>
            <w:vAlign w:val="center"/>
          </w:tcPr>
          <w:p w14:paraId="09934EDC">
            <w:pPr>
              <w:pStyle w:val="4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sym w:font="Wingdings" w:char="00FE"/>
            </w:r>
            <w:r>
              <w:rPr>
                <w:rFonts w:hint="eastAsia"/>
                <w:color w:val="000000" w:themeColor="text1"/>
                <w14:textFill>
                  <w14:solidFill>
                    <w14:schemeClr w14:val="tx1"/>
                  </w14:solidFill>
                </w14:textFill>
              </w:rPr>
              <w:t>无</w:t>
            </w:r>
          </w:p>
          <w:p w14:paraId="72CA6916">
            <w:pPr>
              <w:shd w:val="clear" w:color="auto" w:fill="FFFFFF"/>
              <w:jc w:val="left"/>
              <w:rPr>
                <w:rFonts w:hint="eastAsia" w:ascii="仿宋" w:hAnsi="仿宋" w:eastAsia="仿宋" w:cs="仿宋"/>
                <w:color w:val="000000" w:themeColor="text1"/>
                <w:szCs w:val="21"/>
                <w14:textFill>
                  <w14:solidFill>
                    <w14:schemeClr w14:val="tx1"/>
                  </w14:solidFill>
                </w14:textFill>
              </w:rPr>
            </w:pPr>
            <w:r>
              <w:rPr>
                <w:rFonts w:hint="eastAsia"/>
                <w:color w:val="000000" w:themeColor="text1"/>
                <w14:textFill>
                  <w14:solidFill>
                    <w14:schemeClr w14:val="tx1"/>
                  </w14:solidFill>
                </w14:textFill>
              </w:rPr>
              <w:sym w:font="Wingdings" w:char="00A8"/>
            </w:r>
            <w:r>
              <w:rPr>
                <w:rFonts w:hint="eastAsia"/>
                <w:color w:val="000000" w:themeColor="text1"/>
                <w14:textFill>
                  <w14:solidFill>
                    <w14:schemeClr w14:val="tx1"/>
                  </w14:solidFill>
                </w14:textFill>
              </w:rPr>
              <w:t>有</w:t>
            </w:r>
          </w:p>
          <w:p w14:paraId="270865B7">
            <w:pPr>
              <w:pStyle w:val="48"/>
              <w:ind w:firstLine="720" w:firstLineChars="300"/>
              <w:rPr>
                <w:rFonts w:hint="default" w:eastAsia="宋体"/>
                <w:color w:val="000000" w:themeColor="text1"/>
                <w:lang w:val="en-US" w:eastAsia="zh-CN"/>
                <w14:textFill>
                  <w14:solidFill>
                    <w14:schemeClr w14:val="tx1"/>
                  </w14:solidFill>
                </w14:textFill>
              </w:rPr>
            </w:pPr>
            <w:r>
              <w:rPr>
                <w:rFonts w:hint="eastAsia" w:cs="宋体"/>
                <w:color w:val="000000" w:themeColor="text1"/>
                <w:szCs w:val="21"/>
                <w:lang w:val="en-US" w:eastAsia="zh-CN"/>
                <w14:textFill>
                  <w14:solidFill>
                    <w14:schemeClr w14:val="tx1"/>
                  </w14:solidFill>
                </w14:textFill>
              </w:rPr>
              <w:t>本项目不收取履约保证金。</w:t>
            </w:r>
          </w:p>
        </w:tc>
      </w:tr>
      <w:tr w14:paraId="37C32AE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3574CF67">
            <w:pPr>
              <w:pStyle w:val="48"/>
              <w:jc w:val="center"/>
              <w:rPr>
                <w:rFonts w:hint="eastAsia"/>
              </w:rPr>
            </w:pPr>
            <w:r>
              <w:t>39.1</w:t>
            </w:r>
          </w:p>
        </w:tc>
        <w:tc>
          <w:tcPr>
            <w:tcW w:w="1720" w:type="dxa"/>
            <w:vAlign w:val="center"/>
          </w:tcPr>
          <w:p w14:paraId="7AB3F340">
            <w:pPr>
              <w:pStyle w:val="48"/>
              <w:rPr>
                <w:rFonts w:hint="eastAsia"/>
              </w:rPr>
            </w:pPr>
            <w:r>
              <w:rPr>
                <w:rFonts w:hint="eastAsia"/>
              </w:rPr>
              <w:t>采购代理服务费收取方式和标准</w:t>
            </w:r>
          </w:p>
        </w:tc>
        <w:tc>
          <w:tcPr>
            <w:tcW w:w="5841" w:type="dxa"/>
            <w:vAlign w:val="center"/>
          </w:tcPr>
          <w:p w14:paraId="0046E0F6">
            <w:pPr>
              <w:pStyle w:val="48"/>
              <w:rPr>
                <w:rFonts w:hint="eastAsia"/>
              </w:rPr>
            </w:pPr>
            <w:r>
              <w:rPr>
                <w:rFonts w:hint="eastAsia"/>
              </w:rPr>
              <w:t>根据采购人和采购代理机构签署的委托代理协议书约定：</w:t>
            </w:r>
          </w:p>
          <w:p w14:paraId="3AC8E05E">
            <w:pPr>
              <w:pStyle w:val="48"/>
              <w:rPr>
                <w:rFonts w:hint="eastAsia"/>
              </w:rPr>
            </w:pPr>
            <w:r>
              <w:rPr>
                <w:rFonts w:hint="eastAsia"/>
              </w:rPr>
              <w:t>1</w:t>
            </w:r>
            <w:r>
              <w:t>.</w:t>
            </w:r>
            <w:r>
              <w:rPr>
                <w:rFonts w:hint="eastAsia"/>
              </w:rPr>
              <w:t>采购代理服务费：</w:t>
            </w:r>
            <w:r>
              <w:rPr>
                <w:rFonts w:hint="eastAsia"/>
              </w:rPr>
              <w:sym w:font="Wingdings" w:char="00A8"/>
            </w:r>
            <w:r>
              <w:rPr>
                <w:rFonts w:hint="eastAsia"/>
              </w:rPr>
              <w:t xml:space="preserve">由采购人支付 </w:t>
            </w:r>
            <w:r>
              <w:rPr>
                <w:rFonts w:hint="eastAsia"/>
              </w:rPr>
              <w:sym w:font="Wingdings" w:char="00FE"/>
            </w:r>
            <w:r>
              <w:rPr>
                <w:rFonts w:hint="eastAsia"/>
              </w:rPr>
              <w:t xml:space="preserve">由中标人支付 </w:t>
            </w:r>
          </w:p>
          <w:p w14:paraId="1EC5187A">
            <w:pPr>
              <w:pStyle w:val="48"/>
              <w:rPr>
                <w:rFonts w:hint="eastAsia"/>
                <w:color w:val="000000" w:themeColor="text1"/>
                <w14:textFill>
                  <w14:solidFill>
                    <w14:schemeClr w14:val="tx1"/>
                  </w14:solidFill>
                </w14:textFill>
              </w:rPr>
            </w:pPr>
            <w:r>
              <w:rPr>
                <w:rFonts w:hint="eastAsia"/>
              </w:rPr>
              <w:t>2.支付标准：</w:t>
            </w:r>
            <w:r>
              <w:rPr>
                <w:rFonts w:hint="eastAsia"/>
                <w:lang w:val="en-US" w:eastAsia="zh-CN"/>
              </w:rPr>
              <w:t>根据</w:t>
            </w:r>
            <w:r>
              <w:rPr>
                <w:rFonts w:hint="eastAsia"/>
                <w:color w:val="000000" w:themeColor="text1"/>
                <w14:textFill>
                  <w14:solidFill>
                    <w14:schemeClr w14:val="tx1"/>
                  </w14:solidFill>
                </w14:textFill>
              </w:rPr>
              <w:t>《云南省建设工程招标代理服务收费参考意见》（云建招协〔2024〕58号）服务类标准收取。</w:t>
            </w:r>
          </w:p>
          <w:p w14:paraId="319F187F">
            <w:pPr>
              <w:pStyle w:val="48"/>
              <w:rPr>
                <w:rFonts w:hint="eastAsia"/>
              </w:rPr>
            </w:pPr>
            <w:r>
              <w:drawing>
                <wp:inline distT="0" distB="0" distL="114300" distR="114300">
                  <wp:extent cx="3567430" cy="4657725"/>
                  <wp:effectExtent l="0" t="0" r="1397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3567430" cy="4657725"/>
                          </a:xfrm>
                          <a:prstGeom prst="rect">
                            <a:avLst/>
                          </a:prstGeom>
                          <a:noFill/>
                          <a:ln>
                            <a:noFill/>
                          </a:ln>
                        </pic:spPr>
                      </pic:pic>
                    </a:graphicData>
                  </a:graphic>
                </wp:inline>
              </w:drawing>
            </w:r>
          </w:p>
          <w:p w14:paraId="796EFDE2">
            <w:pPr>
              <w:pStyle w:val="48"/>
              <w:rPr>
                <w:rFonts w:hint="eastAsia"/>
              </w:rPr>
            </w:pPr>
            <w:r>
              <w:rPr>
                <w:rFonts w:hint="eastAsia"/>
              </w:rPr>
              <w:t>3.支付时间：领取中标通知书前</w:t>
            </w:r>
          </w:p>
          <w:p w14:paraId="13DF5897">
            <w:pPr>
              <w:pStyle w:val="48"/>
              <w:rPr>
                <w:rFonts w:hint="eastAsia"/>
              </w:rPr>
            </w:pPr>
            <w:r>
              <w:rPr>
                <w:rFonts w:hint="eastAsia"/>
              </w:rPr>
              <w:t>4.支付方式：不限</w:t>
            </w:r>
            <w:r>
              <w:t xml:space="preserve"> </w:t>
            </w:r>
            <w:r>
              <w:rPr>
                <w:rFonts w:hint="eastAsia"/>
              </w:rPr>
              <w:t>。</w:t>
            </w:r>
          </w:p>
        </w:tc>
      </w:tr>
      <w:tr w14:paraId="6990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0A4AA009">
            <w:pPr>
              <w:pStyle w:val="48"/>
              <w:jc w:val="center"/>
              <w:rPr>
                <w:rFonts w:hint="eastAsia"/>
              </w:rPr>
            </w:pPr>
            <w:r>
              <w:rPr>
                <w:rFonts w:hint="eastAsia"/>
              </w:rPr>
              <w:t>4</w:t>
            </w:r>
            <w:r>
              <w:t>2.1</w:t>
            </w:r>
          </w:p>
        </w:tc>
        <w:tc>
          <w:tcPr>
            <w:tcW w:w="1720" w:type="dxa"/>
            <w:vAlign w:val="center"/>
          </w:tcPr>
          <w:p w14:paraId="44669AD7">
            <w:pPr>
              <w:pStyle w:val="48"/>
              <w:rPr>
                <w:rFonts w:hint="eastAsia"/>
              </w:rPr>
            </w:pPr>
            <w:r>
              <w:rPr>
                <w:rFonts w:hint="eastAsia" w:cs="仿宋_GB2312"/>
                <w:lang w:val="zh-CN"/>
              </w:rPr>
              <w:t>是否接受进口产品</w:t>
            </w:r>
          </w:p>
        </w:tc>
        <w:tc>
          <w:tcPr>
            <w:tcW w:w="5841" w:type="dxa"/>
            <w:vAlign w:val="center"/>
          </w:tcPr>
          <w:p w14:paraId="28885E4C">
            <w:pPr>
              <w:pStyle w:val="48"/>
              <w:rPr>
                <w:rFonts w:hint="eastAsia" w:cs="仿宋_GB2312"/>
              </w:rPr>
            </w:pPr>
            <w:r>
              <w:rPr>
                <w:rFonts w:hint="eastAsia" w:cs="仿宋_GB2312"/>
              </w:rPr>
              <w:sym w:font="Wingdings" w:char="00FE"/>
            </w:r>
            <w:r>
              <w:rPr>
                <w:rFonts w:cs="仿宋_GB2312"/>
              </w:rPr>
              <w:t>不接受</w:t>
            </w:r>
          </w:p>
          <w:p w14:paraId="3B99353A">
            <w:pPr>
              <w:pStyle w:val="48"/>
              <w:rPr>
                <w:rFonts w:hint="eastAsia"/>
              </w:rPr>
            </w:pPr>
            <w:r>
              <w:rPr>
                <w:rFonts w:hint="eastAsia" w:cs="仿宋_GB2312"/>
              </w:rPr>
              <w:sym w:font="Wingdings" w:char="00A8"/>
            </w:r>
            <w:r>
              <w:rPr>
                <w:rFonts w:hint="eastAsia" w:cs="仿宋_GB2312"/>
                <w:lang w:val="zh-CN"/>
              </w:rPr>
              <w:t>接受</w:t>
            </w:r>
          </w:p>
        </w:tc>
      </w:tr>
      <w:tr w14:paraId="3D02A4B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60A3995C">
            <w:pPr>
              <w:pStyle w:val="48"/>
              <w:rPr>
                <w:rFonts w:hint="eastAsia"/>
              </w:rPr>
            </w:pPr>
            <w:r>
              <w:t>43.1</w:t>
            </w:r>
          </w:p>
        </w:tc>
        <w:tc>
          <w:tcPr>
            <w:tcW w:w="1720" w:type="dxa"/>
            <w:vAlign w:val="center"/>
          </w:tcPr>
          <w:p w14:paraId="4B1E5132">
            <w:pPr>
              <w:pStyle w:val="48"/>
              <w:rPr>
                <w:rFonts w:hint="eastAsia"/>
              </w:rPr>
            </w:pPr>
            <w:r>
              <w:rPr>
                <w:rFonts w:hint="eastAsia"/>
              </w:rPr>
              <w:t>支持中小企业政策</w:t>
            </w:r>
          </w:p>
        </w:tc>
        <w:tc>
          <w:tcPr>
            <w:tcW w:w="5841" w:type="dxa"/>
            <w:vAlign w:val="center"/>
          </w:tcPr>
          <w:p w14:paraId="39191358">
            <w:pPr>
              <w:pStyle w:val="48"/>
              <w:rPr>
                <w:rFonts w:hint="eastAsia"/>
              </w:rPr>
            </w:pPr>
            <w:r>
              <w:rPr>
                <w:rFonts w:hint="eastAsia"/>
              </w:rPr>
              <w:sym w:font="Wingdings" w:char="00A8"/>
            </w:r>
            <w:r>
              <w:rPr>
                <w:rFonts w:hint="eastAsia"/>
              </w:rPr>
              <w:t>非专门面向中小企业的项目</w:t>
            </w:r>
          </w:p>
          <w:p w14:paraId="480D7E9B">
            <w:pPr>
              <w:pStyle w:val="48"/>
              <w:rPr>
                <w:rFonts w:hint="eastAsia"/>
              </w:rPr>
            </w:pPr>
            <w:r>
              <w:rPr>
                <w:rFonts w:hint="eastAsia"/>
              </w:rPr>
              <w:t>1.对于未预留份额专门面向中小企业采购的采购项目，以及预留份额项目中的非预留部分采购包，对小微企业报价给予比例扣除，价格扣除比例为：</w:t>
            </w:r>
            <w:r>
              <w:rPr>
                <w:rFonts w:hint="eastAsia"/>
                <w:u w:val="single"/>
              </w:rPr>
              <w:t>10%</w:t>
            </w:r>
            <w:r>
              <w:rPr>
                <w:rFonts w:hint="eastAsia"/>
              </w:rPr>
              <w:t>（货物服务1</w:t>
            </w:r>
            <w:r>
              <w:t>0%-20%</w:t>
            </w:r>
            <w:r>
              <w:rPr>
                <w:rFonts w:hint="eastAsia"/>
              </w:rPr>
              <w:t>）；</w:t>
            </w:r>
          </w:p>
          <w:p w14:paraId="2E17885D">
            <w:pPr>
              <w:pStyle w:val="48"/>
              <w:rPr>
                <w:rFonts w:hint="eastAsia"/>
              </w:rPr>
            </w:pPr>
            <w:r>
              <w:rPr>
                <w:rFonts w:hint="eastAsia"/>
              </w:rPr>
              <w:t>2.接受大中型企业与小微企业组成联合体或者允许大中型企业向一家或者多家小微企业分包的采购项目，对于联合协议或者分包意向协议约定小微企业的合同份额占到合同总金额</w:t>
            </w:r>
            <w:r>
              <w:t>4</w:t>
            </w:r>
            <w:r>
              <w:rPr>
                <w:rFonts w:hint="eastAsia"/>
              </w:rPr>
              <w:t>0%以上的，对联合体或者大中型企业的报价给予比例扣除，价格扣除比例为：</w:t>
            </w:r>
            <w:r>
              <w:rPr>
                <w:rFonts w:hint="eastAsia"/>
                <w:u w:val="single"/>
              </w:rPr>
              <w:t>4%</w:t>
            </w:r>
            <w:r>
              <w:rPr>
                <w:rFonts w:hint="eastAsia"/>
              </w:rPr>
              <w:t>（货物服务</w:t>
            </w:r>
            <w:r>
              <w:t>4%-6%</w:t>
            </w:r>
            <w:r>
              <w:rPr>
                <w:rFonts w:hint="eastAsia"/>
              </w:rPr>
              <w:t>）；</w:t>
            </w:r>
          </w:p>
          <w:p w14:paraId="470FE455">
            <w:pPr>
              <w:pStyle w:val="48"/>
              <w:rPr>
                <w:rFonts w:hint="eastAsia"/>
              </w:rPr>
            </w:pPr>
            <w:r>
              <w:rPr>
                <w:rFonts w:hint="eastAsia"/>
              </w:rPr>
              <w:t>3</w:t>
            </w:r>
            <w:r>
              <w:t>.</w:t>
            </w:r>
            <w:r>
              <w:rPr>
                <w:rFonts w:hint="eastAsia"/>
              </w:rPr>
              <w:t>中小企业应当提供《中小企业声明函》（详见本招标文件第七章 响应文件格式），否则在评审时不享受上述评审优惠。</w:t>
            </w:r>
          </w:p>
          <w:p w14:paraId="6907419A">
            <w:pPr>
              <w:pStyle w:val="48"/>
              <w:rPr>
                <w:rFonts w:hint="eastAsia"/>
              </w:rPr>
            </w:pPr>
          </w:p>
          <w:p w14:paraId="64EFD7B5">
            <w:pPr>
              <w:pStyle w:val="48"/>
              <w:rPr>
                <w:rFonts w:hint="eastAsia"/>
              </w:rPr>
            </w:pPr>
            <w:r>
              <w:rPr>
                <w:rFonts w:hint="eastAsia"/>
              </w:rPr>
              <w:sym w:font="Wingdings" w:char="00FE"/>
            </w:r>
            <w:r>
              <w:rPr>
                <w:rFonts w:hint="eastAsia"/>
              </w:rPr>
              <w:t>专门面向中小企业的项目</w:t>
            </w:r>
          </w:p>
          <w:p w14:paraId="309E9FF7">
            <w:pPr>
              <w:pStyle w:val="48"/>
              <w:rPr>
                <w:rFonts w:hint="eastAsia"/>
              </w:rPr>
            </w:pPr>
            <w:r>
              <w:rPr>
                <w:rFonts w:hint="eastAsia"/>
              </w:rPr>
              <w:t>专门面向中小企业采购标的内容：</w:t>
            </w:r>
            <w:r>
              <w:rPr>
                <w:rFonts w:hint="eastAsia"/>
                <w:u w:val="single"/>
              </w:rPr>
              <w:t xml:space="preserve"> </w:t>
            </w:r>
            <w:r>
              <w:rPr>
                <w:rFonts w:hint="eastAsia"/>
                <w:u w:val="single"/>
                <w:lang w:val="hr-HR" w:eastAsia="zh-CN"/>
              </w:rPr>
              <w:t>二街镇生活垃圾清运服务项目</w:t>
            </w:r>
            <w:r>
              <w:rPr>
                <w:u w:val="single"/>
              </w:rPr>
              <w:t xml:space="preserve"> </w:t>
            </w:r>
            <w:r>
              <w:rPr>
                <w:rFonts w:hint="eastAsia"/>
              </w:rPr>
              <w:t>。</w:t>
            </w:r>
          </w:p>
          <w:p w14:paraId="642A7E31">
            <w:pPr>
              <w:pStyle w:val="48"/>
              <w:rPr>
                <w:rFonts w:hint="eastAsia"/>
              </w:rPr>
            </w:pPr>
            <w:r>
              <w:rPr>
                <w:rFonts w:hint="eastAsia"/>
              </w:rPr>
              <w:t>专门面向中小企业采购预算金额：</w:t>
            </w:r>
            <w:r>
              <w:rPr>
                <w:rFonts w:hint="eastAsia"/>
                <w:u w:val="single"/>
              </w:rPr>
              <w:t xml:space="preserve"> </w:t>
            </w:r>
            <w:r>
              <w:rPr>
                <w:rFonts w:hint="eastAsia"/>
                <w:u w:val="single"/>
                <w:lang w:val="en-US" w:eastAsia="zh-CN"/>
              </w:rPr>
              <w:t>127.117138万元</w:t>
            </w:r>
            <w:r>
              <w:rPr>
                <w:u w:val="single"/>
              </w:rPr>
              <w:t xml:space="preserve"> </w:t>
            </w:r>
            <w:r>
              <w:rPr>
                <w:rFonts w:hint="eastAsia"/>
              </w:rPr>
              <w:t>。</w:t>
            </w:r>
          </w:p>
        </w:tc>
      </w:tr>
      <w:tr w14:paraId="7FBFA8E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58FD32FA">
            <w:pPr>
              <w:pStyle w:val="48"/>
              <w:rPr>
                <w:rFonts w:hint="eastAsia"/>
              </w:rPr>
            </w:pPr>
            <w:r>
              <w:rPr>
                <w:rFonts w:hint="eastAsia"/>
              </w:rPr>
              <w:t>4</w:t>
            </w:r>
            <w:r>
              <w:t>4.1</w:t>
            </w:r>
          </w:p>
        </w:tc>
        <w:tc>
          <w:tcPr>
            <w:tcW w:w="1720" w:type="dxa"/>
            <w:vAlign w:val="center"/>
          </w:tcPr>
          <w:p w14:paraId="01B1EE75">
            <w:pPr>
              <w:pStyle w:val="48"/>
              <w:rPr>
                <w:rFonts w:hint="eastAsia"/>
              </w:rPr>
            </w:pPr>
            <w:r>
              <w:rPr>
                <w:rFonts w:hint="eastAsia"/>
                <w:snapToGrid w:val="0"/>
              </w:rPr>
              <w:t>优先采购创新节能环保产品</w:t>
            </w:r>
          </w:p>
        </w:tc>
        <w:tc>
          <w:tcPr>
            <w:tcW w:w="5841" w:type="dxa"/>
            <w:vAlign w:val="center"/>
          </w:tcPr>
          <w:p w14:paraId="0A775A12">
            <w:pPr>
              <w:pStyle w:val="48"/>
              <w:rPr>
                <w:rFonts w:hint="eastAsia"/>
              </w:rPr>
            </w:pPr>
            <w:r>
              <w:rPr>
                <w:rFonts w:hint="eastAsia"/>
              </w:rPr>
              <w:t>所投产品纳入创新产品应用示范推荐目录内企业、所投产品获得节能产品或环境标志产品认证证书的企业报价给予</w:t>
            </w:r>
            <w:r>
              <w:rPr>
                <w:rFonts w:hint="eastAsia"/>
                <w:u w:val="single"/>
              </w:rPr>
              <w:t xml:space="preserve"> </w:t>
            </w:r>
            <w:r>
              <w:rPr>
                <w:u w:val="single"/>
              </w:rPr>
              <w:t xml:space="preserve"> </w:t>
            </w:r>
            <w:r>
              <w:rPr>
                <w:rFonts w:hint="eastAsia"/>
                <w:u w:val="single"/>
              </w:rPr>
              <w:t>1%</w:t>
            </w:r>
            <w:r>
              <w:rPr>
                <w:u w:val="single"/>
              </w:rPr>
              <w:t xml:space="preserve">  </w:t>
            </w:r>
            <w:r>
              <w:t>的价格扣除</w:t>
            </w:r>
            <w:r>
              <w:rPr>
                <w:rFonts w:hint="eastAsia"/>
              </w:rPr>
              <w:t>。</w:t>
            </w:r>
          </w:p>
          <w:p w14:paraId="6819A776">
            <w:pPr>
              <w:pStyle w:val="48"/>
              <w:rPr>
                <w:rFonts w:hint="eastAsia"/>
              </w:rPr>
            </w:pPr>
            <w:r>
              <w:rPr>
                <w:rFonts w:hint="eastAsia"/>
              </w:rPr>
              <w:t>本采购项目不涉及。</w:t>
            </w:r>
          </w:p>
        </w:tc>
      </w:tr>
      <w:tr w14:paraId="6A7A471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right w:val="single" w:color="auto" w:sz="4" w:space="0"/>
            </w:tcBorders>
            <w:vAlign w:val="center"/>
          </w:tcPr>
          <w:p w14:paraId="38A6CFB3">
            <w:pPr>
              <w:pStyle w:val="48"/>
              <w:jc w:val="center"/>
              <w:rPr>
                <w:rFonts w:hint="eastAsia"/>
              </w:rPr>
            </w:pPr>
            <w:r>
              <w:rPr>
                <w:rFonts w:hint="eastAsia"/>
              </w:rPr>
              <w:t>4</w:t>
            </w:r>
            <w:r>
              <w:t>5.1</w:t>
            </w:r>
          </w:p>
        </w:tc>
        <w:tc>
          <w:tcPr>
            <w:tcW w:w="1720" w:type="dxa"/>
            <w:tcBorders>
              <w:left w:val="single" w:color="auto" w:sz="4" w:space="0"/>
              <w:right w:val="single" w:color="auto" w:sz="4" w:space="0"/>
            </w:tcBorders>
            <w:vAlign w:val="center"/>
          </w:tcPr>
          <w:p w14:paraId="019A657C">
            <w:pPr>
              <w:pStyle w:val="48"/>
              <w:rPr>
                <w:rFonts w:hint="eastAsia"/>
              </w:rPr>
            </w:pPr>
            <w:r>
              <w:rPr>
                <w:rFonts w:hint="eastAsia"/>
              </w:rPr>
              <w:t>政府采购</w:t>
            </w:r>
          </w:p>
          <w:p w14:paraId="7CB6BBBE">
            <w:pPr>
              <w:pStyle w:val="48"/>
              <w:rPr>
                <w:rFonts w:hint="eastAsia"/>
              </w:rPr>
            </w:pPr>
            <w:r>
              <w:rPr>
                <w:rFonts w:hint="eastAsia"/>
              </w:rPr>
              <w:t>合同融资政策</w:t>
            </w:r>
          </w:p>
        </w:tc>
        <w:tc>
          <w:tcPr>
            <w:tcW w:w="5841" w:type="dxa"/>
            <w:tcBorders>
              <w:left w:val="single" w:color="auto" w:sz="4" w:space="0"/>
            </w:tcBorders>
            <w:vAlign w:val="center"/>
          </w:tcPr>
          <w:p w14:paraId="40720681">
            <w:pPr>
              <w:pStyle w:val="48"/>
              <w:rPr>
                <w:rFonts w:hint="eastAsia"/>
              </w:rPr>
            </w:pPr>
            <w:r>
              <w:rPr>
                <w:rFonts w:hint="eastAsia"/>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47170101">
            <w:pPr>
              <w:pStyle w:val="48"/>
              <w:rPr>
                <w:rFonts w:hint="eastAsia"/>
              </w:rPr>
            </w:pPr>
            <w:r>
              <w:rPr>
                <w:rFonts w:hint="eastAsia"/>
              </w:rPr>
              <w:t>渠道和方式：中标供应商可联系昆明市晋宁区财政局咨询有关业务，联系电话0871-67896932。</w:t>
            </w:r>
          </w:p>
        </w:tc>
      </w:tr>
      <w:tr w14:paraId="7DB37AF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right w:val="single" w:color="auto" w:sz="4" w:space="0"/>
            </w:tcBorders>
            <w:vAlign w:val="center"/>
          </w:tcPr>
          <w:p w14:paraId="1CE888FC">
            <w:pPr>
              <w:pStyle w:val="48"/>
              <w:jc w:val="center"/>
              <w:rPr>
                <w:rFonts w:hint="eastAsia"/>
              </w:rPr>
            </w:pPr>
            <w:r>
              <w:rPr>
                <w:rFonts w:hint="eastAsia"/>
              </w:rPr>
              <w:t>4</w:t>
            </w:r>
            <w:r>
              <w:t>6.1</w:t>
            </w:r>
          </w:p>
        </w:tc>
        <w:tc>
          <w:tcPr>
            <w:tcW w:w="1720" w:type="dxa"/>
            <w:tcBorders>
              <w:right w:val="single" w:color="auto" w:sz="4" w:space="0"/>
            </w:tcBorders>
            <w:vAlign w:val="center"/>
          </w:tcPr>
          <w:p w14:paraId="130F68DF">
            <w:pPr>
              <w:pStyle w:val="48"/>
              <w:rPr>
                <w:rFonts w:hint="eastAsia"/>
              </w:rPr>
            </w:pPr>
            <w:r>
              <w:rPr>
                <w:rFonts w:hint="eastAsia"/>
              </w:rPr>
              <w:t>需要补充的其他内容</w:t>
            </w:r>
          </w:p>
        </w:tc>
        <w:tc>
          <w:tcPr>
            <w:tcW w:w="5841" w:type="dxa"/>
            <w:tcBorders>
              <w:left w:val="single" w:color="auto" w:sz="4" w:space="0"/>
            </w:tcBorders>
            <w:vAlign w:val="center"/>
          </w:tcPr>
          <w:p w14:paraId="6B255A31">
            <w:pPr>
              <w:pStyle w:val="48"/>
              <w:rPr>
                <w:rFonts w:hint="eastAsia"/>
              </w:rPr>
            </w:pPr>
            <w:r>
              <w:rPr>
                <w:rFonts w:hint="eastAsia"/>
              </w:rPr>
              <w:t>1.</w:t>
            </w:r>
            <w:r>
              <w:t>合同签订前，中标单位必须在</w:t>
            </w:r>
            <w:r>
              <w:rPr>
                <w:rFonts w:hint="eastAsia"/>
              </w:rPr>
              <w:t>政采云网</w:t>
            </w:r>
            <w:r>
              <w:t>上完成供应商注册，以方便合同备案。</w:t>
            </w:r>
          </w:p>
          <w:p w14:paraId="3021C98A">
            <w:pPr>
              <w:pStyle w:val="48"/>
              <w:rPr>
                <w:rFonts w:hint="eastAsia"/>
              </w:rPr>
            </w:pPr>
            <w:r>
              <w:rPr>
                <w:rFonts w:hint="eastAsia"/>
              </w:rPr>
              <w:t>2.本采购项目不收取投标保证金。</w:t>
            </w:r>
          </w:p>
          <w:p w14:paraId="6CDE24A8">
            <w:pPr>
              <w:pStyle w:val="48"/>
              <w:rPr>
                <w:rFonts w:hint="eastAsia"/>
                <w:b/>
                <w:bCs/>
                <w:color w:val="000000" w:themeColor="text1"/>
                <w:u w:val="single"/>
                <w14:textFill>
                  <w14:solidFill>
                    <w14:schemeClr w14:val="tx1"/>
                  </w14:solidFill>
                </w14:textFill>
              </w:rPr>
            </w:pPr>
            <w:r>
              <w:rPr>
                <w:rFonts w:hint="eastAsia"/>
              </w:rPr>
              <w:t>3.</w:t>
            </w:r>
            <w:r>
              <w:rPr>
                <w:rFonts w:hint="eastAsia"/>
                <w:color w:val="000000" w:themeColor="text1"/>
                <w14:textFill>
                  <w14:solidFill>
                    <w14:schemeClr w14:val="tx1"/>
                  </w14:solidFill>
                </w14:textFill>
              </w:rPr>
              <w:t>本项目标的行业划分为：</w:t>
            </w:r>
            <w:r>
              <w:rPr>
                <w:rFonts w:hint="eastAsia"/>
                <w:color w:val="000000" w:themeColor="text1"/>
                <w:u w:val="single"/>
                <w14:textFill>
                  <w14:solidFill>
                    <w14:schemeClr w14:val="tx1"/>
                  </w14:solidFill>
                </w14:textFill>
              </w:rPr>
              <w:t>其他未列明行业</w:t>
            </w:r>
            <w:r>
              <w:rPr>
                <w:rFonts w:hint="eastAsia"/>
                <w:b/>
                <w:bCs/>
                <w:color w:val="000000" w:themeColor="text1"/>
                <w:u w:val="single"/>
                <w14:textFill>
                  <w14:solidFill>
                    <w14:schemeClr w14:val="tx1"/>
                  </w14:solidFill>
                </w14:textFill>
              </w:rPr>
              <w:t xml:space="preserve"> </w:t>
            </w:r>
          </w:p>
          <w:p w14:paraId="1E595613">
            <w:pPr>
              <w:pStyle w:val="48"/>
              <w:rPr>
                <w:rFonts w:hint="eastAsia"/>
                <w:b/>
                <w:bCs/>
                <w:color w:val="FF0000"/>
                <w:u w:val="single"/>
              </w:rPr>
            </w:pPr>
            <w:r>
              <w:rPr>
                <w:rFonts w:hint="eastAsia"/>
                <w:color w:val="000000" w:themeColor="text1"/>
                <w14:textFill>
                  <w14:solidFill>
                    <w14:schemeClr w14:val="tx1"/>
                  </w14:solidFill>
                </w14:textFill>
              </w:rPr>
              <w:t>4.本项目评标委员会组成：由采购人代表和云南省政府采购评标专家库随机抽取的评标专家组成，评标专家占比不低于三分之二。</w:t>
            </w:r>
          </w:p>
        </w:tc>
      </w:tr>
      <w:tr w14:paraId="2A0BEA9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8531" w:type="dxa"/>
            <w:gridSpan w:val="3"/>
            <w:vAlign w:val="center"/>
          </w:tcPr>
          <w:p w14:paraId="0F7854F0">
            <w:pPr>
              <w:pStyle w:val="48"/>
              <w:rPr>
                <w:rFonts w:hint="eastAsia"/>
              </w:rPr>
            </w:pPr>
            <w:r>
              <w:t xml:space="preserve">1. </w:t>
            </w:r>
            <w:r>
              <w:rPr>
                <w:rFonts w:hint="eastAsia"/>
              </w:rPr>
              <w:t>除本招标文件另有规定外，招标文件中出现的类似于“近三年”或“前三年”、“近五年”或“前五年”均指递交投标文件时间以前三</w:t>
            </w:r>
            <w:r>
              <w:t>年或前</w:t>
            </w:r>
            <w:r>
              <w:rPr>
                <w:rFonts w:hint="eastAsia"/>
              </w:rPr>
              <w:t>五</w:t>
            </w:r>
            <w:r>
              <w:t xml:space="preserve">年，以此类推。如：递交投标文件时间为  </w:t>
            </w:r>
            <w:r>
              <w:rPr>
                <w:rFonts w:hint="eastAsia"/>
              </w:rPr>
              <w:t>年</w:t>
            </w:r>
            <w:r>
              <w:t xml:space="preserve">  </w:t>
            </w:r>
            <w:r>
              <w:rPr>
                <w:rFonts w:hint="eastAsia"/>
              </w:rPr>
              <w:t>月</w:t>
            </w:r>
            <w:r>
              <w:t xml:space="preserve">  </w:t>
            </w:r>
            <w:r>
              <w:rPr>
                <w:rFonts w:hint="eastAsia"/>
              </w:rPr>
              <w:t>日，则“近三年”是指</w:t>
            </w:r>
            <w:r>
              <w:t xml:space="preserve">  </w:t>
            </w:r>
            <w:r>
              <w:rPr>
                <w:rFonts w:hint="eastAsia"/>
              </w:rPr>
              <w:t>年</w:t>
            </w:r>
            <w:r>
              <w:t xml:space="preserve">  </w:t>
            </w:r>
            <w:r>
              <w:rPr>
                <w:rFonts w:hint="eastAsia"/>
              </w:rPr>
              <w:t>月</w:t>
            </w:r>
            <w:r>
              <w:t xml:space="preserve">  </w:t>
            </w:r>
            <w:r>
              <w:rPr>
                <w:rFonts w:hint="eastAsia"/>
              </w:rPr>
              <w:t>日至</w:t>
            </w:r>
            <w:r>
              <w:t xml:space="preserve">  </w:t>
            </w:r>
            <w:r>
              <w:rPr>
                <w:rFonts w:hint="eastAsia"/>
              </w:rPr>
              <w:t>年</w:t>
            </w:r>
            <w:r>
              <w:t xml:space="preserve">  </w:t>
            </w:r>
            <w:r>
              <w:rPr>
                <w:rFonts w:hint="eastAsia"/>
              </w:rPr>
              <w:t>月</w:t>
            </w:r>
            <w:r>
              <w:t xml:space="preserve">  </w:t>
            </w:r>
            <w:r>
              <w:rPr>
                <w:rFonts w:hint="eastAsia"/>
              </w:rPr>
              <w:t>日。</w:t>
            </w:r>
          </w:p>
          <w:p w14:paraId="2C35FF41">
            <w:pPr>
              <w:pStyle w:val="48"/>
              <w:rPr>
                <w:rFonts w:hint="eastAsia"/>
              </w:rPr>
            </w:pPr>
            <w:r>
              <w:t xml:space="preserve">2. </w:t>
            </w:r>
            <w:r>
              <w:rPr>
                <w:rFonts w:hint="eastAsia"/>
              </w:rPr>
              <w:t>本招标文件所称的“以上”、“以下”、“内”、“以内”，包括本数；所称的“不足”，不包括本数。</w:t>
            </w:r>
          </w:p>
          <w:p w14:paraId="6D269D1E">
            <w:pPr>
              <w:pStyle w:val="48"/>
              <w:rPr>
                <w:rFonts w:hint="eastAsia"/>
              </w:rPr>
            </w:pPr>
            <w:r>
              <w:t xml:space="preserve">3. </w:t>
            </w:r>
            <w:r>
              <w:rPr>
                <w:rFonts w:hint="eastAsia"/>
              </w:rPr>
              <w:t>投标供应商须知前附表中，“</w:t>
            </w:r>
            <w:r>
              <w:rPr/>
              <w:sym w:font="Wingdings" w:char="00FE"/>
            </w:r>
            <w:r>
              <w:rPr>
                <w:rFonts w:hint="eastAsia"/>
              </w:rPr>
              <w:t>”代表选中，“</w:t>
            </w:r>
            <w:r>
              <w:rPr/>
              <w:sym w:font="Wingdings" w:char="00A8"/>
            </w:r>
            <w:r>
              <w:rPr>
                <w:rFonts w:hint="eastAsia"/>
              </w:rPr>
              <w:t>”代表未选中。</w:t>
            </w:r>
          </w:p>
        </w:tc>
      </w:tr>
    </w:tbl>
    <w:p w14:paraId="43688D6A">
      <w:pPr>
        <w:rPr>
          <w:rFonts w:hint="eastAsia"/>
        </w:rPr>
      </w:pPr>
      <w:r>
        <w:br w:type="page"/>
      </w:r>
    </w:p>
    <w:p w14:paraId="75976200">
      <w:pPr>
        <w:rPr>
          <w:rFonts w:hint="eastAsia"/>
          <w:b/>
          <w:bCs/>
        </w:rPr>
      </w:pPr>
      <w:r>
        <w:rPr>
          <w:rFonts w:hint="eastAsia"/>
          <w:b/>
          <w:bCs/>
        </w:rPr>
        <w:t>附件：</w:t>
      </w:r>
    </w:p>
    <w:p w14:paraId="21B32885">
      <w:pPr>
        <w:widowControl/>
        <w:shd w:val="clear" w:color="auto" w:fill="FFFFFF"/>
        <w:spacing w:before="100" w:beforeAutospacing="1" w:after="100" w:afterAutospacing="1"/>
        <w:jc w:val="center"/>
        <w:rPr>
          <w:rFonts w:hint="eastAsia" w:cs="宋体"/>
          <w:sz w:val="21"/>
          <w:szCs w:val="21"/>
        </w:rPr>
      </w:pPr>
      <w:r>
        <w:rPr>
          <w:rFonts w:hint="eastAsia" w:cs="宋体"/>
          <w:b/>
          <w:bCs/>
          <w:sz w:val="28"/>
          <w:szCs w:val="28"/>
        </w:rPr>
        <w:t>中小企业划型标准规定</w:t>
      </w:r>
    </w:p>
    <w:p w14:paraId="750D3B3C">
      <w:pPr>
        <w:pStyle w:val="36"/>
        <w:rPr>
          <w:rFonts w:hint="eastAsia"/>
        </w:rPr>
      </w:pPr>
      <w:r>
        <w:rPr>
          <w:rFonts w:hint="eastAsia"/>
        </w:rPr>
        <w:t>一、根据《中华人民共和国中小企业促进法》和《国务院关于进一步促进中小企业发展的若干意见》(国发〔2009〕36号)，制定本规定。</w:t>
      </w:r>
    </w:p>
    <w:p w14:paraId="62085077">
      <w:pPr>
        <w:pStyle w:val="36"/>
        <w:rPr>
          <w:rFonts w:hint="eastAsia"/>
        </w:rPr>
      </w:pPr>
      <w:r>
        <w:rPr>
          <w:rFonts w:hint="eastAsia"/>
        </w:rPr>
        <w:t>二、中小企业划分为中型、小型、微型三种类型，具体标准根据企业从业人员、营业收入、资产总额等指标，结合行业特点制定。</w:t>
      </w:r>
    </w:p>
    <w:p w14:paraId="3A907D5E">
      <w:pPr>
        <w:pStyle w:val="36"/>
        <w:rPr>
          <w:rFonts w:hint="eastAsia"/>
        </w:rPr>
      </w:pPr>
      <w:r>
        <w:rPr>
          <w:rFonts w:hint="eastAsia"/>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7592D6C">
      <w:pPr>
        <w:pStyle w:val="36"/>
        <w:rPr>
          <w:rFonts w:hint="eastAsia"/>
        </w:rPr>
      </w:pPr>
      <w:r>
        <w:rPr>
          <w:rFonts w:hint="eastAsia"/>
        </w:rPr>
        <w:t>四、各行业划型标准为：</w:t>
      </w:r>
    </w:p>
    <w:p w14:paraId="12D0DD6B">
      <w:pPr>
        <w:pStyle w:val="36"/>
        <w:rPr>
          <w:rFonts w:hint="eastAsia"/>
        </w:rPr>
      </w:pPr>
      <w:r>
        <w:rPr>
          <w:rFonts w:hint="eastAsia"/>
        </w:rPr>
        <w:t>（一）农、林、牧、渔业。营业收入20000万元以下的为中小微型企业。其中，营业收入500万元及以上的为中型企业，营业收入50万元及以上的为小型企业，营业收入50万元以下的为微型企业。</w:t>
      </w:r>
    </w:p>
    <w:p w14:paraId="590D9CC5">
      <w:pPr>
        <w:pStyle w:val="36"/>
        <w:rPr>
          <w:rFonts w:hint="eastAsia"/>
        </w:rPr>
      </w:pPr>
      <w:r>
        <w:rPr>
          <w:rFonts w:hint="eastAsi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4368701">
      <w:pPr>
        <w:pStyle w:val="36"/>
        <w:rPr>
          <w:rFonts w:hint="eastAsia"/>
        </w:rPr>
      </w:pPr>
      <w:r>
        <w:rPr>
          <w:rFonts w:hint="eastAsi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452B345">
      <w:pPr>
        <w:pStyle w:val="36"/>
        <w:rPr>
          <w:rFonts w:hint="eastAsia"/>
        </w:rPr>
      </w:pPr>
      <w:r>
        <w:rPr>
          <w:rFonts w:hint="eastAsi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77C65BB">
      <w:pPr>
        <w:pStyle w:val="36"/>
        <w:rPr>
          <w:rFonts w:hint="eastAsia"/>
        </w:rPr>
      </w:pPr>
      <w:r>
        <w:rPr>
          <w:rFonts w:hint="eastAsi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AACBBCF">
      <w:pPr>
        <w:pStyle w:val="36"/>
        <w:rPr>
          <w:rFonts w:hint="eastAsia"/>
        </w:rPr>
      </w:pPr>
      <w:r>
        <w:rPr>
          <w:rFonts w:hint="eastAsi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79E68BC">
      <w:pPr>
        <w:pStyle w:val="36"/>
        <w:rPr>
          <w:rFonts w:hint="eastAsia"/>
        </w:rPr>
      </w:pPr>
      <w:r>
        <w:rPr>
          <w:rFonts w:hint="eastAsi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9036CEB">
      <w:pPr>
        <w:pStyle w:val="36"/>
        <w:rPr>
          <w:rFonts w:hint="eastAsia"/>
        </w:rPr>
      </w:pPr>
      <w:r>
        <w:rPr>
          <w:rFonts w:hint="eastAsi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4A254C1">
      <w:pPr>
        <w:pStyle w:val="36"/>
        <w:rPr>
          <w:rFonts w:hint="eastAsia"/>
        </w:rPr>
      </w:pPr>
      <w:r>
        <w:rPr>
          <w:rFonts w:hint="eastAsi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4ED7265">
      <w:pPr>
        <w:pStyle w:val="36"/>
        <w:rPr>
          <w:rFonts w:hint="eastAsia"/>
        </w:rPr>
      </w:pPr>
      <w:r>
        <w:rPr>
          <w:rFonts w:hint="eastAsi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E2A576F">
      <w:pPr>
        <w:pStyle w:val="36"/>
        <w:rPr>
          <w:rFonts w:hint="eastAsia"/>
        </w:rPr>
      </w:pPr>
      <w:r>
        <w:rPr>
          <w:rFonts w:hint="eastAsi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EE76E68">
      <w:pPr>
        <w:pStyle w:val="36"/>
        <w:rPr>
          <w:rFonts w:hint="eastAsia"/>
        </w:rPr>
      </w:pPr>
      <w:r>
        <w:rPr>
          <w:rFonts w:hint="eastAsi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9B272ED">
      <w:pPr>
        <w:pStyle w:val="36"/>
        <w:rPr>
          <w:rFonts w:hint="eastAsia"/>
        </w:rPr>
      </w:pPr>
      <w:r>
        <w:rPr>
          <w:rFonts w:hint="eastAsi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05D7F93">
      <w:pPr>
        <w:pStyle w:val="36"/>
        <w:rPr>
          <w:rFonts w:hint="eastAsia"/>
        </w:rPr>
      </w:pPr>
      <w:r>
        <w:rPr>
          <w:rFonts w:hint="eastAsi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02C5E85">
      <w:pPr>
        <w:pStyle w:val="36"/>
        <w:rPr>
          <w:rFonts w:hint="eastAsia"/>
        </w:rPr>
      </w:pPr>
      <w:r>
        <w:rPr>
          <w:rFonts w:hint="eastAsi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D8102F7">
      <w:pPr>
        <w:pStyle w:val="36"/>
        <w:rPr>
          <w:rFonts w:hint="eastAsia"/>
        </w:rPr>
      </w:pPr>
      <w:r>
        <w:rPr>
          <w:rFonts w:hint="eastAsia"/>
        </w:rPr>
        <w:t>（十六）其他未列明行业。从业人员300人以下的为中小微型企业。其中，从业人员100人及以上的为中型企业；从业人员10人及以上的为小型企业；从业人员10人以下的为微型企业。</w:t>
      </w:r>
    </w:p>
    <w:p w14:paraId="5720F6F6">
      <w:pPr>
        <w:pStyle w:val="36"/>
        <w:rPr>
          <w:rFonts w:hint="eastAsia"/>
        </w:rPr>
      </w:pPr>
      <w:r>
        <w:rPr>
          <w:rFonts w:hint="eastAsia"/>
        </w:rPr>
        <w:t>五、企业类型的划分以统计部门的统计数据为依据。</w:t>
      </w:r>
    </w:p>
    <w:p w14:paraId="16F54526">
      <w:pPr>
        <w:pStyle w:val="36"/>
        <w:rPr>
          <w:rFonts w:hint="eastAsia"/>
        </w:rPr>
      </w:pPr>
      <w:r>
        <w:rPr>
          <w:rFonts w:hint="eastAsia"/>
        </w:rPr>
        <w:t>六、本规定适用于在中华人民共和国境内依法设立的各类所有制和各种组织形式的企业。个体工商户和本规定以外的行业，参照本规定进行划型。</w:t>
      </w:r>
    </w:p>
    <w:p w14:paraId="3AC2DCAC">
      <w:pPr>
        <w:pStyle w:val="36"/>
        <w:rPr>
          <w:rFonts w:hint="eastAsia"/>
        </w:rPr>
      </w:pPr>
      <w:r>
        <w:rPr>
          <w:rFonts w:hint="eastAsia"/>
        </w:rPr>
        <w:t>七、本规定的中型企业标准上限即为大型企业标准的下限，国家统计部门据此制定大中小微型企业的统计分类。国务院有关部门据此进行相关数据分析，不得制定与本规定不一致的企业划型标准。</w:t>
      </w:r>
    </w:p>
    <w:p w14:paraId="0BBDEAB6">
      <w:pPr>
        <w:pStyle w:val="36"/>
        <w:rPr>
          <w:rFonts w:hint="eastAsia"/>
        </w:rPr>
      </w:pPr>
      <w:r>
        <w:rPr>
          <w:rFonts w:hint="eastAsia"/>
        </w:rPr>
        <w:t>八、本规定由工业和信息化部、国家统计局会同有关部门根据《国民经济行业分类》修订情况和企业发展变化情况适时修订。</w:t>
      </w:r>
    </w:p>
    <w:p w14:paraId="27139A95">
      <w:pPr>
        <w:pStyle w:val="36"/>
        <w:rPr>
          <w:rFonts w:hint="eastAsia"/>
        </w:rPr>
      </w:pPr>
      <w:r>
        <w:rPr>
          <w:rFonts w:hint="eastAsia"/>
        </w:rPr>
        <w:t>九、本规定由工业和信息化部、国家统计局会同有关部门负责解释。</w:t>
      </w:r>
    </w:p>
    <w:p w14:paraId="268EF278">
      <w:pPr>
        <w:pStyle w:val="36"/>
        <w:rPr>
          <w:rFonts w:hint="eastAsia"/>
        </w:rPr>
      </w:pPr>
      <w:r>
        <w:rPr>
          <w:rFonts w:hint="eastAsia"/>
        </w:rPr>
        <w:t>十、本规定自发布之日起执行，原国家经贸委、原国家计委、财政部和国家统计局2003年颁布的《中小企业标准暂行规定》同时废止。</w:t>
      </w:r>
    </w:p>
    <w:p w14:paraId="6D5383FB">
      <w:pPr>
        <w:rPr>
          <w:rFonts w:hint="eastAsia"/>
        </w:rPr>
      </w:pPr>
      <w:r>
        <w:br w:type="page"/>
      </w:r>
    </w:p>
    <w:p w14:paraId="4A335E59">
      <w:pPr>
        <w:pStyle w:val="4"/>
        <w:numPr>
          <w:ilvl w:val="0"/>
          <w:numId w:val="7"/>
        </w:numPr>
        <w:rPr>
          <w:rFonts w:hint="eastAsia"/>
        </w:rPr>
      </w:pPr>
      <w:bookmarkStart w:id="78" w:name="_Toc155185869"/>
      <w:bookmarkStart w:id="79" w:name="_Toc18687"/>
      <w:r>
        <w:rPr>
          <w:rFonts w:hint="eastAsia"/>
        </w:rPr>
        <w:t>投标供应商须知</w:t>
      </w:r>
      <w:bookmarkEnd w:id="78"/>
      <w:bookmarkEnd w:id="79"/>
    </w:p>
    <w:p w14:paraId="503EBA30">
      <w:pPr>
        <w:pStyle w:val="5"/>
        <w:numPr>
          <w:ilvl w:val="0"/>
          <w:numId w:val="8"/>
        </w:numPr>
        <w:rPr>
          <w:rFonts w:hint="eastAsia"/>
        </w:rPr>
      </w:pPr>
      <w:bookmarkStart w:id="80" w:name="_Toc7977"/>
      <w:bookmarkStart w:id="81" w:name="_Toc155185870"/>
      <w:r>
        <w:rPr>
          <w:rFonts w:hint="eastAsia"/>
        </w:rPr>
        <w:t>总则</w:t>
      </w:r>
      <w:bookmarkEnd w:id="80"/>
      <w:bookmarkEnd w:id="81"/>
    </w:p>
    <w:p w14:paraId="1F5D6E0F">
      <w:pPr>
        <w:pStyle w:val="6"/>
        <w:numPr>
          <w:ilvl w:val="0"/>
          <w:numId w:val="9"/>
        </w:numPr>
        <w:rPr>
          <w:rFonts w:hint="eastAsia"/>
        </w:rPr>
      </w:pPr>
      <w:bookmarkStart w:id="82" w:name="_Toc155095689"/>
      <w:bookmarkStart w:id="83" w:name="_Toc31233"/>
      <w:bookmarkStart w:id="84" w:name="_Toc109900050"/>
      <w:bookmarkStart w:id="85" w:name="_Toc21293"/>
      <w:bookmarkStart w:id="86" w:name="_Toc109897532"/>
      <w:bookmarkStart w:id="87" w:name="_Toc109899631"/>
      <w:bookmarkStart w:id="88" w:name="_Toc109900469"/>
      <w:r>
        <w:rPr>
          <w:rFonts w:hint="eastAsia"/>
        </w:rPr>
        <w:t>适用范围</w:t>
      </w:r>
      <w:bookmarkEnd w:id="82"/>
      <w:bookmarkEnd w:id="83"/>
      <w:bookmarkEnd w:id="84"/>
      <w:bookmarkEnd w:id="85"/>
      <w:bookmarkEnd w:id="86"/>
      <w:bookmarkEnd w:id="87"/>
      <w:bookmarkEnd w:id="88"/>
    </w:p>
    <w:p w14:paraId="5593B3B3">
      <w:pPr>
        <w:pStyle w:val="36"/>
        <w:rPr>
          <w:rFonts w:hint="eastAsia"/>
          <w:snapToGrid w:val="0"/>
        </w:rPr>
      </w:pPr>
      <w:r>
        <w:rPr>
          <w:rFonts w:hint="eastAsia"/>
          <w:snapToGrid w:val="0"/>
        </w:rPr>
        <w:t>1.1本招标文件仅适用于本次公开招标中所述项目的采购活动。</w:t>
      </w:r>
    </w:p>
    <w:p w14:paraId="22EAC40A">
      <w:pPr>
        <w:pStyle w:val="6"/>
        <w:numPr>
          <w:ilvl w:val="0"/>
          <w:numId w:val="9"/>
        </w:numPr>
        <w:rPr>
          <w:rFonts w:hint="eastAsia"/>
        </w:rPr>
      </w:pPr>
      <w:bookmarkStart w:id="89" w:name="_Toc15755"/>
      <w:r>
        <w:rPr>
          <w:rFonts w:hint="eastAsia"/>
        </w:rPr>
        <w:t>基本定义</w:t>
      </w:r>
      <w:bookmarkEnd w:id="89"/>
    </w:p>
    <w:p w14:paraId="29EBD067">
      <w:pPr>
        <w:pStyle w:val="36"/>
        <w:rPr>
          <w:rFonts w:hint="eastAsia"/>
        </w:rPr>
      </w:pPr>
      <w:r>
        <w:rPr>
          <w:rFonts w:hint="eastAsia"/>
        </w:rPr>
        <w:t>2.1根据《中华人民共和国政府采购法》及其实施条例等有关法律、法规和规章的规定，制定本招标文件。</w:t>
      </w:r>
    </w:p>
    <w:p w14:paraId="06025DEE">
      <w:pPr>
        <w:pStyle w:val="36"/>
        <w:rPr>
          <w:rFonts w:hint="eastAsia"/>
        </w:rPr>
      </w:pPr>
      <w:r>
        <w:rPr>
          <w:rFonts w:hint="eastAsia"/>
        </w:rPr>
        <w:t>2.2采购人：见“投标供应商须知前附表”。</w:t>
      </w:r>
    </w:p>
    <w:p w14:paraId="47621FD3">
      <w:pPr>
        <w:pStyle w:val="36"/>
        <w:rPr>
          <w:rFonts w:hint="eastAsia"/>
        </w:rPr>
      </w:pPr>
      <w:r>
        <w:rPr>
          <w:rFonts w:hint="eastAsia"/>
        </w:rPr>
        <w:t>2.3采购代理机构：见“投标供应商须知前附表”。</w:t>
      </w:r>
    </w:p>
    <w:p w14:paraId="1DF08E9B">
      <w:pPr>
        <w:pStyle w:val="36"/>
        <w:rPr>
          <w:rFonts w:hint="eastAsia"/>
        </w:rPr>
      </w:pPr>
      <w:r>
        <w:rPr>
          <w:rFonts w:hint="eastAsia"/>
        </w:rPr>
        <w:t>2.4政府采购监督管理部门：</w:t>
      </w:r>
      <w:r>
        <w:t>见</w:t>
      </w:r>
      <w:r>
        <w:rPr>
          <w:rFonts w:hint="eastAsia"/>
        </w:rPr>
        <w:t>“投标供应商须知前附表”。</w:t>
      </w:r>
    </w:p>
    <w:p w14:paraId="658333F6">
      <w:pPr>
        <w:pStyle w:val="36"/>
        <w:rPr>
          <w:rFonts w:hint="eastAsia"/>
        </w:rPr>
      </w:pPr>
      <w:r>
        <w:rPr>
          <w:rFonts w:hint="eastAsia"/>
        </w:rPr>
        <w:t>2.</w:t>
      </w:r>
      <w:r>
        <w:t>5</w:t>
      </w:r>
      <w:r>
        <w:rPr>
          <w:rFonts w:hint="eastAsia"/>
        </w:rPr>
        <w:t>项目名称：见“投标供应商须知前附表”。</w:t>
      </w:r>
    </w:p>
    <w:p w14:paraId="70A55264">
      <w:pPr>
        <w:pStyle w:val="36"/>
        <w:rPr>
          <w:rFonts w:hint="eastAsia"/>
        </w:rPr>
      </w:pPr>
      <w:r>
        <w:rPr>
          <w:rFonts w:hint="eastAsia"/>
        </w:rPr>
        <w:t>2.</w:t>
      </w:r>
      <w:r>
        <w:t>6</w:t>
      </w:r>
      <w:r>
        <w:rPr>
          <w:rFonts w:hint="eastAsia"/>
        </w:rPr>
        <w:t>项目地点：见“投标供应商须知前附表”。</w:t>
      </w:r>
    </w:p>
    <w:p w14:paraId="1237EB90">
      <w:pPr>
        <w:pStyle w:val="36"/>
        <w:rPr>
          <w:rFonts w:hint="eastAsia"/>
        </w:rPr>
      </w:pPr>
      <w:r>
        <w:rPr>
          <w:rFonts w:hint="eastAsia"/>
        </w:rPr>
        <w:t>2.</w:t>
      </w:r>
      <w:r>
        <w:t>7</w:t>
      </w:r>
      <w:r>
        <w:rPr>
          <w:rFonts w:hint="eastAsia"/>
        </w:rPr>
        <w:t>项目内容：见“投标供应商须知前附表”。</w:t>
      </w:r>
    </w:p>
    <w:p w14:paraId="3914FCB0">
      <w:pPr>
        <w:pStyle w:val="36"/>
        <w:rPr>
          <w:rFonts w:hint="eastAsia"/>
        </w:rPr>
      </w:pPr>
      <w:r>
        <w:rPr>
          <w:rFonts w:hint="eastAsia"/>
        </w:rPr>
        <w:t>2.8项目属性：见“投标供应商须知前附表”。</w:t>
      </w:r>
    </w:p>
    <w:p w14:paraId="6C1C0B86">
      <w:pPr>
        <w:pStyle w:val="6"/>
        <w:numPr>
          <w:ilvl w:val="0"/>
          <w:numId w:val="9"/>
        </w:numPr>
        <w:rPr>
          <w:rFonts w:hint="eastAsia"/>
        </w:rPr>
      </w:pPr>
      <w:bookmarkStart w:id="90" w:name="_Toc11616"/>
      <w:bookmarkStart w:id="91" w:name="_Toc140132758"/>
      <w:r>
        <w:rPr>
          <w:rFonts w:hint="eastAsia"/>
        </w:rPr>
        <w:t>资金来源</w:t>
      </w:r>
      <w:bookmarkEnd w:id="90"/>
      <w:bookmarkEnd w:id="91"/>
    </w:p>
    <w:p w14:paraId="0D20DC2F">
      <w:pPr>
        <w:pStyle w:val="36"/>
        <w:rPr>
          <w:rFonts w:hint="eastAsia"/>
        </w:rPr>
      </w:pPr>
      <w:r>
        <w:rPr>
          <w:rFonts w:hint="eastAsia"/>
        </w:rPr>
        <w:t>3.1资金来源：见“投标供应商须知前附表”。</w:t>
      </w:r>
    </w:p>
    <w:p w14:paraId="552088B2">
      <w:pPr>
        <w:pStyle w:val="6"/>
        <w:numPr>
          <w:ilvl w:val="0"/>
          <w:numId w:val="9"/>
        </w:numPr>
        <w:rPr>
          <w:rFonts w:hint="eastAsia"/>
        </w:rPr>
      </w:pPr>
      <w:bookmarkStart w:id="92" w:name="_Toc140132760"/>
      <w:bookmarkStart w:id="93" w:name="_Toc19075"/>
      <w:r>
        <w:rPr>
          <w:rFonts w:hint="eastAsia"/>
        </w:rPr>
        <w:t>投标供应商资格要求</w:t>
      </w:r>
      <w:bookmarkEnd w:id="92"/>
      <w:bookmarkEnd w:id="93"/>
    </w:p>
    <w:p w14:paraId="47E0D3E4">
      <w:pPr>
        <w:pStyle w:val="36"/>
        <w:rPr>
          <w:rFonts w:hint="eastAsia"/>
        </w:rPr>
      </w:pPr>
      <w:r>
        <w:rPr>
          <w:rFonts w:hint="eastAsia"/>
        </w:rPr>
        <w:t>4.1投标供应商资格要求：见“投标供应商须知前附表”；</w:t>
      </w:r>
    </w:p>
    <w:p w14:paraId="79366E80">
      <w:pPr>
        <w:pStyle w:val="36"/>
        <w:rPr>
          <w:rFonts w:hint="eastAsia"/>
        </w:rPr>
      </w:pPr>
      <w:r>
        <w:rPr>
          <w:rFonts w:hint="eastAsia"/>
        </w:rPr>
        <w:t xml:space="preserve">4.2“投标供应商须知前附表”规定接受联合体投标的，还应遵守以下规定： </w:t>
      </w:r>
    </w:p>
    <w:p w14:paraId="6B452665">
      <w:pPr>
        <w:pStyle w:val="36"/>
        <w:rPr>
          <w:rFonts w:hint="eastAsia"/>
        </w:rPr>
      </w:pPr>
      <w:r>
        <w:rPr>
          <w:rFonts w:hint="eastAsia"/>
        </w:rPr>
        <w:t>（1）联合体各方应按招标文件提供的格式签订联合体协议书，明确联合体牵头人和各方权利义务；</w:t>
      </w:r>
    </w:p>
    <w:p w14:paraId="1C64E535">
      <w:pPr>
        <w:pStyle w:val="36"/>
        <w:rPr>
          <w:rFonts w:hint="eastAsia"/>
        </w:rPr>
      </w:pPr>
      <w:r>
        <w:rPr>
          <w:rFonts w:hint="eastAsia"/>
        </w:rPr>
        <w:t>（2）由同一专业的单位组成的联合体，按照资质等级较低的单位确定资质等级；</w:t>
      </w:r>
    </w:p>
    <w:p w14:paraId="01AE2108">
      <w:pPr>
        <w:pStyle w:val="36"/>
        <w:rPr>
          <w:rFonts w:hint="eastAsia"/>
        </w:rPr>
      </w:pPr>
      <w:r>
        <w:rPr>
          <w:rFonts w:hint="eastAsia"/>
        </w:rPr>
        <w:t>（3）联合体各方不得再以自己名义单独或参加其他联合体在本招标项目中投标。</w:t>
      </w:r>
    </w:p>
    <w:p w14:paraId="2AB53111">
      <w:pPr>
        <w:pStyle w:val="6"/>
        <w:numPr>
          <w:ilvl w:val="0"/>
          <w:numId w:val="9"/>
        </w:numPr>
        <w:rPr>
          <w:rFonts w:hint="eastAsia"/>
        </w:rPr>
      </w:pPr>
      <w:bookmarkStart w:id="94" w:name="_Toc229"/>
      <w:r>
        <w:rPr>
          <w:rFonts w:hint="eastAsia"/>
        </w:rPr>
        <w:t>费用承担</w:t>
      </w:r>
      <w:bookmarkEnd w:id="94"/>
    </w:p>
    <w:p w14:paraId="4BC1D8D9">
      <w:pPr>
        <w:pStyle w:val="36"/>
        <w:rPr>
          <w:rFonts w:hint="eastAsia"/>
        </w:rPr>
      </w:pPr>
      <w:r>
        <w:rPr>
          <w:rFonts w:hint="eastAsia"/>
        </w:rPr>
        <w:t>5.1不论投标的结果如何，投标供应商应承担所有与准备和参加投标有关的费用。</w:t>
      </w:r>
    </w:p>
    <w:p w14:paraId="63608BF4">
      <w:pPr>
        <w:pStyle w:val="6"/>
        <w:numPr>
          <w:ilvl w:val="0"/>
          <w:numId w:val="9"/>
        </w:numPr>
        <w:rPr>
          <w:rFonts w:hint="eastAsia"/>
        </w:rPr>
      </w:pPr>
      <w:bookmarkStart w:id="95" w:name="_Toc31051"/>
      <w:bookmarkStart w:id="96" w:name="_Toc140132761"/>
      <w:r>
        <w:rPr>
          <w:rFonts w:hint="eastAsia"/>
        </w:rPr>
        <w:t>保密</w:t>
      </w:r>
      <w:bookmarkEnd w:id="95"/>
      <w:bookmarkEnd w:id="96"/>
    </w:p>
    <w:p w14:paraId="265723F5">
      <w:pPr>
        <w:pStyle w:val="36"/>
        <w:rPr>
          <w:rFonts w:hint="eastAsia"/>
        </w:rPr>
      </w:pPr>
      <w:r>
        <w:rPr>
          <w:rFonts w:hint="eastAsia"/>
        </w:rPr>
        <w:t xml:space="preserve">6.1参与招标投标活动的各方应对招标文件和投标文件中的商业和技术等秘密保密，否则应承担相应的法律责任。 </w:t>
      </w:r>
    </w:p>
    <w:p w14:paraId="0D3DD7B9">
      <w:pPr>
        <w:pStyle w:val="6"/>
        <w:numPr>
          <w:ilvl w:val="0"/>
          <w:numId w:val="9"/>
        </w:numPr>
        <w:rPr>
          <w:rFonts w:hint="eastAsia"/>
        </w:rPr>
      </w:pPr>
      <w:bookmarkStart w:id="97" w:name="_Toc140132762"/>
      <w:bookmarkStart w:id="98" w:name="_Toc11945"/>
      <w:r>
        <w:rPr>
          <w:rFonts w:hint="eastAsia"/>
        </w:rPr>
        <w:t>语言文字</w:t>
      </w:r>
      <w:bookmarkEnd w:id="97"/>
      <w:bookmarkEnd w:id="98"/>
    </w:p>
    <w:p w14:paraId="5E39AE8A">
      <w:pPr>
        <w:pStyle w:val="36"/>
        <w:rPr>
          <w:rFonts w:hint="eastAsia"/>
        </w:rPr>
      </w:pPr>
      <w:r>
        <w:rPr>
          <w:rFonts w:hint="eastAsia"/>
        </w:rPr>
        <w:t>7.1招标投标文件使用的语言文字为中文。专用术语使用外文的，应附有中文注释。</w:t>
      </w:r>
    </w:p>
    <w:p w14:paraId="69E4631F">
      <w:pPr>
        <w:pStyle w:val="6"/>
        <w:numPr>
          <w:ilvl w:val="0"/>
          <w:numId w:val="9"/>
        </w:numPr>
        <w:rPr>
          <w:rFonts w:hint="eastAsia"/>
        </w:rPr>
      </w:pPr>
      <w:bookmarkStart w:id="99" w:name="_Toc8015"/>
      <w:bookmarkStart w:id="100" w:name="_Toc140132763"/>
      <w:r>
        <w:rPr>
          <w:rFonts w:hint="eastAsia"/>
        </w:rPr>
        <w:t>计量单位</w:t>
      </w:r>
      <w:bookmarkEnd w:id="99"/>
      <w:bookmarkEnd w:id="100"/>
    </w:p>
    <w:p w14:paraId="32E91A8A">
      <w:pPr>
        <w:pStyle w:val="36"/>
        <w:rPr>
          <w:rFonts w:hint="eastAsia"/>
        </w:rPr>
      </w:pPr>
      <w:r>
        <w:rPr>
          <w:rFonts w:hint="eastAsia"/>
        </w:rPr>
        <w:t>8.1所有计量均采用中华人民共和国法定计量单位。</w:t>
      </w:r>
    </w:p>
    <w:p w14:paraId="1D7AAB13">
      <w:pPr>
        <w:pStyle w:val="6"/>
        <w:numPr>
          <w:ilvl w:val="0"/>
          <w:numId w:val="9"/>
        </w:numPr>
        <w:rPr>
          <w:rFonts w:hint="eastAsia"/>
        </w:rPr>
      </w:pPr>
      <w:bookmarkStart w:id="101" w:name="_Toc140132764"/>
      <w:bookmarkStart w:id="102" w:name="_Toc5582"/>
      <w:r>
        <w:rPr>
          <w:rFonts w:hint="eastAsia"/>
        </w:rPr>
        <w:t>现场考察和答疑会</w:t>
      </w:r>
      <w:bookmarkEnd w:id="101"/>
      <w:bookmarkEnd w:id="102"/>
    </w:p>
    <w:p w14:paraId="2A537C0F">
      <w:pPr>
        <w:pStyle w:val="36"/>
        <w:rPr>
          <w:rFonts w:hint="eastAsia"/>
        </w:rPr>
      </w:pPr>
      <w:bookmarkStart w:id="103" w:name="_Hlk143529198"/>
      <w:r>
        <w:rPr>
          <w:rFonts w:hint="eastAsia"/>
        </w:rPr>
        <w:t xml:space="preserve">9.1 “投标供应商须知前附表”规定组织现场考察的，采购代理机构按“投标供应商须知前附表”规定的时间、地点组织投标供应商项目现场考察。 </w:t>
      </w:r>
    </w:p>
    <w:p w14:paraId="3D6EC42F">
      <w:pPr>
        <w:pStyle w:val="36"/>
        <w:rPr>
          <w:rFonts w:hint="eastAsia"/>
        </w:rPr>
      </w:pPr>
      <w:r>
        <w:rPr>
          <w:rFonts w:hint="eastAsia"/>
        </w:rPr>
        <w:t>9.2 投标供应商现场考察发生的费用自理。</w:t>
      </w:r>
    </w:p>
    <w:p w14:paraId="4A956AC0">
      <w:pPr>
        <w:pStyle w:val="36"/>
        <w:rPr>
          <w:rFonts w:hint="eastAsia"/>
        </w:rPr>
      </w:pPr>
      <w:r>
        <w:rPr>
          <w:rFonts w:hint="eastAsia"/>
        </w:rPr>
        <w:t>9.3 在现场考察中，因投标供应商自身原因发生的人员伤亡和财产损失，由投标供应商自行负责。</w:t>
      </w:r>
    </w:p>
    <w:p w14:paraId="1CE289FA">
      <w:pPr>
        <w:pStyle w:val="36"/>
        <w:rPr>
          <w:rFonts w:hint="eastAsia"/>
        </w:rPr>
      </w:pPr>
      <w:r>
        <w:rPr>
          <w:rFonts w:hint="eastAsia"/>
        </w:rPr>
        <w:t>9.4 采购人在现场考察中介绍的项目场地和相关的周边环境情况，仅供投标供应商在编制投标文件时参考，采购人和采购代理机构不对投标供应商据此作出的判断和决策负责。</w:t>
      </w:r>
    </w:p>
    <w:p w14:paraId="69FBE590">
      <w:pPr>
        <w:pStyle w:val="36"/>
        <w:rPr>
          <w:rFonts w:hint="eastAsia"/>
        </w:rPr>
      </w:pPr>
      <w:r>
        <w:rPr>
          <w:rFonts w:hint="eastAsia"/>
        </w:rPr>
        <w:t>9.5 “投标供应商须知前附表”规定召开答疑会的，采购代理机构按“投标供应商须知前附表”规定的时间和地点召开答疑会，澄清投标供应商提出的问题。</w:t>
      </w:r>
    </w:p>
    <w:bookmarkEnd w:id="103"/>
    <w:p w14:paraId="4D0F8FD9">
      <w:pPr>
        <w:pStyle w:val="6"/>
        <w:numPr>
          <w:ilvl w:val="0"/>
          <w:numId w:val="9"/>
        </w:numPr>
        <w:rPr>
          <w:rFonts w:hint="eastAsia"/>
        </w:rPr>
      </w:pPr>
      <w:bookmarkStart w:id="104" w:name="_Toc140132765"/>
      <w:bookmarkStart w:id="105" w:name="_Toc10471"/>
      <w:r>
        <w:rPr>
          <w:rFonts w:hint="eastAsia"/>
        </w:rPr>
        <w:t>中标后分包</w:t>
      </w:r>
      <w:bookmarkEnd w:id="104"/>
      <w:bookmarkEnd w:id="105"/>
    </w:p>
    <w:p w14:paraId="03C1BCCA">
      <w:pPr>
        <w:pStyle w:val="36"/>
        <w:rPr>
          <w:rFonts w:hint="eastAsia"/>
        </w:rPr>
      </w:pPr>
      <w:r>
        <w:rPr>
          <w:rFonts w:hint="eastAsia"/>
        </w:rPr>
        <w:t>10.1 “投标供应商须知前附表”规定允许分包的，投标供应商应当遵守其分包规定。</w:t>
      </w:r>
    </w:p>
    <w:p w14:paraId="4B1408A5">
      <w:pPr>
        <w:pStyle w:val="36"/>
        <w:rPr>
          <w:rFonts w:hint="eastAsia"/>
        </w:rPr>
      </w:pPr>
      <w:r>
        <w:rPr>
          <w:rFonts w:hint="eastAsia"/>
        </w:rPr>
        <w:t>10.2 投标供应商未遵守招标文件分包规定的，其</w:t>
      </w:r>
      <w:r>
        <w:rPr>
          <w:rFonts w:hint="eastAsia"/>
          <w:b/>
          <w:bCs/>
        </w:rPr>
        <w:t>投标无效</w:t>
      </w:r>
      <w:r>
        <w:rPr>
          <w:rFonts w:hint="eastAsia"/>
        </w:rPr>
        <w:t>。分包规定见“投标供应商须知前附表”。</w:t>
      </w:r>
    </w:p>
    <w:p w14:paraId="224CD1B9">
      <w:pPr>
        <w:pStyle w:val="6"/>
        <w:numPr>
          <w:ilvl w:val="0"/>
          <w:numId w:val="9"/>
        </w:numPr>
        <w:rPr>
          <w:rFonts w:hint="eastAsia"/>
        </w:rPr>
      </w:pPr>
      <w:bookmarkStart w:id="106" w:name="_Toc23562"/>
      <w:bookmarkStart w:id="107" w:name="_Toc155185858"/>
      <w:bookmarkStart w:id="108" w:name="_Toc155185871"/>
      <w:r>
        <w:rPr>
          <w:rFonts w:hint="eastAsia"/>
        </w:rPr>
        <w:t>电子投标说明</w:t>
      </w:r>
      <w:bookmarkEnd w:id="106"/>
      <w:bookmarkEnd w:id="107"/>
    </w:p>
    <w:p w14:paraId="6687F415">
      <w:pPr>
        <w:pStyle w:val="36"/>
        <w:rPr>
          <w:rFonts w:hint="eastAsia"/>
        </w:rPr>
      </w:pPr>
      <w:r>
        <w:rPr>
          <w:rFonts w:hint="eastAsia"/>
        </w:rPr>
        <w:t>1</w:t>
      </w:r>
      <w:r>
        <w:t>1.1</w:t>
      </w:r>
      <w:r>
        <w:rPr>
          <w:rFonts w:hint="eastAsia"/>
        </w:rPr>
        <w:t>由于本项目采用电子招标方式，潜在投标供应商的名单将在投标截止时间后才会解密。因此，采购人或采购代理机构无法通过传统的传真或邮件方式，将招标文件的澄清或修改内容逐一通知到每位已获取招标文件的潜在投标供应商。为确保信息的及时性和准确性，澄清或修改的内容将仅在云南省政府采购网上以更正公告的形式发布。潜在投标供应商需密切关注该网站，及时查看并下载相关更正公告。若因潜在投标供应商未能及时查看或下载相关更正公告，而导致的一切后果，将由潜在投标供应商自行承担；</w:t>
      </w:r>
    </w:p>
    <w:p w14:paraId="09ABAE44">
      <w:pPr>
        <w:pStyle w:val="36"/>
        <w:rPr>
          <w:rFonts w:hint="eastAsia"/>
        </w:rPr>
      </w:pPr>
      <w:r>
        <w:rPr>
          <w:rFonts w:hint="eastAsia"/>
        </w:rPr>
        <w:t>1</w:t>
      </w:r>
      <w:r>
        <w:t>1.2制作电子投标文件需要数字证书（简称“CA”）和电子签章，请</w:t>
      </w:r>
      <w:r>
        <w:rPr>
          <w:rFonts w:hint="eastAsia"/>
        </w:rPr>
        <w:t>供应商</w:t>
      </w:r>
      <w:r>
        <w:t>及时办理数字证书及电子签章；</w:t>
      </w:r>
    </w:p>
    <w:p w14:paraId="18AF5433">
      <w:pPr>
        <w:pStyle w:val="36"/>
        <w:rPr>
          <w:rFonts w:hint="eastAsia"/>
        </w:rPr>
      </w:pPr>
      <w:r>
        <w:t>11.3数字证书及电子签章必须是在</w:t>
      </w:r>
      <w:r>
        <w:rPr>
          <w:rFonts w:hint="eastAsia"/>
          <w:lang w:val="en-US"/>
        </w:rPr>
        <w:t>云南省政府采购电子交易系统</w:t>
      </w:r>
      <w:r>
        <w:t>中实现了互联互通对接的产品。办理地点详见</w:t>
      </w:r>
      <w:r>
        <w:rPr>
          <w:rFonts w:hint="eastAsia"/>
          <w:lang w:val="en-US"/>
        </w:rPr>
        <w:t>公告内容</w:t>
      </w:r>
      <w:r>
        <w:t>。</w:t>
      </w:r>
    </w:p>
    <w:p w14:paraId="1CFEEB1F">
      <w:pPr>
        <w:pStyle w:val="36"/>
        <w:rPr>
          <w:rFonts w:hint="eastAsia"/>
        </w:rPr>
      </w:pPr>
      <w:r>
        <w:rPr>
          <w:rFonts w:hint="eastAsia"/>
        </w:rPr>
        <w:t>1</w:t>
      </w:r>
      <w:r>
        <w:t>1.4本招标文件中电子化招标采购的有关概念：</w:t>
      </w:r>
    </w:p>
    <w:p w14:paraId="7BC18A70">
      <w:pPr>
        <w:pStyle w:val="36"/>
        <w:numPr>
          <w:ilvl w:val="0"/>
          <w:numId w:val="10"/>
        </w:numPr>
        <w:rPr>
          <w:rFonts w:hint="eastAsia"/>
        </w:rPr>
      </w:pPr>
      <w:r>
        <w:rPr>
          <w:rFonts w:hint="eastAsia"/>
          <w:b/>
          <w:bCs/>
        </w:rPr>
        <w:t>电子签名</w:t>
      </w:r>
      <w:r>
        <w:rPr>
          <w:rFonts w:hint="eastAsia"/>
        </w:rPr>
        <w:t>：指运用电子密码技术，在数据电文中以电子形式所含，用于识别签名人（法人或自然人）身份并表明签名人认可其中内容的数据。</w:t>
      </w:r>
    </w:p>
    <w:p w14:paraId="237131FF">
      <w:pPr>
        <w:pStyle w:val="36"/>
        <w:numPr>
          <w:ilvl w:val="0"/>
          <w:numId w:val="10"/>
        </w:numPr>
        <w:rPr>
          <w:rFonts w:hint="eastAsia"/>
        </w:rPr>
      </w:pPr>
      <w:r>
        <w:rPr>
          <w:rFonts w:hint="eastAsia"/>
          <w:b/>
          <w:bCs/>
        </w:rPr>
        <w:t>电子印章</w:t>
      </w:r>
      <w:r>
        <w:rPr>
          <w:rFonts w:hint="eastAsia"/>
        </w:rPr>
        <w:t>：指模拟在纸质文件上加盖传统实物印章的外观和方式进行电子签名的形式。</w:t>
      </w:r>
    </w:p>
    <w:p w14:paraId="148C9B98">
      <w:pPr>
        <w:pStyle w:val="36"/>
        <w:numPr>
          <w:ilvl w:val="0"/>
          <w:numId w:val="10"/>
        </w:numPr>
        <w:rPr>
          <w:rFonts w:hint="eastAsia"/>
        </w:rPr>
      </w:pPr>
      <w:r>
        <w:rPr>
          <w:rFonts w:hint="eastAsia"/>
          <w:b/>
          <w:bCs/>
        </w:rPr>
        <w:t>数字证书（简称“</w:t>
      </w:r>
      <w:r>
        <w:rPr>
          <w:b/>
          <w:bCs/>
        </w:rPr>
        <w:t>CA”）：</w:t>
      </w:r>
      <w:r>
        <w:t>经过有关部门认可的电子认证服务机构基于 PKI 技术签发、认证和管理的数字证书。CA 证书具有数据电文交换中身份识别、电子签名、加密解密等功能。</w:t>
      </w:r>
    </w:p>
    <w:p w14:paraId="7B357C07">
      <w:pPr>
        <w:pStyle w:val="36"/>
        <w:numPr>
          <w:ilvl w:val="0"/>
          <w:numId w:val="10"/>
        </w:numPr>
        <w:rPr>
          <w:rFonts w:hint="eastAsia"/>
        </w:rPr>
      </w:pPr>
      <w:r>
        <w:rPr>
          <w:rFonts w:hint="eastAsia"/>
          <w:b/>
          <w:bCs/>
        </w:rPr>
        <w:t>供应商客户端：</w:t>
      </w:r>
      <w:r>
        <w:rPr>
          <w:rFonts w:hint="eastAsia"/>
        </w:rPr>
        <w:t>供应商可在</w:t>
      </w:r>
      <w:r>
        <w:rPr>
          <w:rFonts w:hint="eastAsia"/>
          <w:lang w:val="en-US"/>
        </w:rPr>
        <w:t>云南</w:t>
      </w:r>
      <w:r>
        <w:rPr>
          <w:rFonts w:hint="eastAsia"/>
        </w:rPr>
        <w:t>省政府采购电子交易平台中下载使用。</w:t>
      </w:r>
    </w:p>
    <w:p w14:paraId="5613509D">
      <w:pPr>
        <w:pStyle w:val="36"/>
        <w:rPr>
          <w:rFonts w:hint="eastAsia"/>
        </w:rPr>
      </w:pPr>
      <w:r>
        <w:t>11.5</w:t>
      </w:r>
      <w:r>
        <w:rPr>
          <w:rFonts w:hint="eastAsia"/>
        </w:rPr>
        <w:t>电子交易系统咨询：投标供应商应当充分考虑到电子投标可能会发生的各种问题和风险，特别是投标文件签署、提交等问题，无特殊情况，应当按照“投标供应商须知前附表”的规定咨询采购代理机构或政府采购交易系统。</w:t>
      </w:r>
    </w:p>
    <w:p w14:paraId="5C8EDE0E">
      <w:pPr>
        <w:pStyle w:val="36"/>
        <w:rPr>
          <w:rFonts w:hint="eastAsia"/>
        </w:rPr>
      </w:pPr>
      <w:r>
        <w:t>11.6</w:t>
      </w:r>
      <w:r>
        <w:rPr>
          <w:rFonts w:hint="eastAsia"/>
        </w:rPr>
        <w:t>政府采购交易系统</w:t>
      </w:r>
      <w:r>
        <w:t>联系方式详见“</w:t>
      </w:r>
      <w:r>
        <w:rPr>
          <w:rFonts w:hint="eastAsia"/>
        </w:rPr>
        <w:t>投标供应商</w:t>
      </w:r>
      <w:r>
        <w:t>须知前附表”</w:t>
      </w:r>
      <w:r>
        <w:rPr>
          <w:rFonts w:hint="eastAsia"/>
        </w:rPr>
        <w:t>。</w:t>
      </w:r>
    </w:p>
    <w:p w14:paraId="0CA5E720">
      <w:pPr>
        <w:pStyle w:val="5"/>
        <w:numPr>
          <w:ilvl w:val="0"/>
          <w:numId w:val="8"/>
        </w:numPr>
        <w:rPr>
          <w:rFonts w:hint="eastAsia"/>
        </w:rPr>
      </w:pPr>
      <w:bookmarkStart w:id="109" w:name="_Toc19657"/>
      <w:r>
        <w:rPr>
          <w:rFonts w:hint="eastAsia"/>
        </w:rPr>
        <w:t>招标文件</w:t>
      </w:r>
      <w:bookmarkEnd w:id="108"/>
      <w:bookmarkEnd w:id="109"/>
    </w:p>
    <w:p w14:paraId="687E9663">
      <w:pPr>
        <w:pStyle w:val="6"/>
        <w:numPr>
          <w:ilvl w:val="0"/>
          <w:numId w:val="9"/>
        </w:numPr>
        <w:rPr>
          <w:rFonts w:hint="eastAsia"/>
        </w:rPr>
      </w:pPr>
      <w:bookmarkStart w:id="110" w:name="_Toc140132768"/>
      <w:bookmarkStart w:id="111" w:name="_Toc11714"/>
      <w:r>
        <w:rPr>
          <w:rFonts w:hint="eastAsia"/>
        </w:rPr>
        <w:t>招标文件的组成</w:t>
      </w:r>
      <w:bookmarkEnd w:id="110"/>
      <w:bookmarkEnd w:id="111"/>
    </w:p>
    <w:p w14:paraId="5ECE48F2">
      <w:pPr>
        <w:ind w:firstLine="480" w:firstLineChars="200"/>
        <w:rPr>
          <w:rFonts w:hint="eastAsia" w:cs="仿宋_GB2312"/>
          <w:szCs w:val="24"/>
        </w:rPr>
      </w:pPr>
      <w:r>
        <w:rPr>
          <w:rFonts w:cs="仿宋_GB2312"/>
          <w:szCs w:val="24"/>
        </w:rPr>
        <w:t>12</w:t>
      </w:r>
      <w:r>
        <w:rPr>
          <w:rFonts w:hint="eastAsia" w:cs="仿宋_GB2312"/>
          <w:szCs w:val="24"/>
        </w:rPr>
        <w:t>.1本招标文件包括下列文件及根据本章第9款、第</w:t>
      </w:r>
      <w:r>
        <w:rPr>
          <w:rFonts w:cs="仿宋_GB2312"/>
          <w:szCs w:val="24"/>
        </w:rPr>
        <w:t>13</w:t>
      </w:r>
      <w:r>
        <w:rPr>
          <w:rFonts w:hint="eastAsia" w:cs="仿宋_GB2312"/>
          <w:szCs w:val="24"/>
        </w:rPr>
        <w:t>款对招标文件所作的澄清或者修改。</w:t>
      </w:r>
    </w:p>
    <w:p w14:paraId="162F0ADF">
      <w:pPr>
        <w:ind w:firstLine="480" w:firstLineChars="200"/>
        <w:rPr>
          <w:rFonts w:hint="eastAsia" w:cs="仿宋_GB2312"/>
          <w:szCs w:val="24"/>
        </w:rPr>
      </w:pPr>
      <w:r>
        <w:rPr>
          <w:rFonts w:hint="eastAsia" w:cs="仿宋_GB2312"/>
          <w:szCs w:val="24"/>
        </w:rPr>
        <w:t>第一章 投标邀请</w:t>
      </w:r>
    </w:p>
    <w:p w14:paraId="7D03CE06">
      <w:pPr>
        <w:ind w:firstLine="480" w:firstLineChars="200"/>
        <w:rPr>
          <w:rFonts w:hint="eastAsia" w:cs="仿宋_GB2312"/>
          <w:szCs w:val="24"/>
        </w:rPr>
      </w:pPr>
      <w:r>
        <w:rPr>
          <w:rFonts w:hint="eastAsia" w:cs="仿宋_GB2312"/>
          <w:szCs w:val="24"/>
        </w:rPr>
        <w:t>第二章 投标供应商须知</w:t>
      </w:r>
    </w:p>
    <w:p w14:paraId="0CB21227">
      <w:pPr>
        <w:ind w:firstLine="480" w:firstLineChars="200"/>
        <w:rPr>
          <w:rFonts w:hint="eastAsia" w:cs="仿宋_GB2312"/>
          <w:szCs w:val="24"/>
        </w:rPr>
      </w:pPr>
      <w:r>
        <w:rPr>
          <w:rFonts w:hint="eastAsia" w:cs="仿宋_GB2312"/>
          <w:szCs w:val="24"/>
        </w:rPr>
        <w:t>第三章 采购需求</w:t>
      </w:r>
    </w:p>
    <w:p w14:paraId="16D89F35">
      <w:pPr>
        <w:ind w:firstLine="480" w:firstLineChars="200"/>
        <w:rPr>
          <w:rFonts w:hint="eastAsia" w:cs="仿宋_GB2312"/>
          <w:szCs w:val="24"/>
        </w:rPr>
      </w:pPr>
      <w:r>
        <w:rPr>
          <w:rFonts w:hint="eastAsia" w:cs="仿宋_GB2312"/>
          <w:szCs w:val="24"/>
        </w:rPr>
        <w:t>第四章 资格审查方法及标准</w:t>
      </w:r>
    </w:p>
    <w:p w14:paraId="62DF700D">
      <w:pPr>
        <w:ind w:firstLine="480" w:firstLineChars="200"/>
        <w:rPr>
          <w:rFonts w:hint="eastAsia" w:cs="仿宋_GB2312"/>
          <w:szCs w:val="24"/>
        </w:rPr>
      </w:pPr>
      <w:r>
        <w:rPr>
          <w:rFonts w:hint="eastAsia" w:cs="仿宋_GB2312"/>
          <w:szCs w:val="24"/>
        </w:rPr>
        <w:t>第五章 评标办法及标准</w:t>
      </w:r>
    </w:p>
    <w:p w14:paraId="72254FB7">
      <w:pPr>
        <w:ind w:firstLine="480" w:firstLineChars="200"/>
        <w:rPr>
          <w:rFonts w:hint="eastAsia" w:cs="仿宋_GB2312"/>
          <w:szCs w:val="24"/>
        </w:rPr>
      </w:pPr>
      <w:r>
        <w:rPr>
          <w:rFonts w:hint="eastAsia" w:cs="仿宋_GB2312"/>
          <w:szCs w:val="24"/>
        </w:rPr>
        <w:t>第六章 合同草案</w:t>
      </w:r>
    </w:p>
    <w:p w14:paraId="75DBA9C2">
      <w:pPr>
        <w:ind w:firstLine="480" w:firstLineChars="200"/>
        <w:rPr>
          <w:rFonts w:hint="eastAsia" w:cs="仿宋_GB2312"/>
          <w:szCs w:val="24"/>
        </w:rPr>
      </w:pPr>
      <w:r>
        <w:rPr>
          <w:rFonts w:hint="eastAsia" w:cs="仿宋_GB2312"/>
          <w:szCs w:val="24"/>
        </w:rPr>
        <w:t>第七章 投标文件的格式</w:t>
      </w:r>
    </w:p>
    <w:p w14:paraId="2CE7FA8F">
      <w:pPr>
        <w:pStyle w:val="6"/>
        <w:numPr>
          <w:ilvl w:val="0"/>
          <w:numId w:val="9"/>
        </w:numPr>
        <w:rPr>
          <w:rFonts w:hint="eastAsia"/>
        </w:rPr>
      </w:pPr>
      <w:bookmarkStart w:id="112" w:name="_Toc140132769"/>
      <w:bookmarkStart w:id="113" w:name="_Toc15397"/>
      <w:r>
        <w:rPr>
          <w:rFonts w:hint="eastAsia"/>
        </w:rPr>
        <w:t>招标文件的询问、澄清或者修改</w:t>
      </w:r>
      <w:bookmarkEnd w:id="112"/>
      <w:bookmarkEnd w:id="113"/>
    </w:p>
    <w:p w14:paraId="3E117FB3">
      <w:pPr>
        <w:ind w:firstLine="480" w:firstLineChars="200"/>
        <w:rPr>
          <w:rFonts w:hint="eastAsia" w:cs="仿宋_GB2312"/>
          <w:szCs w:val="24"/>
        </w:rPr>
      </w:pPr>
      <w:r>
        <w:rPr>
          <w:rFonts w:cs="仿宋_GB2312"/>
          <w:szCs w:val="24"/>
        </w:rPr>
        <w:t>13</w:t>
      </w:r>
      <w:r>
        <w:rPr>
          <w:rFonts w:hint="eastAsia" w:cs="仿宋_GB2312"/>
          <w:szCs w:val="24"/>
        </w:rPr>
        <w:t>.</w:t>
      </w:r>
      <w:r>
        <w:rPr>
          <w:rFonts w:cs="仿宋_GB2312"/>
          <w:szCs w:val="24"/>
        </w:rPr>
        <w:t>1</w:t>
      </w:r>
      <w:r>
        <w:rPr>
          <w:rFonts w:hint="eastAsia" w:cs="仿宋_GB2312"/>
          <w:szCs w:val="24"/>
        </w:rPr>
        <w:t xml:space="preserve"> 投标供应商对采购项目有疑问的，可以按照“投标供应商须知前附表”中的规定提出询问。采购人或采购代理机构将在收到询问后依法予以答复。对招标文件询问的答复，在必要时将以澄清形式推送给每个获取招标文件的潜在投标供应商(答复中不包括问题的来源)。</w:t>
      </w:r>
    </w:p>
    <w:p w14:paraId="29EFF4D8">
      <w:pPr>
        <w:ind w:firstLine="480" w:firstLineChars="200"/>
        <w:rPr>
          <w:rFonts w:hint="eastAsia" w:cs="仿宋_GB2312"/>
          <w:szCs w:val="24"/>
        </w:rPr>
      </w:pPr>
      <w:r>
        <w:rPr>
          <w:rFonts w:cs="仿宋_GB2312"/>
          <w:szCs w:val="24"/>
        </w:rPr>
        <w:t>13</w:t>
      </w:r>
      <w:r>
        <w:rPr>
          <w:rFonts w:hint="eastAsia" w:cs="仿宋_GB2312"/>
          <w:szCs w:val="24"/>
        </w:rPr>
        <w:t>.2 采购人或者采购代理机构可以对已发出的招标文件进行必要的澄清或者修改。</w:t>
      </w:r>
      <w:r>
        <w:rPr>
          <w:rFonts w:hint="eastAsia"/>
        </w:rPr>
        <w:t>澄清或修改的内容为招标文件的组成部分，并对所有获取招标文件的潜在投标供应商具有约束力。</w:t>
      </w:r>
    </w:p>
    <w:p w14:paraId="50E23862">
      <w:pPr>
        <w:ind w:firstLine="480" w:firstLineChars="200"/>
        <w:rPr>
          <w:rFonts w:hint="eastAsia" w:cs="仿宋_GB2312"/>
          <w:szCs w:val="24"/>
        </w:rPr>
      </w:pPr>
      <w:r>
        <w:rPr>
          <w:rFonts w:cs="仿宋_GB2312"/>
          <w:szCs w:val="24"/>
        </w:rPr>
        <w:t>13</w:t>
      </w:r>
      <w:r>
        <w:rPr>
          <w:rFonts w:hint="eastAsia" w:cs="仿宋_GB2312"/>
          <w:szCs w:val="24"/>
        </w:rPr>
        <w:t>.3 招标文件的澄清或者修改以书面形式发给所有领取招标文件的投标供应商，但不包括问题的来源。澄清或者修改的内容可能影响投标文件编制的，采购人或者采购代理机构应当在投标截止时间至少15日前，以书面形式通知所有获取招标文件的潜在投标供应商；不足15日的，采购人或者采购代理机构应当顺延提交投标文件的截止时间。</w:t>
      </w:r>
    </w:p>
    <w:p w14:paraId="25B1C30D">
      <w:pPr>
        <w:pStyle w:val="36"/>
        <w:rPr>
          <w:rFonts w:hint="eastAsia"/>
        </w:rPr>
      </w:pPr>
      <w:r>
        <w:t>13.</w:t>
      </w:r>
      <w:r>
        <w:rPr>
          <w:rFonts w:hint="eastAsia"/>
        </w:rPr>
        <w:t xml:space="preserve">4 </w:t>
      </w:r>
      <w:r>
        <w:rPr>
          <w:rFonts w:hint="eastAsia" w:cs="仿宋_GB2312"/>
          <w:szCs w:val="24"/>
        </w:rPr>
        <w:t>本”投标供应商须知”所称“</w:t>
      </w:r>
      <w:r>
        <w:rPr>
          <w:rFonts w:hint="eastAsia"/>
        </w:rPr>
        <w:t>书面形式</w:t>
      </w:r>
      <w:r>
        <w:rPr>
          <w:rFonts w:hint="eastAsia" w:cs="仿宋_GB2312"/>
          <w:szCs w:val="24"/>
        </w:rPr>
        <w:t>”</w:t>
      </w:r>
      <w:r>
        <w:rPr>
          <w:rFonts w:hint="eastAsia"/>
        </w:rPr>
        <w:t>包括系统消息、云南省政府采购网中发布的公告。</w:t>
      </w:r>
    </w:p>
    <w:p w14:paraId="7F418E01">
      <w:pPr>
        <w:pStyle w:val="5"/>
        <w:numPr>
          <w:ilvl w:val="0"/>
          <w:numId w:val="8"/>
        </w:numPr>
        <w:rPr>
          <w:rFonts w:hint="eastAsia"/>
          <w:color w:val="000000" w:themeColor="text1"/>
          <w14:textFill>
            <w14:solidFill>
              <w14:schemeClr w14:val="tx1"/>
            </w14:solidFill>
          </w14:textFill>
        </w:rPr>
      </w:pPr>
      <w:bookmarkStart w:id="114" w:name="_Toc23618"/>
      <w:bookmarkStart w:id="115" w:name="_Toc155185872"/>
      <w:r>
        <w:rPr>
          <w:rFonts w:hint="eastAsia"/>
          <w:color w:val="000000" w:themeColor="text1"/>
          <w14:textFill>
            <w14:solidFill>
              <w14:schemeClr w14:val="tx1"/>
            </w14:solidFill>
          </w14:textFill>
        </w:rPr>
        <w:t>投标文件</w:t>
      </w:r>
      <w:bookmarkEnd w:id="114"/>
      <w:bookmarkEnd w:id="115"/>
    </w:p>
    <w:p w14:paraId="00042A6F">
      <w:pPr>
        <w:pStyle w:val="6"/>
        <w:numPr>
          <w:ilvl w:val="0"/>
          <w:numId w:val="9"/>
        </w:numPr>
        <w:rPr>
          <w:rFonts w:hint="eastAsia"/>
        </w:rPr>
      </w:pPr>
      <w:bookmarkStart w:id="116" w:name="_Toc15498"/>
      <w:r>
        <w:rPr>
          <w:rFonts w:hint="eastAsia"/>
        </w:rPr>
        <w:t>投标文件的组成</w:t>
      </w:r>
      <w:bookmarkEnd w:id="116"/>
    </w:p>
    <w:p w14:paraId="0F598E0C">
      <w:pPr>
        <w:ind w:firstLine="480" w:firstLineChars="200"/>
        <w:rPr>
          <w:rFonts w:hint="eastAsia" w:cs="仿宋_GB2312"/>
          <w:szCs w:val="24"/>
        </w:rPr>
      </w:pPr>
      <w:r>
        <w:rPr>
          <w:rFonts w:hint="eastAsia" w:cs="仿宋_GB2312"/>
          <w:szCs w:val="24"/>
        </w:rPr>
        <w:t>一、投标函及报价文件</w:t>
      </w:r>
    </w:p>
    <w:p w14:paraId="4D4B1BFA">
      <w:pPr>
        <w:ind w:firstLine="480" w:firstLineChars="200"/>
        <w:rPr>
          <w:rFonts w:hint="eastAsia" w:cs="仿宋_GB2312"/>
          <w:szCs w:val="24"/>
        </w:rPr>
      </w:pPr>
      <w:r>
        <w:rPr>
          <w:rFonts w:hint="eastAsia" w:cs="仿宋_GB2312"/>
          <w:szCs w:val="24"/>
        </w:rPr>
        <w:t>（一）投标函</w:t>
      </w:r>
    </w:p>
    <w:p w14:paraId="4DF01503">
      <w:pPr>
        <w:ind w:firstLine="480" w:firstLineChars="200"/>
        <w:rPr>
          <w:rFonts w:hint="eastAsia" w:cs="仿宋_GB2312"/>
          <w:szCs w:val="24"/>
        </w:rPr>
      </w:pPr>
      <w:r>
        <w:rPr>
          <w:rFonts w:hint="eastAsia" w:cs="仿宋_GB2312"/>
          <w:szCs w:val="24"/>
        </w:rPr>
        <w:t>（二）开标一览表</w:t>
      </w:r>
    </w:p>
    <w:p w14:paraId="153B937E">
      <w:pPr>
        <w:ind w:firstLine="480" w:firstLineChars="200"/>
        <w:rPr>
          <w:rFonts w:hint="eastAsia" w:cs="仿宋_GB2312"/>
          <w:szCs w:val="24"/>
        </w:rPr>
      </w:pPr>
      <w:r>
        <w:rPr>
          <w:rFonts w:hint="eastAsia" w:cs="仿宋_GB2312"/>
          <w:szCs w:val="24"/>
        </w:rPr>
        <w:t>（三）法定代表人（负责人）身份证明</w:t>
      </w:r>
    </w:p>
    <w:p w14:paraId="1933AD44">
      <w:pPr>
        <w:ind w:firstLine="480" w:firstLineChars="200"/>
        <w:rPr>
          <w:rFonts w:hint="eastAsia" w:cs="仿宋_GB2312"/>
          <w:szCs w:val="24"/>
        </w:rPr>
      </w:pPr>
      <w:r>
        <w:rPr>
          <w:rFonts w:hint="eastAsia" w:cs="仿宋_GB2312"/>
          <w:szCs w:val="24"/>
        </w:rPr>
        <w:t>（四）法定代表人（负责人）授权书</w:t>
      </w:r>
    </w:p>
    <w:p w14:paraId="365FAFA9">
      <w:pPr>
        <w:ind w:firstLine="480" w:firstLineChars="200"/>
        <w:rPr>
          <w:rFonts w:hint="eastAsia" w:cs="仿宋_GB2312"/>
          <w:szCs w:val="24"/>
        </w:rPr>
      </w:pPr>
      <w:r>
        <w:rPr>
          <w:rFonts w:hint="eastAsia" w:cs="仿宋_GB2312"/>
          <w:szCs w:val="24"/>
        </w:rPr>
        <w:t>二、资格证明文件</w:t>
      </w:r>
    </w:p>
    <w:p w14:paraId="4D76F16E">
      <w:pPr>
        <w:ind w:firstLine="480" w:firstLineChars="200"/>
        <w:rPr>
          <w:rFonts w:hint="eastAsia" w:cs="仿宋_GB2312"/>
          <w:szCs w:val="24"/>
        </w:rPr>
      </w:pPr>
      <w:r>
        <w:rPr>
          <w:rFonts w:hint="eastAsia" w:cs="仿宋_GB2312"/>
          <w:szCs w:val="24"/>
        </w:rPr>
        <w:t>（一）企业法人营业执照、事业单位法人证书或团体组织法人证书</w:t>
      </w:r>
    </w:p>
    <w:p w14:paraId="0A936A89">
      <w:pPr>
        <w:ind w:firstLine="480" w:firstLineChars="200"/>
        <w:rPr>
          <w:rFonts w:hint="eastAsia" w:cs="仿宋_GB2312"/>
          <w:szCs w:val="24"/>
        </w:rPr>
      </w:pPr>
      <w:r>
        <w:rPr>
          <w:rFonts w:hint="eastAsia" w:cs="仿宋_GB2312"/>
          <w:szCs w:val="24"/>
        </w:rPr>
        <w:t>（二）资格条件承诺书</w:t>
      </w:r>
    </w:p>
    <w:p w14:paraId="23B88056">
      <w:pPr>
        <w:ind w:firstLine="480" w:firstLineChars="200"/>
        <w:rPr>
          <w:rFonts w:hint="eastAsia" w:cs="仿宋_GB2312"/>
          <w:szCs w:val="24"/>
        </w:rPr>
      </w:pPr>
      <w:r>
        <w:rPr>
          <w:rFonts w:hint="eastAsia" w:cs="仿宋_GB2312"/>
          <w:szCs w:val="24"/>
        </w:rPr>
        <w:t>（三）资格证明文件</w:t>
      </w:r>
    </w:p>
    <w:p w14:paraId="11A049AC">
      <w:pPr>
        <w:ind w:firstLine="480" w:firstLineChars="200"/>
        <w:rPr>
          <w:rFonts w:hint="eastAsia" w:cs="仿宋_GB2312"/>
          <w:szCs w:val="24"/>
        </w:rPr>
      </w:pPr>
      <w:r>
        <w:rPr>
          <w:rFonts w:hint="eastAsia" w:cs="仿宋_GB2312"/>
          <w:szCs w:val="24"/>
        </w:rPr>
        <w:t>（四）其他资格证明文件</w:t>
      </w:r>
    </w:p>
    <w:p w14:paraId="7A38ECB2">
      <w:pPr>
        <w:ind w:firstLine="480" w:firstLineChars="200"/>
        <w:rPr>
          <w:rFonts w:hint="eastAsia" w:cs="仿宋_GB2312"/>
          <w:b/>
          <w:bCs/>
          <w:szCs w:val="24"/>
        </w:rPr>
      </w:pPr>
      <w:r>
        <w:rPr>
          <w:rFonts w:hint="eastAsia" w:cs="仿宋_GB2312"/>
          <w:szCs w:val="24"/>
        </w:rPr>
        <w:t>三、其他响应文件</w:t>
      </w:r>
    </w:p>
    <w:p w14:paraId="7C775FC4">
      <w:pPr>
        <w:ind w:firstLine="480" w:firstLineChars="200"/>
        <w:rPr>
          <w:rFonts w:hint="eastAsia" w:cs="仿宋_GB2312"/>
          <w:szCs w:val="24"/>
        </w:rPr>
      </w:pPr>
      <w:r>
        <w:rPr>
          <w:rFonts w:hint="eastAsia" w:cs="仿宋_GB2312"/>
          <w:szCs w:val="24"/>
        </w:rPr>
        <w:t>（一）商务部分</w:t>
      </w:r>
    </w:p>
    <w:p w14:paraId="26116212">
      <w:pPr>
        <w:ind w:left="240" w:leftChars="100" w:firstLine="480" w:firstLineChars="200"/>
        <w:rPr>
          <w:rFonts w:hint="eastAsia" w:cs="仿宋_GB2312"/>
          <w:szCs w:val="24"/>
        </w:rPr>
      </w:pPr>
      <w:r>
        <w:rPr>
          <w:rFonts w:hint="eastAsia" w:cs="仿宋_GB2312"/>
          <w:szCs w:val="24"/>
          <w:lang w:val="en-US" w:eastAsia="zh-CN"/>
        </w:rPr>
        <w:t>1</w:t>
      </w:r>
      <w:r>
        <w:rPr>
          <w:rFonts w:cs="仿宋_GB2312"/>
          <w:szCs w:val="24"/>
        </w:rPr>
        <w:t>.商务响应偏离表</w:t>
      </w:r>
    </w:p>
    <w:p w14:paraId="366BE360">
      <w:pPr>
        <w:ind w:left="240" w:leftChars="100" w:firstLine="480" w:firstLineChars="200"/>
        <w:rPr>
          <w:rFonts w:hint="eastAsia" w:cs="仿宋_GB2312"/>
          <w:szCs w:val="24"/>
        </w:rPr>
      </w:pPr>
      <w:r>
        <w:rPr>
          <w:rFonts w:hint="eastAsia" w:cs="仿宋_GB2312"/>
          <w:szCs w:val="24"/>
          <w:lang w:val="en-US" w:eastAsia="zh-CN"/>
        </w:rPr>
        <w:t>2</w:t>
      </w:r>
      <w:r>
        <w:rPr>
          <w:rFonts w:cs="仿宋_GB2312"/>
          <w:szCs w:val="24"/>
        </w:rPr>
        <w:t>.其它商务文件</w:t>
      </w:r>
    </w:p>
    <w:p w14:paraId="12253A00">
      <w:pPr>
        <w:ind w:firstLine="480" w:firstLineChars="200"/>
        <w:rPr>
          <w:rFonts w:hint="eastAsia" w:cs="仿宋_GB2312"/>
          <w:szCs w:val="24"/>
        </w:rPr>
      </w:pPr>
      <w:r>
        <w:rPr>
          <w:rFonts w:hint="eastAsia" w:cs="仿宋_GB2312"/>
          <w:szCs w:val="24"/>
        </w:rPr>
        <w:t>（二）技术部分</w:t>
      </w:r>
    </w:p>
    <w:p w14:paraId="75F98EA6">
      <w:pPr>
        <w:ind w:left="240" w:leftChars="100" w:firstLine="480" w:firstLineChars="200"/>
        <w:rPr>
          <w:rFonts w:hint="eastAsia" w:cs="仿宋_GB2312"/>
          <w:szCs w:val="24"/>
        </w:rPr>
      </w:pPr>
      <w:r>
        <w:rPr>
          <w:rFonts w:cs="仿宋_GB2312"/>
          <w:szCs w:val="24"/>
        </w:rPr>
        <w:t>1.技术响应偏离表</w:t>
      </w:r>
    </w:p>
    <w:p w14:paraId="0B2273C1">
      <w:pPr>
        <w:ind w:left="240" w:leftChars="100" w:firstLine="480" w:firstLineChars="200"/>
        <w:rPr>
          <w:rFonts w:hint="eastAsia" w:cs="仿宋_GB2312"/>
          <w:szCs w:val="24"/>
        </w:rPr>
      </w:pPr>
      <w:r>
        <w:rPr>
          <w:rFonts w:cs="仿宋_GB2312"/>
          <w:szCs w:val="24"/>
        </w:rPr>
        <w:t>2.技术</w:t>
      </w:r>
      <w:r>
        <w:rPr>
          <w:rFonts w:hint="eastAsia" w:cs="仿宋_GB2312"/>
          <w:szCs w:val="24"/>
          <w:lang w:val="en-US" w:eastAsia="zh-CN"/>
        </w:rPr>
        <w:t>商务</w:t>
      </w:r>
      <w:r>
        <w:rPr>
          <w:rFonts w:cs="仿宋_GB2312"/>
          <w:szCs w:val="24"/>
        </w:rPr>
        <w:t>方案</w:t>
      </w:r>
    </w:p>
    <w:p w14:paraId="1B5646DD">
      <w:pPr>
        <w:ind w:firstLine="480" w:firstLineChars="200"/>
        <w:rPr>
          <w:rFonts w:hint="eastAsia" w:cs="仿宋_GB2312"/>
          <w:szCs w:val="24"/>
        </w:rPr>
      </w:pPr>
      <w:r>
        <w:rPr>
          <w:rFonts w:hint="eastAsia" w:cs="仿宋_GB2312"/>
          <w:szCs w:val="24"/>
        </w:rPr>
        <w:t>（三）</w:t>
      </w:r>
      <w:bookmarkStart w:id="117" w:name="_Hlk161562968"/>
      <w:r>
        <w:rPr>
          <w:rFonts w:hint="eastAsia" w:cs="仿宋_GB2312"/>
          <w:szCs w:val="24"/>
        </w:rPr>
        <w:t>落实政府采购政策相关证明文件</w:t>
      </w:r>
      <w:bookmarkEnd w:id="117"/>
    </w:p>
    <w:p w14:paraId="038C44FF">
      <w:pPr>
        <w:ind w:left="240" w:leftChars="100" w:firstLine="480" w:firstLineChars="200"/>
        <w:rPr>
          <w:rFonts w:hint="eastAsia" w:cs="仿宋_GB2312"/>
          <w:szCs w:val="24"/>
        </w:rPr>
      </w:pPr>
      <w:r>
        <w:rPr>
          <w:rFonts w:cs="仿宋_GB2312"/>
          <w:szCs w:val="24"/>
        </w:rPr>
        <w:t>1.节能环保产品清单及证明材料【如适用】</w:t>
      </w:r>
    </w:p>
    <w:p w14:paraId="13BEA204">
      <w:pPr>
        <w:ind w:left="240" w:leftChars="100" w:firstLine="480" w:firstLineChars="200"/>
        <w:rPr>
          <w:rFonts w:hint="eastAsia" w:cs="仿宋_GB2312"/>
          <w:szCs w:val="24"/>
        </w:rPr>
      </w:pPr>
      <w:r>
        <w:rPr>
          <w:rFonts w:cs="仿宋_GB2312"/>
          <w:szCs w:val="24"/>
        </w:rPr>
        <w:t>2.中小企业声明函【如适用】</w:t>
      </w:r>
    </w:p>
    <w:p w14:paraId="743515F7">
      <w:pPr>
        <w:ind w:left="240" w:leftChars="100" w:firstLine="480" w:firstLineChars="200"/>
        <w:rPr>
          <w:rFonts w:hint="eastAsia" w:cs="仿宋_GB2312"/>
          <w:szCs w:val="24"/>
        </w:rPr>
      </w:pPr>
      <w:r>
        <w:rPr>
          <w:rFonts w:cs="仿宋_GB2312"/>
          <w:szCs w:val="24"/>
        </w:rPr>
        <w:t>3.监狱企业证明文件【如适用】</w:t>
      </w:r>
    </w:p>
    <w:p w14:paraId="5CD6CC34">
      <w:pPr>
        <w:ind w:left="240" w:leftChars="100" w:firstLine="480" w:firstLineChars="200"/>
        <w:rPr>
          <w:rFonts w:hint="eastAsia" w:cs="仿宋_GB2312"/>
          <w:szCs w:val="24"/>
        </w:rPr>
      </w:pPr>
      <w:r>
        <w:rPr>
          <w:rFonts w:cs="仿宋_GB2312"/>
          <w:szCs w:val="24"/>
        </w:rPr>
        <w:t>4.残疾人福利性单位声明函【如适用】</w:t>
      </w:r>
    </w:p>
    <w:p w14:paraId="639A3813">
      <w:pPr>
        <w:ind w:left="240" w:leftChars="100" w:firstLine="480" w:firstLineChars="200"/>
        <w:rPr>
          <w:rFonts w:hint="eastAsia" w:cs="仿宋_GB2312"/>
          <w:szCs w:val="24"/>
        </w:rPr>
      </w:pPr>
      <w:r>
        <w:rPr>
          <w:rFonts w:cs="仿宋_GB2312"/>
          <w:szCs w:val="24"/>
        </w:rPr>
        <w:t>5.</w:t>
      </w:r>
      <w:r>
        <w:rPr>
          <w:rFonts w:hint="eastAsia" w:cs="仿宋_GB2312"/>
          <w:szCs w:val="24"/>
        </w:rPr>
        <w:t>投标供应商</w:t>
      </w:r>
      <w:r>
        <w:rPr>
          <w:rFonts w:cs="仿宋_GB2312"/>
          <w:szCs w:val="24"/>
        </w:rPr>
        <w:t>认为需要提供的其他资料</w:t>
      </w:r>
    </w:p>
    <w:p w14:paraId="585134EA">
      <w:pPr>
        <w:pStyle w:val="6"/>
        <w:numPr>
          <w:ilvl w:val="0"/>
          <w:numId w:val="9"/>
        </w:numPr>
        <w:rPr>
          <w:rFonts w:hint="eastAsia"/>
        </w:rPr>
      </w:pPr>
      <w:bookmarkStart w:id="118" w:name="_Toc140132772"/>
      <w:bookmarkStart w:id="119" w:name="_Toc12935"/>
      <w:r>
        <w:rPr>
          <w:rFonts w:hint="eastAsia"/>
        </w:rPr>
        <w:t>投标报价</w:t>
      </w:r>
      <w:bookmarkEnd w:id="118"/>
      <w:bookmarkEnd w:id="119"/>
    </w:p>
    <w:p w14:paraId="1539C083">
      <w:pPr>
        <w:ind w:firstLine="480" w:firstLineChars="200"/>
        <w:rPr>
          <w:rFonts w:hint="eastAsia" w:cs="宋体"/>
          <w:snapToGrid w:val="0"/>
          <w:szCs w:val="24"/>
          <w:lang w:val="zh-CN"/>
        </w:rPr>
      </w:pPr>
      <w:r>
        <w:rPr>
          <w:rFonts w:cs="宋体"/>
          <w:snapToGrid w:val="0"/>
          <w:szCs w:val="24"/>
        </w:rPr>
        <w:t>15</w:t>
      </w:r>
      <w:r>
        <w:rPr>
          <w:rFonts w:hint="eastAsia" w:cs="宋体"/>
          <w:snapToGrid w:val="0"/>
          <w:szCs w:val="24"/>
        </w:rPr>
        <w:t xml:space="preserve">.1 </w:t>
      </w:r>
      <w:r>
        <w:rPr>
          <w:rFonts w:hint="eastAsia" w:cs="宋体"/>
          <w:snapToGrid w:val="0"/>
          <w:szCs w:val="24"/>
          <w:lang w:val="zh-CN"/>
        </w:rPr>
        <w:t>投标供应商的报价均应以人民币进行报价。</w:t>
      </w:r>
    </w:p>
    <w:p w14:paraId="3EFAECE9">
      <w:pPr>
        <w:ind w:firstLine="480" w:firstLineChars="200"/>
        <w:rPr>
          <w:rFonts w:hint="eastAsia" w:cs="宋体"/>
          <w:snapToGrid w:val="0"/>
          <w:szCs w:val="24"/>
        </w:rPr>
      </w:pPr>
      <w:r>
        <w:rPr>
          <w:rFonts w:cs="宋体"/>
          <w:snapToGrid w:val="0"/>
          <w:szCs w:val="24"/>
        </w:rPr>
        <w:t>15</w:t>
      </w:r>
      <w:r>
        <w:rPr>
          <w:rFonts w:hint="eastAsia" w:cs="宋体"/>
          <w:snapToGrid w:val="0"/>
          <w:szCs w:val="24"/>
        </w:rPr>
        <w:t>.2 投标供应商应按照本招标文件规定的报价方式进行报价，具体报价方式见“投标供应商须知前附表”。投标报价中不得包含招标文件要求以外的内容，否则，在评标时不予核减。投标报价中也不得遗漏招标文件所要求的内容，否则，其</w:t>
      </w:r>
      <w:r>
        <w:rPr>
          <w:rFonts w:hint="eastAsia" w:cs="宋体"/>
          <w:b/>
          <w:bCs/>
          <w:snapToGrid w:val="0"/>
          <w:szCs w:val="24"/>
        </w:rPr>
        <w:t>投标无效</w:t>
      </w:r>
      <w:r>
        <w:rPr>
          <w:rFonts w:hint="eastAsia" w:cs="宋体"/>
          <w:snapToGrid w:val="0"/>
          <w:szCs w:val="24"/>
        </w:rPr>
        <w:t>。</w:t>
      </w:r>
    </w:p>
    <w:p w14:paraId="187A6E81">
      <w:pPr>
        <w:ind w:firstLine="480" w:firstLineChars="200"/>
        <w:rPr>
          <w:rFonts w:hint="eastAsia" w:cs="宋体"/>
          <w:snapToGrid w:val="0"/>
          <w:szCs w:val="24"/>
          <w:lang w:val="zh-CN"/>
        </w:rPr>
      </w:pPr>
      <w:r>
        <w:rPr>
          <w:rFonts w:cs="宋体"/>
          <w:snapToGrid w:val="0"/>
          <w:szCs w:val="24"/>
        </w:rPr>
        <w:t>15</w:t>
      </w:r>
      <w:r>
        <w:rPr>
          <w:rFonts w:hint="eastAsia" w:cs="宋体"/>
          <w:snapToGrid w:val="0"/>
          <w:szCs w:val="24"/>
        </w:rPr>
        <w:t xml:space="preserve">.3 </w:t>
      </w:r>
      <w:r>
        <w:rPr>
          <w:rFonts w:hint="eastAsia" w:cs="宋体"/>
          <w:snapToGrid w:val="0"/>
          <w:szCs w:val="24"/>
          <w:lang w:val="zh-CN"/>
        </w:rPr>
        <w:t>投标供应商应根据本招标文件的规定和要求、市场价格水平及其走势、投标供应商的管理水平、投标供应商的方案和由这些因素决定的投标供应商之于本项目的成本水平等提出自己的报价。报价应合理，并包含完成本招标文件采购需求全部内容的所有费用，所有根据本招标文件或其它原因应由投标供应商支付的税款和其他应交纳的费用都应包括在投标供应商提交的投标报价中。</w:t>
      </w:r>
    </w:p>
    <w:p w14:paraId="428BC062">
      <w:pPr>
        <w:ind w:firstLine="480" w:firstLineChars="200"/>
        <w:rPr>
          <w:rFonts w:hint="eastAsia" w:cs="宋体"/>
          <w:snapToGrid w:val="0"/>
          <w:szCs w:val="24"/>
        </w:rPr>
      </w:pPr>
      <w:r>
        <w:rPr>
          <w:rFonts w:cs="宋体"/>
          <w:snapToGrid w:val="0"/>
          <w:szCs w:val="24"/>
        </w:rPr>
        <w:t>15</w:t>
      </w:r>
      <w:r>
        <w:rPr>
          <w:rFonts w:hint="eastAsia" w:cs="宋体"/>
          <w:snapToGrid w:val="0"/>
          <w:szCs w:val="24"/>
        </w:rPr>
        <w:t>.4 投标供应商在投标文件中注明免费的项目将视为包含在投标报价中。</w:t>
      </w:r>
    </w:p>
    <w:p w14:paraId="68372921">
      <w:pPr>
        <w:ind w:firstLine="480" w:firstLineChars="200"/>
        <w:rPr>
          <w:rFonts w:hint="eastAsia" w:cs="宋体"/>
          <w:snapToGrid w:val="0"/>
          <w:szCs w:val="24"/>
        </w:rPr>
      </w:pPr>
      <w:r>
        <w:rPr>
          <w:rFonts w:cs="宋体"/>
          <w:snapToGrid w:val="0"/>
          <w:szCs w:val="24"/>
        </w:rPr>
        <w:t>15</w:t>
      </w:r>
      <w:r>
        <w:rPr>
          <w:rFonts w:hint="eastAsia" w:cs="宋体"/>
          <w:snapToGrid w:val="0"/>
          <w:szCs w:val="24"/>
        </w:rPr>
        <w:t>.5 每一种采购内容只允许有一个报价，否则其</w:t>
      </w:r>
      <w:r>
        <w:rPr>
          <w:rFonts w:hint="eastAsia" w:cs="宋体"/>
          <w:b/>
          <w:bCs/>
          <w:snapToGrid w:val="0"/>
          <w:szCs w:val="24"/>
        </w:rPr>
        <w:t>投标无效</w:t>
      </w:r>
      <w:r>
        <w:rPr>
          <w:rFonts w:hint="eastAsia" w:cs="宋体"/>
          <w:snapToGrid w:val="0"/>
          <w:szCs w:val="24"/>
        </w:rPr>
        <w:t>。</w:t>
      </w:r>
    </w:p>
    <w:p w14:paraId="194B0563">
      <w:pPr>
        <w:ind w:firstLine="480" w:firstLineChars="200"/>
        <w:rPr>
          <w:rFonts w:hint="eastAsia" w:cs="仿宋_GB2312"/>
          <w:szCs w:val="24"/>
        </w:rPr>
      </w:pPr>
      <w:r>
        <w:rPr>
          <w:rFonts w:cs="仿宋_GB2312"/>
          <w:szCs w:val="24"/>
        </w:rPr>
        <w:t>15.</w:t>
      </w:r>
      <w:r>
        <w:rPr>
          <w:rFonts w:hint="eastAsia" w:cs="仿宋_GB2312"/>
          <w:szCs w:val="24"/>
        </w:rPr>
        <w:t>6投标报价不得超过“投标供应商</w:t>
      </w:r>
      <w:r>
        <w:rPr>
          <w:rFonts w:cs="仿宋_GB2312"/>
          <w:szCs w:val="24"/>
        </w:rPr>
        <w:t>须知前附表</w:t>
      </w:r>
      <w:r>
        <w:rPr>
          <w:rFonts w:hint="eastAsia" w:cs="仿宋_GB2312"/>
          <w:szCs w:val="24"/>
        </w:rPr>
        <w:t>”中规定的最高投标限价，否则</w:t>
      </w:r>
      <w:r>
        <w:rPr>
          <w:rFonts w:cs="仿宋_GB2312"/>
          <w:szCs w:val="24"/>
        </w:rPr>
        <w:t>评标委员会将否决其投标。</w:t>
      </w:r>
    </w:p>
    <w:p w14:paraId="5265CC44">
      <w:pPr>
        <w:pStyle w:val="6"/>
        <w:numPr>
          <w:ilvl w:val="0"/>
          <w:numId w:val="9"/>
        </w:numPr>
        <w:rPr>
          <w:rFonts w:hint="eastAsia"/>
        </w:rPr>
      </w:pPr>
      <w:bookmarkStart w:id="120" w:name="_Toc16897"/>
      <w:bookmarkStart w:id="121" w:name="_Toc140132773"/>
      <w:r>
        <w:rPr>
          <w:rFonts w:hint="eastAsia"/>
        </w:rPr>
        <w:t>投标有效期</w:t>
      </w:r>
      <w:bookmarkEnd w:id="120"/>
      <w:bookmarkEnd w:id="121"/>
    </w:p>
    <w:p w14:paraId="375921C9">
      <w:pPr>
        <w:ind w:firstLine="480" w:firstLineChars="200"/>
        <w:rPr>
          <w:rFonts w:hint="eastAsia" w:cs="仿宋_GB2312"/>
          <w:szCs w:val="24"/>
        </w:rPr>
      </w:pPr>
      <w:r>
        <w:rPr>
          <w:rFonts w:cs="仿宋_GB2312"/>
          <w:szCs w:val="24"/>
        </w:rPr>
        <w:t>16</w:t>
      </w:r>
      <w:r>
        <w:rPr>
          <w:rFonts w:hint="eastAsia" w:cs="仿宋_GB2312"/>
          <w:szCs w:val="24"/>
        </w:rPr>
        <w:t xml:space="preserve">.1 </w:t>
      </w:r>
      <w:r>
        <w:rPr>
          <w:rFonts w:ascii="Arial" w:hAnsi="Arial" w:cs="Arial"/>
          <w:kern w:val="0"/>
          <w:szCs w:val="21"/>
          <w:lang w:val="en"/>
        </w:rPr>
        <w:t>投标有效期</w:t>
      </w:r>
      <w:r>
        <w:rPr>
          <w:rFonts w:hint="eastAsia" w:cs="仿宋_GB2312"/>
          <w:szCs w:val="24"/>
        </w:rPr>
        <w:t>见“投标供应商</w:t>
      </w:r>
      <w:r>
        <w:rPr>
          <w:rFonts w:cs="仿宋_GB2312"/>
          <w:szCs w:val="24"/>
        </w:rPr>
        <w:t>须知前附表</w:t>
      </w:r>
      <w:r>
        <w:rPr>
          <w:rFonts w:hint="eastAsia" w:cs="仿宋_GB2312"/>
          <w:szCs w:val="24"/>
        </w:rPr>
        <w:t>”，投标供应商承诺的投标有效期不足的，其投标文件将被视为</w:t>
      </w:r>
      <w:r>
        <w:rPr>
          <w:rFonts w:hint="eastAsia" w:cs="仿宋_GB2312"/>
          <w:b/>
          <w:bCs/>
          <w:szCs w:val="24"/>
        </w:rPr>
        <w:t>投标无效</w:t>
      </w:r>
      <w:r>
        <w:rPr>
          <w:rFonts w:hint="eastAsia" w:cs="仿宋_GB2312"/>
          <w:szCs w:val="24"/>
        </w:rPr>
        <w:t>。</w:t>
      </w:r>
    </w:p>
    <w:p w14:paraId="0F7D96C6">
      <w:pPr>
        <w:ind w:firstLine="480" w:firstLineChars="200"/>
        <w:rPr>
          <w:rFonts w:hint="eastAsia" w:cs="仿宋_GB2312"/>
          <w:szCs w:val="24"/>
        </w:rPr>
      </w:pPr>
      <w:r>
        <w:rPr>
          <w:rFonts w:cs="仿宋_GB2312"/>
          <w:szCs w:val="24"/>
        </w:rPr>
        <w:t>16.2特殊情况下，在原</w:t>
      </w:r>
      <w:r>
        <w:rPr>
          <w:rFonts w:hint="eastAsia" w:cs="仿宋_GB2312"/>
          <w:szCs w:val="24"/>
        </w:rPr>
        <w:t>投标文件</w:t>
      </w:r>
      <w:r>
        <w:rPr>
          <w:rFonts w:cs="仿宋_GB2312"/>
          <w:szCs w:val="24"/>
        </w:rPr>
        <w:t>有效期截止之前，采购代理机构或采购人可要求</w:t>
      </w:r>
      <w:r>
        <w:rPr>
          <w:rFonts w:hint="eastAsia" w:cs="仿宋_GB2312"/>
          <w:szCs w:val="24"/>
        </w:rPr>
        <w:t>投标供应商</w:t>
      </w:r>
      <w:r>
        <w:rPr>
          <w:rFonts w:cs="仿宋_GB2312"/>
          <w:szCs w:val="24"/>
        </w:rPr>
        <w:t>延长</w:t>
      </w:r>
      <w:r>
        <w:rPr>
          <w:rFonts w:hint="eastAsia" w:cs="仿宋_GB2312"/>
          <w:szCs w:val="24"/>
        </w:rPr>
        <w:t>投标</w:t>
      </w:r>
      <w:r>
        <w:rPr>
          <w:rFonts w:cs="仿宋_GB2312"/>
          <w:szCs w:val="24"/>
        </w:rPr>
        <w:t>有效期。需要延长</w:t>
      </w:r>
      <w:r>
        <w:rPr>
          <w:rFonts w:hint="eastAsia" w:cs="仿宋_GB2312"/>
          <w:szCs w:val="24"/>
        </w:rPr>
        <w:t>投标</w:t>
      </w:r>
      <w:r>
        <w:rPr>
          <w:rFonts w:cs="仿宋_GB2312"/>
          <w:szCs w:val="24"/>
        </w:rPr>
        <w:t>有效期时，采购代理机构或采购人将以书面形式通知所有</w:t>
      </w:r>
      <w:r>
        <w:rPr>
          <w:rFonts w:hint="eastAsia" w:cs="仿宋_GB2312"/>
          <w:szCs w:val="24"/>
        </w:rPr>
        <w:t>投标供应商</w:t>
      </w:r>
      <w:r>
        <w:rPr>
          <w:rFonts w:cs="仿宋_GB2312"/>
          <w:szCs w:val="24"/>
        </w:rPr>
        <w:t>，</w:t>
      </w:r>
      <w:r>
        <w:rPr>
          <w:rFonts w:hint="eastAsia" w:cs="仿宋_GB2312"/>
          <w:szCs w:val="24"/>
        </w:rPr>
        <w:t>投标供应商</w:t>
      </w:r>
      <w:r>
        <w:rPr>
          <w:rFonts w:cs="仿宋_GB2312"/>
          <w:szCs w:val="24"/>
        </w:rPr>
        <w:t>应以书面形式答复是否同意延长</w:t>
      </w:r>
      <w:r>
        <w:rPr>
          <w:rFonts w:hint="eastAsia" w:cs="仿宋_GB2312"/>
          <w:szCs w:val="24"/>
        </w:rPr>
        <w:t>投标</w:t>
      </w:r>
      <w:r>
        <w:rPr>
          <w:rFonts w:cs="仿宋_GB2312"/>
          <w:szCs w:val="24"/>
        </w:rPr>
        <w:t>有效期。</w:t>
      </w:r>
    </w:p>
    <w:p w14:paraId="03540509">
      <w:pPr>
        <w:ind w:firstLine="480" w:firstLineChars="200"/>
        <w:rPr>
          <w:rFonts w:hint="eastAsia" w:cs="仿宋_GB2312"/>
          <w:szCs w:val="24"/>
        </w:rPr>
      </w:pPr>
      <w:r>
        <w:rPr>
          <w:rFonts w:cs="仿宋_GB2312"/>
          <w:szCs w:val="24"/>
        </w:rPr>
        <w:t>16.3</w:t>
      </w:r>
      <w:r>
        <w:rPr>
          <w:rFonts w:hint="eastAsia" w:cs="仿宋_GB2312"/>
          <w:szCs w:val="24"/>
        </w:rPr>
        <w:t>投标供应商</w:t>
      </w:r>
      <w:r>
        <w:rPr>
          <w:rFonts w:cs="仿宋_GB2312"/>
          <w:szCs w:val="24"/>
        </w:rPr>
        <w:t>同意延长的，不得要求或被允许修改或撤销其</w:t>
      </w:r>
      <w:r>
        <w:rPr>
          <w:rFonts w:hint="eastAsia" w:cs="仿宋_GB2312"/>
          <w:szCs w:val="24"/>
        </w:rPr>
        <w:t>投标文件</w:t>
      </w:r>
      <w:r>
        <w:rPr>
          <w:rFonts w:cs="仿宋_GB2312"/>
          <w:szCs w:val="24"/>
        </w:rPr>
        <w:t>；供应商拒绝延长的，其</w:t>
      </w:r>
      <w:r>
        <w:rPr>
          <w:rFonts w:hint="eastAsia" w:cs="仿宋_GB2312"/>
          <w:szCs w:val="24"/>
        </w:rPr>
        <w:t>投标文件</w:t>
      </w:r>
      <w:r>
        <w:rPr>
          <w:rFonts w:cs="仿宋_GB2312"/>
          <w:szCs w:val="24"/>
        </w:rPr>
        <w:t>在原</w:t>
      </w:r>
      <w:r>
        <w:rPr>
          <w:rFonts w:hint="eastAsia" w:cs="仿宋_GB2312"/>
          <w:szCs w:val="24"/>
        </w:rPr>
        <w:t>投标</w:t>
      </w:r>
      <w:r>
        <w:rPr>
          <w:rFonts w:cs="仿宋_GB2312"/>
          <w:szCs w:val="24"/>
        </w:rPr>
        <w:t>有效期满后将不再有效。</w:t>
      </w:r>
    </w:p>
    <w:p w14:paraId="1B45FE2B">
      <w:pPr>
        <w:pStyle w:val="6"/>
        <w:numPr>
          <w:ilvl w:val="0"/>
          <w:numId w:val="9"/>
        </w:numPr>
        <w:rPr>
          <w:rFonts w:hint="eastAsia"/>
        </w:rPr>
      </w:pPr>
      <w:bookmarkStart w:id="122" w:name="_Toc140132774"/>
      <w:bookmarkStart w:id="123" w:name="_Toc23918"/>
      <w:r>
        <w:rPr>
          <w:rFonts w:hint="eastAsia"/>
        </w:rPr>
        <w:t>投标文件的编制</w:t>
      </w:r>
      <w:bookmarkEnd w:id="122"/>
      <w:bookmarkEnd w:id="123"/>
    </w:p>
    <w:p w14:paraId="16B52EA7">
      <w:pPr>
        <w:ind w:firstLine="480" w:firstLineChars="200"/>
        <w:rPr>
          <w:rFonts w:hint="eastAsia" w:cs="仿宋_GB2312"/>
          <w:szCs w:val="24"/>
        </w:rPr>
      </w:pPr>
      <w:r>
        <w:rPr>
          <w:rFonts w:cs="仿宋_GB2312"/>
          <w:szCs w:val="24"/>
        </w:rPr>
        <w:t>17</w:t>
      </w:r>
      <w:r>
        <w:rPr>
          <w:rFonts w:hint="eastAsia" w:cs="仿宋_GB2312"/>
          <w:szCs w:val="24"/>
        </w:rPr>
        <w:t>.1投标文件应在供应商客户端中进行编制，在投标文件中要求加盖印章的，除有特殊说明之外，一律使用电子签章签署。</w:t>
      </w:r>
    </w:p>
    <w:p w14:paraId="68A6047E">
      <w:pPr>
        <w:pStyle w:val="36"/>
        <w:rPr>
          <w:rFonts w:hint="eastAsia"/>
        </w:rPr>
      </w:pPr>
      <w:r>
        <w:t>17</w:t>
      </w:r>
      <w:r>
        <w:rPr>
          <w:rFonts w:hint="eastAsia"/>
        </w:rPr>
        <w:t>.</w:t>
      </w:r>
      <w:bookmarkStart w:id="124" w:name="_Hlk143528557"/>
      <w:r>
        <w:t>2</w:t>
      </w:r>
      <w:r>
        <w:rPr>
          <w:rFonts w:hint="eastAsia"/>
        </w:rPr>
        <w:t>投标供应商在供应商客户端中按照供应商客户端中的格式要求填写响应内容后，生成投标文件。投标供应商须按照招标文件的要求使用电子签章对要求加盖印章的部分逐一进行签章。</w:t>
      </w:r>
      <w:bookmarkEnd w:id="124"/>
    </w:p>
    <w:p w14:paraId="7675C45A">
      <w:pPr>
        <w:pStyle w:val="5"/>
        <w:numPr>
          <w:ilvl w:val="0"/>
          <w:numId w:val="8"/>
        </w:numPr>
        <w:rPr>
          <w:rFonts w:hint="eastAsia"/>
        </w:rPr>
      </w:pPr>
      <w:bookmarkStart w:id="125" w:name="_Toc155185873"/>
      <w:bookmarkStart w:id="126" w:name="_Toc4873"/>
      <w:r>
        <w:rPr>
          <w:rFonts w:hint="eastAsia" w:asciiTheme="minorHAnsi" w:hAnsiTheme="minorHAnsi"/>
        </w:rPr>
        <w:t>投标</w:t>
      </w:r>
      <w:bookmarkEnd w:id="125"/>
      <w:bookmarkEnd w:id="126"/>
    </w:p>
    <w:p w14:paraId="705380F1">
      <w:pPr>
        <w:pStyle w:val="6"/>
        <w:numPr>
          <w:ilvl w:val="0"/>
          <w:numId w:val="9"/>
        </w:numPr>
        <w:rPr>
          <w:rFonts w:hint="eastAsia"/>
        </w:rPr>
      </w:pPr>
      <w:bookmarkStart w:id="127" w:name="_Toc27206"/>
      <w:r>
        <w:rPr>
          <w:rFonts w:hint="eastAsia"/>
        </w:rPr>
        <w:t>投标文件的加密</w:t>
      </w:r>
      <w:bookmarkEnd w:id="127"/>
    </w:p>
    <w:p w14:paraId="54C9423B">
      <w:pPr>
        <w:ind w:firstLine="480" w:firstLineChars="200"/>
        <w:rPr>
          <w:rFonts w:hint="eastAsia" w:cs="仿宋_GB2312"/>
          <w:szCs w:val="24"/>
          <w:u w:val="single"/>
        </w:rPr>
      </w:pPr>
      <w:bookmarkStart w:id="128" w:name="_Hlk143531864"/>
      <w:r>
        <w:rPr>
          <w:rFonts w:cs="仿宋_GB2312"/>
          <w:szCs w:val="24"/>
        </w:rPr>
        <w:t>18</w:t>
      </w:r>
      <w:r>
        <w:rPr>
          <w:rFonts w:hint="eastAsia" w:cs="仿宋_GB2312"/>
          <w:szCs w:val="24"/>
        </w:rPr>
        <w:t>.1投标供应商在供应商客户端中生成投标文件并完成签章之后，使用CA证书在供应商客户端中对投标文件进行加密。</w:t>
      </w:r>
    </w:p>
    <w:p w14:paraId="1B846A2B">
      <w:pPr>
        <w:ind w:firstLine="480" w:firstLineChars="200"/>
        <w:rPr>
          <w:rFonts w:hint="eastAsia" w:cs="仿宋_GB2312"/>
          <w:szCs w:val="24"/>
        </w:rPr>
      </w:pPr>
      <w:r>
        <w:rPr>
          <w:rFonts w:cs="仿宋_GB2312"/>
          <w:szCs w:val="24"/>
        </w:rPr>
        <w:t>18</w:t>
      </w:r>
      <w:r>
        <w:rPr>
          <w:rFonts w:hint="eastAsia" w:cs="仿宋_GB2312"/>
          <w:szCs w:val="24"/>
        </w:rPr>
        <w:t>.2投标供应商应在供应商客户端中对加密的投标文件进行解密验证，以防止投标文件加密异常，在开标时无法解密。</w:t>
      </w:r>
    </w:p>
    <w:p w14:paraId="3E8AF321">
      <w:pPr>
        <w:ind w:firstLine="480" w:firstLineChars="200"/>
        <w:rPr>
          <w:rFonts w:hint="eastAsia" w:cs="仿宋_GB2312"/>
          <w:szCs w:val="24"/>
        </w:rPr>
      </w:pPr>
      <w:r>
        <w:rPr>
          <w:rFonts w:cs="仿宋_GB2312"/>
          <w:szCs w:val="24"/>
        </w:rPr>
        <w:t>18</w:t>
      </w:r>
      <w:r>
        <w:rPr>
          <w:rFonts w:hint="eastAsia" w:cs="仿宋_GB2312"/>
          <w:szCs w:val="24"/>
        </w:rPr>
        <w:t>.3 投标供应商应保证加密投标文件的CA证书有效期在开标时间之前。若CA证书有效期临近开标时间，建议投标供应商提前办理CA证书续期，以免开标时无法进行解密。</w:t>
      </w:r>
    </w:p>
    <w:bookmarkEnd w:id="128"/>
    <w:p w14:paraId="7C410427">
      <w:pPr>
        <w:pStyle w:val="6"/>
        <w:numPr>
          <w:ilvl w:val="0"/>
          <w:numId w:val="9"/>
        </w:numPr>
        <w:rPr>
          <w:rFonts w:hint="eastAsia"/>
        </w:rPr>
      </w:pPr>
      <w:bookmarkStart w:id="129" w:name="_Toc140132777"/>
      <w:bookmarkStart w:id="130" w:name="_Toc3408"/>
      <w:r>
        <w:rPr>
          <w:rFonts w:hint="eastAsia"/>
        </w:rPr>
        <w:t>投标文件的递交</w:t>
      </w:r>
      <w:bookmarkEnd w:id="129"/>
      <w:r>
        <w:rPr>
          <w:rFonts w:hint="eastAsia"/>
        </w:rPr>
        <w:t>（上传）</w:t>
      </w:r>
      <w:bookmarkEnd w:id="130"/>
    </w:p>
    <w:p w14:paraId="77A5CC71">
      <w:pPr>
        <w:ind w:firstLine="480" w:firstLineChars="200"/>
        <w:rPr>
          <w:rFonts w:hint="eastAsia" w:cs="仿宋_GB2312"/>
          <w:szCs w:val="24"/>
        </w:rPr>
      </w:pPr>
      <w:bookmarkStart w:id="131" w:name="_Hlk143531977"/>
      <w:r>
        <w:rPr>
          <w:rFonts w:cs="仿宋_GB2312"/>
          <w:szCs w:val="24"/>
        </w:rPr>
        <w:t>19</w:t>
      </w:r>
      <w:r>
        <w:rPr>
          <w:rFonts w:hint="eastAsia" w:cs="仿宋_GB2312"/>
          <w:szCs w:val="24"/>
        </w:rPr>
        <w:t>.1 投标供应商应在“投标供应商</w:t>
      </w:r>
      <w:r>
        <w:rPr>
          <w:rFonts w:cs="仿宋_GB2312"/>
          <w:szCs w:val="24"/>
        </w:rPr>
        <w:t>须知前附表</w:t>
      </w:r>
      <w:r>
        <w:rPr>
          <w:rFonts w:hint="eastAsia" w:cs="仿宋_GB2312"/>
          <w:szCs w:val="24"/>
        </w:rPr>
        <w:t>”规定的投标截止时间前递交（上传）投标文件。</w:t>
      </w:r>
    </w:p>
    <w:p w14:paraId="563A9E66">
      <w:pPr>
        <w:ind w:firstLine="480" w:firstLineChars="200"/>
        <w:rPr>
          <w:rFonts w:hint="eastAsia" w:cs="仿宋_GB2312"/>
          <w:szCs w:val="24"/>
        </w:rPr>
      </w:pPr>
      <w:r>
        <w:rPr>
          <w:rFonts w:cs="仿宋_GB2312"/>
          <w:szCs w:val="24"/>
        </w:rPr>
        <w:t>19</w:t>
      </w:r>
      <w:r>
        <w:rPr>
          <w:rFonts w:hint="eastAsia" w:cs="仿宋_GB2312"/>
          <w:szCs w:val="24"/>
        </w:rPr>
        <w:t>.2 投标供应商递交（上传）投标文件的地点见“投标供应商</w:t>
      </w:r>
      <w:r>
        <w:rPr>
          <w:rFonts w:cs="仿宋_GB2312"/>
          <w:szCs w:val="24"/>
        </w:rPr>
        <w:t>须知前附表</w:t>
      </w:r>
      <w:r>
        <w:rPr>
          <w:rFonts w:hint="eastAsia" w:cs="仿宋_GB2312"/>
          <w:szCs w:val="24"/>
        </w:rPr>
        <w:t>”。</w:t>
      </w:r>
    </w:p>
    <w:p w14:paraId="12A9EAFF">
      <w:pPr>
        <w:ind w:firstLine="480" w:firstLineChars="200"/>
        <w:rPr>
          <w:rFonts w:hint="eastAsia" w:cs="仿宋_GB2312"/>
          <w:szCs w:val="24"/>
        </w:rPr>
      </w:pPr>
      <w:r>
        <w:rPr>
          <w:rFonts w:cs="仿宋_GB2312"/>
          <w:szCs w:val="24"/>
        </w:rPr>
        <w:t>19</w:t>
      </w:r>
      <w:r>
        <w:rPr>
          <w:rFonts w:hint="eastAsia" w:cs="仿宋_GB2312"/>
          <w:szCs w:val="24"/>
        </w:rPr>
        <w:t>.3投标供应商应充分评估集中同时投标带来的网络影响，尽量避开投标高峰时间，错峰进行电子投标。投标供应商递交全部的投标文件后可在递交投标文件的交易系统中获取投标文件递交回执单。</w:t>
      </w:r>
    </w:p>
    <w:p w14:paraId="2760F133">
      <w:pPr>
        <w:ind w:firstLine="480" w:firstLineChars="200"/>
        <w:rPr>
          <w:rFonts w:hint="eastAsia" w:cs="仿宋_GB2312"/>
          <w:szCs w:val="24"/>
        </w:rPr>
      </w:pPr>
      <w:r>
        <w:rPr>
          <w:rFonts w:cs="仿宋_GB2312"/>
          <w:szCs w:val="24"/>
        </w:rPr>
        <w:t>19</w:t>
      </w:r>
      <w:r>
        <w:rPr>
          <w:rFonts w:hint="eastAsia" w:cs="仿宋_GB2312"/>
          <w:szCs w:val="24"/>
        </w:rPr>
        <w:t>.4</w:t>
      </w:r>
      <w:r>
        <w:rPr>
          <w:rFonts w:cs="仿宋_GB2312"/>
          <w:szCs w:val="24"/>
        </w:rPr>
        <w:t xml:space="preserve"> </w:t>
      </w:r>
      <w:r>
        <w:rPr>
          <w:rFonts w:hint="eastAsia" w:cs="仿宋_GB2312"/>
          <w:szCs w:val="24"/>
        </w:rPr>
        <w:t>投标供应商应在供应商客户端中下载未加密且完成签章的投标文件妥善保存，以便启动应急开标程序时使用。</w:t>
      </w:r>
    </w:p>
    <w:p w14:paraId="2982F76B">
      <w:pPr>
        <w:ind w:firstLine="480" w:firstLineChars="200"/>
        <w:rPr>
          <w:rFonts w:hint="eastAsia" w:cs="仿宋_GB2312"/>
          <w:szCs w:val="24"/>
        </w:rPr>
      </w:pPr>
      <w:r>
        <w:rPr>
          <w:rFonts w:cs="仿宋_GB2312"/>
          <w:szCs w:val="24"/>
        </w:rPr>
        <w:t>19</w:t>
      </w:r>
      <w:r>
        <w:rPr>
          <w:rFonts w:hint="eastAsia" w:cs="仿宋_GB2312"/>
          <w:szCs w:val="24"/>
        </w:rPr>
        <w:t>.</w:t>
      </w:r>
      <w:r>
        <w:rPr>
          <w:rFonts w:cs="仿宋_GB2312"/>
          <w:szCs w:val="24"/>
        </w:rPr>
        <w:t>5</w:t>
      </w:r>
      <w:r>
        <w:rPr>
          <w:rFonts w:hint="eastAsia" w:cs="仿宋_GB2312"/>
          <w:szCs w:val="24"/>
        </w:rPr>
        <w:t>投标供应商所递交的投标文件不予退还。</w:t>
      </w:r>
    </w:p>
    <w:bookmarkEnd w:id="131"/>
    <w:p w14:paraId="568551FD">
      <w:pPr>
        <w:pStyle w:val="6"/>
        <w:numPr>
          <w:ilvl w:val="0"/>
          <w:numId w:val="9"/>
        </w:numPr>
        <w:rPr>
          <w:rFonts w:hint="eastAsia"/>
        </w:rPr>
      </w:pPr>
      <w:bookmarkStart w:id="132" w:name="_Toc14110"/>
      <w:r>
        <w:rPr>
          <w:rFonts w:hint="eastAsia"/>
        </w:rPr>
        <w:t>拒收</w:t>
      </w:r>
      <w:bookmarkEnd w:id="132"/>
    </w:p>
    <w:p w14:paraId="379BC331">
      <w:pPr>
        <w:ind w:firstLine="480" w:firstLineChars="200"/>
        <w:rPr>
          <w:rFonts w:hint="eastAsia" w:cs="仿宋_GB2312"/>
          <w:szCs w:val="24"/>
        </w:rPr>
      </w:pPr>
      <w:r>
        <w:rPr>
          <w:rFonts w:cs="仿宋_GB2312"/>
          <w:szCs w:val="24"/>
        </w:rPr>
        <w:t>20</w:t>
      </w:r>
      <w:r>
        <w:rPr>
          <w:rFonts w:hint="eastAsia" w:cs="仿宋_GB2312"/>
          <w:szCs w:val="24"/>
        </w:rPr>
        <w:t>.1 超过投标文件提交截止时间</w:t>
      </w:r>
      <w:bookmarkStart w:id="133" w:name="_Hlk143532404"/>
      <w:r>
        <w:rPr>
          <w:rFonts w:hint="eastAsia" w:cs="仿宋_GB2312"/>
          <w:szCs w:val="24"/>
        </w:rPr>
        <w:t>或者不按照本章要求加密的投标文件，交易系统应当拒收</w:t>
      </w:r>
      <w:bookmarkEnd w:id="133"/>
      <w:r>
        <w:rPr>
          <w:rFonts w:hint="eastAsia" w:cs="仿宋_GB2312"/>
          <w:szCs w:val="24"/>
        </w:rPr>
        <w:t>。</w:t>
      </w:r>
    </w:p>
    <w:p w14:paraId="76AB96C5">
      <w:pPr>
        <w:pStyle w:val="6"/>
        <w:numPr>
          <w:ilvl w:val="0"/>
          <w:numId w:val="9"/>
        </w:numPr>
        <w:rPr>
          <w:rFonts w:hint="eastAsia"/>
        </w:rPr>
      </w:pPr>
      <w:bookmarkStart w:id="134" w:name="_Toc6497"/>
      <w:bookmarkStart w:id="135" w:name="_Toc140132778"/>
      <w:r>
        <w:rPr>
          <w:rFonts w:hint="eastAsia"/>
        </w:rPr>
        <w:t>投标文件的修改与撤回</w:t>
      </w:r>
      <w:bookmarkEnd w:id="134"/>
      <w:bookmarkEnd w:id="135"/>
    </w:p>
    <w:p w14:paraId="10822406">
      <w:pPr>
        <w:pStyle w:val="36"/>
        <w:rPr>
          <w:rFonts w:hint="eastAsia"/>
        </w:rPr>
      </w:pPr>
      <w:r>
        <w:t>21</w:t>
      </w:r>
      <w:r>
        <w:rPr>
          <w:rFonts w:hint="eastAsia"/>
        </w:rPr>
        <w:t xml:space="preserve">.1 </w:t>
      </w:r>
      <w:bookmarkStart w:id="136" w:name="_Hlk143532466"/>
      <w:r>
        <w:rPr>
          <w:rFonts w:hint="eastAsia"/>
        </w:rPr>
        <w:t>在投标截止时间前，投标供应商可使用CA证书在递交投标文件的系统中撤回已提交的投标文件。投标文件撤回后，需重新递交的，投标供应商按照本章第1</w:t>
      </w:r>
      <w:r>
        <w:t>9</w:t>
      </w:r>
      <w:r>
        <w:rPr>
          <w:rFonts w:hint="eastAsia"/>
        </w:rPr>
        <w:t>款中的要求重新提交投标文件。</w:t>
      </w:r>
      <w:bookmarkEnd w:id="136"/>
    </w:p>
    <w:p w14:paraId="485B0BE4">
      <w:pPr>
        <w:pStyle w:val="6"/>
        <w:numPr>
          <w:ilvl w:val="0"/>
          <w:numId w:val="9"/>
        </w:numPr>
        <w:rPr>
          <w:rFonts w:hint="eastAsia"/>
        </w:rPr>
      </w:pPr>
      <w:bookmarkStart w:id="137" w:name="_Toc155185874"/>
      <w:bookmarkStart w:id="138" w:name="_Toc19007"/>
      <w:r>
        <w:rPr>
          <w:rFonts w:hint="eastAsia"/>
        </w:rPr>
        <w:t>实物样品</w:t>
      </w:r>
      <w:bookmarkEnd w:id="137"/>
      <w:bookmarkEnd w:id="138"/>
    </w:p>
    <w:p w14:paraId="1227F9CA">
      <w:pPr>
        <w:pStyle w:val="36"/>
        <w:rPr>
          <w:rFonts w:hint="eastAsia"/>
        </w:rPr>
      </w:pPr>
      <w:r>
        <w:rPr>
          <w:rFonts w:hint="eastAsia"/>
        </w:rPr>
        <w:t>22.1“投标供应商须知前附表”要求提供样品的，样品的具体要求及评审详见“第三章 采购需求”和“第五章 评标办法及标准”。</w:t>
      </w:r>
    </w:p>
    <w:p w14:paraId="016089C6">
      <w:pPr>
        <w:pStyle w:val="36"/>
        <w:rPr>
          <w:rFonts w:hint="eastAsia" w:cs="仿宋_GB2312"/>
          <w:b/>
          <w:szCs w:val="24"/>
        </w:rPr>
      </w:pPr>
      <w:r>
        <w:t>22</w:t>
      </w:r>
      <w:r>
        <w:rPr>
          <w:rFonts w:hint="eastAsia"/>
        </w:rPr>
        <w:t>.2样品退还：未中标的投标供应商应于中标结果公告发布之日起10日内自行联系采购人取回投标样品；中标人的样品由采购人进行保管、封存，并作为履约验收的参考（招标文件另有规定的从其规定）。</w:t>
      </w:r>
    </w:p>
    <w:p w14:paraId="36E6C83D">
      <w:pPr>
        <w:pStyle w:val="6"/>
        <w:numPr>
          <w:ilvl w:val="0"/>
          <w:numId w:val="9"/>
        </w:numPr>
        <w:rPr>
          <w:rFonts w:hint="eastAsia"/>
        </w:rPr>
      </w:pPr>
      <w:bookmarkStart w:id="139" w:name="_Toc155185875"/>
      <w:bookmarkStart w:id="140" w:name="_Toc3235"/>
      <w:r>
        <w:rPr>
          <w:rFonts w:hint="eastAsia"/>
        </w:rPr>
        <w:t>演示</w:t>
      </w:r>
      <w:bookmarkEnd w:id="139"/>
      <w:bookmarkEnd w:id="140"/>
    </w:p>
    <w:p w14:paraId="3190A89A">
      <w:pPr>
        <w:pStyle w:val="36"/>
        <w:rPr>
          <w:rFonts w:hint="eastAsia"/>
        </w:rPr>
      </w:pPr>
      <w:r>
        <w:t>23</w:t>
      </w:r>
      <w:r>
        <w:rPr>
          <w:rFonts w:hint="eastAsia"/>
        </w:rPr>
        <w:t>.1要求投标供应商进行演示的，演示要求详见“投标供应商须知前附表”。</w:t>
      </w:r>
    </w:p>
    <w:p w14:paraId="57734FA2">
      <w:pPr>
        <w:pStyle w:val="36"/>
        <w:rPr>
          <w:rFonts w:hint="eastAsia"/>
        </w:rPr>
      </w:pPr>
      <w:r>
        <w:t>23</w:t>
      </w:r>
      <w:r>
        <w:rPr>
          <w:rFonts w:hint="eastAsia"/>
        </w:rPr>
        <w:t>.2演示的评审详见“第三章 采购需求”和“第五章 评标办法及标准”。</w:t>
      </w:r>
    </w:p>
    <w:p w14:paraId="507D326D">
      <w:pPr>
        <w:pStyle w:val="5"/>
        <w:numPr>
          <w:ilvl w:val="0"/>
          <w:numId w:val="8"/>
        </w:numPr>
        <w:rPr>
          <w:rFonts w:hint="eastAsia" w:asciiTheme="minorHAnsi" w:hAnsiTheme="minorHAnsi"/>
        </w:rPr>
      </w:pPr>
      <w:bookmarkStart w:id="141" w:name="_Toc155185876"/>
      <w:bookmarkStart w:id="142" w:name="_Toc140132779"/>
      <w:bookmarkStart w:id="143" w:name="_Toc29358"/>
      <w:r>
        <w:rPr>
          <w:rFonts w:hint="eastAsia" w:asciiTheme="minorHAnsi" w:hAnsiTheme="minorHAnsi"/>
        </w:rPr>
        <w:t>开标</w:t>
      </w:r>
      <w:bookmarkEnd w:id="141"/>
      <w:bookmarkEnd w:id="142"/>
      <w:bookmarkEnd w:id="143"/>
    </w:p>
    <w:p w14:paraId="67DBA06D">
      <w:pPr>
        <w:pStyle w:val="6"/>
        <w:numPr>
          <w:ilvl w:val="0"/>
          <w:numId w:val="9"/>
        </w:numPr>
        <w:rPr>
          <w:rFonts w:hint="eastAsia"/>
        </w:rPr>
      </w:pPr>
      <w:bookmarkStart w:id="144" w:name="_Toc29781"/>
      <w:bookmarkStart w:id="145" w:name="_Toc140132780"/>
      <w:r>
        <w:rPr>
          <w:rFonts w:hint="eastAsia"/>
        </w:rPr>
        <w:t>开标会议准备</w:t>
      </w:r>
      <w:bookmarkEnd w:id="144"/>
      <w:bookmarkEnd w:id="145"/>
    </w:p>
    <w:p w14:paraId="5435937A">
      <w:pPr>
        <w:ind w:firstLine="480" w:firstLineChars="200"/>
        <w:rPr>
          <w:rFonts w:hint="eastAsia" w:cs="仿宋_GB2312"/>
          <w:bCs/>
          <w:szCs w:val="24"/>
        </w:rPr>
      </w:pPr>
      <w:bookmarkStart w:id="146" w:name="_Toc140132781"/>
      <w:r>
        <w:rPr>
          <w:rFonts w:cs="仿宋_GB2312"/>
          <w:szCs w:val="24"/>
        </w:rPr>
        <w:t>24</w:t>
      </w:r>
      <w:r>
        <w:rPr>
          <w:rFonts w:hint="eastAsia" w:cs="仿宋_GB2312"/>
          <w:szCs w:val="24"/>
        </w:rPr>
        <w:t>.1 投标供应商应按照“投标供应商须知前附表”中的要求参与远程开标。</w:t>
      </w:r>
      <w:bookmarkEnd w:id="146"/>
    </w:p>
    <w:p w14:paraId="27176E2D">
      <w:pPr>
        <w:pStyle w:val="6"/>
        <w:numPr>
          <w:ilvl w:val="0"/>
          <w:numId w:val="9"/>
        </w:numPr>
        <w:rPr>
          <w:rFonts w:hint="eastAsia"/>
        </w:rPr>
      </w:pPr>
      <w:bookmarkStart w:id="147" w:name="_Toc25018"/>
      <w:bookmarkStart w:id="148" w:name="_Toc140132782"/>
      <w:r>
        <w:rPr>
          <w:rFonts w:hint="eastAsia"/>
        </w:rPr>
        <w:t>开标时间和地点</w:t>
      </w:r>
      <w:bookmarkEnd w:id="147"/>
      <w:bookmarkEnd w:id="148"/>
    </w:p>
    <w:p w14:paraId="5ABA23EC">
      <w:pPr>
        <w:ind w:firstLine="480" w:firstLineChars="200"/>
        <w:rPr>
          <w:rFonts w:hint="eastAsia" w:cs="仿宋_GB2312"/>
          <w:szCs w:val="24"/>
        </w:rPr>
      </w:pPr>
      <w:r>
        <w:rPr>
          <w:rFonts w:cs="仿宋_GB2312"/>
          <w:szCs w:val="24"/>
        </w:rPr>
        <w:t>25</w:t>
      </w:r>
      <w:r>
        <w:rPr>
          <w:rFonts w:hint="eastAsia" w:cs="仿宋_GB2312"/>
          <w:szCs w:val="24"/>
        </w:rPr>
        <w:t>.1开标会按“投标供应商须知前附表”规定的开标时间和地点准时举行，采购人、采购代理机构邀请所有投标供应商授权代表准时参加开标会。投标供应商授权代表如出席会议，应在供应商客户端中登录政府采购交易系统后，使用CA证书验证投标供应商身份后参与开标会。</w:t>
      </w:r>
    </w:p>
    <w:p w14:paraId="580DB795">
      <w:pPr>
        <w:pStyle w:val="6"/>
        <w:numPr>
          <w:ilvl w:val="0"/>
          <w:numId w:val="9"/>
        </w:numPr>
        <w:rPr>
          <w:rFonts w:hint="eastAsia"/>
        </w:rPr>
      </w:pPr>
      <w:bookmarkStart w:id="149" w:name="_Toc140132783"/>
      <w:bookmarkStart w:id="150" w:name="_Toc22894"/>
      <w:r>
        <w:rPr>
          <w:rFonts w:hint="eastAsia"/>
        </w:rPr>
        <w:t>开标程序</w:t>
      </w:r>
      <w:bookmarkEnd w:id="149"/>
      <w:bookmarkEnd w:id="150"/>
    </w:p>
    <w:p w14:paraId="6500EE2C">
      <w:pPr>
        <w:widowControl/>
        <w:ind w:firstLine="480" w:firstLineChars="200"/>
        <w:rPr>
          <w:rFonts w:hint="eastAsia" w:cs="仿宋_GB2312"/>
          <w:szCs w:val="24"/>
        </w:rPr>
      </w:pPr>
      <w:r>
        <w:rPr>
          <w:rFonts w:cs="仿宋_GB2312"/>
          <w:szCs w:val="24"/>
        </w:rPr>
        <w:t>26</w:t>
      </w:r>
      <w:r>
        <w:rPr>
          <w:rFonts w:hint="eastAsia" w:cs="仿宋_GB2312"/>
          <w:szCs w:val="24"/>
        </w:rPr>
        <w:t>.1 投标供应商不足3家的，不得开标。</w:t>
      </w:r>
    </w:p>
    <w:p w14:paraId="0C28E0A7">
      <w:pPr>
        <w:widowControl/>
        <w:ind w:firstLine="480" w:firstLineChars="200"/>
        <w:rPr>
          <w:rFonts w:hint="eastAsia"/>
        </w:rPr>
      </w:pPr>
      <w:r>
        <w:rPr>
          <w:rFonts w:cs="仿宋_GB2312"/>
          <w:szCs w:val="24"/>
        </w:rPr>
        <w:t>26</w:t>
      </w:r>
      <w:r>
        <w:rPr>
          <w:rFonts w:hint="eastAsia" w:cs="仿宋_GB2312"/>
          <w:szCs w:val="24"/>
        </w:rPr>
        <w:t>.2 评标委员会成员不得参加开标活动。</w:t>
      </w:r>
    </w:p>
    <w:p w14:paraId="7039B226">
      <w:pPr>
        <w:ind w:firstLine="480" w:firstLineChars="200"/>
        <w:rPr>
          <w:rFonts w:hint="eastAsia" w:cs="仿宋_GB2312"/>
          <w:szCs w:val="24"/>
        </w:rPr>
      </w:pPr>
      <w:r>
        <w:rPr>
          <w:rFonts w:cs="仿宋_GB2312"/>
          <w:szCs w:val="24"/>
        </w:rPr>
        <w:t>26</w:t>
      </w:r>
      <w:r>
        <w:rPr>
          <w:rFonts w:hint="eastAsia" w:cs="仿宋_GB2312"/>
          <w:szCs w:val="24"/>
        </w:rPr>
        <w:t>.3主持人按下列程序进行开标：</w:t>
      </w:r>
    </w:p>
    <w:p w14:paraId="500A3FFC">
      <w:pPr>
        <w:ind w:firstLine="398" w:firstLineChars="166"/>
        <w:rPr>
          <w:rFonts w:hint="eastAsia" w:cs="仿宋_GB2312"/>
          <w:szCs w:val="24"/>
        </w:rPr>
      </w:pPr>
      <w:r>
        <w:rPr>
          <w:rFonts w:hint="eastAsia" w:cs="仿宋_GB2312"/>
          <w:szCs w:val="24"/>
        </w:rPr>
        <w:t>（1）宣布开标会纪律；</w:t>
      </w:r>
    </w:p>
    <w:p w14:paraId="02D5224B">
      <w:pPr>
        <w:ind w:firstLine="398" w:firstLineChars="166"/>
        <w:rPr>
          <w:rFonts w:hint="eastAsia" w:cs="仿宋_GB2312"/>
          <w:szCs w:val="24"/>
        </w:rPr>
      </w:pPr>
      <w:r>
        <w:rPr>
          <w:rFonts w:hint="eastAsia" w:cs="仿宋_GB2312"/>
          <w:szCs w:val="24"/>
        </w:rPr>
        <w:t>（2）介绍参加开标会的单位和人员；</w:t>
      </w:r>
    </w:p>
    <w:p w14:paraId="43D20341">
      <w:pPr>
        <w:ind w:firstLine="398" w:firstLineChars="166"/>
        <w:rPr>
          <w:rFonts w:hint="eastAsia" w:cs="仿宋_GB2312"/>
          <w:szCs w:val="24"/>
        </w:rPr>
      </w:pPr>
      <w:r>
        <w:rPr>
          <w:rFonts w:hint="eastAsia" w:cs="仿宋_GB2312"/>
          <w:szCs w:val="24"/>
        </w:rPr>
        <w:t>（3）发起投标文件解密。投标供应商应在“投标供应商须知前附表”规定的时间内使用加密投标文件的CA证书在系统中完成投标文件的解密；</w:t>
      </w:r>
    </w:p>
    <w:p w14:paraId="77CDBB88">
      <w:pPr>
        <w:ind w:firstLine="398" w:firstLineChars="166"/>
        <w:rPr>
          <w:rFonts w:hint="eastAsia" w:cs="仿宋_GB2312"/>
          <w:szCs w:val="24"/>
        </w:rPr>
      </w:pPr>
      <w:r>
        <w:rPr>
          <w:rFonts w:hint="eastAsia" w:cs="仿宋_GB2312"/>
          <w:szCs w:val="24"/>
        </w:rPr>
        <w:t>（4）解密完成后，系统自动显示投标供应商名称、投标价格和招标文件规定的需要宣布的其他内容；</w:t>
      </w:r>
    </w:p>
    <w:p w14:paraId="42DDFE78">
      <w:pPr>
        <w:ind w:firstLine="398" w:firstLineChars="166"/>
        <w:rPr>
          <w:rFonts w:hint="eastAsia" w:cs="仿宋_GB2312"/>
          <w:szCs w:val="24"/>
        </w:rPr>
      </w:pPr>
      <w:r>
        <w:rPr>
          <w:rFonts w:hint="eastAsia" w:cs="仿宋_GB2312"/>
          <w:szCs w:val="24"/>
        </w:rPr>
        <w:t>（5）系统自动生成开标记录表，供应商应在线对开标记录进行签署确认；</w:t>
      </w:r>
    </w:p>
    <w:p w14:paraId="445FF6E1">
      <w:pPr>
        <w:widowControl/>
        <w:ind w:firstLine="480" w:firstLineChars="200"/>
        <w:rPr>
          <w:rFonts w:hint="eastAsia" w:cs="仿宋_GB2312"/>
          <w:szCs w:val="24"/>
        </w:rPr>
      </w:pPr>
      <w:r>
        <w:rPr>
          <w:rFonts w:hint="eastAsia" w:cs="仿宋_GB2312"/>
          <w:szCs w:val="24"/>
        </w:rPr>
        <w:t>（6）开标会结束。</w:t>
      </w:r>
    </w:p>
    <w:p w14:paraId="0379D3E3">
      <w:pPr>
        <w:pStyle w:val="6"/>
        <w:numPr>
          <w:ilvl w:val="0"/>
          <w:numId w:val="9"/>
        </w:numPr>
        <w:rPr>
          <w:rFonts w:hint="eastAsia"/>
        </w:rPr>
      </w:pPr>
      <w:bookmarkStart w:id="151" w:name="_Toc140132784"/>
      <w:bookmarkStart w:id="152" w:name="_Toc11732"/>
      <w:r>
        <w:rPr>
          <w:rFonts w:hint="eastAsia"/>
        </w:rPr>
        <w:t>开标疑义及回避情形</w:t>
      </w:r>
      <w:bookmarkEnd w:id="151"/>
      <w:bookmarkEnd w:id="152"/>
    </w:p>
    <w:p w14:paraId="22B74A32">
      <w:pPr>
        <w:pStyle w:val="36"/>
        <w:rPr>
          <w:rFonts w:hint="eastAsia"/>
          <w:lang w:val="en-US"/>
        </w:rPr>
      </w:pPr>
      <w:r>
        <w:t>27</w:t>
      </w:r>
      <w:r>
        <w:rPr>
          <w:rFonts w:hint="eastAsia"/>
        </w:rPr>
        <w:t>.1投标供应商代表对开标过程和开标记录有疑义，以及认为采购人、采购代理机构相关工作人员有需要回避的情形的，应在开标会议中提出询问或者回避申请。采购人、采购代理机构对投标供应商授权代表提出的询问或者回避申请应当及时处理。</w:t>
      </w:r>
      <w:r>
        <w:rPr>
          <w:rFonts w:hint="eastAsia"/>
          <w:lang w:val="en-US"/>
        </w:rPr>
        <w:t>采购人、采购人代表依法需要回避的情形在“投标供应商须知前附表”已列举。</w:t>
      </w:r>
    </w:p>
    <w:p w14:paraId="3111B7F7">
      <w:pPr>
        <w:pStyle w:val="36"/>
        <w:rPr>
          <w:rFonts w:hint="eastAsia"/>
        </w:rPr>
      </w:pPr>
      <w:r>
        <w:rPr>
          <w:rFonts w:hint="eastAsia"/>
        </w:rPr>
        <w:t>27.2投标供应商未参加开标的，视同认可开标结果。</w:t>
      </w:r>
    </w:p>
    <w:p w14:paraId="75048703">
      <w:pPr>
        <w:pStyle w:val="5"/>
        <w:numPr>
          <w:ilvl w:val="0"/>
          <w:numId w:val="8"/>
        </w:numPr>
        <w:rPr>
          <w:rFonts w:hint="eastAsia" w:asciiTheme="minorHAnsi" w:hAnsiTheme="minorHAnsi"/>
        </w:rPr>
      </w:pPr>
      <w:bookmarkStart w:id="153" w:name="_Toc140132785"/>
      <w:bookmarkStart w:id="154" w:name="_Toc19601"/>
      <w:bookmarkStart w:id="155" w:name="_Toc155185877"/>
      <w:r>
        <w:rPr>
          <w:rFonts w:hint="eastAsia" w:asciiTheme="minorHAnsi" w:hAnsiTheme="minorHAnsi"/>
        </w:rPr>
        <w:t>资格审查</w:t>
      </w:r>
      <w:bookmarkEnd w:id="153"/>
      <w:bookmarkEnd w:id="154"/>
      <w:bookmarkEnd w:id="155"/>
    </w:p>
    <w:p w14:paraId="55A7B1A5">
      <w:pPr>
        <w:pStyle w:val="6"/>
        <w:numPr>
          <w:ilvl w:val="0"/>
          <w:numId w:val="9"/>
        </w:numPr>
        <w:rPr>
          <w:rFonts w:hint="eastAsia"/>
        </w:rPr>
      </w:pPr>
      <w:bookmarkStart w:id="156" w:name="_Toc28993"/>
      <w:r>
        <w:rPr>
          <w:rFonts w:hint="eastAsia"/>
        </w:rPr>
        <w:t>资格审查及审查主体</w:t>
      </w:r>
      <w:bookmarkEnd w:id="156"/>
    </w:p>
    <w:p w14:paraId="0B71826C">
      <w:pPr>
        <w:pStyle w:val="36"/>
        <w:rPr>
          <w:rFonts w:hint="eastAsia"/>
        </w:rPr>
      </w:pPr>
      <w:bookmarkStart w:id="157" w:name="_Toc140132786"/>
      <w:r>
        <w:rPr>
          <w:rFonts w:hint="eastAsia"/>
        </w:rPr>
        <w:t>2</w:t>
      </w:r>
      <w:r>
        <w:t>8</w:t>
      </w:r>
      <w:r>
        <w:rPr>
          <w:rFonts w:hint="eastAsia"/>
        </w:rPr>
        <w:t>.1</w:t>
      </w:r>
      <w:r>
        <w:t>开标结束后，根据委托代理协议由资格审查的责任主体依据法律法规和本招标文件的规定，依法对</w:t>
      </w:r>
      <w:r>
        <w:rPr>
          <w:rFonts w:hint="eastAsia"/>
        </w:rPr>
        <w:t>投标供应商</w:t>
      </w:r>
      <w:r>
        <w:t>资格进行审查，以确定</w:t>
      </w:r>
      <w:r>
        <w:rPr>
          <w:rFonts w:hint="eastAsia"/>
        </w:rPr>
        <w:t>投标供应商</w:t>
      </w:r>
      <w:r>
        <w:t>是否具备投标资格。</w:t>
      </w:r>
      <w:bookmarkEnd w:id="157"/>
    </w:p>
    <w:p w14:paraId="331CC894">
      <w:pPr>
        <w:pStyle w:val="36"/>
        <w:rPr>
          <w:rFonts w:hint="eastAsia"/>
        </w:rPr>
      </w:pPr>
      <w:bookmarkStart w:id="158" w:name="_Toc140132787"/>
      <w:r>
        <w:t>28</w:t>
      </w:r>
      <w:r>
        <w:rPr>
          <w:rFonts w:hint="eastAsia"/>
        </w:rPr>
        <w:t>.2</w:t>
      </w:r>
      <w:r>
        <w:t>资格审查</w:t>
      </w:r>
      <w:r>
        <w:rPr>
          <w:rFonts w:hint="eastAsia"/>
        </w:rPr>
        <w:t>按第四章“资格审查方法及标准”的规定进行。</w:t>
      </w:r>
      <w:bookmarkEnd w:id="158"/>
    </w:p>
    <w:p w14:paraId="229D4BCC">
      <w:pPr>
        <w:pStyle w:val="36"/>
        <w:rPr>
          <w:rFonts w:hint="eastAsia"/>
        </w:rPr>
      </w:pPr>
      <w:bookmarkStart w:id="159" w:name="_Toc140132788"/>
      <w:r>
        <w:t>28</w:t>
      </w:r>
      <w:r>
        <w:rPr>
          <w:rFonts w:hint="eastAsia"/>
        </w:rPr>
        <w:t>.3</w:t>
      </w:r>
      <w:r>
        <w:t>资格审查结束后，应及时对资格性审查结果进行复核，对资格性审查错误进行及时纠正并记录。</w:t>
      </w:r>
      <w:bookmarkEnd w:id="159"/>
    </w:p>
    <w:p w14:paraId="0D9F8856">
      <w:pPr>
        <w:pStyle w:val="5"/>
        <w:numPr>
          <w:ilvl w:val="0"/>
          <w:numId w:val="8"/>
        </w:numPr>
        <w:rPr>
          <w:rFonts w:hint="eastAsia" w:asciiTheme="minorHAnsi" w:hAnsiTheme="minorHAnsi"/>
        </w:rPr>
      </w:pPr>
      <w:bookmarkStart w:id="160" w:name="_Toc17002"/>
      <w:bookmarkStart w:id="161" w:name="_Toc140132789"/>
      <w:bookmarkStart w:id="162" w:name="_Toc155185878"/>
      <w:r>
        <w:rPr>
          <w:rFonts w:hint="eastAsia" w:asciiTheme="minorHAnsi" w:hAnsiTheme="minorHAnsi"/>
        </w:rPr>
        <w:t>评标</w:t>
      </w:r>
      <w:bookmarkEnd w:id="160"/>
      <w:bookmarkEnd w:id="161"/>
      <w:bookmarkEnd w:id="162"/>
    </w:p>
    <w:p w14:paraId="0508065E">
      <w:pPr>
        <w:pStyle w:val="6"/>
        <w:numPr>
          <w:ilvl w:val="0"/>
          <w:numId w:val="9"/>
        </w:numPr>
        <w:rPr>
          <w:rFonts w:hint="eastAsia"/>
        </w:rPr>
      </w:pPr>
      <w:bookmarkStart w:id="163" w:name="_Toc140132790"/>
      <w:bookmarkStart w:id="164" w:name="_Toc2933"/>
      <w:r>
        <w:rPr>
          <w:rFonts w:hint="eastAsia"/>
        </w:rPr>
        <w:t>评标委员会</w:t>
      </w:r>
      <w:bookmarkEnd w:id="163"/>
      <w:bookmarkEnd w:id="164"/>
    </w:p>
    <w:p w14:paraId="6240FBBA">
      <w:pPr>
        <w:pStyle w:val="36"/>
        <w:rPr>
          <w:rFonts w:hint="eastAsia"/>
        </w:rPr>
      </w:pPr>
      <w:r>
        <w:t>29</w:t>
      </w:r>
      <w:r>
        <w:rPr>
          <w:rFonts w:hint="eastAsia"/>
        </w:rPr>
        <w:t>.1 评标由采购人依法组建的评标委员会负责。评标委员会由采购人代表和评审专家组成。</w:t>
      </w:r>
    </w:p>
    <w:p w14:paraId="37F04D79">
      <w:pPr>
        <w:pStyle w:val="36"/>
        <w:rPr>
          <w:rFonts w:hint="eastAsia"/>
        </w:rPr>
      </w:pPr>
      <w:r>
        <w:t>29</w:t>
      </w:r>
      <w:r>
        <w:rPr>
          <w:rFonts w:hint="eastAsia"/>
        </w:rPr>
        <w:t>.2 评标委员会成员有下列情形之一的，应当回避：</w:t>
      </w:r>
    </w:p>
    <w:p w14:paraId="1AA89211">
      <w:pPr>
        <w:pStyle w:val="36"/>
        <w:rPr>
          <w:rFonts w:hint="eastAsia"/>
        </w:rPr>
      </w:pPr>
      <w:r>
        <w:rPr>
          <w:rFonts w:hint="eastAsia"/>
        </w:rPr>
        <w:t>（1）参加采购活动前3年内与投标供应商存在劳动关系；</w:t>
      </w:r>
    </w:p>
    <w:p w14:paraId="2A564C0D">
      <w:pPr>
        <w:pStyle w:val="36"/>
        <w:rPr>
          <w:rFonts w:hint="eastAsia"/>
        </w:rPr>
      </w:pPr>
      <w:r>
        <w:rPr>
          <w:rFonts w:hint="eastAsia"/>
        </w:rPr>
        <w:t>（2）参加采购活动前3年内担任投标供应商的董事、监事；</w:t>
      </w:r>
    </w:p>
    <w:p w14:paraId="7D543DCD">
      <w:pPr>
        <w:pStyle w:val="36"/>
        <w:rPr>
          <w:rFonts w:hint="eastAsia"/>
        </w:rPr>
      </w:pPr>
      <w:r>
        <w:rPr>
          <w:rFonts w:hint="eastAsia"/>
        </w:rPr>
        <w:t>（3）参加采购活动前3年内是投标供应商的控股股东或者实际控制人；</w:t>
      </w:r>
    </w:p>
    <w:p w14:paraId="5F3A8BDC">
      <w:pPr>
        <w:pStyle w:val="36"/>
        <w:rPr>
          <w:rFonts w:hint="eastAsia"/>
        </w:rPr>
      </w:pPr>
      <w:r>
        <w:rPr>
          <w:rFonts w:hint="eastAsia"/>
        </w:rPr>
        <w:t>（4）与投标供应商的法定代表人或者负责人有夫妻、直系血亲、三代以内旁系血亲或者近姻亲关系；</w:t>
      </w:r>
    </w:p>
    <w:p w14:paraId="6E51181F">
      <w:pPr>
        <w:pStyle w:val="36"/>
        <w:rPr>
          <w:rFonts w:hint="eastAsia"/>
        </w:rPr>
      </w:pPr>
      <w:r>
        <w:rPr>
          <w:rFonts w:hint="eastAsia"/>
        </w:rPr>
        <w:t>（5）与投标供应商有其他可能影响采购活动公平、公正进行的关系。</w:t>
      </w:r>
    </w:p>
    <w:p w14:paraId="078B9BE4">
      <w:pPr>
        <w:pStyle w:val="6"/>
        <w:numPr>
          <w:ilvl w:val="0"/>
          <w:numId w:val="9"/>
        </w:numPr>
        <w:rPr>
          <w:rFonts w:hint="eastAsia"/>
        </w:rPr>
      </w:pPr>
      <w:bookmarkStart w:id="165" w:name="_Toc140132791"/>
      <w:bookmarkStart w:id="166" w:name="_Toc19506"/>
      <w:r>
        <w:rPr>
          <w:rFonts w:hint="eastAsia"/>
        </w:rPr>
        <w:t>评标</w:t>
      </w:r>
      <w:bookmarkEnd w:id="165"/>
      <w:bookmarkEnd w:id="166"/>
    </w:p>
    <w:p w14:paraId="5B61CDD6">
      <w:pPr>
        <w:pStyle w:val="36"/>
        <w:rPr>
          <w:rFonts w:hint="eastAsia"/>
        </w:rPr>
      </w:pPr>
      <w:r>
        <w:t>30</w:t>
      </w:r>
      <w:r>
        <w:rPr>
          <w:rFonts w:hint="eastAsia"/>
        </w:rPr>
        <w:t>.1评标委员会按照第五章“评标方法及标准”规定对投标文件进行评审。“评标办法”没有规定的方法、评审因素和标准，不作为评标依据。</w:t>
      </w:r>
    </w:p>
    <w:p w14:paraId="26192A6B">
      <w:pPr>
        <w:pStyle w:val="36"/>
        <w:rPr>
          <w:rFonts w:hint="eastAsia"/>
        </w:rPr>
      </w:pPr>
      <w:r>
        <w:t>30</w:t>
      </w:r>
      <w:r>
        <w:rPr>
          <w:rFonts w:hint="eastAsia"/>
        </w:rPr>
        <w:t>.2评标委员会按“投标供应商须知前附表”规定的中标候选人数量在评标报告中向采购人推荐中标候选人。</w:t>
      </w:r>
    </w:p>
    <w:p w14:paraId="41528B08">
      <w:pPr>
        <w:pStyle w:val="5"/>
        <w:numPr>
          <w:ilvl w:val="0"/>
          <w:numId w:val="8"/>
        </w:numPr>
        <w:rPr>
          <w:rFonts w:hint="eastAsia" w:asciiTheme="minorHAnsi" w:hAnsiTheme="minorHAnsi"/>
        </w:rPr>
      </w:pPr>
      <w:bookmarkStart w:id="167" w:name="_Toc140132792"/>
      <w:bookmarkStart w:id="168" w:name="_Toc155185879"/>
      <w:bookmarkStart w:id="169" w:name="_Toc524"/>
      <w:r>
        <w:rPr>
          <w:rFonts w:hint="eastAsia" w:asciiTheme="minorHAnsi" w:hAnsiTheme="minorHAnsi"/>
        </w:rPr>
        <w:t>中标</w:t>
      </w:r>
      <w:bookmarkEnd w:id="167"/>
      <w:bookmarkEnd w:id="168"/>
      <w:bookmarkEnd w:id="169"/>
    </w:p>
    <w:p w14:paraId="5826A3A3">
      <w:pPr>
        <w:pStyle w:val="6"/>
        <w:numPr>
          <w:ilvl w:val="0"/>
          <w:numId w:val="9"/>
        </w:numPr>
        <w:rPr>
          <w:rFonts w:hint="eastAsia"/>
        </w:rPr>
      </w:pPr>
      <w:bookmarkStart w:id="170" w:name="_Toc21815"/>
      <w:bookmarkStart w:id="171" w:name="_Toc140132793"/>
      <w:r>
        <w:rPr>
          <w:rFonts w:hint="eastAsia"/>
        </w:rPr>
        <w:t>确定中标人</w:t>
      </w:r>
      <w:bookmarkEnd w:id="170"/>
      <w:bookmarkEnd w:id="171"/>
    </w:p>
    <w:p w14:paraId="4AE771B0">
      <w:pPr>
        <w:pStyle w:val="36"/>
        <w:rPr>
          <w:rFonts w:hint="eastAsia"/>
        </w:rPr>
      </w:pPr>
      <w:r>
        <w:rPr>
          <w:bCs/>
        </w:rPr>
        <w:t>31</w:t>
      </w:r>
      <w:r>
        <w:rPr>
          <w:rFonts w:hint="eastAsia"/>
        </w:rPr>
        <w:t>.1确定中标人详见“投标供应商须知前附表”。</w:t>
      </w:r>
    </w:p>
    <w:p w14:paraId="443BBD36">
      <w:pPr>
        <w:pStyle w:val="6"/>
        <w:numPr>
          <w:ilvl w:val="0"/>
          <w:numId w:val="9"/>
        </w:numPr>
        <w:rPr>
          <w:rFonts w:hint="eastAsia"/>
        </w:rPr>
      </w:pPr>
      <w:bookmarkStart w:id="172" w:name="_Toc9917"/>
      <w:bookmarkStart w:id="173" w:name="_Toc140132794"/>
      <w:r>
        <w:rPr>
          <w:rFonts w:hint="eastAsia"/>
        </w:rPr>
        <w:t>中标结果公告</w:t>
      </w:r>
      <w:bookmarkEnd w:id="172"/>
      <w:bookmarkEnd w:id="173"/>
    </w:p>
    <w:p w14:paraId="12F072C5">
      <w:pPr>
        <w:pStyle w:val="36"/>
        <w:rPr>
          <w:rFonts w:hint="eastAsia"/>
        </w:rPr>
      </w:pPr>
      <w:r>
        <w:rPr>
          <w:bCs/>
        </w:rPr>
        <w:t>32</w:t>
      </w:r>
      <w:r>
        <w:rPr>
          <w:rFonts w:hint="eastAsia"/>
        </w:rPr>
        <w:t>.1采购代理机构应当自中标人确定之日起2个工作日内，发出中标通知书，并在“投标供应商须知前附表”中规定的媒体上发布中标结果公告，招标文件随中标结果同时公告，中标结果公告期限为1个工作日。</w:t>
      </w:r>
    </w:p>
    <w:p w14:paraId="6B32FFCF">
      <w:pPr>
        <w:pStyle w:val="36"/>
        <w:rPr>
          <w:rFonts w:hint="eastAsia"/>
        </w:rPr>
      </w:pPr>
      <w:r>
        <w:rPr>
          <w:rFonts w:hint="eastAsia"/>
        </w:rPr>
        <w:t>3</w:t>
      </w:r>
      <w:r>
        <w:t>2.2</w:t>
      </w:r>
      <w:r>
        <w:rPr>
          <w:rFonts w:hint="eastAsia"/>
        </w:rPr>
        <w:t>项目采购采用最低评标价法的，公告中标结果时同时公告因落实政府采购政策等原因进行价格扣除后中标供应商的评审报价；项目采购采用综合评分法的，公告中标结果时同时公告中标供应商的评审总得分。</w:t>
      </w:r>
    </w:p>
    <w:p w14:paraId="7D6ECFBC">
      <w:pPr>
        <w:pStyle w:val="6"/>
        <w:numPr>
          <w:ilvl w:val="0"/>
          <w:numId w:val="9"/>
        </w:numPr>
        <w:rPr>
          <w:rFonts w:hint="eastAsia"/>
        </w:rPr>
      </w:pPr>
      <w:bookmarkStart w:id="174" w:name="_Toc5513"/>
      <w:bookmarkStart w:id="175" w:name="_Toc140132795"/>
      <w:r>
        <w:rPr>
          <w:rFonts w:hint="eastAsia"/>
        </w:rPr>
        <w:t>中标通知</w:t>
      </w:r>
      <w:bookmarkEnd w:id="174"/>
      <w:bookmarkEnd w:id="175"/>
    </w:p>
    <w:p w14:paraId="51328B55">
      <w:pPr>
        <w:pStyle w:val="36"/>
        <w:rPr>
          <w:rFonts w:hint="eastAsia"/>
        </w:rPr>
      </w:pPr>
      <w:r>
        <w:rPr>
          <w:bCs/>
        </w:rPr>
        <w:t>33</w:t>
      </w:r>
      <w:r>
        <w:rPr>
          <w:rFonts w:hint="eastAsia"/>
        </w:rPr>
        <w:t>.1采购人和采购代理机构以书面形式向中标人发出中标通知书，同时将招标结果通知未中标的投标供应商。对未通过资格审查的投标供应商，应当告知其未通过的原因；采用综合评分法评审的，还应当告知未中标人本人的评审得分与排序。</w:t>
      </w:r>
    </w:p>
    <w:p w14:paraId="37B9492F">
      <w:pPr>
        <w:pStyle w:val="5"/>
        <w:numPr>
          <w:ilvl w:val="0"/>
          <w:numId w:val="8"/>
        </w:numPr>
        <w:rPr>
          <w:rFonts w:hint="eastAsia" w:asciiTheme="minorHAnsi" w:hAnsiTheme="minorHAnsi"/>
        </w:rPr>
      </w:pPr>
      <w:bookmarkStart w:id="176" w:name="_Toc4541"/>
      <w:r>
        <w:rPr>
          <w:rFonts w:hint="eastAsia" w:asciiTheme="minorHAnsi" w:hAnsiTheme="minorHAnsi"/>
        </w:rPr>
        <w:t>签订</w:t>
      </w:r>
      <w:bookmarkStart w:id="177" w:name="_Toc140132796"/>
      <w:bookmarkStart w:id="178" w:name="_Toc155185880"/>
      <w:r>
        <w:rPr>
          <w:rFonts w:hint="eastAsia" w:asciiTheme="minorHAnsi" w:hAnsiTheme="minorHAnsi"/>
        </w:rPr>
        <w:t>合同</w:t>
      </w:r>
      <w:bookmarkEnd w:id="176"/>
      <w:bookmarkEnd w:id="177"/>
      <w:bookmarkEnd w:id="178"/>
    </w:p>
    <w:p w14:paraId="290F606F">
      <w:pPr>
        <w:pStyle w:val="6"/>
        <w:numPr>
          <w:ilvl w:val="0"/>
          <w:numId w:val="9"/>
        </w:numPr>
        <w:rPr>
          <w:rFonts w:hint="eastAsia"/>
        </w:rPr>
      </w:pPr>
      <w:bookmarkStart w:id="179" w:name="_Toc140132797"/>
      <w:bookmarkStart w:id="180" w:name="_Toc11078"/>
      <w:r>
        <w:rPr>
          <w:rFonts w:hint="eastAsia"/>
        </w:rPr>
        <w:t>履约保证金</w:t>
      </w:r>
      <w:bookmarkEnd w:id="179"/>
      <w:bookmarkEnd w:id="180"/>
    </w:p>
    <w:p w14:paraId="77973450">
      <w:pPr>
        <w:pStyle w:val="36"/>
        <w:rPr>
          <w:rFonts w:hint="eastAsia"/>
        </w:rPr>
      </w:pPr>
      <w:r>
        <w:rPr>
          <w:bCs/>
        </w:rPr>
        <w:t>34</w:t>
      </w:r>
      <w:r>
        <w:rPr>
          <w:rFonts w:hint="eastAsia"/>
        </w:rPr>
        <w:t>.1在签订合同前，中标人应按“投标供应商须知前附表”规定的金额、担保形式和采购人认可的履约担保格式向采购人提交履约保证金。</w:t>
      </w:r>
    </w:p>
    <w:p w14:paraId="486BE8D9">
      <w:pPr>
        <w:pStyle w:val="36"/>
        <w:rPr>
          <w:rFonts w:hint="eastAsia"/>
        </w:rPr>
      </w:pPr>
      <w:r>
        <w:rPr>
          <w:bCs/>
        </w:rPr>
        <w:t>34</w:t>
      </w:r>
      <w:r>
        <w:rPr>
          <w:rFonts w:hint="eastAsia"/>
        </w:rPr>
        <w:t>.2中标人不能按本章第</w:t>
      </w:r>
      <w:r>
        <w:t>34</w:t>
      </w:r>
      <w:r>
        <w:rPr>
          <w:rFonts w:hint="eastAsia"/>
        </w:rPr>
        <w:t>.1项要求提交履约担保的，视为放弃中标，给采购人造成损失的，中标人还应当承担民事责任。</w:t>
      </w:r>
    </w:p>
    <w:p w14:paraId="0B7CE9D3">
      <w:pPr>
        <w:pStyle w:val="6"/>
        <w:numPr>
          <w:ilvl w:val="0"/>
          <w:numId w:val="9"/>
        </w:numPr>
        <w:rPr>
          <w:rFonts w:hint="eastAsia"/>
        </w:rPr>
      </w:pPr>
      <w:bookmarkStart w:id="181" w:name="_Toc15470"/>
      <w:bookmarkStart w:id="182" w:name="_Toc140132798"/>
      <w:r>
        <w:rPr>
          <w:rFonts w:hint="eastAsia"/>
        </w:rPr>
        <w:t>签订合同</w:t>
      </w:r>
      <w:bookmarkEnd w:id="181"/>
      <w:bookmarkEnd w:id="182"/>
    </w:p>
    <w:p w14:paraId="673D9A21">
      <w:pPr>
        <w:pStyle w:val="36"/>
        <w:rPr>
          <w:rFonts w:hint="eastAsia"/>
        </w:rPr>
      </w:pPr>
      <w:r>
        <w:rPr>
          <w:bCs/>
        </w:rPr>
        <w:t>35</w:t>
      </w:r>
      <w:r>
        <w:rPr>
          <w:rFonts w:hint="eastAsia"/>
        </w:rPr>
        <w:t>.1 采购人和中标人应当自中标通知书发出之日起30天内，根据招标文件和中标人的投标文件订立书面合同。采购人因不可抗力原因迟延签订合同的，应当自不可抗力事由消除之日起</w:t>
      </w:r>
      <w:r>
        <w:t>7日内完成合同签订事宜。</w:t>
      </w:r>
      <w:r>
        <w:rPr>
          <w:rFonts w:hint="eastAsia"/>
        </w:rPr>
        <w:t>所签订的合同不得对招标文件和中标人投标文件作实质性修改。中标人无正当理由拒签合同的，给采购人造成损失的，中标人还应当承担民事责任。</w:t>
      </w:r>
    </w:p>
    <w:p w14:paraId="43D8FC72">
      <w:pPr>
        <w:pStyle w:val="36"/>
        <w:rPr>
          <w:rFonts w:hint="eastAsia"/>
        </w:rPr>
      </w:pPr>
      <w:r>
        <w:rPr>
          <w:bCs/>
        </w:rPr>
        <w:t>35</w:t>
      </w:r>
      <w:r>
        <w:rPr>
          <w:rFonts w:hint="eastAsia"/>
        </w:rPr>
        <w:t>.2 采购人和中标人不得向对方提出任何不合理的要求，作为签订合同的条件，双方不得私下订立背离合同实质性内容的协议。</w:t>
      </w:r>
    </w:p>
    <w:p w14:paraId="0D7D01A3">
      <w:pPr>
        <w:pStyle w:val="36"/>
        <w:rPr>
          <w:rFonts w:hint="eastAsia"/>
        </w:rPr>
      </w:pPr>
      <w:r>
        <w:rPr>
          <w:bCs/>
        </w:rPr>
        <w:t>35</w:t>
      </w:r>
      <w:r>
        <w:rPr>
          <w:rFonts w:hint="eastAsia"/>
        </w:rPr>
        <w:t>.3采购合同履行中，采购人需追加与合同标的相同的服务的，在不改变合同其他条款的前提下，可以与中标人协商签订补充合同，但所有补充合同的采购金额不得超过原合同采购金额的百分之十。</w:t>
      </w:r>
    </w:p>
    <w:p w14:paraId="253BD4F4">
      <w:pPr>
        <w:pStyle w:val="5"/>
        <w:numPr>
          <w:ilvl w:val="0"/>
          <w:numId w:val="8"/>
        </w:numPr>
        <w:rPr>
          <w:rFonts w:hint="eastAsia" w:asciiTheme="minorHAnsi" w:hAnsiTheme="minorHAnsi"/>
        </w:rPr>
      </w:pPr>
      <w:bookmarkStart w:id="183" w:name="_Toc5916"/>
      <w:bookmarkStart w:id="184" w:name="_Toc140132799"/>
      <w:bookmarkStart w:id="185" w:name="_Toc155185881"/>
      <w:r>
        <w:rPr>
          <w:rFonts w:hint="eastAsia" w:asciiTheme="minorHAnsi" w:hAnsiTheme="minorHAnsi"/>
        </w:rPr>
        <w:t>质疑和投诉</w:t>
      </w:r>
      <w:bookmarkEnd w:id="183"/>
      <w:bookmarkEnd w:id="184"/>
      <w:bookmarkEnd w:id="185"/>
    </w:p>
    <w:p w14:paraId="444ADF77">
      <w:pPr>
        <w:pStyle w:val="6"/>
        <w:numPr>
          <w:ilvl w:val="0"/>
          <w:numId w:val="9"/>
        </w:numPr>
        <w:rPr>
          <w:rFonts w:hint="eastAsia"/>
        </w:rPr>
      </w:pPr>
      <w:bookmarkStart w:id="186" w:name="_Toc9806"/>
      <w:bookmarkStart w:id="187" w:name="_Toc140132800"/>
      <w:r>
        <w:rPr>
          <w:rFonts w:hint="eastAsia"/>
        </w:rPr>
        <w:t>质疑</w:t>
      </w:r>
      <w:bookmarkEnd w:id="186"/>
      <w:bookmarkEnd w:id="187"/>
    </w:p>
    <w:p w14:paraId="6B86B62E">
      <w:pPr>
        <w:pStyle w:val="36"/>
        <w:rPr>
          <w:rFonts w:hint="eastAsia"/>
        </w:rPr>
      </w:pPr>
      <w:r>
        <w:rPr>
          <w:bCs/>
        </w:rPr>
        <w:t>36</w:t>
      </w:r>
      <w:r>
        <w:rPr>
          <w:rFonts w:hint="eastAsia"/>
        </w:rPr>
        <w:t>.1投标供应商认为招标文件、招标过程和中标结果使自己的权益受到损害的，可以在知道或者应知其权益受到损害之日起7个工作日内</w:t>
      </w:r>
      <w:bookmarkStart w:id="188" w:name="_Hlk143534740"/>
      <w:r>
        <w:rPr>
          <w:rFonts w:hint="eastAsia"/>
        </w:rPr>
        <w:t>，向采购人或采购代理机构提出质疑</w:t>
      </w:r>
      <w:bookmarkEnd w:id="188"/>
      <w:r>
        <w:rPr>
          <w:rFonts w:hint="eastAsia"/>
        </w:rPr>
        <w:t>。质疑函可在供应商客户端中编制、提交。</w:t>
      </w:r>
    </w:p>
    <w:p w14:paraId="7655091A">
      <w:pPr>
        <w:pStyle w:val="36"/>
        <w:rPr>
          <w:rFonts w:hint="eastAsia"/>
        </w:rPr>
      </w:pPr>
      <w:r>
        <w:rPr>
          <w:bCs/>
        </w:rPr>
        <w:t>36</w:t>
      </w:r>
      <w:r>
        <w:rPr>
          <w:rFonts w:hint="eastAsia"/>
        </w:rPr>
        <w:t>.2投标供应商</w:t>
      </w:r>
      <w:r>
        <w:t>提出质疑应当提交质疑函和必要的证明材料。质疑函应当包括下列内容：</w:t>
      </w:r>
    </w:p>
    <w:p w14:paraId="20835B79">
      <w:pPr>
        <w:pStyle w:val="36"/>
        <w:rPr>
          <w:rFonts w:hint="eastAsia"/>
        </w:rPr>
      </w:pPr>
      <w:r>
        <w:t>（1）</w:t>
      </w:r>
      <w:r>
        <w:rPr>
          <w:rFonts w:hint="eastAsia"/>
        </w:rPr>
        <w:t>质疑人</w:t>
      </w:r>
      <w:r>
        <w:t>的姓名或者名称、地址、邮编、联系人及联系电话；</w:t>
      </w:r>
    </w:p>
    <w:p w14:paraId="5F4FAF77">
      <w:pPr>
        <w:pStyle w:val="36"/>
        <w:rPr>
          <w:rFonts w:hint="eastAsia"/>
        </w:rPr>
      </w:pPr>
      <w:r>
        <w:t>（2）质疑项目的名称、编号；</w:t>
      </w:r>
    </w:p>
    <w:p w14:paraId="10B0DFBD">
      <w:pPr>
        <w:pStyle w:val="36"/>
        <w:rPr>
          <w:rFonts w:hint="eastAsia"/>
        </w:rPr>
      </w:pPr>
      <w:r>
        <w:t>（3）具体、明确的质疑事项和与质疑事项相关的请求；</w:t>
      </w:r>
    </w:p>
    <w:p w14:paraId="3D17102F">
      <w:pPr>
        <w:pStyle w:val="36"/>
        <w:rPr>
          <w:rFonts w:hint="eastAsia"/>
        </w:rPr>
      </w:pPr>
      <w:r>
        <w:t>（4）事实依据；</w:t>
      </w:r>
    </w:p>
    <w:p w14:paraId="15B2764B">
      <w:pPr>
        <w:pStyle w:val="36"/>
        <w:rPr>
          <w:rFonts w:hint="eastAsia"/>
        </w:rPr>
      </w:pPr>
      <w:r>
        <w:t>（5）必要的法律依据；</w:t>
      </w:r>
    </w:p>
    <w:p w14:paraId="3E2455A2">
      <w:pPr>
        <w:pStyle w:val="36"/>
        <w:rPr>
          <w:rFonts w:hint="eastAsia"/>
        </w:rPr>
      </w:pPr>
      <w:r>
        <w:t>（6）提出质疑的日期。</w:t>
      </w:r>
    </w:p>
    <w:p w14:paraId="7CAA7099">
      <w:pPr>
        <w:pStyle w:val="36"/>
        <w:rPr>
          <w:rFonts w:hint="eastAsia"/>
        </w:rPr>
      </w:pPr>
      <w:r>
        <w:t>36.3</w:t>
      </w:r>
      <w:r>
        <w:rPr>
          <w:rFonts w:hint="eastAsia"/>
        </w:rPr>
        <w:t>质疑人</w:t>
      </w:r>
      <w:r>
        <w:t>为自然人的，应当由本人签字；</w:t>
      </w:r>
      <w:r>
        <w:rPr>
          <w:rFonts w:hint="eastAsia"/>
        </w:rPr>
        <w:t>质疑人</w:t>
      </w:r>
      <w:r>
        <w:t>为法人或者其他组织的，应当由法定代表人、主要负责人，或者其授权代表签字或者盖章，并加盖公章。</w:t>
      </w:r>
    </w:p>
    <w:p w14:paraId="4E202148">
      <w:pPr>
        <w:pStyle w:val="36"/>
        <w:rPr>
          <w:rFonts w:hint="eastAsia"/>
        </w:rPr>
      </w:pPr>
      <w:r>
        <w:t>36.4</w:t>
      </w:r>
      <w:r>
        <w:rPr>
          <w:rFonts w:hint="eastAsia"/>
        </w:rPr>
        <w:t>通过客户端提出质疑的，</w:t>
      </w:r>
      <w:bookmarkStart w:id="189" w:name="_Hlk143534761"/>
      <w:r>
        <w:rPr>
          <w:rFonts w:hint="eastAsia"/>
        </w:rPr>
        <w:t>质疑</w:t>
      </w:r>
      <w:r>
        <w:t>人为自然人的，应当</w:t>
      </w:r>
      <w:r>
        <w:rPr>
          <w:rFonts w:hint="eastAsia"/>
        </w:rPr>
        <w:t>加盖</w:t>
      </w:r>
      <w:r>
        <w:t>本人</w:t>
      </w:r>
      <w:r>
        <w:rPr>
          <w:rFonts w:hint="eastAsia"/>
        </w:rPr>
        <w:t>电子印章</w:t>
      </w:r>
      <w:r>
        <w:t>；</w:t>
      </w:r>
      <w:r>
        <w:rPr>
          <w:rFonts w:hint="eastAsia"/>
        </w:rPr>
        <w:t>质疑</w:t>
      </w:r>
      <w:r>
        <w:t>人为法人或者其他组织的，应当</w:t>
      </w:r>
      <w:r>
        <w:rPr>
          <w:rFonts w:hint="eastAsia"/>
        </w:rPr>
        <w:t>加盖单位电子印章</w:t>
      </w:r>
      <w:bookmarkEnd w:id="189"/>
      <w:r>
        <w:rPr>
          <w:rFonts w:hint="eastAsia"/>
        </w:rPr>
        <w:t>。</w:t>
      </w:r>
    </w:p>
    <w:p w14:paraId="3FD461B3">
      <w:pPr>
        <w:pStyle w:val="36"/>
        <w:rPr>
          <w:rFonts w:hint="eastAsia"/>
        </w:rPr>
      </w:pPr>
      <w:r>
        <w:t>36</w:t>
      </w:r>
      <w:r>
        <w:rPr>
          <w:rFonts w:hint="eastAsia"/>
        </w:rPr>
        <w:t>.5质疑函不符合上述要求的，采购人或代理机构应书面告知具体事项，质疑人应当按要求进行修改或补充，并在质疑有效期限内提交。</w:t>
      </w:r>
    </w:p>
    <w:p w14:paraId="6056DCC4">
      <w:pPr>
        <w:pStyle w:val="6"/>
        <w:numPr>
          <w:ilvl w:val="0"/>
          <w:numId w:val="9"/>
        </w:numPr>
        <w:rPr>
          <w:rFonts w:hint="eastAsia"/>
        </w:rPr>
      </w:pPr>
      <w:bookmarkStart w:id="190" w:name="_Toc140132801"/>
      <w:bookmarkStart w:id="191" w:name="_Toc32246"/>
      <w:r>
        <w:rPr>
          <w:rFonts w:hint="eastAsia"/>
        </w:rPr>
        <w:t>质疑答复</w:t>
      </w:r>
      <w:bookmarkEnd w:id="190"/>
      <w:bookmarkEnd w:id="191"/>
    </w:p>
    <w:p w14:paraId="290CC91A">
      <w:pPr>
        <w:pStyle w:val="36"/>
        <w:rPr>
          <w:rFonts w:hint="eastAsia"/>
        </w:rPr>
      </w:pPr>
      <w:r>
        <w:rPr>
          <w:bCs/>
        </w:rPr>
        <w:t>37</w:t>
      </w:r>
      <w:r>
        <w:rPr>
          <w:rFonts w:hint="eastAsia"/>
        </w:rPr>
        <w:t>.1采购人或采购代理机构应当在收到投标供应商的书面质疑后7个工作日内作出答复，并以书面形式通知质疑投标供应商和其他有关投标供应商，但答复的内容不得涉及商业秘密。</w:t>
      </w:r>
    </w:p>
    <w:p w14:paraId="37CADFC0">
      <w:pPr>
        <w:pStyle w:val="36"/>
        <w:rPr>
          <w:rFonts w:hint="eastAsia"/>
        </w:rPr>
      </w:pPr>
      <w:r>
        <w:rPr>
          <w:bCs/>
        </w:rPr>
        <w:t>37</w:t>
      </w:r>
      <w:r>
        <w:rPr>
          <w:rFonts w:hint="eastAsia"/>
        </w:rPr>
        <w:t>.2质疑答复应当包括下列内容：</w:t>
      </w:r>
    </w:p>
    <w:p w14:paraId="6F99DB47">
      <w:pPr>
        <w:pStyle w:val="36"/>
        <w:rPr>
          <w:rFonts w:hint="eastAsia"/>
          <w:snapToGrid w:val="0"/>
        </w:rPr>
      </w:pPr>
      <w:r>
        <w:rPr>
          <w:rFonts w:hint="eastAsia"/>
          <w:snapToGrid w:val="0"/>
        </w:rPr>
        <w:t>（1）质疑人的姓名或者名称；</w:t>
      </w:r>
    </w:p>
    <w:p w14:paraId="5DD294BB">
      <w:pPr>
        <w:pStyle w:val="36"/>
        <w:rPr>
          <w:rFonts w:hint="eastAsia"/>
          <w:snapToGrid w:val="0"/>
        </w:rPr>
      </w:pPr>
      <w:r>
        <w:rPr>
          <w:rFonts w:hint="eastAsia"/>
          <w:snapToGrid w:val="0"/>
        </w:rPr>
        <w:t>（2）收到质疑函的日期、质疑项目名称及编号；</w:t>
      </w:r>
    </w:p>
    <w:p w14:paraId="23708442">
      <w:pPr>
        <w:pStyle w:val="36"/>
        <w:rPr>
          <w:rFonts w:hint="eastAsia"/>
          <w:snapToGrid w:val="0"/>
        </w:rPr>
      </w:pPr>
      <w:r>
        <w:rPr>
          <w:rFonts w:hint="eastAsia"/>
          <w:snapToGrid w:val="0"/>
        </w:rPr>
        <w:t>（3）质疑事项、质疑答复的具体内容、事实依据和法律依据；</w:t>
      </w:r>
    </w:p>
    <w:p w14:paraId="2F45ED53">
      <w:pPr>
        <w:pStyle w:val="36"/>
        <w:rPr>
          <w:rFonts w:hint="eastAsia"/>
          <w:snapToGrid w:val="0"/>
        </w:rPr>
      </w:pPr>
      <w:r>
        <w:rPr>
          <w:rFonts w:hint="eastAsia"/>
          <w:snapToGrid w:val="0"/>
        </w:rPr>
        <w:t>（4）告知质疑人依法投诉的权利；</w:t>
      </w:r>
    </w:p>
    <w:p w14:paraId="350C0924">
      <w:pPr>
        <w:pStyle w:val="36"/>
        <w:rPr>
          <w:rFonts w:hint="eastAsia"/>
          <w:snapToGrid w:val="0"/>
        </w:rPr>
      </w:pPr>
      <w:r>
        <w:rPr>
          <w:rFonts w:hint="eastAsia"/>
          <w:snapToGrid w:val="0"/>
        </w:rPr>
        <w:t>（5）质疑答复人名称；</w:t>
      </w:r>
    </w:p>
    <w:p w14:paraId="1B46D6A2">
      <w:pPr>
        <w:pStyle w:val="36"/>
        <w:rPr>
          <w:rFonts w:hint="eastAsia"/>
          <w:snapToGrid w:val="0"/>
        </w:rPr>
      </w:pPr>
      <w:r>
        <w:rPr>
          <w:rFonts w:hint="eastAsia"/>
          <w:snapToGrid w:val="0"/>
        </w:rPr>
        <w:t>（6）答复质疑的日期。</w:t>
      </w:r>
    </w:p>
    <w:p w14:paraId="5C816229">
      <w:pPr>
        <w:pStyle w:val="6"/>
        <w:numPr>
          <w:ilvl w:val="0"/>
          <w:numId w:val="9"/>
        </w:numPr>
        <w:rPr>
          <w:rFonts w:hint="eastAsia"/>
        </w:rPr>
      </w:pPr>
      <w:bookmarkStart w:id="192" w:name="_Toc140132802"/>
      <w:bookmarkStart w:id="193" w:name="_Toc32376"/>
      <w:r>
        <w:rPr>
          <w:rFonts w:hint="eastAsia"/>
        </w:rPr>
        <w:t>投诉</w:t>
      </w:r>
      <w:bookmarkEnd w:id="192"/>
      <w:bookmarkEnd w:id="193"/>
    </w:p>
    <w:p w14:paraId="3D095192">
      <w:pPr>
        <w:pStyle w:val="36"/>
        <w:rPr>
          <w:rFonts w:hint="eastAsia"/>
        </w:rPr>
      </w:pPr>
      <w:r>
        <w:rPr>
          <w:bCs/>
        </w:rPr>
        <w:t>38</w:t>
      </w:r>
      <w:r>
        <w:rPr>
          <w:rFonts w:hint="eastAsia"/>
        </w:rPr>
        <w:t>.1质疑投标供应商对采购人、采购代理机构的答复不满意或者采购人、采购代理机构未在规定的时间内作出答复的，可以在答复期满后15个工作日内向同级政府采购监督管理部门投诉。投标供应商投诉应当有明确的请求和必要的证明材料，且投诉的事项不得超出已质疑事项的范围。</w:t>
      </w:r>
    </w:p>
    <w:p w14:paraId="542ED22E">
      <w:pPr>
        <w:pStyle w:val="36"/>
        <w:rPr>
          <w:rFonts w:hint="eastAsia"/>
        </w:rPr>
      </w:pPr>
      <w:r>
        <w:rPr>
          <w:bCs/>
        </w:rPr>
        <w:t>38</w:t>
      </w:r>
      <w:r>
        <w:rPr>
          <w:rFonts w:hint="eastAsia"/>
        </w:rPr>
        <w:t>.2政府采购监督管理部门应当在收到投诉后30个工作日内，对投诉事项作出处理决定，并以书面形式通知投诉人和与投诉事项有关的当事人。财政部门处理投诉事项，需要检验、检测、鉴定、专家评审以及需要投诉人补正材料的，所需时间不计算在投诉处理期限内。</w:t>
      </w:r>
    </w:p>
    <w:p w14:paraId="2D718220">
      <w:pPr>
        <w:pStyle w:val="5"/>
        <w:numPr>
          <w:ilvl w:val="0"/>
          <w:numId w:val="8"/>
        </w:numPr>
        <w:rPr>
          <w:rFonts w:hint="eastAsia" w:asciiTheme="minorHAnsi" w:hAnsiTheme="minorHAnsi"/>
        </w:rPr>
      </w:pPr>
      <w:bookmarkStart w:id="194" w:name="_Toc155185882"/>
      <w:bookmarkStart w:id="195" w:name="_Toc24814"/>
      <w:bookmarkStart w:id="196" w:name="_Toc140132803"/>
      <w:r>
        <w:rPr>
          <w:rFonts w:hint="eastAsia" w:asciiTheme="minorHAnsi" w:hAnsiTheme="minorHAnsi"/>
        </w:rPr>
        <w:t>采购代理服务费</w:t>
      </w:r>
      <w:bookmarkEnd w:id="194"/>
      <w:bookmarkEnd w:id="195"/>
      <w:bookmarkEnd w:id="196"/>
    </w:p>
    <w:p w14:paraId="092F0BE5">
      <w:pPr>
        <w:pStyle w:val="6"/>
        <w:numPr>
          <w:ilvl w:val="0"/>
          <w:numId w:val="9"/>
        </w:numPr>
        <w:rPr>
          <w:rFonts w:hint="eastAsia"/>
        </w:rPr>
      </w:pPr>
      <w:bookmarkStart w:id="197" w:name="_Toc24135"/>
      <w:bookmarkStart w:id="198" w:name="_Toc140132804"/>
      <w:r>
        <w:rPr>
          <w:rFonts w:hint="eastAsia"/>
        </w:rPr>
        <w:t>收取方式和标准</w:t>
      </w:r>
      <w:bookmarkEnd w:id="197"/>
      <w:bookmarkEnd w:id="198"/>
    </w:p>
    <w:p w14:paraId="3CBE8F16">
      <w:pPr>
        <w:pStyle w:val="36"/>
        <w:rPr>
          <w:rFonts w:hint="eastAsia"/>
        </w:rPr>
      </w:pPr>
      <w:r>
        <w:rPr>
          <w:bCs/>
        </w:rPr>
        <w:t>39</w:t>
      </w:r>
      <w:r>
        <w:rPr>
          <w:rFonts w:hint="eastAsia"/>
        </w:rPr>
        <w:t>.1采购代理机构按“投标供应商须知前附表”规定的方式和标准收取采购代理服务费。</w:t>
      </w:r>
    </w:p>
    <w:p w14:paraId="2A452D0F">
      <w:pPr>
        <w:pStyle w:val="5"/>
        <w:numPr>
          <w:ilvl w:val="0"/>
          <w:numId w:val="8"/>
        </w:numPr>
        <w:rPr>
          <w:rFonts w:hint="eastAsia" w:asciiTheme="minorHAnsi" w:hAnsiTheme="minorHAnsi"/>
        </w:rPr>
      </w:pPr>
      <w:bookmarkStart w:id="199" w:name="_Toc17917"/>
      <w:bookmarkStart w:id="200" w:name="_Toc155185883"/>
      <w:bookmarkStart w:id="201" w:name="_Toc140132805"/>
      <w:r>
        <w:rPr>
          <w:rFonts w:hint="eastAsia" w:asciiTheme="minorHAnsi" w:hAnsiTheme="minorHAnsi"/>
        </w:rPr>
        <w:t>无效投标和废标</w:t>
      </w:r>
      <w:bookmarkEnd w:id="199"/>
      <w:bookmarkEnd w:id="200"/>
      <w:bookmarkEnd w:id="201"/>
    </w:p>
    <w:p w14:paraId="3765970D">
      <w:pPr>
        <w:pStyle w:val="6"/>
        <w:numPr>
          <w:ilvl w:val="0"/>
          <w:numId w:val="9"/>
        </w:numPr>
        <w:rPr>
          <w:rFonts w:hint="eastAsia"/>
        </w:rPr>
      </w:pPr>
      <w:bookmarkStart w:id="202" w:name="_Toc17867"/>
      <w:bookmarkStart w:id="203" w:name="_Toc140132806"/>
      <w:r>
        <w:rPr>
          <w:rFonts w:hint="eastAsia"/>
        </w:rPr>
        <w:t>无效投标</w:t>
      </w:r>
      <w:bookmarkEnd w:id="202"/>
      <w:bookmarkEnd w:id="203"/>
    </w:p>
    <w:p w14:paraId="2851F8EF">
      <w:pPr>
        <w:pStyle w:val="36"/>
        <w:rPr>
          <w:rFonts w:hint="eastAsia"/>
        </w:rPr>
      </w:pPr>
      <w:r>
        <w:t>40</w:t>
      </w:r>
      <w:r>
        <w:rPr>
          <w:rFonts w:hint="eastAsia"/>
        </w:rPr>
        <w:t>.1投标文件存在第四章“资格审查方法及标准”、第五章 “评标方法及标准”规定的投标无效情形的，其</w:t>
      </w:r>
      <w:r>
        <w:rPr>
          <w:rFonts w:hint="eastAsia"/>
          <w:b/>
          <w:bCs/>
        </w:rPr>
        <w:t>投标无效</w:t>
      </w:r>
      <w:r>
        <w:rPr>
          <w:rFonts w:hint="eastAsia"/>
        </w:rPr>
        <w:t>。</w:t>
      </w:r>
    </w:p>
    <w:p w14:paraId="48251748">
      <w:pPr>
        <w:pStyle w:val="6"/>
        <w:numPr>
          <w:ilvl w:val="0"/>
          <w:numId w:val="9"/>
        </w:numPr>
        <w:rPr>
          <w:rFonts w:hint="eastAsia"/>
        </w:rPr>
      </w:pPr>
      <w:bookmarkStart w:id="204" w:name="_Toc140132807"/>
      <w:bookmarkStart w:id="205" w:name="_Toc24321"/>
      <w:r>
        <w:rPr>
          <w:rFonts w:hint="eastAsia"/>
        </w:rPr>
        <w:t>废标</w:t>
      </w:r>
      <w:bookmarkEnd w:id="204"/>
      <w:bookmarkEnd w:id="205"/>
    </w:p>
    <w:p w14:paraId="12874200">
      <w:pPr>
        <w:pStyle w:val="36"/>
        <w:rPr>
          <w:rFonts w:hint="eastAsia"/>
        </w:rPr>
      </w:pPr>
      <w:r>
        <w:t>41</w:t>
      </w:r>
      <w:r>
        <w:rPr>
          <w:rFonts w:hint="eastAsia"/>
        </w:rPr>
        <w:t>.1在招标采购中出现有下列情形之一的，应予以</w:t>
      </w:r>
      <w:r>
        <w:rPr>
          <w:rFonts w:hint="eastAsia"/>
          <w:b/>
          <w:bCs/>
        </w:rPr>
        <w:t>废标</w:t>
      </w:r>
      <w:r>
        <w:rPr>
          <w:rFonts w:hint="eastAsia"/>
        </w:rPr>
        <w:t>：</w:t>
      </w:r>
    </w:p>
    <w:p w14:paraId="594E6C7F">
      <w:pPr>
        <w:pStyle w:val="36"/>
        <w:rPr>
          <w:rFonts w:hint="eastAsia"/>
        </w:rPr>
      </w:pPr>
      <w:r>
        <w:rPr>
          <w:rFonts w:hint="eastAsia"/>
        </w:rPr>
        <w:t>（1）符合专业条件的投标供应商或者对招标文件作实质响应的投标供应商不足三家的；</w:t>
      </w:r>
    </w:p>
    <w:p w14:paraId="198A7865">
      <w:pPr>
        <w:pStyle w:val="36"/>
        <w:rPr>
          <w:rFonts w:hint="eastAsia"/>
        </w:rPr>
      </w:pPr>
      <w:r>
        <w:rPr>
          <w:rFonts w:hint="eastAsia"/>
        </w:rPr>
        <w:t>（2）出现影响采购公正的违法、违规行为的；</w:t>
      </w:r>
    </w:p>
    <w:p w14:paraId="2CD7E719">
      <w:pPr>
        <w:pStyle w:val="36"/>
        <w:rPr>
          <w:rFonts w:hint="eastAsia"/>
        </w:rPr>
      </w:pPr>
      <w:r>
        <w:rPr>
          <w:rFonts w:hint="eastAsia"/>
        </w:rPr>
        <w:t>（3）投标供应商的报价均超过了采购预算，采购人不能支付的；</w:t>
      </w:r>
    </w:p>
    <w:p w14:paraId="106E9EDA">
      <w:pPr>
        <w:pStyle w:val="36"/>
        <w:rPr>
          <w:rFonts w:hint="eastAsia"/>
        </w:rPr>
      </w:pPr>
      <w:r>
        <w:rPr>
          <w:rFonts w:hint="eastAsia"/>
        </w:rPr>
        <w:t>（4）因重大变故，采购任务取消的。</w:t>
      </w:r>
    </w:p>
    <w:p w14:paraId="267605BE">
      <w:pPr>
        <w:pStyle w:val="5"/>
        <w:numPr>
          <w:ilvl w:val="0"/>
          <w:numId w:val="8"/>
        </w:numPr>
        <w:rPr>
          <w:rFonts w:hint="eastAsia" w:asciiTheme="minorHAnsi" w:hAnsiTheme="minorHAnsi"/>
        </w:rPr>
      </w:pPr>
      <w:bookmarkStart w:id="206" w:name="_Toc20788"/>
      <w:bookmarkStart w:id="207" w:name="_Toc140132766"/>
      <w:bookmarkStart w:id="208" w:name="_Toc140132808"/>
      <w:bookmarkStart w:id="209" w:name="_Toc155185884"/>
      <w:r>
        <w:rPr>
          <w:rFonts w:hint="eastAsia" w:asciiTheme="minorHAnsi" w:hAnsiTheme="minorHAnsi"/>
        </w:rPr>
        <w:t>落实政府采购政策</w:t>
      </w:r>
      <w:bookmarkEnd w:id="206"/>
      <w:bookmarkEnd w:id="207"/>
    </w:p>
    <w:p w14:paraId="1CDBFB56">
      <w:pPr>
        <w:pStyle w:val="6"/>
        <w:numPr>
          <w:ilvl w:val="0"/>
          <w:numId w:val="9"/>
        </w:numPr>
        <w:rPr>
          <w:rFonts w:hint="eastAsia"/>
        </w:rPr>
      </w:pPr>
      <w:bookmarkStart w:id="210" w:name="_Toc27146"/>
      <w:r>
        <w:t>支持国产和进口产品审批</w:t>
      </w:r>
      <w:bookmarkEnd w:id="210"/>
    </w:p>
    <w:p w14:paraId="0870292B">
      <w:pPr>
        <w:pStyle w:val="36"/>
        <w:rPr>
          <w:rFonts w:hint="eastAsia"/>
          <w:snapToGrid w:val="0"/>
        </w:rPr>
      </w:pPr>
      <w:r>
        <w:rPr>
          <w:snapToGrid w:val="0"/>
        </w:rPr>
        <w:t>42</w:t>
      </w:r>
      <w:r>
        <w:rPr>
          <w:rFonts w:hint="eastAsia"/>
          <w:snapToGrid w:val="0"/>
        </w:rPr>
        <w:t>.1除“投标供应商须知前附表”另有规定外，政府采购应当采购本国产品，确需采购进口产品的，采购人应当按照《关于政府采购进口产品管理有关问题的通知》（财办库〔</w:t>
      </w:r>
      <w:r>
        <w:rPr>
          <w:snapToGrid w:val="0"/>
        </w:rPr>
        <w:t>2008〕248号）规定执行（进口产品审批制，科研院所监管部门另有规定的从其规定）。</w:t>
      </w:r>
      <w:r>
        <w:rPr>
          <w:rFonts w:hint="eastAsia"/>
          <w:snapToGrid w:val="0"/>
        </w:rPr>
        <w:t>项目若涉及采购进口产品的，具体要求详见“第三章</w:t>
      </w:r>
      <w:r>
        <w:rPr>
          <w:snapToGrid w:val="0"/>
        </w:rPr>
        <w:t xml:space="preserve"> 采购需求”</w:t>
      </w:r>
      <w:r>
        <w:rPr>
          <w:rFonts w:hint="eastAsia"/>
          <w:snapToGrid w:val="0"/>
        </w:rPr>
        <w:t>。</w:t>
      </w:r>
    </w:p>
    <w:p w14:paraId="1E1A5A1E">
      <w:pPr>
        <w:pStyle w:val="6"/>
        <w:numPr>
          <w:ilvl w:val="0"/>
          <w:numId w:val="9"/>
        </w:numPr>
        <w:rPr>
          <w:rFonts w:hint="eastAsia"/>
        </w:rPr>
      </w:pPr>
      <w:bookmarkStart w:id="211" w:name="_Toc5737"/>
      <w:r>
        <w:rPr>
          <w:rFonts w:hint="eastAsia"/>
        </w:rPr>
        <w:t>中小企业、监狱企业及残疾人福利性单位</w:t>
      </w:r>
      <w:bookmarkEnd w:id="211"/>
    </w:p>
    <w:p w14:paraId="774AFFE6">
      <w:pPr>
        <w:pStyle w:val="36"/>
        <w:rPr>
          <w:rFonts w:hint="eastAsia"/>
          <w:snapToGrid w:val="0"/>
        </w:rPr>
      </w:pPr>
      <w:r>
        <w:rPr>
          <w:rFonts w:hint="eastAsia"/>
          <w:snapToGrid w:val="0"/>
        </w:rPr>
        <w:t>为促进中小企业发展，依据《</w:t>
      </w:r>
      <w:r>
        <w:rPr>
          <w:snapToGrid w:val="0"/>
        </w:rPr>
        <w:t>关于印发</w:t>
      </w:r>
      <w:r>
        <w:rPr>
          <w:rFonts w:hint="eastAsia"/>
          <w:snapToGrid w:val="0"/>
        </w:rPr>
        <w:t>&lt;</w:t>
      </w:r>
      <w:r>
        <w:rPr>
          <w:snapToGrid w:val="0"/>
        </w:rPr>
        <w:t>政府采购促进中小企业发展管理办法</w:t>
      </w:r>
      <w:r>
        <w:rPr>
          <w:rFonts w:hint="eastAsia"/>
          <w:snapToGrid w:val="0"/>
        </w:rPr>
        <w:t>&gt;</w:t>
      </w:r>
      <w:r>
        <w:rPr>
          <w:snapToGrid w:val="0"/>
        </w:rPr>
        <w:t>的通知</w:t>
      </w:r>
      <w:r>
        <w:rPr>
          <w:rFonts w:hint="eastAsia"/>
          <w:snapToGrid w:val="0"/>
        </w:rPr>
        <w:t>》（财库〔2020〕46号）、《财政部 司法部关于政府采购支持监狱企业发展有关问题的通知》（财库〔2014〕68号）、《关于促进残疾人就业政府采购政策的通知》（财库〔2017〕141号）</w:t>
      </w:r>
      <w:r>
        <w:rPr>
          <w:rFonts w:hint="eastAsia"/>
          <w:snapToGrid w:val="0"/>
          <w:lang w:val="en-US"/>
        </w:rPr>
        <w:t>等文件</w:t>
      </w:r>
      <w:r>
        <w:rPr>
          <w:rFonts w:hint="eastAsia"/>
          <w:snapToGrid w:val="0"/>
        </w:rPr>
        <w:t>的规定，本项目投标供应商如符合上述文件规定的，需提供《中小企业声明函》、监狱企业证明文件、</w:t>
      </w:r>
      <w:r>
        <w:rPr>
          <w:snapToGrid w:val="0"/>
        </w:rPr>
        <w:t>《残疾人福利性单位声明函》</w:t>
      </w:r>
      <w:r>
        <w:rPr>
          <w:rFonts w:hint="eastAsia"/>
          <w:snapToGrid w:val="0"/>
        </w:rPr>
        <w:t>，评审时，评标委员会将依据“投标供应商须知前附表”规定的报价扣除比例，对投标供应商报价进行价格扣除，用扣除后的价格参与评审。</w:t>
      </w:r>
    </w:p>
    <w:p w14:paraId="39B6CBFB">
      <w:pPr>
        <w:pStyle w:val="6"/>
        <w:numPr>
          <w:ilvl w:val="0"/>
          <w:numId w:val="9"/>
        </w:numPr>
        <w:rPr>
          <w:rFonts w:hint="eastAsia"/>
        </w:rPr>
      </w:pPr>
      <w:bookmarkStart w:id="212" w:name="_Toc7448"/>
      <w:r>
        <w:rPr>
          <w:rFonts w:hint="eastAsia"/>
        </w:rPr>
        <w:t>政府采购节能产品、环境标志产品</w:t>
      </w:r>
      <w:bookmarkEnd w:id="212"/>
    </w:p>
    <w:p w14:paraId="436A2D87">
      <w:pPr>
        <w:pStyle w:val="36"/>
        <w:rPr>
          <w:rFonts w:hint="eastAsia"/>
          <w:snapToGrid w:val="0"/>
        </w:rPr>
      </w:pPr>
      <w:r>
        <w:rPr>
          <w:snapToGrid w:val="0"/>
        </w:rPr>
        <w:t>44</w:t>
      </w:r>
      <w:r>
        <w:rPr>
          <w:rFonts w:hint="eastAsia"/>
          <w:snapToGrid w:val="0"/>
        </w:rPr>
        <w:t>.1 根据《财政部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的规定，投标供应商所投产品如属于节能产品政府采购品目清单、环境标志产品政府采购品目清单范围的，投标供应商须提供国家确定的认证机构出具的、处于有效期内的节能产品认证证书，认证证书的产品型号与所投产品不一致的，视为未提供。属于政府强制采购产品的，</w:t>
      </w:r>
      <w:r>
        <w:rPr>
          <w:snapToGrid w:val="0"/>
        </w:rPr>
        <w:t>已作为投标时强制性要求不再给予价格扣除</w:t>
      </w:r>
      <w:r>
        <w:rPr>
          <w:rFonts w:hint="eastAsia"/>
          <w:snapToGrid w:val="0"/>
        </w:rPr>
        <w:t>，未提供认证证书的视为</w:t>
      </w:r>
      <w:r>
        <w:rPr>
          <w:rFonts w:hint="eastAsia"/>
          <w:b/>
          <w:bCs/>
          <w:snapToGrid w:val="0"/>
        </w:rPr>
        <w:t>无效响应</w:t>
      </w:r>
      <w:r>
        <w:rPr>
          <w:rFonts w:hint="eastAsia"/>
          <w:snapToGrid w:val="0"/>
        </w:rPr>
        <w:t>。属于优先采购范围的，按照“投标供应商须知前附表”中相关规定，对该项产品的价格给予一定比例的扣除，具体扣除比例详见“投标供应商须知前附表”。</w:t>
      </w:r>
    </w:p>
    <w:p w14:paraId="74A611E7">
      <w:pPr>
        <w:pStyle w:val="5"/>
        <w:numPr>
          <w:ilvl w:val="0"/>
          <w:numId w:val="8"/>
        </w:numPr>
        <w:rPr>
          <w:rFonts w:hint="eastAsia" w:asciiTheme="minorHAnsi" w:hAnsiTheme="minorHAnsi"/>
        </w:rPr>
      </w:pPr>
      <w:bookmarkStart w:id="213" w:name="_Toc21590"/>
      <w:r>
        <w:rPr>
          <w:rFonts w:hint="eastAsia" w:asciiTheme="minorHAnsi" w:hAnsiTheme="minorHAnsi"/>
        </w:rPr>
        <w:t>政府采购合同融资政策</w:t>
      </w:r>
      <w:bookmarkEnd w:id="208"/>
      <w:bookmarkEnd w:id="209"/>
      <w:bookmarkEnd w:id="213"/>
    </w:p>
    <w:p w14:paraId="4F414080">
      <w:pPr>
        <w:pStyle w:val="6"/>
        <w:numPr>
          <w:ilvl w:val="0"/>
          <w:numId w:val="9"/>
        </w:numPr>
        <w:rPr>
          <w:rFonts w:hint="eastAsia"/>
        </w:rPr>
      </w:pPr>
      <w:bookmarkStart w:id="214" w:name="_Toc16553"/>
      <w:r>
        <w:rPr>
          <w:rFonts w:hint="eastAsia"/>
        </w:rPr>
        <w:t>政府采购合同融资政策</w:t>
      </w:r>
      <w:bookmarkEnd w:id="214"/>
    </w:p>
    <w:p w14:paraId="05C7CEDA">
      <w:pPr>
        <w:pStyle w:val="36"/>
        <w:rPr>
          <w:rFonts w:hint="eastAsia"/>
        </w:rPr>
      </w:pPr>
      <w:r>
        <w:rPr>
          <w:rFonts w:hint="eastAsia"/>
        </w:rPr>
        <w:t>4</w:t>
      </w:r>
      <w:r>
        <w:t>5.</w:t>
      </w:r>
      <w:r>
        <w:rPr>
          <w:rFonts w:hint="eastAsia"/>
        </w:rPr>
        <w:t>1政府采购合同融资政策：见投标供应商须知前附表。</w:t>
      </w:r>
    </w:p>
    <w:p w14:paraId="2ED62D63">
      <w:pPr>
        <w:pStyle w:val="5"/>
        <w:numPr>
          <w:ilvl w:val="0"/>
          <w:numId w:val="8"/>
        </w:numPr>
        <w:rPr>
          <w:rFonts w:hint="eastAsia" w:asciiTheme="minorHAnsi" w:hAnsiTheme="minorHAnsi"/>
        </w:rPr>
      </w:pPr>
      <w:bookmarkStart w:id="215" w:name="_Toc10687"/>
      <w:r>
        <w:rPr>
          <w:rFonts w:hint="eastAsia" w:asciiTheme="minorHAnsi" w:hAnsiTheme="minorHAnsi"/>
        </w:rPr>
        <w:t>其他</w:t>
      </w:r>
      <w:bookmarkEnd w:id="215"/>
    </w:p>
    <w:p w14:paraId="35D9C85A">
      <w:pPr>
        <w:pStyle w:val="6"/>
        <w:numPr>
          <w:ilvl w:val="0"/>
          <w:numId w:val="9"/>
        </w:numPr>
        <w:rPr>
          <w:rFonts w:hint="eastAsia"/>
        </w:rPr>
      </w:pPr>
      <w:bookmarkStart w:id="216" w:name="_Toc30657"/>
      <w:r>
        <w:rPr>
          <w:rFonts w:hint="eastAsia"/>
        </w:rPr>
        <w:t>需要补充的其他内容</w:t>
      </w:r>
      <w:bookmarkEnd w:id="216"/>
    </w:p>
    <w:p w14:paraId="1B8E666C">
      <w:pPr>
        <w:pStyle w:val="36"/>
        <w:rPr>
          <w:rFonts w:hint="eastAsia"/>
        </w:rPr>
      </w:pPr>
      <w:r>
        <w:rPr>
          <w:rFonts w:hint="eastAsia"/>
        </w:rPr>
        <w:t>4</w:t>
      </w:r>
      <w:r>
        <w:t>6.1</w:t>
      </w:r>
      <w:r>
        <w:rPr>
          <w:rFonts w:hint="eastAsia"/>
        </w:rPr>
        <w:t>需要补充的其他内容：见投标供应商须知前附表。</w:t>
      </w:r>
    </w:p>
    <w:p w14:paraId="1495D166">
      <w:pPr>
        <w:pStyle w:val="6"/>
        <w:numPr>
          <w:ilvl w:val="0"/>
          <w:numId w:val="9"/>
        </w:numPr>
        <w:rPr>
          <w:rFonts w:hint="eastAsia"/>
        </w:rPr>
      </w:pPr>
      <w:bookmarkStart w:id="217" w:name="_Toc155185886"/>
      <w:bookmarkStart w:id="218" w:name="_Toc30617"/>
      <w:bookmarkStart w:id="219" w:name="_Toc140132810"/>
      <w:r>
        <w:rPr>
          <w:rFonts w:hint="eastAsia"/>
        </w:rPr>
        <w:t>适用法律</w:t>
      </w:r>
      <w:bookmarkEnd w:id="217"/>
      <w:bookmarkEnd w:id="218"/>
      <w:bookmarkEnd w:id="219"/>
    </w:p>
    <w:p w14:paraId="319CDAFD">
      <w:pPr>
        <w:pStyle w:val="36"/>
        <w:rPr>
          <w:rFonts w:hint="eastAsia"/>
          <w:snapToGrid w:val="0"/>
        </w:rPr>
      </w:pPr>
      <w:r>
        <w:rPr>
          <w:rFonts w:hint="eastAsia"/>
          <w:snapToGrid w:val="0"/>
        </w:rPr>
        <w:t>4</w:t>
      </w:r>
      <w:r>
        <w:rPr>
          <w:snapToGrid w:val="0"/>
        </w:rPr>
        <w:t>7.1</w:t>
      </w:r>
      <w:r>
        <w:rPr>
          <w:rFonts w:hint="eastAsia"/>
          <w:snapToGrid w:val="0"/>
        </w:rPr>
        <w:t>采购人、采购代理机构及投标供应商的一切采购活动均适用《中华人民共和国政府采购法》、《中华人民共和国政府采购法实施条例》、《政府采购货物和服务招标投标管理办法》（财政部令第87号）及相关法律法规。</w:t>
      </w:r>
    </w:p>
    <w:p w14:paraId="1B0938D0">
      <w:pPr>
        <w:pStyle w:val="36"/>
        <w:rPr>
          <w:rFonts w:hint="eastAsia"/>
        </w:rPr>
      </w:pPr>
      <w:r>
        <w:rPr>
          <w:rFonts w:hint="eastAsia"/>
          <w:snapToGrid w:val="0"/>
        </w:rPr>
        <w:t>4</w:t>
      </w:r>
      <w:r>
        <w:rPr>
          <w:snapToGrid w:val="0"/>
        </w:rPr>
        <w:t>7.2</w:t>
      </w:r>
      <w:r>
        <w:rPr>
          <w:rFonts w:hint="eastAsia"/>
          <w:snapToGrid w:val="0"/>
        </w:rPr>
        <w:t>政府采购合同的履行、违约责任和解决争议的方法等适用《中华人民共和国民法典》。</w:t>
      </w:r>
    </w:p>
    <w:p w14:paraId="720A74A3">
      <w:pPr>
        <w:pStyle w:val="6"/>
        <w:numPr>
          <w:ilvl w:val="0"/>
          <w:numId w:val="9"/>
        </w:numPr>
        <w:rPr>
          <w:rFonts w:hint="eastAsia"/>
        </w:rPr>
      </w:pPr>
      <w:bookmarkStart w:id="220" w:name="_Toc26982"/>
      <w:bookmarkStart w:id="221" w:name="_Toc155185887"/>
      <w:r>
        <w:rPr>
          <w:rFonts w:hint="eastAsia"/>
        </w:rPr>
        <w:t>解释权</w:t>
      </w:r>
      <w:bookmarkEnd w:id="220"/>
      <w:bookmarkEnd w:id="221"/>
    </w:p>
    <w:p w14:paraId="22E02773">
      <w:pPr>
        <w:pStyle w:val="36"/>
        <w:rPr>
          <w:rFonts w:hint="eastAsia"/>
          <w:snapToGrid w:val="0"/>
        </w:rPr>
      </w:pPr>
      <w:r>
        <w:rPr>
          <w:rFonts w:hint="eastAsia"/>
          <w:snapToGrid w:val="0"/>
        </w:rPr>
        <w:t>4</w:t>
      </w:r>
      <w:r>
        <w:rPr>
          <w:snapToGrid w:val="0"/>
        </w:rPr>
        <w:t>8.</w:t>
      </w:r>
      <w:r>
        <w:rPr>
          <w:rFonts w:hint="eastAsia"/>
          <w:snapToGrid w:val="0"/>
        </w:rPr>
        <w:t>1本招标文件最终解释权归采购人或采购代理机构所有。</w:t>
      </w:r>
    </w:p>
    <w:p w14:paraId="41E5AC14">
      <w:pPr>
        <w:pStyle w:val="36"/>
        <w:rPr>
          <w:rFonts w:hint="eastAsia"/>
          <w:snapToGrid w:val="0"/>
        </w:rPr>
      </w:pPr>
    </w:p>
    <w:p w14:paraId="22914A2F">
      <w:pPr>
        <w:pStyle w:val="36"/>
        <w:rPr>
          <w:rFonts w:hint="eastAsia"/>
        </w:rPr>
        <w:sectPr>
          <w:footerReference r:id="rId7" w:type="default"/>
          <w:pgSz w:w="11906" w:h="16838"/>
          <w:pgMar w:top="1440" w:right="1800" w:bottom="1440" w:left="1800" w:header="851" w:footer="992" w:gutter="0"/>
          <w:cols w:space="425" w:num="1"/>
          <w:docGrid w:type="lines" w:linePitch="312" w:charSpace="0"/>
        </w:sectPr>
      </w:pPr>
    </w:p>
    <w:p w14:paraId="6C1C3859">
      <w:pPr>
        <w:pStyle w:val="3"/>
        <w:numPr>
          <w:ilvl w:val="0"/>
          <w:numId w:val="2"/>
        </w:numPr>
        <w:rPr>
          <w:rFonts w:hint="eastAsia"/>
        </w:rPr>
      </w:pPr>
      <w:bookmarkStart w:id="222" w:name="_Toc155185888"/>
      <w:bookmarkStart w:id="223" w:name="_Toc29493"/>
      <w:r>
        <w:rPr>
          <w:rFonts w:hint="eastAsia"/>
        </w:rPr>
        <w:t>采购需求</w:t>
      </w:r>
      <w:bookmarkEnd w:id="222"/>
      <w:bookmarkEnd w:id="223"/>
    </w:p>
    <w:p w14:paraId="3013B627">
      <w:pPr>
        <w:rPr>
          <w:rFonts w:hint="eastAsia"/>
        </w:rPr>
      </w:pPr>
      <w:r>
        <w:rPr>
          <w:rFonts w:hint="eastAsia"/>
        </w:rPr>
        <w:t>详见招标公告内容。</w:t>
      </w:r>
    </w:p>
    <w:p w14:paraId="47FD24DB">
      <w:pPr>
        <w:rPr>
          <w:rFonts w:hint="eastAsia"/>
        </w:rPr>
      </w:pPr>
      <w:r>
        <w:rPr>
          <w:rFonts w:hint="eastAsia"/>
        </w:rPr>
        <w:br w:type="page"/>
      </w:r>
    </w:p>
    <w:p w14:paraId="32A61652">
      <w:pPr>
        <w:pStyle w:val="16"/>
        <w:rPr>
          <w:rFonts w:hint="eastAsia"/>
        </w:rPr>
      </w:pPr>
    </w:p>
    <w:p w14:paraId="4DE267F2">
      <w:pPr>
        <w:pStyle w:val="3"/>
        <w:numPr>
          <w:ilvl w:val="0"/>
          <w:numId w:val="2"/>
        </w:numPr>
        <w:rPr>
          <w:rFonts w:hint="eastAsia"/>
        </w:rPr>
      </w:pPr>
      <w:bookmarkStart w:id="224" w:name="_Toc155185895"/>
      <w:bookmarkStart w:id="225" w:name="_Toc24211"/>
      <w:r>
        <w:rPr>
          <w:rFonts w:hint="eastAsia"/>
        </w:rPr>
        <w:t>资格审查方法及标准</w:t>
      </w:r>
      <w:bookmarkEnd w:id="224"/>
      <w:bookmarkEnd w:id="225"/>
    </w:p>
    <w:p w14:paraId="75C0CCC3">
      <w:pPr>
        <w:pStyle w:val="36"/>
        <w:rPr>
          <w:rFonts w:hint="eastAsia"/>
        </w:rPr>
      </w:pPr>
      <w:r>
        <w:rPr>
          <w:rFonts w:hint="eastAsia"/>
        </w:rPr>
        <w:t>根据《中华人民共和国政府采购法》及其实施条例、《政府采购货物和服务招标投标管理办法》等相关法律法规确定以下资格审查方法和标准。</w:t>
      </w:r>
    </w:p>
    <w:p w14:paraId="5EA4E564">
      <w:pPr>
        <w:pStyle w:val="4"/>
        <w:numPr>
          <w:ilvl w:val="0"/>
          <w:numId w:val="11"/>
        </w:numPr>
        <w:rPr>
          <w:rFonts w:hint="eastAsia"/>
          <w:lang w:val="zh-CN"/>
        </w:rPr>
      </w:pPr>
      <w:bookmarkStart w:id="226" w:name="_Toc155185897"/>
      <w:bookmarkStart w:id="227" w:name="_Toc140132822"/>
      <w:bookmarkStart w:id="228" w:name="_Toc20166"/>
      <w:r>
        <w:rPr>
          <w:rFonts w:hint="eastAsia"/>
          <w:lang w:val="zh-CN"/>
        </w:rPr>
        <w:t>资格审查</w:t>
      </w:r>
      <w:bookmarkEnd w:id="226"/>
      <w:bookmarkEnd w:id="227"/>
      <w:r>
        <w:rPr>
          <w:rFonts w:hint="eastAsia"/>
        </w:rPr>
        <w:t>方法</w:t>
      </w:r>
      <w:bookmarkEnd w:id="228"/>
    </w:p>
    <w:p w14:paraId="49D55A51">
      <w:pPr>
        <w:ind w:firstLine="420"/>
        <w:rPr>
          <w:rFonts w:hint="eastAsia"/>
          <w:bCs/>
          <w:lang w:val="zh-CN"/>
        </w:rPr>
      </w:pPr>
      <w:r>
        <w:rPr>
          <w:rFonts w:hint="eastAsia"/>
          <w:bCs/>
          <w:lang w:val="zh-CN"/>
        </w:rPr>
        <w:t>开标结束后，采购人或采购代理机构依据法律、法规及招标文件的规定，对投标供应商的资格进行审查，以确定投标供应商资格是否合格。</w:t>
      </w:r>
    </w:p>
    <w:p w14:paraId="746C34ED">
      <w:pPr>
        <w:pStyle w:val="4"/>
        <w:numPr>
          <w:ilvl w:val="0"/>
          <w:numId w:val="11"/>
        </w:numPr>
        <w:rPr>
          <w:rFonts w:hint="eastAsia"/>
          <w:lang w:val="zh-CN"/>
        </w:rPr>
      </w:pPr>
      <w:bookmarkStart w:id="229" w:name="_Toc16693"/>
      <w:r>
        <w:rPr>
          <w:rFonts w:hint="eastAsia"/>
          <w:lang w:val="zh-CN"/>
        </w:rPr>
        <w:t>资格审查程序</w:t>
      </w:r>
      <w:bookmarkEnd w:id="229"/>
    </w:p>
    <w:p w14:paraId="79D21ECB">
      <w:pPr>
        <w:pStyle w:val="5"/>
        <w:numPr>
          <w:ilvl w:val="0"/>
          <w:numId w:val="12"/>
        </w:numPr>
        <w:rPr>
          <w:rFonts w:hint="eastAsia"/>
        </w:rPr>
      </w:pPr>
      <w:bookmarkStart w:id="230" w:name="_Toc155185898"/>
      <w:bookmarkStart w:id="231" w:name="_Toc21252"/>
      <w:r>
        <w:rPr>
          <w:rFonts w:hint="eastAsia"/>
          <w:lang w:val="zh-CN"/>
        </w:rPr>
        <w:t>资格审查</w:t>
      </w:r>
      <w:bookmarkEnd w:id="230"/>
      <w:bookmarkEnd w:id="231"/>
    </w:p>
    <w:p w14:paraId="2A4500E4">
      <w:pPr>
        <w:wordWrap w:val="0"/>
        <w:ind w:firstLine="420"/>
        <w:rPr>
          <w:rFonts w:hint="eastAsia" w:cs="Helvetica"/>
          <w:szCs w:val="24"/>
          <w:lang w:val="zh-CN"/>
        </w:rPr>
      </w:pPr>
      <w:r>
        <w:rPr>
          <w:rFonts w:hint="eastAsia"/>
          <w:bCs/>
          <w:szCs w:val="24"/>
          <w:lang w:val="zh-CN"/>
        </w:rPr>
        <w:t>1</w:t>
      </w:r>
      <w:r>
        <w:rPr>
          <w:bCs/>
          <w:szCs w:val="24"/>
          <w:lang w:val="zh-CN"/>
        </w:rPr>
        <w:t>.</w:t>
      </w:r>
      <w:r>
        <w:rPr>
          <w:rFonts w:hint="eastAsia"/>
          <w:bCs/>
          <w:szCs w:val="24"/>
          <w:lang w:val="zh-CN"/>
        </w:rPr>
        <w:t>开标结束后，采购人或采购代理机构</w:t>
      </w:r>
      <w:r>
        <w:rPr>
          <w:rFonts w:hint="eastAsia" w:cs="Helvetica"/>
          <w:szCs w:val="24"/>
          <w:lang w:val="zh-CN"/>
        </w:rPr>
        <w:t>根据“第一章 投标邀请”中投标供应商资格要求并按本章“三</w:t>
      </w:r>
      <w:r>
        <w:rPr>
          <w:rFonts w:cs="Helvetica"/>
          <w:szCs w:val="24"/>
          <w:lang w:val="zh-CN"/>
        </w:rPr>
        <w:t>、</w:t>
      </w:r>
      <w:r>
        <w:rPr>
          <w:rFonts w:hint="eastAsia" w:cs="Helvetica"/>
          <w:szCs w:val="24"/>
          <w:lang w:val="zh-CN"/>
        </w:rPr>
        <w:t>资格审查标准”所列的内容，对投标供应商资格进行审查，不满足资格审查标准要求的按</w:t>
      </w:r>
      <w:r>
        <w:rPr>
          <w:rFonts w:hint="eastAsia" w:cs="Helvetica"/>
          <w:b/>
          <w:szCs w:val="24"/>
          <w:lang w:val="zh-CN"/>
        </w:rPr>
        <w:t>无效投标处理</w:t>
      </w:r>
      <w:r>
        <w:rPr>
          <w:rFonts w:hint="eastAsia" w:cs="Helvetica"/>
          <w:szCs w:val="24"/>
          <w:lang w:val="zh-CN"/>
        </w:rPr>
        <w:t>。</w:t>
      </w:r>
      <w:bookmarkStart w:id="232" w:name="_Toc102114918"/>
      <w:bookmarkStart w:id="233" w:name="_Toc102057716"/>
      <w:bookmarkStart w:id="234" w:name="_Toc102056216"/>
      <w:bookmarkStart w:id="235" w:name="_Toc102116150"/>
      <w:bookmarkStart w:id="236" w:name="_Toc102116020"/>
      <w:bookmarkStart w:id="237" w:name="_Toc102119851"/>
      <w:bookmarkStart w:id="238" w:name="_Toc102114941"/>
      <w:bookmarkStart w:id="239" w:name="_Toc102119874"/>
      <w:bookmarkStart w:id="240" w:name="_Toc102057739"/>
      <w:bookmarkStart w:id="241" w:name="_Toc102116043"/>
      <w:bookmarkStart w:id="242" w:name="_Toc102116173"/>
      <w:bookmarkStart w:id="243" w:name="_Toc102056239"/>
    </w:p>
    <w:bookmarkEnd w:id="232"/>
    <w:bookmarkEnd w:id="233"/>
    <w:bookmarkEnd w:id="234"/>
    <w:bookmarkEnd w:id="235"/>
    <w:bookmarkEnd w:id="236"/>
    <w:bookmarkEnd w:id="237"/>
    <w:p w14:paraId="5CAC4D7E">
      <w:pPr>
        <w:pStyle w:val="5"/>
        <w:numPr>
          <w:ilvl w:val="0"/>
          <w:numId w:val="12"/>
        </w:numPr>
        <w:rPr>
          <w:rFonts w:hint="eastAsia"/>
          <w:lang w:val="zh-CN"/>
        </w:rPr>
      </w:pPr>
      <w:bookmarkStart w:id="244" w:name="_Toc2997"/>
      <w:bookmarkStart w:id="245" w:name="_Toc155185900"/>
      <w:r>
        <w:rPr>
          <w:rFonts w:hint="eastAsia"/>
          <w:lang w:val="zh-CN"/>
        </w:rPr>
        <w:t>信</w:t>
      </w:r>
      <w:bookmarkStart w:id="246" w:name="_Hlk162301965"/>
      <w:r>
        <w:rPr>
          <w:rFonts w:hint="eastAsia"/>
          <w:lang w:val="zh-CN"/>
        </w:rPr>
        <w:t>用信息核查</w:t>
      </w:r>
      <w:bookmarkEnd w:id="244"/>
      <w:bookmarkEnd w:id="246"/>
    </w:p>
    <w:p w14:paraId="255CF799">
      <w:pPr>
        <w:pStyle w:val="36"/>
        <w:rPr>
          <w:rFonts w:hint="eastAsia"/>
        </w:rPr>
      </w:pPr>
      <w:bookmarkStart w:id="247" w:name="_Hlk162301966"/>
      <w:r>
        <w:rPr>
          <w:rFonts w:hint="eastAsia"/>
        </w:rPr>
        <w:t>1</w:t>
      </w:r>
      <w:r>
        <w:t>.根据《关于在政府采购活动中查询及使用信用记录有关问题的通知》（财库〔2016〕125号）要求，</w:t>
      </w:r>
      <w:r>
        <w:rPr>
          <w:rFonts w:hint="eastAsia"/>
        </w:rPr>
        <w:t>投标供应商</w:t>
      </w:r>
      <w:r>
        <w:t>信用信息以“信用中国”网 (http://www.creditchina.gov.cn)和中国政府采购网(http://www.ccgp.gov.cn)查询的结果为准。</w:t>
      </w:r>
    </w:p>
    <w:p w14:paraId="249DD226">
      <w:pPr>
        <w:pStyle w:val="36"/>
        <w:rPr>
          <w:rFonts w:hint="eastAsia"/>
          <w:lang w:val="en-US"/>
        </w:rPr>
      </w:pPr>
      <w:r>
        <w:t>2.资格审查当日应当核查</w:t>
      </w:r>
      <w:r>
        <w:rPr>
          <w:rFonts w:hint="eastAsia"/>
        </w:rPr>
        <w:t>投标供应商</w:t>
      </w:r>
      <w:r>
        <w:t>信用记录，</w:t>
      </w:r>
      <w:r>
        <w:rPr>
          <w:rFonts w:hint="eastAsia"/>
        </w:rPr>
        <w:t>投标供应商</w:t>
      </w:r>
      <w:r>
        <w:t>被列入失信被执行人、重大税收违法失信主体、政府采购严重违法失信行为记录名单的，</w:t>
      </w:r>
      <w:r>
        <w:rPr>
          <w:rFonts w:hint="eastAsia"/>
        </w:rPr>
        <w:t>采购代理机构</w:t>
      </w:r>
      <w:r>
        <w:t>拒绝其参加政府采购活动。</w:t>
      </w:r>
      <w:r>
        <w:rPr>
          <w:rFonts w:hint="eastAsia"/>
          <w:lang w:val="en-US"/>
        </w:rPr>
        <w:t>具体以采购代理机构在投标截止后2小时内查询结果为准。</w:t>
      </w:r>
    </w:p>
    <w:p w14:paraId="403A8B34">
      <w:pPr>
        <w:pStyle w:val="36"/>
        <w:rPr>
          <w:rFonts w:hint="eastAsia"/>
        </w:rPr>
      </w:pPr>
      <w:r>
        <w:t>3</w:t>
      </w:r>
      <w:r>
        <w:rPr>
          <w:rFonts w:hint="eastAsia"/>
        </w:rPr>
        <w:t>．</w:t>
      </w:r>
      <w:r>
        <w:t>以联合体形式投标的，应当核查联合体所有成员的信用记录，联合体成员存在不良信用记录的，视同联合体存在不良信用信息。</w:t>
      </w:r>
    </w:p>
    <w:p w14:paraId="666A5707">
      <w:pPr>
        <w:pStyle w:val="36"/>
        <w:rPr>
          <w:rFonts w:hint="eastAsia"/>
        </w:rPr>
      </w:pPr>
      <w:r>
        <w:t>4.资格审查与评标工作未在同日进行的特殊情形下，</w:t>
      </w:r>
      <w:r>
        <w:rPr>
          <w:rFonts w:hint="eastAsia"/>
        </w:rPr>
        <w:t>采购代理机构</w:t>
      </w:r>
      <w:r>
        <w:t>工作人员在评标时应当对</w:t>
      </w:r>
      <w:r>
        <w:rPr>
          <w:rFonts w:hint="eastAsia"/>
        </w:rPr>
        <w:t>投标供应商</w:t>
      </w:r>
      <w:r>
        <w:t>的信用信息进行复核，发现评标当日存在不良信用信息的，由评标委员会按照符合性审查不合格作</w:t>
      </w:r>
      <w:r>
        <w:rPr>
          <w:b/>
          <w:bCs/>
        </w:rPr>
        <w:t>无效投标</w:t>
      </w:r>
      <w:r>
        <w:t>处理。</w:t>
      </w:r>
      <w:bookmarkEnd w:id="247"/>
    </w:p>
    <w:p w14:paraId="48961DF8">
      <w:pPr>
        <w:pStyle w:val="5"/>
        <w:numPr>
          <w:ilvl w:val="0"/>
          <w:numId w:val="12"/>
        </w:numPr>
        <w:rPr>
          <w:rFonts w:hint="eastAsia"/>
          <w:lang w:val="zh-CN"/>
        </w:rPr>
      </w:pPr>
      <w:bookmarkStart w:id="248" w:name="_Toc23290"/>
      <w:r>
        <w:rPr>
          <w:rFonts w:hint="eastAsia"/>
          <w:lang w:val="zh-CN"/>
        </w:rPr>
        <w:t>资格审查</w:t>
      </w:r>
      <w:bookmarkEnd w:id="238"/>
      <w:bookmarkEnd w:id="239"/>
      <w:bookmarkEnd w:id="240"/>
      <w:bookmarkEnd w:id="241"/>
      <w:bookmarkEnd w:id="242"/>
      <w:bookmarkEnd w:id="243"/>
      <w:r>
        <w:rPr>
          <w:rFonts w:hint="eastAsia"/>
          <w:lang w:val="zh-CN"/>
        </w:rPr>
        <w:t>结果</w:t>
      </w:r>
      <w:bookmarkEnd w:id="245"/>
      <w:bookmarkEnd w:id="248"/>
    </w:p>
    <w:p w14:paraId="2A61A59E">
      <w:pPr>
        <w:pStyle w:val="36"/>
        <w:rPr>
          <w:rFonts w:hint="eastAsia"/>
        </w:rPr>
      </w:pPr>
      <w:r>
        <w:t>1.</w:t>
      </w:r>
      <w:r>
        <w:rPr>
          <w:rFonts w:hint="eastAsia"/>
        </w:rPr>
        <w:t>根据资格审查的情况，确定资格审查合格的投标供应商，并形成资格审查结果。</w:t>
      </w:r>
    </w:p>
    <w:p w14:paraId="5DD2F40F">
      <w:pPr>
        <w:pStyle w:val="36"/>
        <w:rPr>
          <w:rFonts w:hint="eastAsia"/>
        </w:rPr>
      </w:pPr>
      <w:r>
        <w:t>2.</w:t>
      </w:r>
      <w:r>
        <w:rPr>
          <w:rFonts w:hint="eastAsia"/>
        </w:rPr>
        <w:t>资格审查合格投标供应商不足3家的，不得评标，应予以</w:t>
      </w:r>
      <w:r>
        <w:rPr>
          <w:rFonts w:hint="eastAsia"/>
          <w:b/>
          <w:bCs/>
        </w:rPr>
        <w:t>废标</w:t>
      </w:r>
      <w:r>
        <w:rPr>
          <w:rFonts w:hint="eastAsia"/>
        </w:rPr>
        <w:t>。</w:t>
      </w:r>
    </w:p>
    <w:p w14:paraId="57699D1E">
      <w:pPr>
        <w:pStyle w:val="48"/>
        <w:rPr>
          <w:rFonts w:hint="eastAsia"/>
        </w:rPr>
      </w:pPr>
    </w:p>
    <w:p w14:paraId="2A22591D">
      <w:pPr>
        <w:pStyle w:val="48"/>
        <w:rPr>
          <w:rFonts w:hint="eastAsia"/>
        </w:rPr>
      </w:pPr>
    </w:p>
    <w:p w14:paraId="7F63B155">
      <w:pPr>
        <w:pStyle w:val="48"/>
        <w:rPr>
          <w:rFonts w:hint="eastAsia"/>
        </w:rPr>
        <w:sectPr>
          <w:pgSz w:w="11906" w:h="16838"/>
          <w:pgMar w:top="1440" w:right="1800" w:bottom="1440" w:left="1800" w:header="851" w:footer="992" w:gutter="0"/>
          <w:cols w:space="425" w:num="1"/>
          <w:docGrid w:type="lines" w:linePitch="312" w:charSpace="0"/>
        </w:sectPr>
      </w:pPr>
    </w:p>
    <w:p w14:paraId="42C68F43">
      <w:pPr>
        <w:pStyle w:val="4"/>
        <w:numPr>
          <w:ilvl w:val="0"/>
          <w:numId w:val="11"/>
        </w:numPr>
        <w:rPr>
          <w:rFonts w:hint="eastAsia"/>
        </w:rPr>
      </w:pPr>
      <w:bookmarkStart w:id="249" w:name="_Toc30225"/>
      <w:bookmarkStart w:id="250" w:name="_Toc140132821"/>
      <w:bookmarkStart w:id="251" w:name="_Toc511894514"/>
      <w:bookmarkStart w:id="252" w:name="_Toc109899480"/>
      <w:bookmarkStart w:id="253" w:name="_Toc61280398"/>
      <w:bookmarkStart w:id="254" w:name="_Toc109899899"/>
      <w:bookmarkStart w:id="255" w:name="_Toc109900318"/>
      <w:bookmarkStart w:id="256" w:name="_Toc494561958"/>
      <w:bookmarkStart w:id="257" w:name="_Toc155185896"/>
      <w:bookmarkStart w:id="258" w:name="_Toc155185903"/>
      <w:r>
        <w:rPr>
          <w:rFonts w:hint="eastAsia" w:cs="宋体" w:asciiTheme="majorEastAsia" w:hAnsiTheme="majorEastAsia" w:eastAsiaTheme="majorEastAsia"/>
          <w:kern w:val="0"/>
          <w:szCs w:val="21"/>
        </w:rPr>
        <w:t>资格审查标准</w:t>
      </w:r>
      <w:bookmarkEnd w:id="249"/>
    </w:p>
    <w:tbl>
      <w:tblPr>
        <w:tblStyle w:val="31"/>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843"/>
        <w:gridCol w:w="2743"/>
        <w:gridCol w:w="4710"/>
      </w:tblGrid>
      <w:tr w14:paraId="60A9C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843" w:type="dxa"/>
            <w:shd w:val="clear" w:color="auto" w:fill="D8D8D8" w:themeFill="background1" w:themeFillShade="D9"/>
            <w:vAlign w:val="center"/>
          </w:tcPr>
          <w:p w14:paraId="1C95EDFB">
            <w:pPr>
              <w:pStyle w:val="48"/>
              <w:jc w:val="center"/>
              <w:rPr>
                <w:rFonts w:hint="eastAsia"/>
                <w:b/>
                <w:bCs/>
              </w:rPr>
            </w:pPr>
            <w:r>
              <w:rPr>
                <w:rFonts w:hint="eastAsia"/>
                <w:b/>
                <w:bCs/>
              </w:rPr>
              <w:t>序号</w:t>
            </w:r>
          </w:p>
        </w:tc>
        <w:tc>
          <w:tcPr>
            <w:tcW w:w="2743" w:type="dxa"/>
            <w:shd w:val="clear" w:color="auto" w:fill="D8D8D8" w:themeFill="background1" w:themeFillShade="D9"/>
            <w:vAlign w:val="center"/>
          </w:tcPr>
          <w:p w14:paraId="445E5E32">
            <w:pPr>
              <w:pStyle w:val="48"/>
              <w:jc w:val="center"/>
              <w:rPr>
                <w:rFonts w:hint="eastAsia"/>
                <w:b/>
                <w:bCs/>
              </w:rPr>
            </w:pPr>
            <w:r>
              <w:rPr>
                <w:rFonts w:hint="eastAsia"/>
                <w:b/>
                <w:bCs/>
              </w:rPr>
              <w:t>资格要求</w:t>
            </w:r>
          </w:p>
        </w:tc>
        <w:tc>
          <w:tcPr>
            <w:tcW w:w="4710" w:type="dxa"/>
            <w:shd w:val="clear" w:color="auto" w:fill="D8D8D8" w:themeFill="background1" w:themeFillShade="D9"/>
            <w:vAlign w:val="center"/>
          </w:tcPr>
          <w:p w14:paraId="3F2A2DEF">
            <w:pPr>
              <w:pStyle w:val="48"/>
              <w:jc w:val="center"/>
              <w:rPr>
                <w:rFonts w:hint="eastAsia"/>
                <w:b/>
                <w:bCs/>
              </w:rPr>
            </w:pPr>
            <w:r>
              <w:rPr>
                <w:rFonts w:hint="eastAsia"/>
                <w:b/>
                <w:bCs/>
              </w:rPr>
              <w:t>审查内容</w:t>
            </w:r>
          </w:p>
        </w:tc>
      </w:tr>
      <w:tr w14:paraId="37673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843" w:type="dxa"/>
            <w:vMerge w:val="restart"/>
            <w:vAlign w:val="center"/>
          </w:tcPr>
          <w:p w14:paraId="645E851D">
            <w:pPr>
              <w:pStyle w:val="48"/>
              <w:numPr>
                <w:ilvl w:val="0"/>
                <w:numId w:val="13"/>
              </w:numPr>
              <w:rPr>
                <w:rFonts w:hint="eastAsia"/>
              </w:rPr>
            </w:pPr>
          </w:p>
        </w:tc>
        <w:tc>
          <w:tcPr>
            <w:tcW w:w="2743" w:type="dxa"/>
            <w:vAlign w:val="center"/>
          </w:tcPr>
          <w:p w14:paraId="320C46D6">
            <w:pPr>
              <w:pStyle w:val="48"/>
              <w:jc w:val="both"/>
              <w:rPr>
                <w:rFonts w:hint="eastAsia"/>
              </w:rPr>
            </w:pPr>
            <w:r>
              <w:rPr>
                <w:rFonts w:hint="eastAsia"/>
              </w:rPr>
              <w:t>具有独立承担民事责任的能力</w:t>
            </w:r>
          </w:p>
        </w:tc>
        <w:tc>
          <w:tcPr>
            <w:tcW w:w="4710" w:type="dxa"/>
            <w:vAlign w:val="center"/>
          </w:tcPr>
          <w:p w14:paraId="5EC60110">
            <w:pPr>
              <w:pStyle w:val="48"/>
              <w:jc w:val="both"/>
              <w:rPr>
                <w:rFonts w:hint="eastAsia"/>
              </w:rPr>
            </w:pPr>
            <w:r>
              <w:t>法人或者其他组织的营业执照等证明文件，自然人的身份证明</w:t>
            </w:r>
            <w:r>
              <w:rPr>
                <w:rFonts w:hint="eastAsia"/>
              </w:rPr>
              <w:t>。</w:t>
            </w:r>
          </w:p>
          <w:p w14:paraId="34DDD484">
            <w:pPr>
              <w:pStyle w:val="48"/>
              <w:jc w:val="both"/>
              <w:rPr>
                <w:rFonts w:hint="eastAsia"/>
              </w:rPr>
            </w:pPr>
            <w:r>
              <w:rPr>
                <w:rFonts w:hint="eastAsia"/>
              </w:rPr>
              <w:t>（1）企业应提供“营业执照”；</w:t>
            </w:r>
          </w:p>
          <w:p w14:paraId="448F03DA">
            <w:pPr>
              <w:pStyle w:val="48"/>
              <w:jc w:val="both"/>
              <w:rPr>
                <w:rFonts w:hint="eastAsia"/>
              </w:rPr>
            </w:pPr>
            <w:r>
              <w:rPr>
                <w:rFonts w:hint="eastAsia"/>
              </w:rPr>
              <w:t>（2）事业单位应提供“事业单位法人证书”；</w:t>
            </w:r>
          </w:p>
          <w:p w14:paraId="4D5D6189">
            <w:pPr>
              <w:pStyle w:val="48"/>
              <w:jc w:val="both"/>
              <w:rPr>
                <w:rFonts w:hint="eastAsia"/>
              </w:rPr>
            </w:pPr>
            <w:r>
              <w:rPr>
                <w:rFonts w:hint="eastAsia"/>
              </w:rPr>
              <w:t>（3）非企业专业服务机构应提供执业许可证等证明文件；</w:t>
            </w:r>
          </w:p>
          <w:p w14:paraId="098CDDD9">
            <w:pPr>
              <w:pStyle w:val="48"/>
              <w:jc w:val="both"/>
              <w:rPr>
                <w:rFonts w:hint="eastAsia"/>
              </w:rPr>
            </w:pPr>
            <w:r>
              <w:rPr>
                <w:rFonts w:hint="eastAsia"/>
              </w:rPr>
              <w:t>（4）个体工商户应提供“个体工商户营业执照”；</w:t>
            </w:r>
          </w:p>
          <w:p w14:paraId="77FC9E1E">
            <w:pPr>
              <w:pStyle w:val="48"/>
              <w:jc w:val="both"/>
              <w:rPr>
                <w:rFonts w:hint="eastAsia"/>
              </w:rPr>
            </w:pPr>
            <w:r>
              <w:rPr>
                <w:rFonts w:hint="eastAsia"/>
              </w:rPr>
              <w:t>（5）自然人应提供自然人身份证明。</w:t>
            </w:r>
          </w:p>
        </w:tc>
      </w:tr>
      <w:tr w14:paraId="1B64B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843" w:type="dxa"/>
            <w:vMerge w:val="continue"/>
            <w:vAlign w:val="center"/>
          </w:tcPr>
          <w:p w14:paraId="5B88766E">
            <w:pPr>
              <w:pStyle w:val="48"/>
              <w:numPr>
                <w:ilvl w:val="0"/>
                <w:numId w:val="13"/>
              </w:numPr>
              <w:rPr>
                <w:rFonts w:hint="eastAsia"/>
              </w:rPr>
            </w:pPr>
          </w:p>
        </w:tc>
        <w:tc>
          <w:tcPr>
            <w:tcW w:w="2743" w:type="dxa"/>
            <w:vAlign w:val="center"/>
          </w:tcPr>
          <w:p w14:paraId="033EA70C">
            <w:pPr>
              <w:pStyle w:val="48"/>
              <w:jc w:val="both"/>
              <w:rPr>
                <w:rFonts w:hint="eastAsia"/>
              </w:rPr>
            </w:pPr>
            <w:r>
              <w:rPr>
                <w:rFonts w:hint="eastAsia"/>
              </w:rPr>
              <w:t>具有良好的商业信誉和健全的财务会计制度</w:t>
            </w:r>
          </w:p>
        </w:tc>
        <w:tc>
          <w:tcPr>
            <w:tcW w:w="4710" w:type="dxa"/>
            <w:vAlign w:val="center"/>
          </w:tcPr>
          <w:p w14:paraId="2272739C">
            <w:pPr>
              <w:pStyle w:val="48"/>
              <w:jc w:val="both"/>
              <w:rPr>
                <w:color w:val="auto"/>
              </w:rPr>
            </w:pPr>
            <w:r>
              <w:rPr>
                <w:rFonts w:hint="eastAsia"/>
                <w:color w:val="auto"/>
              </w:rPr>
              <w:t>由</w:t>
            </w:r>
            <w:r>
              <w:rPr>
                <w:rFonts w:hint="eastAsia"/>
                <w:color w:val="auto"/>
                <w:lang w:eastAsia="zh-CN"/>
              </w:rPr>
              <w:t>投标供应商</w:t>
            </w:r>
            <w:r>
              <w:rPr>
                <w:rFonts w:hint="eastAsia"/>
                <w:color w:val="auto"/>
              </w:rPr>
              <w:t>对以下内容提供书面承诺或声明，或提供</w:t>
            </w:r>
            <w:r>
              <w:rPr>
                <w:rFonts w:hint="eastAsia"/>
                <w:color w:val="auto"/>
                <w:lang w:val="en-US" w:eastAsia="zh-CN"/>
              </w:rPr>
              <w:t>以下任意一项证明材料</w:t>
            </w:r>
            <w:r>
              <w:rPr>
                <w:rFonts w:hint="eastAsia"/>
                <w:color w:val="auto"/>
              </w:rPr>
              <w:t>。</w:t>
            </w:r>
          </w:p>
          <w:p w14:paraId="21BE4292">
            <w:pPr>
              <w:pStyle w:val="48"/>
              <w:jc w:val="both"/>
              <w:rPr>
                <w:color w:val="auto"/>
              </w:rPr>
            </w:pPr>
            <w:r>
              <w:rPr>
                <w:rFonts w:hint="eastAsia"/>
                <w:color w:val="auto"/>
              </w:rPr>
              <w:t>（1）</w:t>
            </w:r>
            <w:r>
              <w:rPr>
                <w:rFonts w:hint="eastAsia"/>
                <w:color w:val="auto"/>
                <w:lang w:eastAsia="zh-CN"/>
              </w:rPr>
              <w:t>投标供应商</w:t>
            </w:r>
            <w:r>
              <w:rPr>
                <w:rFonts w:hint="eastAsia"/>
                <w:color w:val="auto"/>
              </w:rPr>
              <w:t>是法人的，应具有上一年度（</w:t>
            </w:r>
            <w:r>
              <w:rPr>
                <w:rFonts w:hint="eastAsia"/>
                <w:color w:val="auto"/>
                <w:lang w:val="en-US" w:eastAsia="zh-CN"/>
              </w:rPr>
              <w:t>2024或2025</w:t>
            </w:r>
            <w:r>
              <w:rPr>
                <w:color w:val="auto"/>
              </w:rPr>
              <w:t>年度）经审计的财务报告，或其基本开户银行出具的资信证明。其他组织和自然人，没有经审计的财务报告，应具有银行出具的资信证明。</w:t>
            </w:r>
          </w:p>
          <w:p w14:paraId="61D001C1">
            <w:pPr>
              <w:pStyle w:val="48"/>
              <w:jc w:val="both"/>
              <w:rPr>
                <w:rFonts w:hint="eastAsia"/>
              </w:rPr>
            </w:pPr>
            <w:r>
              <w:rPr>
                <w:rFonts w:hint="eastAsia"/>
                <w:color w:val="auto"/>
              </w:rPr>
              <w:t>（2）有专业担保机构对</w:t>
            </w:r>
            <w:r>
              <w:rPr>
                <w:rFonts w:hint="eastAsia"/>
                <w:color w:val="auto"/>
                <w:lang w:eastAsia="zh-CN"/>
              </w:rPr>
              <w:t>投标供应商</w:t>
            </w:r>
            <w:r>
              <w:rPr>
                <w:rFonts w:hint="eastAsia"/>
                <w:color w:val="auto"/>
              </w:rPr>
              <w:t>进行资信审查后出具投标担保函的，可以不用具备经审计的财务报告和银行资信证明文件。</w:t>
            </w:r>
          </w:p>
        </w:tc>
      </w:tr>
      <w:tr w14:paraId="24698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843" w:type="dxa"/>
            <w:vMerge w:val="continue"/>
            <w:vAlign w:val="center"/>
          </w:tcPr>
          <w:p w14:paraId="29154D98">
            <w:pPr>
              <w:pStyle w:val="48"/>
              <w:numPr>
                <w:ilvl w:val="0"/>
                <w:numId w:val="13"/>
              </w:numPr>
              <w:rPr>
                <w:rFonts w:hint="eastAsia"/>
              </w:rPr>
            </w:pPr>
          </w:p>
        </w:tc>
        <w:tc>
          <w:tcPr>
            <w:tcW w:w="2743" w:type="dxa"/>
            <w:vAlign w:val="center"/>
          </w:tcPr>
          <w:p w14:paraId="4D987368">
            <w:pPr>
              <w:pStyle w:val="48"/>
              <w:jc w:val="both"/>
              <w:rPr>
                <w:rFonts w:hint="eastAsia"/>
              </w:rPr>
            </w:pPr>
            <w:r>
              <w:rPr>
                <w:rFonts w:hint="eastAsia"/>
              </w:rPr>
              <w:t>具有履行合同所必需的设备和专业技术能力</w:t>
            </w:r>
          </w:p>
        </w:tc>
        <w:tc>
          <w:tcPr>
            <w:tcW w:w="4710" w:type="dxa"/>
            <w:vAlign w:val="center"/>
          </w:tcPr>
          <w:p w14:paraId="0F4563EF">
            <w:pPr>
              <w:pStyle w:val="48"/>
              <w:jc w:val="both"/>
              <w:rPr>
                <w:rFonts w:hint="eastAsia"/>
              </w:rPr>
            </w:pPr>
            <w:r>
              <w:rPr>
                <w:rFonts w:hint="eastAsia"/>
                <w:color w:val="auto"/>
              </w:rPr>
              <w:t>由</w:t>
            </w:r>
            <w:r>
              <w:rPr>
                <w:rFonts w:hint="eastAsia"/>
                <w:color w:val="auto"/>
                <w:lang w:eastAsia="zh-CN"/>
              </w:rPr>
              <w:t>投标供应商</w:t>
            </w:r>
            <w:r>
              <w:rPr>
                <w:rFonts w:hint="eastAsia"/>
                <w:color w:val="auto"/>
              </w:rPr>
              <w:t>提供书面承诺或声明，或提供相应证明材料。</w:t>
            </w:r>
          </w:p>
        </w:tc>
      </w:tr>
      <w:tr w14:paraId="5D125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843" w:type="dxa"/>
            <w:vMerge w:val="continue"/>
            <w:vAlign w:val="center"/>
          </w:tcPr>
          <w:p w14:paraId="67520FB6">
            <w:pPr>
              <w:pStyle w:val="48"/>
              <w:numPr>
                <w:ilvl w:val="0"/>
                <w:numId w:val="13"/>
              </w:numPr>
              <w:rPr>
                <w:rFonts w:hint="eastAsia"/>
              </w:rPr>
            </w:pPr>
          </w:p>
        </w:tc>
        <w:tc>
          <w:tcPr>
            <w:tcW w:w="2743" w:type="dxa"/>
            <w:vAlign w:val="center"/>
          </w:tcPr>
          <w:p w14:paraId="58B8088A">
            <w:pPr>
              <w:pStyle w:val="48"/>
              <w:jc w:val="both"/>
              <w:rPr>
                <w:rFonts w:hint="eastAsia"/>
              </w:rPr>
            </w:pPr>
            <w:r>
              <w:rPr>
                <w:rFonts w:hint="eastAsia"/>
              </w:rPr>
              <w:t>有依法缴纳税收和社会保障资金的良好记录</w:t>
            </w:r>
          </w:p>
        </w:tc>
        <w:tc>
          <w:tcPr>
            <w:tcW w:w="4710" w:type="dxa"/>
            <w:vAlign w:val="center"/>
          </w:tcPr>
          <w:p w14:paraId="5B8D5628">
            <w:pPr>
              <w:pStyle w:val="48"/>
              <w:jc w:val="both"/>
              <w:rPr>
                <w:color w:val="auto"/>
              </w:rPr>
            </w:pPr>
            <w:r>
              <w:rPr>
                <w:rFonts w:hint="eastAsia"/>
                <w:color w:val="auto"/>
              </w:rPr>
              <w:t>由</w:t>
            </w:r>
            <w:r>
              <w:rPr>
                <w:rFonts w:hint="eastAsia"/>
                <w:color w:val="auto"/>
                <w:lang w:eastAsia="zh-CN"/>
              </w:rPr>
              <w:t>投标供应商</w:t>
            </w:r>
            <w:r>
              <w:rPr>
                <w:rFonts w:hint="eastAsia"/>
                <w:color w:val="auto"/>
              </w:rPr>
              <w:t>对以下内容提供书面承诺或声明，或提供相应证明材料。</w:t>
            </w:r>
          </w:p>
          <w:p w14:paraId="36D321B2">
            <w:pPr>
              <w:pStyle w:val="48"/>
              <w:jc w:val="both"/>
              <w:rPr>
                <w:color w:val="auto"/>
              </w:rPr>
            </w:pPr>
            <w:r>
              <w:rPr>
                <w:rFonts w:hint="eastAsia"/>
                <w:color w:val="auto"/>
              </w:rPr>
              <w:t>（1）</w:t>
            </w:r>
            <w:r>
              <w:rPr>
                <w:rFonts w:hint="eastAsia"/>
                <w:color w:val="auto"/>
                <w:lang w:eastAsia="zh-CN"/>
              </w:rPr>
              <w:t>投标供应商</w:t>
            </w:r>
            <w:r>
              <w:rPr>
                <w:rFonts w:hint="eastAsia"/>
                <w:color w:val="auto"/>
              </w:rPr>
              <w:t>依法缴纳税收：本项目公告发布时间前</w:t>
            </w:r>
            <w:r>
              <w:rPr>
                <w:rFonts w:hint="eastAsia"/>
                <w:color w:val="auto"/>
                <w:lang w:val="en-US" w:eastAsia="zh-CN"/>
              </w:rPr>
              <w:t>6</w:t>
            </w:r>
            <w:r>
              <w:rPr>
                <w:color w:val="auto"/>
              </w:rPr>
              <w:t>个月内（至少有1个月）缴纳税收的凭据（完税证、缴款书、印花税票、银行代扣（代缴）转账凭证等均可）</w:t>
            </w:r>
            <w:r>
              <w:rPr>
                <w:rFonts w:hint="eastAsia"/>
                <w:color w:val="auto"/>
                <w:lang w:val="en-US" w:eastAsia="zh-CN"/>
              </w:rPr>
              <w:t>或税务机关出具的无欠税证明</w:t>
            </w:r>
            <w:r>
              <w:rPr>
                <w:color w:val="auto"/>
              </w:rPr>
              <w:t>；</w:t>
            </w:r>
          </w:p>
          <w:p w14:paraId="65C15E5B">
            <w:pPr>
              <w:pStyle w:val="48"/>
              <w:jc w:val="both"/>
              <w:rPr>
                <w:color w:val="auto"/>
              </w:rPr>
            </w:pPr>
            <w:r>
              <w:rPr>
                <w:rFonts w:hint="eastAsia"/>
                <w:color w:val="auto"/>
              </w:rPr>
              <w:t>（2）</w:t>
            </w:r>
            <w:r>
              <w:rPr>
                <w:rFonts w:hint="eastAsia"/>
                <w:color w:val="auto"/>
                <w:lang w:eastAsia="zh-CN"/>
              </w:rPr>
              <w:t>投标供应商</w:t>
            </w:r>
            <w:r>
              <w:rPr>
                <w:rFonts w:hint="eastAsia"/>
                <w:color w:val="auto"/>
              </w:rPr>
              <w:t>依法缴纳社会保障资金：本项目公告发布时间前</w:t>
            </w:r>
            <w:r>
              <w:rPr>
                <w:rFonts w:hint="eastAsia"/>
                <w:color w:val="auto"/>
                <w:lang w:val="en-US" w:eastAsia="zh-CN"/>
              </w:rPr>
              <w:t>6</w:t>
            </w:r>
            <w:r>
              <w:rPr>
                <w:color w:val="auto"/>
              </w:rPr>
              <w:t>个月内（至少有1个月）缴纳社会保险的凭据（专用收据或社会保险交纳清单）；</w:t>
            </w:r>
          </w:p>
          <w:p w14:paraId="13B12C39">
            <w:pPr>
              <w:pStyle w:val="48"/>
              <w:jc w:val="both"/>
              <w:rPr>
                <w:color w:val="auto"/>
              </w:rPr>
            </w:pPr>
            <w:r>
              <w:rPr>
                <w:rFonts w:hint="eastAsia"/>
                <w:color w:val="auto"/>
              </w:rPr>
              <w:t>（3）</w:t>
            </w:r>
            <w:r>
              <w:rPr>
                <w:rFonts w:hint="eastAsia"/>
                <w:color w:val="auto"/>
                <w:lang w:eastAsia="zh-CN"/>
              </w:rPr>
              <w:t>投标供应商</w:t>
            </w:r>
            <w:r>
              <w:rPr>
                <w:rFonts w:hint="eastAsia"/>
                <w:color w:val="auto"/>
              </w:rPr>
              <w:t>为其他组织或自然人的，也应满足以上要求；</w:t>
            </w:r>
          </w:p>
          <w:p w14:paraId="3D8D3DA6">
            <w:pPr>
              <w:pStyle w:val="48"/>
              <w:jc w:val="both"/>
              <w:rPr>
                <w:color w:val="auto"/>
              </w:rPr>
            </w:pPr>
            <w:r>
              <w:rPr>
                <w:rFonts w:hint="eastAsia"/>
                <w:color w:val="auto"/>
              </w:rPr>
              <w:t>（4）递交投标文件截止时间的当月成立但因税务机关原因导致其尚未依法缴纳税收的</w:t>
            </w:r>
            <w:r>
              <w:rPr>
                <w:rFonts w:hint="eastAsia"/>
                <w:color w:val="auto"/>
                <w:lang w:eastAsia="zh-CN"/>
              </w:rPr>
              <w:t>投标供应商</w:t>
            </w:r>
            <w:r>
              <w:rPr>
                <w:rFonts w:hint="eastAsia"/>
                <w:color w:val="auto"/>
              </w:rPr>
              <w:t>，提供将依法缴纳税收承诺书原件（格式自拟），该承诺书视同税收缴纳凭据；</w:t>
            </w:r>
          </w:p>
          <w:p w14:paraId="37E9B6A1">
            <w:pPr>
              <w:pStyle w:val="48"/>
              <w:jc w:val="both"/>
              <w:rPr>
                <w:color w:val="auto"/>
              </w:rPr>
            </w:pPr>
            <w:r>
              <w:rPr>
                <w:rFonts w:hint="eastAsia"/>
                <w:color w:val="auto"/>
              </w:rPr>
              <w:t>（5）递交投标文件截止时间的当月成立但因社会保障资金管理机关原因导致其尚未依法缴纳社会保障资金的</w:t>
            </w:r>
            <w:r>
              <w:rPr>
                <w:rFonts w:hint="eastAsia"/>
                <w:color w:val="auto"/>
                <w:lang w:eastAsia="zh-CN"/>
              </w:rPr>
              <w:t>投标供应商</w:t>
            </w:r>
            <w:r>
              <w:rPr>
                <w:rFonts w:hint="eastAsia"/>
                <w:color w:val="auto"/>
              </w:rPr>
              <w:t>，提供将依法缴纳社会保障资金承诺书原件（格式自拟），该承诺书视同社会保险凭据；</w:t>
            </w:r>
          </w:p>
          <w:p w14:paraId="20A12E7F">
            <w:pPr>
              <w:pStyle w:val="48"/>
              <w:jc w:val="both"/>
              <w:rPr>
                <w:rFonts w:hint="eastAsia"/>
              </w:rPr>
            </w:pPr>
            <w:r>
              <w:rPr>
                <w:rFonts w:hint="eastAsia"/>
                <w:color w:val="auto"/>
              </w:rPr>
              <w:t>（6）依法免税或不需要缴纳社会保障资金的</w:t>
            </w:r>
            <w:r>
              <w:rPr>
                <w:rFonts w:hint="eastAsia"/>
                <w:color w:val="auto"/>
                <w:lang w:eastAsia="zh-CN"/>
              </w:rPr>
              <w:t>投标供应商</w:t>
            </w:r>
            <w:r>
              <w:rPr>
                <w:rFonts w:hint="eastAsia"/>
                <w:color w:val="auto"/>
              </w:rPr>
              <w:t>，具有相应文件证明其依法免税或不需要交纳社会保障资金。</w:t>
            </w:r>
          </w:p>
        </w:tc>
      </w:tr>
      <w:tr w14:paraId="25094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843" w:type="dxa"/>
            <w:vMerge w:val="continue"/>
            <w:vAlign w:val="center"/>
          </w:tcPr>
          <w:p w14:paraId="67042EF7">
            <w:pPr>
              <w:pStyle w:val="48"/>
              <w:numPr>
                <w:ilvl w:val="0"/>
                <w:numId w:val="13"/>
              </w:numPr>
              <w:rPr>
                <w:rFonts w:hint="eastAsia"/>
              </w:rPr>
            </w:pPr>
          </w:p>
        </w:tc>
        <w:tc>
          <w:tcPr>
            <w:tcW w:w="2743" w:type="dxa"/>
            <w:vAlign w:val="center"/>
          </w:tcPr>
          <w:p w14:paraId="2DE86FA7">
            <w:pPr>
              <w:pStyle w:val="48"/>
              <w:jc w:val="both"/>
              <w:rPr>
                <w:rFonts w:hint="eastAsia"/>
              </w:rPr>
            </w:pPr>
            <w:r>
              <w:rPr>
                <w:rFonts w:hint="eastAsia"/>
              </w:rPr>
              <w:t>参加政府采购活动前三年内，在经营活动中没有重大违法记录</w:t>
            </w:r>
          </w:p>
        </w:tc>
        <w:tc>
          <w:tcPr>
            <w:tcW w:w="4710" w:type="dxa"/>
            <w:vAlign w:val="center"/>
          </w:tcPr>
          <w:p w14:paraId="2AF7F283">
            <w:pPr>
              <w:pStyle w:val="48"/>
              <w:jc w:val="both"/>
              <w:rPr>
                <w:rFonts w:hint="eastAsia"/>
              </w:rPr>
            </w:pPr>
            <w:r>
              <w:rPr>
                <w:rFonts w:hint="eastAsia"/>
                <w:bCs/>
                <w:color w:val="auto"/>
              </w:rPr>
              <w:t>由</w:t>
            </w:r>
            <w:r>
              <w:rPr>
                <w:rFonts w:hint="eastAsia"/>
                <w:bCs/>
                <w:color w:val="auto"/>
                <w:lang w:eastAsia="zh-CN"/>
              </w:rPr>
              <w:t>投标供应商</w:t>
            </w:r>
            <w:r>
              <w:rPr>
                <w:rFonts w:hint="eastAsia"/>
                <w:bCs/>
                <w:color w:val="auto"/>
              </w:rPr>
              <w:t>提供书面承诺或声明</w:t>
            </w:r>
            <w:r>
              <w:rPr>
                <w:color w:val="auto"/>
              </w:rPr>
              <w:t>，或提供相应证明材料。</w:t>
            </w:r>
          </w:p>
        </w:tc>
      </w:tr>
      <w:tr w14:paraId="094B2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843" w:type="dxa"/>
            <w:vMerge w:val="continue"/>
            <w:vAlign w:val="center"/>
          </w:tcPr>
          <w:p w14:paraId="399519AC">
            <w:pPr>
              <w:pStyle w:val="48"/>
              <w:numPr>
                <w:ilvl w:val="0"/>
                <w:numId w:val="13"/>
              </w:numPr>
              <w:rPr>
                <w:rFonts w:hint="eastAsia"/>
              </w:rPr>
            </w:pPr>
          </w:p>
        </w:tc>
        <w:tc>
          <w:tcPr>
            <w:tcW w:w="2743" w:type="dxa"/>
            <w:vAlign w:val="center"/>
          </w:tcPr>
          <w:p w14:paraId="1C4D2561">
            <w:pPr>
              <w:pStyle w:val="48"/>
              <w:jc w:val="both"/>
              <w:rPr>
                <w:rFonts w:hint="eastAsia"/>
              </w:rPr>
            </w:pPr>
            <w:r>
              <w:rPr>
                <w:rFonts w:hint="eastAsia"/>
              </w:rPr>
              <w:t>法律、行政法规规定的其他条件</w:t>
            </w:r>
          </w:p>
        </w:tc>
        <w:tc>
          <w:tcPr>
            <w:tcW w:w="4710" w:type="dxa"/>
            <w:vAlign w:val="center"/>
          </w:tcPr>
          <w:p w14:paraId="7DFA2C0A">
            <w:pPr>
              <w:pStyle w:val="48"/>
              <w:jc w:val="both"/>
              <w:rPr>
                <w:rFonts w:hint="eastAsia"/>
              </w:rPr>
            </w:pPr>
            <w:r>
              <w:rPr>
                <w:rFonts w:hint="eastAsia"/>
                <w:bCs/>
              </w:rPr>
              <w:t>无</w:t>
            </w:r>
          </w:p>
        </w:tc>
      </w:tr>
      <w:tr w14:paraId="57FCE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843" w:type="dxa"/>
            <w:vAlign w:val="center"/>
          </w:tcPr>
          <w:p w14:paraId="6FB6E0FF">
            <w:pPr>
              <w:pStyle w:val="48"/>
              <w:numPr>
                <w:ilvl w:val="0"/>
                <w:numId w:val="13"/>
              </w:numPr>
              <w:rPr>
                <w:rFonts w:hint="eastAsia"/>
              </w:rPr>
            </w:pPr>
          </w:p>
        </w:tc>
        <w:tc>
          <w:tcPr>
            <w:tcW w:w="2743" w:type="dxa"/>
            <w:vAlign w:val="center"/>
          </w:tcPr>
          <w:p w14:paraId="251F4A59">
            <w:pPr>
              <w:pStyle w:val="48"/>
              <w:rPr>
                <w:rFonts w:hint="eastAsia"/>
              </w:rPr>
            </w:pPr>
            <w:r>
              <w:rPr>
                <w:rFonts w:hint="eastAsia"/>
              </w:rPr>
              <w:t>未被列入失信被执行人、“重大税收违法失信主体”，未被列入政府采购严重违法失信行为记录名单</w:t>
            </w:r>
          </w:p>
        </w:tc>
        <w:tc>
          <w:tcPr>
            <w:tcW w:w="4710" w:type="dxa"/>
            <w:vAlign w:val="center"/>
          </w:tcPr>
          <w:p w14:paraId="2B06F968">
            <w:pPr>
              <w:pStyle w:val="48"/>
              <w:wordWrap w:val="0"/>
              <w:rPr>
                <w:rFonts w:hint="eastAsia"/>
              </w:rPr>
            </w:pPr>
            <w:r>
              <w:t>以采购人和采购代理机构在投标截止</w:t>
            </w:r>
            <w:r>
              <w:rPr>
                <w:rFonts w:hint="eastAsia"/>
              </w:rPr>
              <w:t>后2小时内</w:t>
            </w:r>
            <w:r>
              <w:t>在“信用中国”网站（www.creditchina.gov.cn）及中国政府采购网(www.ccgp.gov.cn)查询</w:t>
            </w:r>
            <w:r>
              <w:rPr>
                <w:rFonts w:hint="eastAsia"/>
              </w:rPr>
              <w:t>的投标供应商参加政府采购活动前三年内的</w:t>
            </w:r>
            <w:r>
              <w:t>结果为准（采购人和采购代理机构对信用信息查询记录和证据截图或下载存档）</w:t>
            </w:r>
            <w:r>
              <w:rPr>
                <w:rFonts w:hint="eastAsia"/>
              </w:rPr>
              <w:t>。</w:t>
            </w:r>
          </w:p>
        </w:tc>
      </w:tr>
      <w:tr w14:paraId="61612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843" w:type="dxa"/>
            <w:vAlign w:val="center"/>
          </w:tcPr>
          <w:p w14:paraId="4F55561B">
            <w:pPr>
              <w:pStyle w:val="48"/>
              <w:numPr>
                <w:ilvl w:val="0"/>
                <w:numId w:val="13"/>
              </w:numPr>
              <w:rPr>
                <w:rFonts w:hint="eastAsia"/>
              </w:rPr>
            </w:pPr>
          </w:p>
        </w:tc>
        <w:tc>
          <w:tcPr>
            <w:tcW w:w="2743" w:type="dxa"/>
          </w:tcPr>
          <w:p w14:paraId="30E9907D">
            <w:pPr>
              <w:pStyle w:val="48"/>
              <w:jc w:val="both"/>
              <w:rPr>
                <w:rFonts w:hint="eastAsia"/>
              </w:rPr>
            </w:pPr>
            <w:r>
              <w:rPr>
                <w:rFonts w:hint="eastAsia"/>
              </w:rPr>
              <w:t>落实政府采购政策需满足的资格要求</w:t>
            </w:r>
          </w:p>
        </w:tc>
        <w:tc>
          <w:tcPr>
            <w:tcW w:w="4710" w:type="dxa"/>
            <w:vAlign w:val="center"/>
          </w:tcPr>
          <w:p w14:paraId="261D6D8E">
            <w:pPr>
              <w:pStyle w:val="48"/>
              <w:jc w:val="both"/>
              <w:rPr>
                <w:rFonts w:hint="eastAsia" w:eastAsia="宋体"/>
                <w:lang w:eastAsia="zh-CN"/>
              </w:rPr>
            </w:pPr>
            <w:r>
              <w:rPr>
                <w:rFonts w:hint="eastAsia"/>
              </w:rPr>
              <w:t>本项目专门面向中小企业采购。供应商应当按</w:t>
            </w:r>
            <w:r>
              <w:rPr>
                <w:rFonts w:hint="eastAsia"/>
                <w:lang w:val="en-US" w:eastAsia="zh-CN"/>
              </w:rPr>
              <w:t>招标文件</w:t>
            </w:r>
            <w:r>
              <w:rPr>
                <w:rFonts w:hint="eastAsia"/>
              </w:rPr>
              <w:t>规定提供</w:t>
            </w:r>
            <w:r>
              <w:rPr>
                <w:rFonts w:hint="eastAsia"/>
                <w:lang w:val="en-US" w:eastAsia="zh-CN"/>
              </w:rPr>
              <w:t>合法有效的</w:t>
            </w:r>
            <w:r>
              <w:rPr>
                <w:rFonts w:hint="eastAsia"/>
              </w:rPr>
              <w:t>《中小企业声明函》</w:t>
            </w:r>
            <w:r>
              <w:rPr>
                <w:rFonts w:hint="eastAsia"/>
                <w:lang w:val="en-US" w:eastAsia="zh-CN"/>
              </w:rPr>
              <w:t>或《残疾人福利性单位声明函》或监狱企业证明材料</w:t>
            </w:r>
            <w:r>
              <w:rPr>
                <w:rFonts w:hint="eastAsia"/>
                <w:lang w:eastAsia="zh-CN"/>
              </w:rPr>
              <w:t>。</w:t>
            </w:r>
          </w:p>
        </w:tc>
      </w:tr>
      <w:tr w14:paraId="06062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87" w:hRule="atLeast"/>
          <w:jc w:val="center"/>
        </w:trPr>
        <w:tc>
          <w:tcPr>
            <w:tcW w:w="843" w:type="dxa"/>
            <w:vAlign w:val="center"/>
          </w:tcPr>
          <w:p w14:paraId="204BF2C7">
            <w:pPr>
              <w:pStyle w:val="48"/>
              <w:numPr>
                <w:ilvl w:val="0"/>
                <w:numId w:val="13"/>
              </w:numPr>
              <w:rPr>
                <w:rFonts w:hint="eastAsia"/>
              </w:rPr>
            </w:pPr>
          </w:p>
        </w:tc>
        <w:tc>
          <w:tcPr>
            <w:tcW w:w="2743" w:type="dxa"/>
            <w:vAlign w:val="center"/>
          </w:tcPr>
          <w:p w14:paraId="3341BD4F">
            <w:pPr>
              <w:pStyle w:val="48"/>
              <w:jc w:val="both"/>
              <w:rPr>
                <w:rFonts w:hint="eastAsia"/>
              </w:rPr>
            </w:pPr>
            <w:r>
              <w:rPr>
                <w:rFonts w:hint="eastAsia"/>
              </w:rPr>
              <w:t>本项目的特定资格要求</w:t>
            </w:r>
          </w:p>
        </w:tc>
        <w:tc>
          <w:tcPr>
            <w:tcW w:w="4710" w:type="dxa"/>
            <w:vAlign w:val="center"/>
          </w:tcPr>
          <w:p w14:paraId="2D1A7070">
            <w:pPr>
              <w:numPr>
                <w:ilvl w:val="0"/>
                <w:numId w:val="14"/>
              </w:numPr>
              <w:adjustRightInd w:val="0"/>
              <w:snapToGrid w:val="0"/>
              <w:spacing w:line="360" w:lineRule="auto"/>
              <w:rPr>
                <w:rFonts w:hint="eastAsia"/>
                <w:lang w:val="en-US" w:eastAsia="zh-CN"/>
              </w:rPr>
            </w:pPr>
            <w:r>
              <w:rPr>
                <w:rFonts w:hint="eastAsia"/>
              </w:rPr>
              <w:t>单位负责人为同一人或者存在直接控股、管理关系的不同投标供应商，不得</w:t>
            </w:r>
            <w:r>
              <w:rPr>
                <w:rFonts w:hint="eastAsia"/>
                <w:lang w:val="en-US" w:eastAsia="zh-CN"/>
              </w:rPr>
              <w:t>同时</w:t>
            </w:r>
            <w:r>
              <w:rPr>
                <w:rFonts w:hint="eastAsia"/>
              </w:rPr>
              <w:t>参加本项目</w:t>
            </w:r>
            <w:r>
              <w:rPr>
                <w:rFonts w:hint="eastAsia"/>
                <w:lang w:val="en-US" w:eastAsia="zh-CN"/>
              </w:rPr>
              <w:t>投标（</w:t>
            </w:r>
            <w:r>
              <w:rPr>
                <w:rFonts w:hint="eastAsia"/>
              </w:rPr>
              <w:t>由投标供应商在《投标函》中声明</w:t>
            </w:r>
            <w:r>
              <w:rPr>
                <w:rFonts w:hint="eastAsia"/>
                <w:lang w:val="en-US" w:eastAsia="zh-CN"/>
              </w:rPr>
              <w:t>）</w:t>
            </w:r>
          </w:p>
          <w:p w14:paraId="38B84BFB">
            <w:pPr>
              <w:numPr>
                <w:ilvl w:val="0"/>
                <w:numId w:val="14"/>
              </w:numPr>
              <w:adjustRightInd w:val="0"/>
              <w:snapToGrid w:val="0"/>
              <w:spacing w:line="360" w:lineRule="auto"/>
              <w:rPr>
                <w:rFonts w:hint="eastAsia"/>
                <w:bCs/>
                <w:color w:val="auto"/>
                <w:lang w:eastAsia="zh-CN"/>
              </w:rPr>
            </w:pPr>
            <w:r>
              <w:rPr>
                <w:rFonts w:hint="eastAsia" w:ascii="宋体" w:hAnsi="宋体" w:eastAsia="宋体" w:cstheme="minorBidi"/>
                <w:kern w:val="2"/>
                <w:sz w:val="24"/>
                <w:szCs w:val="22"/>
                <w:lang w:val="en-US" w:eastAsia="zh-CN" w:bidi="ar-SA"/>
              </w:rPr>
              <w:t>供应商中标后不得将采购项目整体转包给其他主体实施。</w:t>
            </w:r>
            <w:r>
              <w:rPr>
                <w:rFonts w:hint="eastAsia"/>
                <w:bCs/>
                <w:color w:val="auto"/>
                <w:lang w:val="en-US" w:eastAsia="zh-CN"/>
              </w:rPr>
              <w:t>须</w:t>
            </w:r>
            <w:r>
              <w:rPr>
                <w:rFonts w:hint="eastAsia"/>
                <w:bCs/>
                <w:color w:val="auto"/>
              </w:rPr>
              <w:t>提供书面承诺或声明</w:t>
            </w:r>
            <w:r>
              <w:rPr>
                <w:rFonts w:hint="eastAsia"/>
                <w:bCs/>
                <w:color w:val="auto"/>
                <w:lang w:eastAsia="zh-CN"/>
              </w:rPr>
              <w:t>。</w:t>
            </w:r>
          </w:p>
          <w:p w14:paraId="47D9A8ED">
            <w:pPr>
              <w:numPr>
                <w:ilvl w:val="0"/>
                <w:numId w:val="0"/>
              </w:numPr>
              <w:adjustRightInd w:val="0"/>
              <w:snapToGrid w:val="0"/>
              <w:spacing w:line="360" w:lineRule="auto"/>
              <w:rPr>
                <w:rFonts w:hint="eastAsia" w:ascii="宋体" w:hAnsi="宋体" w:eastAsia="宋体" w:cstheme="minorBidi"/>
                <w:kern w:val="2"/>
                <w:sz w:val="24"/>
                <w:szCs w:val="22"/>
                <w:lang w:val="en-US" w:eastAsia="zh-CN" w:bidi="ar-SA"/>
              </w:rPr>
            </w:pPr>
            <w:r>
              <w:rPr>
                <w:rFonts w:hint="eastAsia"/>
                <w:bCs/>
                <w:color w:val="auto"/>
                <w:lang w:eastAsia="zh-CN"/>
              </w:rPr>
              <w:t>（</w:t>
            </w:r>
            <w:r>
              <w:rPr>
                <w:rFonts w:hint="eastAsia"/>
                <w:bCs/>
                <w:color w:val="auto"/>
                <w:lang w:val="en-US" w:eastAsia="zh-CN"/>
              </w:rPr>
              <w:t>3</w:t>
            </w:r>
            <w:r>
              <w:rPr>
                <w:rFonts w:hint="eastAsia"/>
                <w:bCs/>
                <w:color w:val="auto"/>
                <w:lang w:eastAsia="zh-CN"/>
              </w:rPr>
              <w:t>）供应商在参加政府采购活动前3年内因违法经营被禁止在一定期限内参加政府采购活动，期限届满的，可以参加本次政府采购活动。须提供书面承诺或声明。</w:t>
            </w:r>
          </w:p>
          <w:p w14:paraId="72F9E5DF">
            <w:pPr>
              <w:adjustRightInd w:val="0"/>
              <w:snapToGrid w:val="0"/>
              <w:spacing w:line="360" w:lineRule="auto"/>
              <w:rPr>
                <w:rFonts w:hint="eastAsia"/>
              </w:rPr>
            </w:pPr>
            <w:r>
              <w:rPr>
                <w:rFonts w:hint="eastAsia" w:ascii="宋体" w:hAnsi="宋体" w:eastAsia="宋体" w:cstheme="minorBidi"/>
                <w:kern w:val="2"/>
                <w:sz w:val="24"/>
                <w:szCs w:val="22"/>
                <w:lang w:val="en-US" w:eastAsia="zh-CN" w:bidi="ar-SA"/>
              </w:rPr>
              <w:t>（</w:t>
            </w:r>
            <w:r>
              <w:rPr>
                <w:rFonts w:hint="eastAsia" w:cstheme="minorBidi"/>
                <w:kern w:val="2"/>
                <w:sz w:val="24"/>
                <w:szCs w:val="22"/>
                <w:lang w:val="en-US" w:eastAsia="zh-CN" w:bidi="ar-SA"/>
              </w:rPr>
              <w:t>4</w:t>
            </w:r>
            <w:r>
              <w:rPr>
                <w:rFonts w:hint="eastAsia" w:ascii="宋体" w:hAnsi="宋体" w:eastAsia="宋体" w:cstheme="minorBidi"/>
                <w:kern w:val="2"/>
                <w:sz w:val="24"/>
                <w:szCs w:val="22"/>
                <w:lang w:val="en-US" w:eastAsia="zh-CN" w:bidi="ar-SA"/>
              </w:rPr>
              <w:t>）供应商应当具备《从事生活垃圾经营性清扫、收集、运输服务许可证》。</w:t>
            </w:r>
            <w:r>
              <w:rPr>
                <w:rFonts w:hint="eastAsia"/>
                <w:bCs/>
                <w:color w:val="auto"/>
                <w:lang w:val="en-US" w:eastAsia="zh-CN"/>
              </w:rPr>
              <w:t>须</w:t>
            </w:r>
            <w:r>
              <w:rPr>
                <w:rFonts w:hint="eastAsia"/>
                <w:bCs/>
                <w:color w:val="auto"/>
              </w:rPr>
              <w:t>提供</w:t>
            </w:r>
            <w:r>
              <w:rPr>
                <w:rFonts w:hint="eastAsia"/>
                <w:bCs/>
                <w:color w:val="auto"/>
                <w:lang w:val="en-US" w:eastAsia="zh-CN"/>
              </w:rPr>
              <w:t>扫描件并加盖公章</w:t>
            </w:r>
            <w:r>
              <w:rPr>
                <w:rFonts w:hint="eastAsia"/>
                <w:bCs/>
                <w:color w:val="auto"/>
                <w:lang w:eastAsia="zh-CN"/>
              </w:rPr>
              <w:t>。</w:t>
            </w:r>
          </w:p>
        </w:tc>
      </w:tr>
    </w:tbl>
    <w:p w14:paraId="385904E4">
      <w:pPr>
        <w:rPr>
          <w:rFonts w:hint="eastAsia"/>
          <w:b/>
          <w:bCs/>
        </w:rPr>
      </w:pPr>
      <w:r>
        <w:rPr>
          <w:rFonts w:hint="eastAsia"/>
          <w:b/>
          <w:bCs/>
        </w:rPr>
        <w:t>备注：</w:t>
      </w:r>
    </w:p>
    <w:p w14:paraId="36E5C6D8">
      <w:pPr>
        <w:pStyle w:val="38"/>
        <w:numPr>
          <w:ilvl w:val="0"/>
          <w:numId w:val="15"/>
        </w:numPr>
        <w:rPr>
          <w:rFonts w:hint="eastAsia"/>
        </w:rPr>
      </w:pPr>
      <w:r>
        <w:t>资格证明文件应为原件的扫描件或复印件，投标文件中须编入清晰的扫描件或复印件。所有证明材料须清晰可辨认，如因证明材料模糊无法辨认，缺页、漏页导致无法进行评审认定的责任由</w:t>
      </w:r>
      <w:r>
        <w:rPr>
          <w:rFonts w:hint="eastAsia"/>
        </w:rPr>
        <w:t>投标供应商</w:t>
      </w:r>
      <w:r>
        <w:t>自负。</w:t>
      </w:r>
    </w:p>
    <w:p w14:paraId="6CA4E31A">
      <w:pPr>
        <w:pStyle w:val="38"/>
        <w:numPr>
          <w:ilvl w:val="0"/>
          <w:numId w:val="15"/>
        </w:numPr>
        <w:rPr>
          <w:rFonts w:hint="eastAsia"/>
        </w:rPr>
      </w:pPr>
      <w:r>
        <w:rPr>
          <w:rFonts w:hint="eastAsia"/>
          <w:lang w:val="zh-CN"/>
        </w:rPr>
        <w:t>信用信息核</w:t>
      </w:r>
      <w:r>
        <w:rPr>
          <w:rFonts w:hint="eastAsia"/>
        </w:rPr>
        <w:t>查</w:t>
      </w:r>
    </w:p>
    <w:p w14:paraId="33EE58F9">
      <w:pPr>
        <w:pStyle w:val="36"/>
        <w:rPr>
          <w:rFonts w:hint="eastAsia"/>
        </w:rPr>
      </w:pPr>
      <w:r>
        <w:rPr>
          <w:rFonts w:hint="eastAsia"/>
        </w:rPr>
        <w:t>2</w:t>
      </w:r>
      <w:r>
        <w:t>.1</w:t>
      </w:r>
      <w:r>
        <w:rPr>
          <w:rFonts w:hint="eastAsia"/>
        </w:rPr>
        <w:t>资格审查当日应当核查投标供应商信用记录，投标供应商被列入失信被执行人、重大税收违法案件当事人名单、政府采购严重违法失信行为记录名单的，采购代理机构拒绝其参与政府采购活动。</w:t>
      </w:r>
    </w:p>
    <w:p w14:paraId="39AE5862">
      <w:pPr>
        <w:pStyle w:val="36"/>
        <w:rPr>
          <w:rFonts w:hint="eastAsia"/>
        </w:rPr>
      </w:pPr>
      <w:r>
        <w:rPr>
          <w:rFonts w:hint="eastAsia"/>
        </w:rPr>
        <w:t>2</w:t>
      </w:r>
      <w:r>
        <w:t>.2</w:t>
      </w:r>
      <w:r>
        <w:rPr>
          <w:rFonts w:hint="eastAsia"/>
        </w:rPr>
        <w:t>以联合体形式投标的，应当核查联合体所有成员和信用记录，联合体成员存在不良信用记录的，视同联合体存在不良信用信息。</w:t>
      </w:r>
    </w:p>
    <w:p w14:paraId="6200F064">
      <w:pPr>
        <w:pStyle w:val="38"/>
        <w:numPr>
          <w:ilvl w:val="0"/>
          <w:numId w:val="15"/>
        </w:numPr>
        <w:rPr>
          <w:rFonts w:hint="eastAsia"/>
        </w:rPr>
      </w:pPr>
      <w:r>
        <w:t>对于投标文件中有任意一条不满足上表要求的将导致其</w:t>
      </w:r>
      <w:r>
        <w:rPr>
          <w:b/>
          <w:bCs/>
        </w:rPr>
        <w:t>投标无效</w:t>
      </w:r>
      <w:r>
        <w:t>，不进入下一项评审。</w:t>
      </w:r>
      <w:bookmarkEnd w:id="250"/>
      <w:bookmarkEnd w:id="251"/>
      <w:bookmarkEnd w:id="252"/>
      <w:bookmarkEnd w:id="253"/>
      <w:bookmarkEnd w:id="254"/>
      <w:bookmarkEnd w:id="255"/>
      <w:bookmarkEnd w:id="256"/>
      <w:bookmarkEnd w:id="257"/>
    </w:p>
    <w:p w14:paraId="263B3402">
      <w:pPr>
        <w:pStyle w:val="48"/>
        <w:rPr>
          <w:rFonts w:hint="eastAsia"/>
        </w:rPr>
      </w:pPr>
      <w:r>
        <w:br w:type="page"/>
      </w:r>
    </w:p>
    <w:p w14:paraId="51AA894B">
      <w:pPr>
        <w:pStyle w:val="3"/>
        <w:numPr>
          <w:ilvl w:val="0"/>
          <w:numId w:val="2"/>
        </w:numPr>
        <w:rPr>
          <w:rFonts w:hint="eastAsia"/>
        </w:rPr>
      </w:pPr>
      <w:bookmarkStart w:id="259" w:name="_Toc27463"/>
      <w:r>
        <w:rPr>
          <w:rFonts w:hint="eastAsia"/>
        </w:rPr>
        <w:t>评标办法</w:t>
      </w:r>
      <w:bookmarkEnd w:id="258"/>
      <w:r>
        <w:rPr>
          <w:rFonts w:hint="eastAsia"/>
        </w:rPr>
        <w:t>及标准</w:t>
      </w:r>
      <w:bookmarkEnd w:id="259"/>
    </w:p>
    <w:p w14:paraId="42B1701D">
      <w:pPr>
        <w:pStyle w:val="36"/>
        <w:rPr>
          <w:rFonts w:hint="eastAsia"/>
        </w:rPr>
      </w:pPr>
      <w:r>
        <w:rPr>
          <w:rFonts w:hint="eastAsia"/>
        </w:rPr>
        <w:t>根据《中华人民共和国政府采购法》及其实施条例、《政府采购货物和服务招标投标管理办法》相关法律法规确定以下评标办法及标准。</w:t>
      </w:r>
    </w:p>
    <w:p w14:paraId="699F073E">
      <w:pPr>
        <w:pStyle w:val="4"/>
        <w:numPr>
          <w:ilvl w:val="0"/>
          <w:numId w:val="16"/>
        </w:numPr>
        <w:rPr>
          <w:rFonts w:hint="eastAsia"/>
          <w:lang w:val="zh-CN"/>
        </w:rPr>
      </w:pPr>
      <w:bookmarkStart w:id="260" w:name="_Toc21664"/>
      <w:bookmarkStart w:id="261" w:name="_Toc494561962"/>
      <w:bookmarkStart w:id="262" w:name="_Toc61280402"/>
      <w:bookmarkStart w:id="263" w:name="_Toc155185905"/>
      <w:bookmarkStart w:id="264" w:name="_Toc511894518"/>
      <w:bookmarkStart w:id="265" w:name="_Toc140132826"/>
      <w:bookmarkStart w:id="266" w:name="_Toc109899484"/>
      <w:bookmarkStart w:id="267" w:name="_Toc272247709"/>
      <w:bookmarkStart w:id="268" w:name="_Toc109899903"/>
      <w:bookmarkStart w:id="269" w:name="_Toc278891606"/>
      <w:bookmarkStart w:id="270" w:name="_Toc109900322"/>
      <w:r>
        <w:rPr>
          <w:rFonts w:hint="eastAsia"/>
          <w:lang w:val="zh-CN"/>
        </w:rPr>
        <w:t>评标办法前附表</w:t>
      </w:r>
      <w:bookmarkEnd w:id="260"/>
    </w:p>
    <w:p w14:paraId="6A7979CA">
      <w:pPr>
        <w:pStyle w:val="36"/>
        <w:rPr>
          <w:rFonts w:hint="eastAsia"/>
        </w:rPr>
      </w:pPr>
      <w:r>
        <w:rPr>
          <w:rFonts w:hint="eastAsia"/>
        </w:rPr>
        <w:t>下面所列资料是对评标方法和评标程序的具体补充和说明。如有矛盾，应以本表为准。</w:t>
      </w:r>
    </w:p>
    <w:tbl>
      <w:tblPr>
        <w:tblStyle w:val="31"/>
        <w:tblW w:w="8531" w:type="dxa"/>
        <w:tblInd w:w="-4"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108" w:type="dxa"/>
          <w:bottom w:w="57" w:type="dxa"/>
          <w:right w:w="108" w:type="dxa"/>
        </w:tblCellMar>
      </w:tblPr>
      <w:tblGrid>
        <w:gridCol w:w="970"/>
        <w:gridCol w:w="1720"/>
        <w:gridCol w:w="5841"/>
      </w:tblGrid>
      <w:tr w14:paraId="562466F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43" w:hRule="atLeast"/>
          <w:tblHeader/>
        </w:trPr>
        <w:tc>
          <w:tcPr>
            <w:tcW w:w="97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A39C5C9">
            <w:pPr>
              <w:pStyle w:val="48"/>
              <w:jc w:val="center"/>
              <w:rPr>
                <w:rFonts w:hint="eastAsia"/>
                <w:b/>
                <w:bCs/>
              </w:rPr>
            </w:pPr>
            <w:r>
              <w:rPr>
                <w:rFonts w:hint="eastAsia"/>
                <w:b/>
                <w:bCs/>
              </w:rPr>
              <w:t>条款号</w:t>
            </w:r>
          </w:p>
        </w:tc>
        <w:tc>
          <w:tcPr>
            <w:tcW w:w="172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1B0CD88">
            <w:pPr>
              <w:pStyle w:val="48"/>
              <w:jc w:val="center"/>
              <w:rPr>
                <w:rFonts w:hint="eastAsia"/>
                <w:b/>
                <w:bCs/>
              </w:rPr>
            </w:pPr>
            <w:r>
              <w:rPr>
                <w:rFonts w:hint="eastAsia"/>
                <w:b/>
                <w:bCs/>
              </w:rPr>
              <w:t>条款名称</w:t>
            </w:r>
          </w:p>
        </w:tc>
        <w:tc>
          <w:tcPr>
            <w:tcW w:w="5841"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4F3E9E6">
            <w:pPr>
              <w:pStyle w:val="48"/>
              <w:jc w:val="center"/>
              <w:rPr>
                <w:rFonts w:hint="eastAsia"/>
                <w:b/>
                <w:bCs/>
              </w:rPr>
            </w:pPr>
            <w:r>
              <w:rPr>
                <w:rFonts w:hint="eastAsia"/>
                <w:b/>
                <w:bCs/>
              </w:rPr>
              <w:t>内  容</w:t>
            </w:r>
          </w:p>
        </w:tc>
      </w:tr>
      <w:tr w14:paraId="4218A8C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44" w:hRule="atLeast"/>
        </w:trPr>
        <w:tc>
          <w:tcPr>
            <w:tcW w:w="970" w:type="dxa"/>
            <w:tcBorders>
              <w:top w:val="single" w:color="auto" w:sz="4" w:space="0"/>
            </w:tcBorders>
            <w:vAlign w:val="center"/>
          </w:tcPr>
          <w:p w14:paraId="0EC0F244">
            <w:pPr>
              <w:pStyle w:val="48"/>
              <w:jc w:val="center"/>
              <w:rPr>
                <w:rFonts w:hint="eastAsia"/>
              </w:rPr>
            </w:pPr>
            <w:r>
              <w:t>7.1</w:t>
            </w:r>
          </w:p>
        </w:tc>
        <w:tc>
          <w:tcPr>
            <w:tcW w:w="1720" w:type="dxa"/>
            <w:tcBorders>
              <w:top w:val="single" w:color="auto" w:sz="4" w:space="0"/>
            </w:tcBorders>
            <w:vAlign w:val="center"/>
          </w:tcPr>
          <w:p w14:paraId="56DAEC19">
            <w:pPr>
              <w:pStyle w:val="48"/>
              <w:rPr>
                <w:rFonts w:hint="eastAsia"/>
              </w:rPr>
            </w:pPr>
            <w:r>
              <w:rPr>
                <w:rFonts w:hint="eastAsia"/>
              </w:rPr>
              <w:t>报价</w:t>
            </w:r>
            <w:r>
              <w:t>修正</w:t>
            </w:r>
            <w:r>
              <w:rPr>
                <w:rFonts w:hint="eastAsia"/>
              </w:rPr>
              <w:t>规定</w:t>
            </w:r>
          </w:p>
        </w:tc>
        <w:tc>
          <w:tcPr>
            <w:tcW w:w="5841" w:type="dxa"/>
            <w:tcBorders>
              <w:top w:val="single" w:color="auto" w:sz="4" w:space="0"/>
            </w:tcBorders>
            <w:vAlign w:val="center"/>
          </w:tcPr>
          <w:p w14:paraId="25F0BD64">
            <w:pPr>
              <w:pStyle w:val="48"/>
              <w:rPr>
                <w:rFonts w:hint="eastAsia"/>
              </w:rPr>
            </w:pPr>
            <w:r>
              <w:rPr>
                <w:rFonts w:hint="eastAsia"/>
              </w:rPr>
              <w:t>（1）</w:t>
            </w:r>
            <w:r>
              <w:t>投标文件中开标一览表内容与投标文件中相应内容不一致的，以开标一览表为准</w:t>
            </w:r>
            <w:r>
              <w:rPr>
                <w:rFonts w:hint="eastAsia"/>
              </w:rPr>
              <w:t>；</w:t>
            </w:r>
          </w:p>
          <w:p w14:paraId="0458EFD4">
            <w:pPr>
              <w:pStyle w:val="48"/>
              <w:rPr>
                <w:rFonts w:hint="eastAsia"/>
              </w:rPr>
            </w:pPr>
            <w:r>
              <w:rPr>
                <w:rFonts w:hint="eastAsia"/>
              </w:rPr>
              <w:t>（2）</w:t>
            </w:r>
            <w:r>
              <w:t>大写金额和小写金额不一致的，以大写金额为准</w:t>
            </w:r>
            <w:r>
              <w:rPr>
                <w:rFonts w:hint="eastAsia"/>
              </w:rPr>
              <w:t>；</w:t>
            </w:r>
          </w:p>
          <w:p w14:paraId="69AF7D1E">
            <w:pPr>
              <w:pStyle w:val="48"/>
              <w:rPr>
                <w:rFonts w:hint="eastAsia"/>
              </w:rPr>
            </w:pPr>
            <w:r>
              <w:rPr>
                <w:rFonts w:hint="eastAsia"/>
              </w:rPr>
              <w:t>（3）</w:t>
            </w:r>
            <w:r>
              <w:t>单价金额小数点或百分比有明显错位的，以开标一览表的总价为准，并修改单价</w:t>
            </w:r>
            <w:r>
              <w:rPr>
                <w:rFonts w:hint="eastAsia"/>
              </w:rPr>
              <w:t>；</w:t>
            </w:r>
          </w:p>
          <w:p w14:paraId="54111601">
            <w:pPr>
              <w:pStyle w:val="48"/>
              <w:rPr>
                <w:rFonts w:hint="eastAsia"/>
              </w:rPr>
            </w:pPr>
            <w:r>
              <w:rPr>
                <w:rFonts w:hint="eastAsia"/>
              </w:rPr>
              <w:t>（4）</w:t>
            </w:r>
            <w:r>
              <w:t>总价金额与按单价汇总金额不一致的，以单价金额计算结果为准</w:t>
            </w:r>
            <w:r>
              <w:rPr>
                <w:rFonts w:hint="eastAsia"/>
              </w:rPr>
              <w:t>；</w:t>
            </w:r>
          </w:p>
          <w:p w14:paraId="7DBA75E2">
            <w:pPr>
              <w:pStyle w:val="48"/>
              <w:rPr>
                <w:rFonts w:hint="eastAsia"/>
              </w:rPr>
            </w:pPr>
            <w:r>
              <w:rPr>
                <w:rFonts w:hint="eastAsia"/>
              </w:rPr>
              <w:t>（5）</w:t>
            </w:r>
            <w:r>
              <w:t>同时出现两种以上不一致的，按照前款规定的顺序修正</w:t>
            </w:r>
            <w:r>
              <w:rPr>
                <w:rFonts w:hint="eastAsia"/>
              </w:rPr>
              <w:t>。</w:t>
            </w:r>
          </w:p>
        </w:tc>
      </w:tr>
      <w:tr w14:paraId="5BE4ED0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4A53FEE3">
            <w:pPr>
              <w:pStyle w:val="48"/>
              <w:jc w:val="center"/>
              <w:rPr>
                <w:rFonts w:hint="eastAsia"/>
              </w:rPr>
            </w:pPr>
            <w:r>
              <w:rPr>
                <w:rFonts w:hint="eastAsia"/>
              </w:rPr>
              <w:t>8</w:t>
            </w:r>
            <w:r>
              <w:t>.2</w:t>
            </w:r>
          </w:p>
        </w:tc>
        <w:tc>
          <w:tcPr>
            <w:tcW w:w="1720" w:type="dxa"/>
            <w:vAlign w:val="center"/>
          </w:tcPr>
          <w:p w14:paraId="378F8600">
            <w:pPr>
              <w:pStyle w:val="48"/>
              <w:rPr>
                <w:rFonts w:hint="eastAsia"/>
              </w:rPr>
            </w:pPr>
            <w:r>
              <w:rPr>
                <w:rFonts w:hint="eastAsia"/>
              </w:rPr>
              <w:t>评标方法</w:t>
            </w:r>
          </w:p>
        </w:tc>
        <w:tc>
          <w:tcPr>
            <w:tcW w:w="5841" w:type="dxa"/>
            <w:vAlign w:val="center"/>
          </w:tcPr>
          <w:p w14:paraId="5AA2AAE6">
            <w:pPr>
              <w:pStyle w:val="48"/>
              <w:rPr>
                <w:rFonts w:hint="eastAsia"/>
              </w:rPr>
            </w:pPr>
            <w:r>
              <w:rPr>
                <w:rFonts w:hint="eastAsia"/>
              </w:rPr>
              <w:t>综合评分法</w:t>
            </w:r>
          </w:p>
        </w:tc>
      </w:tr>
      <w:tr w14:paraId="15B7F3E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78C3F890">
            <w:pPr>
              <w:pStyle w:val="48"/>
              <w:jc w:val="center"/>
              <w:rPr>
                <w:rFonts w:hint="eastAsia"/>
              </w:rPr>
            </w:pPr>
            <w:r>
              <w:rPr>
                <w:rFonts w:hint="eastAsia"/>
              </w:rPr>
              <w:t>1</w:t>
            </w:r>
            <w:r>
              <w:t>2.1</w:t>
            </w:r>
          </w:p>
        </w:tc>
        <w:tc>
          <w:tcPr>
            <w:tcW w:w="1720" w:type="dxa"/>
            <w:vAlign w:val="center"/>
          </w:tcPr>
          <w:p w14:paraId="2BD27B55">
            <w:pPr>
              <w:pStyle w:val="48"/>
              <w:rPr>
                <w:rFonts w:hint="eastAsia"/>
              </w:rPr>
            </w:pPr>
            <w:r>
              <w:rPr>
                <w:rFonts w:hint="eastAsia"/>
              </w:rPr>
              <w:t>相同品牌中标候选人推荐方式</w:t>
            </w:r>
          </w:p>
        </w:tc>
        <w:tc>
          <w:tcPr>
            <w:tcW w:w="5841" w:type="dxa"/>
            <w:vAlign w:val="center"/>
          </w:tcPr>
          <w:p w14:paraId="4F5B0ED0">
            <w:pPr>
              <w:pStyle w:val="48"/>
              <w:rPr>
                <w:rFonts w:hint="eastAsia"/>
              </w:rPr>
            </w:pPr>
            <w:r>
              <w:rPr>
                <w:rFonts w:hint="eastAsia"/>
              </w:rPr>
              <w:sym w:font="Wingdings" w:char="00A8"/>
            </w:r>
            <w:r>
              <w:rPr>
                <w:rFonts w:hint="eastAsia"/>
              </w:rPr>
              <w:t>得分最高的同品牌投标供应商获得中标候选人推荐资格；评审得分相同的，由采购人确定或者采购人委托评标委员会以</w:t>
            </w:r>
            <w:r>
              <w:rPr>
                <w:rFonts w:hint="eastAsia"/>
                <w:u w:val="single"/>
              </w:rPr>
              <w:t xml:space="preserve"> </w:t>
            </w:r>
            <w:r>
              <w:rPr>
                <w:u w:val="single"/>
              </w:rPr>
              <w:t xml:space="preserve">   </w:t>
            </w:r>
            <w:r>
              <w:rPr>
                <w:rFonts w:hint="eastAsia"/>
                <w:u w:val="single"/>
              </w:rPr>
              <w:t>（如投票等）</w:t>
            </w:r>
            <w:r>
              <w:rPr>
                <w:rFonts w:hint="eastAsia"/>
              </w:rPr>
              <w:t>方式确定一家投标供应商获得中标人推荐资格，其它同品牌投标供应商不作为中标候选人。</w:t>
            </w:r>
          </w:p>
          <w:p w14:paraId="49E2490D">
            <w:pPr>
              <w:pStyle w:val="48"/>
              <w:rPr>
                <w:rFonts w:hint="eastAsia"/>
              </w:rPr>
            </w:pPr>
            <w:r>
              <w:rPr>
                <w:rFonts w:hint="eastAsia"/>
              </w:rPr>
              <w:sym w:font="Wingdings" w:char="00A8"/>
            </w:r>
            <w:r>
              <w:rPr>
                <w:rFonts w:hint="eastAsia"/>
              </w:rPr>
              <w:t>报价最低的同品牌投标供应商获得中标候选人推荐资格；报价相同的，由采购人确定或者采购人委托评标委员会以投票方式确定一家投标供应商获得中标人推荐资格，其它</w:t>
            </w:r>
            <w:r>
              <w:rPr>
                <w:rFonts w:hint="eastAsia"/>
                <w:b/>
                <w:bCs/>
              </w:rPr>
              <w:t>投标无效</w:t>
            </w:r>
            <w:r>
              <w:rPr>
                <w:rFonts w:hint="eastAsia"/>
              </w:rPr>
              <w:t>。</w:t>
            </w:r>
          </w:p>
          <w:p w14:paraId="2A17988E">
            <w:pPr>
              <w:pStyle w:val="48"/>
              <w:rPr>
                <w:rFonts w:hint="eastAsia"/>
              </w:rPr>
            </w:pPr>
            <w:r>
              <w:rPr>
                <w:rFonts w:hint="eastAsia"/>
                <w:b/>
                <w:bCs/>
              </w:rPr>
              <w:t>本项目为服务项目，不涉及货物品牌问题。</w:t>
            </w:r>
          </w:p>
        </w:tc>
      </w:tr>
      <w:tr w14:paraId="2593D77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42D35F92">
            <w:pPr>
              <w:pStyle w:val="48"/>
              <w:jc w:val="center"/>
              <w:rPr>
                <w:rFonts w:hint="eastAsia"/>
              </w:rPr>
            </w:pPr>
            <w:r>
              <w:rPr>
                <w:rFonts w:hint="eastAsia"/>
              </w:rPr>
              <w:t>1</w:t>
            </w:r>
            <w:r>
              <w:t>3</w:t>
            </w:r>
          </w:p>
        </w:tc>
        <w:tc>
          <w:tcPr>
            <w:tcW w:w="1720" w:type="dxa"/>
            <w:vAlign w:val="center"/>
          </w:tcPr>
          <w:p w14:paraId="3456D9E0">
            <w:pPr>
              <w:pStyle w:val="48"/>
              <w:rPr>
                <w:rFonts w:hint="eastAsia"/>
              </w:rPr>
            </w:pPr>
            <w:r>
              <w:rPr>
                <w:rFonts w:hint="eastAsia"/>
              </w:rPr>
              <w:t>中标候选人排序方式</w:t>
            </w:r>
          </w:p>
        </w:tc>
        <w:tc>
          <w:tcPr>
            <w:tcW w:w="5841" w:type="dxa"/>
            <w:vAlign w:val="center"/>
          </w:tcPr>
          <w:p w14:paraId="592F49A0">
            <w:pPr>
              <w:pStyle w:val="48"/>
              <w:rPr>
                <w:rFonts w:hint="eastAsia"/>
              </w:rPr>
            </w:pPr>
            <w:r>
              <w:rPr>
                <w:rFonts w:hint="eastAsia"/>
              </w:rPr>
              <w:sym w:font="Wingdings" w:char="00FE"/>
            </w:r>
            <w:r>
              <w:t>评标结果</w:t>
            </w:r>
            <w:r>
              <w:rPr>
                <w:rFonts w:hint="eastAsia"/>
              </w:rPr>
              <w:t>排序</w:t>
            </w:r>
            <w:r>
              <w:t>按评审后得分由高到低顺序排列。得分相同的，按投标报价由低到高顺序排列。得分且投标报价相同的并列。投标文件满足招标文件全部实质性要求，且按照评审因素的量化指标评审得分最高的</w:t>
            </w:r>
            <w:r>
              <w:rPr>
                <w:rFonts w:hint="eastAsia"/>
              </w:rPr>
              <w:t>投标供应商</w:t>
            </w:r>
            <w:r>
              <w:t>为排名第一的中标候选人。</w:t>
            </w:r>
          </w:p>
          <w:p w14:paraId="0F0C9FE9">
            <w:pPr>
              <w:pStyle w:val="48"/>
              <w:rPr>
                <w:rFonts w:hint="eastAsia"/>
              </w:rPr>
            </w:pPr>
            <w:r>
              <w:rPr>
                <w:rFonts w:hint="eastAsia"/>
              </w:rPr>
              <w:sym w:font="Wingdings" w:char="00A8"/>
            </w:r>
            <w:r>
              <w:t>评标结果按照投标报价（因落实政府采购政策进行价格扣除的，以扣除后的价格计算）由低到高顺序排列。投标报价相同的并列。投标文件满足招标文件全部实质性要求且投标报价最低的</w:t>
            </w:r>
            <w:r>
              <w:rPr>
                <w:rFonts w:hint="eastAsia"/>
              </w:rPr>
              <w:t>投标供应商</w:t>
            </w:r>
            <w:r>
              <w:t>为排名第一的中标候选人。</w:t>
            </w:r>
          </w:p>
        </w:tc>
      </w:tr>
    </w:tbl>
    <w:p w14:paraId="3C3DD6EF">
      <w:pPr>
        <w:rPr>
          <w:rFonts w:hint="eastAsia"/>
          <w:b/>
          <w:bCs/>
        </w:rPr>
      </w:pPr>
    </w:p>
    <w:p w14:paraId="4A0CE673">
      <w:pPr>
        <w:pStyle w:val="4"/>
        <w:numPr>
          <w:ilvl w:val="0"/>
          <w:numId w:val="16"/>
        </w:numPr>
        <w:rPr>
          <w:rFonts w:hint="eastAsia"/>
          <w:lang w:val="zh-CN"/>
        </w:rPr>
      </w:pPr>
      <w:bookmarkStart w:id="271" w:name="_Toc10327"/>
      <w:r>
        <w:rPr>
          <w:rFonts w:hint="eastAsia"/>
          <w:lang w:val="zh-CN"/>
        </w:rPr>
        <w:t>评标程序</w:t>
      </w:r>
      <w:bookmarkEnd w:id="261"/>
      <w:bookmarkEnd w:id="262"/>
      <w:bookmarkEnd w:id="263"/>
      <w:bookmarkEnd w:id="264"/>
      <w:bookmarkEnd w:id="265"/>
      <w:bookmarkEnd w:id="266"/>
      <w:bookmarkEnd w:id="267"/>
      <w:bookmarkEnd w:id="268"/>
      <w:bookmarkEnd w:id="269"/>
      <w:bookmarkEnd w:id="270"/>
      <w:bookmarkEnd w:id="271"/>
    </w:p>
    <w:p w14:paraId="3505811E">
      <w:pPr>
        <w:pStyle w:val="5"/>
        <w:numPr>
          <w:ilvl w:val="0"/>
          <w:numId w:val="17"/>
        </w:numPr>
        <w:rPr>
          <w:rFonts w:hint="eastAsia"/>
          <w:lang w:val="zh-CN"/>
        </w:rPr>
      </w:pPr>
      <w:bookmarkStart w:id="272" w:name="_Toc32228"/>
      <w:r>
        <w:rPr>
          <w:rFonts w:hint="eastAsia"/>
          <w:lang w:val="zh-CN"/>
        </w:rPr>
        <w:t>符合性审查</w:t>
      </w:r>
      <w:bookmarkEnd w:id="272"/>
    </w:p>
    <w:p w14:paraId="6A9F3F16">
      <w:pPr>
        <w:ind w:firstLine="470" w:firstLineChars="196"/>
        <w:rPr>
          <w:rFonts w:hint="eastAsia"/>
          <w:lang w:val="zh-CN"/>
        </w:rPr>
      </w:pPr>
      <w:r>
        <w:rPr>
          <w:rFonts w:hint="eastAsia"/>
        </w:rPr>
        <w:t>1.</w:t>
      </w:r>
      <w:r>
        <w:rPr>
          <w:rFonts w:hint="eastAsia"/>
          <w:lang w:val="zh-CN"/>
        </w:rPr>
        <w:t>评标委员会应当按照本章“三、评标标准”中“（一）符合性审查”的内容对通过资格审查的投标供应商的投标文件进行符合性审查，以确定其是否满足招标文件实质性要求。不满足招标文件实质性要求的按照</w:t>
      </w:r>
      <w:r>
        <w:rPr>
          <w:rFonts w:hint="eastAsia"/>
          <w:b/>
          <w:bCs/>
          <w:lang w:val="zh-CN"/>
        </w:rPr>
        <w:t>无效投标处理</w:t>
      </w:r>
      <w:r>
        <w:rPr>
          <w:rFonts w:hint="eastAsia"/>
          <w:lang w:val="zh-CN"/>
        </w:rPr>
        <w:t>。</w:t>
      </w:r>
    </w:p>
    <w:p w14:paraId="11F1A00D">
      <w:pPr>
        <w:numPr>
          <w:ilvl w:val="255"/>
          <w:numId w:val="0"/>
        </w:numPr>
        <w:ind w:firstLine="472" w:firstLineChars="196"/>
        <w:rPr>
          <w:rFonts w:hint="eastAsia"/>
          <w:b/>
          <w:bCs/>
          <w:lang w:val="zh-CN"/>
        </w:rPr>
      </w:pPr>
      <w:bookmarkStart w:id="273" w:name="_Hlk161614521"/>
      <w:r>
        <w:rPr>
          <w:rFonts w:hint="eastAsia"/>
          <w:b/>
          <w:bCs/>
        </w:rPr>
        <w:t>2.同品牌检查（本项目不涉及）：</w:t>
      </w:r>
    </w:p>
    <w:p w14:paraId="006E21AC">
      <w:pPr>
        <w:pStyle w:val="36"/>
        <w:rPr>
          <w:rFonts w:hint="eastAsia"/>
        </w:rPr>
      </w:pPr>
      <w:r>
        <w:rPr>
          <w:rFonts w:hint="eastAsia"/>
        </w:rPr>
        <w:t>2</w:t>
      </w:r>
      <w:r>
        <w:t>.1</w:t>
      </w:r>
      <w:r>
        <w:rPr>
          <w:rFonts w:hint="eastAsia"/>
        </w:rPr>
        <w:t>单一产品采购（或非单一产品采购中的核心产品），</w:t>
      </w:r>
      <w:r>
        <w:t>提供相同品牌产品且通过资格审查、</w:t>
      </w:r>
      <w:r>
        <w:rPr>
          <w:rFonts w:hint="eastAsia"/>
        </w:rPr>
        <w:t>符合性审查</w:t>
      </w:r>
      <w:r>
        <w:t>的不同</w:t>
      </w:r>
      <w:r>
        <w:rPr>
          <w:rFonts w:hint="eastAsia"/>
        </w:rPr>
        <w:t>投标供应商</w:t>
      </w:r>
      <w:r>
        <w:t>参加同一合同项下投标的，按一家</w:t>
      </w:r>
      <w:r>
        <w:rPr>
          <w:rFonts w:hint="eastAsia"/>
        </w:rPr>
        <w:t>投标供应商</w:t>
      </w:r>
      <w:r>
        <w:t>计算。</w:t>
      </w:r>
    </w:p>
    <w:p w14:paraId="0D0AE610">
      <w:pPr>
        <w:pStyle w:val="36"/>
        <w:rPr>
          <w:rFonts w:hint="eastAsia"/>
        </w:rPr>
      </w:pPr>
      <w:r>
        <w:rPr>
          <w:rFonts w:hint="eastAsia"/>
        </w:rPr>
        <w:t>2</w:t>
      </w:r>
      <w:r>
        <w:t>.2</w:t>
      </w:r>
      <w:r>
        <w:rPr>
          <w:rFonts w:hint="eastAsia"/>
        </w:rPr>
        <w:t>非单一产品采购项目，采购人应当根据采购项目技术构成、产品价格比重等合理确定一个核心产品（采购清单中作“与核心产品相同〈或同一〉品牌”实质性要求的产品，视为一个核心产品），并以“核心产品”在招标文件中载明，评审时按前款规定处理。</w:t>
      </w:r>
    </w:p>
    <w:p w14:paraId="3AE1DAB4">
      <w:pPr>
        <w:pStyle w:val="36"/>
        <w:rPr>
          <w:rFonts w:hint="eastAsia"/>
        </w:rPr>
      </w:pPr>
      <w:r>
        <w:rPr>
          <w:rFonts w:hint="eastAsia"/>
        </w:rPr>
        <w:t>2</w:t>
      </w:r>
      <w:r>
        <w:t>.3</w:t>
      </w:r>
      <w:r>
        <w:rPr>
          <w:rFonts w:hint="eastAsia"/>
        </w:rPr>
        <w:t>有效投标品牌不足</w:t>
      </w:r>
      <w:r>
        <w:t>3</w:t>
      </w:r>
      <w:r>
        <w:rPr>
          <w:rFonts w:hint="eastAsia"/>
        </w:rPr>
        <w:t>家的应按</w:t>
      </w:r>
      <w:r>
        <w:rPr>
          <w:rFonts w:hint="eastAsia"/>
          <w:b/>
          <w:bCs/>
        </w:rPr>
        <w:t>废标</w:t>
      </w:r>
      <w:r>
        <w:rPr>
          <w:rFonts w:hint="eastAsia"/>
        </w:rPr>
        <w:t>处理。</w:t>
      </w:r>
    </w:p>
    <w:bookmarkEnd w:id="273"/>
    <w:p w14:paraId="0F7235FC">
      <w:pPr>
        <w:pStyle w:val="5"/>
        <w:numPr>
          <w:ilvl w:val="0"/>
          <w:numId w:val="17"/>
        </w:numPr>
        <w:rPr>
          <w:rFonts w:hint="eastAsia"/>
          <w:lang w:val="zh-CN"/>
        </w:rPr>
      </w:pPr>
      <w:bookmarkStart w:id="274" w:name="_Toc155185907"/>
      <w:bookmarkStart w:id="275" w:name="_Toc102114946"/>
      <w:bookmarkStart w:id="276" w:name="_Toc102116178"/>
      <w:bookmarkStart w:id="277" w:name="_Toc102119879"/>
      <w:bookmarkStart w:id="278" w:name="_Toc102056244"/>
      <w:bookmarkStart w:id="279" w:name="_Toc102057744"/>
      <w:bookmarkStart w:id="280" w:name="_Toc102116048"/>
      <w:bookmarkStart w:id="281" w:name="_Toc19286"/>
      <w:bookmarkStart w:id="282" w:name="_Toc493702305"/>
      <w:bookmarkStart w:id="283" w:name="_Toc27945260"/>
      <w:bookmarkStart w:id="284" w:name="_Toc492403836"/>
      <w:r>
        <w:rPr>
          <w:rFonts w:hint="eastAsia"/>
          <w:lang w:val="zh-CN"/>
        </w:rPr>
        <w:t>投标文件澄清</w:t>
      </w:r>
      <w:bookmarkEnd w:id="274"/>
      <w:bookmarkEnd w:id="275"/>
      <w:bookmarkEnd w:id="276"/>
      <w:bookmarkEnd w:id="277"/>
      <w:bookmarkEnd w:id="278"/>
      <w:bookmarkEnd w:id="279"/>
      <w:bookmarkEnd w:id="280"/>
      <w:r>
        <w:rPr>
          <w:rFonts w:hint="eastAsia"/>
        </w:rPr>
        <w:t>及修正</w:t>
      </w:r>
      <w:bookmarkEnd w:id="281"/>
    </w:p>
    <w:p w14:paraId="3ADAAF18">
      <w:pPr>
        <w:pStyle w:val="36"/>
        <w:rPr>
          <w:rFonts w:hint="eastAsia"/>
        </w:rPr>
      </w:pPr>
      <w:r>
        <w:t>3.</w:t>
      </w:r>
      <w:r>
        <w:rPr>
          <w:rFonts w:hint="eastAsia"/>
        </w:rPr>
        <w:t>评标期间，</w:t>
      </w:r>
      <w:r>
        <w:t>对于投标文件中含义不明确、同类问题表述不一致或者有明显文字和计算错误的内容，评标委员会</w:t>
      </w:r>
      <w:r>
        <w:rPr>
          <w:rFonts w:hint="eastAsia"/>
        </w:rPr>
        <w:t>应当在交易系统中以书面的形式</w:t>
      </w:r>
      <w:r>
        <w:t>要求</w:t>
      </w:r>
      <w:r>
        <w:rPr>
          <w:rFonts w:hint="eastAsia"/>
        </w:rPr>
        <w:t>投标供应商作</w:t>
      </w:r>
      <w:r>
        <w:t>出必要的澄清、说明或者补正。</w:t>
      </w:r>
    </w:p>
    <w:p w14:paraId="173209FE">
      <w:pPr>
        <w:pStyle w:val="36"/>
        <w:rPr>
          <w:rFonts w:hint="eastAsia"/>
        </w:rPr>
      </w:pPr>
      <w:r>
        <w:t>4.</w:t>
      </w:r>
      <w:r>
        <w:rPr>
          <w:rFonts w:hint="eastAsia"/>
        </w:rPr>
        <w:t>投标供应商应按照评标委员会要求在规定时间内作出澄清、说明或者补正，</w:t>
      </w:r>
      <w:r>
        <w:t>澄清、说明或者补正不得超出投标文件的范围或者改变投标文件的实质性内容。</w:t>
      </w:r>
    </w:p>
    <w:p w14:paraId="1906AB33">
      <w:pPr>
        <w:pStyle w:val="36"/>
        <w:rPr>
          <w:rFonts w:hint="eastAsia"/>
        </w:rPr>
      </w:pPr>
      <w:r>
        <w:t>5.</w:t>
      </w:r>
      <w:r>
        <w:rPr>
          <w:rFonts w:hint="eastAsia"/>
        </w:rPr>
        <w:t>投标供应商的</w:t>
      </w:r>
      <w:r>
        <w:t>澄清、说明或者补正</w:t>
      </w:r>
      <w:r>
        <w:rPr>
          <w:rFonts w:hint="eastAsia"/>
        </w:rPr>
        <w:t>是其投标文件的有效组成部分，</w:t>
      </w:r>
      <w:r>
        <w:t>澄清、说明或者补正应当</w:t>
      </w:r>
      <w:r>
        <w:rPr>
          <w:rFonts w:hint="eastAsia"/>
        </w:rPr>
        <w:t>在交易系统中加盖电子印章后提交</w:t>
      </w:r>
      <w:r>
        <w:t>。</w:t>
      </w:r>
    </w:p>
    <w:p w14:paraId="37E0FA25">
      <w:pPr>
        <w:pStyle w:val="36"/>
        <w:rPr>
          <w:rFonts w:hint="eastAsia"/>
        </w:rPr>
      </w:pPr>
      <w:r>
        <w:t>6.</w:t>
      </w:r>
      <w:r>
        <w:rPr>
          <w:rFonts w:hint="eastAsia"/>
        </w:rPr>
        <w:t>报价合理性说明：</w:t>
      </w:r>
      <w:r>
        <w:t>评标委员会认为</w:t>
      </w:r>
      <w:r>
        <w:rPr>
          <w:rFonts w:hint="eastAsia"/>
        </w:rPr>
        <w:t>投标供应商</w:t>
      </w:r>
      <w:r>
        <w:t>的报价明显低于其他通过</w:t>
      </w:r>
      <w:r>
        <w:rPr>
          <w:rFonts w:hint="eastAsia"/>
        </w:rPr>
        <w:t>符合性审查投标供应商</w:t>
      </w:r>
      <w:r>
        <w:t>的报价，有可能影响产品质量或者不能诚信履约的，应当要求其</w:t>
      </w:r>
      <w:r>
        <w:rPr>
          <w:rFonts w:hint="eastAsia"/>
        </w:rPr>
        <w:t>在</w:t>
      </w:r>
      <w:r>
        <w:t>合理的时间内提供说明，必要时提交相关证明材料；</w:t>
      </w:r>
      <w:r>
        <w:rPr>
          <w:rFonts w:hint="eastAsia"/>
        </w:rPr>
        <w:t>投标供应商</w:t>
      </w:r>
      <w:r>
        <w:t>不能证明其报价合理性的，评标委员</w:t>
      </w:r>
      <w:r>
        <w:rPr>
          <w:rFonts w:hint="eastAsia"/>
        </w:rPr>
        <w:t>应当将其作为</w:t>
      </w:r>
      <w:r>
        <w:rPr>
          <w:b/>
          <w:bCs/>
        </w:rPr>
        <w:t>无效投标</w:t>
      </w:r>
      <w:r>
        <w:t>处理。</w:t>
      </w:r>
    </w:p>
    <w:p w14:paraId="499C050A">
      <w:pPr>
        <w:pStyle w:val="36"/>
        <w:rPr>
          <w:rFonts w:hint="eastAsia"/>
        </w:rPr>
      </w:pPr>
      <w:r>
        <w:t>7.投标文件报价出现前后不一致的，按照下列规定修正：</w:t>
      </w:r>
    </w:p>
    <w:p w14:paraId="179C4F53">
      <w:pPr>
        <w:pStyle w:val="36"/>
        <w:rPr>
          <w:rFonts w:hint="eastAsia"/>
        </w:rPr>
      </w:pPr>
      <w:r>
        <w:t>7.1</w:t>
      </w:r>
      <w:r>
        <w:rPr>
          <w:rFonts w:hint="eastAsia"/>
        </w:rPr>
        <w:t>报价</w:t>
      </w:r>
      <w:r>
        <w:t>修正</w:t>
      </w:r>
      <w:r>
        <w:rPr>
          <w:rFonts w:hint="eastAsia"/>
        </w:rPr>
        <w:t>规定见“</w:t>
      </w:r>
      <w:r>
        <w:rPr>
          <w:rFonts w:hint="eastAsia"/>
          <w:lang w:val="en-US"/>
        </w:rPr>
        <w:t>评标办法前附表</w:t>
      </w:r>
      <w:r>
        <w:rPr>
          <w:rFonts w:hint="eastAsia"/>
        </w:rPr>
        <w:t>”；</w:t>
      </w:r>
    </w:p>
    <w:p w14:paraId="33BD2901">
      <w:pPr>
        <w:pStyle w:val="36"/>
        <w:rPr>
          <w:rFonts w:hint="eastAsia"/>
        </w:rPr>
      </w:pPr>
      <w:r>
        <w:t>7.2修正后的报价按照</w:t>
      </w:r>
      <w:r>
        <w:rPr>
          <w:rFonts w:hint="eastAsia"/>
        </w:rPr>
        <w:t>第</w:t>
      </w:r>
      <w:r>
        <w:t>5</w:t>
      </w:r>
      <w:r>
        <w:rPr>
          <w:rFonts w:hint="eastAsia"/>
        </w:rPr>
        <w:t>条规定</w:t>
      </w:r>
      <w:r>
        <w:t>经</w:t>
      </w:r>
      <w:r>
        <w:rPr>
          <w:rFonts w:hint="eastAsia"/>
        </w:rPr>
        <w:t>投标供应商</w:t>
      </w:r>
      <w:r>
        <w:t>确认后产生约束力，</w:t>
      </w:r>
      <w:r>
        <w:rPr>
          <w:rFonts w:hint="eastAsia"/>
        </w:rPr>
        <w:t>投标供应商</w:t>
      </w:r>
      <w:r>
        <w:t>不确认的，</w:t>
      </w:r>
      <w:r>
        <w:rPr>
          <w:rFonts w:hint="eastAsia"/>
        </w:rPr>
        <w:t>按照</w:t>
      </w:r>
      <w:r>
        <w:rPr>
          <w:b/>
          <w:bCs/>
        </w:rPr>
        <w:t>无效</w:t>
      </w:r>
      <w:r>
        <w:rPr>
          <w:rFonts w:hint="eastAsia"/>
          <w:b/>
          <w:bCs/>
        </w:rPr>
        <w:t>投标处理</w:t>
      </w:r>
      <w:r>
        <w:t>。</w:t>
      </w:r>
    </w:p>
    <w:p w14:paraId="40CAF052">
      <w:pPr>
        <w:pStyle w:val="5"/>
        <w:numPr>
          <w:ilvl w:val="0"/>
          <w:numId w:val="17"/>
        </w:numPr>
        <w:rPr>
          <w:rFonts w:hint="eastAsia"/>
        </w:rPr>
      </w:pPr>
      <w:bookmarkStart w:id="285" w:name="_Toc30757"/>
      <w:bookmarkStart w:id="286" w:name="_Toc102114947"/>
      <w:bookmarkStart w:id="287" w:name="_Toc102116179"/>
      <w:bookmarkStart w:id="288" w:name="_Toc102119880"/>
      <w:bookmarkStart w:id="289" w:name="_Toc155185908"/>
      <w:bookmarkStart w:id="290" w:name="_Toc102056245"/>
      <w:bookmarkStart w:id="291" w:name="_Toc102116049"/>
      <w:bookmarkStart w:id="292" w:name="_Toc102057745"/>
      <w:r>
        <w:rPr>
          <w:rFonts w:hint="eastAsia"/>
        </w:rPr>
        <w:t>比较和评价</w:t>
      </w:r>
      <w:bookmarkEnd w:id="285"/>
    </w:p>
    <w:p w14:paraId="302E2022">
      <w:pPr>
        <w:pStyle w:val="36"/>
        <w:rPr>
          <w:rFonts w:hint="eastAsia"/>
          <w:b/>
          <w:bCs/>
        </w:rPr>
      </w:pPr>
      <w:r>
        <w:rPr>
          <w:rFonts w:hint="eastAsia"/>
          <w:b/>
          <w:bCs/>
        </w:rPr>
        <w:t>8</w:t>
      </w:r>
      <w:r>
        <w:rPr>
          <w:b/>
          <w:bCs/>
        </w:rPr>
        <w:t>.</w:t>
      </w:r>
      <w:r>
        <w:rPr>
          <w:rFonts w:hint="eastAsia"/>
          <w:b/>
          <w:bCs/>
        </w:rPr>
        <w:t>评标方法</w:t>
      </w:r>
    </w:p>
    <w:p w14:paraId="3B30F031">
      <w:pPr>
        <w:pStyle w:val="36"/>
        <w:rPr>
          <w:rFonts w:hint="eastAsia"/>
        </w:rPr>
      </w:pPr>
      <w:r>
        <w:t>8.1综合评分法，是指投标文件满足招标文件全部实质性要求，且按照评审因素的量化指标评审得分最高的</w:t>
      </w:r>
      <w:r>
        <w:rPr>
          <w:rFonts w:hint="eastAsia"/>
        </w:rPr>
        <w:t>投标供应商</w:t>
      </w:r>
      <w:r>
        <w:t>为中标候选人的评标方法。</w:t>
      </w:r>
      <w:bookmarkStart w:id="293" w:name="_Hlk161739908"/>
      <w:r>
        <w:t>最低评标价法</w:t>
      </w:r>
      <w:bookmarkEnd w:id="293"/>
      <w:r>
        <w:t>，是指投标文件满足招标文件全部实质性要求，且投标报价最低的</w:t>
      </w:r>
      <w:r>
        <w:rPr>
          <w:rFonts w:hint="eastAsia"/>
        </w:rPr>
        <w:t>投标供应商</w:t>
      </w:r>
      <w:r>
        <w:t>为中标候选人的评标方法。</w:t>
      </w:r>
    </w:p>
    <w:p w14:paraId="635A44C8">
      <w:pPr>
        <w:pStyle w:val="36"/>
        <w:rPr>
          <w:rFonts w:hint="eastAsia"/>
        </w:rPr>
      </w:pPr>
      <w:r>
        <w:t>8.2本项目评标方法详见《评标办法前附表》。</w:t>
      </w:r>
    </w:p>
    <w:p w14:paraId="2713036F">
      <w:pPr>
        <w:pStyle w:val="36"/>
        <w:rPr>
          <w:rFonts w:hint="eastAsia"/>
          <w:b/>
          <w:bCs/>
        </w:rPr>
      </w:pPr>
      <w:r>
        <w:rPr>
          <w:rFonts w:hint="eastAsia"/>
          <w:b/>
          <w:bCs/>
        </w:rPr>
        <w:t>9</w:t>
      </w:r>
      <w:r>
        <w:rPr>
          <w:b/>
          <w:bCs/>
        </w:rPr>
        <w:t>.综合评分法</w:t>
      </w:r>
    </w:p>
    <w:p w14:paraId="56DF6056">
      <w:pPr>
        <w:pStyle w:val="36"/>
        <w:rPr>
          <w:rFonts w:hint="eastAsia"/>
        </w:rPr>
      </w:pPr>
      <w:r>
        <w:rPr>
          <w:rFonts w:hint="eastAsia"/>
        </w:rPr>
        <w:t>9</w:t>
      </w:r>
      <w:r>
        <w:t>.1</w:t>
      </w:r>
      <w:r>
        <w:rPr>
          <w:rFonts w:hint="eastAsia"/>
        </w:rPr>
        <w:t>评审因素包括投标报价、商务技术以及落实政府采购政策。评审因素及标准见本章《评分标准》。</w:t>
      </w:r>
    </w:p>
    <w:p w14:paraId="3117AAB5">
      <w:pPr>
        <w:pStyle w:val="36"/>
        <w:rPr>
          <w:rFonts w:hint="eastAsia"/>
        </w:rPr>
      </w:pPr>
      <w:r>
        <w:t>9.2投标报价评审</w:t>
      </w:r>
    </w:p>
    <w:p w14:paraId="1053D65E">
      <w:pPr>
        <w:pStyle w:val="36"/>
        <w:rPr>
          <w:rFonts w:hint="eastAsia"/>
        </w:rPr>
      </w:pPr>
      <w:r>
        <w:rPr>
          <w:rFonts w:hint="eastAsia"/>
        </w:rPr>
        <w:t>（</w:t>
      </w:r>
      <w:r>
        <w:t>1）价格分应当采用低价优先法计算，即满足招标文件要求且投标价格最低的投标报价为评标基准价，其价格分为满分。其他</w:t>
      </w:r>
      <w:r>
        <w:rPr>
          <w:rFonts w:hint="eastAsia"/>
        </w:rPr>
        <w:t>投标供应商</w:t>
      </w:r>
      <w:r>
        <w:t>的价格分统一按照下列公式计算：</w:t>
      </w:r>
    </w:p>
    <w:p w14:paraId="6AB0E951">
      <w:pPr>
        <w:adjustRightInd w:val="0"/>
        <w:snapToGrid w:val="0"/>
        <w:ind w:firstLine="480" w:firstLineChars="200"/>
        <w:jc w:val="left"/>
        <w:rPr>
          <w:rFonts w:hint="default" w:ascii="宋体" w:hAnsi="宋体" w:eastAsia="宋体" w:cstheme="minorBidi"/>
          <w:kern w:val="2"/>
          <w:sz w:val="24"/>
          <w:szCs w:val="22"/>
          <w:lang w:val="en-US" w:eastAsia="zh-CN" w:bidi="ar-SA"/>
        </w:rPr>
      </w:pPr>
      <w:r>
        <w:rPr>
          <w:rFonts w:hint="eastAsia" w:ascii="宋体" w:hAnsi="宋体" w:eastAsia="宋体" w:cstheme="minorBidi"/>
          <w:kern w:val="2"/>
          <w:sz w:val="24"/>
          <w:szCs w:val="22"/>
          <w:lang w:val="en-US" w:eastAsia="zh-CN" w:bidi="ar-SA"/>
        </w:rPr>
        <w:t>报价得分=（评标基准价/投标报价）×10</w:t>
      </w:r>
    </w:p>
    <w:p w14:paraId="66590D5D">
      <w:pPr>
        <w:pStyle w:val="36"/>
        <w:rPr>
          <w:rFonts w:hint="eastAsia"/>
        </w:rPr>
      </w:pPr>
      <w:r>
        <w:rPr>
          <w:rFonts w:hint="eastAsia"/>
        </w:rPr>
        <w:t>评标过程中，不得去掉报价中的最高报价和最低报价。</w:t>
      </w:r>
    </w:p>
    <w:p w14:paraId="3DA457D5">
      <w:pPr>
        <w:pStyle w:val="36"/>
        <w:rPr>
          <w:rFonts w:hint="eastAsia"/>
        </w:rPr>
      </w:pPr>
      <w:r>
        <w:rPr>
          <w:rFonts w:hint="eastAsia"/>
        </w:rPr>
        <w:t>（</w:t>
      </w:r>
      <w:r>
        <w:t>2）除算术修正和落实政府采购政策的价格扣除外，不对投标报价进行调整；</w:t>
      </w:r>
    </w:p>
    <w:p w14:paraId="1B2C349F">
      <w:pPr>
        <w:pStyle w:val="36"/>
        <w:rPr>
          <w:rFonts w:hint="eastAsia"/>
        </w:rPr>
      </w:pPr>
      <w:r>
        <w:rPr>
          <w:rFonts w:hint="eastAsia"/>
        </w:rPr>
        <w:t>（</w:t>
      </w:r>
      <w:r>
        <w:t>3）价格权重见</w:t>
      </w:r>
      <w:r>
        <w:rPr>
          <w:rFonts w:hint="eastAsia"/>
        </w:rPr>
        <w:t>本章</w:t>
      </w:r>
      <w:r>
        <w:t>《评分标准》。</w:t>
      </w:r>
    </w:p>
    <w:p w14:paraId="7B563BDA">
      <w:pPr>
        <w:pStyle w:val="36"/>
        <w:rPr>
          <w:rFonts w:hint="eastAsia"/>
        </w:rPr>
      </w:pPr>
      <w:r>
        <w:t>9.3商务技术评审</w:t>
      </w:r>
    </w:p>
    <w:p w14:paraId="74A0F764">
      <w:pPr>
        <w:pStyle w:val="36"/>
        <w:rPr>
          <w:rFonts w:hint="eastAsia"/>
        </w:rPr>
      </w:pPr>
      <w:r>
        <w:rPr>
          <w:rFonts w:hint="eastAsia"/>
        </w:rPr>
        <w:t>评标委员会应对符合性审查合格的投标文件进行商务和技术评审，并按照招标文件要求及本章“三、评标标准”中的内容进行综合比较和评价。</w:t>
      </w:r>
    </w:p>
    <w:p w14:paraId="3B2F2F24">
      <w:pPr>
        <w:pStyle w:val="36"/>
        <w:rPr>
          <w:rFonts w:hint="eastAsia"/>
        </w:rPr>
      </w:pPr>
      <w:r>
        <w:rPr>
          <w:rFonts w:hint="eastAsia"/>
        </w:rPr>
        <w:t>9</w:t>
      </w:r>
      <w:r>
        <w:t>.4</w:t>
      </w:r>
      <w:r>
        <w:rPr>
          <w:rFonts w:hint="eastAsia"/>
        </w:rPr>
        <w:t>计分办法及复核</w:t>
      </w:r>
    </w:p>
    <w:p w14:paraId="68339C3C">
      <w:pPr>
        <w:pStyle w:val="36"/>
        <w:rPr>
          <w:rFonts w:hint="eastAsia"/>
        </w:rPr>
      </w:pPr>
      <w:r>
        <w:rPr>
          <w:rFonts w:hint="eastAsia"/>
        </w:rPr>
        <w:t>（1）</w:t>
      </w:r>
      <w:r>
        <w:t>评标过程中，各项分值一般精确到小数点后两位，评标得分应为商务评分、技术评分、报价评分之和。评标委员会各成员应汇总每个</w:t>
      </w:r>
      <w:r>
        <w:rPr>
          <w:rFonts w:hint="eastAsia"/>
        </w:rPr>
        <w:t>投标供应商</w:t>
      </w:r>
      <w:r>
        <w:t>的得分。</w:t>
      </w:r>
    </w:p>
    <w:p w14:paraId="604DFF70">
      <w:pPr>
        <w:pStyle w:val="36"/>
        <w:rPr>
          <w:rFonts w:hint="eastAsia"/>
        </w:rPr>
      </w:pPr>
      <w:r>
        <w:rPr>
          <w:rFonts w:hint="eastAsia"/>
        </w:rPr>
        <w:t>（2）</w:t>
      </w:r>
      <w:r>
        <w:t>评标结果汇总完成后，采购代理机构应对评标结果进行复核。经复核发现存在以下情形之一的，评标委员会应当当场修改评标结果，并在评标报告中记载：</w:t>
      </w:r>
    </w:p>
    <w:p w14:paraId="6D162289">
      <w:pPr>
        <w:pStyle w:val="36"/>
        <w:numPr>
          <w:ilvl w:val="0"/>
          <w:numId w:val="18"/>
        </w:numPr>
        <w:rPr>
          <w:rFonts w:hint="eastAsia"/>
        </w:rPr>
      </w:pPr>
      <w:r>
        <w:t>分值汇总计算错误的；</w:t>
      </w:r>
    </w:p>
    <w:p w14:paraId="64998047">
      <w:pPr>
        <w:pStyle w:val="36"/>
        <w:numPr>
          <w:ilvl w:val="0"/>
          <w:numId w:val="18"/>
        </w:numPr>
        <w:rPr>
          <w:rFonts w:hint="eastAsia"/>
        </w:rPr>
      </w:pPr>
      <w:r>
        <w:t>分项评分超出评分标准范围的；</w:t>
      </w:r>
    </w:p>
    <w:p w14:paraId="3499832F">
      <w:pPr>
        <w:pStyle w:val="36"/>
        <w:numPr>
          <w:ilvl w:val="0"/>
          <w:numId w:val="18"/>
        </w:numPr>
        <w:rPr>
          <w:rFonts w:hint="eastAsia"/>
        </w:rPr>
      </w:pPr>
      <w:r>
        <w:t>评标委员会成员对客观评审因素评分不一致的；</w:t>
      </w:r>
    </w:p>
    <w:p w14:paraId="3B78C699">
      <w:pPr>
        <w:pStyle w:val="36"/>
        <w:numPr>
          <w:ilvl w:val="0"/>
          <w:numId w:val="18"/>
        </w:numPr>
        <w:rPr>
          <w:rFonts w:hint="eastAsia"/>
        </w:rPr>
      </w:pPr>
      <w:r>
        <w:t>经评标委员会认定评分畸高、畸低的</w:t>
      </w:r>
      <w:r>
        <w:rPr>
          <w:rFonts w:hint="eastAsia"/>
        </w:rPr>
        <w:t>。</w:t>
      </w:r>
    </w:p>
    <w:p w14:paraId="4CA23707">
      <w:pPr>
        <w:pStyle w:val="36"/>
        <w:rPr>
          <w:rFonts w:hint="eastAsia"/>
        </w:rPr>
      </w:pPr>
      <w:r>
        <w:rPr>
          <w:rFonts w:hint="eastAsia"/>
        </w:rPr>
        <w:t>（3）</w:t>
      </w:r>
      <w:r>
        <w:t>各</w:t>
      </w:r>
      <w:r>
        <w:rPr>
          <w:rFonts w:hint="eastAsia"/>
        </w:rPr>
        <w:t>投标供应商</w:t>
      </w:r>
      <w:r>
        <w:t>的最终得分为评标委员会所有成员对各</w:t>
      </w:r>
      <w:r>
        <w:rPr>
          <w:rFonts w:hint="eastAsia"/>
        </w:rPr>
        <w:t>投标供应商</w:t>
      </w:r>
      <w:r>
        <w:t>评标得分汇总后的算术平均值。</w:t>
      </w:r>
    </w:p>
    <w:p w14:paraId="08C1BF07">
      <w:pPr>
        <w:pStyle w:val="36"/>
        <w:rPr>
          <w:rFonts w:hint="eastAsia"/>
          <w:b/>
          <w:bCs/>
        </w:rPr>
      </w:pPr>
      <w:r>
        <w:rPr>
          <w:rFonts w:hint="eastAsia"/>
          <w:b/>
          <w:bCs/>
        </w:rPr>
        <w:t>1</w:t>
      </w:r>
      <w:r>
        <w:rPr>
          <w:b/>
          <w:bCs/>
        </w:rPr>
        <w:t>0.</w:t>
      </w:r>
      <w:r>
        <w:rPr>
          <w:rFonts w:hint="eastAsia"/>
          <w:b/>
          <w:bCs/>
        </w:rPr>
        <w:t>最低评标价法</w:t>
      </w:r>
    </w:p>
    <w:p w14:paraId="30163ED7">
      <w:pPr>
        <w:pStyle w:val="36"/>
        <w:rPr>
          <w:rFonts w:hint="eastAsia"/>
        </w:rPr>
      </w:pPr>
      <w:r>
        <w:rPr>
          <w:rFonts w:hint="eastAsia"/>
        </w:rPr>
        <w:t>1</w:t>
      </w:r>
      <w:r>
        <w:t>0.1</w:t>
      </w:r>
      <w:r>
        <w:rPr>
          <w:rFonts w:hint="eastAsia"/>
        </w:rPr>
        <w:t>除算术修正和落实政府采购政策的价格扣除外，不对投标报价进行调整。</w:t>
      </w:r>
    </w:p>
    <w:p w14:paraId="4BEC04C8">
      <w:pPr>
        <w:pStyle w:val="36"/>
        <w:rPr>
          <w:rFonts w:hint="eastAsia"/>
          <w:b/>
          <w:bCs/>
        </w:rPr>
      </w:pPr>
      <w:r>
        <w:rPr>
          <w:rFonts w:hint="eastAsia"/>
          <w:b/>
          <w:bCs/>
        </w:rPr>
        <w:t>1</w:t>
      </w:r>
      <w:r>
        <w:rPr>
          <w:b/>
          <w:bCs/>
        </w:rPr>
        <w:t>1.</w:t>
      </w:r>
      <w:r>
        <w:rPr>
          <w:rFonts w:hint="eastAsia"/>
          <w:b/>
          <w:bCs/>
        </w:rPr>
        <w:t>政府采购政策评审</w:t>
      </w:r>
    </w:p>
    <w:p w14:paraId="0B6B7CC6">
      <w:pPr>
        <w:pStyle w:val="36"/>
        <w:rPr>
          <w:rFonts w:hint="eastAsia"/>
        </w:rPr>
      </w:pPr>
      <w:r>
        <w:t>11.1</w:t>
      </w:r>
      <w:r>
        <w:rPr>
          <w:rFonts w:hint="eastAsia"/>
        </w:rPr>
        <w:t>价格扣除</w:t>
      </w:r>
    </w:p>
    <w:p w14:paraId="4D581527">
      <w:pPr>
        <w:pStyle w:val="36"/>
        <w:numPr>
          <w:ilvl w:val="0"/>
          <w:numId w:val="19"/>
        </w:numPr>
        <w:rPr>
          <w:rFonts w:hint="eastAsia"/>
        </w:rPr>
      </w:pPr>
      <w:r>
        <w:t>非专门面向中小企业的采购项目或采购包，对符合规定的小微企业（监狱企业、残疾人福利性单位、联合体各方均为小微企业的联合体、符合小微企业划分标准的个体工商户视同小微企业）报价</w:t>
      </w:r>
      <w:r>
        <w:rPr>
          <w:rFonts w:hint="eastAsia"/>
        </w:rPr>
        <w:t>按照本招标文件”投标供应商须知前附表”中的规定</w:t>
      </w:r>
      <w:r>
        <w:t>扣除，对小微企业中的监狱企业、残疾人福利性单位、采购产品纳入创新产品应用示范推荐目录内企业、采购产品获得节能产品或环境标志产品认证证书的企业报价</w:t>
      </w:r>
      <w:r>
        <w:rPr>
          <w:rFonts w:hint="eastAsia"/>
        </w:rPr>
        <w:t>按照本招标文件”投标供应商须知前附表”中的规定</w:t>
      </w:r>
      <w:r>
        <w:t>扣除，用扣除后的价格</w:t>
      </w:r>
      <w:r>
        <w:rPr>
          <w:rFonts w:hint="eastAsia"/>
        </w:rPr>
        <w:t>参加评审</w:t>
      </w:r>
      <w:r>
        <w:t>。</w:t>
      </w:r>
    </w:p>
    <w:p w14:paraId="67ED8ABE">
      <w:pPr>
        <w:pStyle w:val="36"/>
        <w:numPr>
          <w:ilvl w:val="0"/>
          <w:numId w:val="19"/>
        </w:numPr>
        <w:rPr>
          <w:rFonts w:hint="eastAsia"/>
        </w:rPr>
      </w:pPr>
      <w:r>
        <w:t>参加政府采购活动的小微企业（含节能环保、创新产品企业）未提供“中小企业声明函”的；监狱企业未提供“监狱企业证明文件”的；监狱企业中的小微企业未提供“中小企业声明函”的；残疾人福利性单位未提供“残疾人福利性单位声明函”的；残疾人福利性单位中的小微企业未提供“中小企业声明函”的；不得享受相应的价格扣除优惠。组成联合体或者接受分包的小微企业与联合体内其他企业、分包企业之间存在直接控股、管理关系的，不得享受价格扣除优惠。</w:t>
      </w:r>
    </w:p>
    <w:p w14:paraId="0DB94468">
      <w:pPr>
        <w:pStyle w:val="36"/>
        <w:numPr>
          <w:ilvl w:val="0"/>
          <w:numId w:val="19"/>
        </w:numPr>
        <w:rPr>
          <w:rFonts w:hint="eastAsia"/>
        </w:rPr>
      </w:pPr>
      <w:r>
        <w:t>专门面向中小企业、预留部分采购份额面向中小企业采购的项目或采购包，评审时不再进行价格扣除。</w:t>
      </w:r>
    </w:p>
    <w:p w14:paraId="2788B9FE">
      <w:pPr>
        <w:pStyle w:val="36"/>
        <w:rPr>
          <w:rFonts w:hint="eastAsia"/>
          <w:b/>
          <w:bCs/>
        </w:rPr>
      </w:pPr>
      <w:r>
        <w:rPr>
          <w:rFonts w:hint="eastAsia"/>
          <w:b/>
          <w:bCs/>
        </w:rPr>
        <w:t>1</w:t>
      </w:r>
      <w:r>
        <w:rPr>
          <w:b/>
          <w:bCs/>
        </w:rPr>
        <w:t>2.</w:t>
      </w:r>
      <w:r>
        <w:rPr>
          <w:rFonts w:hint="eastAsia"/>
          <w:b/>
          <w:bCs/>
        </w:rPr>
        <w:t>相同品牌处理原则（</w:t>
      </w:r>
      <w:r>
        <w:rPr>
          <w:rFonts w:hint="eastAsia"/>
          <w:b/>
          <w:bCs/>
          <w:lang w:val="en-US"/>
        </w:rPr>
        <w:t>本项目不涉及</w:t>
      </w:r>
      <w:r>
        <w:rPr>
          <w:rFonts w:hint="eastAsia"/>
          <w:b/>
          <w:bCs/>
        </w:rPr>
        <w:t>）</w:t>
      </w:r>
    </w:p>
    <w:p w14:paraId="30411D95">
      <w:pPr>
        <w:pStyle w:val="36"/>
        <w:rPr>
          <w:rFonts w:hint="eastAsia"/>
        </w:rPr>
      </w:pPr>
      <w:r>
        <w:t>12.1单一产品采购（或非单一产品采购中的核心产品），提供相同品牌产品且通过资格审查、符合性审查的不同</w:t>
      </w:r>
      <w:r>
        <w:rPr>
          <w:rFonts w:hint="eastAsia"/>
        </w:rPr>
        <w:t>投标供应商</w:t>
      </w:r>
      <w:r>
        <w:t>参加同一合同项下投标的，按一家</w:t>
      </w:r>
      <w:r>
        <w:rPr>
          <w:rFonts w:hint="eastAsia"/>
        </w:rPr>
        <w:t>投标供应商</w:t>
      </w:r>
      <w:r>
        <w:t>计算，评审后中标候选人推荐资格</w:t>
      </w:r>
      <w:r>
        <w:rPr>
          <w:rFonts w:hint="eastAsia"/>
        </w:rPr>
        <w:t>方式见“评标办法前附表”；</w:t>
      </w:r>
    </w:p>
    <w:p w14:paraId="7156C0E2">
      <w:pPr>
        <w:pStyle w:val="36"/>
        <w:rPr>
          <w:rFonts w:hint="eastAsia"/>
        </w:rPr>
      </w:pPr>
      <w:r>
        <w:t>12.2非单一产品采购项目，采购人应当根据采购项目技术构成、产品价格比重等合理确定一个核心产品（采购清单中作“与核心产品相同〈或同一〉品牌”实质性要求的产品，视为一个核心产品），并以“核心产品”在招标文件中载明，评审时按前款规定处理。</w:t>
      </w:r>
    </w:p>
    <w:bookmarkEnd w:id="286"/>
    <w:bookmarkEnd w:id="287"/>
    <w:bookmarkEnd w:id="288"/>
    <w:bookmarkEnd w:id="289"/>
    <w:bookmarkEnd w:id="290"/>
    <w:bookmarkEnd w:id="291"/>
    <w:bookmarkEnd w:id="292"/>
    <w:p w14:paraId="24E94426">
      <w:pPr>
        <w:pStyle w:val="5"/>
        <w:numPr>
          <w:ilvl w:val="0"/>
          <w:numId w:val="17"/>
        </w:numPr>
        <w:rPr>
          <w:rFonts w:hint="eastAsia"/>
          <w:lang w:val="zh-CN"/>
        </w:rPr>
      </w:pPr>
      <w:bookmarkStart w:id="294" w:name="_Toc102116184"/>
      <w:bookmarkStart w:id="295" w:name="_Toc102114952"/>
      <w:bookmarkStart w:id="296" w:name="_Toc102119885"/>
      <w:bookmarkStart w:id="297" w:name="_Toc155185912"/>
      <w:bookmarkStart w:id="298" w:name="_Toc102057750"/>
      <w:bookmarkStart w:id="299" w:name="_Toc102056250"/>
      <w:bookmarkStart w:id="300" w:name="_Toc29689"/>
      <w:bookmarkStart w:id="301" w:name="_Toc102116054"/>
      <w:r>
        <w:rPr>
          <w:rFonts w:hint="eastAsia"/>
          <w:lang w:val="zh-CN"/>
        </w:rPr>
        <w:t>评标报告</w:t>
      </w:r>
      <w:bookmarkEnd w:id="294"/>
      <w:bookmarkEnd w:id="295"/>
      <w:bookmarkEnd w:id="296"/>
      <w:bookmarkEnd w:id="297"/>
      <w:bookmarkEnd w:id="298"/>
      <w:bookmarkEnd w:id="299"/>
      <w:bookmarkEnd w:id="300"/>
      <w:bookmarkEnd w:id="301"/>
    </w:p>
    <w:p w14:paraId="6E98C602">
      <w:pPr>
        <w:pStyle w:val="36"/>
        <w:rPr>
          <w:rFonts w:hint="eastAsia"/>
        </w:rPr>
      </w:pPr>
      <w:r>
        <w:rPr>
          <w:rFonts w:hint="eastAsia"/>
        </w:rPr>
        <w:t>1</w:t>
      </w:r>
      <w:r>
        <w:t>3.</w:t>
      </w:r>
      <w:r>
        <w:rPr>
          <w:rFonts w:hint="eastAsia"/>
        </w:rPr>
        <w:t>评标委员会按照招标文件确定的评标方法、程序及标准，对投标文件进行评审。中标候选人排序方式见“评标办法前附表”。</w:t>
      </w:r>
    </w:p>
    <w:p w14:paraId="57479751">
      <w:pPr>
        <w:pStyle w:val="36"/>
        <w:rPr>
          <w:rFonts w:hint="eastAsia"/>
        </w:rPr>
      </w:pPr>
      <w:r>
        <w:rPr>
          <w:rFonts w:hint="eastAsia"/>
        </w:rPr>
        <w:t>1</w:t>
      </w:r>
      <w:r>
        <w:t>4.</w:t>
      </w:r>
      <w:r>
        <w:rPr>
          <w:rFonts w:hint="eastAsia"/>
        </w:rPr>
        <w:t>评标委员会依据评标结果，向采购人推荐中标候选人名单，并形成评标报告。</w:t>
      </w:r>
    </w:p>
    <w:p w14:paraId="6396D58C">
      <w:pPr>
        <w:pStyle w:val="36"/>
        <w:rPr>
          <w:rFonts w:hint="eastAsia"/>
        </w:rPr>
      </w:pPr>
      <w:r>
        <w:rPr>
          <w:rFonts w:hint="eastAsia"/>
        </w:rPr>
        <w:t>1</w:t>
      </w:r>
      <w:r>
        <w:t>5.</w:t>
      </w:r>
      <w:r>
        <w:rPr>
          <w:rFonts w:hint="eastAsia"/>
        </w:rPr>
        <w:t>评标委员会应当在评标报告上签名，对自己的评审意见承担法律责任。对需要共同认定的事项存在争议的，应当按照少数服从多数的原则作出结论。持不同意见的评标委员会成员应当在评标报告上签署不同意见，并说明理由，否则视为同意评标报告。</w:t>
      </w:r>
    </w:p>
    <w:p w14:paraId="50A79220">
      <w:pPr>
        <w:pStyle w:val="5"/>
        <w:numPr>
          <w:ilvl w:val="0"/>
          <w:numId w:val="17"/>
        </w:numPr>
        <w:rPr>
          <w:rFonts w:hint="eastAsia"/>
          <w:lang w:val="zh-CN"/>
        </w:rPr>
      </w:pPr>
      <w:bookmarkStart w:id="302" w:name="_Toc102114919"/>
      <w:bookmarkStart w:id="303" w:name="_Toc102116151"/>
      <w:bookmarkStart w:id="304" w:name="_Toc29863"/>
      <w:bookmarkStart w:id="305" w:name="_Toc102057717"/>
      <w:bookmarkStart w:id="306" w:name="_Toc102116021"/>
      <w:bookmarkStart w:id="307" w:name="_Toc102056217"/>
      <w:bookmarkStart w:id="308" w:name="_Toc102119852"/>
      <w:bookmarkStart w:id="309" w:name="_Toc155185913"/>
      <w:r>
        <w:rPr>
          <w:rFonts w:hint="eastAsia"/>
          <w:lang w:val="zh-CN"/>
        </w:rPr>
        <w:t>应予废标的情形</w:t>
      </w:r>
      <w:bookmarkEnd w:id="302"/>
      <w:bookmarkEnd w:id="303"/>
      <w:bookmarkEnd w:id="304"/>
      <w:bookmarkEnd w:id="305"/>
      <w:bookmarkEnd w:id="306"/>
      <w:bookmarkEnd w:id="307"/>
      <w:bookmarkEnd w:id="308"/>
      <w:bookmarkEnd w:id="309"/>
    </w:p>
    <w:p w14:paraId="661BDBDA">
      <w:pPr>
        <w:pStyle w:val="36"/>
        <w:rPr>
          <w:rFonts w:hint="eastAsia"/>
        </w:rPr>
      </w:pPr>
      <w:r>
        <w:rPr>
          <w:rFonts w:hint="eastAsia"/>
        </w:rPr>
        <w:t>1</w:t>
      </w:r>
      <w:r>
        <w:t>6.</w:t>
      </w:r>
      <w:r>
        <w:rPr>
          <w:rFonts w:hint="eastAsia"/>
        </w:rPr>
        <w:t>在招标采购过程中，出现下列情形之一的，应予</w:t>
      </w:r>
      <w:r>
        <w:rPr>
          <w:rFonts w:hint="eastAsia"/>
          <w:b/>
          <w:bCs/>
        </w:rPr>
        <w:t>废标</w:t>
      </w:r>
      <w:r>
        <w:rPr>
          <w:rFonts w:hint="eastAsia"/>
        </w:rPr>
        <w:t>：</w:t>
      </w:r>
    </w:p>
    <w:p w14:paraId="673EFEFB">
      <w:pPr>
        <w:pStyle w:val="36"/>
        <w:rPr>
          <w:rFonts w:hint="eastAsia"/>
        </w:rPr>
      </w:pPr>
      <w:r>
        <w:t>16.1</w:t>
      </w:r>
      <w:r>
        <w:rPr>
          <w:rFonts w:hint="eastAsia"/>
        </w:rPr>
        <w:t>符合专业条件的供应商或者对招标文件作实质响应的供应商不足3家的；</w:t>
      </w:r>
    </w:p>
    <w:p w14:paraId="38231BFE">
      <w:pPr>
        <w:pStyle w:val="36"/>
        <w:rPr>
          <w:rFonts w:hint="eastAsia"/>
        </w:rPr>
      </w:pPr>
      <w:r>
        <w:t>16.2</w:t>
      </w:r>
      <w:r>
        <w:rPr>
          <w:rFonts w:hint="eastAsia"/>
        </w:rPr>
        <w:t>出现影响采购公正的违法、违规行为的；</w:t>
      </w:r>
    </w:p>
    <w:p w14:paraId="4792C34F">
      <w:pPr>
        <w:pStyle w:val="36"/>
        <w:rPr>
          <w:rFonts w:hint="eastAsia"/>
        </w:rPr>
      </w:pPr>
      <w:r>
        <w:t>16.3</w:t>
      </w:r>
      <w:r>
        <w:rPr>
          <w:rFonts w:hint="eastAsia"/>
        </w:rPr>
        <w:t>投标供应商的报价均超过了采购预算，采购人不能支付的；</w:t>
      </w:r>
    </w:p>
    <w:p w14:paraId="20739C80">
      <w:pPr>
        <w:pStyle w:val="36"/>
        <w:rPr>
          <w:rFonts w:hint="eastAsia"/>
        </w:rPr>
      </w:pPr>
      <w:r>
        <w:t>16.4</w:t>
      </w:r>
      <w:r>
        <w:rPr>
          <w:rFonts w:hint="eastAsia"/>
        </w:rPr>
        <w:t>因重大变故，采购任务取消的。</w:t>
      </w:r>
    </w:p>
    <w:p w14:paraId="59E71373">
      <w:pPr>
        <w:pStyle w:val="36"/>
        <w:rPr>
          <w:rFonts w:hint="eastAsia"/>
        </w:rPr>
      </w:pPr>
      <w:r>
        <w:rPr>
          <w:rFonts w:hint="eastAsia"/>
        </w:rPr>
        <w:t>1</w:t>
      </w:r>
      <w:r>
        <w:t>7.</w:t>
      </w:r>
      <w:r>
        <w:rPr>
          <w:rFonts w:hint="eastAsia"/>
        </w:rPr>
        <w:t>废标后，采购人应当将废标理由通知所有投标供应商。</w:t>
      </w:r>
    </w:p>
    <w:p w14:paraId="416C54CB">
      <w:pPr>
        <w:pStyle w:val="5"/>
        <w:numPr>
          <w:ilvl w:val="0"/>
          <w:numId w:val="17"/>
        </w:numPr>
        <w:rPr>
          <w:rFonts w:hint="eastAsia"/>
          <w:lang w:val="zh-CN"/>
        </w:rPr>
      </w:pPr>
      <w:bookmarkStart w:id="310" w:name="_Toc25935"/>
      <w:bookmarkStart w:id="311" w:name="_Toc102116022"/>
      <w:bookmarkStart w:id="312" w:name="_Toc102114920"/>
      <w:bookmarkStart w:id="313" w:name="_Toc102119853"/>
      <w:bookmarkStart w:id="314" w:name="_Toc102056218"/>
      <w:bookmarkStart w:id="315" w:name="_Toc102057718"/>
      <w:bookmarkStart w:id="316" w:name="_Toc102116152"/>
      <w:bookmarkStart w:id="317" w:name="_Toc155185914"/>
      <w:r>
        <w:rPr>
          <w:rFonts w:hint="eastAsia"/>
          <w:lang w:val="zh-CN"/>
        </w:rPr>
        <w:t>停止评标的情形</w:t>
      </w:r>
      <w:bookmarkEnd w:id="310"/>
      <w:bookmarkEnd w:id="311"/>
      <w:bookmarkEnd w:id="312"/>
      <w:bookmarkEnd w:id="313"/>
      <w:bookmarkEnd w:id="314"/>
      <w:bookmarkEnd w:id="315"/>
      <w:bookmarkEnd w:id="316"/>
      <w:bookmarkEnd w:id="317"/>
    </w:p>
    <w:p w14:paraId="64020137">
      <w:pPr>
        <w:pStyle w:val="36"/>
        <w:rPr>
          <w:rFonts w:hint="eastAsia"/>
        </w:rPr>
      </w:pPr>
      <w:r>
        <w:rPr>
          <w:rFonts w:hint="eastAsia"/>
        </w:rPr>
        <w:t>1</w:t>
      </w:r>
      <w:r>
        <w:t>8.</w:t>
      </w:r>
      <w:r>
        <w:rPr>
          <w:rFonts w:hint="eastAsia"/>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bookmarkEnd w:id="282"/>
      <w:bookmarkEnd w:id="283"/>
      <w:bookmarkEnd w:id="284"/>
      <w:r>
        <w:br w:type="page"/>
      </w:r>
    </w:p>
    <w:p w14:paraId="28C23D49">
      <w:pPr>
        <w:pStyle w:val="4"/>
        <w:numPr>
          <w:ilvl w:val="0"/>
          <w:numId w:val="16"/>
        </w:numPr>
        <w:rPr>
          <w:rFonts w:hint="eastAsia"/>
          <w:lang w:val="zh-CN"/>
        </w:rPr>
      </w:pPr>
      <w:bookmarkStart w:id="318" w:name="_Toc155185915"/>
      <w:bookmarkStart w:id="319" w:name="_Toc3505"/>
      <w:r>
        <w:rPr>
          <w:rFonts w:hint="eastAsia"/>
          <w:lang w:val="zh-CN"/>
        </w:rPr>
        <w:t>评标标准</w:t>
      </w:r>
      <w:bookmarkEnd w:id="318"/>
      <w:bookmarkEnd w:id="319"/>
    </w:p>
    <w:p w14:paraId="68B3CFA5">
      <w:pPr>
        <w:pStyle w:val="5"/>
        <w:numPr>
          <w:ilvl w:val="0"/>
          <w:numId w:val="20"/>
        </w:numPr>
        <w:rPr>
          <w:rFonts w:hint="eastAsia"/>
          <w:lang w:val="zh-CN"/>
        </w:rPr>
      </w:pPr>
      <w:bookmarkStart w:id="320" w:name="_Toc28203"/>
      <w:r>
        <w:rPr>
          <w:rFonts w:hint="eastAsia"/>
          <w:lang w:val="zh-CN"/>
        </w:rPr>
        <w:t>符合性审查表</w:t>
      </w:r>
      <w:bookmarkEnd w:id="320"/>
    </w:p>
    <w:tbl>
      <w:tblPr>
        <w:tblStyle w:val="31"/>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0"/>
        <w:gridCol w:w="2117"/>
        <w:gridCol w:w="5399"/>
      </w:tblGrid>
      <w:tr w14:paraId="2D578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780" w:type="dxa"/>
            <w:shd w:val="clear" w:color="auto" w:fill="D8D8D8" w:themeFill="background1" w:themeFillShade="D9"/>
            <w:vAlign w:val="center"/>
          </w:tcPr>
          <w:p w14:paraId="4A9FCE4C">
            <w:pPr>
              <w:pStyle w:val="48"/>
              <w:jc w:val="center"/>
              <w:rPr>
                <w:rFonts w:hint="eastAsia"/>
                <w:b/>
                <w:bCs/>
                <w:lang w:val="zh-CN"/>
              </w:rPr>
            </w:pPr>
            <w:r>
              <w:rPr>
                <w:rFonts w:hint="eastAsia"/>
                <w:b/>
                <w:bCs/>
                <w:lang w:val="zh-CN"/>
              </w:rPr>
              <w:t>序号</w:t>
            </w:r>
          </w:p>
        </w:tc>
        <w:tc>
          <w:tcPr>
            <w:tcW w:w="2117" w:type="dxa"/>
            <w:shd w:val="clear" w:color="auto" w:fill="D8D8D8" w:themeFill="background1" w:themeFillShade="D9"/>
            <w:vAlign w:val="center"/>
          </w:tcPr>
          <w:p w14:paraId="637B62A9">
            <w:pPr>
              <w:pStyle w:val="48"/>
              <w:jc w:val="center"/>
              <w:rPr>
                <w:rFonts w:hint="eastAsia"/>
                <w:b/>
                <w:bCs/>
                <w:lang w:val="zh-CN"/>
              </w:rPr>
            </w:pPr>
            <w:r>
              <w:rPr>
                <w:rFonts w:hint="eastAsia"/>
                <w:b/>
                <w:bCs/>
                <w:lang w:val="zh-CN"/>
              </w:rPr>
              <w:t>审查项名称</w:t>
            </w:r>
          </w:p>
        </w:tc>
        <w:tc>
          <w:tcPr>
            <w:tcW w:w="5399" w:type="dxa"/>
            <w:shd w:val="clear" w:color="auto" w:fill="D8D8D8" w:themeFill="background1" w:themeFillShade="D9"/>
            <w:vAlign w:val="center"/>
          </w:tcPr>
          <w:p w14:paraId="42922B72">
            <w:pPr>
              <w:pStyle w:val="48"/>
              <w:jc w:val="center"/>
              <w:rPr>
                <w:rFonts w:hint="eastAsia"/>
                <w:b/>
                <w:bCs/>
                <w:lang w:val="zh-CN"/>
              </w:rPr>
            </w:pPr>
            <w:r>
              <w:rPr>
                <w:rFonts w:hint="eastAsia"/>
                <w:b/>
                <w:bCs/>
                <w:lang w:val="zh-CN"/>
              </w:rPr>
              <w:t>审查内容</w:t>
            </w:r>
          </w:p>
        </w:tc>
      </w:tr>
      <w:tr w14:paraId="442E5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0" w:type="dxa"/>
            <w:shd w:val="clear" w:color="auto" w:fill="auto"/>
            <w:vAlign w:val="center"/>
          </w:tcPr>
          <w:p w14:paraId="1A091859">
            <w:pPr>
              <w:pStyle w:val="48"/>
              <w:numPr>
                <w:ilvl w:val="0"/>
                <w:numId w:val="21"/>
              </w:numPr>
              <w:rPr>
                <w:rFonts w:hint="eastAsia"/>
                <w:lang w:val="zh-CN"/>
              </w:rPr>
            </w:pPr>
          </w:p>
        </w:tc>
        <w:tc>
          <w:tcPr>
            <w:tcW w:w="2117" w:type="dxa"/>
            <w:vAlign w:val="center"/>
          </w:tcPr>
          <w:p w14:paraId="7930BA1D">
            <w:pPr>
              <w:pStyle w:val="48"/>
              <w:rPr>
                <w:rFonts w:hint="eastAsia"/>
                <w:lang w:val="zh-CN"/>
              </w:rPr>
            </w:pPr>
            <w:r>
              <w:rPr>
                <w:rFonts w:hint="eastAsia"/>
                <w:lang w:val="zh-CN"/>
              </w:rPr>
              <w:t>投标报价</w:t>
            </w:r>
          </w:p>
        </w:tc>
        <w:tc>
          <w:tcPr>
            <w:tcW w:w="5399" w:type="dxa"/>
            <w:shd w:val="clear" w:color="auto" w:fill="auto"/>
            <w:vAlign w:val="center"/>
          </w:tcPr>
          <w:p w14:paraId="6D77E08C">
            <w:pPr>
              <w:pStyle w:val="48"/>
              <w:rPr>
                <w:rFonts w:hint="eastAsia"/>
                <w:lang w:val="zh-CN"/>
              </w:rPr>
            </w:pPr>
            <w:r>
              <w:rPr>
                <w:rFonts w:hint="eastAsia"/>
                <w:lang w:val="zh-CN"/>
              </w:rPr>
              <w:t>（1）投标报价没有超过项目（</w:t>
            </w:r>
            <w:r>
              <w:rPr>
                <w:rFonts w:hint="eastAsia"/>
              </w:rPr>
              <w:t>采购包</w:t>
            </w:r>
            <w:r>
              <w:rPr>
                <w:rFonts w:hint="eastAsia"/>
                <w:lang w:val="zh-CN"/>
              </w:rPr>
              <w:t>）预算金额或最高限价；</w:t>
            </w:r>
          </w:p>
          <w:p w14:paraId="3CA0E679">
            <w:pPr>
              <w:pStyle w:val="48"/>
              <w:rPr>
                <w:rFonts w:hint="eastAsia"/>
                <w:lang w:val="zh-CN"/>
              </w:rPr>
            </w:pPr>
            <w:r>
              <w:rPr>
                <w:rFonts w:hint="eastAsia"/>
                <w:lang w:val="zh-CN"/>
              </w:rPr>
              <w:t>（2）</w:t>
            </w:r>
            <w:r>
              <w:rPr>
                <w:lang w:val="zh-CN"/>
              </w:rPr>
              <w:t>投标报价不存在缺项、漏项。</w:t>
            </w:r>
          </w:p>
        </w:tc>
      </w:tr>
      <w:tr w14:paraId="44EEC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trPr>
        <w:tc>
          <w:tcPr>
            <w:tcW w:w="780" w:type="dxa"/>
            <w:shd w:val="clear" w:color="auto" w:fill="auto"/>
            <w:vAlign w:val="center"/>
          </w:tcPr>
          <w:p w14:paraId="117EF39B">
            <w:pPr>
              <w:pStyle w:val="48"/>
              <w:numPr>
                <w:ilvl w:val="0"/>
                <w:numId w:val="21"/>
              </w:numPr>
              <w:rPr>
                <w:rFonts w:hint="eastAsia"/>
                <w:lang w:val="zh-CN"/>
              </w:rPr>
            </w:pPr>
          </w:p>
        </w:tc>
        <w:tc>
          <w:tcPr>
            <w:tcW w:w="2117" w:type="dxa"/>
            <w:vAlign w:val="center"/>
          </w:tcPr>
          <w:p w14:paraId="7F0A7985">
            <w:pPr>
              <w:pStyle w:val="48"/>
              <w:rPr>
                <w:rFonts w:hint="eastAsia"/>
                <w:lang w:val="zh-CN"/>
              </w:rPr>
            </w:pPr>
            <w:r>
              <w:rPr>
                <w:rFonts w:hint="eastAsia"/>
                <w:lang w:val="zh-CN"/>
              </w:rPr>
              <w:t>投标文件</w:t>
            </w:r>
            <w:r>
              <w:rPr>
                <w:rFonts w:hint="eastAsia"/>
              </w:rPr>
              <w:t>签署</w:t>
            </w:r>
          </w:p>
        </w:tc>
        <w:tc>
          <w:tcPr>
            <w:tcW w:w="5399" w:type="dxa"/>
            <w:shd w:val="clear" w:color="auto" w:fill="auto"/>
            <w:vAlign w:val="center"/>
          </w:tcPr>
          <w:p w14:paraId="47A401B4">
            <w:pPr>
              <w:pStyle w:val="48"/>
              <w:rPr>
                <w:rFonts w:hint="eastAsia"/>
                <w:lang w:val="zh-CN"/>
              </w:rPr>
            </w:pPr>
            <w:r>
              <w:rPr>
                <w:rFonts w:hint="eastAsia"/>
              </w:rPr>
              <w:t>按照招标文件要求签署、盖章。</w:t>
            </w:r>
          </w:p>
        </w:tc>
      </w:tr>
      <w:tr w14:paraId="6E0E8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0" w:type="dxa"/>
            <w:shd w:val="clear" w:color="auto" w:fill="auto"/>
            <w:vAlign w:val="center"/>
          </w:tcPr>
          <w:p w14:paraId="4C11FB98">
            <w:pPr>
              <w:pStyle w:val="48"/>
              <w:numPr>
                <w:ilvl w:val="0"/>
                <w:numId w:val="21"/>
              </w:numPr>
              <w:rPr>
                <w:rFonts w:hint="eastAsia"/>
                <w:lang w:val="zh-CN"/>
              </w:rPr>
            </w:pPr>
          </w:p>
        </w:tc>
        <w:tc>
          <w:tcPr>
            <w:tcW w:w="2117" w:type="dxa"/>
            <w:vAlign w:val="center"/>
          </w:tcPr>
          <w:p w14:paraId="629A3138">
            <w:pPr>
              <w:pStyle w:val="48"/>
              <w:rPr>
                <w:rFonts w:hint="eastAsia"/>
              </w:rPr>
            </w:pPr>
            <w:r>
              <w:rPr>
                <w:rFonts w:hint="eastAsia"/>
              </w:rPr>
              <w:t>强制采购节能产品</w:t>
            </w:r>
          </w:p>
        </w:tc>
        <w:tc>
          <w:tcPr>
            <w:tcW w:w="5399" w:type="dxa"/>
            <w:shd w:val="clear" w:color="auto" w:fill="auto"/>
            <w:vAlign w:val="center"/>
          </w:tcPr>
          <w:p w14:paraId="036CEC2C">
            <w:pPr>
              <w:pStyle w:val="48"/>
              <w:rPr>
                <w:rFonts w:hint="eastAsia"/>
              </w:rPr>
            </w:pPr>
            <w:r>
              <w:rPr>
                <w:rFonts w:hint="eastAsia"/>
              </w:rPr>
              <w:t>依据财库[2019]9号文的规定，如属于强制节能产品</w:t>
            </w:r>
            <w:r>
              <w:rPr>
                <w:rFonts w:hint="eastAsia"/>
                <w:lang w:val="zh-CN"/>
              </w:rPr>
              <w:t>，</w:t>
            </w:r>
            <w:r>
              <w:rPr>
                <w:rFonts w:hint="eastAsia"/>
              </w:rPr>
              <w:t>须提供国家确定的认证机构出具的、处于有效期内的节能产品认证证书或中国政府采购网节能产品查询截图，未提供的视为</w:t>
            </w:r>
            <w:r>
              <w:rPr>
                <w:rFonts w:hint="eastAsia"/>
                <w:b/>
                <w:bCs/>
              </w:rPr>
              <w:t>无效响应</w:t>
            </w:r>
            <w:r>
              <w:rPr>
                <w:rFonts w:hint="eastAsia"/>
              </w:rPr>
              <w:t>（认证证书或查询截图的产品型号与所投产品不一致的，视为未提供）。</w:t>
            </w:r>
          </w:p>
          <w:p w14:paraId="636E51E5">
            <w:pPr>
              <w:pStyle w:val="48"/>
              <w:rPr>
                <w:rFonts w:hint="eastAsia"/>
              </w:rPr>
            </w:pPr>
            <w:r>
              <w:rPr>
                <w:rFonts w:hint="eastAsia"/>
                <w:b/>
                <w:bCs/>
              </w:rPr>
              <w:t>本采购项目不涉及。</w:t>
            </w:r>
          </w:p>
        </w:tc>
      </w:tr>
      <w:tr w14:paraId="0B74F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2" w:hRule="atLeast"/>
        </w:trPr>
        <w:tc>
          <w:tcPr>
            <w:tcW w:w="780" w:type="dxa"/>
            <w:shd w:val="clear" w:color="auto" w:fill="auto"/>
            <w:vAlign w:val="center"/>
          </w:tcPr>
          <w:p w14:paraId="2D9BB5BF">
            <w:pPr>
              <w:pStyle w:val="48"/>
              <w:numPr>
                <w:ilvl w:val="0"/>
                <w:numId w:val="21"/>
              </w:numPr>
              <w:rPr>
                <w:rFonts w:hint="eastAsia"/>
                <w:lang w:val="zh-CN"/>
              </w:rPr>
            </w:pPr>
          </w:p>
        </w:tc>
        <w:tc>
          <w:tcPr>
            <w:tcW w:w="2117" w:type="dxa"/>
            <w:vAlign w:val="center"/>
          </w:tcPr>
          <w:p w14:paraId="1A532616">
            <w:pPr>
              <w:pStyle w:val="48"/>
              <w:rPr>
                <w:rFonts w:hint="eastAsia"/>
              </w:rPr>
            </w:pPr>
            <w:r>
              <w:rPr>
                <w:rFonts w:hint="eastAsia"/>
              </w:rPr>
              <w:t>进口产品</w:t>
            </w:r>
          </w:p>
        </w:tc>
        <w:tc>
          <w:tcPr>
            <w:tcW w:w="5399" w:type="dxa"/>
            <w:shd w:val="clear" w:color="auto" w:fill="auto"/>
            <w:vAlign w:val="center"/>
          </w:tcPr>
          <w:p w14:paraId="12DBFFA9">
            <w:pPr>
              <w:pStyle w:val="48"/>
              <w:rPr>
                <w:rFonts w:hint="eastAsia"/>
                <w:lang w:val="zh-CN"/>
              </w:rPr>
            </w:pPr>
            <w:r>
              <w:rPr>
                <w:rFonts w:hint="eastAsia"/>
                <w:lang w:val="zh-CN"/>
              </w:rPr>
              <w:t>招标文件不接受进口产品投标时，投标供应商所投产品</w:t>
            </w:r>
            <w:r>
              <w:rPr>
                <w:rFonts w:hint="eastAsia"/>
              </w:rPr>
              <w:t>不</w:t>
            </w:r>
            <w:r>
              <w:rPr>
                <w:rFonts w:hint="eastAsia"/>
                <w:lang w:val="zh-CN"/>
              </w:rPr>
              <w:t>是通过中国海关报关验放进入中国境内且产自关境外的。</w:t>
            </w:r>
          </w:p>
          <w:p w14:paraId="19410139">
            <w:pPr>
              <w:pStyle w:val="48"/>
              <w:rPr>
                <w:rFonts w:hint="eastAsia"/>
                <w:lang w:val="zh-CN"/>
              </w:rPr>
            </w:pPr>
            <w:r>
              <w:rPr>
                <w:rFonts w:hint="eastAsia"/>
                <w:b/>
                <w:bCs/>
              </w:rPr>
              <w:t>本采购项目不涉及。</w:t>
            </w:r>
          </w:p>
        </w:tc>
      </w:tr>
      <w:tr w14:paraId="6742C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0" w:type="dxa"/>
            <w:shd w:val="clear" w:color="auto" w:fill="auto"/>
            <w:vAlign w:val="center"/>
          </w:tcPr>
          <w:p w14:paraId="79EFA90A">
            <w:pPr>
              <w:pStyle w:val="48"/>
              <w:numPr>
                <w:ilvl w:val="0"/>
                <w:numId w:val="21"/>
              </w:numPr>
              <w:rPr>
                <w:rFonts w:hint="eastAsia"/>
                <w:lang w:val="zh-CN"/>
              </w:rPr>
            </w:pPr>
          </w:p>
        </w:tc>
        <w:tc>
          <w:tcPr>
            <w:tcW w:w="2117" w:type="dxa"/>
            <w:vAlign w:val="center"/>
          </w:tcPr>
          <w:p w14:paraId="1486813E">
            <w:pPr>
              <w:pStyle w:val="48"/>
              <w:rPr>
                <w:rFonts w:hint="eastAsia"/>
                <w:lang w:val="zh-CN"/>
              </w:rPr>
            </w:pPr>
            <w:r>
              <w:rPr>
                <w:rFonts w:hint="eastAsia"/>
                <w:lang w:val="zh-CN"/>
              </w:rPr>
              <w:t>实质性要求</w:t>
            </w:r>
          </w:p>
        </w:tc>
        <w:tc>
          <w:tcPr>
            <w:tcW w:w="5399" w:type="dxa"/>
            <w:shd w:val="clear" w:color="auto" w:fill="auto"/>
            <w:vAlign w:val="center"/>
          </w:tcPr>
          <w:p w14:paraId="63B3E204">
            <w:pPr>
              <w:pStyle w:val="48"/>
              <w:rPr>
                <w:rFonts w:hint="eastAsia"/>
                <w:lang w:val="zh-CN"/>
              </w:rPr>
            </w:pPr>
            <w:r>
              <w:rPr>
                <w:rFonts w:hint="eastAsia"/>
                <w:lang w:val="zh-CN"/>
              </w:rPr>
              <w:t>（</w:t>
            </w:r>
            <w:r>
              <w:rPr>
                <w:rFonts w:hint="eastAsia"/>
              </w:rPr>
              <w:t>1</w:t>
            </w:r>
            <w:r>
              <w:rPr>
                <w:rFonts w:hint="eastAsia"/>
                <w:lang w:val="zh-CN"/>
              </w:rPr>
              <w:t>）满足招标文件第三章“项目采购需求”中</w:t>
            </w:r>
            <w:r>
              <w:rPr>
                <w:rFonts w:hint="eastAsia"/>
                <w:lang w:val="en-US" w:eastAsia="zh-CN"/>
              </w:rPr>
              <w:t>带</w:t>
            </w:r>
            <w:r>
              <w:rPr>
                <w:rFonts w:hint="eastAsia"/>
                <w:color w:val="000000" w:themeColor="text1"/>
                <w:lang w:val="en-US" w:eastAsia="zh-CN"/>
                <w14:textFill>
                  <w14:solidFill>
                    <w14:schemeClr w14:val="tx1"/>
                  </w14:solidFill>
                </w14:textFill>
              </w:rPr>
              <w:t>“</w:t>
            </w:r>
            <w:r>
              <w:rPr>
                <w:rFonts w:hint="eastAsia" w:ascii="微软雅黑" w:hAnsi="微软雅黑" w:eastAsia="微软雅黑" w:cs="微软雅黑"/>
                <w:color w:val="000000" w:themeColor="text1"/>
                <w:lang w:val="en-US" w:eastAsia="zh-CN"/>
                <w14:textFill>
                  <w14:solidFill>
                    <w14:schemeClr w14:val="tx1"/>
                  </w14:solidFill>
                </w14:textFill>
              </w:rPr>
              <w:t>★</w:t>
            </w:r>
            <w:r>
              <w:rPr>
                <w:rFonts w:hint="eastAsia"/>
                <w:color w:val="000000" w:themeColor="text1"/>
                <w:lang w:val="zh-CN"/>
                <w14:textFill>
                  <w14:solidFill>
                    <w14:schemeClr w14:val="tx1"/>
                  </w14:solidFill>
                </w14:textFill>
              </w:rPr>
              <w:t>”</w:t>
            </w:r>
            <w:r>
              <w:rPr>
                <w:rFonts w:hint="eastAsia"/>
                <w:lang w:val="zh-CN"/>
              </w:rPr>
              <w:t>要求的实质性条款；</w:t>
            </w:r>
          </w:p>
          <w:p w14:paraId="1B6EA637">
            <w:pPr>
              <w:pStyle w:val="48"/>
              <w:rPr>
                <w:rFonts w:hint="eastAsia" w:eastAsia="宋体"/>
                <w:lang w:val="en-US" w:eastAsia="zh-CN"/>
              </w:rPr>
            </w:pPr>
            <w:r>
              <w:rPr>
                <w:rFonts w:hint="eastAsia"/>
                <w:lang w:val="zh-CN"/>
              </w:rPr>
              <w:t>（</w:t>
            </w:r>
            <w:r>
              <w:rPr>
                <w:rFonts w:hint="eastAsia"/>
              </w:rPr>
              <w:t>2</w:t>
            </w:r>
            <w:r>
              <w:rPr>
                <w:rFonts w:hint="eastAsia"/>
                <w:lang w:val="zh-CN"/>
              </w:rPr>
              <w:t>）投标有效期满足招标文件要求；</w:t>
            </w:r>
          </w:p>
          <w:p w14:paraId="3F0A65DE">
            <w:pPr>
              <w:pStyle w:val="48"/>
              <w:rPr>
                <w:rFonts w:hint="eastAsia"/>
                <w:lang w:val="zh-CN"/>
              </w:rPr>
            </w:pPr>
            <w:r>
              <w:rPr>
                <w:rFonts w:hint="eastAsia"/>
                <w:lang w:val="zh-CN"/>
              </w:rPr>
              <w:t>（</w:t>
            </w:r>
            <w:r>
              <w:t>3</w:t>
            </w:r>
            <w:r>
              <w:rPr>
                <w:rFonts w:hint="eastAsia"/>
                <w:lang w:val="zh-CN"/>
              </w:rPr>
              <w:t>）没有</w:t>
            </w:r>
            <w:r>
              <w:rPr>
                <w:lang w:val="zh-CN"/>
              </w:rPr>
              <w:t>采购人不能接受的附加条件</w:t>
            </w:r>
            <w:r>
              <w:rPr>
                <w:rFonts w:hint="eastAsia"/>
                <w:lang w:val="zh-CN"/>
              </w:rPr>
              <w:t>。</w:t>
            </w:r>
          </w:p>
        </w:tc>
      </w:tr>
      <w:tr w14:paraId="24327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0" w:type="dxa"/>
            <w:shd w:val="clear" w:color="auto" w:fill="auto"/>
            <w:vAlign w:val="center"/>
          </w:tcPr>
          <w:p w14:paraId="759F2293">
            <w:pPr>
              <w:pStyle w:val="48"/>
              <w:numPr>
                <w:ilvl w:val="0"/>
                <w:numId w:val="21"/>
              </w:numPr>
              <w:rPr>
                <w:rFonts w:hint="eastAsia"/>
                <w:lang w:val="zh-CN"/>
              </w:rPr>
            </w:pPr>
          </w:p>
        </w:tc>
        <w:tc>
          <w:tcPr>
            <w:tcW w:w="2117" w:type="dxa"/>
            <w:vAlign w:val="center"/>
          </w:tcPr>
          <w:p w14:paraId="5E7BB1A0">
            <w:pPr>
              <w:pStyle w:val="48"/>
              <w:rPr>
                <w:rFonts w:hint="eastAsia"/>
              </w:rPr>
            </w:pPr>
            <w:r>
              <w:rPr>
                <w:rFonts w:hint="eastAsia"/>
              </w:rPr>
              <w:t>围标串标情形</w:t>
            </w:r>
          </w:p>
        </w:tc>
        <w:tc>
          <w:tcPr>
            <w:tcW w:w="5399" w:type="dxa"/>
            <w:shd w:val="clear" w:color="auto" w:fill="auto"/>
            <w:vAlign w:val="center"/>
          </w:tcPr>
          <w:p w14:paraId="165AE967">
            <w:pPr>
              <w:pStyle w:val="48"/>
              <w:rPr>
                <w:rFonts w:hint="eastAsia"/>
              </w:rPr>
            </w:pPr>
            <w:r>
              <w:rPr>
                <w:rFonts w:hint="eastAsia"/>
              </w:rPr>
              <w:t>投标供应商不存在下列任一情形：</w:t>
            </w:r>
          </w:p>
          <w:p w14:paraId="506FB82F">
            <w:pPr>
              <w:pStyle w:val="48"/>
              <w:rPr>
                <w:rFonts w:hint="eastAsia"/>
              </w:rPr>
            </w:pPr>
            <w:r>
              <w:rPr>
                <w:rFonts w:hint="eastAsia"/>
              </w:rPr>
              <w:t>（1）不同投标供应商的投标文件由同一单位或者个人编制；</w:t>
            </w:r>
          </w:p>
          <w:p w14:paraId="31984C91">
            <w:pPr>
              <w:pStyle w:val="48"/>
              <w:rPr>
                <w:rFonts w:hint="eastAsia"/>
              </w:rPr>
            </w:pPr>
            <w:r>
              <w:rPr>
                <w:rFonts w:hint="eastAsia"/>
              </w:rPr>
              <w:t>（2）不同投标供应商委托同一单位或者个人办理投标事宜；</w:t>
            </w:r>
          </w:p>
          <w:p w14:paraId="5B5176B1">
            <w:pPr>
              <w:pStyle w:val="48"/>
              <w:rPr>
                <w:rFonts w:hint="eastAsia"/>
              </w:rPr>
            </w:pPr>
            <w:r>
              <w:rPr>
                <w:rFonts w:hint="eastAsia"/>
              </w:rPr>
              <w:t>（3）不同投标供应商的投标文件载明的项目管理成员或者联系人员为同一人；</w:t>
            </w:r>
          </w:p>
          <w:p w14:paraId="0FF3E4A6">
            <w:pPr>
              <w:pStyle w:val="48"/>
              <w:rPr>
                <w:rFonts w:hint="eastAsia"/>
              </w:rPr>
            </w:pPr>
            <w:r>
              <w:rPr>
                <w:rFonts w:hint="eastAsia"/>
              </w:rPr>
              <w:t>（4）不同投标供应商的投标文件异常一致或者投标报价呈规律性差异；</w:t>
            </w:r>
          </w:p>
          <w:p w14:paraId="240A175C">
            <w:pPr>
              <w:pStyle w:val="48"/>
              <w:rPr>
                <w:rFonts w:hint="eastAsia"/>
              </w:rPr>
            </w:pPr>
            <w:r>
              <w:rPr>
                <w:rFonts w:hint="eastAsia"/>
              </w:rPr>
              <w:t>（5）不同投标供应商的投标文件相互混装；</w:t>
            </w:r>
          </w:p>
          <w:p w14:paraId="6693BD78">
            <w:pPr>
              <w:pStyle w:val="48"/>
              <w:rPr>
                <w:rFonts w:hint="eastAsia"/>
                <w:lang w:val="zh-CN"/>
              </w:rPr>
            </w:pPr>
            <w:r>
              <w:rPr>
                <w:rFonts w:hint="eastAsia" w:cs="宋体"/>
              </w:rPr>
              <w:t>（</w:t>
            </w:r>
            <w:r>
              <w:rPr>
                <w:rFonts w:cs="宋体"/>
              </w:rPr>
              <w:t>6</w:t>
            </w:r>
            <w:r>
              <w:rPr>
                <w:rFonts w:hint="eastAsia" w:cs="宋体"/>
              </w:rPr>
              <w:t>）</w:t>
            </w:r>
            <w:r>
              <w:rPr>
                <w:rFonts w:hint="eastAsia"/>
                <w:lang w:val="zh-CN"/>
              </w:rPr>
              <w:t>不同投标供应商使用同一电脑（机器特征值一致：如</w:t>
            </w:r>
            <w:r>
              <w:rPr>
                <w:lang w:val="zh-CN"/>
              </w:rPr>
              <w:t>MAC地址等）或使用同一电子密钥，编制或上传电子投标文件。</w:t>
            </w:r>
          </w:p>
        </w:tc>
      </w:tr>
      <w:tr w14:paraId="75C23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0" w:type="dxa"/>
            <w:shd w:val="clear" w:color="auto" w:fill="auto"/>
            <w:vAlign w:val="center"/>
          </w:tcPr>
          <w:p w14:paraId="08B986FC">
            <w:pPr>
              <w:pStyle w:val="48"/>
              <w:numPr>
                <w:ilvl w:val="0"/>
                <w:numId w:val="21"/>
              </w:numPr>
              <w:rPr>
                <w:rFonts w:hint="eastAsia"/>
                <w:lang w:val="zh-CN"/>
              </w:rPr>
            </w:pPr>
          </w:p>
        </w:tc>
        <w:tc>
          <w:tcPr>
            <w:tcW w:w="2117" w:type="dxa"/>
            <w:vAlign w:val="center"/>
          </w:tcPr>
          <w:p w14:paraId="2373C3B6">
            <w:pPr>
              <w:pStyle w:val="48"/>
              <w:rPr>
                <w:rFonts w:hint="eastAsia"/>
                <w:lang w:val="zh-CN"/>
              </w:rPr>
            </w:pPr>
            <w:r>
              <w:rPr>
                <w:lang w:val="zh-CN"/>
              </w:rPr>
              <w:t>其他</w:t>
            </w:r>
            <w:r>
              <w:rPr>
                <w:rFonts w:hint="eastAsia"/>
                <w:lang w:val="zh-CN"/>
              </w:rPr>
              <w:t>无效情形</w:t>
            </w:r>
          </w:p>
        </w:tc>
        <w:tc>
          <w:tcPr>
            <w:tcW w:w="5399" w:type="dxa"/>
            <w:shd w:val="clear" w:color="auto" w:fill="auto"/>
            <w:vAlign w:val="center"/>
          </w:tcPr>
          <w:p w14:paraId="2BB27E77">
            <w:pPr>
              <w:pStyle w:val="48"/>
              <w:rPr>
                <w:rFonts w:hint="eastAsia"/>
                <w:lang w:val="zh-CN"/>
              </w:rPr>
            </w:pPr>
            <w:r>
              <w:rPr>
                <w:rFonts w:hint="eastAsia"/>
                <w:lang w:val="zh-CN"/>
              </w:rPr>
              <w:t>不存在</w:t>
            </w:r>
            <w:r>
              <w:rPr>
                <w:lang w:val="zh-CN"/>
              </w:rPr>
              <w:t>法律、法规</w:t>
            </w:r>
            <w:r>
              <w:rPr>
                <w:rFonts w:hint="eastAsia"/>
                <w:lang w:val="zh-CN"/>
              </w:rPr>
              <w:t>和招标文件</w:t>
            </w:r>
            <w:r>
              <w:rPr>
                <w:lang w:val="zh-CN"/>
              </w:rPr>
              <w:t>规定的其他</w:t>
            </w:r>
            <w:r>
              <w:rPr>
                <w:rFonts w:hint="eastAsia"/>
                <w:b/>
                <w:bCs/>
                <w:lang w:val="zh-CN"/>
              </w:rPr>
              <w:t>无效投标</w:t>
            </w:r>
            <w:r>
              <w:rPr>
                <w:lang w:val="zh-CN"/>
              </w:rPr>
              <w:t>情形。</w:t>
            </w:r>
          </w:p>
        </w:tc>
      </w:tr>
    </w:tbl>
    <w:p w14:paraId="09BE81E3">
      <w:pPr>
        <w:pStyle w:val="5"/>
        <w:numPr>
          <w:ilvl w:val="0"/>
          <w:numId w:val="20"/>
        </w:numPr>
        <w:rPr>
          <w:rFonts w:hint="eastAsia"/>
          <w:lang w:val="zh-CN"/>
        </w:rPr>
      </w:pPr>
      <w:bookmarkStart w:id="321" w:name="_Toc155185917"/>
      <w:bookmarkStart w:id="322" w:name="_Toc9674"/>
      <w:r>
        <w:rPr>
          <w:rFonts w:hint="eastAsia"/>
          <w:lang w:val="zh-CN"/>
        </w:rPr>
        <w:t>评分标准</w:t>
      </w:r>
      <w:bookmarkEnd w:id="321"/>
      <w:r>
        <w:rPr>
          <w:rFonts w:hint="eastAsia"/>
          <w:lang w:val="zh-CN"/>
        </w:rPr>
        <w:t>【综合评标法适用】</w:t>
      </w:r>
      <w:bookmarkEnd w:id="322"/>
    </w:p>
    <w:tbl>
      <w:tblPr>
        <w:tblStyle w:val="31"/>
        <w:tblW w:w="89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6"/>
        <w:gridCol w:w="1183"/>
        <w:gridCol w:w="881"/>
        <w:gridCol w:w="913"/>
        <w:gridCol w:w="4788"/>
      </w:tblGrid>
      <w:tr w14:paraId="1AA27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216" w:type="dxa"/>
            <w:shd w:val="clear" w:color="auto" w:fill="D8D8D8" w:themeFill="background1" w:themeFillShade="D9"/>
            <w:vAlign w:val="center"/>
          </w:tcPr>
          <w:p w14:paraId="5F3DE8EC">
            <w:pPr>
              <w:pStyle w:val="48"/>
              <w:jc w:val="center"/>
              <w:rPr>
                <w:rFonts w:hint="eastAsia"/>
                <w:b/>
                <w:bCs/>
              </w:rPr>
            </w:pPr>
            <w:r>
              <w:rPr>
                <w:rFonts w:hint="eastAsia"/>
                <w:b/>
                <w:bCs/>
              </w:rPr>
              <w:t>评标项目</w:t>
            </w:r>
          </w:p>
        </w:tc>
        <w:tc>
          <w:tcPr>
            <w:tcW w:w="1183" w:type="dxa"/>
            <w:shd w:val="clear" w:color="auto" w:fill="D8D8D8" w:themeFill="background1" w:themeFillShade="D9"/>
            <w:vAlign w:val="center"/>
          </w:tcPr>
          <w:p w14:paraId="0DDB663E">
            <w:pPr>
              <w:pStyle w:val="48"/>
              <w:jc w:val="center"/>
              <w:rPr>
                <w:rFonts w:hint="eastAsia"/>
                <w:b/>
                <w:bCs/>
              </w:rPr>
            </w:pPr>
            <w:r>
              <w:rPr>
                <w:rFonts w:hint="eastAsia"/>
                <w:b/>
                <w:bCs/>
              </w:rPr>
              <w:t>评标分项</w:t>
            </w:r>
          </w:p>
        </w:tc>
        <w:tc>
          <w:tcPr>
            <w:tcW w:w="881" w:type="dxa"/>
            <w:shd w:val="clear" w:color="auto" w:fill="D8D8D8" w:themeFill="background1" w:themeFillShade="D9"/>
            <w:vAlign w:val="center"/>
          </w:tcPr>
          <w:p w14:paraId="709FB352">
            <w:pPr>
              <w:pStyle w:val="48"/>
              <w:jc w:val="center"/>
              <w:rPr>
                <w:rFonts w:hint="eastAsia"/>
                <w:b/>
                <w:bCs/>
              </w:rPr>
            </w:pPr>
            <w:r>
              <w:rPr>
                <w:rFonts w:hint="eastAsia"/>
                <w:b/>
                <w:bCs/>
              </w:rPr>
              <w:t>分值</w:t>
            </w:r>
          </w:p>
        </w:tc>
        <w:tc>
          <w:tcPr>
            <w:tcW w:w="5701" w:type="dxa"/>
            <w:gridSpan w:val="2"/>
            <w:shd w:val="clear" w:color="auto" w:fill="D8D8D8" w:themeFill="background1" w:themeFillShade="D9"/>
            <w:vAlign w:val="center"/>
          </w:tcPr>
          <w:p w14:paraId="513B8460">
            <w:pPr>
              <w:pStyle w:val="48"/>
              <w:jc w:val="center"/>
              <w:rPr>
                <w:rFonts w:hint="eastAsia"/>
                <w:b/>
                <w:bCs/>
              </w:rPr>
            </w:pPr>
            <w:r>
              <w:rPr>
                <w:rFonts w:hint="eastAsia"/>
                <w:b/>
                <w:bCs/>
              </w:rPr>
              <w:t>子项目及分值</w:t>
            </w:r>
          </w:p>
        </w:tc>
      </w:tr>
      <w:tr w14:paraId="28615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16" w:type="dxa"/>
            <w:vAlign w:val="center"/>
          </w:tcPr>
          <w:p w14:paraId="75A07ADE">
            <w:pPr>
              <w:pStyle w:val="48"/>
              <w:rPr>
                <w:rFonts w:hint="eastAsia"/>
              </w:rPr>
            </w:pPr>
            <w:r>
              <w:rPr>
                <w:rFonts w:hint="eastAsia"/>
              </w:rPr>
              <w:t>价格部分</w:t>
            </w:r>
          </w:p>
          <w:p w14:paraId="015EF3AD">
            <w:pPr>
              <w:pStyle w:val="48"/>
              <w:rPr>
                <w:rFonts w:hint="eastAsia"/>
                <w:color w:val="FF0000"/>
              </w:rPr>
            </w:pPr>
            <w:r>
              <w:rPr>
                <w:rFonts w:hint="eastAsia"/>
              </w:rPr>
              <w:t>（</w:t>
            </w:r>
            <w:r>
              <w:rPr>
                <w:rFonts w:hint="eastAsia"/>
                <w:lang w:val="en-US" w:eastAsia="zh-CN"/>
              </w:rPr>
              <w:t>10</w:t>
            </w:r>
            <w:r>
              <w:rPr>
                <w:rFonts w:hint="eastAsia"/>
              </w:rPr>
              <w:t>分）</w:t>
            </w:r>
          </w:p>
        </w:tc>
        <w:tc>
          <w:tcPr>
            <w:tcW w:w="1183" w:type="dxa"/>
            <w:tcBorders>
              <w:bottom w:val="single" w:color="auto" w:sz="4" w:space="0"/>
            </w:tcBorders>
            <w:vAlign w:val="center"/>
          </w:tcPr>
          <w:p w14:paraId="55ED8710">
            <w:pPr>
              <w:pStyle w:val="4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投标总报价评审价</w:t>
            </w:r>
          </w:p>
        </w:tc>
        <w:tc>
          <w:tcPr>
            <w:tcW w:w="881" w:type="dxa"/>
            <w:vAlign w:val="center"/>
          </w:tcPr>
          <w:p w14:paraId="4B94F0B9">
            <w:pPr>
              <w:pStyle w:val="48"/>
              <w:jc w:val="center"/>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10</w:t>
            </w:r>
            <w:r>
              <w:rPr>
                <w:rFonts w:hint="eastAsia"/>
                <w:color w:val="000000" w:themeColor="text1"/>
                <w14:textFill>
                  <w14:solidFill>
                    <w14:schemeClr w14:val="tx1"/>
                  </w14:solidFill>
                </w14:textFill>
              </w:rPr>
              <w:t>分</w:t>
            </w:r>
          </w:p>
        </w:tc>
        <w:tc>
          <w:tcPr>
            <w:tcW w:w="5701" w:type="dxa"/>
            <w:gridSpan w:val="2"/>
            <w:vAlign w:val="center"/>
          </w:tcPr>
          <w:p w14:paraId="5EF59C70">
            <w:pPr>
              <w:adjustRightInd w:val="0"/>
              <w:snapToGrid w:val="0"/>
              <w:ind w:firstLine="480" w:firstLineChars="200"/>
              <w:jc w:val="left"/>
              <w:rPr>
                <w:rFonts w:hint="eastAsia" w:ascii="宋体" w:hAnsi="宋体" w:eastAsia="宋体" w:cstheme="minorBidi"/>
                <w:color w:val="000000" w:themeColor="text1"/>
                <w:kern w:val="2"/>
                <w:sz w:val="24"/>
                <w:szCs w:val="22"/>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2"/>
                <w:lang w:val="en-US" w:eastAsia="zh-CN" w:bidi="ar-SA"/>
                <w14:textFill>
                  <w14:solidFill>
                    <w14:schemeClr w14:val="tx1"/>
                  </w14:solidFill>
                </w14:textFill>
              </w:rPr>
              <w:t>综合评分法中的价格分统一采用低价优先法计算，即满足招标文件要求且最低的供应商的价格为评标基准价，其价格分为满分。其他供应商的价格分统一按照下列公式计算：</w:t>
            </w:r>
          </w:p>
          <w:p w14:paraId="04DCE845">
            <w:pPr>
              <w:adjustRightInd w:val="0"/>
              <w:snapToGrid w:val="0"/>
              <w:jc w:val="left"/>
              <w:rPr>
                <w:rFonts w:hint="eastAsia" w:ascii="宋体" w:hAnsi="宋体" w:eastAsia="宋体" w:cstheme="minorBidi"/>
                <w:color w:val="000000" w:themeColor="text1"/>
                <w:kern w:val="2"/>
                <w:sz w:val="24"/>
                <w:szCs w:val="22"/>
                <w:lang w:val="en-US" w:eastAsia="zh-CN" w:bidi="ar-SA"/>
                <w14:textFill>
                  <w14:solidFill>
                    <w14:schemeClr w14:val="tx1"/>
                  </w14:solidFill>
                </w14:textFill>
              </w:rPr>
            </w:pPr>
            <w:r>
              <w:rPr>
                <w:rFonts w:hint="eastAsia" w:ascii="宋体" w:hAnsi="宋体" w:eastAsia="宋体" w:cstheme="minorBidi"/>
                <w:color w:val="000000" w:themeColor="text1"/>
                <w:kern w:val="2"/>
                <w:sz w:val="24"/>
                <w:szCs w:val="22"/>
                <w:lang w:val="en-US" w:eastAsia="zh-CN" w:bidi="ar-SA"/>
                <w14:textFill>
                  <w14:solidFill>
                    <w14:schemeClr w14:val="tx1"/>
                  </w14:solidFill>
                </w14:textFill>
              </w:rPr>
              <w:t>报价得分=（评标基准价/投标报价）×</w:t>
            </w:r>
            <w:r>
              <w:rPr>
                <w:rFonts w:hint="eastAsia" w:cstheme="minorBidi"/>
                <w:color w:val="000000" w:themeColor="text1"/>
                <w:kern w:val="2"/>
                <w:sz w:val="24"/>
                <w:szCs w:val="22"/>
                <w:lang w:val="en-US" w:eastAsia="zh-CN" w:bidi="ar-SA"/>
                <w14:textFill>
                  <w14:solidFill>
                    <w14:schemeClr w14:val="tx1"/>
                  </w14:solidFill>
                </w14:textFill>
              </w:rPr>
              <w:t>1</w:t>
            </w:r>
            <w:r>
              <w:rPr>
                <w:rFonts w:hint="eastAsia" w:ascii="宋体" w:hAnsi="宋体" w:eastAsia="宋体" w:cstheme="minorBidi"/>
                <w:color w:val="000000" w:themeColor="text1"/>
                <w:kern w:val="2"/>
                <w:sz w:val="24"/>
                <w:szCs w:val="22"/>
                <w:lang w:val="en-US" w:eastAsia="zh-CN" w:bidi="ar-SA"/>
                <w14:textFill>
                  <w14:solidFill>
                    <w14:schemeClr w14:val="tx1"/>
                  </w14:solidFill>
                </w14:textFill>
              </w:rPr>
              <w:t>0</w:t>
            </w:r>
          </w:p>
          <w:p w14:paraId="595EEBDC">
            <w:pPr>
              <w:pStyle w:val="48"/>
              <w:spacing w:line="360" w:lineRule="auto"/>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备注：</w:t>
            </w:r>
            <w:r>
              <w:rPr>
                <w:rFonts w:hint="eastAsia"/>
                <w:color w:val="000000" w:themeColor="text1"/>
                <w:lang w:val="en-US" w:eastAsia="zh-CN"/>
                <w14:textFill>
                  <w14:solidFill>
                    <w14:schemeClr w14:val="tx1"/>
                  </w14:solidFill>
                </w14:textFill>
              </w:rPr>
              <w:t>本项目为专门面向中小企业采购，</w:t>
            </w:r>
            <w:r>
              <w:rPr>
                <w:rFonts w:hint="eastAsia"/>
                <w:color w:val="000000" w:themeColor="text1"/>
                <w14:textFill>
                  <w14:solidFill>
                    <w14:schemeClr w14:val="tx1"/>
                  </w14:solidFill>
                </w14:textFill>
              </w:rPr>
              <w:t>在评审时</w:t>
            </w:r>
            <w:r>
              <w:rPr>
                <w:rFonts w:hint="eastAsia"/>
                <w:color w:val="000000" w:themeColor="text1"/>
                <w:lang w:val="en-US" w:eastAsia="zh-CN"/>
                <w14:textFill>
                  <w14:solidFill>
                    <w14:schemeClr w14:val="tx1"/>
                  </w14:solidFill>
                </w14:textFill>
              </w:rPr>
              <w:t>不再执行</w:t>
            </w:r>
            <w:r>
              <w:rPr>
                <w:rFonts w:hint="eastAsia"/>
                <w:color w:val="000000" w:themeColor="text1"/>
                <w14:textFill>
                  <w14:solidFill>
                    <w14:schemeClr w14:val="tx1"/>
                  </w14:solidFill>
                </w14:textFill>
              </w:rPr>
              <w:t>价格</w:t>
            </w:r>
            <w:r>
              <w:rPr>
                <w:rFonts w:hint="eastAsia"/>
                <w:color w:val="000000" w:themeColor="text1"/>
                <w:lang w:val="en-US" w:eastAsia="zh-CN"/>
                <w14:textFill>
                  <w14:solidFill>
                    <w14:schemeClr w14:val="tx1"/>
                  </w14:solidFill>
                </w14:textFill>
              </w:rPr>
              <w:t>折扣</w:t>
            </w:r>
            <w:r>
              <w:rPr>
                <w:rFonts w:hint="eastAsia"/>
                <w:color w:val="000000" w:themeColor="text1"/>
                <w:lang w:eastAsia="zh-CN"/>
                <w14:textFill>
                  <w14:solidFill>
                    <w14:schemeClr w14:val="tx1"/>
                  </w14:solidFill>
                </w14:textFill>
              </w:rPr>
              <w:t>。</w:t>
            </w:r>
          </w:p>
        </w:tc>
      </w:tr>
      <w:tr w14:paraId="53778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16" w:type="dxa"/>
            <w:vMerge w:val="restart"/>
            <w:vAlign w:val="center"/>
          </w:tcPr>
          <w:p w14:paraId="3D677E3B">
            <w:pPr>
              <w:pStyle w:val="48"/>
              <w:rPr>
                <w:rFonts w:hint="eastAsia"/>
              </w:rPr>
            </w:pPr>
            <w:r>
              <w:rPr>
                <w:rFonts w:hint="eastAsia"/>
              </w:rPr>
              <w:t>技术</w:t>
            </w:r>
            <w:r>
              <w:rPr>
                <w:rFonts w:hint="eastAsia"/>
                <w:lang w:eastAsia="zh-CN"/>
              </w:rPr>
              <w:t>、</w:t>
            </w:r>
            <w:r>
              <w:rPr>
                <w:rFonts w:hint="eastAsia"/>
                <w:lang w:val="en-US" w:eastAsia="zh-CN"/>
              </w:rPr>
              <w:t>商务</w:t>
            </w:r>
            <w:r>
              <w:rPr>
                <w:rFonts w:hint="eastAsia"/>
              </w:rPr>
              <w:t>部分</w:t>
            </w:r>
          </w:p>
          <w:p w14:paraId="605BBFA1">
            <w:pPr>
              <w:pStyle w:val="48"/>
              <w:rPr>
                <w:rFonts w:hint="eastAsia"/>
              </w:rPr>
            </w:pPr>
            <w:r>
              <w:rPr>
                <w:rFonts w:hint="eastAsia"/>
              </w:rPr>
              <w:t>（</w:t>
            </w:r>
            <w:r>
              <w:rPr>
                <w:rFonts w:hint="eastAsia"/>
                <w:lang w:val="en-US" w:eastAsia="zh-CN"/>
              </w:rPr>
              <w:t>90</w:t>
            </w:r>
            <w:r>
              <w:rPr>
                <w:rFonts w:hint="eastAsia"/>
              </w:rPr>
              <w:t>分）</w:t>
            </w:r>
          </w:p>
        </w:tc>
        <w:tc>
          <w:tcPr>
            <w:tcW w:w="1183" w:type="dxa"/>
            <w:tcBorders>
              <w:top w:val="single" w:color="auto" w:sz="4" w:space="0"/>
            </w:tcBorders>
            <w:vAlign w:val="center"/>
          </w:tcPr>
          <w:p w14:paraId="7D5AABC9">
            <w:pPr>
              <w:pStyle w:val="48"/>
              <w:jc w:val="center"/>
              <w:rPr>
                <w:rFonts w:hint="eastAsia"/>
              </w:rPr>
            </w:pPr>
            <w:r>
              <w:rPr>
                <w:rFonts w:hint="eastAsia" w:ascii="宋体" w:hAnsi="宋体" w:eastAsia="宋体" w:cstheme="minorBidi"/>
                <w:kern w:val="2"/>
                <w:sz w:val="24"/>
                <w:szCs w:val="22"/>
                <w:lang w:val="en-US" w:eastAsia="zh-CN" w:bidi="ar-SA"/>
              </w:rPr>
              <w:t>项目前期调研情况分析评审</w:t>
            </w:r>
          </w:p>
        </w:tc>
        <w:tc>
          <w:tcPr>
            <w:tcW w:w="881" w:type="dxa"/>
            <w:vAlign w:val="center"/>
          </w:tcPr>
          <w:p w14:paraId="1A7D8DB9">
            <w:pPr>
              <w:pStyle w:val="48"/>
              <w:jc w:val="center"/>
              <w:rPr>
                <w:rFonts w:hint="eastAsia"/>
              </w:rPr>
            </w:pPr>
            <w:r>
              <w:rPr>
                <w:rFonts w:hint="eastAsia"/>
              </w:rPr>
              <w:t>1</w:t>
            </w:r>
            <w:r>
              <w:rPr>
                <w:rFonts w:hint="eastAsia"/>
                <w:lang w:val="en-US" w:eastAsia="zh-CN"/>
              </w:rPr>
              <w:t>0</w:t>
            </w:r>
            <w:r>
              <w:rPr>
                <w:rFonts w:hint="eastAsia"/>
              </w:rPr>
              <w:t>分</w:t>
            </w:r>
          </w:p>
        </w:tc>
        <w:tc>
          <w:tcPr>
            <w:tcW w:w="5701" w:type="dxa"/>
            <w:gridSpan w:val="2"/>
            <w:vAlign w:val="center"/>
          </w:tcPr>
          <w:p w14:paraId="1830A03C">
            <w:pPr>
              <w:adjustRightInd w:val="0"/>
              <w:snapToGrid w:val="0"/>
              <w:jc w:val="left"/>
              <w:rPr>
                <w:rFonts w:hint="eastAsia" w:ascii="宋体" w:hAnsi="宋体" w:eastAsia="宋体" w:cstheme="minorBidi"/>
                <w:kern w:val="2"/>
                <w:sz w:val="24"/>
                <w:szCs w:val="22"/>
                <w:lang w:val="en-US" w:eastAsia="zh-CN" w:bidi="ar-SA"/>
              </w:rPr>
            </w:pPr>
            <w:r>
              <w:rPr>
                <w:rFonts w:hint="eastAsia" w:ascii="宋体" w:hAnsi="宋体" w:eastAsia="宋体" w:cstheme="minorBidi"/>
                <w:kern w:val="2"/>
                <w:sz w:val="24"/>
                <w:szCs w:val="22"/>
                <w:lang w:val="en-US" w:eastAsia="zh-CN" w:bidi="ar-SA"/>
              </w:rPr>
              <w:t>通过投标供应商对项目前期调研分析情况进行评分。</w:t>
            </w:r>
          </w:p>
          <w:p w14:paraId="66312F8E">
            <w:pPr>
              <w:adjustRightInd w:val="0"/>
              <w:snapToGrid w:val="0"/>
              <w:jc w:val="left"/>
              <w:rPr>
                <w:rFonts w:hint="eastAsia" w:ascii="宋体" w:hAnsi="宋体" w:eastAsia="宋体" w:cstheme="minorBidi"/>
                <w:kern w:val="2"/>
                <w:sz w:val="24"/>
                <w:szCs w:val="22"/>
                <w:lang w:val="en-US" w:eastAsia="zh-CN" w:bidi="ar-SA"/>
              </w:rPr>
            </w:pPr>
            <w:r>
              <w:rPr>
                <w:rFonts w:hint="eastAsia" w:ascii="宋体" w:hAnsi="宋体" w:eastAsia="宋体" w:cstheme="minorBidi"/>
                <w:b/>
                <w:bCs/>
                <w:kern w:val="2"/>
                <w:sz w:val="24"/>
                <w:szCs w:val="22"/>
                <w:lang w:val="en-US" w:eastAsia="zh-CN" w:bidi="ar-SA"/>
              </w:rPr>
              <w:t>第一档次</w:t>
            </w:r>
            <w:r>
              <w:rPr>
                <w:rFonts w:hint="eastAsia" w:cstheme="minorBidi"/>
                <w:b/>
                <w:bCs/>
                <w:kern w:val="2"/>
                <w:sz w:val="24"/>
                <w:szCs w:val="22"/>
                <w:lang w:val="en-US" w:eastAsia="zh-CN" w:bidi="ar-SA"/>
              </w:rPr>
              <w:t>（10分）</w:t>
            </w:r>
            <w:r>
              <w:rPr>
                <w:rFonts w:hint="eastAsia" w:ascii="宋体" w:hAnsi="宋体" w:eastAsia="宋体" w:cstheme="minorBidi"/>
                <w:b/>
                <w:bCs/>
                <w:kern w:val="2"/>
                <w:sz w:val="24"/>
                <w:szCs w:val="22"/>
                <w:lang w:val="en-US" w:eastAsia="zh-CN" w:bidi="ar-SA"/>
              </w:rPr>
              <w:t>：</w:t>
            </w:r>
            <w:r>
              <w:rPr>
                <w:rFonts w:hint="eastAsia" w:ascii="宋体" w:hAnsi="宋体" w:eastAsia="宋体" w:cstheme="minorBidi"/>
                <w:kern w:val="2"/>
                <w:sz w:val="24"/>
                <w:szCs w:val="22"/>
                <w:lang w:val="en-US" w:eastAsia="zh-CN" w:bidi="ar-SA"/>
              </w:rPr>
              <w:t>投标供应商对项目整体情况进行了全面的调研、分析，能准确的掌握项目实施范围、实施的难点、关键点的得；</w:t>
            </w:r>
          </w:p>
          <w:p w14:paraId="4CE6BCDC">
            <w:pPr>
              <w:adjustRightInd w:val="0"/>
              <w:snapToGrid w:val="0"/>
              <w:jc w:val="left"/>
              <w:rPr>
                <w:rFonts w:hint="eastAsia" w:ascii="宋体" w:hAnsi="宋体" w:eastAsia="宋体" w:cstheme="minorBidi"/>
                <w:kern w:val="2"/>
                <w:sz w:val="24"/>
                <w:szCs w:val="22"/>
                <w:lang w:val="en-US" w:eastAsia="zh-CN" w:bidi="ar-SA"/>
              </w:rPr>
            </w:pPr>
            <w:r>
              <w:rPr>
                <w:rFonts w:hint="eastAsia" w:ascii="宋体" w:hAnsi="宋体" w:eastAsia="宋体" w:cstheme="minorBidi"/>
                <w:b/>
                <w:bCs/>
                <w:kern w:val="2"/>
                <w:sz w:val="24"/>
                <w:szCs w:val="22"/>
                <w:lang w:val="en-US" w:eastAsia="zh-CN" w:bidi="ar-SA"/>
              </w:rPr>
              <w:t>第二档次</w:t>
            </w:r>
            <w:r>
              <w:rPr>
                <w:rFonts w:hint="eastAsia" w:cstheme="minorBidi"/>
                <w:b/>
                <w:bCs/>
                <w:kern w:val="2"/>
                <w:sz w:val="24"/>
                <w:szCs w:val="22"/>
                <w:lang w:val="en-US" w:eastAsia="zh-CN" w:bidi="ar-SA"/>
              </w:rPr>
              <w:t>（7分）</w:t>
            </w:r>
            <w:r>
              <w:rPr>
                <w:rFonts w:hint="eastAsia" w:ascii="宋体" w:hAnsi="宋体" w:eastAsia="宋体" w:cstheme="minorBidi"/>
                <w:b/>
                <w:bCs/>
                <w:kern w:val="2"/>
                <w:sz w:val="24"/>
                <w:szCs w:val="22"/>
                <w:lang w:val="en-US" w:eastAsia="zh-CN" w:bidi="ar-SA"/>
              </w:rPr>
              <w:t>：</w:t>
            </w:r>
            <w:r>
              <w:rPr>
                <w:rFonts w:hint="eastAsia" w:ascii="宋体" w:hAnsi="宋体" w:eastAsia="宋体" w:cstheme="minorBidi"/>
                <w:kern w:val="2"/>
                <w:sz w:val="24"/>
                <w:szCs w:val="22"/>
                <w:lang w:val="en-US" w:eastAsia="zh-CN" w:bidi="ar-SA"/>
              </w:rPr>
              <w:t>投标供应商对项目整体情况进行了全面的调研、分析，能较好的掌握项目实施范围、实施的难点、关键点的得；</w:t>
            </w:r>
          </w:p>
          <w:p w14:paraId="3B642CF1">
            <w:pPr>
              <w:adjustRightInd w:val="0"/>
              <w:snapToGrid w:val="0"/>
              <w:jc w:val="left"/>
              <w:rPr>
                <w:rFonts w:hint="eastAsia" w:ascii="宋体" w:hAnsi="宋体" w:eastAsia="宋体" w:cstheme="minorBidi"/>
                <w:kern w:val="2"/>
                <w:sz w:val="24"/>
                <w:szCs w:val="22"/>
                <w:lang w:val="en-US" w:eastAsia="zh-CN" w:bidi="ar-SA"/>
              </w:rPr>
            </w:pPr>
            <w:r>
              <w:rPr>
                <w:rFonts w:hint="eastAsia" w:ascii="宋体" w:hAnsi="宋体" w:eastAsia="宋体" w:cstheme="minorBidi"/>
                <w:b/>
                <w:bCs/>
                <w:kern w:val="2"/>
                <w:sz w:val="24"/>
                <w:szCs w:val="22"/>
                <w:lang w:val="en-US" w:eastAsia="zh-CN" w:bidi="ar-SA"/>
              </w:rPr>
              <w:t>第三档次</w:t>
            </w:r>
            <w:r>
              <w:rPr>
                <w:rFonts w:hint="eastAsia" w:cstheme="minorBidi"/>
                <w:b/>
                <w:bCs/>
                <w:kern w:val="2"/>
                <w:sz w:val="24"/>
                <w:szCs w:val="22"/>
                <w:lang w:val="en-US" w:eastAsia="zh-CN" w:bidi="ar-SA"/>
              </w:rPr>
              <w:t>（4分）</w:t>
            </w:r>
            <w:r>
              <w:rPr>
                <w:rFonts w:hint="eastAsia" w:ascii="宋体" w:hAnsi="宋体" w:eastAsia="宋体" w:cstheme="minorBidi"/>
                <w:b/>
                <w:bCs/>
                <w:kern w:val="2"/>
                <w:sz w:val="24"/>
                <w:szCs w:val="22"/>
                <w:lang w:val="en-US" w:eastAsia="zh-CN" w:bidi="ar-SA"/>
              </w:rPr>
              <w:t>：</w:t>
            </w:r>
            <w:r>
              <w:rPr>
                <w:rFonts w:hint="eastAsia" w:ascii="宋体" w:hAnsi="宋体" w:eastAsia="宋体" w:cstheme="minorBidi"/>
                <w:kern w:val="2"/>
                <w:sz w:val="24"/>
                <w:szCs w:val="22"/>
                <w:lang w:val="en-US" w:eastAsia="zh-CN" w:bidi="ar-SA"/>
              </w:rPr>
              <w:t>投标供应商对项目整体情况进行了全面的调研、分析，能基本掌握项目实施范围、实施的难点、关键点的得；</w:t>
            </w:r>
          </w:p>
          <w:p w14:paraId="3EAEE98F">
            <w:pPr>
              <w:adjustRightInd w:val="0"/>
              <w:snapToGrid w:val="0"/>
              <w:jc w:val="left"/>
              <w:rPr>
                <w:rFonts w:hint="eastAsia" w:ascii="宋体" w:hAnsi="宋体" w:eastAsia="宋体" w:cstheme="minorBidi"/>
                <w:kern w:val="2"/>
                <w:sz w:val="24"/>
                <w:szCs w:val="22"/>
                <w:lang w:val="en-US" w:eastAsia="zh-CN" w:bidi="ar-SA"/>
              </w:rPr>
            </w:pPr>
            <w:r>
              <w:rPr>
                <w:rFonts w:hint="eastAsia" w:ascii="宋体" w:hAnsi="宋体" w:eastAsia="宋体" w:cstheme="minorBidi"/>
                <w:b/>
                <w:bCs/>
                <w:kern w:val="2"/>
                <w:sz w:val="24"/>
                <w:szCs w:val="22"/>
                <w:lang w:val="en-US" w:eastAsia="zh-CN" w:bidi="ar-SA"/>
              </w:rPr>
              <w:t>第四档次</w:t>
            </w:r>
            <w:r>
              <w:rPr>
                <w:rFonts w:hint="eastAsia" w:cstheme="minorBidi"/>
                <w:b/>
                <w:bCs/>
                <w:kern w:val="2"/>
                <w:sz w:val="24"/>
                <w:szCs w:val="22"/>
                <w:lang w:val="en-US" w:eastAsia="zh-CN" w:bidi="ar-SA"/>
              </w:rPr>
              <w:t>（1分）</w:t>
            </w:r>
            <w:r>
              <w:rPr>
                <w:rFonts w:hint="eastAsia" w:ascii="宋体" w:hAnsi="宋体" w:eastAsia="宋体" w:cstheme="minorBidi"/>
                <w:b/>
                <w:bCs/>
                <w:kern w:val="2"/>
                <w:sz w:val="24"/>
                <w:szCs w:val="22"/>
                <w:lang w:val="en-US" w:eastAsia="zh-CN" w:bidi="ar-SA"/>
              </w:rPr>
              <w:t>：</w:t>
            </w:r>
            <w:r>
              <w:rPr>
                <w:rFonts w:hint="eastAsia" w:ascii="宋体" w:hAnsi="宋体" w:eastAsia="宋体" w:cstheme="minorBidi"/>
                <w:kern w:val="2"/>
                <w:sz w:val="24"/>
                <w:szCs w:val="22"/>
                <w:lang w:val="en-US" w:eastAsia="zh-CN" w:bidi="ar-SA"/>
              </w:rPr>
              <w:t>投标供应商对项目整体情况进行了调研、分析，但基本未掌握项目实施范围、实施的难点、关键点的得；</w:t>
            </w:r>
          </w:p>
          <w:p w14:paraId="151CD78A">
            <w:pPr>
              <w:adjustRightInd w:val="0"/>
              <w:snapToGrid w:val="0"/>
              <w:ind w:firstLine="241" w:firstLineChars="100"/>
              <w:jc w:val="left"/>
              <w:rPr>
                <w:rFonts w:hint="eastAsia"/>
              </w:rPr>
            </w:pPr>
            <w:r>
              <w:rPr>
                <w:rFonts w:hint="eastAsia" w:cstheme="minorBidi"/>
                <w:b/>
                <w:bCs/>
                <w:kern w:val="2"/>
                <w:sz w:val="24"/>
                <w:szCs w:val="22"/>
                <w:lang w:val="en-US" w:eastAsia="zh-CN" w:bidi="ar-SA"/>
              </w:rPr>
              <w:t>注</w:t>
            </w:r>
            <w:r>
              <w:rPr>
                <w:rFonts w:hint="eastAsia" w:ascii="宋体" w:hAnsi="宋体" w:eastAsia="宋体" w:cstheme="minorBidi"/>
                <w:b/>
                <w:bCs/>
                <w:kern w:val="2"/>
                <w:sz w:val="24"/>
                <w:szCs w:val="22"/>
                <w:lang w:val="en-US" w:eastAsia="zh-CN" w:bidi="ar-SA"/>
              </w:rPr>
              <w:t>：</w:t>
            </w:r>
            <w:r>
              <w:rPr>
                <w:rFonts w:hint="eastAsia" w:ascii="宋体" w:hAnsi="宋体" w:eastAsia="宋体" w:cstheme="minorBidi"/>
                <w:kern w:val="2"/>
                <w:sz w:val="24"/>
                <w:szCs w:val="22"/>
                <w:lang w:val="en-US" w:eastAsia="zh-CN" w:bidi="ar-SA"/>
              </w:rPr>
              <w:t>投标供应商未对项目整体情况进行了调研、分析的不得分。</w:t>
            </w:r>
          </w:p>
        </w:tc>
      </w:tr>
      <w:tr w14:paraId="619C5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4" w:hRule="atLeast"/>
          <w:jc w:val="center"/>
        </w:trPr>
        <w:tc>
          <w:tcPr>
            <w:tcW w:w="1216" w:type="dxa"/>
            <w:vMerge w:val="continue"/>
            <w:vAlign w:val="center"/>
          </w:tcPr>
          <w:p w14:paraId="6053BD15">
            <w:pPr>
              <w:pStyle w:val="48"/>
              <w:rPr>
                <w:rFonts w:hint="eastAsia"/>
              </w:rPr>
            </w:pPr>
          </w:p>
        </w:tc>
        <w:tc>
          <w:tcPr>
            <w:tcW w:w="1183" w:type="dxa"/>
            <w:vMerge w:val="restart"/>
            <w:tcBorders>
              <w:top w:val="single" w:color="auto" w:sz="4" w:space="0"/>
            </w:tcBorders>
            <w:vAlign w:val="center"/>
          </w:tcPr>
          <w:p w14:paraId="73114C2E">
            <w:pPr>
              <w:pStyle w:val="48"/>
              <w:jc w:val="center"/>
              <w:rPr>
                <w:rFonts w:hint="eastAsia"/>
              </w:rPr>
            </w:pPr>
            <w:r>
              <w:rPr>
                <w:rFonts w:hint="eastAsia" w:ascii="宋体" w:hAnsi="宋体" w:eastAsia="宋体" w:cstheme="minorBidi"/>
                <w:color w:val="auto"/>
                <w:kern w:val="2"/>
                <w:sz w:val="24"/>
                <w:szCs w:val="22"/>
                <w:lang w:val="en-US" w:eastAsia="zh-CN" w:bidi="ar-SA"/>
              </w:rPr>
              <w:t>项目作业方案评审</w:t>
            </w:r>
          </w:p>
        </w:tc>
        <w:tc>
          <w:tcPr>
            <w:tcW w:w="881" w:type="dxa"/>
            <w:vMerge w:val="restart"/>
            <w:vAlign w:val="center"/>
          </w:tcPr>
          <w:p w14:paraId="0D1DF3DD">
            <w:pPr>
              <w:jc w:val="center"/>
              <w:rPr>
                <w:rFonts w:hint="eastAsia"/>
              </w:rPr>
            </w:pPr>
            <w:r>
              <w:rPr>
                <w:rFonts w:hint="eastAsia"/>
                <w:lang w:val="en-US" w:eastAsia="zh-CN"/>
              </w:rPr>
              <w:t>20</w:t>
            </w:r>
            <w:r>
              <w:rPr>
                <w:rFonts w:hint="eastAsia"/>
              </w:rPr>
              <w:t>分</w:t>
            </w:r>
          </w:p>
        </w:tc>
        <w:tc>
          <w:tcPr>
            <w:tcW w:w="913" w:type="dxa"/>
            <w:vAlign w:val="top"/>
          </w:tcPr>
          <w:p w14:paraId="60BD463A">
            <w:pPr>
              <w:jc w:val="center"/>
              <w:rPr>
                <w:rFonts w:hint="eastAsia"/>
                <w:color w:val="000000" w:themeColor="text1"/>
                <w:lang w:val="en-US" w:eastAsia="zh-CN"/>
                <w14:textFill>
                  <w14:solidFill>
                    <w14:schemeClr w14:val="tx1"/>
                  </w14:solidFill>
                </w14:textFill>
              </w:rPr>
            </w:pPr>
          </w:p>
          <w:p w14:paraId="1C1E2B7D">
            <w:pPr>
              <w:jc w:val="center"/>
              <w:rPr>
                <w:rFonts w:hint="eastAsia"/>
                <w:color w:val="000000" w:themeColor="text1"/>
                <w:lang w:val="en-US" w:eastAsia="zh-CN"/>
                <w14:textFill>
                  <w14:solidFill>
                    <w14:schemeClr w14:val="tx1"/>
                  </w14:solidFill>
                </w14:textFill>
              </w:rPr>
            </w:pPr>
          </w:p>
          <w:p w14:paraId="070F6FB8">
            <w:pPr>
              <w:jc w:val="center"/>
              <w:rPr>
                <w:rFonts w:hint="eastAsia"/>
                <w:color w:val="000000" w:themeColor="text1"/>
                <w:lang w:val="en-US" w:eastAsia="zh-CN"/>
                <w14:textFill>
                  <w14:solidFill>
                    <w14:schemeClr w14:val="tx1"/>
                  </w14:solidFill>
                </w14:textFill>
              </w:rPr>
            </w:pPr>
          </w:p>
          <w:p w14:paraId="3381444B">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清运流程与时间管理方案</w:t>
            </w:r>
          </w:p>
          <w:p w14:paraId="2A06358E">
            <w:pPr>
              <w:jc w:val="center"/>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5分</w:t>
            </w:r>
          </w:p>
        </w:tc>
        <w:tc>
          <w:tcPr>
            <w:tcW w:w="4788" w:type="dxa"/>
            <w:vAlign w:val="top"/>
          </w:tcPr>
          <w:p w14:paraId="074C582C">
            <w:pPr>
              <w:adjustRightInd w:val="0"/>
              <w:snapToGrid w:val="0"/>
              <w:ind w:right="-12" w:rightChars="-5"/>
              <w:jc w:val="left"/>
              <w:rPr>
                <w:rFonts w:hint="eastAsia" w:ascii="宋体" w:hAnsi="宋体" w:eastAsia="宋体" w:cstheme="minorBidi"/>
                <w:color w:val="000000" w:themeColor="text1"/>
                <w:kern w:val="2"/>
                <w:sz w:val="24"/>
                <w:szCs w:val="22"/>
                <w:lang w:val="en-US" w:eastAsia="zh-CN" w:bidi="ar-SA"/>
                <w14:textFill>
                  <w14:solidFill>
                    <w14:schemeClr w14:val="tx1"/>
                  </w14:solidFill>
                </w14:textFill>
              </w:rPr>
            </w:pPr>
            <w:r>
              <w:rPr>
                <w:rFonts w:hint="eastAsia" w:ascii="宋体" w:hAnsi="宋体" w:eastAsia="宋体" w:cstheme="minorBidi"/>
                <w:b/>
                <w:bCs/>
                <w:color w:val="000000" w:themeColor="text1"/>
                <w:kern w:val="2"/>
                <w:sz w:val="24"/>
                <w:szCs w:val="22"/>
                <w:lang w:val="en-US" w:eastAsia="zh-CN" w:bidi="ar-SA"/>
                <w14:textFill>
                  <w14:solidFill>
                    <w14:schemeClr w14:val="tx1"/>
                  </w14:solidFill>
                </w14:textFill>
              </w:rPr>
              <w:t>第一档次</w:t>
            </w:r>
            <w:r>
              <w:rPr>
                <w:rFonts w:hint="eastAsia" w:cstheme="minorBidi"/>
                <w:b/>
                <w:bCs/>
                <w:color w:val="000000" w:themeColor="text1"/>
                <w:kern w:val="2"/>
                <w:sz w:val="24"/>
                <w:szCs w:val="22"/>
                <w:lang w:val="en-US" w:eastAsia="zh-CN" w:bidi="ar-SA"/>
                <w14:textFill>
                  <w14:solidFill>
                    <w14:schemeClr w14:val="tx1"/>
                  </w14:solidFill>
                </w14:textFill>
              </w:rPr>
              <w:t>（5分）：</w:t>
            </w:r>
            <w:r>
              <w:rPr>
                <w:rFonts w:hint="eastAsia" w:ascii="宋体" w:hAnsi="宋体" w:eastAsia="宋体" w:cstheme="minorBidi"/>
                <w:color w:val="000000" w:themeColor="text1"/>
                <w:kern w:val="2"/>
                <w:sz w:val="24"/>
                <w:szCs w:val="22"/>
                <w:lang w:val="en-US" w:eastAsia="zh-CN" w:bidi="ar-SA"/>
                <w14:textFill>
                  <w14:solidFill>
                    <w14:schemeClr w14:val="tx1"/>
                  </w14:solidFill>
                </w14:textFill>
              </w:rPr>
              <w:t>根据集镇、行政村、自然村的地理分布，设计了最优化的清运分区，确保路线高效、无遗漏，且能同时满足</w:t>
            </w:r>
            <w:r>
              <w:rPr>
                <w:rFonts w:hint="eastAsia" w:cstheme="minorBidi"/>
                <w:color w:val="000000" w:themeColor="text1"/>
                <w:kern w:val="2"/>
                <w:sz w:val="24"/>
                <w:szCs w:val="22"/>
                <w:lang w:val="en-US" w:eastAsia="zh-CN" w:bidi="ar-SA"/>
                <w14:textFill>
                  <w14:solidFill>
                    <w14:schemeClr w14:val="tx1"/>
                  </w14:solidFill>
                </w14:textFill>
              </w:rPr>
              <w:t>采购需求</w:t>
            </w:r>
            <w:r>
              <w:rPr>
                <w:rFonts w:hint="eastAsia" w:ascii="宋体" w:hAnsi="宋体" w:eastAsia="宋体" w:cstheme="minorBidi"/>
                <w:color w:val="000000" w:themeColor="text1"/>
                <w:kern w:val="2"/>
                <w:sz w:val="24"/>
                <w:szCs w:val="22"/>
                <w:lang w:val="en-US" w:eastAsia="zh-CN" w:bidi="ar-SA"/>
                <w14:textFill>
                  <w14:solidFill>
                    <w14:schemeClr w14:val="tx1"/>
                  </w14:solidFill>
                </w14:textFill>
              </w:rPr>
              <w:t>的清运时限要求</w:t>
            </w:r>
            <w:r>
              <w:rPr>
                <w:rFonts w:hint="eastAsia" w:cstheme="minorBidi"/>
                <w:color w:val="000000" w:themeColor="text1"/>
                <w:kern w:val="2"/>
                <w:sz w:val="24"/>
                <w:szCs w:val="22"/>
                <w:lang w:val="en-US" w:eastAsia="zh-CN" w:bidi="ar-SA"/>
                <w14:textFill>
                  <w14:solidFill>
                    <w14:schemeClr w14:val="tx1"/>
                  </w14:solidFill>
                </w14:textFill>
              </w:rPr>
              <w:t>；</w:t>
            </w:r>
            <w:r>
              <w:rPr>
                <w:rFonts w:hint="eastAsia" w:ascii="宋体" w:hAnsi="宋体" w:eastAsia="宋体" w:cstheme="minorBidi"/>
                <w:color w:val="000000" w:themeColor="text1"/>
                <w:kern w:val="2"/>
                <w:sz w:val="24"/>
                <w:szCs w:val="22"/>
                <w:lang w:val="en-US" w:eastAsia="zh-CN" w:bidi="ar-SA"/>
                <w14:textFill>
                  <w14:solidFill>
                    <w14:schemeClr w14:val="tx1"/>
                  </w14:solidFill>
                </w14:textFill>
              </w:rPr>
              <w:t>制定了详细的日作业计划表，明确每辆车、每条路线的作业顺序、预计耗时和往返频次，逻辑严谨，能充分论证“日产日清”的可行性</w:t>
            </w:r>
            <w:r>
              <w:rPr>
                <w:rFonts w:hint="eastAsia" w:cstheme="minorBidi"/>
                <w:color w:val="000000" w:themeColor="text1"/>
                <w:kern w:val="2"/>
                <w:sz w:val="24"/>
                <w:szCs w:val="22"/>
                <w:lang w:val="en-US" w:eastAsia="zh-CN" w:bidi="ar-SA"/>
                <w14:textFill>
                  <w14:solidFill>
                    <w14:schemeClr w14:val="tx1"/>
                  </w14:solidFill>
                </w14:textFill>
              </w:rPr>
              <w:t>；</w:t>
            </w:r>
            <w:r>
              <w:rPr>
                <w:rFonts w:hint="eastAsia" w:ascii="宋体" w:hAnsi="宋体" w:eastAsia="宋体" w:cstheme="minorBidi"/>
                <w:color w:val="000000" w:themeColor="text1"/>
                <w:kern w:val="2"/>
                <w:sz w:val="24"/>
                <w:szCs w:val="22"/>
                <w:lang w:val="en-US" w:eastAsia="zh-CN" w:bidi="ar-SA"/>
                <w14:textFill>
                  <w14:solidFill>
                    <w14:schemeClr w14:val="tx1"/>
                  </w14:solidFill>
                </w14:textFill>
              </w:rPr>
              <w:t>说明了如何根据节假日、垃圾量季节性变化、临时新增收集点等情况，动态调整人员和车辆配置</w:t>
            </w:r>
            <w:r>
              <w:rPr>
                <w:rFonts w:hint="eastAsia" w:cstheme="minorBidi"/>
                <w:color w:val="000000" w:themeColor="text1"/>
                <w:kern w:val="2"/>
                <w:sz w:val="24"/>
                <w:szCs w:val="22"/>
                <w:lang w:val="en-US" w:eastAsia="zh-CN" w:bidi="ar-SA"/>
                <w14:textFill>
                  <w14:solidFill>
                    <w14:schemeClr w14:val="tx1"/>
                  </w14:solidFill>
                </w14:textFill>
              </w:rPr>
              <w:t>；</w:t>
            </w:r>
          </w:p>
          <w:p w14:paraId="4F3204E4">
            <w:pPr>
              <w:adjustRightInd w:val="0"/>
              <w:snapToGrid w:val="0"/>
              <w:ind w:right="185" w:rightChars="77"/>
              <w:jc w:val="left"/>
              <w:rPr>
                <w:rFonts w:hint="eastAsia" w:ascii="宋体" w:hAnsi="宋体" w:eastAsia="宋体" w:cstheme="minorBidi"/>
                <w:color w:val="000000" w:themeColor="text1"/>
                <w:kern w:val="2"/>
                <w:sz w:val="24"/>
                <w:szCs w:val="22"/>
                <w:lang w:val="en-US" w:eastAsia="zh-CN" w:bidi="ar-SA"/>
                <w14:textFill>
                  <w14:solidFill>
                    <w14:schemeClr w14:val="tx1"/>
                  </w14:solidFill>
                </w14:textFill>
              </w:rPr>
            </w:pPr>
            <w:r>
              <w:rPr>
                <w:rFonts w:hint="eastAsia" w:ascii="宋体" w:hAnsi="宋体" w:eastAsia="宋体" w:cstheme="minorBidi"/>
                <w:b/>
                <w:bCs/>
                <w:color w:val="000000" w:themeColor="text1"/>
                <w:kern w:val="2"/>
                <w:sz w:val="24"/>
                <w:szCs w:val="22"/>
                <w:lang w:val="en-US" w:eastAsia="zh-CN" w:bidi="ar-SA"/>
                <w14:textFill>
                  <w14:solidFill>
                    <w14:schemeClr w14:val="tx1"/>
                  </w14:solidFill>
                </w14:textFill>
              </w:rPr>
              <w:t>第</w:t>
            </w:r>
            <w:r>
              <w:rPr>
                <w:rFonts w:hint="eastAsia" w:cstheme="minorBidi"/>
                <w:b/>
                <w:bCs/>
                <w:color w:val="000000" w:themeColor="text1"/>
                <w:kern w:val="2"/>
                <w:sz w:val="24"/>
                <w:szCs w:val="22"/>
                <w:lang w:val="en-US" w:eastAsia="zh-CN" w:bidi="ar-SA"/>
                <w14:textFill>
                  <w14:solidFill>
                    <w14:schemeClr w14:val="tx1"/>
                  </w14:solidFill>
                </w14:textFill>
              </w:rPr>
              <w:t>二</w:t>
            </w:r>
            <w:r>
              <w:rPr>
                <w:rFonts w:hint="eastAsia" w:ascii="宋体" w:hAnsi="宋体" w:eastAsia="宋体" w:cstheme="minorBidi"/>
                <w:b/>
                <w:bCs/>
                <w:color w:val="000000" w:themeColor="text1"/>
                <w:kern w:val="2"/>
                <w:sz w:val="24"/>
                <w:szCs w:val="22"/>
                <w:lang w:val="en-US" w:eastAsia="zh-CN" w:bidi="ar-SA"/>
                <w14:textFill>
                  <w14:solidFill>
                    <w14:schemeClr w14:val="tx1"/>
                  </w14:solidFill>
                </w14:textFill>
              </w:rPr>
              <w:t>档次</w:t>
            </w:r>
            <w:r>
              <w:rPr>
                <w:rFonts w:hint="eastAsia" w:cstheme="minorBidi"/>
                <w:b/>
                <w:bCs/>
                <w:color w:val="000000" w:themeColor="text1"/>
                <w:kern w:val="2"/>
                <w:sz w:val="24"/>
                <w:szCs w:val="22"/>
                <w:lang w:val="en-US" w:eastAsia="zh-CN" w:bidi="ar-SA"/>
                <w14:textFill>
                  <w14:solidFill>
                    <w14:schemeClr w14:val="tx1"/>
                  </w14:solidFill>
                </w14:textFill>
              </w:rPr>
              <w:t>（3分）</w:t>
            </w:r>
            <w:r>
              <w:rPr>
                <w:rFonts w:hint="eastAsia" w:ascii="宋体" w:hAnsi="宋体" w:eastAsia="宋体" w:cstheme="minorBidi"/>
                <w:b/>
                <w:bCs/>
                <w:color w:val="000000" w:themeColor="text1"/>
                <w:kern w:val="2"/>
                <w:sz w:val="24"/>
                <w:szCs w:val="22"/>
                <w:lang w:val="en-US" w:eastAsia="zh-CN" w:bidi="ar-SA"/>
                <w14:textFill>
                  <w14:solidFill>
                    <w14:schemeClr w14:val="tx1"/>
                  </w14:solidFill>
                </w14:textFill>
              </w:rPr>
              <w:t>：</w:t>
            </w:r>
            <w:r>
              <w:rPr>
                <w:rFonts w:hint="eastAsia" w:ascii="宋体" w:hAnsi="宋体" w:eastAsia="宋体" w:cstheme="minorBidi"/>
                <w:color w:val="000000" w:themeColor="text1"/>
                <w:kern w:val="2"/>
                <w:sz w:val="24"/>
                <w:szCs w:val="22"/>
                <w:lang w:val="en-US" w:eastAsia="zh-CN" w:bidi="ar-SA"/>
                <w14:textFill>
                  <w14:solidFill>
                    <w14:schemeClr w14:val="tx1"/>
                  </w14:solidFill>
                </w14:textFill>
              </w:rPr>
              <w:t>有较为合理的分区和路线设计，作业计划基本可行，能保证主要时间节点，但优化细节或动态调整机制不够完善</w:t>
            </w:r>
            <w:r>
              <w:rPr>
                <w:rFonts w:hint="eastAsia" w:cstheme="minorBidi"/>
                <w:color w:val="000000" w:themeColor="text1"/>
                <w:kern w:val="2"/>
                <w:sz w:val="24"/>
                <w:szCs w:val="22"/>
                <w:lang w:val="en-US" w:eastAsia="zh-CN" w:bidi="ar-SA"/>
                <w14:textFill>
                  <w14:solidFill>
                    <w14:schemeClr w14:val="tx1"/>
                  </w14:solidFill>
                </w14:textFill>
              </w:rPr>
              <w:t>；</w:t>
            </w:r>
          </w:p>
          <w:p w14:paraId="224D49B9">
            <w:pPr>
              <w:adjustRightInd w:val="0"/>
              <w:snapToGrid w:val="0"/>
              <w:jc w:val="left"/>
              <w:rPr>
                <w:rFonts w:hint="eastAsia" w:ascii="宋体" w:hAnsi="宋体" w:eastAsia="宋体" w:cstheme="minorBidi"/>
                <w:color w:val="000000" w:themeColor="text1"/>
                <w:kern w:val="2"/>
                <w:sz w:val="24"/>
                <w:szCs w:val="22"/>
                <w:lang w:val="en-US" w:eastAsia="zh-CN" w:bidi="ar-SA"/>
                <w14:textFill>
                  <w14:solidFill>
                    <w14:schemeClr w14:val="tx1"/>
                  </w14:solidFill>
                </w14:textFill>
              </w:rPr>
            </w:pPr>
            <w:r>
              <w:rPr>
                <w:rFonts w:hint="eastAsia" w:ascii="宋体" w:hAnsi="宋体" w:eastAsia="宋体" w:cstheme="minorBidi"/>
                <w:b/>
                <w:bCs/>
                <w:color w:val="000000" w:themeColor="text1"/>
                <w:kern w:val="2"/>
                <w:sz w:val="24"/>
                <w:szCs w:val="22"/>
                <w:lang w:val="en-US" w:eastAsia="zh-CN" w:bidi="ar-SA"/>
                <w14:textFill>
                  <w14:solidFill>
                    <w14:schemeClr w14:val="tx1"/>
                  </w14:solidFill>
                </w14:textFill>
              </w:rPr>
              <w:t>第</w:t>
            </w:r>
            <w:r>
              <w:rPr>
                <w:rFonts w:hint="eastAsia" w:cstheme="minorBidi"/>
                <w:b/>
                <w:bCs/>
                <w:color w:val="000000" w:themeColor="text1"/>
                <w:kern w:val="2"/>
                <w:sz w:val="24"/>
                <w:szCs w:val="22"/>
                <w:lang w:val="en-US" w:eastAsia="zh-CN" w:bidi="ar-SA"/>
                <w14:textFill>
                  <w14:solidFill>
                    <w14:schemeClr w14:val="tx1"/>
                  </w14:solidFill>
                </w14:textFill>
              </w:rPr>
              <w:t>三</w:t>
            </w:r>
            <w:r>
              <w:rPr>
                <w:rFonts w:hint="eastAsia" w:ascii="宋体" w:hAnsi="宋体" w:eastAsia="宋体" w:cstheme="minorBidi"/>
                <w:b/>
                <w:bCs/>
                <w:color w:val="000000" w:themeColor="text1"/>
                <w:kern w:val="2"/>
                <w:sz w:val="24"/>
                <w:szCs w:val="22"/>
                <w:lang w:val="en-US" w:eastAsia="zh-CN" w:bidi="ar-SA"/>
                <w14:textFill>
                  <w14:solidFill>
                    <w14:schemeClr w14:val="tx1"/>
                  </w14:solidFill>
                </w14:textFill>
              </w:rPr>
              <w:t>档次</w:t>
            </w:r>
            <w:r>
              <w:rPr>
                <w:rFonts w:hint="eastAsia" w:cstheme="minorBidi"/>
                <w:b/>
                <w:bCs/>
                <w:color w:val="000000" w:themeColor="text1"/>
                <w:kern w:val="2"/>
                <w:sz w:val="24"/>
                <w:szCs w:val="22"/>
                <w:lang w:val="en-US" w:eastAsia="zh-CN" w:bidi="ar-SA"/>
                <w14:textFill>
                  <w14:solidFill>
                    <w14:schemeClr w14:val="tx1"/>
                  </w14:solidFill>
                </w14:textFill>
              </w:rPr>
              <w:t>（1分）：</w:t>
            </w:r>
            <w:r>
              <w:rPr>
                <w:rFonts w:hint="eastAsia" w:ascii="宋体" w:hAnsi="宋体" w:eastAsia="宋体" w:cstheme="minorBidi"/>
                <w:color w:val="000000" w:themeColor="text1"/>
                <w:kern w:val="2"/>
                <w:sz w:val="24"/>
                <w:szCs w:val="22"/>
                <w:lang w:val="en-US" w:eastAsia="zh-CN" w:bidi="ar-SA"/>
                <w14:textFill>
                  <w14:solidFill>
                    <w14:schemeClr w14:val="tx1"/>
                  </w14:solidFill>
                </w14:textFill>
              </w:rPr>
              <w:t>流程描述笼统，路线设计不合理或未考虑时间限制，无法证明能满足“日产日清”要求</w:t>
            </w:r>
            <w:r>
              <w:rPr>
                <w:rFonts w:hint="eastAsia" w:cstheme="minorBidi"/>
                <w:color w:val="000000" w:themeColor="text1"/>
                <w:kern w:val="2"/>
                <w:sz w:val="24"/>
                <w:szCs w:val="22"/>
                <w:lang w:val="en-US" w:eastAsia="zh-CN" w:bidi="ar-SA"/>
                <w14:textFill>
                  <w14:solidFill>
                    <w14:schemeClr w14:val="tx1"/>
                  </w14:solidFill>
                </w14:textFill>
              </w:rPr>
              <w:t>。</w:t>
            </w:r>
          </w:p>
          <w:p w14:paraId="53B6CF5A">
            <w:pPr>
              <w:pStyle w:val="16"/>
              <w:ind w:left="0" w:leftChars="0" w:firstLine="241" w:firstLineChars="100"/>
              <w:rPr>
                <w:rFonts w:hint="default"/>
                <w:lang w:val="en-US" w:eastAsia="zh-CN"/>
              </w:rPr>
            </w:pPr>
            <w:r>
              <w:rPr>
                <w:rFonts w:hint="eastAsia" w:ascii="宋体" w:hAnsi="宋体" w:cstheme="minorBidi"/>
                <w:b/>
                <w:bCs/>
                <w:color w:val="000000" w:themeColor="text1"/>
                <w:kern w:val="2"/>
                <w:sz w:val="24"/>
                <w:szCs w:val="22"/>
                <w:lang w:val="en-US" w:eastAsia="zh-CN" w:bidi="ar-SA"/>
                <w14:textFill>
                  <w14:solidFill>
                    <w14:schemeClr w14:val="tx1"/>
                  </w14:solidFill>
                </w14:textFill>
              </w:rPr>
              <w:t>注</w:t>
            </w:r>
            <w:r>
              <w:rPr>
                <w:rFonts w:hint="eastAsia" w:cstheme="minorBidi"/>
                <w:b/>
                <w:bCs/>
                <w:color w:val="000000" w:themeColor="text1"/>
                <w:kern w:val="2"/>
                <w:sz w:val="24"/>
                <w:szCs w:val="22"/>
                <w:lang w:val="en-US" w:eastAsia="zh-CN" w:bidi="ar-SA"/>
                <w14:textFill>
                  <w14:solidFill>
                    <w14:schemeClr w14:val="tx1"/>
                  </w14:solidFill>
                </w14:textFill>
              </w:rPr>
              <w:t>：</w:t>
            </w:r>
            <w:r>
              <w:rPr>
                <w:rFonts w:hint="eastAsia" w:cstheme="minorBidi"/>
                <w:color w:val="000000" w:themeColor="text1"/>
                <w:kern w:val="2"/>
                <w:sz w:val="24"/>
                <w:szCs w:val="22"/>
                <w:lang w:val="en-US" w:eastAsia="zh-CN" w:bidi="ar-SA"/>
                <w14:textFill>
                  <w14:solidFill>
                    <w14:schemeClr w14:val="tx1"/>
                  </w14:solidFill>
                </w14:textFill>
              </w:rPr>
              <w:t>未提供相关内容的不得分。</w:t>
            </w:r>
          </w:p>
        </w:tc>
      </w:tr>
      <w:tr w14:paraId="4CC88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jc w:val="center"/>
        </w:trPr>
        <w:tc>
          <w:tcPr>
            <w:tcW w:w="1216" w:type="dxa"/>
            <w:vMerge w:val="continue"/>
            <w:vAlign w:val="center"/>
          </w:tcPr>
          <w:p w14:paraId="2A1CAA27"/>
        </w:tc>
        <w:tc>
          <w:tcPr>
            <w:tcW w:w="1183" w:type="dxa"/>
            <w:vMerge w:val="continue"/>
            <w:vAlign w:val="center"/>
          </w:tcPr>
          <w:p w14:paraId="44782B68"/>
        </w:tc>
        <w:tc>
          <w:tcPr>
            <w:tcW w:w="881" w:type="dxa"/>
            <w:vMerge w:val="continue"/>
            <w:vAlign w:val="center"/>
          </w:tcPr>
          <w:p w14:paraId="614DF875"/>
        </w:tc>
        <w:tc>
          <w:tcPr>
            <w:tcW w:w="913" w:type="dxa"/>
            <w:vAlign w:val="top"/>
          </w:tcPr>
          <w:p w14:paraId="6ECD73DA">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收集点保洁与设备维护方案</w:t>
            </w:r>
          </w:p>
          <w:p w14:paraId="2AA17A36">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5分</w:t>
            </w:r>
          </w:p>
        </w:tc>
        <w:tc>
          <w:tcPr>
            <w:tcW w:w="4788" w:type="dxa"/>
            <w:vAlign w:val="top"/>
          </w:tcPr>
          <w:p w14:paraId="4514ED4D">
            <w:pPr>
              <w:jc w:val="left"/>
              <w:rPr>
                <w:rFonts w:hint="eastAsia"/>
                <w:color w:val="000000" w:themeColor="text1"/>
                <w:lang w:val="en-US" w:eastAsia="zh-CN"/>
                <w14:textFill>
                  <w14:solidFill>
                    <w14:schemeClr w14:val="tx1"/>
                  </w14:solidFill>
                </w14:textFill>
              </w:rPr>
            </w:pPr>
            <w:r>
              <w:rPr>
                <w:rFonts w:hint="eastAsia" w:ascii="宋体" w:hAnsi="宋体" w:eastAsia="宋体" w:cstheme="minorBidi"/>
                <w:b/>
                <w:bCs/>
                <w:color w:val="000000" w:themeColor="text1"/>
                <w:kern w:val="2"/>
                <w:sz w:val="24"/>
                <w:szCs w:val="22"/>
                <w:lang w:val="en-US" w:eastAsia="zh-CN" w:bidi="ar-SA"/>
                <w14:textFill>
                  <w14:solidFill>
                    <w14:schemeClr w14:val="tx1"/>
                  </w14:solidFill>
                </w14:textFill>
              </w:rPr>
              <w:t>第一档次</w:t>
            </w:r>
            <w:r>
              <w:rPr>
                <w:rFonts w:hint="eastAsia" w:cstheme="minorBidi"/>
                <w:b/>
                <w:bCs/>
                <w:color w:val="000000" w:themeColor="text1"/>
                <w:kern w:val="2"/>
                <w:sz w:val="24"/>
                <w:szCs w:val="22"/>
                <w:lang w:val="en-US" w:eastAsia="zh-CN" w:bidi="ar-SA"/>
                <w14:textFill>
                  <w14:solidFill>
                    <w14:schemeClr w14:val="tx1"/>
                  </w14:solidFill>
                </w14:textFill>
              </w:rPr>
              <w:t>（5分）：</w:t>
            </w:r>
            <w:r>
              <w:rPr>
                <w:rFonts w:hint="eastAsia"/>
                <w:color w:val="000000" w:themeColor="text1"/>
                <w:lang w:val="en-US" w:eastAsia="zh-CN"/>
                <w14:textFill>
                  <w14:solidFill>
                    <w14:schemeClr w14:val="tx1"/>
                  </w14:solidFill>
                </w14:textFill>
              </w:rPr>
              <w:t>制定了“装、运、扫、查”一体化作业标准。特别强调清运后必须立即清扫收集点周边散落垃圾，确保车走地净，并规定了具体的清洁工具和检查流程；明确承诺在作业中造成垃圾房、垃圾桶等设备损坏时，24小时内响应并负责免费修缮，建立了报修、处理、复核的闭环流程；设立质量巡检员岗位，每日对收集点保洁效果和设备完好情况进行巡查并记录；</w:t>
            </w:r>
          </w:p>
          <w:p w14:paraId="1275276A">
            <w:pPr>
              <w:jc w:val="left"/>
              <w:rPr>
                <w:rFonts w:hint="eastAsia"/>
                <w:color w:val="000000" w:themeColor="text1"/>
                <w:lang w:val="en-US" w:eastAsia="zh-CN"/>
                <w14:textFill>
                  <w14:solidFill>
                    <w14:schemeClr w14:val="tx1"/>
                  </w14:solidFill>
                </w14:textFill>
              </w:rPr>
            </w:pPr>
            <w:r>
              <w:rPr>
                <w:rFonts w:hint="eastAsia" w:ascii="宋体" w:hAnsi="宋体" w:eastAsia="宋体" w:cstheme="minorBidi"/>
                <w:b/>
                <w:bCs/>
                <w:color w:val="000000" w:themeColor="text1"/>
                <w:kern w:val="2"/>
                <w:sz w:val="24"/>
                <w:szCs w:val="22"/>
                <w:lang w:val="en-US" w:eastAsia="zh-CN" w:bidi="ar-SA"/>
                <w14:textFill>
                  <w14:solidFill>
                    <w14:schemeClr w14:val="tx1"/>
                  </w14:solidFill>
                </w14:textFill>
              </w:rPr>
              <w:t>第</w:t>
            </w:r>
            <w:r>
              <w:rPr>
                <w:rFonts w:hint="eastAsia" w:cstheme="minorBidi"/>
                <w:b/>
                <w:bCs/>
                <w:color w:val="000000" w:themeColor="text1"/>
                <w:kern w:val="2"/>
                <w:sz w:val="24"/>
                <w:szCs w:val="22"/>
                <w:lang w:val="en-US" w:eastAsia="zh-CN" w:bidi="ar-SA"/>
                <w14:textFill>
                  <w14:solidFill>
                    <w14:schemeClr w14:val="tx1"/>
                  </w14:solidFill>
                </w14:textFill>
              </w:rPr>
              <w:t>二</w:t>
            </w:r>
            <w:r>
              <w:rPr>
                <w:rFonts w:hint="eastAsia" w:ascii="宋体" w:hAnsi="宋体" w:eastAsia="宋体" w:cstheme="minorBidi"/>
                <w:b/>
                <w:bCs/>
                <w:color w:val="000000" w:themeColor="text1"/>
                <w:kern w:val="2"/>
                <w:sz w:val="24"/>
                <w:szCs w:val="22"/>
                <w:lang w:val="en-US" w:eastAsia="zh-CN" w:bidi="ar-SA"/>
                <w14:textFill>
                  <w14:solidFill>
                    <w14:schemeClr w14:val="tx1"/>
                  </w14:solidFill>
                </w14:textFill>
              </w:rPr>
              <w:t>档次</w:t>
            </w:r>
            <w:r>
              <w:rPr>
                <w:rFonts w:hint="eastAsia" w:cstheme="minorBidi"/>
                <w:b/>
                <w:bCs/>
                <w:color w:val="000000" w:themeColor="text1"/>
                <w:kern w:val="2"/>
                <w:sz w:val="24"/>
                <w:szCs w:val="22"/>
                <w:lang w:val="en-US" w:eastAsia="zh-CN" w:bidi="ar-SA"/>
                <w14:textFill>
                  <w14:solidFill>
                    <w14:schemeClr w14:val="tx1"/>
                  </w14:solidFill>
                </w14:textFill>
              </w:rPr>
              <w:t>（3分）：</w:t>
            </w:r>
            <w:r>
              <w:rPr>
                <w:rFonts w:hint="eastAsia"/>
                <w:color w:val="000000" w:themeColor="text1"/>
                <w:lang w:val="en-US" w:eastAsia="zh-CN"/>
                <w14:textFill>
                  <w14:solidFill>
                    <w14:schemeClr w14:val="tx1"/>
                  </w14:solidFill>
                </w14:textFill>
              </w:rPr>
              <w:t>有保洁和维护要求，但作业标准不够具体，或响应时间、流程描述不够清晰；</w:t>
            </w:r>
          </w:p>
          <w:p w14:paraId="6E2F1947">
            <w:pPr>
              <w:jc w:val="left"/>
              <w:rPr>
                <w:rFonts w:hint="eastAsia"/>
                <w:color w:val="000000" w:themeColor="text1"/>
                <w:lang w:val="en-US" w:eastAsia="zh-CN"/>
                <w14:textFill>
                  <w14:solidFill>
                    <w14:schemeClr w14:val="tx1"/>
                  </w14:solidFill>
                </w14:textFill>
              </w:rPr>
            </w:pPr>
            <w:r>
              <w:rPr>
                <w:rFonts w:hint="eastAsia" w:ascii="宋体" w:hAnsi="宋体" w:eastAsia="宋体" w:cstheme="minorBidi"/>
                <w:b/>
                <w:bCs/>
                <w:color w:val="000000" w:themeColor="text1"/>
                <w:kern w:val="2"/>
                <w:sz w:val="24"/>
                <w:szCs w:val="22"/>
                <w:lang w:val="en-US" w:eastAsia="zh-CN" w:bidi="ar-SA"/>
                <w14:textFill>
                  <w14:solidFill>
                    <w14:schemeClr w14:val="tx1"/>
                  </w14:solidFill>
                </w14:textFill>
              </w:rPr>
              <w:t>第</w:t>
            </w:r>
            <w:r>
              <w:rPr>
                <w:rFonts w:hint="eastAsia" w:cstheme="minorBidi"/>
                <w:b/>
                <w:bCs/>
                <w:color w:val="000000" w:themeColor="text1"/>
                <w:kern w:val="2"/>
                <w:sz w:val="24"/>
                <w:szCs w:val="22"/>
                <w:lang w:val="en-US" w:eastAsia="zh-CN" w:bidi="ar-SA"/>
                <w14:textFill>
                  <w14:solidFill>
                    <w14:schemeClr w14:val="tx1"/>
                  </w14:solidFill>
                </w14:textFill>
              </w:rPr>
              <w:t>三</w:t>
            </w:r>
            <w:r>
              <w:rPr>
                <w:rFonts w:hint="eastAsia" w:ascii="宋体" w:hAnsi="宋体" w:eastAsia="宋体" w:cstheme="minorBidi"/>
                <w:b/>
                <w:bCs/>
                <w:color w:val="000000" w:themeColor="text1"/>
                <w:kern w:val="2"/>
                <w:sz w:val="24"/>
                <w:szCs w:val="22"/>
                <w:lang w:val="en-US" w:eastAsia="zh-CN" w:bidi="ar-SA"/>
                <w14:textFill>
                  <w14:solidFill>
                    <w14:schemeClr w14:val="tx1"/>
                  </w14:solidFill>
                </w14:textFill>
              </w:rPr>
              <w:t>档次</w:t>
            </w:r>
            <w:r>
              <w:rPr>
                <w:rFonts w:hint="eastAsia" w:cstheme="minorBidi"/>
                <w:b/>
                <w:bCs/>
                <w:color w:val="000000" w:themeColor="text1"/>
                <w:kern w:val="2"/>
                <w:sz w:val="24"/>
                <w:szCs w:val="22"/>
                <w:lang w:val="en-US" w:eastAsia="zh-CN" w:bidi="ar-SA"/>
                <w14:textFill>
                  <w14:solidFill>
                    <w14:schemeClr w14:val="tx1"/>
                  </w14:solidFill>
                </w14:textFill>
              </w:rPr>
              <w:t>（1分）：</w:t>
            </w:r>
            <w:r>
              <w:rPr>
                <w:rFonts w:hint="eastAsia"/>
                <w:color w:val="000000" w:themeColor="text1"/>
                <w:lang w:val="en-US" w:eastAsia="zh-CN"/>
                <w14:textFill>
                  <w14:solidFill>
                    <w14:schemeClr w14:val="tx1"/>
                  </w14:solidFill>
                </w14:textFill>
              </w:rPr>
              <w:t>方案中未重视收集点保洁或设备维护责任，或仅作口头承诺无具体措施；</w:t>
            </w:r>
          </w:p>
          <w:p w14:paraId="71C862FC">
            <w:pPr>
              <w:ind w:firstLine="241" w:firstLineChars="100"/>
              <w:jc w:val="left"/>
              <w:rPr>
                <w:color w:val="000000" w:themeColor="text1"/>
                <w14:textFill>
                  <w14:solidFill>
                    <w14:schemeClr w14:val="tx1"/>
                  </w14:solidFill>
                </w14:textFill>
              </w:rPr>
            </w:pPr>
            <w:r>
              <w:rPr>
                <w:rFonts w:hint="eastAsia" w:cstheme="minorBidi"/>
                <w:b/>
                <w:bCs/>
                <w:color w:val="000000" w:themeColor="text1"/>
                <w:kern w:val="2"/>
                <w:sz w:val="24"/>
                <w:szCs w:val="22"/>
                <w:lang w:val="en-US" w:eastAsia="zh-CN" w:bidi="ar-SA"/>
                <w14:textFill>
                  <w14:solidFill>
                    <w14:schemeClr w14:val="tx1"/>
                  </w14:solidFill>
                </w14:textFill>
              </w:rPr>
              <w:t>注：</w:t>
            </w:r>
            <w:r>
              <w:rPr>
                <w:rFonts w:hint="eastAsia" w:cstheme="minorBidi"/>
                <w:color w:val="000000" w:themeColor="text1"/>
                <w:kern w:val="2"/>
                <w:sz w:val="24"/>
                <w:szCs w:val="22"/>
                <w:lang w:val="en-US" w:eastAsia="zh-CN" w:bidi="ar-SA"/>
                <w14:textFill>
                  <w14:solidFill>
                    <w14:schemeClr w14:val="tx1"/>
                  </w14:solidFill>
                </w14:textFill>
              </w:rPr>
              <w:t>未提供相关内容的不得分。</w:t>
            </w:r>
          </w:p>
        </w:tc>
      </w:tr>
      <w:tr w14:paraId="2DB0E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jc w:val="center"/>
        </w:trPr>
        <w:tc>
          <w:tcPr>
            <w:tcW w:w="1216" w:type="dxa"/>
            <w:vMerge w:val="continue"/>
            <w:vAlign w:val="center"/>
          </w:tcPr>
          <w:p w14:paraId="533B5B3B"/>
        </w:tc>
        <w:tc>
          <w:tcPr>
            <w:tcW w:w="1183" w:type="dxa"/>
            <w:vMerge w:val="continue"/>
            <w:vAlign w:val="center"/>
          </w:tcPr>
          <w:p w14:paraId="79E7DD1D"/>
        </w:tc>
        <w:tc>
          <w:tcPr>
            <w:tcW w:w="881" w:type="dxa"/>
            <w:vMerge w:val="continue"/>
            <w:vAlign w:val="center"/>
          </w:tcPr>
          <w:p w14:paraId="1DEF41F9"/>
        </w:tc>
        <w:tc>
          <w:tcPr>
            <w:tcW w:w="913" w:type="dxa"/>
            <w:vAlign w:val="top"/>
          </w:tcPr>
          <w:p w14:paraId="7DF70C21">
            <w:pPr>
              <w:jc w:val="center"/>
              <w:rPr>
                <w:rFonts w:hint="eastAsia"/>
                <w:color w:val="auto"/>
                <w:lang w:val="en-US" w:eastAsia="zh-CN"/>
              </w:rPr>
            </w:pPr>
            <w:r>
              <w:rPr>
                <w:rFonts w:hint="eastAsia"/>
                <w:color w:val="auto"/>
                <w:lang w:val="en-US" w:eastAsia="zh-CN"/>
              </w:rPr>
              <w:t>机械化作业与规范运输方案</w:t>
            </w:r>
          </w:p>
          <w:p w14:paraId="618BD72E">
            <w:pPr>
              <w:jc w:val="center"/>
              <w:rPr>
                <w:color w:val="auto"/>
              </w:rPr>
            </w:pPr>
            <w:r>
              <w:rPr>
                <w:rFonts w:hint="eastAsia"/>
                <w:color w:val="auto"/>
                <w:lang w:val="en-US" w:eastAsia="zh-CN"/>
              </w:rPr>
              <w:t>5分</w:t>
            </w:r>
          </w:p>
        </w:tc>
        <w:tc>
          <w:tcPr>
            <w:tcW w:w="4788" w:type="dxa"/>
            <w:vAlign w:val="top"/>
          </w:tcPr>
          <w:p w14:paraId="66E9094D">
            <w:pPr>
              <w:jc w:val="left"/>
              <w:rPr>
                <w:rFonts w:hint="eastAsia"/>
                <w:color w:val="000000" w:themeColor="text1"/>
                <w:lang w:val="en-US" w:eastAsia="zh-CN"/>
                <w14:textFill>
                  <w14:solidFill>
                    <w14:schemeClr w14:val="tx1"/>
                  </w14:solidFill>
                </w14:textFill>
              </w:rPr>
            </w:pPr>
            <w:r>
              <w:rPr>
                <w:rFonts w:hint="eastAsia" w:ascii="宋体" w:hAnsi="宋体" w:eastAsia="宋体" w:cstheme="minorBidi"/>
                <w:b/>
                <w:bCs/>
                <w:color w:val="auto"/>
                <w:kern w:val="2"/>
                <w:sz w:val="24"/>
                <w:szCs w:val="22"/>
                <w:lang w:val="en-US" w:eastAsia="zh-CN" w:bidi="ar-SA"/>
              </w:rPr>
              <w:t>第</w:t>
            </w:r>
            <w:r>
              <w:rPr>
                <w:rFonts w:hint="eastAsia" w:cstheme="minorBidi"/>
                <w:b/>
                <w:bCs/>
                <w:color w:val="auto"/>
                <w:kern w:val="2"/>
                <w:sz w:val="24"/>
                <w:szCs w:val="22"/>
                <w:lang w:val="en-US" w:eastAsia="zh-CN" w:bidi="ar-SA"/>
              </w:rPr>
              <w:t>一</w:t>
            </w:r>
            <w:r>
              <w:rPr>
                <w:rFonts w:hint="eastAsia" w:ascii="宋体" w:hAnsi="宋体" w:eastAsia="宋体" w:cstheme="minorBidi"/>
                <w:b/>
                <w:bCs/>
                <w:color w:val="auto"/>
                <w:kern w:val="2"/>
                <w:sz w:val="24"/>
                <w:szCs w:val="22"/>
                <w:lang w:val="en-US" w:eastAsia="zh-CN" w:bidi="ar-SA"/>
              </w:rPr>
              <w:t>档次</w:t>
            </w:r>
            <w:r>
              <w:rPr>
                <w:rFonts w:hint="eastAsia" w:cstheme="minorBidi"/>
                <w:b/>
                <w:bCs/>
                <w:color w:val="auto"/>
                <w:kern w:val="2"/>
                <w:sz w:val="24"/>
                <w:szCs w:val="22"/>
                <w:lang w:val="en-US" w:eastAsia="zh-CN" w:bidi="ar-SA"/>
              </w:rPr>
              <w:t>（5分）：</w:t>
            </w:r>
            <w:r>
              <w:rPr>
                <w:rFonts w:hint="eastAsia"/>
                <w:color w:val="auto"/>
                <w:lang w:val="en-US" w:eastAsia="zh-CN"/>
              </w:rPr>
              <w:t>详细说明了所选车型如何适应各村道路条件，并具体描述了确保运输过程全密闭、无飘洒、无渗漏的技术措施（如加盖密封条、污水箱等）；规定作业车辆必须每日清洗、定期消毒，保持外观整洁，并制定了检查标准；明确记录垃圾运往“二街工业园区垃圾焚烧场”的流程，承诺绝不随意倾倒，并可提供联单管理或GPS轨迹核查等监管配合方案</w:t>
            </w:r>
            <w:r>
              <w:rPr>
                <w:rFonts w:hint="eastAsia"/>
                <w:color w:val="000000" w:themeColor="text1"/>
                <w:lang w:val="en-US" w:eastAsia="zh-CN"/>
                <w14:textFill>
                  <w14:solidFill>
                    <w14:schemeClr w14:val="tx1"/>
                  </w14:solidFill>
                </w14:textFill>
              </w:rPr>
              <w:t>；</w:t>
            </w:r>
          </w:p>
          <w:p w14:paraId="62C0A9B6">
            <w:pPr>
              <w:jc w:val="left"/>
              <w:rPr>
                <w:rFonts w:hint="eastAsia"/>
                <w:color w:val="000000" w:themeColor="text1"/>
                <w:lang w:val="en-US" w:eastAsia="zh-CN"/>
                <w14:textFill>
                  <w14:solidFill>
                    <w14:schemeClr w14:val="tx1"/>
                  </w14:solidFill>
                </w14:textFill>
              </w:rPr>
            </w:pPr>
            <w:r>
              <w:rPr>
                <w:rFonts w:hint="eastAsia" w:ascii="宋体" w:hAnsi="宋体" w:eastAsia="宋体" w:cstheme="minorBidi"/>
                <w:b/>
                <w:bCs/>
                <w:color w:val="auto"/>
                <w:kern w:val="2"/>
                <w:sz w:val="24"/>
                <w:szCs w:val="22"/>
                <w:lang w:val="en-US" w:eastAsia="zh-CN" w:bidi="ar-SA"/>
              </w:rPr>
              <w:t>第</w:t>
            </w:r>
            <w:r>
              <w:rPr>
                <w:rFonts w:hint="eastAsia" w:cstheme="minorBidi"/>
                <w:b/>
                <w:bCs/>
                <w:color w:val="auto"/>
                <w:kern w:val="2"/>
                <w:sz w:val="24"/>
                <w:szCs w:val="22"/>
                <w:lang w:val="en-US" w:eastAsia="zh-CN" w:bidi="ar-SA"/>
              </w:rPr>
              <w:t>二</w:t>
            </w:r>
            <w:r>
              <w:rPr>
                <w:rFonts w:hint="eastAsia" w:ascii="宋体" w:hAnsi="宋体" w:eastAsia="宋体" w:cstheme="minorBidi"/>
                <w:b/>
                <w:bCs/>
                <w:color w:val="auto"/>
                <w:kern w:val="2"/>
                <w:sz w:val="24"/>
                <w:szCs w:val="22"/>
                <w:lang w:val="en-US" w:eastAsia="zh-CN" w:bidi="ar-SA"/>
              </w:rPr>
              <w:t>档次</w:t>
            </w:r>
            <w:r>
              <w:rPr>
                <w:rFonts w:hint="eastAsia" w:cstheme="minorBidi"/>
                <w:b/>
                <w:bCs/>
                <w:color w:val="auto"/>
                <w:kern w:val="2"/>
                <w:sz w:val="24"/>
                <w:szCs w:val="22"/>
                <w:lang w:val="en-US" w:eastAsia="zh-CN" w:bidi="ar-SA"/>
              </w:rPr>
              <w:t>（3分）：</w:t>
            </w:r>
            <w:r>
              <w:rPr>
                <w:rFonts w:hint="eastAsia"/>
                <w:color w:val="auto"/>
                <w:lang w:val="en-US" w:eastAsia="zh-CN"/>
              </w:rPr>
              <w:t>对封闭运输和车辆清洁有要求，但措施描述较为常规，监管配合方案不够具体</w:t>
            </w:r>
            <w:r>
              <w:rPr>
                <w:rFonts w:hint="eastAsia"/>
                <w:color w:val="000000" w:themeColor="text1"/>
                <w:lang w:val="en-US" w:eastAsia="zh-CN"/>
                <w14:textFill>
                  <w14:solidFill>
                    <w14:schemeClr w14:val="tx1"/>
                  </w14:solidFill>
                </w14:textFill>
              </w:rPr>
              <w:t>；</w:t>
            </w:r>
          </w:p>
          <w:p w14:paraId="285B0502">
            <w:pPr>
              <w:jc w:val="left"/>
              <w:rPr>
                <w:rFonts w:hint="eastAsia"/>
                <w:color w:val="auto"/>
                <w:lang w:val="en-US" w:eastAsia="zh-CN"/>
              </w:rPr>
            </w:pPr>
            <w:r>
              <w:rPr>
                <w:rFonts w:hint="eastAsia" w:ascii="宋体" w:hAnsi="宋体" w:eastAsia="宋体" w:cstheme="minorBidi"/>
                <w:b/>
                <w:bCs/>
                <w:color w:val="auto"/>
                <w:kern w:val="2"/>
                <w:sz w:val="24"/>
                <w:szCs w:val="22"/>
                <w:lang w:val="en-US" w:eastAsia="zh-CN" w:bidi="ar-SA"/>
              </w:rPr>
              <w:t>第</w:t>
            </w:r>
            <w:r>
              <w:rPr>
                <w:rFonts w:hint="eastAsia" w:cstheme="minorBidi"/>
                <w:b/>
                <w:bCs/>
                <w:color w:val="auto"/>
                <w:kern w:val="2"/>
                <w:sz w:val="24"/>
                <w:szCs w:val="22"/>
                <w:lang w:val="en-US" w:eastAsia="zh-CN" w:bidi="ar-SA"/>
              </w:rPr>
              <w:t>三</w:t>
            </w:r>
            <w:r>
              <w:rPr>
                <w:rFonts w:hint="eastAsia" w:ascii="宋体" w:hAnsi="宋体" w:eastAsia="宋体" w:cstheme="minorBidi"/>
                <w:b/>
                <w:bCs/>
                <w:color w:val="auto"/>
                <w:kern w:val="2"/>
                <w:sz w:val="24"/>
                <w:szCs w:val="22"/>
                <w:lang w:val="en-US" w:eastAsia="zh-CN" w:bidi="ar-SA"/>
              </w:rPr>
              <w:t>档次</w:t>
            </w:r>
            <w:r>
              <w:rPr>
                <w:rFonts w:hint="eastAsia" w:cstheme="minorBidi"/>
                <w:b/>
                <w:bCs/>
                <w:color w:val="auto"/>
                <w:kern w:val="2"/>
                <w:sz w:val="24"/>
                <w:szCs w:val="22"/>
                <w:lang w:val="en-US" w:eastAsia="zh-CN" w:bidi="ar-SA"/>
              </w:rPr>
              <w:t>（1分）：</w:t>
            </w:r>
            <w:r>
              <w:rPr>
                <w:rFonts w:hint="eastAsia"/>
                <w:color w:val="auto"/>
                <w:lang w:val="en-US" w:eastAsia="zh-CN"/>
              </w:rPr>
              <w:t>未重点考虑运输过程的环保要求和车辆形象管理</w:t>
            </w:r>
            <w:r>
              <w:rPr>
                <w:rFonts w:hint="eastAsia"/>
                <w:color w:val="000000" w:themeColor="text1"/>
                <w:lang w:val="en-US" w:eastAsia="zh-CN"/>
                <w14:textFill>
                  <w14:solidFill>
                    <w14:schemeClr w14:val="tx1"/>
                  </w14:solidFill>
                </w14:textFill>
              </w:rPr>
              <w:t>；</w:t>
            </w:r>
          </w:p>
          <w:p w14:paraId="7E6DE197">
            <w:pPr>
              <w:pStyle w:val="16"/>
              <w:ind w:left="0" w:leftChars="0" w:firstLine="241" w:firstLineChars="100"/>
              <w:rPr>
                <w:color w:val="auto"/>
              </w:rPr>
            </w:pPr>
            <w:r>
              <w:rPr>
                <w:rFonts w:hint="eastAsia" w:ascii="宋体" w:hAnsi="宋体" w:cstheme="minorBidi"/>
                <w:b/>
                <w:bCs/>
                <w:color w:val="auto"/>
                <w:kern w:val="2"/>
                <w:sz w:val="24"/>
                <w:szCs w:val="22"/>
                <w:lang w:val="en-US" w:eastAsia="zh-CN" w:bidi="ar-SA"/>
              </w:rPr>
              <w:t>注</w:t>
            </w:r>
            <w:r>
              <w:rPr>
                <w:rFonts w:hint="eastAsia" w:cstheme="minorBidi"/>
                <w:b/>
                <w:bCs/>
                <w:color w:val="auto"/>
                <w:kern w:val="2"/>
                <w:sz w:val="24"/>
                <w:szCs w:val="22"/>
                <w:lang w:val="en-US" w:eastAsia="zh-CN" w:bidi="ar-SA"/>
              </w:rPr>
              <w:t>：</w:t>
            </w:r>
            <w:r>
              <w:rPr>
                <w:rFonts w:hint="eastAsia" w:cstheme="minorBidi"/>
                <w:color w:val="auto"/>
                <w:kern w:val="2"/>
                <w:sz w:val="24"/>
                <w:szCs w:val="22"/>
                <w:lang w:val="en-US" w:eastAsia="zh-CN" w:bidi="ar-SA"/>
              </w:rPr>
              <w:t>未提供相关内容的不得分。</w:t>
            </w:r>
          </w:p>
        </w:tc>
      </w:tr>
      <w:tr w14:paraId="1FB75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jc w:val="center"/>
        </w:trPr>
        <w:tc>
          <w:tcPr>
            <w:tcW w:w="1216" w:type="dxa"/>
            <w:vMerge w:val="continue"/>
            <w:vAlign w:val="center"/>
          </w:tcPr>
          <w:p w14:paraId="6BE919DA"/>
        </w:tc>
        <w:tc>
          <w:tcPr>
            <w:tcW w:w="1183" w:type="dxa"/>
            <w:vMerge w:val="continue"/>
            <w:vAlign w:val="center"/>
          </w:tcPr>
          <w:p w14:paraId="2FFF6981"/>
        </w:tc>
        <w:tc>
          <w:tcPr>
            <w:tcW w:w="881" w:type="dxa"/>
            <w:vMerge w:val="continue"/>
            <w:vAlign w:val="center"/>
          </w:tcPr>
          <w:p w14:paraId="07F33BF4"/>
        </w:tc>
        <w:tc>
          <w:tcPr>
            <w:tcW w:w="913" w:type="dxa"/>
            <w:vAlign w:val="top"/>
          </w:tcPr>
          <w:p w14:paraId="5332CBEA">
            <w:pPr>
              <w:jc w:val="center"/>
              <w:rPr>
                <w:rFonts w:hint="default"/>
                <w:color w:val="auto"/>
                <w:lang w:val="en-US" w:eastAsia="zh-CN"/>
              </w:rPr>
            </w:pPr>
            <w:r>
              <w:rPr>
                <w:rFonts w:hint="default"/>
                <w:color w:val="auto"/>
                <w:lang w:val="en-US" w:eastAsia="zh-CN"/>
              </w:rPr>
              <w:t>精细化与协同保障方案</w:t>
            </w:r>
          </w:p>
          <w:p w14:paraId="5145849B">
            <w:pPr>
              <w:jc w:val="center"/>
              <w:rPr>
                <w:color w:val="auto"/>
              </w:rPr>
            </w:pPr>
            <w:r>
              <w:rPr>
                <w:rFonts w:hint="eastAsia"/>
                <w:color w:val="auto"/>
                <w:lang w:val="en-US" w:eastAsia="zh-CN"/>
              </w:rPr>
              <w:t>5分</w:t>
            </w:r>
          </w:p>
        </w:tc>
        <w:tc>
          <w:tcPr>
            <w:tcW w:w="4788" w:type="dxa"/>
            <w:vAlign w:val="top"/>
          </w:tcPr>
          <w:p w14:paraId="4286030F">
            <w:pPr>
              <w:jc w:val="left"/>
              <w:rPr>
                <w:rFonts w:hint="eastAsia"/>
                <w:color w:val="auto"/>
                <w:lang w:val="en-US" w:eastAsia="zh-CN"/>
              </w:rPr>
            </w:pPr>
            <w:r>
              <w:rPr>
                <w:rFonts w:hint="eastAsia" w:ascii="宋体" w:hAnsi="宋体" w:eastAsia="宋体" w:cstheme="minorBidi"/>
                <w:b/>
                <w:bCs/>
                <w:color w:val="auto"/>
                <w:kern w:val="2"/>
                <w:sz w:val="24"/>
                <w:szCs w:val="22"/>
                <w:lang w:val="en-US" w:eastAsia="zh-CN" w:bidi="ar-SA"/>
              </w:rPr>
              <w:t>第</w:t>
            </w:r>
            <w:r>
              <w:rPr>
                <w:rFonts w:hint="eastAsia" w:cstheme="minorBidi"/>
                <w:b/>
                <w:bCs/>
                <w:color w:val="auto"/>
                <w:kern w:val="2"/>
                <w:sz w:val="24"/>
                <w:szCs w:val="22"/>
                <w:lang w:val="en-US" w:eastAsia="zh-CN" w:bidi="ar-SA"/>
              </w:rPr>
              <w:t>一</w:t>
            </w:r>
            <w:r>
              <w:rPr>
                <w:rFonts w:hint="eastAsia" w:ascii="宋体" w:hAnsi="宋体" w:eastAsia="宋体" w:cstheme="minorBidi"/>
                <w:b/>
                <w:bCs/>
                <w:color w:val="auto"/>
                <w:kern w:val="2"/>
                <w:sz w:val="24"/>
                <w:szCs w:val="22"/>
                <w:lang w:val="en-US" w:eastAsia="zh-CN" w:bidi="ar-SA"/>
              </w:rPr>
              <w:t>档次</w:t>
            </w:r>
            <w:r>
              <w:rPr>
                <w:rFonts w:hint="eastAsia" w:cstheme="minorBidi"/>
                <w:b/>
                <w:bCs/>
                <w:color w:val="auto"/>
                <w:kern w:val="2"/>
                <w:sz w:val="24"/>
                <w:szCs w:val="22"/>
                <w:lang w:val="en-US" w:eastAsia="zh-CN" w:bidi="ar-SA"/>
              </w:rPr>
              <w:t>（5分）</w:t>
            </w:r>
            <w:r>
              <w:rPr>
                <w:rFonts w:hint="eastAsia" w:cstheme="minorBidi"/>
                <w:color w:val="auto"/>
                <w:kern w:val="2"/>
                <w:sz w:val="24"/>
                <w:szCs w:val="22"/>
                <w:lang w:val="en-US" w:eastAsia="zh-CN" w:bidi="ar-SA"/>
              </w:rPr>
              <w:t>：</w:t>
            </w:r>
            <w:r>
              <w:rPr>
                <w:rFonts w:hint="eastAsia"/>
                <w:color w:val="auto"/>
                <w:lang w:val="en-US" w:eastAsia="zh-CN"/>
              </w:rPr>
              <w:t>设计了定期沟通汇报机制，承诺无条件服从甲方关于突击检查、重大活动时的临时调度安排，并能立即提供应急预案中的人员、车辆支援方案；建立了包含“员工自查、班长巡查、项目经理抽查”的多级内部质量控制体系，并有明确的考核、奖惩记录；方案结构清晰、逻辑严密、图文并茂，针对本项目特点编写，无抄袭套用痕迹，可操作性极强；</w:t>
            </w:r>
          </w:p>
          <w:p w14:paraId="09FC83A2">
            <w:pPr>
              <w:jc w:val="left"/>
              <w:rPr>
                <w:rFonts w:hint="eastAsia"/>
                <w:color w:val="auto"/>
                <w:lang w:val="en-US" w:eastAsia="zh-CN"/>
              </w:rPr>
            </w:pPr>
            <w:r>
              <w:rPr>
                <w:rFonts w:hint="eastAsia" w:ascii="宋体" w:hAnsi="宋体" w:eastAsia="宋体" w:cstheme="minorBidi"/>
                <w:b/>
                <w:bCs/>
                <w:color w:val="auto"/>
                <w:kern w:val="2"/>
                <w:sz w:val="24"/>
                <w:szCs w:val="22"/>
                <w:lang w:val="en-US" w:eastAsia="zh-CN" w:bidi="ar-SA"/>
              </w:rPr>
              <w:t>第</w:t>
            </w:r>
            <w:r>
              <w:rPr>
                <w:rFonts w:hint="eastAsia" w:cstheme="minorBidi"/>
                <w:b/>
                <w:bCs/>
                <w:color w:val="auto"/>
                <w:kern w:val="2"/>
                <w:sz w:val="24"/>
                <w:szCs w:val="22"/>
                <w:lang w:val="en-US" w:eastAsia="zh-CN" w:bidi="ar-SA"/>
              </w:rPr>
              <w:t>二</w:t>
            </w:r>
            <w:r>
              <w:rPr>
                <w:rFonts w:hint="eastAsia" w:ascii="宋体" w:hAnsi="宋体" w:eastAsia="宋体" w:cstheme="minorBidi"/>
                <w:b/>
                <w:bCs/>
                <w:color w:val="auto"/>
                <w:kern w:val="2"/>
                <w:sz w:val="24"/>
                <w:szCs w:val="22"/>
                <w:lang w:val="en-US" w:eastAsia="zh-CN" w:bidi="ar-SA"/>
              </w:rPr>
              <w:t>档次</w:t>
            </w:r>
            <w:r>
              <w:rPr>
                <w:rFonts w:hint="eastAsia" w:cstheme="minorBidi"/>
                <w:b/>
                <w:bCs/>
                <w:color w:val="auto"/>
                <w:kern w:val="2"/>
                <w:sz w:val="24"/>
                <w:szCs w:val="22"/>
                <w:lang w:val="en-US" w:eastAsia="zh-CN" w:bidi="ar-SA"/>
              </w:rPr>
              <w:t>（3分）：</w:t>
            </w:r>
            <w:r>
              <w:rPr>
                <w:rFonts w:hint="eastAsia"/>
                <w:color w:val="auto"/>
                <w:lang w:val="en-US" w:eastAsia="zh-CN"/>
              </w:rPr>
              <w:t>有协同意识和内部质量控制体系，但机制不够健全或方案略显模板化；</w:t>
            </w:r>
          </w:p>
          <w:p w14:paraId="69EB7A3D">
            <w:pPr>
              <w:jc w:val="left"/>
              <w:rPr>
                <w:rFonts w:hint="eastAsia"/>
                <w:color w:val="auto"/>
                <w:lang w:val="en-US" w:eastAsia="zh-CN"/>
              </w:rPr>
            </w:pPr>
            <w:r>
              <w:rPr>
                <w:rFonts w:hint="eastAsia" w:ascii="宋体" w:hAnsi="宋体" w:eastAsia="宋体" w:cstheme="minorBidi"/>
                <w:b/>
                <w:bCs/>
                <w:color w:val="auto"/>
                <w:kern w:val="2"/>
                <w:sz w:val="24"/>
                <w:szCs w:val="22"/>
                <w:lang w:val="en-US" w:eastAsia="zh-CN" w:bidi="ar-SA"/>
              </w:rPr>
              <w:t>第</w:t>
            </w:r>
            <w:r>
              <w:rPr>
                <w:rFonts w:hint="eastAsia" w:cstheme="minorBidi"/>
                <w:b/>
                <w:bCs/>
                <w:color w:val="auto"/>
                <w:kern w:val="2"/>
                <w:sz w:val="24"/>
                <w:szCs w:val="22"/>
                <w:lang w:val="en-US" w:eastAsia="zh-CN" w:bidi="ar-SA"/>
              </w:rPr>
              <w:t>三</w:t>
            </w:r>
            <w:r>
              <w:rPr>
                <w:rFonts w:hint="eastAsia" w:ascii="宋体" w:hAnsi="宋体" w:eastAsia="宋体" w:cstheme="minorBidi"/>
                <w:b/>
                <w:bCs/>
                <w:color w:val="auto"/>
                <w:kern w:val="2"/>
                <w:sz w:val="24"/>
                <w:szCs w:val="22"/>
                <w:lang w:val="en-US" w:eastAsia="zh-CN" w:bidi="ar-SA"/>
              </w:rPr>
              <w:t>档次</w:t>
            </w:r>
            <w:r>
              <w:rPr>
                <w:rFonts w:hint="eastAsia" w:cstheme="minorBidi"/>
                <w:b/>
                <w:bCs/>
                <w:color w:val="auto"/>
                <w:kern w:val="2"/>
                <w:sz w:val="24"/>
                <w:szCs w:val="22"/>
                <w:lang w:val="en-US" w:eastAsia="zh-CN" w:bidi="ar-SA"/>
              </w:rPr>
              <w:t>（1分）：</w:t>
            </w:r>
            <w:r>
              <w:rPr>
                <w:rFonts w:hint="eastAsia"/>
                <w:color w:val="auto"/>
                <w:lang w:val="en-US" w:eastAsia="zh-CN"/>
              </w:rPr>
              <w:t>缺乏与甲方的主动协同设计，内部质量控制缺失，方案粗糙、套用明显；</w:t>
            </w:r>
          </w:p>
          <w:p w14:paraId="40B8C399">
            <w:pPr>
              <w:pStyle w:val="16"/>
              <w:ind w:left="0" w:leftChars="0" w:firstLine="241" w:firstLineChars="100"/>
              <w:rPr>
                <w:color w:val="auto"/>
              </w:rPr>
            </w:pPr>
            <w:r>
              <w:rPr>
                <w:rFonts w:hint="eastAsia" w:ascii="宋体" w:hAnsi="宋体" w:cstheme="minorBidi"/>
                <w:b/>
                <w:bCs/>
                <w:color w:val="auto"/>
                <w:kern w:val="2"/>
                <w:sz w:val="24"/>
                <w:szCs w:val="22"/>
                <w:lang w:val="en-US" w:eastAsia="zh-CN" w:bidi="ar-SA"/>
              </w:rPr>
              <w:t>注</w:t>
            </w:r>
            <w:r>
              <w:rPr>
                <w:rFonts w:hint="eastAsia" w:cstheme="minorBidi"/>
                <w:b/>
                <w:bCs/>
                <w:color w:val="auto"/>
                <w:kern w:val="2"/>
                <w:sz w:val="24"/>
                <w:szCs w:val="22"/>
                <w:lang w:val="en-US" w:eastAsia="zh-CN" w:bidi="ar-SA"/>
              </w:rPr>
              <w:t>：</w:t>
            </w:r>
            <w:r>
              <w:rPr>
                <w:rFonts w:hint="eastAsia" w:cstheme="minorBidi"/>
                <w:color w:val="auto"/>
                <w:kern w:val="2"/>
                <w:sz w:val="24"/>
                <w:szCs w:val="22"/>
                <w:lang w:val="en-US" w:eastAsia="zh-CN" w:bidi="ar-SA"/>
              </w:rPr>
              <w:t>未提供相关内容的不得分。</w:t>
            </w:r>
          </w:p>
        </w:tc>
      </w:tr>
      <w:tr w14:paraId="7419E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2" w:hRule="atLeast"/>
          <w:jc w:val="center"/>
        </w:trPr>
        <w:tc>
          <w:tcPr>
            <w:tcW w:w="1216" w:type="dxa"/>
            <w:vMerge w:val="continue"/>
            <w:vAlign w:val="center"/>
          </w:tcPr>
          <w:p w14:paraId="76213BC6">
            <w:pPr>
              <w:pStyle w:val="48"/>
              <w:jc w:val="center"/>
              <w:rPr>
                <w:rFonts w:hint="eastAsia"/>
              </w:rPr>
            </w:pPr>
          </w:p>
        </w:tc>
        <w:tc>
          <w:tcPr>
            <w:tcW w:w="1183" w:type="dxa"/>
            <w:vMerge w:val="restart"/>
            <w:tcBorders>
              <w:top w:val="single" w:color="auto" w:sz="4" w:space="0"/>
            </w:tcBorders>
            <w:vAlign w:val="center"/>
          </w:tcPr>
          <w:p w14:paraId="0A824441">
            <w:pPr>
              <w:pStyle w:val="48"/>
              <w:jc w:val="center"/>
              <w:rPr>
                <w:rFonts w:hint="eastAsia"/>
              </w:rPr>
            </w:pPr>
            <w:r>
              <w:rPr>
                <w:rFonts w:hint="eastAsia" w:ascii="宋体" w:hAnsi="宋体" w:eastAsia="宋体" w:cstheme="minorBidi"/>
                <w:color w:val="auto"/>
                <w:kern w:val="2"/>
                <w:sz w:val="24"/>
                <w:szCs w:val="22"/>
                <w:lang w:val="en-US" w:eastAsia="zh-CN" w:bidi="ar-SA"/>
              </w:rPr>
              <w:t>拟派人员方案评审</w:t>
            </w:r>
          </w:p>
        </w:tc>
        <w:tc>
          <w:tcPr>
            <w:tcW w:w="881" w:type="dxa"/>
            <w:vMerge w:val="restart"/>
            <w:vAlign w:val="center"/>
          </w:tcPr>
          <w:p w14:paraId="20B78459">
            <w:pPr>
              <w:pStyle w:val="48"/>
              <w:jc w:val="center"/>
              <w:rPr>
                <w:rFonts w:hint="eastAsia"/>
              </w:rPr>
            </w:pPr>
            <w:r>
              <w:rPr>
                <w:rFonts w:hint="eastAsia"/>
                <w:lang w:val="en-US" w:eastAsia="zh-CN"/>
              </w:rPr>
              <w:t>15</w:t>
            </w:r>
            <w:r>
              <w:rPr>
                <w:rFonts w:hint="eastAsia"/>
              </w:rPr>
              <w:t>分</w:t>
            </w:r>
          </w:p>
        </w:tc>
        <w:tc>
          <w:tcPr>
            <w:tcW w:w="913" w:type="dxa"/>
            <w:vAlign w:val="center"/>
          </w:tcPr>
          <w:p w14:paraId="521DCF41">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项目管理架构与职责清晰度</w:t>
            </w:r>
          </w:p>
          <w:p w14:paraId="7F4891D2">
            <w:pPr>
              <w:jc w:val="center"/>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5分</w:t>
            </w:r>
          </w:p>
        </w:tc>
        <w:tc>
          <w:tcPr>
            <w:tcW w:w="4788" w:type="dxa"/>
            <w:vAlign w:val="center"/>
          </w:tcPr>
          <w:p w14:paraId="39DF9815">
            <w:pPr>
              <w:jc w:val="left"/>
              <w:rPr>
                <w:rFonts w:hint="eastAsia"/>
                <w:color w:val="000000" w:themeColor="text1"/>
                <w:lang w:val="en-US" w:eastAsia="zh-CN"/>
                <w14:textFill>
                  <w14:solidFill>
                    <w14:schemeClr w14:val="tx1"/>
                  </w14:solidFill>
                </w14:textFill>
              </w:rPr>
            </w:pPr>
            <w:r>
              <w:rPr>
                <w:rFonts w:hint="eastAsia" w:ascii="宋体" w:hAnsi="宋体" w:eastAsia="宋体" w:cstheme="minorBidi"/>
                <w:b/>
                <w:bCs/>
                <w:color w:val="000000" w:themeColor="text1"/>
                <w:kern w:val="2"/>
                <w:sz w:val="24"/>
                <w:szCs w:val="22"/>
                <w:lang w:val="en-US" w:eastAsia="zh-CN" w:bidi="ar-SA"/>
                <w14:textFill>
                  <w14:solidFill>
                    <w14:schemeClr w14:val="tx1"/>
                  </w14:solidFill>
                </w14:textFill>
              </w:rPr>
              <w:t>第</w:t>
            </w:r>
            <w:r>
              <w:rPr>
                <w:rFonts w:hint="eastAsia" w:cstheme="minorBidi"/>
                <w:b/>
                <w:bCs/>
                <w:color w:val="000000" w:themeColor="text1"/>
                <w:kern w:val="2"/>
                <w:sz w:val="24"/>
                <w:szCs w:val="22"/>
                <w:lang w:val="en-US" w:eastAsia="zh-CN" w:bidi="ar-SA"/>
                <w14:textFill>
                  <w14:solidFill>
                    <w14:schemeClr w14:val="tx1"/>
                  </w14:solidFill>
                </w14:textFill>
              </w:rPr>
              <w:t>一</w:t>
            </w:r>
            <w:r>
              <w:rPr>
                <w:rFonts w:hint="eastAsia" w:ascii="宋体" w:hAnsi="宋体" w:eastAsia="宋体" w:cstheme="minorBidi"/>
                <w:b/>
                <w:bCs/>
                <w:color w:val="000000" w:themeColor="text1"/>
                <w:kern w:val="2"/>
                <w:sz w:val="24"/>
                <w:szCs w:val="22"/>
                <w:lang w:val="en-US" w:eastAsia="zh-CN" w:bidi="ar-SA"/>
                <w14:textFill>
                  <w14:solidFill>
                    <w14:schemeClr w14:val="tx1"/>
                  </w14:solidFill>
                </w14:textFill>
              </w:rPr>
              <w:t>档次</w:t>
            </w:r>
            <w:r>
              <w:rPr>
                <w:rFonts w:hint="eastAsia" w:cstheme="minorBidi"/>
                <w:b/>
                <w:bCs/>
                <w:color w:val="000000" w:themeColor="text1"/>
                <w:kern w:val="2"/>
                <w:sz w:val="24"/>
                <w:szCs w:val="22"/>
                <w:lang w:val="en-US" w:eastAsia="zh-CN" w:bidi="ar-SA"/>
                <w14:textFill>
                  <w14:solidFill>
                    <w14:schemeClr w14:val="tx1"/>
                  </w14:solidFill>
                </w14:textFill>
              </w:rPr>
              <w:t>（5分）</w:t>
            </w:r>
            <w:r>
              <w:rPr>
                <w:rFonts w:hint="eastAsia" w:cstheme="minorBidi"/>
                <w:color w:val="000000" w:themeColor="text1"/>
                <w:kern w:val="2"/>
                <w:sz w:val="24"/>
                <w:szCs w:val="22"/>
                <w:lang w:val="en-US" w:eastAsia="zh-CN" w:bidi="ar-SA"/>
                <w14:textFill>
                  <w14:solidFill>
                    <w14:schemeClr w14:val="tx1"/>
                  </w14:solidFill>
                </w14:textFill>
              </w:rPr>
              <w:t>：</w:t>
            </w:r>
            <w:r>
              <w:rPr>
                <w:rFonts w:hint="eastAsia"/>
                <w:color w:val="000000" w:themeColor="text1"/>
                <w:lang w:val="en-US" w:eastAsia="zh-CN"/>
                <w14:textFill>
                  <w14:solidFill>
                    <w14:schemeClr w14:val="tx1"/>
                  </w14:solidFill>
                </w14:textFill>
              </w:rPr>
              <w:t>提供清晰的组织架构图，关键岗位（项目负责人、现场调度）设置齐全。各岗位在日产日清、定时作业、应急响应、安全生产方面的职责定义精准、无交叉；</w:t>
            </w:r>
          </w:p>
          <w:p w14:paraId="5185A773">
            <w:pPr>
              <w:jc w:val="left"/>
              <w:rPr>
                <w:rFonts w:hint="eastAsia"/>
                <w:color w:val="000000" w:themeColor="text1"/>
                <w:lang w:val="en-US" w:eastAsia="zh-CN"/>
                <w14:textFill>
                  <w14:solidFill>
                    <w14:schemeClr w14:val="tx1"/>
                  </w14:solidFill>
                </w14:textFill>
              </w:rPr>
            </w:pPr>
            <w:r>
              <w:rPr>
                <w:rFonts w:hint="eastAsia" w:ascii="宋体" w:hAnsi="宋体" w:eastAsia="宋体" w:cstheme="minorBidi"/>
                <w:b/>
                <w:bCs/>
                <w:color w:val="000000" w:themeColor="text1"/>
                <w:kern w:val="2"/>
                <w:sz w:val="24"/>
                <w:szCs w:val="22"/>
                <w:lang w:val="en-US" w:eastAsia="zh-CN" w:bidi="ar-SA"/>
                <w14:textFill>
                  <w14:solidFill>
                    <w14:schemeClr w14:val="tx1"/>
                  </w14:solidFill>
                </w14:textFill>
              </w:rPr>
              <w:t>第</w:t>
            </w:r>
            <w:r>
              <w:rPr>
                <w:rFonts w:hint="eastAsia" w:cstheme="minorBidi"/>
                <w:b/>
                <w:bCs/>
                <w:color w:val="000000" w:themeColor="text1"/>
                <w:kern w:val="2"/>
                <w:sz w:val="24"/>
                <w:szCs w:val="22"/>
                <w:lang w:val="en-US" w:eastAsia="zh-CN" w:bidi="ar-SA"/>
                <w14:textFill>
                  <w14:solidFill>
                    <w14:schemeClr w14:val="tx1"/>
                  </w14:solidFill>
                </w14:textFill>
              </w:rPr>
              <w:t>二</w:t>
            </w:r>
            <w:r>
              <w:rPr>
                <w:rFonts w:hint="eastAsia" w:ascii="宋体" w:hAnsi="宋体" w:eastAsia="宋体" w:cstheme="minorBidi"/>
                <w:b/>
                <w:bCs/>
                <w:color w:val="000000" w:themeColor="text1"/>
                <w:kern w:val="2"/>
                <w:sz w:val="24"/>
                <w:szCs w:val="22"/>
                <w:lang w:val="en-US" w:eastAsia="zh-CN" w:bidi="ar-SA"/>
                <w14:textFill>
                  <w14:solidFill>
                    <w14:schemeClr w14:val="tx1"/>
                  </w14:solidFill>
                </w14:textFill>
              </w:rPr>
              <w:t>档次</w:t>
            </w:r>
            <w:r>
              <w:rPr>
                <w:rFonts w:hint="eastAsia" w:cstheme="minorBidi"/>
                <w:b/>
                <w:bCs/>
                <w:color w:val="000000" w:themeColor="text1"/>
                <w:kern w:val="2"/>
                <w:sz w:val="24"/>
                <w:szCs w:val="22"/>
                <w:lang w:val="en-US" w:eastAsia="zh-CN" w:bidi="ar-SA"/>
                <w14:textFill>
                  <w14:solidFill>
                    <w14:schemeClr w14:val="tx1"/>
                  </w14:solidFill>
                </w14:textFill>
              </w:rPr>
              <w:t>（3分）</w:t>
            </w:r>
            <w:r>
              <w:rPr>
                <w:rFonts w:hint="eastAsia"/>
                <w:b/>
                <w:bCs/>
                <w:color w:val="000000" w:themeColor="text1"/>
                <w:lang w:val="en-US" w:eastAsia="zh-CN"/>
                <w14:textFill>
                  <w14:solidFill>
                    <w14:schemeClr w14:val="tx1"/>
                  </w14:solidFill>
                </w14:textFill>
              </w:rPr>
              <w:t>：</w:t>
            </w:r>
            <w:r>
              <w:rPr>
                <w:rFonts w:hint="eastAsia"/>
                <w:color w:val="000000" w:themeColor="text1"/>
                <w:lang w:val="en-US" w:eastAsia="zh-CN"/>
                <w14:textFill>
                  <w14:solidFill>
                    <w14:schemeClr w14:val="tx1"/>
                  </w14:solidFill>
                </w14:textFill>
              </w:rPr>
              <w:t>架构图基本清晰，关键岗位基本齐全，职责描述较为明确，但部分细节稍显笼统；</w:t>
            </w:r>
          </w:p>
          <w:p w14:paraId="18F8FC6B">
            <w:pPr>
              <w:jc w:val="left"/>
              <w:rPr>
                <w:rFonts w:hint="eastAsia"/>
                <w:color w:val="000000" w:themeColor="text1"/>
                <w:lang w:val="en-US" w:eastAsia="zh-CN"/>
                <w14:textFill>
                  <w14:solidFill>
                    <w14:schemeClr w14:val="tx1"/>
                  </w14:solidFill>
                </w14:textFill>
              </w:rPr>
            </w:pPr>
            <w:r>
              <w:rPr>
                <w:rFonts w:hint="eastAsia" w:ascii="宋体" w:hAnsi="宋体" w:eastAsia="宋体" w:cstheme="minorBidi"/>
                <w:b/>
                <w:bCs/>
                <w:color w:val="000000" w:themeColor="text1"/>
                <w:kern w:val="2"/>
                <w:sz w:val="24"/>
                <w:szCs w:val="22"/>
                <w:lang w:val="en-US" w:eastAsia="zh-CN" w:bidi="ar-SA"/>
                <w14:textFill>
                  <w14:solidFill>
                    <w14:schemeClr w14:val="tx1"/>
                  </w14:solidFill>
                </w14:textFill>
              </w:rPr>
              <w:t>第</w:t>
            </w:r>
            <w:r>
              <w:rPr>
                <w:rFonts w:hint="eastAsia" w:cstheme="minorBidi"/>
                <w:b/>
                <w:bCs/>
                <w:color w:val="000000" w:themeColor="text1"/>
                <w:kern w:val="2"/>
                <w:sz w:val="24"/>
                <w:szCs w:val="22"/>
                <w:lang w:val="en-US" w:eastAsia="zh-CN" w:bidi="ar-SA"/>
                <w14:textFill>
                  <w14:solidFill>
                    <w14:schemeClr w14:val="tx1"/>
                  </w14:solidFill>
                </w14:textFill>
              </w:rPr>
              <w:t>三</w:t>
            </w:r>
            <w:r>
              <w:rPr>
                <w:rFonts w:hint="eastAsia" w:ascii="宋体" w:hAnsi="宋体" w:eastAsia="宋体" w:cstheme="minorBidi"/>
                <w:b/>
                <w:bCs/>
                <w:color w:val="000000" w:themeColor="text1"/>
                <w:kern w:val="2"/>
                <w:sz w:val="24"/>
                <w:szCs w:val="22"/>
                <w:lang w:val="en-US" w:eastAsia="zh-CN" w:bidi="ar-SA"/>
                <w14:textFill>
                  <w14:solidFill>
                    <w14:schemeClr w14:val="tx1"/>
                  </w14:solidFill>
                </w14:textFill>
              </w:rPr>
              <w:t>档次</w:t>
            </w:r>
            <w:r>
              <w:rPr>
                <w:rFonts w:hint="eastAsia" w:cstheme="minorBidi"/>
                <w:b/>
                <w:bCs/>
                <w:color w:val="000000" w:themeColor="text1"/>
                <w:kern w:val="2"/>
                <w:sz w:val="24"/>
                <w:szCs w:val="22"/>
                <w:lang w:val="en-US" w:eastAsia="zh-CN" w:bidi="ar-SA"/>
                <w14:textFill>
                  <w14:solidFill>
                    <w14:schemeClr w14:val="tx1"/>
                  </w14:solidFill>
                </w14:textFill>
              </w:rPr>
              <w:t>（1分）：</w:t>
            </w:r>
            <w:r>
              <w:rPr>
                <w:rFonts w:hint="eastAsia"/>
                <w:color w:val="000000" w:themeColor="text1"/>
                <w:lang w:val="en-US" w:eastAsia="zh-CN"/>
                <w14:textFill>
                  <w14:solidFill>
                    <w14:schemeClr w14:val="tx1"/>
                  </w14:solidFill>
                </w14:textFill>
              </w:rPr>
              <w:t>架构图缺失或混乱，岗位职责模糊，无法体现有效管理；</w:t>
            </w:r>
          </w:p>
          <w:p w14:paraId="3FD7D791">
            <w:pPr>
              <w:pStyle w:val="16"/>
              <w:ind w:left="0" w:leftChars="0" w:firstLine="241" w:firstLineChars="100"/>
              <w:rPr>
                <w:rFonts w:hint="eastAsia"/>
                <w:lang w:val="en-US" w:eastAsia="zh-CN"/>
              </w:rPr>
            </w:pPr>
            <w:r>
              <w:rPr>
                <w:rFonts w:hint="eastAsia" w:ascii="宋体" w:hAnsi="宋体" w:cstheme="minorBidi"/>
                <w:b/>
                <w:bCs/>
                <w:color w:val="000000" w:themeColor="text1"/>
                <w:kern w:val="2"/>
                <w:sz w:val="24"/>
                <w:szCs w:val="22"/>
                <w:lang w:val="en-US" w:eastAsia="zh-CN" w:bidi="ar-SA"/>
                <w14:textFill>
                  <w14:solidFill>
                    <w14:schemeClr w14:val="tx1"/>
                  </w14:solidFill>
                </w14:textFill>
              </w:rPr>
              <w:t>注</w:t>
            </w:r>
            <w:r>
              <w:rPr>
                <w:rFonts w:hint="eastAsia" w:cstheme="minorBidi"/>
                <w:b/>
                <w:bCs/>
                <w:color w:val="000000" w:themeColor="text1"/>
                <w:kern w:val="2"/>
                <w:sz w:val="24"/>
                <w:szCs w:val="22"/>
                <w:lang w:val="en-US" w:eastAsia="zh-CN" w:bidi="ar-SA"/>
                <w14:textFill>
                  <w14:solidFill>
                    <w14:schemeClr w14:val="tx1"/>
                  </w14:solidFill>
                </w14:textFill>
              </w:rPr>
              <w:t>：</w:t>
            </w:r>
            <w:r>
              <w:rPr>
                <w:rFonts w:hint="eastAsia" w:cstheme="minorBidi"/>
                <w:color w:val="000000" w:themeColor="text1"/>
                <w:kern w:val="2"/>
                <w:sz w:val="24"/>
                <w:szCs w:val="22"/>
                <w:lang w:val="en-US" w:eastAsia="zh-CN" w:bidi="ar-SA"/>
                <w14:textFill>
                  <w14:solidFill>
                    <w14:schemeClr w14:val="tx1"/>
                  </w14:solidFill>
                </w14:textFill>
              </w:rPr>
              <w:t>未提供相关内容的不得分。</w:t>
            </w:r>
          </w:p>
        </w:tc>
      </w:tr>
      <w:tr w14:paraId="26210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2" w:hRule="atLeast"/>
          <w:jc w:val="center"/>
        </w:trPr>
        <w:tc>
          <w:tcPr>
            <w:tcW w:w="1216" w:type="dxa"/>
            <w:vMerge w:val="continue"/>
            <w:vAlign w:val="center"/>
          </w:tcPr>
          <w:p w14:paraId="6B80DBF2">
            <w:pPr>
              <w:pStyle w:val="29"/>
              <w:adjustRightInd w:val="0"/>
              <w:snapToGrid w:val="0"/>
              <w:spacing w:before="0" w:beforeAutospacing="0" w:after="0" w:afterAutospacing="0"/>
            </w:pPr>
          </w:p>
        </w:tc>
        <w:tc>
          <w:tcPr>
            <w:tcW w:w="1183" w:type="dxa"/>
            <w:vMerge w:val="continue"/>
            <w:vAlign w:val="center"/>
          </w:tcPr>
          <w:p w14:paraId="1B616C7F">
            <w:pPr>
              <w:pStyle w:val="29"/>
              <w:adjustRightInd w:val="0"/>
              <w:snapToGrid w:val="0"/>
              <w:spacing w:before="0" w:beforeAutospacing="0" w:after="0" w:afterAutospacing="0"/>
            </w:pPr>
          </w:p>
        </w:tc>
        <w:tc>
          <w:tcPr>
            <w:tcW w:w="881" w:type="dxa"/>
            <w:vMerge w:val="continue"/>
            <w:vAlign w:val="center"/>
          </w:tcPr>
          <w:p w14:paraId="0BF1D753">
            <w:pPr>
              <w:pStyle w:val="29"/>
              <w:adjustRightInd w:val="0"/>
              <w:snapToGrid w:val="0"/>
              <w:spacing w:before="0" w:beforeAutospacing="0" w:after="0" w:afterAutospacing="0"/>
            </w:pPr>
          </w:p>
        </w:tc>
        <w:tc>
          <w:tcPr>
            <w:tcW w:w="913" w:type="dxa"/>
            <w:vAlign w:val="center"/>
          </w:tcPr>
          <w:p w14:paraId="5DE3C763">
            <w:pPr>
              <w:jc w:val="center"/>
              <w:rPr>
                <w:rFonts w:hint="default"/>
                <w:color w:val="auto"/>
                <w:lang w:val="en-US" w:eastAsia="zh-CN"/>
              </w:rPr>
            </w:pPr>
            <w:r>
              <w:rPr>
                <w:rFonts w:hint="default"/>
                <w:color w:val="auto"/>
                <w:lang w:val="en-US" w:eastAsia="zh-CN"/>
              </w:rPr>
              <w:t>人员培训与考核机制</w:t>
            </w:r>
          </w:p>
          <w:p w14:paraId="35031FC2">
            <w:pPr>
              <w:jc w:val="center"/>
              <w:rPr>
                <w:color w:val="auto"/>
              </w:rPr>
            </w:pPr>
            <w:r>
              <w:rPr>
                <w:rFonts w:hint="eastAsia"/>
                <w:color w:val="auto"/>
                <w:lang w:val="en-US" w:eastAsia="zh-CN"/>
              </w:rPr>
              <w:t>10</w:t>
            </w:r>
            <w:r>
              <w:rPr>
                <w:rFonts w:hint="default"/>
                <w:color w:val="auto"/>
                <w:lang w:val="en-US" w:eastAsia="zh-CN"/>
              </w:rPr>
              <w:t>分</w:t>
            </w:r>
          </w:p>
        </w:tc>
        <w:tc>
          <w:tcPr>
            <w:tcW w:w="4788" w:type="dxa"/>
            <w:vAlign w:val="center"/>
          </w:tcPr>
          <w:p w14:paraId="07A565ED">
            <w:pPr>
              <w:jc w:val="left"/>
              <w:rPr>
                <w:rFonts w:hint="default"/>
                <w:color w:val="auto"/>
                <w:lang w:val="en-US" w:eastAsia="zh-CN"/>
              </w:rPr>
            </w:pPr>
            <w:r>
              <w:rPr>
                <w:rFonts w:hint="eastAsia" w:ascii="宋体" w:hAnsi="宋体" w:eastAsia="宋体" w:cstheme="minorBidi"/>
                <w:b/>
                <w:bCs/>
                <w:color w:val="auto"/>
                <w:kern w:val="2"/>
                <w:sz w:val="24"/>
                <w:szCs w:val="22"/>
                <w:lang w:val="en-US" w:eastAsia="zh-CN" w:bidi="ar-SA"/>
              </w:rPr>
              <w:t>第</w:t>
            </w:r>
            <w:r>
              <w:rPr>
                <w:rFonts w:hint="eastAsia" w:cstheme="minorBidi"/>
                <w:b/>
                <w:bCs/>
                <w:color w:val="auto"/>
                <w:kern w:val="2"/>
                <w:sz w:val="24"/>
                <w:szCs w:val="22"/>
                <w:lang w:val="en-US" w:eastAsia="zh-CN" w:bidi="ar-SA"/>
              </w:rPr>
              <w:t>一</w:t>
            </w:r>
            <w:r>
              <w:rPr>
                <w:rFonts w:hint="eastAsia" w:ascii="宋体" w:hAnsi="宋体" w:eastAsia="宋体" w:cstheme="minorBidi"/>
                <w:b/>
                <w:bCs/>
                <w:color w:val="auto"/>
                <w:kern w:val="2"/>
                <w:sz w:val="24"/>
                <w:szCs w:val="22"/>
                <w:lang w:val="en-US" w:eastAsia="zh-CN" w:bidi="ar-SA"/>
              </w:rPr>
              <w:t>档次</w:t>
            </w:r>
            <w:r>
              <w:rPr>
                <w:rFonts w:hint="eastAsia" w:cstheme="minorBidi"/>
                <w:b/>
                <w:bCs/>
                <w:color w:val="auto"/>
                <w:kern w:val="2"/>
                <w:sz w:val="24"/>
                <w:szCs w:val="22"/>
                <w:lang w:val="en-US" w:eastAsia="zh-CN" w:bidi="ar-SA"/>
              </w:rPr>
              <w:t>（10分）：</w:t>
            </w:r>
            <w:r>
              <w:rPr>
                <w:rFonts w:hint="eastAsia"/>
                <w:color w:val="auto"/>
                <w:lang w:val="en-US" w:eastAsia="zh-CN"/>
              </w:rPr>
              <w:t>制定了详细、周期性的培训计划，内容必须涵盖：《昆明市环境卫生作业规范及质量标准》、安全操作规程（特别是车辆封闭运输、避免飘洒）、应急处理流程、文明服务规范；建立了完善的考核机制，考核方式多样化，包括日常考核，年度考核，自评、互评、上级评价、群众满意度调查等；</w:t>
            </w:r>
          </w:p>
          <w:p w14:paraId="00DA38D6">
            <w:pPr>
              <w:jc w:val="left"/>
              <w:rPr>
                <w:rFonts w:hint="eastAsia"/>
                <w:color w:val="auto"/>
                <w:lang w:val="en-US" w:eastAsia="zh-CN"/>
              </w:rPr>
            </w:pPr>
            <w:r>
              <w:rPr>
                <w:rFonts w:hint="eastAsia" w:ascii="宋体" w:hAnsi="宋体" w:eastAsia="宋体" w:cstheme="minorBidi"/>
                <w:b/>
                <w:bCs/>
                <w:color w:val="auto"/>
                <w:kern w:val="2"/>
                <w:sz w:val="24"/>
                <w:szCs w:val="22"/>
                <w:lang w:val="en-US" w:eastAsia="zh-CN" w:bidi="ar-SA"/>
              </w:rPr>
              <w:t>第</w:t>
            </w:r>
            <w:r>
              <w:rPr>
                <w:rFonts w:hint="eastAsia" w:cstheme="minorBidi"/>
                <w:b/>
                <w:bCs/>
                <w:color w:val="auto"/>
                <w:kern w:val="2"/>
                <w:sz w:val="24"/>
                <w:szCs w:val="22"/>
                <w:lang w:val="en-US" w:eastAsia="zh-CN" w:bidi="ar-SA"/>
              </w:rPr>
              <w:t>二</w:t>
            </w:r>
            <w:r>
              <w:rPr>
                <w:rFonts w:hint="eastAsia" w:ascii="宋体" w:hAnsi="宋体" w:eastAsia="宋体" w:cstheme="minorBidi"/>
                <w:b/>
                <w:bCs/>
                <w:color w:val="auto"/>
                <w:kern w:val="2"/>
                <w:sz w:val="24"/>
                <w:szCs w:val="22"/>
                <w:lang w:val="en-US" w:eastAsia="zh-CN" w:bidi="ar-SA"/>
              </w:rPr>
              <w:t>档次</w:t>
            </w:r>
            <w:r>
              <w:rPr>
                <w:rFonts w:hint="eastAsia" w:cstheme="minorBidi"/>
                <w:b/>
                <w:bCs/>
                <w:color w:val="auto"/>
                <w:kern w:val="2"/>
                <w:sz w:val="24"/>
                <w:szCs w:val="22"/>
                <w:lang w:val="en-US" w:eastAsia="zh-CN" w:bidi="ar-SA"/>
              </w:rPr>
              <w:t>（7分）：</w:t>
            </w:r>
            <w:r>
              <w:rPr>
                <w:rFonts w:hint="eastAsia"/>
                <w:color w:val="auto"/>
                <w:lang w:val="en-US" w:eastAsia="zh-CN"/>
              </w:rPr>
              <w:t>有培训计划及考核机制，但部分内容不够清晰，有一定的针对性；</w:t>
            </w:r>
          </w:p>
          <w:p w14:paraId="7E5F0E5D">
            <w:pPr>
              <w:jc w:val="left"/>
              <w:rPr>
                <w:rFonts w:hint="eastAsia"/>
                <w:color w:val="auto"/>
                <w:lang w:val="en-US" w:eastAsia="zh-CN"/>
              </w:rPr>
            </w:pPr>
            <w:r>
              <w:rPr>
                <w:rFonts w:hint="eastAsia" w:ascii="宋体" w:hAnsi="宋体" w:eastAsia="宋体" w:cstheme="minorBidi"/>
                <w:b/>
                <w:bCs/>
                <w:color w:val="auto"/>
                <w:kern w:val="2"/>
                <w:sz w:val="24"/>
                <w:szCs w:val="22"/>
                <w:lang w:val="en-US" w:eastAsia="zh-CN" w:bidi="ar-SA"/>
              </w:rPr>
              <w:t>第</w:t>
            </w:r>
            <w:r>
              <w:rPr>
                <w:rFonts w:hint="eastAsia" w:cstheme="minorBidi"/>
                <w:b/>
                <w:bCs/>
                <w:color w:val="auto"/>
                <w:kern w:val="2"/>
                <w:sz w:val="24"/>
                <w:szCs w:val="22"/>
                <w:lang w:val="en-US" w:eastAsia="zh-CN" w:bidi="ar-SA"/>
              </w:rPr>
              <w:t>三</w:t>
            </w:r>
            <w:r>
              <w:rPr>
                <w:rFonts w:hint="eastAsia" w:ascii="宋体" w:hAnsi="宋体" w:eastAsia="宋体" w:cstheme="minorBidi"/>
                <w:b/>
                <w:bCs/>
                <w:color w:val="auto"/>
                <w:kern w:val="2"/>
                <w:sz w:val="24"/>
                <w:szCs w:val="22"/>
                <w:lang w:val="en-US" w:eastAsia="zh-CN" w:bidi="ar-SA"/>
              </w:rPr>
              <w:t>档次</w:t>
            </w:r>
            <w:r>
              <w:rPr>
                <w:rFonts w:hint="eastAsia" w:cstheme="minorBidi"/>
                <w:b/>
                <w:bCs/>
                <w:color w:val="auto"/>
                <w:kern w:val="2"/>
                <w:sz w:val="24"/>
                <w:szCs w:val="22"/>
                <w:lang w:val="en-US" w:eastAsia="zh-CN" w:bidi="ar-SA"/>
              </w:rPr>
              <w:t>（4分）：</w:t>
            </w:r>
            <w:r>
              <w:rPr>
                <w:rFonts w:hint="eastAsia"/>
                <w:color w:val="auto"/>
                <w:lang w:val="en-US" w:eastAsia="zh-CN"/>
              </w:rPr>
              <w:t>有培训计划及考核机制，但内容存在缺漏，针对性一般；</w:t>
            </w:r>
          </w:p>
          <w:p w14:paraId="6AA3C349">
            <w:pPr>
              <w:jc w:val="left"/>
              <w:rPr>
                <w:rFonts w:hint="eastAsia"/>
                <w:color w:val="auto"/>
                <w:lang w:val="en-US" w:eastAsia="zh-CN"/>
              </w:rPr>
            </w:pPr>
            <w:r>
              <w:rPr>
                <w:rFonts w:hint="eastAsia" w:ascii="宋体" w:hAnsi="宋体" w:eastAsia="宋体" w:cstheme="minorBidi"/>
                <w:b/>
                <w:bCs/>
                <w:color w:val="auto"/>
                <w:kern w:val="2"/>
                <w:sz w:val="24"/>
                <w:szCs w:val="22"/>
                <w:lang w:val="en-US" w:eastAsia="zh-CN" w:bidi="ar-SA"/>
              </w:rPr>
              <w:t>第</w:t>
            </w:r>
            <w:r>
              <w:rPr>
                <w:rFonts w:hint="eastAsia" w:cstheme="minorBidi"/>
                <w:b/>
                <w:bCs/>
                <w:color w:val="auto"/>
                <w:kern w:val="2"/>
                <w:sz w:val="24"/>
                <w:szCs w:val="22"/>
                <w:lang w:val="en-US" w:eastAsia="zh-CN" w:bidi="ar-SA"/>
              </w:rPr>
              <w:t>四</w:t>
            </w:r>
            <w:r>
              <w:rPr>
                <w:rFonts w:hint="eastAsia" w:ascii="宋体" w:hAnsi="宋体" w:eastAsia="宋体" w:cstheme="minorBidi"/>
                <w:b/>
                <w:bCs/>
                <w:color w:val="auto"/>
                <w:kern w:val="2"/>
                <w:sz w:val="24"/>
                <w:szCs w:val="22"/>
                <w:lang w:val="en-US" w:eastAsia="zh-CN" w:bidi="ar-SA"/>
              </w:rPr>
              <w:t>档次</w:t>
            </w:r>
            <w:r>
              <w:rPr>
                <w:rFonts w:hint="eastAsia" w:cstheme="minorBidi"/>
                <w:b/>
                <w:bCs/>
                <w:color w:val="auto"/>
                <w:kern w:val="2"/>
                <w:sz w:val="24"/>
                <w:szCs w:val="22"/>
                <w:lang w:val="en-US" w:eastAsia="zh-CN" w:bidi="ar-SA"/>
              </w:rPr>
              <w:t>（1分）：</w:t>
            </w:r>
            <w:r>
              <w:rPr>
                <w:rFonts w:hint="eastAsia"/>
                <w:color w:val="auto"/>
                <w:lang w:val="en-US" w:eastAsia="zh-CN"/>
              </w:rPr>
              <w:t>培训方案及考核机制笼统、流于形式，或缺失重要内容；</w:t>
            </w:r>
          </w:p>
          <w:p w14:paraId="7BAB96A3">
            <w:pPr>
              <w:pStyle w:val="16"/>
              <w:ind w:left="0" w:leftChars="0" w:firstLine="241" w:firstLineChars="100"/>
              <w:rPr>
                <w:color w:val="auto"/>
              </w:rPr>
            </w:pPr>
            <w:r>
              <w:rPr>
                <w:rFonts w:hint="eastAsia" w:ascii="宋体" w:hAnsi="宋体" w:cstheme="minorBidi"/>
                <w:b/>
                <w:bCs/>
                <w:color w:val="auto"/>
                <w:kern w:val="2"/>
                <w:sz w:val="24"/>
                <w:szCs w:val="22"/>
                <w:lang w:val="en-US" w:eastAsia="zh-CN" w:bidi="ar-SA"/>
              </w:rPr>
              <w:t>注</w:t>
            </w:r>
            <w:r>
              <w:rPr>
                <w:rFonts w:hint="eastAsia" w:cstheme="minorBidi"/>
                <w:color w:val="auto"/>
                <w:kern w:val="2"/>
                <w:sz w:val="24"/>
                <w:szCs w:val="22"/>
                <w:lang w:val="en-US" w:eastAsia="zh-CN" w:bidi="ar-SA"/>
              </w:rPr>
              <w:t>：未提供相关内容的不得分。</w:t>
            </w:r>
          </w:p>
        </w:tc>
      </w:tr>
      <w:tr w14:paraId="07600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6" w:hRule="atLeast"/>
          <w:jc w:val="center"/>
        </w:trPr>
        <w:tc>
          <w:tcPr>
            <w:tcW w:w="1216" w:type="dxa"/>
            <w:vMerge w:val="continue"/>
            <w:vAlign w:val="center"/>
          </w:tcPr>
          <w:p w14:paraId="6A672F6F">
            <w:pPr>
              <w:pStyle w:val="48"/>
              <w:jc w:val="center"/>
              <w:rPr>
                <w:rFonts w:hint="eastAsia"/>
              </w:rPr>
            </w:pPr>
          </w:p>
        </w:tc>
        <w:tc>
          <w:tcPr>
            <w:tcW w:w="1183" w:type="dxa"/>
            <w:vMerge w:val="restart"/>
            <w:tcBorders>
              <w:top w:val="single" w:color="auto" w:sz="4" w:space="0"/>
            </w:tcBorders>
            <w:vAlign w:val="center"/>
          </w:tcPr>
          <w:p w14:paraId="2BD50AB8">
            <w:pPr>
              <w:pStyle w:val="48"/>
              <w:jc w:val="center"/>
              <w:rPr>
                <w:rFonts w:hint="eastAsia" w:ascii="仿宋_GB2312" w:cs="宋体"/>
                <w:szCs w:val="21"/>
                <w:lang w:val="zh-CN"/>
              </w:rPr>
            </w:pPr>
            <w:r>
              <w:rPr>
                <w:rFonts w:hint="eastAsia" w:ascii="宋体" w:hAnsi="宋体" w:eastAsia="宋体" w:cstheme="minorBidi"/>
                <w:color w:val="auto"/>
                <w:kern w:val="2"/>
                <w:sz w:val="24"/>
                <w:szCs w:val="22"/>
                <w:lang w:val="en-US" w:eastAsia="zh-CN" w:bidi="ar-SA"/>
              </w:rPr>
              <w:t>设备投入方案评审</w:t>
            </w:r>
          </w:p>
        </w:tc>
        <w:tc>
          <w:tcPr>
            <w:tcW w:w="881" w:type="dxa"/>
            <w:vMerge w:val="restart"/>
            <w:vAlign w:val="center"/>
          </w:tcPr>
          <w:p w14:paraId="0A2D1627">
            <w:pPr>
              <w:pStyle w:val="48"/>
              <w:jc w:val="center"/>
              <w:rPr>
                <w:rFonts w:hint="eastAsia"/>
              </w:rPr>
            </w:pPr>
            <w:r>
              <w:rPr>
                <w:rFonts w:hint="eastAsia"/>
                <w:lang w:val="en-US" w:eastAsia="zh-CN"/>
              </w:rPr>
              <w:t>15</w:t>
            </w:r>
            <w:r>
              <w:rPr>
                <w:rFonts w:hint="eastAsia"/>
              </w:rPr>
              <w:t>分</w:t>
            </w:r>
          </w:p>
        </w:tc>
        <w:tc>
          <w:tcPr>
            <w:tcW w:w="913" w:type="dxa"/>
            <w:vAlign w:val="center"/>
          </w:tcPr>
          <w:p w14:paraId="3B880E49">
            <w:pPr>
              <w:jc w:val="center"/>
              <w:rPr>
                <w:rFonts w:hint="eastAsia"/>
                <w:color w:val="auto"/>
                <w:lang w:val="en-US" w:eastAsia="zh-CN"/>
              </w:rPr>
            </w:pPr>
            <w:r>
              <w:rPr>
                <w:rFonts w:hint="eastAsia"/>
                <w:color w:val="auto"/>
                <w:lang w:val="en-US" w:eastAsia="zh-CN"/>
              </w:rPr>
              <w:t>设备配置充足性与匹配度</w:t>
            </w:r>
          </w:p>
          <w:p w14:paraId="4C1C12EA">
            <w:pPr>
              <w:jc w:val="center"/>
              <w:rPr>
                <w:rFonts w:hint="eastAsia" w:ascii="仿宋_GB2312" w:cs="宋体"/>
                <w:color w:val="auto"/>
                <w:szCs w:val="21"/>
              </w:rPr>
            </w:pPr>
            <w:r>
              <w:rPr>
                <w:rFonts w:hint="eastAsia"/>
                <w:color w:val="auto"/>
                <w:lang w:val="en-US" w:eastAsia="zh-CN"/>
              </w:rPr>
              <w:t>5分</w:t>
            </w:r>
          </w:p>
        </w:tc>
        <w:tc>
          <w:tcPr>
            <w:tcW w:w="4788" w:type="dxa"/>
            <w:vAlign w:val="center"/>
          </w:tcPr>
          <w:p w14:paraId="676CC612">
            <w:pPr>
              <w:rPr>
                <w:rFonts w:hint="eastAsia" w:eastAsia="宋体"/>
                <w:color w:val="auto"/>
                <w:lang w:eastAsia="zh-CN"/>
              </w:rPr>
            </w:pPr>
            <w:r>
              <w:rPr>
                <w:rFonts w:hint="eastAsia" w:ascii="宋体" w:hAnsi="宋体" w:eastAsia="宋体" w:cstheme="minorBidi"/>
                <w:b/>
                <w:bCs/>
                <w:color w:val="auto"/>
                <w:kern w:val="2"/>
                <w:sz w:val="24"/>
                <w:szCs w:val="22"/>
                <w:lang w:val="en-US" w:eastAsia="zh-CN" w:bidi="ar-SA"/>
              </w:rPr>
              <w:t>第</w:t>
            </w:r>
            <w:r>
              <w:rPr>
                <w:rFonts w:hint="eastAsia" w:cstheme="minorBidi"/>
                <w:b/>
                <w:bCs/>
                <w:color w:val="auto"/>
                <w:kern w:val="2"/>
                <w:sz w:val="24"/>
                <w:szCs w:val="22"/>
                <w:lang w:val="en-US" w:eastAsia="zh-CN" w:bidi="ar-SA"/>
              </w:rPr>
              <w:t>一</w:t>
            </w:r>
            <w:r>
              <w:rPr>
                <w:rFonts w:hint="eastAsia" w:ascii="宋体" w:hAnsi="宋体" w:eastAsia="宋体" w:cstheme="minorBidi"/>
                <w:b/>
                <w:bCs/>
                <w:color w:val="auto"/>
                <w:kern w:val="2"/>
                <w:sz w:val="24"/>
                <w:szCs w:val="22"/>
                <w:lang w:val="en-US" w:eastAsia="zh-CN" w:bidi="ar-SA"/>
              </w:rPr>
              <w:t>档次</w:t>
            </w:r>
            <w:r>
              <w:rPr>
                <w:rFonts w:hint="eastAsia" w:cstheme="minorBidi"/>
                <w:b/>
                <w:bCs/>
                <w:color w:val="auto"/>
                <w:kern w:val="2"/>
                <w:sz w:val="24"/>
                <w:szCs w:val="22"/>
                <w:lang w:val="en-US" w:eastAsia="zh-CN" w:bidi="ar-SA"/>
              </w:rPr>
              <w:t>（5分）</w:t>
            </w:r>
            <w:r>
              <w:rPr>
                <w:rFonts w:hint="eastAsia" w:cstheme="minorBidi"/>
                <w:color w:val="auto"/>
                <w:kern w:val="2"/>
                <w:sz w:val="24"/>
                <w:szCs w:val="22"/>
                <w:lang w:val="en-US" w:eastAsia="zh-CN" w:bidi="ar-SA"/>
              </w:rPr>
              <w:t>：</w:t>
            </w:r>
            <w:r>
              <w:rPr>
                <w:rFonts w:hint="eastAsia"/>
                <w:color w:val="auto"/>
              </w:rPr>
              <w:t>提供</w:t>
            </w:r>
            <w:r>
              <w:rPr>
                <w:rFonts w:hint="eastAsia"/>
                <w:color w:val="auto"/>
                <w:lang w:eastAsia="zh-CN"/>
              </w:rPr>
              <w:t>了</w:t>
            </w:r>
            <w:r>
              <w:rPr>
                <w:rFonts w:hint="eastAsia"/>
                <w:color w:val="auto"/>
              </w:rPr>
              <w:t>详细的拟投入车辆清单（包括车型、数量、载重、厢体是否密闭、购置/租赁年限）</w:t>
            </w:r>
            <w:r>
              <w:rPr>
                <w:rFonts w:hint="eastAsia"/>
                <w:color w:val="auto"/>
                <w:lang w:eastAsia="zh-CN"/>
              </w:rPr>
              <w:t>；</w:t>
            </w:r>
            <w:r>
              <w:rPr>
                <w:rFonts w:hint="eastAsia"/>
                <w:color w:val="auto"/>
              </w:rPr>
              <w:t>根据</w:t>
            </w:r>
            <w:r>
              <w:rPr>
                <w:rFonts w:hint="eastAsia"/>
                <w:color w:val="auto"/>
                <w:lang w:val="en-US" w:eastAsia="zh-CN"/>
              </w:rPr>
              <w:t>采购需求</w:t>
            </w:r>
            <w:r>
              <w:rPr>
                <w:rFonts w:hint="eastAsia"/>
                <w:color w:val="auto"/>
              </w:rPr>
              <w:t>的要求，通过科学的运力测算（可附简单测算说明），证明配置的车辆总数和单次运力完全满足甚至略有富余，能应对高峰及新增点位。</w:t>
            </w:r>
            <w:r>
              <w:rPr>
                <w:rFonts w:hint="eastAsia"/>
                <w:color w:val="auto"/>
                <w:lang w:eastAsia="zh-CN"/>
              </w:rPr>
              <w:t>；</w:t>
            </w:r>
            <w:r>
              <w:rPr>
                <w:rFonts w:hint="eastAsia"/>
                <w:color w:val="auto"/>
              </w:rPr>
              <w:t>车型选择合理，适合农村道路行驶，且全部为封闭式运输车辆，符合环保要求</w:t>
            </w:r>
            <w:r>
              <w:rPr>
                <w:rFonts w:hint="eastAsia"/>
                <w:color w:val="auto"/>
                <w:lang w:eastAsia="zh-CN"/>
              </w:rPr>
              <w:t>；</w:t>
            </w:r>
          </w:p>
          <w:p w14:paraId="74154885">
            <w:pPr>
              <w:rPr>
                <w:rFonts w:hint="eastAsia" w:eastAsia="宋体"/>
                <w:color w:val="auto"/>
                <w:lang w:eastAsia="zh-CN"/>
              </w:rPr>
            </w:pPr>
            <w:r>
              <w:rPr>
                <w:rFonts w:hint="eastAsia" w:ascii="宋体" w:hAnsi="宋体" w:eastAsia="宋体" w:cstheme="minorBidi"/>
                <w:b/>
                <w:bCs/>
                <w:color w:val="auto"/>
                <w:kern w:val="2"/>
                <w:sz w:val="24"/>
                <w:szCs w:val="22"/>
                <w:lang w:val="en-US" w:eastAsia="zh-CN" w:bidi="ar-SA"/>
              </w:rPr>
              <w:t>第</w:t>
            </w:r>
            <w:r>
              <w:rPr>
                <w:rFonts w:hint="eastAsia" w:cstheme="minorBidi"/>
                <w:b/>
                <w:bCs/>
                <w:color w:val="auto"/>
                <w:kern w:val="2"/>
                <w:sz w:val="24"/>
                <w:szCs w:val="22"/>
                <w:lang w:val="en-US" w:eastAsia="zh-CN" w:bidi="ar-SA"/>
              </w:rPr>
              <w:t>二</w:t>
            </w:r>
            <w:r>
              <w:rPr>
                <w:rFonts w:hint="eastAsia" w:ascii="宋体" w:hAnsi="宋体" w:eastAsia="宋体" w:cstheme="minorBidi"/>
                <w:b/>
                <w:bCs/>
                <w:color w:val="auto"/>
                <w:kern w:val="2"/>
                <w:sz w:val="24"/>
                <w:szCs w:val="22"/>
                <w:lang w:val="en-US" w:eastAsia="zh-CN" w:bidi="ar-SA"/>
              </w:rPr>
              <w:t>档次</w:t>
            </w:r>
            <w:r>
              <w:rPr>
                <w:rFonts w:hint="eastAsia" w:cstheme="minorBidi"/>
                <w:b/>
                <w:bCs/>
                <w:color w:val="auto"/>
                <w:kern w:val="2"/>
                <w:sz w:val="24"/>
                <w:szCs w:val="22"/>
                <w:lang w:val="en-US" w:eastAsia="zh-CN" w:bidi="ar-SA"/>
              </w:rPr>
              <w:t>（3分）</w:t>
            </w:r>
            <w:r>
              <w:rPr>
                <w:rFonts w:hint="eastAsia" w:cstheme="minorBidi"/>
                <w:color w:val="auto"/>
                <w:kern w:val="2"/>
                <w:sz w:val="24"/>
                <w:szCs w:val="22"/>
                <w:lang w:val="en-US" w:eastAsia="zh-CN" w:bidi="ar-SA"/>
              </w:rPr>
              <w:t>：</w:t>
            </w:r>
            <w:r>
              <w:rPr>
                <w:rFonts w:hint="eastAsia"/>
                <w:color w:val="auto"/>
              </w:rPr>
              <w:t>车辆清单基本完整，数量基本满足要求，但运力测算不够细致或略有紧张。车型选择基本合理</w:t>
            </w:r>
            <w:r>
              <w:rPr>
                <w:rFonts w:hint="eastAsia"/>
                <w:color w:val="auto"/>
                <w:lang w:eastAsia="zh-CN"/>
              </w:rPr>
              <w:t>；</w:t>
            </w:r>
          </w:p>
          <w:p w14:paraId="62C72B53">
            <w:pPr>
              <w:rPr>
                <w:rFonts w:hint="eastAsia" w:eastAsia="宋体"/>
                <w:color w:val="auto"/>
                <w:lang w:eastAsia="zh-CN"/>
              </w:rPr>
            </w:pPr>
            <w:r>
              <w:rPr>
                <w:rFonts w:hint="eastAsia" w:ascii="宋体" w:hAnsi="宋体" w:eastAsia="宋体" w:cstheme="minorBidi"/>
                <w:b/>
                <w:bCs/>
                <w:color w:val="auto"/>
                <w:kern w:val="2"/>
                <w:sz w:val="24"/>
                <w:szCs w:val="22"/>
                <w:lang w:val="en-US" w:eastAsia="zh-CN" w:bidi="ar-SA"/>
              </w:rPr>
              <w:t>第</w:t>
            </w:r>
            <w:r>
              <w:rPr>
                <w:rFonts w:hint="eastAsia" w:cstheme="minorBidi"/>
                <w:b/>
                <w:bCs/>
                <w:color w:val="auto"/>
                <w:kern w:val="2"/>
                <w:sz w:val="24"/>
                <w:szCs w:val="22"/>
                <w:lang w:val="en-US" w:eastAsia="zh-CN" w:bidi="ar-SA"/>
              </w:rPr>
              <w:t>三</w:t>
            </w:r>
            <w:r>
              <w:rPr>
                <w:rFonts w:hint="eastAsia" w:ascii="宋体" w:hAnsi="宋体" w:eastAsia="宋体" w:cstheme="minorBidi"/>
                <w:b/>
                <w:bCs/>
                <w:color w:val="auto"/>
                <w:kern w:val="2"/>
                <w:sz w:val="24"/>
                <w:szCs w:val="22"/>
                <w:lang w:val="en-US" w:eastAsia="zh-CN" w:bidi="ar-SA"/>
              </w:rPr>
              <w:t>档次</w:t>
            </w:r>
            <w:r>
              <w:rPr>
                <w:rFonts w:hint="eastAsia" w:cstheme="minorBidi"/>
                <w:b/>
                <w:bCs/>
                <w:color w:val="auto"/>
                <w:kern w:val="2"/>
                <w:sz w:val="24"/>
                <w:szCs w:val="22"/>
                <w:lang w:val="en-US" w:eastAsia="zh-CN" w:bidi="ar-SA"/>
              </w:rPr>
              <w:t>（1分）：</w:t>
            </w:r>
            <w:r>
              <w:rPr>
                <w:rFonts w:hint="eastAsia"/>
                <w:color w:val="auto"/>
              </w:rPr>
              <w:t>车辆清单缺失，数量明显不足，或未说明如何满足清运需求，车型不符合封闭要求</w:t>
            </w:r>
            <w:r>
              <w:rPr>
                <w:rFonts w:hint="eastAsia"/>
                <w:color w:val="auto"/>
                <w:lang w:eastAsia="zh-CN"/>
              </w:rPr>
              <w:t>；</w:t>
            </w:r>
          </w:p>
          <w:p w14:paraId="633A9549">
            <w:pPr>
              <w:ind w:firstLine="241" w:firstLineChars="100"/>
              <w:rPr>
                <w:rFonts w:hint="eastAsia" w:cstheme="minorBidi"/>
                <w:color w:val="auto"/>
                <w:kern w:val="2"/>
                <w:sz w:val="24"/>
                <w:szCs w:val="22"/>
                <w:lang w:val="en-US" w:eastAsia="zh-CN" w:bidi="ar-SA"/>
              </w:rPr>
            </w:pPr>
            <w:r>
              <w:rPr>
                <w:rFonts w:hint="eastAsia" w:cstheme="minorBidi"/>
                <w:b/>
                <w:bCs/>
                <w:color w:val="auto"/>
                <w:kern w:val="2"/>
                <w:sz w:val="24"/>
                <w:szCs w:val="22"/>
                <w:lang w:val="en-US" w:eastAsia="zh-CN" w:bidi="ar-SA"/>
              </w:rPr>
              <w:t>注：</w:t>
            </w:r>
            <w:r>
              <w:rPr>
                <w:rFonts w:hint="eastAsia" w:cstheme="minorBidi"/>
                <w:color w:val="auto"/>
                <w:kern w:val="2"/>
                <w:sz w:val="24"/>
                <w:szCs w:val="22"/>
                <w:lang w:val="en-US" w:eastAsia="zh-CN" w:bidi="ar-SA"/>
              </w:rPr>
              <w:t>未提供相关内容的不得分。</w:t>
            </w:r>
          </w:p>
        </w:tc>
      </w:tr>
      <w:tr w14:paraId="318D2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jc w:val="center"/>
        </w:trPr>
        <w:tc>
          <w:tcPr>
            <w:tcW w:w="1216" w:type="dxa"/>
            <w:vMerge w:val="continue"/>
            <w:vAlign w:val="center"/>
          </w:tcPr>
          <w:p w14:paraId="0054B701">
            <w:pPr>
              <w:pStyle w:val="29"/>
              <w:adjustRightInd w:val="0"/>
              <w:snapToGrid w:val="0"/>
              <w:spacing w:before="0" w:beforeAutospacing="0" w:after="0" w:afterAutospacing="0"/>
            </w:pPr>
          </w:p>
        </w:tc>
        <w:tc>
          <w:tcPr>
            <w:tcW w:w="1183" w:type="dxa"/>
            <w:vMerge w:val="continue"/>
            <w:vAlign w:val="center"/>
          </w:tcPr>
          <w:p w14:paraId="6FDA419A">
            <w:pPr>
              <w:pStyle w:val="29"/>
              <w:adjustRightInd w:val="0"/>
              <w:snapToGrid w:val="0"/>
              <w:spacing w:before="0" w:beforeAutospacing="0" w:after="0" w:afterAutospacing="0"/>
            </w:pPr>
          </w:p>
        </w:tc>
        <w:tc>
          <w:tcPr>
            <w:tcW w:w="881" w:type="dxa"/>
            <w:vMerge w:val="continue"/>
            <w:vAlign w:val="center"/>
          </w:tcPr>
          <w:p w14:paraId="4D7D4A87">
            <w:pPr>
              <w:pStyle w:val="29"/>
              <w:adjustRightInd w:val="0"/>
              <w:snapToGrid w:val="0"/>
              <w:spacing w:before="0" w:beforeAutospacing="0" w:after="0" w:afterAutospacing="0"/>
            </w:pPr>
          </w:p>
        </w:tc>
        <w:tc>
          <w:tcPr>
            <w:tcW w:w="913" w:type="dxa"/>
            <w:vAlign w:val="center"/>
          </w:tcPr>
          <w:p w14:paraId="6C119A26">
            <w:pPr>
              <w:jc w:val="center"/>
              <w:rPr>
                <w:rFonts w:hint="eastAsia"/>
                <w:color w:val="auto"/>
                <w:lang w:val="en-US" w:eastAsia="zh-CN"/>
              </w:rPr>
            </w:pPr>
            <w:r>
              <w:rPr>
                <w:rFonts w:hint="eastAsia"/>
                <w:color w:val="auto"/>
                <w:lang w:val="en-US" w:eastAsia="zh-CN"/>
              </w:rPr>
              <w:t>设备运营管理制度</w:t>
            </w:r>
          </w:p>
          <w:p w14:paraId="4261733A">
            <w:pPr>
              <w:jc w:val="center"/>
              <w:rPr>
                <w:color w:val="auto"/>
              </w:rPr>
            </w:pPr>
            <w:r>
              <w:rPr>
                <w:rFonts w:hint="eastAsia"/>
                <w:color w:val="auto"/>
                <w:lang w:val="en-US" w:eastAsia="zh-CN"/>
              </w:rPr>
              <w:t>10分</w:t>
            </w:r>
          </w:p>
        </w:tc>
        <w:tc>
          <w:tcPr>
            <w:tcW w:w="4788" w:type="dxa"/>
            <w:vAlign w:val="center"/>
          </w:tcPr>
          <w:p w14:paraId="30BB162E">
            <w:pPr>
              <w:rPr>
                <w:rFonts w:hint="eastAsia"/>
                <w:color w:val="auto"/>
                <w:lang w:val="en-US" w:eastAsia="zh-CN"/>
              </w:rPr>
            </w:pPr>
            <w:r>
              <w:rPr>
                <w:rFonts w:hint="eastAsia" w:ascii="宋体" w:hAnsi="宋体" w:eastAsia="宋体" w:cstheme="minorBidi"/>
                <w:b/>
                <w:bCs/>
                <w:color w:val="auto"/>
                <w:kern w:val="2"/>
                <w:sz w:val="24"/>
                <w:szCs w:val="22"/>
                <w:lang w:val="en-US" w:eastAsia="zh-CN" w:bidi="ar-SA"/>
              </w:rPr>
              <w:t>第</w:t>
            </w:r>
            <w:r>
              <w:rPr>
                <w:rFonts w:hint="eastAsia" w:cstheme="minorBidi"/>
                <w:b/>
                <w:bCs/>
                <w:color w:val="auto"/>
                <w:kern w:val="2"/>
                <w:sz w:val="24"/>
                <w:szCs w:val="22"/>
                <w:lang w:val="en-US" w:eastAsia="zh-CN" w:bidi="ar-SA"/>
              </w:rPr>
              <w:t>一</w:t>
            </w:r>
            <w:r>
              <w:rPr>
                <w:rFonts w:hint="eastAsia" w:ascii="宋体" w:hAnsi="宋体" w:eastAsia="宋体" w:cstheme="minorBidi"/>
                <w:b/>
                <w:bCs/>
                <w:color w:val="auto"/>
                <w:kern w:val="2"/>
                <w:sz w:val="24"/>
                <w:szCs w:val="22"/>
                <w:lang w:val="en-US" w:eastAsia="zh-CN" w:bidi="ar-SA"/>
              </w:rPr>
              <w:t>档次</w:t>
            </w:r>
            <w:r>
              <w:rPr>
                <w:rFonts w:hint="eastAsia" w:cstheme="minorBidi"/>
                <w:b/>
                <w:bCs/>
                <w:color w:val="auto"/>
                <w:kern w:val="2"/>
                <w:sz w:val="24"/>
                <w:szCs w:val="22"/>
                <w:lang w:val="en-US" w:eastAsia="zh-CN" w:bidi="ar-SA"/>
              </w:rPr>
              <w:t>（10分）：</w:t>
            </w:r>
            <w:r>
              <w:rPr>
                <w:rFonts w:hint="eastAsia"/>
                <w:color w:val="auto"/>
              </w:rPr>
              <w:t>制定了完善的制度，包括：调度制度</w:t>
            </w:r>
            <w:r>
              <w:rPr>
                <w:rFonts w:hint="eastAsia"/>
                <w:color w:val="auto"/>
                <w:lang w:eastAsia="zh-CN"/>
              </w:rPr>
              <w:t>、</w:t>
            </w:r>
            <w:r>
              <w:rPr>
                <w:rFonts w:hint="eastAsia"/>
                <w:color w:val="auto"/>
              </w:rPr>
              <w:t>日常检查与维护制度</w:t>
            </w:r>
            <w:r>
              <w:rPr>
                <w:rFonts w:hint="eastAsia"/>
                <w:color w:val="auto"/>
                <w:lang w:eastAsia="zh-CN"/>
              </w:rPr>
              <w:t>、</w:t>
            </w:r>
            <w:r>
              <w:rPr>
                <w:rFonts w:hint="eastAsia"/>
                <w:color w:val="auto"/>
              </w:rPr>
              <w:t>车容车貌管理制度</w:t>
            </w:r>
            <w:r>
              <w:rPr>
                <w:rFonts w:hint="eastAsia"/>
                <w:color w:val="auto"/>
                <w:lang w:eastAsia="zh-CN"/>
              </w:rPr>
              <w:t>、应急与备用保障</w:t>
            </w:r>
            <w:r>
              <w:rPr>
                <w:rFonts w:hint="eastAsia"/>
                <w:color w:val="auto"/>
                <w:lang w:val="en-US" w:eastAsia="zh-CN"/>
              </w:rPr>
              <w:t>制度</w:t>
            </w:r>
            <w:r>
              <w:rPr>
                <w:rFonts w:hint="eastAsia"/>
                <w:color w:val="auto"/>
              </w:rPr>
              <w:t>。</w:t>
            </w:r>
            <w:r>
              <w:rPr>
                <w:rFonts w:hint="eastAsia"/>
                <w:color w:val="auto"/>
                <w:lang w:val="en-US" w:eastAsia="zh-CN"/>
              </w:rPr>
              <w:t>制度完善，可操作性强；</w:t>
            </w:r>
          </w:p>
          <w:p w14:paraId="473F5C01">
            <w:pPr>
              <w:rPr>
                <w:rFonts w:hint="eastAsia"/>
                <w:color w:val="auto"/>
                <w:lang w:eastAsia="zh-CN"/>
              </w:rPr>
            </w:pPr>
            <w:r>
              <w:rPr>
                <w:rFonts w:hint="eastAsia" w:ascii="宋体" w:hAnsi="宋体" w:eastAsia="宋体" w:cstheme="minorBidi"/>
                <w:b/>
                <w:bCs/>
                <w:color w:val="auto"/>
                <w:kern w:val="2"/>
                <w:sz w:val="24"/>
                <w:szCs w:val="22"/>
                <w:lang w:val="en-US" w:eastAsia="zh-CN" w:bidi="ar-SA"/>
              </w:rPr>
              <w:t>第</w:t>
            </w:r>
            <w:r>
              <w:rPr>
                <w:rFonts w:hint="eastAsia" w:cstheme="minorBidi"/>
                <w:b/>
                <w:bCs/>
                <w:color w:val="auto"/>
                <w:kern w:val="2"/>
                <w:sz w:val="24"/>
                <w:szCs w:val="22"/>
                <w:lang w:val="en-US" w:eastAsia="zh-CN" w:bidi="ar-SA"/>
              </w:rPr>
              <w:t>二</w:t>
            </w:r>
            <w:r>
              <w:rPr>
                <w:rFonts w:hint="eastAsia" w:ascii="宋体" w:hAnsi="宋体" w:eastAsia="宋体" w:cstheme="minorBidi"/>
                <w:b/>
                <w:bCs/>
                <w:color w:val="auto"/>
                <w:kern w:val="2"/>
                <w:sz w:val="24"/>
                <w:szCs w:val="22"/>
                <w:lang w:val="en-US" w:eastAsia="zh-CN" w:bidi="ar-SA"/>
              </w:rPr>
              <w:t>档次</w:t>
            </w:r>
            <w:r>
              <w:rPr>
                <w:rFonts w:hint="eastAsia" w:cstheme="minorBidi"/>
                <w:b/>
                <w:bCs/>
                <w:color w:val="auto"/>
                <w:kern w:val="2"/>
                <w:sz w:val="24"/>
                <w:szCs w:val="22"/>
                <w:lang w:val="en-US" w:eastAsia="zh-CN" w:bidi="ar-SA"/>
              </w:rPr>
              <w:t>（7分）：</w:t>
            </w:r>
            <w:r>
              <w:rPr>
                <w:rFonts w:hint="eastAsia"/>
                <w:color w:val="auto"/>
              </w:rPr>
              <w:t>上述制度基本具备，但部分环节描述不够详尽或可操作性一般</w:t>
            </w:r>
            <w:r>
              <w:rPr>
                <w:rFonts w:hint="eastAsia"/>
                <w:color w:val="auto"/>
                <w:lang w:eastAsia="zh-CN"/>
              </w:rPr>
              <w:t>；</w:t>
            </w:r>
          </w:p>
          <w:p w14:paraId="5C822E64">
            <w:pPr>
              <w:rPr>
                <w:rFonts w:hint="eastAsia"/>
                <w:lang w:eastAsia="zh-CN"/>
              </w:rPr>
            </w:pPr>
            <w:r>
              <w:rPr>
                <w:rFonts w:hint="eastAsia" w:ascii="宋体" w:hAnsi="宋体" w:eastAsia="宋体" w:cstheme="minorBidi"/>
                <w:b/>
                <w:bCs/>
                <w:color w:val="auto"/>
                <w:kern w:val="2"/>
                <w:sz w:val="24"/>
                <w:szCs w:val="22"/>
                <w:lang w:val="en-US" w:eastAsia="zh-CN" w:bidi="ar-SA"/>
              </w:rPr>
              <w:t>第</w:t>
            </w:r>
            <w:r>
              <w:rPr>
                <w:rFonts w:hint="eastAsia" w:cstheme="minorBidi"/>
                <w:b/>
                <w:bCs/>
                <w:color w:val="auto"/>
                <w:kern w:val="2"/>
                <w:sz w:val="24"/>
                <w:szCs w:val="22"/>
                <w:lang w:val="en-US" w:eastAsia="zh-CN" w:bidi="ar-SA"/>
              </w:rPr>
              <w:t>三</w:t>
            </w:r>
            <w:r>
              <w:rPr>
                <w:rFonts w:hint="eastAsia" w:ascii="宋体" w:hAnsi="宋体" w:eastAsia="宋体" w:cstheme="minorBidi"/>
                <w:b/>
                <w:bCs/>
                <w:color w:val="auto"/>
                <w:kern w:val="2"/>
                <w:sz w:val="24"/>
                <w:szCs w:val="22"/>
                <w:lang w:val="en-US" w:eastAsia="zh-CN" w:bidi="ar-SA"/>
              </w:rPr>
              <w:t>档次</w:t>
            </w:r>
            <w:r>
              <w:rPr>
                <w:rFonts w:hint="eastAsia" w:cstheme="minorBidi"/>
                <w:b/>
                <w:bCs/>
                <w:color w:val="auto"/>
                <w:kern w:val="2"/>
                <w:sz w:val="24"/>
                <w:szCs w:val="22"/>
                <w:lang w:val="en-US" w:eastAsia="zh-CN" w:bidi="ar-SA"/>
              </w:rPr>
              <w:t>（4分）：</w:t>
            </w:r>
            <w:r>
              <w:rPr>
                <w:rFonts w:hint="eastAsia"/>
                <w:color w:val="auto"/>
              </w:rPr>
              <w:t>上述制度</w:t>
            </w:r>
            <w:r>
              <w:rPr>
                <w:rFonts w:hint="eastAsia"/>
                <w:color w:val="auto"/>
                <w:lang w:val="en-US" w:eastAsia="zh-CN"/>
              </w:rPr>
              <w:t>有部分缺漏</w:t>
            </w:r>
            <w:r>
              <w:rPr>
                <w:rFonts w:hint="eastAsia"/>
                <w:color w:val="auto"/>
              </w:rPr>
              <w:t>，部分环节描述</w:t>
            </w:r>
            <w:r>
              <w:rPr>
                <w:rFonts w:hint="eastAsia"/>
                <w:color w:val="auto"/>
                <w:lang w:val="en-US" w:eastAsia="zh-CN"/>
              </w:rPr>
              <w:t>较为简单</w:t>
            </w:r>
            <w:r>
              <w:rPr>
                <w:rFonts w:hint="eastAsia"/>
                <w:color w:val="auto"/>
              </w:rPr>
              <w:t>或可操作性</w:t>
            </w:r>
            <w:r>
              <w:rPr>
                <w:rFonts w:hint="eastAsia"/>
                <w:color w:val="auto"/>
                <w:lang w:val="en-US" w:eastAsia="zh-CN"/>
              </w:rPr>
              <w:t>较差</w:t>
            </w:r>
            <w:r>
              <w:rPr>
                <w:rFonts w:hint="eastAsia"/>
                <w:color w:val="auto"/>
                <w:lang w:eastAsia="zh-CN"/>
              </w:rPr>
              <w:t>；</w:t>
            </w:r>
          </w:p>
          <w:p w14:paraId="343C9D86">
            <w:pPr>
              <w:rPr>
                <w:rFonts w:hint="eastAsia" w:eastAsia="宋体"/>
                <w:color w:val="auto"/>
                <w:lang w:eastAsia="zh-CN"/>
              </w:rPr>
            </w:pPr>
            <w:r>
              <w:rPr>
                <w:rFonts w:hint="eastAsia" w:ascii="宋体" w:hAnsi="宋体" w:eastAsia="宋体" w:cstheme="minorBidi"/>
                <w:b/>
                <w:bCs/>
                <w:color w:val="auto"/>
                <w:kern w:val="2"/>
                <w:sz w:val="24"/>
                <w:szCs w:val="22"/>
                <w:lang w:val="en-US" w:eastAsia="zh-CN" w:bidi="ar-SA"/>
              </w:rPr>
              <w:t>第</w:t>
            </w:r>
            <w:r>
              <w:rPr>
                <w:rFonts w:hint="eastAsia" w:cstheme="minorBidi"/>
                <w:b/>
                <w:bCs/>
                <w:color w:val="auto"/>
                <w:kern w:val="2"/>
                <w:sz w:val="24"/>
                <w:szCs w:val="22"/>
                <w:lang w:val="en-US" w:eastAsia="zh-CN" w:bidi="ar-SA"/>
              </w:rPr>
              <w:t>四</w:t>
            </w:r>
            <w:r>
              <w:rPr>
                <w:rFonts w:hint="eastAsia" w:ascii="宋体" w:hAnsi="宋体" w:eastAsia="宋体" w:cstheme="minorBidi"/>
                <w:b/>
                <w:bCs/>
                <w:color w:val="auto"/>
                <w:kern w:val="2"/>
                <w:sz w:val="24"/>
                <w:szCs w:val="22"/>
                <w:lang w:val="en-US" w:eastAsia="zh-CN" w:bidi="ar-SA"/>
              </w:rPr>
              <w:t>档次</w:t>
            </w:r>
            <w:r>
              <w:rPr>
                <w:rFonts w:hint="eastAsia" w:cstheme="minorBidi"/>
                <w:b/>
                <w:bCs/>
                <w:color w:val="auto"/>
                <w:kern w:val="2"/>
                <w:sz w:val="24"/>
                <w:szCs w:val="22"/>
                <w:lang w:val="en-US" w:eastAsia="zh-CN" w:bidi="ar-SA"/>
              </w:rPr>
              <w:t>（1分）</w:t>
            </w:r>
            <w:r>
              <w:rPr>
                <w:rFonts w:hint="eastAsia" w:cstheme="minorBidi"/>
                <w:color w:val="auto"/>
                <w:kern w:val="2"/>
                <w:sz w:val="24"/>
                <w:szCs w:val="22"/>
                <w:lang w:val="en-US" w:eastAsia="zh-CN" w:bidi="ar-SA"/>
              </w:rPr>
              <w:t>：</w:t>
            </w:r>
            <w:r>
              <w:rPr>
                <w:rFonts w:hint="eastAsia"/>
                <w:color w:val="auto"/>
              </w:rPr>
              <w:t>制度缺失严重，或仅为口号式陈述，无实际管理内容</w:t>
            </w:r>
            <w:r>
              <w:rPr>
                <w:rFonts w:hint="eastAsia"/>
                <w:color w:val="auto"/>
                <w:lang w:eastAsia="zh-CN"/>
              </w:rPr>
              <w:t>；</w:t>
            </w:r>
          </w:p>
          <w:p w14:paraId="3AC37D22">
            <w:pPr>
              <w:pStyle w:val="16"/>
              <w:ind w:left="0" w:leftChars="0" w:firstLine="241" w:firstLineChars="100"/>
              <w:rPr>
                <w:color w:val="auto"/>
              </w:rPr>
            </w:pPr>
            <w:r>
              <w:rPr>
                <w:rFonts w:hint="eastAsia" w:ascii="宋体" w:hAnsi="宋体" w:cstheme="minorBidi"/>
                <w:b/>
                <w:bCs/>
                <w:color w:val="auto"/>
                <w:kern w:val="2"/>
                <w:sz w:val="24"/>
                <w:szCs w:val="22"/>
                <w:lang w:val="en-US" w:eastAsia="zh-CN" w:bidi="ar-SA"/>
              </w:rPr>
              <w:t>注</w:t>
            </w:r>
            <w:r>
              <w:rPr>
                <w:rFonts w:hint="eastAsia" w:cstheme="minorBidi"/>
                <w:b/>
                <w:bCs/>
                <w:color w:val="auto"/>
                <w:kern w:val="2"/>
                <w:sz w:val="24"/>
                <w:szCs w:val="22"/>
                <w:lang w:val="en-US" w:eastAsia="zh-CN" w:bidi="ar-SA"/>
              </w:rPr>
              <w:t>：</w:t>
            </w:r>
            <w:r>
              <w:rPr>
                <w:rFonts w:hint="eastAsia" w:cstheme="minorBidi"/>
                <w:color w:val="auto"/>
                <w:kern w:val="2"/>
                <w:sz w:val="24"/>
                <w:szCs w:val="22"/>
                <w:lang w:val="en-US" w:eastAsia="zh-CN" w:bidi="ar-SA"/>
              </w:rPr>
              <w:t>未提供相关内容的不得分。</w:t>
            </w:r>
          </w:p>
        </w:tc>
      </w:tr>
      <w:tr w14:paraId="5BBFE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16" w:type="dxa"/>
            <w:vMerge w:val="continue"/>
            <w:vAlign w:val="center"/>
          </w:tcPr>
          <w:p w14:paraId="53783A30">
            <w:pPr>
              <w:pStyle w:val="48"/>
              <w:jc w:val="center"/>
              <w:rPr>
                <w:rFonts w:hint="eastAsia"/>
              </w:rPr>
            </w:pPr>
          </w:p>
        </w:tc>
        <w:tc>
          <w:tcPr>
            <w:tcW w:w="1183" w:type="dxa"/>
            <w:tcBorders>
              <w:top w:val="single" w:color="auto" w:sz="4" w:space="0"/>
            </w:tcBorders>
            <w:vAlign w:val="center"/>
          </w:tcPr>
          <w:p w14:paraId="15469397">
            <w:pPr>
              <w:rPr>
                <w:rFonts w:hint="eastAsia" w:ascii="仿宋_GB2312" w:cs="宋体"/>
                <w:szCs w:val="21"/>
                <w:highlight w:val="none"/>
              </w:rPr>
            </w:pPr>
            <w:r>
              <w:rPr>
                <w:rFonts w:hint="eastAsia" w:ascii="宋体" w:hAnsi="宋体" w:eastAsia="宋体" w:cstheme="minorBidi"/>
                <w:color w:val="auto"/>
                <w:kern w:val="2"/>
                <w:sz w:val="24"/>
                <w:szCs w:val="22"/>
                <w:lang w:val="en-US" w:eastAsia="zh-CN" w:bidi="ar-SA"/>
              </w:rPr>
              <w:t>项目应急处置方案评审</w:t>
            </w:r>
          </w:p>
        </w:tc>
        <w:tc>
          <w:tcPr>
            <w:tcW w:w="881" w:type="dxa"/>
            <w:vAlign w:val="center"/>
          </w:tcPr>
          <w:p w14:paraId="208D6C6E">
            <w:pPr>
              <w:rPr>
                <w:rFonts w:hint="eastAsia" w:ascii="宋体" w:hAnsi="宋体" w:eastAsia="宋体" w:cs="宋体"/>
                <w:szCs w:val="21"/>
                <w:highlight w:val="none"/>
              </w:rPr>
            </w:pPr>
            <w:r>
              <w:rPr>
                <w:rFonts w:hint="eastAsia" w:ascii="宋体" w:hAnsi="宋体" w:eastAsia="宋体" w:cs="宋体"/>
                <w:szCs w:val="21"/>
                <w:highlight w:val="none"/>
              </w:rPr>
              <w:t>1</w:t>
            </w:r>
            <w:r>
              <w:rPr>
                <w:rFonts w:hint="eastAsia" w:cs="宋体"/>
                <w:szCs w:val="21"/>
                <w:highlight w:val="none"/>
                <w:lang w:val="en-US" w:eastAsia="zh-CN"/>
              </w:rPr>
              <w:t>0</w:t>
            </w:r>
            <w:r>
              <w:rPr>
                <w:rFonts w:hint="eastAsia" w:ascii="宋体" w:hAnsi="宋体" w:eastAsia="宋体" w:cs="宋体"/>
                <w:szCs w:val="21"/>
                <w:highlight w:val="none"/>
              </w:rPr>
              <w:t>分</w:t>
            </w:r>
          </w:p>
        </w:tc>
        <w:tc>
          <w:tcPr>
            <w:tcW w:w="5701" w:type="dxa"/>
            <w:gridSpan w:val="2"/>
            <w:vAlign w:val="center"/>
          </w:tcPr>
          <w:p w14:paraId="28D6BDCB">
            <w:pPr>
              <w:pStyle w:val="29"/>
              <w:adjustRightInd w:val="0"/>
              <w:snapToGrid w:val="0"/>
              <w:spacing w:before="0" w:beforeAutospacing="0" w:after="0" w:afterAutospacing="0"/>
              <w:rPr>
                <w:rFonts w:hint="eastAsia" w:cstheme="minorBidi"/>
                <w:color w:val="auto"/>
                <w:kern w:val="2"/>
                <w:sz w:val="24"/>
                <w:szCs w:val="22"/>
                <w:lang w:val="en-US" w:eastAsia="zh-CN" w:bidi="ar-SA"/>
              </w:rPr>
            </w:pPr>
            <w:r>
              <w:rPr>
                <w:rFonts w:hint="eastAsia" w:cstheme="minorBidi"/>
                <w:color w:val="auto"/>
                <w:kern w:val="2"/>
                <w:sz w:val="24"/>
                <w:szCs w:val="22"/>
                <w:lang w:val="en-US" w:eastAsia="zh-CN" w:bidi="ar-SA"/>
              </w:rPr>
              <w:t>通过投标供应商针对恶劣天气影响，重大接待任务，重大节假日或活动等特殊情况制定应急处置方案，包括传达机制、人员和设备调配、责任分工、可操作性及保障措施等情况横向对比打分，满分10分。</w:t>
            </w:r>
          </w:p>
          <w:p w14:paraId="74006E5E">
            <w:pPr>
              <w:pStyle w:val="29"/>
              <w:adjustRightInd w:val="0"/>
              <w:snapToGrid w:val="0"/>
              <w:spacing w:before="0" w:beforeAutospacing="0" w:after="0" w:afterAutospacing="0"/>
              <w:rPr>
                <w:rFonts w:hint="eastAsia" w:cstheme="minorBidi"/>
                <w:color w:val="auto"/>
                <w:kern w:val="2"/>
                <w:sz w:val="24"/>
                <w:szCs w:val="22"/>
                <w:lang w:val="en-US" w:eastAsia="zh-CN" w:bidi="ar-SA"/>
              </w:rPr>
            </w:pPr>
            <w:r>
              <w:rPr>
                <w:rFonts w:hint="eastAsia" w:cstheme="minorBidi"/>
                <w:b/>
                <w:bCs/>
                <w:color w:val="auto"/>
                <w:kern w:val="2"/>
                <w:sz w:val="24"/>
                <w:szCs w:val="22"/>
                <w:lang w:val="en-US" w:eastAsia="zh-CN" w:bidi="ar-SA"/>
              </w:rPr>
              <w:t>第一档次（10分）：</w:t>
            </w:r>
            <w:r>
              <w:rPr>
                <w:rFonts w:hint="eastAsia" w:cstheme="minorBidi"/>
                <w:color w:val="auto"/>
                <w:kern w:val="2"/>
                <w:sz w:val="24"/>
                <w:szCs w:val="22"/>
                <w:lang w:val="en-US" w:eastAsia="zh-CN" w:bidi="ar-SA"/>
              </w:rPr>
              <w:t>投标供应商制定的应急方案齐全、完整，保障有力的得；</w:t>
            </w:r>
          </w:p>
          <w:p w14:paraId="6D323775">
            <w:pPr>
              <w:pStyle w:val="29"/>
              <w:adjustRightInd w:val="0"/>
              <w:snapToGrid w:val="0"/>
              <w:spacing w:before="0" w:beforeAutospacing="0" w:after="0" w:afterAutospacing="0"/>
              <w:rPr>
                <w:rFonts w:hint="eastAsia" w:cstheme="minorBidi"/>
                <w:color w:val="auto"/>
                <w:kern w:val="2"/>
                <w:sz w:val="24"/>
                <w:szCs w:val="22"/>
                <w:lang w:val="en-US" w:eastAsia="zh-CN" w:bidi="ar-SA"/>
              </w:rPr>
            </w:pPr>
            <w:r>
              <w:rPr>
                <w:rFonts w:hint="eastAsia" w:cstheme="minorBidi"/>
                <w:b/>
                <w:bCs/>
                <w:color w:val="auto"/>
                <w:kern w:val="2"/>
                <w:sz w:val="24"/>
                <w:szCs w:val="22"/>
                <w:lang w:val="en-US" w:eastAsia="zh-CN" w:bidi="ar-SA"/>
              </w:rPr>
              <w:t>第二档次（7分）：</w:t>
            </w:r>
            <w:r>
              <w:rPr>
                <w:rFonts w:hint="eastAsia" w:cstheme="minorBidi"/>
                <w:color w:val="auto"/>
                <w:kern w:val="2"/>
                <w:sz w:val="24"/>
                <w:szCs w:val="22"/>
                <w:lang w:val="en-US" w:eastAsia="zh-CN" w:bidi="ar-SA"/>
              </w:rPr>
              <w:t>投标供应商制定的应急方案齐全、完整，保障较为有力的得；</w:t>
            </w:r>
          </w:p>
          <w:p w14:paraId="65FD3BD9">
            <w:pPr>
              <w:pStyle w:val="29"/>
              <w:adjustRightInd w:val="0"/>
              <w:snapToGrid w:val="0"/>
              <w:spacing w:before="0" w:beforeAutospacing="0" w:after="0" w:afterAutospacing="0"/>
              <w:rPr>
                <w:rFonts w:hint="eastAsia" w:cstheme="minorBidi"/>
                <w:color w:val="auto"/>
                <w:kern w:val="2"/>
                <w:sz w:val="24"/>
                <w:szCs w:val="22"/>
                <w:lang w:val="en-US" w:eastAsia="zh-CN" w:bidi="ar-SA"/>
              </w:rPr>
            </w:pPr>
            <w:r>
              <w:rPr>
                <w:rFonts w:hint="eastAsia" w:cstheme="minorBidi"/>
                <w:b/>
                <w:bCs/>
                <w:color w:val="auto"/>
                <w:kern w:val="2"/>
                <w:sz w:val="24"/>
                <w:szCs w:val="22"/>
                <w:lang w:val="en-US" w:eastAsia="zh-CN" w:bidi="ar-SA"/>
              </w:rPr>
              <w:t>第三档次（4分）：</w:t>
            </w:r>
            <w:r>
              <w:rPr>
                <w:rFonts w:hint="eastAsia" w:cstheme="minorBidi"/>
                <w:color w:val="auto"/>
                <w:kern w:val="2"/>
                <w:sz w:val="24"/>
                <w:szCs w:val="22"/>
                <w:lang w:val="en-US" w:eastAsia="zh-CN" w:bidi="ar-SA"/>
              </w:rPr>
              <w:t>投标供应商制定的应急方案基本齐全、完整，基本能保障项目实施的得；</w:t>
            </w:r>
          </w:p>
          <w:p w14:paraId="3FD41137">
            <w:pPr>
              <w:pStyle w:val="29"/>
              <w:adjustRightInd w:val="0"/>
              <w:snapToGrid w:val="0"/>
              <w:spacing w:before="0" w:beforeAutospacing="0" w:after="0" w:afterAutospacing="0"/>
              <w:rPr>
                <w:rFonts w:hint="eastAsia" w:cstheme="minorBidi"/>
                <w:color w:val="auto"/>
                <w:kern w:val="2"/>
                <w:sz w:val="24"/>
                <w:szCs w:val="22"/>
                <w:lang w:val="en-US" w:eastAsia="zh-CN" w:bidi="ar-SA"/>
              </w:rPr>
            </w:pPr>
            <w:r>
              <w:rPr>
                <w:rFonts w:hint="eastAsia" w:cstheme="minorBidi"/>
                <w:b/>
                <w:bCs/>
                <w:color w:val="auto"/>
                <w:kern w:val="2"/>
                <w:sz w:val="24"/>
                <w:szCs w:val="22"/>
                <w:lang w:val="en-US" w:eastAsia="zh-CN" w:bidi="ar-SA"/>
              </w:rPr>
              <w:t>第四档次（1分）：</w:t>
            </w:r>
            <w:r>
              <w:rPr>
                <w:rFonts w:hint="eastAsia" w:cstheme="minorBidi"/>
                <w:color w:val="auto"/>
                <w:kern w:val="2"/>
                <w:sz w:val="24"/>
                <w:szCs w:val="22"/>
                <w:lang w:val="en-US" w:eastAsia="zh-CN" w:bidi="ar-SA"/>
              </w:rPr>
              <w:t>投标供应商制定的应急方案有重大缺陷，或明显不能项目实施的得；</w:t>
            </w:r>
          </w:p>
          <w:p w14:paraId="5AC025BE">
            <w:pPr>
              <w:pStyle w:val="29"/>
              <w:adjustRightInd w:val="0"/>
              <w:snapToGrid w:val="0"/>
              <w:spacing w:before="0" w:beforeAutospacing="0" w:after="0" w:afterAutospacing="0"/>
              <w:ind w:firstLine="241" w:firstLineChars="100"/>
              <w:rPr>
                <w:rFonts w:hint="eastAsia" w:ascii="宋体" w:hAnsi="宋体" w:eastAsia="宋体" w:cs="宋体"/>
                <w:szCs w:val="21"/>
                <w:highlight w:val="none"/>
                <w:lang w:val="zh-CN"/>
              </w:rPr>
            </w:pPr>
            <w:r>
              <w:rPr>
                <w:rFonts w:hint="eastAsia" w:cstheme="minorBidi"/>
                <w:b/>
                <w:bCs/>
                <w:color w:val="auto"/>
                <w:kern w:val="2"/>
                <w:sz w:val="24"/>
                <w:szCs w:val="22"/>
                <w:lang w:val="en-US" w:eastAsia="zh-CN" w:bidi="ar-SA"/>
              </w:rPr>
              <w:t>注</w:t>
            </w:r>
            <w:r>
              <w:rPr>
                <w:rFonts w:hint="eastAsia" w:cstheme="minorBidi"/>
                <w:color w:val="auto"/>
                <w:kern w:val="2"/>
                <w:sz w:val="24"/>
                <w:szCs w:val="22"/>
                <w:lang w:val="en-US" w:eastAsia="zh-CN" w:bidi="ar-SA"/>
              </w:rPr>
              <w:t>：未编制应急处置方案的不得分</w:t>
            </w:r>
          </w:p>
        </w:tc>
      </w:tr>
      <w:tr w14:paraId="5D49A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216" w:type="dxa"/>
            <w:vMerge w:val="continue"/>
            <w:vAlign w:val="center"/>
          </w:tcPr>
          <w:p w14:paraId="72738215">
            <w:pPr>
              <w:pStyle w:val="48"/>
              <w:jc w:val="center"/>
              <w:rPr>
                <w:rFonts w:hint="eastAsia"/>
              </w:rPr>
            </w:pPr>
          </w:p>
        </w:tc>
        <w:tc>
          <w:tcPr>
            <w:tcW w:w="1183" w:type="dxa"/>
            <w:tcBorders>
              <w:top w:val="single" w:color="auto" w:sz="4" w:space="0"/>
            </w:tcBorders>
            <w:vAlign w:val="center"/>
          </w:tcPr>
          <w:p w14:paraId="10418E76">
            <w:pPr>
              <w:rPr>
                <w:rFonts w:hint="eastAsia" w:ascii="仿宋_GB2312" w:cs="宋体"/>
                <w:szCs w:val="21"/>
              </w:rPr>
            </w:pPr>
            <w:r>
              <w:rPr>
                <w:rFonts w:hint="eastAsia" w:ascii="宋体" w:hAnsi="宋体" w:eastAsia="宋体" w:cstheme="minorBidi"/>
                <w:color w:val="auto"/>
                <w:kern w:val="2"/>
                <w:sz w:val="24"/>
                <w:szCs w:val="22"/>
                <w:lang w:val="en-US" w:eastAsia="zh-CN" w:bidi="ar-SA"/>
              </w:rPr>
              <w:t>安全保障承诺及保障措施评审</w:t>
            </w:r>
          </w:p>
        </w:tc>
        <w:tc>
          <w:tcPr>
            <w:tcW w:w="881" w:type="dxa"/>
            <w:vAlign w:val="center"/>
          </w:tcPr>
          <w:p w14:paraId="451DA7F0">
            <w:pPr>
              <w:rPr>
                <w:rFonts w:hint="eastAsia" w:ascii="宋体" w:hAnsi="宋体" w:eastAsia="宋体" w:cs="宋体"/>
                <w:szCs w:val="21"/>
              </w:rPr>
            </w:pPr>
            <w:r>
              <w:rPr>
                <w:rFonts w:hint="eastAsia" w:ascii="宋体" w:hAnsi="宋体" w:eastAsia="宋体" w:cs="宋体"/>
                <w:szCs w:val="21"/>
                <w:highlight w:val="none"/>
                <w:lang w:val="en-US" w:eastAsia="zh-CN"/>
              </w:rPr>
              <w:t>10</w:t>
            </w:r>
            <w:r>
              <w:rPr>
                <w:rFonts w:hint="eastAsia" w:ascii="宋体" w:hAnsi="宋体" w:eastAsia="宋体" w:cs="宋体"/>
                <w:szCs w:val="21"/>
                <w:highlight w:val="none"/>
              </w:rPr>
              <w:t>分</w:t>
            </w:r>
          </w:p>
        </w:tc>
        <w:tc>
          <w:tcPr>
            <w:tcW w:w="5701" w:type="dxa"/>
            <w:gridSpan w:val="2"/>
            <w:vAlign w:val="center"/>
          </w:tcPr>
          <w:p w14:paraId="1A3F4953">
            <w:pPr>
              <w:pStyle w:val="29"/>
              <w:adjustRightInd w:val="0"/>
              <w:snapToGrid w:val="0"/>
              <w:spacing w:before="0" w:beforeAutospacing="0" w:after="0" w:afterAutospacing="0"/>
              <w:rPr>
                <w:rFonts w:hint="eastAsia" w:cstheme="minorBidi"/>
                <w:color w:val="auto"/>
                <w:kern w:val="2"/>
                <w:sz w:val="24"/>
                <w:szCs w:val="22"/>
                <w:lang w:val="en-US" w:eastAsia="zh-CN" w:bidi="ar-SA"/>
              </w:rPr>
            </w:pPr>
            <w:r>
              <w:rPr>
                <w:rFonts w:hint="eastAsia" w:cstheme="minorBidi"/>
                <w:color w:val="auto"/>
                <w:kern w:val="2"/>
                <w:sz w:val="24"/>
                <w:szCs w:val="22"/>
                <w:lang w:val="en-US" w:eastAsia="zh-CN" w:bidi="ar-SA"/>
              </w:rPr>
              <w:t>通过投标供应商制定的安全生产、文明作业制度、措施及发生安生事故后善后处理措施横向对比打分，满分10分。</w:t>
            </w:r>
          </w:p>
          <w:p w14:paraId="1CC0BCE0">
            <w:pPr>
              <w:pStyle w:val="29"/>
              <w:adjustRightInd w:val="0"/>
              <w:snapToGrid w:val="0"/>
              <w:spacing w:before="0" w:beforeAutospacing="0" w:after="0" w:afterAutospacing="0"/>
              <w:rPr>
                <w:rFonts w:hint="eastAsia" w:cstheme="minorBidi"/>
                <w:color w:val="auto"/>
                <w:kern w:val="2"/>
                <w:sz w:val="24"/>
                <w:szCs w:val="22"/>
                <w:lang w:val="en-US" w:eastAsia="zh-CN" w:bidi="ar-SA"/>
              </w:rPr>
            </w:pPr>
            <w:r>
              <w:rPr>
                <w:rFonts w:hint="eastAsia" w:cstheme="minorBidi"/>
                <w:b/>
                <w:bCs/>
                <w:color w:val="auto"/>
                <w:kern w:val="2"/>
                <w:sz w:val="24"/>
                <w:szCs w:val="22"/>
                <w:lang w:val="en-US" w:eastAsia="zh-CN" w:bidi="ar-SA"/>
              </w:rPr>
              <w:t>第一档次（10分）</w:t>
            </w:r>
            <w:r>
              <w:rPr>
                <w:rFonts w:hint="eastAsia" w:cstheme="minorBidi"/>
                <w:color w:val="auto"/>
                <w:kern w:val="2"/>
                <w:sz w:val="24"/>
                <w:szCs w:val="22"/>
                <w:lang w:val="en-US" w:eastAsia="zh-CN" w:bidi="ar-SA"/>
              </w:rPr>
              <w:t>：安全生产、文明作业制度完整，措施有效的得；</w:t>
            </w:r>
          </w:p>
          <w:p w14:paraId="0C0B3333">
            <w:pPr>
              <w:pStyle w:val="29"/>
              <w:adjustRightInd w:val="0"/>
              <w:snapToGrid w:val="0"/>
              <w:spacing w:before="0" w:beforeAutospacing="0" w:after="0" w:afterAutospacing="0"/>
              <w:rPr>
                <w:rFonts w:hint="eastAsia" w:cstheme="minorBidi"/>
                <w:color w:val="auto"/>
                <w:kern w:val="2"/>
                <w:sz w:val="24"/>
                <w:szCs w:val="22"/>
                <w:lang w:val="en-US" w:eastAsia="zh-CN" w:bidi="ar-SA"/>
              </w:rPr>
            </w:pPr>
            <w:r>
              <w:rPr>
                <w:rFonts w:hint="eastAsia" w:cstheme="minorBidi"/>
                <w:b/>
                <w:bCs/>
                <w:color w:val="auto"/>
                <w:kern w:val="2"/>
                <w:sz w:val="24"/>
                <w:szCs w:val="22"/>
                <w:lang w:val="en-US" w:eastAsia="zh-CN" w:bidi="ar-SA"/>
              </w:rPr>
              <w:t>第二档次（7分）：</w:t>
            </w:r>
            <w:r>
              <w:rPr>
                <w:rFonts w:hint="eastAsia" w:cstheme="minorBidi"/>
                <w:color w:val="auto"/>
                <w:kern w:val="2"/>
                <w:sz w:val="24"/>
                <w:szCs w:val="22"/>
                <w:lang w:val="en-US" w:eastAsia="zh-CN" w:bidi="ar-SA"/>
              </w:rPr>
              <w:t>安全生产、文明作业制度较为完整，措施较为有效的得；</w:t>
            </w:r>
          </w:p>
          <w:p w14:paraId="6AC0D015">
            <w:pPr>
              <w:pStyle w:val="29"/>
              <w:adjustRightInd w:val="0"/>
              <w:snapToGrid w:val="0"/>
              <w:spacing w:before="0" w:beforeAutospacing="0" w:after="0" w:afterAutospacing="0"/>
              <w:rPr>
                <w:rFonts w:hint="eastAsia" w:cstheme="minorBidi"/>
                <w:color w:val="auto"/>
                <w:kern w:val="2"/>
                <w:sz w:val="24"/>
                <w:szCs w:val="22"/>
                <w:lang w:val="en-US" w:eastAsia="zh-CN" w:bidi="ar-SA"/>
              </w:rPr>
            </w:pPr>
            <w:r>
              <w:rPr>
                <w:rFonts w:hint="eastAsia" w:cstheme="minorBidi"/>
                <w:b/>
                <w:bCs/>
                <w:color w:val="auto"/>
                <w:kern w:val="2"/>
                <w:sz w:val="24"/>
                <w:szCs w:val="22"/>
                <w:lang w:val="en-US" w:eastAsia="zh-CN" w:bidi="ar-SA"/>
              </w:rPr>
              <w:t>第三档次（4分）：</w:t>
            </w:r>
            <w:r>
              <w:rPr>
                <w:rFonts w:hint="eastAsia" w:cstheme="minorBidi"/>
                <w:color w:val="auto"/>
                <w:kern w:val="2"/>
                <w:sz w:val="24"/>
                <w:szCs w:val="22"/>
                <w:lang w:val="en-US" w:eastAsia="zh-CN" w:bidi="ar-SA"/>
              </w:rPr>
              <w:t>安全生产、文明作业制度基本完整，措施基本有效的得；</w:t>
            </w:r>
          </w:p>
          <w:p w14:paraId="55D38D01">
            <w:pPr>
              <w:pStyle w:val="29"/>
              <w:adjustRightInd w:val="0"/>
              <w:snapToGrid w:val="0"/>
              <w:spacing w:before="0" w:beforeAutospacing="0" w:after="0" w:afterAutospacing="0"/>
              <w:rPr>
                <w:rFonts w:hint="eastAsia" w:cstheme="minorBidi"/>
                <w:color w:val="auto"/>
                <w:kern w:val="2"/>
                <w:sz w:val="24"/>
                <w:szCs w:val="22"/>
                <w:lang w:val="en-US" w:eastAsia="zh-CN" w:bidi="ar-SA"/>
              </w:rPr>
            </w:pPr>
            <w:r>
              <w:rPr>
                <w:rFonts w:hint="eastAsia" w:cstheme="minorBidi"/>
                <w:b/>
                <w:bCs/>
                <w:color w:val="auto"/>
                <w:kern w:val="2"/>
                <w:sz w:val="24"/>
                <w:szCs w:val="22"/>
                <w:lang w:val="en-US" w:eastAsia="zh-CN" w:bidi="ar-SA"/>
              </w:rPr>
              <w:t>第四档次（1分）：</w:t>
            </w:r>
            <w:r>
              <w:rPr>
                <w:rFonts w:hint="eastAsia" w:cstheme="minorBidi"/>
                <w:color w:val="auto"/>
                <w:kern w:val="2"/>
                <w:sz w:val="24"/>
                <w:szCs w:val="22"/>
                <w:lang w:val="en-US" w:eastAsia="zh-CN" w:bidi="ar-SA"/>
              </w:rPr>
              <w:t>安全生产、文明作业制度不完整，措施难以保障项目实施的得；</w:t>
            </w:r>
          </w:p>
          <w:p w14:paraId="185D2DB8">
            <w:pPr>
              <w:pStyle w:val="29"/>
              <w:adjustRightInd w:val="0"/>
              <w:snapToGrid w:val="0"/>
              <w:spacing w:before="0" w:beforeAutospacing="0" w:after="0" w:afterAutospacing="0"/>
              <w:ind w:firstLine="241" w:firstLineChars="100"/>
              <w:rPr>
                <w:rFonts w:hint="eastAsia" w:ascii="宋体" w:hAnsi="宋体" w:eastAsia="宋体" w:cs="宋体"/>
                <w:szCs w:val="21"/>
              </w:rPr>
            </w:pPr>
            <w:r>
              <w:rPr>
                <w:rFonts w:hint="eastAsia" w:cstheme="minorBidi"/>
                <w:b/>
                <w:bCs/>
                <w:color w:val="auto"/>
                <w:kern w:val="2"/>
                <w:sz w:val="24"/>
                <w:szCs w:val="22"/>
                <w:lang w:val="en-US" w:eastAsia="zh-CN" w:bidi="ar-SA"/>
              </w:rPr>
              <w:t>注：</w:t>
            </w:r>
            <w:r>
              <w:rPr>
                <w:rFonts w:hint="eastAsia" w:cstheme="minorBidi"/>
                <w:color w:val="auto"/>
                <w:kern w:val="2"/>
                <w:sz w:val="24"/>
                <w:szCs w:val="22"/>
                <w:lang w:val="en-US" w:eastAsia="zh-CN" w:bidi="ar-SA"/>
              </w:rPr>
              <w:t>未编制安全保障承诺及保障措施的不得分。</w:t>
            </w:r>
          </w:p>
        </w:tc>
      </w:tr>
      <w:tr w14:paraId="67D12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1216" w:type="dxa"/>
            <w:vMerge w:val="continue"/>
            <w:vAlign w:val="center"/>
          </w:tcPr>
          <w:p w14:paraId="46AFA706">
            <w:pPr>
              <w:pStyle w:val="48"/>
              <w:jc w:val="center"/>
              <w:rPr>
                <w:rFonts w:hint="eastAsia"/>
              </w:rPr>
            </w:pPr>
          </w:p>
        </w:tc>
        <w:tc>
          <w:tcPr>
            <w:tcW w:w="1183" w:type="dxa"/>
            <w:tcBorders>
              <w:top w:val="single" w:color="auto" w:sz="4" w:space="0"/>
            </w:tcBorders>
            <w:vAlign w:val="center"/>
          </w:tcPr>
          <w:p w14:paraId="62964985">
            <w:pPr>
              <w:rPr>
                <w:rFonts w:hint="eastAsia" w:ascii="仿宋_GB2312" w:hAnsi="仿宋_GB2312" w:eastAsia="仿宋_GB2312" w:cs="仿宋_GB2312"/>
                <w:sz w:val="21"/>
                <w:szCs w:val="21"/>
              </w:rPr>
            </w:pPr>
            <w:r>
              <w:rPr>
                <w:rFonts w:hint="eastAsia" w:ascii="宋体" w:hAnsi="宋体" w:eastAsia="宋体" w:cstheme="minorBidi"/>
                <w:color w:val="auto"/>
                <w:kern w:val="2"/>
                <w:sz w:val="24"/>
                <w:szCs w:val="22"/>
                <w:lang w:val="en-US" w:eastAsia="zh-CN" w:bidi="ar-SA"/>
              </w:rPr>
              <w:t>违约责任承诺及保障措施评审</w:t>
            </w:r>
          </w:p>
        </w:tc>
        <w:tc>
          <w:tcPr>
            <w:tcW w:w="881" w:type="dxa"/>
            <w:vAlign w:val="center"/>
          </w:tcPr>
          <w:p w14:paraId="2D59A382">
            <w:pPr>
              <w:rPr>
                <w:rFonts w:hint="default" w:ascii="宋体" w:hAnsi="宋体" w:eastAsia="宋体" w:cs="宋体"/>
                <w:szCs w:val="21"/>
                <w:highlight w:val="none"/>
                <w:lang w:val="en-US" w:eastAsia="zh-CN"/>
              </w:rPr>
            </w:pPr>
            <w:r>
              <w:rPr>
                <w:rFonts w:hint="eastAsia" w:cs="宋体"/>
                <w:szCs w:val="21"/>
                <w:highlight w:val="none"/>
                <w:lang w:val="en-US" w:eastAsia="zh-CN"/>
              </w:rPr>
              <w:t>10分</w:t>
            </w:r>
          </w:p>
        </w:tc>
        <w:tc>
          <w:tcPr>
            <w:tcW w:w="5701" w:type="dxa"/>
            <w:gridSpan w:val="2"/>
            <w:vAlign w:val="center"/>
          </w:tcPr>
          <w:p w14:paraId="548E7032">
            <w:pPr>
              <w:pStyle w:val="29"/>
              <w:adjustRightInd w:val="0"/>
              <w:snapToGrid w:val="0"/>
              <w:spacing w:before="0" w:beforeAutospacing="0" w:after="0" w:afterAutospacing="0"/>
              <w:rPr>
                <w:rFonts w:hint="eastAsia" w:cstheme="minorBidi"/>
                <w:color w:val="auto"/>
                <w:kern w:val="2"/>
                <w:sz w:val="24"/>
                <w:szCs w:val="22"/>
                <w:lang w:val="en-US" w:eastAsia="zh-CN" w:bidi="ar-SA"/>
              </w:rPr>
            </w:pPr>
            <w:r>
              <w:rPr>
                <w:rFonts w:hint="eastAsia" w:cstheme="minorBidi"/>
                <w:color w:val="auto"/>
                <w:kern w:val="2"/>
                <w:sz w:val="24"/>
                <w:szCs w:val="22"/>
                <w:lang w:val="en-US" w:eastAsia="zh-CN" w:bidi="ar-SA"/>
              </w:rPr>
              <w:t>通过投标供应商制定的违约责任制度、保障措施及发生违约后善后处理措施横向对比打分，满分10分。</w:t>
            </w:r>
          </w:p>
          <w:p w14:paraId="0580558C">
            <w:pPr>
              <w:pStyle w:val="29"/>
              <w:adjustRightInd w:val="0"/>
              <w:snapToGrid w:val="0"/>
              <w:spacing w:before="0" w:beforeAutospacing="0" w:after="0" w:afterAutospacing="0"/>
              <w:rPr>
                <w:rFonts w:hint="eastAsia" w:cstheme="minorBidi"/>
                <w:color w:val="auto"/>
                <w:kern w:val="2"/>
                <w:sz w:val="24"/>
                <w:szCs w:val="22"/>
                <w:lang w:val="en-US" w:eastAsia="zh-CN" w:bidi="ar-SA"/>
              </w:rPr>
            </w:pPr>
            <w:r>
              <w:rPr>
                <w:rFonts w:hint="eastAsia" w:cstheme="minorBidi"/>
                <w:b/>
                <w:bCs/>
                <w:color w:val="auto"/>
                <w:kern w:val="2"/>
                <w:sz w:val="24"/>
                <w:szCs w:val="22"/>
                <w:lang w:val="en-US" w:eastAsia="zh-CN" w:bidi="ar-SA"/>
              </w:rPr>
              <w:t>第一档次（10分）：</w:t>
            </w:r>
            <w:r>
              <w:rPr>
                <w:rFonts w:hint="eastAsia" w:cstheme="minorBidi"/>
                <w:color w:val="auto"/>
                <w:kern w:val="2"/>
                <w:sz w:val="24"/>
                <w:szCs w:val="22"/>
                <w:lang w:val="en-US" w:eastAsia="zh-CN" w:bidi="ar-SA"/>
              </w:rPr>
              <w:t>投标供应商针对项目实施各个环节均提出了合理的违约责任承诺，并且有力的保障措施和具体的违约责任实施办法的得；</w:t>
            </w:r>
          </w:p>
          <w:p w14:paraId="1A443931">
            <w:pPr>
              <w:pStyle w:val="29"/>
              <w:adjustRightInd w:val="0"/>
              <w:snapToGrid w:val="0"/>
              <w:spacing w:before="0" w:beforeAutospacing="0" w:after="0" w:afterAutospacing="0"/>
              <w:rPr>
                <w:rFonts w:hint="eastAsia" w:cstheme="minorBidi"/>
                <w:color w:val="auto"/>
                <w:kern w:val="2"/>
                <w:sz w:val="24"/>
                <w:szCs w:val="22"/>
                <w:lang w:val="en-US" w:eastAsia="zh-CN" w:bidi="ar-SA"/>
              </w:rPr>
            </w:pPr>
            <w:r>
              <w:rPr>
                <w:rFonts w:hint="eastAsia" w:cstheme="minorBidi"/>
                <w:b/>
                <w:bCs/>
                <w:color w:val="auto"/>
                <w:kern w:val="2"/>
                <w:sz w:val="24"/>
                <w:szCs w:val="22"/>
                <w:lang w:val="en-US" w:eastAsia="zh-CN" w:bidi="ar-SA"/>
              </w:rPr>
              <w:t>第二档次（7分）：</w:t>
            </w:r>
            <w:r>
              <w:rPr>
                <w:rFonts w:hint="eastAsia" w:cstheme="minorBidi"/>
                <w:color w:val="auto"/>
                <w:kern w:val="2"/>
                <w:sz w:val="24"/>
                <w:szCs w:val="22"/>
                <w:lang w:val="en-US" w:eastAsia="zh-CN" w:bidi="ar-SA"/>
              </w:rPr>
              <w:t>投标供应商针对项目实施各个环节均提出了较为合理的违约责任承诺，并且有力的保障措施和具体的违约责任实施办法的得；</w:t>
            </w:r>
          </w:p>
          <w:p w14:paraId="61D2E68D">
            <w:pPr>
              <w:pStyle w:val="29"/>
              <w:adjustRightInd w:val="0"/>
              <w:snapToGrid w:val="0"/>
              <w:spacing w:before="0" w:beforeAutospacing="0" w:after="0" w:afterAutospacing="0"/>
              <w:rPr>
                <w:rFonts w:hint="eastAsia" w:cstheme="minorBidi"/>
                <w:color w:val="auto"/>
                <w:kern w:val="2"/>
                <w:sz w:val="24"/>
                <w:szCs w:val="22"/>
                <w:lang w:val="en-US" w:eastAsia="zh-CN" w:bidi="ar-SA"/>
              </w:rPr>
            </w:pPr>
            <w:r>
              <w:rPr>
                <w:rFonts w:hint="eastAsia" w:cstheme="minorBidi"/>
                <w:b/>
                <w:bCs/>
                <w:color w:val="auto"/>
                <w:kern w:val="2"/>
                <w:sz w:val="24"/>
                <w:szCs w:val="22"/>
                <w:lang w:val="en-US" w:eastAsia="zh-CN" w:bidi="ar-SA"/>
              </w:rPr>
              <w:t>第三档次（4分）：</w:t>
            </w:r>
            <w:r>
              <w:rPr>
                <w:rFonts w:hint="eastAsia" w:cstheme="minorBidi"/>
                <w:color w:val="auto"/>
                <w:kern w:val="2"/>
                <w:sz w:val="24"/>
                <w:szCs w:val="22"/>
                <w:lang w:val="en-US" w:eastAsia="zh-CN" w:bidi="ar-SA"/>
              </w:rPr>
              <w:t>投标供应商针对项目实施各个环节均提出了合理的违约责任承诺，并且有力的保障措施，但无具体的违约责任实施办法的得；</w:t>
            </w:r>
          </w:p>
          <w:p w14:paraId="36E39264">
            <w:pPr>
              <w:pStyle w:val="29"/>
              <w:adjustRightInd w:val="0"/>
              <w:snapToGrid w:val="0"/>
              <w:spacing w:before="0" w:beforeAutospacing="0" w:after="0" w:afterAutospacing="0"/>
              <w:rPr>
                <w:rFonts w:hint="eastAsia" w:cstheme="minorBidi"/>
                <w:color w:val="auto"/>
                <w:kern w:val="2"/>
                <w:sz w:val="24"/>
                <w:szCs w:val="22"/>
                <w:lang w:val="en-US" w:eastAsia="zh-CN" w:bidi="ar-SA"/>
              </w:rPr>
            </w:pPr>
            <w:r>
              <w:rPr>
                <w:rFonts w:hint="eastAsia" w:cstheme="minorBidi"/>
                <w:b/>
                <w:bCs/>
                <w:color w:val="auto"/>
                <w:kern w:val="2"/>
                <w:sz w:val="24"/>
                <w:szCs w:val="22"/>
                <w:lang w:val="en-US" w:eastAsia="zh-CN" w:bidi="ar-SA"/>
              </w:rPr>
              <w:t>第四档次（1分）：</w:t>
            </w:r>
            <w:r>
              <w:rPr>
                <w:rFonts w:hint="eastAsia" w:cstheme="minorBidi"/>
                <w:color w:val="auto"/>
                <w:kern w:val="2"/>
                <w:sz w:val="24"/>
                <w:szCs w:val="22"/>
                <w:lang w:val="en-US" w:eastAsia="zh-CN" w:bidi="ar-SA"/>
              </w:rPr>
              <w:t>投标供应商违约责任承诺不清或有重大缺漏的得。</w:t>
            </w:r>
          </w:p>
          <w:p w14:paraId="581B12E2">
            <w:pPr>
              <w:pStyle w:val="29"/>
              <w:adjustRightInd w:val="0"/>
              <w:snapToGrid w:val="0"/>
              <w:spacing w:before="0" w:beforeAutospacing="0" w:after="0" w:afterAutospacing="0"/>
              <w:ind w:firstLine="241" w:firstLineChars="100"/>
              <w:rPr>
                <w:rFonts w:hint="eastAsia" w:cstheme="minorBidi"/>
                <w:color w:val="auto"/>
                <w:kern w:val="2"/>
                <w:sz w:val="24"/>
                <w:szCs w:val="22"/>
                <w:lang w:val="en-US" w:eastAsia="zh-CN" w:bidi="ar-SA"/>
              </w:rPr>
            </w:pPr>
            <w:r>
              <w:rPr>
                <w:rFonts w:hint="eastAsia" w:cstheme="minorBidi"/>
                <w:b/>
                <w:bCs/>
                <w:color w:val="auto"/>
                <w:kern w:val="2"/>
                <w:sz w:val="24"/>
                <w:szCs w:val="22"/>
                <w:lang w:val="en-US" w:eastAsia="zh-CN" w:bidi="ar-SA"/>
              </w:rPr>
              <w:t>注：</w:t>
            </w:r>
            <w:r>
              <w:rPr>
                <w:rFonts w:hint="eastAsia" w:cstheme="minorBidi"/>
                <w:color w:val="auto"/>
                <w:kern w:val="2"/>
                <w:sz w:val="24"/>
                <w:szCs w:val="22"/>
                <w:lang w:val="en-US" w:eastAsia="zh-CN" w:bidi="ar-SA"/>
              </w:rPr>
              <w:t>未编制责任承诺及保障措施的不得分。</w:t>
            </w:r>
          </w:p>
        </w:tc>
      </w:tr>
      <w:tr w14:paraId="38D3F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99" w:type="dxa"/>
            <w:gridSpan w:val="2"/>
            <w:shd w:val="clear" w:color="auto" w:fill="auto"/>
            <w:vAlign w:val="center"/>
          </w:tcPr>
          <w:p w14:paraId="08997461">
            <w:pPr>
              <w:pStyle w:val="48"/>
              <w:rPr>
                <w:rFonts w:hint="eastAsia"/>
              </w:rPr>
            </w:pPr>
            <w:r>
              <w:rPr>
                <w:rFonts w:hint="eastAsia"/>
              </w:rPr>
              <w:t>合计</w:t>
            </w:r>
          </w:p>
        </w:tc>
        <w:tc>
          <w:tcPr>
            <w:tcW w:w="881" w:type="dxa"/>
            <w:tcBorders>
              <w:bottom w:val="single" w:color="auto" w:sz="4" w:space="0"/>
            </w:tcBorders>
            <w:shd w:val="clear" w:color="auto" w:fill="auto"/>
            <w:vAlign w:val="center"/>
          </w:tcPr>
          <w:p w14:paraId="1884548B">
            <w:pPr>
              <w:pStyle w:val="48"/>
              <w:jc w:val="center"/>
              <w:rPr>
                <w:rFonts w:hint="eastAsia"/>
              </w:rPr>
            </w:pPr>
            <w:r>
              <w:rPr>
                <w:rFonts w:hint="eastAsia"/>
              </w:rPr>
              <w:fldChar w:fldCharType="begin"/>
            </w:r>
            <w:r>
              <w:rPr>
                <w:rFonts w:hint="eastAsia"/>
              </w:rPr>
              <w:instrText xml:space="preserve"> =SUM(ABOVE) </w:instrText>
            </w:r>
            <w:r>
              <w:rPr>
                <w:rFonts w:hint="eastAsia"/>
              </w:rPr>
              <w:fldChar w:fldCharType="separate"/>
            </w:r>
            <w:r>
              <w:rPr>
                <w:rFonts w:hint="eastAsia"/>
              </w:rPr>
              <w:t>100</w:t>
            </w:r>
            <w:r>
              <w:rPr>
                <w:rFonts w:hint="eastAsia"/>
              </w:rPr>
              <w:fldChar w:fldCharType="end"/>
            </w:r>
            <w:r>
              <w:rPr>
                <w:rFonts w:hint="eastAsia"/>
              </w:rPr>
              <w:t>分</w:t>
            </w:r>
          </w:p>
        </w:tc>
        <w:tc>
          <w:tcPr>
            <w:tcW w:w="5701" w:type="dxa"/>
            <w:gridSpan w:val="2"/>
            <w:tcBorders>
              <w:bottom w:val="single" w:color="auto" w:sz="4" w:space="0"/>
            </w:tcBorders>
            <w:shd w:val="clear" w:color="auto" w:fill="auto"/>
            <w:vAlign w:val="center"/>
          </w:tcPr>
          <w:p w14:paraId="7B578B1D">
            <w:pPr>
              <w:pStyle w:val="48"/>
              <w:rPr>
                <w:rFonts w:hint="eastAsia"/>
              </w:rPr>
            </w:pPr>
          </w:p>
        </w:tc>
      </w:tr>
    </w:tbl>
    <w:p w14:paraId="3222A56A">
      <w:pPr>
        <w:rPr>
          <w:rFonts w:hint="eastAsia"/>
          <w:lang w:val="zh-CN"/>
        </w:rPr>
      </w:pPr>
    </w:p>
    <w:p w14:paraId="3B12603D">
      <w:pPr>
        <w:rPr>
          <w:rFonts w:hint="eastAsia"/>
          <w:lang w:val="zh-CN"/>
        </w:rPr>
        <w:sectPr>
          <w:pgSz w:w="11906" w:h="16838"/>
          <w:pgMar w:top="1440" w:right="1800" w:bottom="1440" w:left="1800" w:header="851" w:footer="992" w:gutter="0"/>
          <w:cols w:space="425" w:num="1"/>
          <w:docGrid w:type="lines" w:linePitch="312" w:charSpace="0"/>
        </w:sectPr>
      </w:pPr>
    </w:p>
    <w:p w14:paraId="2B9A89F8">
      <w:pPr>
        <w:pStyle w:val="3"/>
        <w:numPr>
          <w:ilvl w:val="0"/>
          <w:numId w:val="2"/>
        </w:numPr>
        <w:rPr>
          <w:rFonts w:hint="eastAsia"/>
          <w:lang w:val="zh-CN"/>
        </w:rPr>
      </w:pPr>
      <w:bookmarkStart w:id="323" w:name="_Toc155185918"/>
      <w:bookmarkStart w:id="324" w:name="_Toc501"/>
      <w:r>
        <w:rPr>
          <w:rFonts w:hint="eastAsia"/>
          <w:lang w:val="zh-CN"/>
        </w:rPr>
        <w:t>合同</w:t>
      </w:r>
      <w:bookmarkEnd w:id="323"/>
      <w:r>
        <w:rPr>
          <w:rFonts w:hint="eastAsia"/>
          <w:lang w:val="zh-CN"/>
        </w:rPr>
        <w:t>草案</w:t>
      </w:r>
      <w:bookmarkEnd w:id="324"/>
    </w:p>
    <w:p w14:paraId="4432404A">
      <w:pPr>
        <w:rPr>
          <w:rFonts w:hint="eastAsia"/>
          <w:lang w:val="zh-CN"/>
        </w:rPr>
      </w:pPr>
    </w:p>
    <w:p w14:paraId="3AA85A60">
      <w:pPr>
        <w:wordWrap w:val="0"/>
        <w:jc w:val="center"/>
        <w:rPr>
          <w:rFonts w:hint="eastAsia"/>
          <w:bCs/>
          <w:sz w:val="36"/>
          <w:szCs w:val="36"/>
        </w:rPr>
      </w:pPr>
      <w:r>
        <w:rPr>
          <w:rFonts w:hint="eastAsia"/>
        </w:rPr>
        <w:t>（</w:t>
      </w:r>
      <w:r>
        <w:rPr>
          <w:rFonts w:hint="eastAsia"/>
          <w:szCs w:val="24"/>
        </w:rPr>
        <w:t>此合同书仅作为签订正式合同时的参考，正式合同书应包括本参考格式的内容）</w:t>
      </w:r>
    </w:p>
    <w:p w14:paraId="0CE72DF7">
      <w:pPr>
        <w:wordWrap w:val="0"/>
        <w:rPr>
          <w:rFonts w:hint="eastAsia"/>
          <w:bCs/>
          <w:sz w:val="28"/>
          <w:szCs w:val="28"/>
        </w:rPr>
      </w:pPr>
      <w:r>
        <w:rPr>
          <w:rFonts w:hint="eastAsia" w:cs="Helvetica"/>
          <w:bCs/>
          <w:szCs w:val="24"/>
          <w:lang w:val="zh-CN"/>
        </w:rPr>
        <w:t>合同编号：</w:t>
      </w:r>
      <w:r>
        <w:rPr>
          <w:rFonts w:hint="eastAsia" w:cs="Helvetica"/>
          <w:bCs/>
          <w:szCs w:val="24"/>
          <w:u w:val="single"/>
        </w:rPr>
        <w:t xml:space="preserve">              </w:t>
      </w:r>
    </w:p>
    <w:p w14:paraId="2BA19D8C">
      <w:pPr>
        <w:wordWrap w:val="0"/>
        <w:jc w:val="center"/>
        <w:rPr>
          <w:rFonts w:hint="eastAsia"/>
          <w:b/>
          <w:bCs/>
          <w:sz w:val="72"/>
          <w:szCs w:val="72"/>
        </w:rPr>
      </w:pPr>
    </w:p>
    <w:p w14:paraId="003CA231">
      <w:pPr>
        <w:wordWrap w:val="0"/>
        <w:jc w:val="center"/>
        <w:rPr>
          <w:rFonts w:hint="eastAsia"/>
          <w:b/>
          <w:bCs/>
          <w:sz w:val="72"/>
          <w:szCs w:val="72"/>
        </w:rPr>
      </w:pPr>
      <w:r>
        <w:rPr>
          <w:rFonts w:hint="eastAsia"/>
          <w:b/>
          <w:bCs/>
          <w:sz w:val="72"/>
          <w:szCs w:val="72"/>
        </w:rPr>
        <w:t>合   同   书</w:t>
      </w:r>
    </w:p>
    <w:p w14:paraId="51056ABD">
      <w:pPr>
        <w:wordWrap w:val="0"/>
        <w:jc w:val="center"/>
        <w:rPr>
          <w:rFonts w:hint="eastAsia"/>
          <w:bCs/>
          <w:sz w:val="10"/>
          <w:szCs w:val="10"/>
        </w:rPr>
      </w:pPr>
    </w:p>
    <w:p w14:paraId="4584D135">
      <w:pPr>
        <w:wordWrap w:val="0"/>
        <w:spacing w:before="78" w:beforeLines="25"/>
        <w:rPr>
          <w:rFonts w:hint="eastAsia" w:cs="Helvetica"/>
          <w:sz w:val="28"/>
          <w:szCs w:val="28"/>
          <w:u w:val="single"/>
          <w:lang w:val="zh-CN"/>
        </w:rPr>
      </w:pPr>
      <w:r>
        <w:rPr>
          <w:rFonts w:hint="eastAsia" w:cs="Helvetica"/>
          <w:b/>
          <w:sz w:val="28"/>
          <w:szCs w:val="28"/>
          <w:lang w:val="zh-CN"/>
        </w:rPr>
        <w:t>项目名称：</w:t>
      </w:r>
      <w:r>
        <w:rPr>
          <w:rFonts w:hint="eastAsia" w:cs="Helvetica"/>
          <w:sz w:val="28"/>
          <w:szCs w:val="28"/>
          <w:u w:val="single"/>
          <w:lang w:val="zh-CN"/>
        </w:rPr>
        <w:t xml:space="preserve">                                             </w:t>
      </w:r>
    </w:p>
    <w:p w14:paraId="0E852DC7">
      <w:pPr>
        <w:wordWrap w:val="0"/>
        <w:spacing w:before="78" w:beforeLines="25"/>
        <w:rPr>
          <w:rFonts w:hint="eastAsia" w:cs="Helvetica"/>
          <w:bCs/>
          <w:sz w:val="28"/>
          <w:szCs w:val="28"/>
          <w:u w:val="single"/>
          <w:lang w:val="zh-CN"/>
        </w:rPr>
      </w:pPr>
      <w:r>
        <w:rPr>
          <w:rFonts w:hint="eastAsia" w:cs="Helvetica"/>
          <w:b/>
          <w:sz w:val="28"/>
          <w:szCs w:val="28"/>
          <w:lang w:val="zh-CN"/>
        </w:rPr>
        <w:t>甲方（采购人）：</w:t>
      </w:r>
      <w:r>
        <w:rPr>
          <w:rFonts w:hint="eastAsia"/>
          <w:bCs/>
          <w:sz w:val="28"/>
          <w:szCs w:val="28"/>
          <w:u w:val="single"/>
        </w:rPr>
        <w:t xml:space="preserve">                                  </w:t>
      </w:r>
      <w:r>
        <w:rPr>
          <w:rFonts w:hint="eastAsia" w:cs="Helvetica"/>
          <w:bCs/>
          <w:sz w:val="28"/>
          <w:szCs w:val="28"/>
          <w:u w:val="single"/>
          <w:lang w:val="zh-CN"/>
        </w:rPr>
        <w:t xml:space="preserve">    </w:t>
      </w:r>
    </w:p>
    <w:p w14:paraId="306401BC">
      <w:pPr>
        <w:wordWrap w:val="0"/>
        <w:spacing w:before="78" w:beforeLines="25"/>
        <w:rPr>
          <w:rFonts w:hint="eastAsia"/>
          <w:b/>
          <w:sz w:val="28"/>
          <w:szCs w:val="28"/>
          <w:u w:val="single"/>
        </w:rPr>
      </w:pPr>
      <w:r>
        <w:rPr>
          <w:rFonts w:hint="eastAsia" w:cs="Helvetica"/>
          <w:b/>
          <w:sz w:val="28"/>
          <w:szCs w:val="28"/>
          <w:lang w:val="zh-CN"/>
        </w:rPr>
        <w:t>乙方（中标人）：</w:t>
      </w:r>
      <w:r>
        <w:rPr>
          <w:rFonts w:hint="eastAsia"/>
          <w:b/>
          <w:sz w:val="28"/>
          <w:szCs w:val="28"/>
          <w:u w:val="single"/>
        </w:rPr>
        <w:t xml:space="preserve">                                      </w:t>
      </w:r>
    </w:p>
    <w:p w14:paraId="0F051861">
      <w:pPr>
        <w:wordWrap w:val="0"/>
        <w:spacing w:before="78" w:beforeLines="25"/>
        <w:rPr>
          <w:rFonts w:hint="eastAsia"/>
          <w:sz w:val="28"/>
          <w:szCs w:val="28"/>
          <w:u w:val="single"/>
        </w:rPr>
      </w:pPr>
      <w:r>
        <w:rPr>
          <w:rFonts w:hint="eastAsia" w:cs="Helvetica"/>
          <w:b/>
          <w:sz w:val="28"/>
          <w:szCs w:val="28"/>
          <w:lang w:val="zh-CN"/>
        </w:rPr>
        <w:t>签订地：</w:t>
      </w:r>
      <w:r>
        <w:rPr>
          <w:rFonts w:hint="eastAsia" w:cs="Helvetica"/>
          <w:sz w:val="28"/>
          <w:szCs w:val="28"/>
          <w:u w:val="single"/>
          <w:lang w:val="zh-CN"/>
        </w:rPr>
        <w:t xml:space="preserve">                                               </w:t>
      </w:r>
    </w:p>
    <w:p w14:paraId="7215226C">
      <w:pPr>
        <w:wordWrap w:val="0"/>
        <w:spacing w:before="78" w:beforeLines="25"/>
        <w:ind w:firstLine="1200" w:firstLineChars="500"/>
        <w:rPr>
          <w:rFonts w:hint="eastAsia"/>
          <w:u w:val="single"/>
        </w:rPr>
      </w:pPr>
    </w:p>
    <w:p w14:paraId="587DD9A0">
      <w:pPr>
        <w:wordWrap w:val="0"/>
        <w:spacing w:before="78" w:beforeLines="25"/>
        <w:ind w:firstLine="1200" w:firstLineChars="500"/>
        <w:rPr>
          <w:rFonts w:hint="eastAsia"/>
          <w:u w:val="single"/>
        </w:rPr>
      </w:pPr>
    </w:p>
    <w:p w14:paraId="0203F34F">
      <w:pPr>
        <w:wordWrap w:val="0"/>
        <w:spacing w:before="78" w:beforeLines="25"/>
        <w:ind w:firstLine="1200" w:firstLineChars="500"/>
        <w:rPr>
          <w:rFonts w:hint="eastAsia"/>
          <w:u w:val="single"/>
        </w:rPr>
      </w:pPr>
    </w:p>
    <w:p w14:paraId="30B41062">
      <w:pPr>
        <w:wordWrap w:val="0"/>
        <w:spacing w:before="78" w:beforeLines="25"/>
        <w:ind w:firstLine="1200" w:firstLineChars="500"/>
        <w:rPr>
          <w:rFonts w:hint="eastAsia"/>
          <w:u w:val="single"/>
        </w:rPr>
      </w:pPr>
    </w:p>
    <w:p w14:paraId="2EA8069A">
      <w:pPr>
        <w:wordWrap w:val="0"/>
        <w:spacing w:before="78" w:beforeLines="25"/>
        <w:ind w:firstLine="1200" w:firstLineChars="500"/>
        <w:rPr>
          <w:rFonts w:hint="eastAsia"/>
          <w:u w:val="single"/>
        </w:rPr>
      </w:pPr>
    </w:p>
    <w:p w14:paraId="3D7A2811">
      <w:pPr>
        <w:wordWrap w:val="0"/>
        <w:spacing w:before="78" w:beforeLines="25"/>
        <w:ind w:firstLine="1200" w:firstLineChars="500"/>
        <w:rPr>
          <w:rFonts w:hint="eastAsia"/>
          <w:u w:val="single"/>
        </w:rPr>
      </w:pPr>
    </w:p>
    <w:p w14:paraId="430B1237">
      <w:pPr>
        <w:wordWrap w:val="0"/>
        <w:spacing w:before="78" w:beforeLines="25"/>
        <w:ind w:firstLine="1200" w:firstLineChars="500"/>
        <w:rPr>
          <w:rFonts w:hint="eastAsia"/>
          <w:u w:val="single"/>
        </w:rPr>
      </w:pPr>
    </w:p>
    <w:p w14:paraId="735DA48F">
      <w:pPr>
        <w:wordWrap w:val="0"/>
        <w:spacing w:before="78" w:beforeLines="25"/>
        <w:ind w:firstLine="1205" w:firstLineChars="500"/>
        <w:rPr>
          <w:rFonts w:hint="eastAsia"/>
          <w:b/>
          <w:szCs w:val="24"/>
        </w:rPr>
      </w:pPr>
      <w:r>
        <w:rPr>
          <w:rFonts w:hint="eastAsia" w:cs="Helvetica"/>
          <w:b/>
          <w:szCs w:val="24"/>
          <w:lang w:val="zh-CN"/>
        </w:rPr>
        <w:t>签订</w:t>
      </w:r>
      <w:r>
        <w:rPr>
          <w:rFonts w:hint="eastAsia"/>
          <w:b/>
          <w:szCs w:val="24"/>
        </w:rPr>
        <w:t>日期：</w:t>
      </w:r>
      <w:r>
        <w:rPr>
          <w:rFonts w:hint="eastAsia"/>
          <w:szCs w:val="24"/>
          <w:u w:val="single"/>
        </w:rPr>
        <w:t xml:space="preserve">                </w:t>
      </w:r>
      <w:r>
        <w:rPr>
          <w:rFonts w:hint="eastAsia"/>
          <w:szCs w:val="24"/>
        </w:rPr>
        <w:t>年</w:t>
      </w:r>
      <w:r>
        <w:rPr>
          <w:rFonts w:hint="eastAsia"/>
          <w:szCs w:val="24"/>
          <w:u w:val="single"/>
        </w:rPr>
        <w:t xml:space="preserve">           </w:t>
      </w:r>
      <w:r>
        <w:rPr>
          <w:rFonts w:hint="eastAsia"/>
          <w:szCs w:val="24"/>
        </w:rPr>
        <w:t>月</w:t>
      </w:r>
      <w:r>
        <w:rPr>
          <w:rFonts w:hint="eastAsia"/>
          <w:szCs w:val="24"/>
          <w:u w:val="single"/>
        </w:rPr>
        <w:t xml:space="preserve">            </w:t>
      </w:r>
      <w:r>
        <w:rPr>
          <w:rFonts w:hint="eastAsia"/>
          <w:szCs w:val="24"/>
        </w:rPr>
        <w:t>日</w:t>
      </w:r>
    </w:p>
    <w:p w14:paraId="314FBF3D">
      <w:pPr>
        <w:wordWrap w:val="0"/>
        <w:spacing w:before="78" w:beforeLines="25"/>
        <w:rPr>
          <w:rFonts w:hint="eastAsia"/>
          <w:b/>
        </w:rPr>
      </w:pPr>
      <w:r>
        <w:rPr>
          <w:rFonts w:hint="eastAsia"/>
          <w:b/>
        </w:rPr>
        <w:t xml:space="preserve">                                                 </w:t>
      </w:r>
    </w:p>
    <w:p w14:paraId="2859BAD6">
      <w:pPr>
        <w:widowControl/>
        <w:wordWrap w:val="0"/>
        <w:rPr>
          <w:rFonts w:hint="eastAsia" w:cs="宋体"/>
          <w:szCs w:val="24"/>
        </w:rPr>
      </w:pPr>
      <w:r>
        <w:rPr>
          <w:rFonts w:cs="宋体"/>
          <w:szCs w:val="24"/>
        </w:rPr>
        <w:br w:type="page"/>
      </w:r>
    </w:p>
    <w:p w14:paraId="55D2948D">
      <w:pPr>
        <w:pStyle w:val="4"/>
        <w:adjustRightInd w:val="0"/>
        <w:snapToGrid w:val="0"/>
        <w:spacing w:line="240" w:lineRule="auto"/>
        <w:jc w:val="left"/>
        <w:rPr>
          <w:rFonts w:hint="eastAsia" w:ascii="仿宋" w:hAnsi="仿宋" w:eastAsia="仿宋" w:cs="仿宋"/>
          <w:szCs w:val="28"/>
        </w:rPr>
      </w:pPr>
      <w:bookmarkStart w:id="325" w:name="_Toc31184"/>
      <w:bookmarkStart w:id="326" w:name="_Toc155185919"/>
      <w:r>
        <w:rPr>
          <w:rFonts w:hint="eastAsia" w:ascii="仿宋" w:hAnsi="仿宋" w:eastAsia="仿宋" w:cs="仿宋"/>
          <w:szCs w:val="28"/>
        </w:rPr>
        <w:t>合同条款</w:t>
      </w:r>
    </w:p>
    <w:p w14:paraId="63EBE5C9">
      <w:pPr>
        <w:spacing w:before="319" w:beforeLines="100" w:after="319" w:afterLines="100" w:line="360" w:lineRule="auto"/>
        <w:jc w:val="center"/>
        <w:rPr>
          <w:rFonts w:hint="eastAsia" w:ascii="仿宋" w:hAnsi="仿宋" w:eastAsia="仿宋" w:cs="仿宋"/>
          <w:b/>
          <w:sz w:val="44"/>
          <w:szCs w:val="44"/>
        </w:rPr>
      </w:pPr>
      <w:r>
        <w:rPr>
          <w:rFonts w:hint="eastAsia" w:ascii="仿宋" w:hAnsi="仿宋" w:eastAsia="仿宋" w:cs="仿宋"/>
          <w:b/>
          <w:sz w:val="44"/>
          <w:szCs w:val="44"/>
        </w:rPr>
        <w:t>政府采购合同条款</w:t>
      </w:r>
    </w:p>
    <w:p w14:paraId="65E6AE82">
      <w:pPr>
        <w:numPr>
          <w:ilvl w:val="0"/>
          <w:numId w:val="22"/>
        </w:numPr>
        <w:spacing w:line="360" w:lineRule="auto"/>
        <w:rPr>
          <w:rFonts w:hint="eastAsia" w:ascii="仿宋" w:hAnsi="仿宋" w:eastAsia="仿宋" w:cs="仿宋"/>
          <w:b/>
          <w:szCs w:val="21"/>
        </w:rPr>
      </w:pPr>
      <w:r>
        <w:rPr>
          <w:rFonts w:hint="eastAsia" w:ascii="仿宋" w:hAnsi="仿宋" w:eastAsia="仿宋" w:cs="仿宋"/>
          <w:b/>
          <w:szCs w:val="21"/>
        </w:rPr>
        <w:t>术语定义</w:t>
      </w:r>
    </w:p>
    <w:p w14:paraId="5C8B0C8A">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本政府采购合同下列术语应解释为：</w:t>
      </w:r>
    </w:p>
    <w:p w14:paraId="6B26D36A">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1</w:t>
      </w:r>
      <w:r>
        <w:rPr>
          <w:rFonts w:hint="eastAsia" w:ascii="仿宋" w:hAnsi="仿宋" w:eastAsia="仿宋" w:cs="仿宋"/>
          <w:b/>
          <w:szCs w:val="21"/>
        </w:rPr>
        <w:t>.</w:t>
      </w:r>
      <w:r>
        <w:rPr>
          <w:rFonts w:hint="eastAsia" w:ascii="仿宋" w:hAnsi="仿宋" w:eastAsia="仿宋" w:cs="仿宋"/>
          <w:szCs w:val="21"/>
        </w:rPr>
        <w:t>1“政府采购合同”指供需双方依照政府采购程序、按照招标文件、投标文件确定的事项所达成的协议，包括附件、附录和上述文件所提到的构成政府采购合同的所有文件。</w:t>
      </w:r>
    </w:p>
    <w:p w14:paraId="22933E3A">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1</w:t>
      </w:r>
      <w:r>
        <w:rPr>
          <w:rFonts w:hint="eastAsia" w:ascii="仿宋" w:hAnsi="仿宋" w:eastAsia="仿宋" w:cs="仿宋"/>
          <w:b/>
          <w:szCs w:val="21"/>
        </w:rPr>
        <w:t>.</w:t>
      </w:r>
      <w:r>
        <w:rPr>
          <w:rFonts w:hint="eastAsia" w:ascii="仿宋" w:hAnsi="仿宋" w:eastAsia="仿宋" w:cs="仿宋"/>
          <w:szCs w:val="21"/>
        </w:rPr>
        <w:t>2 “政府采购合同价”指根据合同约定供方在正确地完全履行政府采购合同义务后需方应支付给供方的价格。</w:t>
      </w:r>
    </w:p>
    <w:p w14:paraId="05E3E0A0">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1</w:t>
      </w:r>
      <w:r>
        <w:rPr>
          <w:rFonts w:hint="eastAsia" w:ascii="仿宋" w:hAnsi="仿宋" w:eastAsia="仿宋" w:cs="仿宋"/>
          <w:b/>
          <w:szCs w:val="21"/>
        </w:rPr>
        <w:t>.</w:t>
      </w:r>
      <w:r>
        <w:rPr>
          <w:rFonts w:hint="eastAsia" w:ascii="仿宋" w:hAnsi="仿宋" w:eastAsia="仿宋" w:cs="仿宋"/>
          <w:szCs w:val="21"/>
        </w:rPr>
        <w:t>3 “服务”指政府采购合同服务清单（同投标文件中开标一览表及其附表，下同）所约定的服务内容。</w:t>
      </w:r>
    </w:p>
    <w:p w14:paraId="61F5059E">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1</w:t>
      </w:r>
      <w:r>
        <w:rPr>
          <w:rFonts w:hint="eastAsia" w:ascii="仿宋" w:hAnsi="仿宋" w:eastAsia="仿宋" w:cs="仿宋"/>
          <w:b/>
          <w:szCs w:val="21"/>
        </w:rPr>
        <w:t>.</w:t>
      </w:r>
      <w:r>
        <w:rPr>
          <w:rFonts w:hint="eastAsia" w:ascii="仿宋" w:hAnsi="仿宋" w:eastAsia="仿宋" w:cs="仿宋"/>
          <w:szCs w:val="21"/>
        </w:rPr>
        <w:t>5 “需方”指项目基本内容及要求中所述取得产品和服务的采购单位。</w:t>
      </w:r>
    </w:p>
    <w:p w14:paraId="3B42232D">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1</w:t>
      </w:r>
      <w:r>
        <w:rPr>
          <w:rFonts w:hint="eastAsia" w:ascii="仿宋" w:hAnsi="仿宋" w:eastAsia="仿宋" w:cs="仿宋"/>
          <w:b/>
          <w:szCs w:val="21"/>
        </w:rPr>
        <w:t>.</w:t>
      </w:r>
      <w:r>
        <w:rPr>
          <w:rFonts w:hint="eastAsia" w:ascii="仿宋" w:hAnsi="仿宋" w:eastAsia="仿宋" w:cs="仿宋"/>
          <w:szCs w:val="21"/>
        </w:rPr>
        <w:t>6 “供方”指项目基本内容及要求中所述提供产品和服务的中标供应商。</w:t>
      </w:r>
    </w:p>
    <w:p w14:paraId="6AF3BABE">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1</w:t>
      </w:r>
      <w:r>
        <w:rPr>
          <w:rFonts w:hint="eastAsia" w:ascii="仿宋" w:hAnsi="仿宋" w:eastAsia="仿宋" w:cs="仿宋"/>
          <w:b/>
          <w:szCs w:val="21"/>
        </w:rPr>
        <w:t>.</w:t>
      </w:r>
      <w:r>
        <w:rPr>
          <w:rFonts w:hint="eastAsia" w:ascii="仿宋" w:hAnsi="仿宋" w:eastAsia="仿宋" w:cs="仿宋"/>
          <w:szCs w:val="21"/>
        </w:rPr>
        <w:t>7 “检验”指需方按照政府采购合同约定的标准对供方所提供服务进行的检测和查验。</w:t>
      </w:r>
    </w:p>
    <w:p w14:paraId="4FFE44F5">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1</w:t>
      </w:r>
      <w:r>
        <w:rPr>
          <w:rFonts w:hint="eastAsia" w:ascii="仿宋" w:hAnsi="仿宋" w:eastAsia="仿宋" w:cs="仿宋"/>
          <w:b/>
          <w:szCs w:val="21"/>
        </w:rPr>
        <w:t>.</w:t>
      </w:r>
      <w:r>
        <w:rPr>
          <w:rFonts w:hint="eastAsia" w:ascii="仿宋" w:hAnsi="仿宋" w:eastAsia="仿宋" w:cs="仿宋"/>
          <w:szCs w:val="21"/>
        </w:rPr>
        <w:t>8 “验收书”指采购单位或采购代理机构根据合同履约验收意见书形成反映采购单位和组织验收机构意见的文件。</w:t>
      </w:r>
    </w:p>
    <w:p w14:paraId="081C4689">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1.9“天”指日历天数（如无特别说明）。</w:t>
      </w:r>
    </w:p>
    <w:p w14:paraId="18967C0C">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1</w:t>
      </w:r>
      <w:r>
        <w:rPr>
          <w:rFonts w:hint="eastAsia" w:ascii="仿宋" w:hAnsi="仿宋" w:eastAsia="仿宋" w:cs="仿宋"/>
          <w:b/>
          <w:szCs w:val="21"/>
        </w:rPr>
        <w:t>.</w:t>
      </w:r>
      <w:r>
        <w:rPr>
          <w:rFonts w:hint="eastAsia" w:ascii="仿宋" w:hAnsi="仿宋" w:eastAsia="仿宋" w:cs="仿宋"/>
          <w:szCs w:val="21"/>
        </w:rPr>
        <w:t>10“第三人”是指本政府采购合同双方以外的任何中国境内外的自然人、法人或其它经济组织。</w:t>
      </w:r>
    </w:p>
    <w:p w14:paraId="60228F67">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1</w:t>
      </w:r>
      <w:r>
        <w:rPr>
          <w:rFonts w:hint="eastAsia" w:ascii="仿宋" w:hAnsi="仿宋" w:eastAsia="仿宋" w:cs="仿宋"/>
          <w:b/>
          <w:szCs w:val="21"/>
        </w:rPr>
        <w:t>.</w:t>
      </w:r>
      <w:r>
        <w:rPr>
          <w:rFonts w:hint="eastAsia" w:ascii="仿宋" w:hAnsi="仿宋" w:eastAsia="仿宋" w:cs="仿宋"/>
          <w:szCs w:val="21"/>
        </w:rPr>
        <w:t>11“法律、法规”是指由中国各级政府及有关部门制定的法律、行政法规、地方性法规、规章及其它规范性文件的有关规定。</w:t>
      </w:r>
    </w:p>
    <w:p w14:paraId="4A43B7E3">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1</w:t>
      </w:r>
      <w:r>
        <w:rPr>
          <w:rFonts w:hint="eastAsia" w:ascii="仿宋" w:hAnsi="仿宋" w:eastAsia="仿宋" w:cs="仿宋"/>
          <w:b/>
          <w:szCs w:val="21"/>
        </w:rPr>
        <w:t>.</w:t>
      </w:r>
      <w:r>
        <w:rPr>
          <w:rFonts w:hint="eastAsia" w:ascii="仿宋" w:hAnsi="仿宋" w:eastAsia="仿宋" w:cs="仿宋"/>
          <w:szCs w:val="21"/>
        </w:rPr>
        <w:t>12“招标文件”指采购人或采购代理机构发布的招标文件。</w:t>
      </w:r>
    </w:p>
    <w:p w14:paraId="04B89886">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1</w:t>
      </w:r>
      <w:r>
        <w:rPr>
          <w:rFonts w:hint="eastAsia" w:ascii="仿宋" w:hAnsi="仿宋" w:eastAsia="仿宋" w:cs="仿宋"/>
          <w:b/>
          <w:szCs w:val="21"/>
        </w:rPr>
        <w:t>.</w:t>
      </w:r>
      <w:r>
        <w:rPr>
          <w:rFonts w:hint="eastAsia" w:ascii="仿宋" w:hAnsi="仿宋" w:eastAsia="仿宋" w:cs="仿宋"/>
          <w:szCs w:val="21"/>
        </w:rPr>
        <w:t>13“投标文件”指供方按照采购代理机构招标文件的要求编制和递交，并最终被评标委员会接受的投标文件。</w:t>
      </w:r>
    </w:p>
    <w:p w14:paraId="10240431">
      <w:pPr>
        <w:spacing w:line="360" w:lineRule="auto"/>
        <w:ind w:firstLine="479" w:firstLineChars="199"/>
        <w:rPr>
          <w:rFonts w:hint="eastAsia" w:ascii="仿宋" w:hAnsi="仿宋" w:eastAsia="仿宋" w:cs="仿宋"/>
          <w:b/>
          <w:szCs w:val="21"/>
        </w:rPr>
      </w:pPr>
      <w:r>
        <w:rPr>
          <w:rFonts w:hint="eastAsia" w:ascii="仿宋" w:hAnsi="仿宋" w:eastAsia="仿宋" w:cs="仿宋"/>
          <w:b/>
          <w:szCs w:val="21"/>
        </w:rPr>
        <w:t>2.技术规范与服务内容</w:t>
      </w:r>
    </w:p>
    <w:p w14:paraId="48748FAE">
      <w:pPr>
        <w:spacing w:line="360" w:lineRule="auto"/>
        <w:ind w:firstLine="477" w:firstLineChars="199"/>
        <w:rPr>
          <w:rFonts w:hint="eastAsia" w:ascii="仿宋" w:hAnsi="仿宋" w:eastAsia="仿宋" w:cs="仿宋"/>
          <w:szCs w:val="21"/>
        </w:rPr>
      </w:pPr>
      <w:r>
        <w:rPr>
          <w:rFonts w:hint="eastAsia" w:ascii="仿宋" w:hAnsi="仿宋" w:eastAsia="仿宋" w:cs="仿宋"/>
          <w:szCs w:val="21"/>
        </w:rPr>
        <w:t>2.1投标服务的技术规范应与招标文件规定的技术规范（如果有的话）相一致。若无相应说明，则以国家有关部门最新颁布的相应标准及规范为准。</w:t>
      </w:r>
    </w:p>
    <w:p w14:paraId="6E0C3520">
      <w:pPr>
        <w:spacing w:line="360" w:lineRule="auto"/>
        <w:ind w:firstLine="477" w:firstLineChars="199"/>
        <w:rPr>
          <w:rFonts w:hint="eastAsia" w:ascii="仿宋" w:hAnsi="仿宋" w:eastAsia="仿宋" w:cs="仿宋"/>
          <w:szCs w:val="21"/>
        </w:rPr>
      </w:pPr>
      <w:r>
        <w:rPr>
          <w:rFonts w:hint="eastAsia" w:ascii="仿宋" w:hAnsi="仿宋" w:eastAsia="仿宋" w:cs="仿宋"/>
          <w:szCs w:val="21"/>
        </w:rPr>
        <w:t>2.2 投标服务的服务内容应与招标文件规定服务内容及投标文件中的项目要求及投标响应表一致。</w:t>
      </w:r>
    </w:p>
    <w:p w14:paraId="168E55FB">
      <w:pPr>
        <w:spacing w:line="360" w:lineRule="auto"/>
        <w:ind w:firstLine="479" w:firstLineChars="199"/>
        <w:rPr>
          <w:rFonts w:hint="eastAsia" w:ascii="仿宋" w:hAnsi="仿宋" w:eastAsia="仿宋" w:cs="仿宋"/>
          <w:b/>
          <w:szCs w:val="21"/>
        </w:rPr>
      </w:pPr>
      <w:r>
        <w:rPr>
          <w:rFonts w:hint="eastAsia" w:ascii="仿宋" w:hAnsi="仿宋" w:eastAsia="仿宋" w:cs="仿宋"/>
          <w:b/>
          <w:szCs w:val="21"/>
        </w:rPr>
        <w:t>3.知识产权</w:t>
      </w:r>
    </w:p>
    <w:p w14:paraId="70E4904A">
      <w:pPr>
        <w:spacing w:line="360" w:lineRule="auto"/>
        <w:ind w:firstLine="470" w:firstLineChars="196"/>
        <w:jc w:val="left"/>
        <w:rPr>
          <w:rFonts w:hint="eastAsia" w:ascii="仿宋" w:hAnsi="仿宋" w:eastAsia="仿宋" w:cs="仿宋"/>
          <w:szCs w:val="21"/>
        </w:rPr>
      </w:pPr>
      <w:r>
        <w:rPr>
          <w:rFonts w:hint="eastAsia" w:ascii="仿宋" w:hAnsi="仿宋" w:eastAsia="仿宋" w:cs="仿宋"/>
          <w:szCs w:val="21"/>
        </w:rPr>
        <w:t>3.1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14:paraId="4E0E6B62">
      <w:pPr>
        <w:spacing w:line="360" w:lineRule="auto"/>
        <w:ind w:firstLine="470" w:firstLineChars="196"/>
        <w:jc w:val="left"/>
        <w:rPr>
          <w:rFonts w:hint="eastAsia" w:ascii="仿宋" w:hAnsi="仿宋" w:eastAsia="仿宋" w:cs="仿宋"/>
          <w:szCs w:val="21"/>
        </w:rPr>
      </w:pPr>
      <w:r>
        <w:rPr>
          <w:rFonts w:hint="eastAsia" w:ascii="仿宋" w:hAnsi="仿宋" w:eastAsia="仿宋" w:cs="仿宋"/>
          <w:szCs w:val="21"/>
        </w:rPr>
        <w:t>3.2供方应保证所供服务符合国家的有关规定。</w:t>
      </w:r>
    </w:p>
    <w:p w14:paraId="445BE75B">
      <w:pPr>
        <w:tabs>
          <w:tab w:val="left" w:pos="360"/>
        </w:tabs>
        <w:spacing w:line="360" w:lineRule="auto"/>
        <w:ind w:firstLine="477" w:firstLineChars="199"/>
        <w:rPr>
          <w:rFonts w:hint="eastAsia" w:ascii="仿宋" w:hAnsi="仿宋" w:eastAsia="仿宋" w:cs="仿宋"/>
          <w:szCs w:val="21"/>
        </w:rPr>
      </w:pPr>
      <w:r>
        <w:rPr>
          <w:rFonts w:hint="eastAsia" w:ascii="仿宋" w:hAnsi="仿宋" w:eastAsia="仿宋" w:cs="仿宋"/>
          <w:szCs w:val="21"/>
        </w:rPr>
        <w:t>3.3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14:paraId="6CD03FAF">
      <w:pPr>
        <w:spacing w:line="360" w:lineRule="auto"/>
        <w:ind w:firstLine="479" w:firstLineChars="199"/>
        <w:rPr>
          <w:rFonts w:hint="eastAsia" w:ascii="仿宋" w:hAnsi="仿宋" w:eastAsia="仿宋" w:cs="仿宋"/>
          <w:b/>
          <w:szCs w:val="21"/>
        </w:rPr>
      </w:pPr>
      <w:r>
        <w:rPr>
          <w:rFonts w:hint="eastAsia" w:ascii="仿宋" w:hAnsi="仿宋" w:eastAsia="仿宋" w:cs="仿宋"/>
          <w:b/>
          <w:szCs w:val="21"/>
        </w:rPr>
        <w:t>4.完成方式</w:t>
      </w:r>
    </w:p>
    <w:p w14:paraId="03AF40F5">
      <w:pPr>
        <w:spacing w:line="360" w:lineRule="auto"/>
        <w:ind w:firstLine="477" w:firstLineChars="199"/>
        <w:rPr>
          <w:rFonts w:hint="eastAsia" w:ascii="仿宋" w:hAnsi="仿宋" w:eastAsia="仿宋" w:cs="仿宋"/>
          <w:szCs w:val="21"/>
        </w:rPr>
      </w:pPr>
      <w:r>
        <w:rPr>
          <w:rFonts w:hint="eastAsia" w:ascii="仿宋" w:hAnsi="仿宋" w:eastAsia="仿宋" w:cs="仿宋"/>
          <w:szCs w:val="21"/>
        </w:rPr>
        <w:t>供方按照合同约定的时间、地点完成服务。</w:t>
      </w:r>
    </w:p>
    <w:p w14:paraId="1D948372">
      <w:pPr>
        <w:spacing w:line="360" w:lineRule="auto"/>
        <w:ind w:firstLine="479" w:firstLineChars="199"/>
        <w:rPr>
          <w:rFonts w:hint="eastAsia" w:ascii="仿宋" w:hAnsi="仿宋" w:eastAsia="仿宋" w:cs="仿宋"/>
          <w:b/>
          <w:szCs w:val="21"/>
        </w:rPr>
      </w:pPr>
      <w:r>
        <w:rPr>
          <w:rFonts w:hint="eastAsia" w:ascii="仿宋" w:hAnsi="仿宋" w:eastAsia="仿宋" w:cs="仿宋"/>
          <w:b/>
          <w:szCs w:val="21"/>
        </w:rPr>
        <w:t>5.付款</w:t>
      </w:r>
    </w:p>
    <w:p w14:paraId="2FC209DC">
      <w:pPr>
        <w:spacing w:line="360" w:lineRule="auto"/>
        <w:ind w:firstLine="477" w:firstLineChars="199"/>
        <w:rPr>
          <w:rFonts w:hint="eastAsia" w:ascii="仿宋" w:hAnsi="仿宋" w:eastAsia="仿宋" w:cs="仿宋"/>
          <w:szCs w:val="21"/>
        </w:rPr>
      </w:pPr>
      <w:r>
        <w:rPr>
          <w:rFonts w:hint="eastAsia" w:ascii="仿宋" w:hAnsi="仿宋" w:eastAsia="仿宋" w:cs="仿宋"/>
          <w:szCs w:val="21"/>
        </w:rPr>
        <w:t>5.1政府采购合同以人民币付款。</w:t>
      </w:r>
    </w:p>
    <w:p w14:paraId="633EAB9D">
      <w:pPr>
        <w:spacing w:line="360" w:lineRule="auto"/>
        <w:ind w:firstLine="477" w:firstLineChars="199"/>
        <w:rPr>
          <w:rFonts w:hint="eastAsia" w:ascii="仿宋" w:hAnsi="仿宋" w:eastAsia="仿宋" w:cs="仿宋"/>
          <w:szCs w:val="21"/>
        </w:rPr>
      </w:pPr>
      <w:r>
        <w:rPr>
          <w:rFonts w:hint="eastAsia" w:ascii="仿宋" w:hAnsi="仿宋" w:eastAsia="仿宋" w:cs="仿宋"/>
          <w:szCs w:val="21"/>
        </w:rPr>
        <w:t>5.2在供方按照政府采购合同的规定履行服务后，需方按照合同约定的方式和条件付款。</w:t>
      </w:r>
    </w:p>
    <w:p w14:paraId="72551E34">
      <w:pPr>
        <w:spacing w:line="360" w:lineRule="auto"/>
        <w:ind w:firstLine="482" w:firstLineChars="200"/>
        <w:rPr>
          <w:rFonts w:hint="eastAsia" w:ascii="仿宋" w:hAnsi="仿宋" w:eastAsia="仿宋" w:cs="仿宋"/>
          <w:b/>
          <w:szCs w:val="21"/>
        </w:rPr>
      </w:pPr>
      <w:r>
        <w:rPr>
          <w:rFonts w:hint="eastAsia" w:ascii="仿宋" w:hAnsi="仿宋" w:eastAsia="仿宋" w:cs="仿宋"/>
          <w:b/>
          <w:szCs w:val="21"/>
        </w:rPr>
        <w:t>6.服务质量</w:t>
      </w:r>
    </w:p>
    <w:p w14:paraId="2B5E661F">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6.1供方应保证政府采购合同项下所供服务是由供方提供的，并完全符合强制性的国家技术质量规范和政府采购合同规定的质量、性能和技术规范等要求。</w:t>
      </w:r>
    </w:p>
    <w:p w14:paraId="5CBC4D5F">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6.2供方提供的服务质量应满足行业一般标准，符合合同约定。</w:t>
      </w:r>
    </w:p>
    <w:p w14:paraId="2F9ACE38">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6.3需方有权对供方的服务质量进行监督，发现服务存在不符合合同标准的情形的，可以要求供方改正服务方式、替换服务人员等补救方式，供方应按需方要求改正，并赔偿需方实际损失。</w:t>
      </w:r>
    </w:p>
    <w:p w14:paraId="0AA1D127">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6.4对于委托开发等最终以产品形式交付需方使用的服务，供方需按照招标文件要求对产品提供售后服务及质量保证，供方投标文件承诺的售后服务及质量保证优于招标文件要求的，以投标文件承诺的售后服务及质量保证为准。</w:t>
      </w:r>
    </w:p>
    <w:p w14:paraId="5EA34C5A">
      <w:pPr>
        <w:spacing w:line="360" w:lineRule="auto"/>
        <w:ind w:firstLine="472" w:firstLineChars="196"/>
        <w:rPr>
          <w:rFonts w:hint="eastAsia" w:ascii="仿宋" w:hAnsi="仿宋" w:eastAsia="仿宋" w:cs="仿宋"/>
          <w:b/>
          <w:szCs w:val="21"/>
        </w:rPr>
      </w:pPr>
      <w:r>
        <w:rPr>
          <w:rFonts w:hint="eastAsia" w:ascii="仿宋" w:hAnsi="仿宋" w:eastAsia="仿宋" w:cs="仿宋"/>
          <w:b/>
          <w:szCs w:val="21"/>
        </w:rPr>
        <w:t>7.技术服务和保修责任</w:t>
      </w:r>
    </w:p>
    <w:p w14:paraId="33F38BC1">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7.1本条适用于委托开发等最终以产品形式交付需方使用的服务。</w:t>
      </w:r>
    </w:p>
    <w:p w14:paraId="1B0A6613">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7.2供方对交付的产品的保修期，以招标文件中的规定为准，如果投标文件中的承诺优于招标文件规定，则以投标文件为准。</w:t>
      </w:r>
    </w:p>
    <w:p w14:paraId="0D7EA22B">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7.3供方应按如下内容提供售后服务：</w:t>
      </w:r>
    </w:p>
    <w:p w14:paraId="27D7411D">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7.3.1产品经过试运行期，所有性能指标达到技术规范书的要求时，可按招标文件、投标文件内容进行初验。在试运行期间，由于产品质量等造成某些指标达不到要求，供方须更换或进行修复，试运行期重新计算。</w:t>
      </w:r>
    </w:p>
    <w:p w14:paraId="4F60E37E">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7.3.2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0A0EC38B">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7.3.3保修期间供方要保修除消耗品以外的所有产品。如果系统、设备等发生故障，供方要调查故障原因并修复直至满足最终验收指标和性能的要求，或者修理、更换整个或部分有缺陷的材料。</w:t>
      </w:r>
    </w:p>
    <w:p w14:paraId="6E9E2DE5">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7.3.4保修期内，供方提供电话、电子邮件、Web、现场服务等方式的技术支持，对用户的现场服务要求，供方必须按投标文件做出的承诺进行响应。</w:t>
      </w:r>
    </w:p>
    <w:p w14:paraId="41278BE6">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7.3.5保修期内，供方应对出现故障无法修复的产品或无法正常运行的系统，提供替代产品以保证系统的正常工作。</w:t>
      </w:r>
    </w:p>
    <w:p w14:paraId="5559B3A7">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7.3.6保修期内，供方应投标时的承诺提供相关服务。</w:t>
      </w:r>
    </w:p>
    <w:p w14:paraId="1B26D393">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7.3.7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0B7C4135">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7.3.8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36BEDA97">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7.3.9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58DF71F6">
      <w:pPr>
        <w:spacing w:line="360" w:lineRule="auto"/>
        <w:ind w:firstLine="477" w:firstLineChars="199"/>
        <w:rPr>
          <w:rFonts w:hint="eastAsia" w:ascii="仿宋" w:hAnsi="仿宋" w:eastAsia="仿宋" w:cs="仿宋"/>
          <w:szCs w:val="21"/>
        </w:rPr>
      </w:pPr>
      <w:r>
        <w:rPr>
          <w:rFonts w:hint="eastAsia" w:ascii="仿宋" w:hAnsi="仿宋" w:eastAsia="仿宋" w:cs="仿宋"/>
          <w:szCs w:val="21"/>
        </w:rPr>
        <w:t>7.3.10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4B68E179">
      <w:pPr>
        <w:spacing w:line="360" w:lineRule="auto"/>
        <w:ind w:firstLine="479" w:firstLineChars="199"/>
        <w:rPr>
          <w:rFonts w:hint="eastAsia" w:ascii="仿宋" w:hAnsi="仿宋" w:eastAsia="仿宋" w:cs="仿宋"/>
          <w:b/>
          <w:szCs w:val="21"/>
        </w:rPr>
      </w:pPr>
      <w:r>
        <w:rPr>
          <w:rFonts w:hint="eastAsia" w:ascii="仿宋" w:hAnsi="仿宋" w:eastAsia="仿宋" w:cs="仿宋"/>
          <w:b/>
          <w:szCs w:val="21"/>
        </w:rPr>
        <w:t>8.检验和验收</w:t>
      </w:r>
    </w:p>
    <w:p w14:paraId="677B7020">
      <w:pPr>
        <w:spacing w:line="360" w:lineRule="auto"/>
        <w:ind w:firstLine="477" w:firstLineChars="199"/>
        <w:rPr>
          <w:rFonts w:hint="eastAsia" w:ascii="仿宋" w:hAnsi="仿宋" w:eastAsia="仿宋" w:cs="仿宋"/>
          <w:szCs w:val="21"/>
        </w:rPr>
      </w:pPr>
      <w:r>
        <w:rPr>
          <w:rFonts w:hint="eastAsia" w:ascii="仿宋" w:hAnsi="仿宋" w:eastAsia="仿宋" w:cs="仿宋"/>
          <w:szCs w:val="21"/>
        </w:rPr>
        <w:t>8.1完成服务后，需方或采购代理机构（由具体项目决定）应在政府采购合同规定的时间内组织验收，并在“验收书”上签字。“验收书”将作为申请付款文件的一部分。</w:t>
      </w:r>
    </w:p>
    <w:p w14:paraId="12AB1B80">
      <w:pPr>
        <w:spacing w:line="360" w:lineRule="auto"/>
        <w:ind w:firstLine="477" w:firstLineChars="199"/>
        <w:rPr>
          <w:rFonts w:hint="eastAsia" w:ascii="仿宋" w:hAnsi="仿宋" w:eastAsia="仿宋" w:cs="仿宋"/>
          <w:szCs w:val="21"/>
        </w:rPr>
      </w:pPr>
      <w:r>
        <w:rPr>
          <w:rFonts w:hint="eastAsia" w:ascii="仿宋" w:hAnsi="仿宋" w:eastAsia="仿宋" w:cs="仿宋"/>
          <w:szCs w:val="21"/>
        </w:rPr>
        <w:t>8.2对于委托开发等最终以产品形式交付需方使用的服务，保修期自验收书签署之日起计算。</w:t>
      </w:r>
    </w:p>
    <w:p w14:paraId="24D11920">
      <w:pPr>
        <w:tabs>
          <w:tab w:val="left" w:pos="360"/>
        </w:tabs>
        <w:spacing w:line="360" w:lineRule="auto"/>
        <w:ind w:firstLine="525" w:firstLineChars="218"/>
        <w:rPr>
          <w:rFonts w:hint="eastAsia" w:ascii="仿宋" w:hAnsi="仿宋" w:eastAsia="仿宋" w:cs="仿宋"/>
          <w:b/>
          <w:szCs w:val="21"/>
        </w:rPr>
      </w:pPr>
      <w:r>
        <w:rPr>
          <w:rFonts w:hint="eastAsia" w:ascii="仿宋" w:hAnsi="仿宋" w:eastAsia="仿宋" w:cs="仿宋"/>
          <w:b/>
          <w:szCs w:val="21"/>
        </w:rPr>
        <w:t>9.违约责任</w:t>
      </w:r>
    </w:p>
    <w:p w14:paraId="3672BAF7">
      <w:pPr>
        <w:spacing w:line="360" w:lineRule="auto"/>
        <w:ind w:firstLine="523" w:firstLineChars="218"/>
        <w:rPr>
          <w:rFonts w:hint="eastAsia" w:ascii="仿宋" w:hAnsi="仿宋" w:eastAsia="仿宋" w:cs="仿宋"/>
          <w:szCs w:val="21"/>
        </w:rPr>
      </w:pPr>
      <w:r>
        <w:rPr>
          <w:rFonts w:hint="eastAsia" w:ascii="仿宋" w:hAnsi="仿宋" w:eastAsia="仿宋" w:cs="仿宋"/>
          <w:szCs w:val="21"/>
        </w:rPr>
        <w:t>9.1如果供方未按照政府采购合同规定的要求提供服务；或供方未能履行政府采购合同规定的任何其它义务时，需方有权向供方发出违约通知书，供方应按照需方选择的下列一种或多种方式承担赔偿责任：</w:t>
      </w:r>
    </w:p>
    <w:p w14:paraId="4D09FFC6">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9.1.1在需方同意延长的期限内提供服务并承担由此给需方造成的一切损失；</w:t>
      </w:r>
    </w:p>
    <w:p w14:paraId="72BB6F21">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9.1.2在需方规定的时间内，用符合政府采购合同规定的服务以达到政府采购合同规定的要求，供方应承担由此发生的一切费用和风险。此时，相关服务的期限也应相应延长；</w:t>
      </w:r>
    </w:p>
    <w:p w14:paraId="110395DB">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9.1.3需方有权部分或全部解除政府采购合同并要求供方赔偿由此造成的损失。此时需方可采取必要的补救措施，相关费用由供方承担。</w:t>
      </w:r>
    </w:p>
    <w:p w14:paraId="0A270C91">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9.2如果供方在收到需方的违约通知书后10日内未作答复也没有按照需方选择的方式承担违约责任，则需方有权从履约保证金（如有）、尚未支付的政府采购合同价款中扣回索赔金额。如果这些金额不足以补偿，需方有权向供方提出不足部分的赔偿要求。</w:t>
      </w:r>
    </w:p>
    <w:p w14:paraId="5D66C4E2">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9.3延期服务的违约责任</w:t>
      </w:r>
    </w:p>
    <w:p w14:paraId="4D19DCFF">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9.3.1除本合同条款第9条规定外，如果供方没有按照政府采购合同规定的时间提供服务，需方可要求供方支付违约金。违约金按照每周未提供服务费用的0.5%计收，但违约金的最高限额为未提供服务的合同价格的5%。一周按7天计算，不足7天按一周计算。如果达到最高限额，需方有权解除政府采购合同。</w:t>
      </w:r>
    </w:p>
    <w:p w14:paraId="2A5FE36A">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8.4以上各项交付的违约金并不影响违约方履行政府采购合同的各项义务。</w:t>
      </w:r>
    </w:p>
    <w:p w14:paraId="5FE25517">
      <w:pPr>
        <w:spacing w:line="360" w:lineRule="auto"/>
        <w:ind w:left="420"/>
        <w:rPr>
          <w:rFonts w:hint="eastAsia" w:ascii="仿宋" w:hAnsi="仿宋" w:eastAsia="仿宋" w:cs="仿宋"/>
          <w:b/>
          <w:szCs w:val="21"/>
        </w:rPr>
      </w:pPr>
      <w:r>
        <w:rPr>
          <w:rFonts w:hint="eastAsia" w:ascii="仿宋" w:hAnsi="仿宋" w:eastAsia="仿宋" w:cs="仿宋"/>
          <w:b/>
          <w:szCs w:val="21"/>
        </w:rPr>
        <w:t>10.不可抗力</w:t>
      </w:r>
    </w:p>
    <w:p w14:paraId="140A3069">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5C882B30">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10.2本条所述的“不可抗力”系指那些双方无法控制，不可预见的事件，但不包括双方的违约或疏忽。这些事件包括但不限于：战争、严重火灾、洪水、台风、地震。</w:t>
      </w:r>
    </w:p>
    <w:p w14:paraId="2B6D9D8A">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10.3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42A66A46">
      <w:pPr>
        <w:spacing w:line="360" w:lineRule="auto"/>
        <w:ind w:firstLine="472" w:firstLineChars="196"/>
        <w:rPr>
          <w:rFonts w:hint="eastAsia" w:ascii="仿宋" w:hAnsi="仿宋" w:eastAsia="仿宋" w:cs="仿宋"/>
          <w:b/>
          <w:szCs w:val="21"/>
        </w:rPr>
      </w:pPr>
      <w:r>
        <w:rPr>
          <w:rFonts w:hint="eastAsia" w:ascii="仿宋" w:hAnsi="仿宋" w:eastAsia="仿宋" w:cs="仿宋"/>
          <w:b/>
          <w:szCs w:val="21"/>
        </w:rPr>
        <w:t>11.争端的解决</w:t>
      </w:r>
    </w:p>
    <w:p w14:paraId="6F1EB337">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11.1需方和供方应通过友好协商，解决在执行本政府采购合同过程中所发生的或与本政府采购合同有关的一切争端。</w:t>
      </w:r>
    </w:p>
    <w:p w14:paraId="011A062D">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11.2如果协商不成，双方中的任何一方可向需方所在地的人民法院提起诉讼。</w:t>
      </w:r>
    </w:p>
    <w:p w14:paraId="5B9F8346">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11.3因政府采购合同部分履行引发诉讼的，在诉讼期间，除正在进行诉讼的部分外，本政府采购合同的其它部分应继续执行。</w:t>
      </w:r>
    </w:p>
    <w:p w14:paraId="70ACF812">
      <w:pPr>
        <w:spacing w:line="360" w:lineRule="auto"/>
        <w:ind w:firstLine="472" w:firstLineChars="196"/>
        <w:rPr>
          <w:rFonts w:hint="eastAsia" w:ascii="仿宋" w:hAnsi="仿宋" w:eastAsia="仿宋" w:cs="仿宋"/>
          <w:b/>
          <w:szCs w:val="21"/>
        </w:rPr>
      </w:pPr>
      <w:r>
        <w:rPr>
          <w:rFonts w:hint="eastAsia" w:ascii="仿宋" w:hAnsi="仿宋" w:eastAsia="仿宋" w:cs="仿宋"/>
          <w:b/>
          <w:szCs w:val="21"/>
        </w:rPr>
        <w:t>12.违约终止政府采购合同</w:t>
      </w:r>
    </w:p>
    <w:p w14:paraId="2478AA81">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12.1在需方因供方违约而按政府采购合同约定采取的任何补救措施不起作用的情况下，需方可在下列情况下向供方发出书面通知，提出终止部分或全部政府采购合同。</w:t>
      </w:r>
    </w:p>
    <w:p w14:paraId="3B048A45">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12.1.1如果供方未能在政府采购合同规定的限期或需方同意延长的限期内提供部分或全部服务；</w:t>
      </w:r>
    </w:p>
    <w:p w14:paraId="0D5F12A8">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12.1.2如果供方未能履行政府采购合同规定的其它任何义务。</w:t>
      </w:r>
    </w:p>
    <w:p w14:paraId="33C84F23">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12.1.3未经需方事先书面同意，供方部分转让和分包或全部转让和分包其应履行的政府采购合同义务。</w:t>
      </w:r>
    </w:p>
    <w:p w14:paraId="7F8925D3">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12.2 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14:paraId="06766E2E">
      <w:pPr>
        <w:spacing w:line="360" w:lineRule="auto"/>
        <w:ind w:firstLine="472" w:firstLineChars="196"/>
        <w:rPr>
          <w:rFonts w:hint="eastAsia" w:ascii="仿宋" w:hAnsi="仿宋" w:eastAsia="仿宋" w:cs="仿宋"/>
          <w:b/>
          <w:szCs w:val="21"/>
        </w:rPr>
      </w:pPr>
      <w:r>
        <w:rPr>
          <w:rFonts w:hint="eastAsia" w:ascii="仿宋" w:hAnsi="仿宋" w:eastAsia="仿宋" w:cs="仿宋"/>
          <w:b/>
          <w:szCs w:val="21"/>
        </w:rPr>
        <w:t>13.政府采购法对政府采购合同变更终止的规定</w:t>
      </w:r>
    </w:p>
    <w:p w14:paraId="3CFB8C1A">
      <w:pPr>
        <w:spacing w:line="360" w:lineRule="auto"/>
        <w:ind w:firstLine="470" w:firstLineChars="196"/>
        <w:rPr>
          <w:rFonts w:hint="eastAsia" w:ascii="仿宋" w:hAnsi="仿宋" w:eastAsia="仿宋" w:cs="仿宋"/>
          <w:b/>
          <w:szCs w:val="21"/>
        </w:rPr>
      </w:pPr>
      <w:r>
        <w:rPr>
          <w:rFonts w:hint="eastAsia" w:ascii="仿宋" w:hAnsi="仿宋" w:eastAsia="仿宋" w:cs="仿宋"/>
          <w:szCs w:val="21"/>
        </w:rPr>
        <w:t>政府采购合同的双方当事人(指供需双方)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14:paraId="16A30FAF">
      <w:pPr>
        <w:spacing w:line="360" w:lineRule="auto"/>
        <w:ind w:firstLine="472" w:firstLineChars="196"/>
        <w:rPr>
          <w:rFonts w:hint="eastAsia" w:ascii="仿宋" w:hAnsi="仿宋" w:eastAsia="仿宋" w:cs="仿宋"/>
          <w:b/>
          <w:szCs w:val="21"/>
        </w:rPr>
      </w:pPr>
      <w:r>
        <w:rPr>
          <w:rFonts w:hint="eastAsia" w:ascii="仿宋" w:hAnsi="仿宋" w:eastAsia="仿宋" w:cs="仿宋"/>
          <w:b/>
          <w:szCs w:val="21"/>
        </w:rPr>
        <w:t>14.政府采购合同转让和分包</w:t>
      </w:r>
    </w:p>
    <w:p w14:paraId="31B0B310">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除招标文件规定,并经需方事先书面同意外，供方不得部分转让和分包或全部转让和分包其应履行的政府采购合同义务。</w:t>
      </w:r>
    </w:p>
    <w:p w14:paraId="423924E6">
      <w:pPr>
        <w:spacing w:line="360" w:lineRule="auto"/>
        <w:ind w:firstLine="472" w:firstLineChars="196"/>
        <w:rPr>
          <w:rFonts w:hint="eastAsia" w:ascii="仿宋" w:hAnsi="仿宋" w:eastAsia="仿宋" w:cs="仿宋"/>
          <w:szCs w:val="21"/>
        </w:rPr>
      </w:pPr>
      <w:r>
        <w:rPr>
          <w:rFonts w:hint="eastAsia" w:ascii="仿宋" w:hAnsi="仿宋" w:eastAsia="仿宋" w:cs="仿宋"/>
          <w:b/>
          <w:szCs w:val="21"/>
        </w:rPr>
        <w:t>15.适用法律：</w:t>
      </w:r>
      <w:r>
        <w:rPr>
          <w:rFonts w:hint="eastAsia" w:ascii="仿宋" w:hAnsi="仿宋" w:eastAsia="仿宋" w:cs="仿宋"/>
          <w:szCs w:val="21"/>
        </w:rPr>
        <w:t>本政府采购合同按照中华人民共和国的现行法律进行解释。</w:t>
      </w:r>
    </w:p>
    <w:p w14:paraId="6ED7676A">
      <w:pPr>
        <w:spacing w:line="360" w:lineRule="auto"/>
        <w:ind w:firstLine="472" w:firstLineChars="196"/>
        <w:rPr>
          <w:rFonts w:hint="eastAsia" w:ascii="仿宋" w:hAnsi="仿宋" w:eastAsia="仿宋" w:cs="仿宋"/>
          <w:b/>
          <w:szCs w:val="21"/>
        </w:rPr>
      </w:pPr>
      <w:r>
        <w:rPr>
          <w:rFonts w:hint="eastAsia" w:ascii="仿宋" w:hAnsi="仿宋" w:eastAsia="仿宋" w:cs="仿宋"/>
          <w:b/>
          <w:szCs w:val="21"/>
        </w:rPr>
        <w:t>16.政府采购合同生效</w:t>
      </w:r>
    </w:p>
    <w:p w14:paraId="382161A3">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16.1本政府采购合同在供需双方法定代表人或其授权代理人签字和加盖公章后生效。</w:t>
      </w:r>
    </w:p>
    <w:p w14:paraId="25BF34AB">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 xml:space="preserve">16.2本政府采购合同一式五份，需方执二份，供方、采购代理机构、财政部门各执一份。 </w:t>
      </w:r>
    </w:p>
    <w:p w14:paraId="77E8B88E">
      <w:pPr>
        <w:spacing w:line="360" w:lineRule="auto"/>
        <w:ind w:firstLine="472" w:firstLineChars="196"/>
        <w:rPr>
          <w:rFonts w:hint="eastAsia" w:ascii="仿宋" w:hAnsi="仿宋" w:eastAsia="仿宋" w:cs="仿宋"/>
          <w:b/>
          <w:szCs w:val="21"/>
        </w:rPr>
      </w:pPr>
      <w:r>
        <w:rPr>
          <w:rFonts w:hint="eastAsia" w:ascii="仿宋" w:hAnsi="仿宋" w:eastAsia="仿宋" w:cs="仿宋"/>
          <w:b/>
          <w:szCs w:val="21"/>
        </w:rPr>
        <w:t>17.政府采购合同附件</w:t>
      </w:r>
    </w:p>
    <w:p w14:paraId="2350457A">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下列文件构成本政府采购合同不可分割的组成部分，与本政府采购合同具有同等法律效力：</w:t>
      </w:r>
    </w:p>
    <w:p w14:paraId="74CE6DCB">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17.1招标文件；</w:t>
      </w:r>
    </w:p>
    <w:p w14:paraId="236641A1">
      <w:pPr>
        <w:spacing w:line="360" w:lineRule="auto"/>
        <w:ind w:firstLine="480" w:firstLineChars="200"/>
        <w:jc w:val="left"/>
        <w:rPr>
          <w:rFonts w:hint="eastAsia" w:ascii="仿宋" w:hAnsi="仿宋" w:eastAsia="仿宋" w:cs="仿宋"/>
          <w:szCs w:val="21"/>
        </w:rPr>
      </w:pPr>
      <w:r>
        <w:rPr>
          <w:rFonts w:hint="eastAsia" w:ascii="仿宋" w:hAnsi="仿宋" w:eastAsia="仿宋" w:cs="仿宋"/>
          <w:szCs w:val="21"/>
        </w:rPr>
        <w:t>17.2招标文件的更正公告、变更公告；</w:t>
      </w:r>
    </w:p>
    <w:p w14:paraId="688B9D50">
      <w:pPr>
        <w:spacing w:line="360" w:lineRule="auto"/>
        <w:ind w:firstLine="480" w:firstLineChars="200"/>
        <w:jc w:val="left"/>
        <w:rPr>
          <w:rFonts w:hint="eastAsia" w:ascii="仿宋" w:hAnsi="仿宋" w:eastAsia="仿宋" w:cs="仿宋"/>
          <w:szCs w:val="21"/>
        </w:rPr>
      </w:pPr>
      <w:r>
        <w:rPr>
          <w:rFonts w:hint="eastAsia" w:ascii="仿宋" w:hAnsi="仿宋" w:eastAsia="仿宋" w:cs="仿宋"/>
          <w:szCs w:val="21"/>
        </w:rPr>
        <w:t xml:space="preserve">17.3中标供应商提交的投标文件；        </w:t>
      </w:r>
    </w:p>
    <w:p w14:paraId="56F54756">
      <w:pPr>
        <w:spacing w:line="360" w:lineRule="auto"/>
        <w:ind w:firstLine="480" w:firstLineChars="200"/>
        <w:jc w:val="left"/>
        <w:rPr>
          <w:rFonts w:hint="eastAsia" w:ascii="仿宋" w:hAnsi="仿宋" w:eastAsia="仿宋" w:cs="仿宋"/>
          <w:szCs w:val="21"/>
        </w:rPr>
      </w:pPr>
      <w:r>
        <w:rPr>
          <w:rFonts w:hint="eastAsia" w:ascii="仿宋" w:hAnsi="仿宋" w:eastAsia="仿宋" w:cs="仿宋"/>
          <w:szCs w:val="21"/>
        </w:rPr>
        <w:t>17.4政府采购合同条款；</w:t>
      </w:r>
    </w:p>
    <w:p w14:paraId="41A189FB">
      <w:pPr>
        <w:spacing w:line="360" w:lineRule="auto"/>
        <w:ind w:firstLine="470" w:firstLineChars="196"/>
        <w:rPr>
          <w:rFonts w:hint="eastAsia" w:ascii="仿宋" w:hAnsi="仿宋" w:eastAsia="仿宋" w:cs="仿宋"/>
          <w:szCs w:val="21"/>
        </w:rPr>
      </w:pPr>
      <w:r>
        <w:rPr>
          <w:rFonts w:hint="eastAsia" w:ascii="仿宋" w:hAnsi="仿宋" w:eastAsia="仿宋" w:cs="仿宋"/>
          <w:szCs w:val="21"/>
        </w:rPr>
        <w:t>17.5中标通知书；</w:t>
      </w:r>
    </w:p>
    <w:p w14:paraId="3DA20C2D">
      <w:pPr>
        <w:spacing w:line="360" w:lineRule="auto"/>
        <w:ind w:firstLine="480" w:firstLineChars="200"/>
        <w:jc w:val="left"/>
        <w:rPr>
          <w:rFonts w:hint="eastAsia" w:ascii="仿宋" w:hAnsi="仿宋" w:eastAsia="仿宋" w:cs="仿宋"/>
          <w:szCs w:val="21"/>
        </w:rPr>
      </w:pPr>
      <w:r>
        <w:rPr>
          <w:rFonts w:hint="eastAsia" w:ascii="仿宋" w:hAnsi="仿宋" w:eastAsia="仿宋" w:cs="仿宋"/>
          <w:szCs w:val="21"/>
        </w:rPr>
        <w:t>17.6政府采购合同的其它附件。</w:t>
      </w:r>
    </w:p>
    <w:p w14:paraId="6913220F">
      <w:pPr>
        <w:ind w:firstLine="470" w:firstLineChars="196"/>
        <w:rPr>
          <w:rFonts w:hint="eastAsia" w:ascii="仿宋" w:hAnsi="仿宋" w:eastAsia="仿宋" w:cs="仿宋"/>
          <w:sz w:val="24"/>
        </w:rPr>
      </w:pPr>
    </w:p>
    <w:p w14:paraId="2FF707B7">
      <w:pPr>
        <w:ind w:firstLine="470" w:firstLineChars="196"/>
        <w:rPr>
          <w:rFonts w:hint="eastAsia" w:ascii="仿宋" w:hAnsi="仿宋" w:eastAsia="仿宋" w:cs="仿宋"/>
          <w:sz w:val="24"/>
        </w:rPr>
      </w:pPr>
    </w:p>
    <w:p w14:paraId="082978BA">
      <w:pPr>
        <w:rPr>
          <w:rFonts w:hint="eastAsia" w:ascii="仿宋" w:hAnsi="仿宋" w:eastAsia="仿宋" w:cs="仿宋"/>
          <w:sz w:val="24"/>
        </w:rPr>
      </w:pPr>
      <w:r>
        <w:rPr>
          <w:rFonts w:hint="eastAsia" w:ascii="仿宋" w:hAnsi="仿宋" w:eastAsia="仿宋" w:cs="仿宋"/>
          <w:sz w:val="24"/>
        </w:rPr>
        <w:br w:type="page"/>
      </w:r>
    </w:p>
    <w:p w14:paraId="75F2F93C">
      <w:pPr>
        <w:pStyle w:val="4"/>
        <w:adjustRightInd w:val="0"/>
        <w:snapToGrid w:val="0"/>
        <w:spacing w:line="240" w:lineRule="auto"/>
        <w:jc w:val="left"/>
        <w:rPr>
          <w:rFonts w:hint="eastAsia" w:ascii="仿宋" w:hAnsi="仿宋" w:eastAsia="仿宋" w:cs="仿宋"/>
          <w:szCs w:val="28"/>
        </w:rPr>
      </w:pPr>
      <w:bookmarkStart w:id="327" w:name="_Toc7832_WPSOffice_Level1"/>
      <w:bookmarkStart w:id="328" w:name="_Toc11644_WPSOffice_Level1"/>
      <w:r>
        <w:rPr>
          <w:rFonts w:hint="eastAsia" w:ascii="仿宋" w:hAnsi="仿宋" w:eastAsia="仿宋" w:cs="仿宋"/>
          <w:szCs w:val="28"/>
        </w:rPr>
        <w:t>政府采购合同格式</w:t>
      </w:r>
      <w:bookmarkEnd w:id="327"/>
      <w:bookmarkEnd w:id="328"/>
    </w:p>
    <w:p w14:paraId="6A2D31A9">
      <w:pPr>
        <w:autoSpaceDE w:val="0"/>
        <w:autoSpaceDN w:val="0"/>
        <w:adjustRightInd w:val="0"/>
        <w:spacing w:line="360" w:lineRule="auto"/>
        <w:ind w:right="-72"/>
        <w:jc w:val="left"/>
        <w:rPr>
          <w:rFonts w:hint="eastAsia" w:ascii="仿宋" w:hAnsi="仿宋" w:eastAsia="仿宋" w:cs="仿宋"/>
          <w:b/>
          <w:kern w:val="0"/>
          <w:sz w:val="28"/>
          <w:szCs w:val="28"/>
        </w:rPr>
      </w:pPr>
      <w:r>
        <w:rPr>
          <w:rFonts w:hint="eastAsia" w:ascii="仿宋" w:hAnsi="仿宋" w:eastAsia="仿宋" w:cs="仿宋"/>
          <w:sz w:val="28"/>
          <w:szCs w:val="28"/>
        </w:rPr>
        <w:t xml:space="preserve">合同编号：             合同自编号： </w:t>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 xml:space="preserve">    项目编号：</w:t>
      </w:r>
    </w:p>
    <w:p w14:paraId="68352318">
      <w:pPr>
        <w:autoSpaceDE w:val="0"/>
        <w:autoSpaceDN w:val="0"/>
        <w:adjustRightInd w:val="0"/>
        <w:spacing w:line="360" w:lineRule="auto"/>
        <w:ind w:right="568"/>
        <w:rPr>
          <w:rFonts w:hint="eastAsia" w:ascii="仿宋" w:hAnsi="仿宋" w:eastAsia="仿宋" w:cs="仿宋"/>
          <w:kern w:val="0"/>
          <w:sz w:val="22"/>
          <w:szCs w:val="32"/>
        </w:rPr>
      </w:pPr>
      <w:r>
        <w:rPr>
          <w:rFonts w:hint="eastAsia" w:ascii="仿宋" w:hAnsi="仿宋" w:eastAsia="仿宋" w:cs="仿宋"/>
          <w:kern w:val="0"/>
          <w:sz w:val="22"/>
          <w:szCs w:val="32"/>
        </w:rPr>
        <w:t>●本合同须加盖甲乙双方骑缝章有效</w:t>
      </w:r>
    </w:p>
    <w:p w14:paraId="487CE8B3">
      <w:pPr>
        <w:autoSpaceDE w:val="0"/>
        <w:autoSpaceDN w:val="0"/>
        <w:adjustRightInd w:val="0"/>
        <w:spacing w:line="360" w:lineRule="auto"/>
        <w:jc w:val="center"/>
        <w:rPr>
          <w:rFonts w:hint="eastAsia" w:ascii="仿宋" w:hAnsi="仿宋" w:eastAsia="仿宋" w:cs="仿宋"/>
          <w:kern w:val="0"/>
          <w:sz w:val="22"/>
          <w:szCs w:val="32"/>
        </w:rPr>
      </w:pPr>
    </w:p>
    <w:p w14:paraId="0F7C3010">
      <w:pPr>
        <w:autoSpaceDE w:val="0"/>
        <w:autoSpaceDN w:val="0"/>
        <w:adjustRightInd w:val="0"/>
        <w:spacing w:line="360" w:lineRule="auto"/>
        <w:jc w:val="center"/>
        <w:rPr>
          <w:rFonts w:hint="eastAsia" w:ascii="仿宋" w:hAnsi="仿宋" w:eastAsia="仿宋" w:cs="仿宋"/>
          <w:b/>
          <w:bCs/>
          <w:kern w:val="0"/>
          <w:sz w:val="52"/>
          <w:szCs w:val="52"/>
          <w:lang w:val="hr-HR" w:eastAsia="zh-CN"/>
        </w:rPr>
      </w:pPr>
      <w:r>
        <w:rPr>
          <w:rFonts w:hint="eastAsia" w:ascii="仿宋" w:hAnsi="仿宋" w:eastAsia="仿宋" w:cs="仿宋"/>
          <w:b/>
          <w:bCs/>
          <w:kern w:val="0"/>
          <w:sz w:val="52"/>
          <w:szCs w:val="52"/>
          <w:lang w:val="hr-HR" w:eastAsia="zh-CN"/>
        </w:rPr>
        <w:t>二街镇生活垃圾清运服务项目</w:t>
      </w:r>
    </w:p>
    <w:p w14:paraId="39C21543">
      <w:pPr>
        <w:pStyle w:val="16"/>
        <w:rPr>
          <w:rFonts w:hint="eastAsia"/>
        </w:rPr>
      </w:pPr>
    </w:p>
    <w:p w14:paraId="01838CE3">
      <w:pPr>
        <w:autoSpaceDE w:val="0"/>
        <w:autoSpaceDN w:val="0"/>
        <w:adjustRightInd w:val="0"/>
        <w:spacing w:line="360" w:lineRule="auto"/>
        <w:jc w:val="center"/>
        <w:rPr>
          <w:rFonts w:hint="eastAsia" w:ascii="仿宋" w:hAnsi="仿宋" w:eastAsia="仿宋" w:cs="仿宋"/>
          <w:b/>
          <w:kern w:val="0"/>
          <w:sz w:val="32"/>
          <w:szCs w:val="44"/>
        </w:rPr>
      </w:pPr>
      <w:r>
        <w:rPr>
          <w:rFonts w:hint="eastAsia" w:ascii="仿宋" w:hAnsi="仿宋" w:eastAsia="仿宋" w:cs="仿宋"/>
          <w:sz w:val="24"/>
          <w:szCs w:val="33"/>
        </w:rPr>
        <w:t>（委托采购）</w:t>
      </w:r>
    </w:p>
    <w:p w14:paraId="04577554">
      <w:pPr>
        <w:autoSpaceDE w:val="0"/>
        <w:autoSpaceDN w:val="0"/>
        <w:adjustRightInd w:val="0"/>
        <w:spacing w:line="360" w:lineRule="auto"/>
        <w:jc w:val="center"/>
        <w:rPr>
          <w:rFonts w:hint="eastAsia" w:ascii="仿宋" w:hAnsi="仿宋" w:eastAsia="仿宋" w:cs="仿宋"/>
          <w:kern w:val="0"/>
          <w:sz w:val="13"/>
          <w:szCs w:val="18"/>
        </w:rPr>
      </w:pPr>
    </w:p>
    <w:p w14:paraId="21B3B114">
      <w:pPr>
        <w:autoSpaceDE w:val="0"/>
        <w:autoSpaceDN w:val="0"/>
        <w:adjustRightInd w:val="0"/>
        <w:spacing w:line="360" w:lineRule="auto"/>
        <w:jc w:val="center"/>
        <w:rPr>
          <w:rFonts w:hint="eastAsia" w:ascii="仿宋" w:hAnsi="仿宋" w:eastAsia="仿宋" w:cs="仿宋"/>
          <w:kern w:val="0"/>
          <w:sz w:val="13"/>
          <w:szCs w:val="18"/>
        </w:rPr>
      </w:pPr>
    </w:p>
    <w:p w14:paraId="1A9A83C7">
      <w:pPr>
        <w:autoSpaceDE w:val="0"/>
        <w:autoSpaceDN w:val="0"/>
        <w:adjustRightInd w:val="0"/>
        <w:spacing w:line="360" w:lineRule="auto"/>
        <w:jc w:val="center"/>
        <w:rPr>
          <w:rFonts w:hint="eastAsia" w:ascii="仿宋" w:hAnsi="仿宋" w:eastAsia="仿宋" w:cs="仿宋"/>
          <w:kern w:val="0"/>
          <w:sz w:val="84"/>
          <w:szCs w:val="84"/>
        </w:rPr>
      </w:pPr>
      <w:r>
        <w:rPr>
          <w:rFonts w:hint="eastAsia" w:ascii="仿宋" w:hAnsi="仿宋" w:eastAsia="仿宋" w:cs="仿宋"/>
          <w:kern w:val="0"/>
          <w:sz w:val="84"/>
          <w:szCs w:val="84"/>
        </w:rPr>
        <w:t xml:space="preserve">合 </w:t>
      </w:r>
    </w:p>
    <w:p w14:paraId="5230048A">
      <w:pPr>
        <w:autoSpaceDE w:val="0"/>
        <w:autoSpaceDN w:val="0"/>
        <w:adjustRightInd w:val="0"/>
        <w:spacing w:line="360" w:lineRule="auto"/>
        <w:jc w:val="center"/>
        <w:rPr>
          <w:rFonts w:hint="eastAsia" w:ascii="仿宋" w:hAnsi="仿宋" w:eastAsia="仿宋" w:cs="仿宋"/>
          <w:kern w:val="0"/>
          <w:sz w:val="84"/>
          <w:szCs w:val="84"/>
        </w:rPr>
      </w:pPr>
      <w:r>
        <w:rPr>
          <w:rFonts w:hint="eastAsia" w:ascii="仿宋" w:hAnsi="仿宋" w:eastAsia="仿宋" w:cs="仿宋"/>
          <w:kern w:val="0"/>
          <w:sz w:val="84"/>
          <w:szCs w:val="84"/>
        </w:rPr>
        <w:t xml:space="preserve">同 </w:t>
      </w:r>
    </w:p>
    <w:p w14:paraId="5C14B5E9">
      <w:pPr>
        <w:autoSpaceDE w:val="0"/>
        <w:autoSpaceDN w:val="0"/>
        <w:adjustRightInd w:val="0"/>
        <w:spacing w:line="360" w:lineRule="auto"/>
        <w:jc w:val="center"/>
        <w:rPr>
          <w:rFonts w:hint="eastAsia" w:ascii="仿宋" w:hAnsi="仿宋" w:eastAsia="仿宋" w:cs="仿宋"/>
          <w:kern w:val="0"/>
          <w:sz w:val="52"/>
          <w:szCs w:val="84"/>
        </w:rPr>
      </w:pPr>
      <w:r>
        <w:rPr>
          <w:rFonts w:hint="eastAsia" w:ascii="仿宋" w:hAnsi="仿宋" w:eastAsia="仿宋" w:cs="仿宋"/>
          <w:kern w:val="0"/>
          <w:sz w:val="84"/>
          <w:szCs w:val="84"/>
        </w:rPr>
        <w:t xml:space="preserve">书 </w:t>
      </w:r>
    </w:p>
    <w:p w14:paraId="4C72C48B">
      <w:pPr>
        <w:autoSpaceDE w:val="0"/>
        <w:autoSpaceDN w:val="0"/>
        <w:adjustRightInd w:val="0"/>
        <w:spacing w:line="360" w:lineRule="auto"/>
        <w:jc w:val="center"/>
        <w:rPr>
          <w:rFonts w:hint="eastAsia" w:ascii="仿宋" w:hAnsi="仿宋" w:eastAsia="仿宋" w:cs="仿宋"/>
          <w:kern w:val="0"/>
          <w:sz w:val="48"/>
          <w:szCs w:val="72"/>
        </w:rPr>
      </w:pPr>
    </w:p>
    <w:p w14:paraId="09A98F66">
      <w:pPr>
        <w:autoSpaceDE w:val="0"/>
        <w:autoSpaceDN w:val="0"/>
        <w:adjustRightInd w:val="0"/>
        <w:spacing w:line="360" w:lineRule="auto"/>
        <w:jc w:val="center"/>
        <w:rPr>
          <w:rFonts w:hint="eastAsia" w:ascii="仿宋" w:hAnsi="仿宋" w:eastAsia="仿宋" w:cs="仿宋"/>
          <w:b/>
          <w:kern w:val="0"/>
          <w:sz w:val="32"/>
          <w:szCs w:val="32"/>
          <w:lang w:eastAsia="zh-CN"/>
        </w:rPr>
      </w:pPr>
      <w:r>
        <w:rPr>
          <w:rFonts w:hint="eastAsia" w:ascii="仿宋" w:hAnsi="仿宋" w:eastAsia="仿宋" w:cs="仿宋"/>
          <w:b/>
          <w:kern w:val="0"/>
          <w:sz w:val="32"/>
          <w:szCs w:val="32"/>
          <w:lang w:val="zh-CN"/>
        </w:rPr>
        <w:t>签订地点：昆明市晋宁区二街镇人民政府</w:t>
      </w:r>
    </w:p>
    <w:p w14:paraId="3F0C4E23">
      <w:pPr>
        <w:autoSpaceDE w:val="0"/>
        <w:autoSpaceDN w:val="0"/>
        <w:adjustRightInd w:val="0"/>
        <w:spacing w:line="360" w:lineRule="auto"/>
        <w:jc w:val="center"/>
        <w:rPr>
          <w:rFonts w:hint="eastAsia" w:ascii="仿宋" w:hAnsi="仿宋" w:eastAsia="仿宋" w:cs="仿宋"/>
          <w:b/>
          <w:kern w:val="0"/>
          <w:sz w:val="32"/>
          <w:szCs w:val="32"/>
          <w:lang w:val="zh-CN"/>
        </w:rPr>
      </w:pPr>
      <w:r>
        <w:rPr>
          <w:rFonts w:hint="eastAsia" w:ascii="仿宋" w:hAnsi="仿宋" w:eastAsia="仿宋" w:cs="仿宋"/>
          <w:b/>
          <w:kern w:val="0"/>
          <w:sz w:val="32"/>
          <w:szCs w:val="32"/>
          <w:lang w:val="zh-CN"/>
        </w:rPr>
        <w:t>签订日期：   年　月　日</w:t>
      </w:r>
    </w:p>
    <w:p w14:paraId="508934C7">
      <w:pPr>
        <w:rPr>
          <w:rFonts w:hint="eastAsia" w:ascii="仿宋" w:hAnsi="仿宋" w:eastAsia="仿宋" w:cs="仿宋"/>
          <w:b/>
          <w:kern w:val="0"/>
          <w:sz w:val="32"/>
          <w:szCs w:val="32"/>
          <w:lang w:val="zh-CN"/>
        </w:rPr>
      </w:pPr>
      <w:r>
        <w:rPr>
          <w:rFonts w:hint="eastAsia" w:ascii="仿宋" w:hAnsi="仿宋" w:eastAsia="仿宋" w:cs="仿宋"/>
          <w:b/>
          <w:kern w:val="0"/>
          <w:sz w:val="32"/>
          <w:szCs w:val="32"/>
          <w:lang w:val="zh-CN"/>
        </w:rPr>
        <w:br w:type="page"/>
      </w:r>
    </w:p>
    <w:p w14:paraId="0F03F591">
      <w:pPr>
        <w:pStyle w:val="16"/>
        <w:rPr>
          <w:rFonts w:hint="eastAsia"/>
          <w:lang w:val="zh-CN"/>
        </w:rPr>
      </w:pPr>
    </w:p>
    <w:p w14:paraId="2E06DE5B">
      <w:pPr>
        <w:autoSpaceDE w:val="0"/>
        <w:autoSpaceDN w:val="0"/>
        <w:adjustRightInd w:val="0"/>
        <w:spacing w:line="360" w:lineRule="auto"/>
        <w:jc w:val="center"/>
        <w:rPr>
          <w:rFonts w:hint="eastAsia" w:ascii="仿宋" w:hAnsi="仿宋" w:eastAsia="仿宋" w:cs="仿宋"/>
          <w:b/>
          <w:kern w:val="0"/>
          <w:sz w:val="32"/>
          <w:szCs w:val="32"/>
          <w:lang w:val="zh-CN"/>
        </w:rPr>
      </w:pPr>
    </w:p>
    <w:p w14:paraId="7ED9A13F">
      <w:pPr>
        <w:spacing w:line="360" w:lineRule="auto"/>
        <w:ind w:firstLine="240" w:firstLineChars="100"/>
        <w:jc w:val="left"/>
        <w:rPr>
          <w:rFonts w:hint="eastAsia" w:ascii="仿宋" w:hAnsi="仿宋" w:eastAsia="仿宋" w:cs="仿宋"/>
          <w:szCs w:val="21"/>
        </w:rPr>
      </w:pPr>
      <w:r>
        <w:rPr>
          <w:rFonts w:hint="eastAsia" w:ascii="仿宋" w:hAnsi="仿宋" w:eastAsia="仿宋" w:cs="仿宋"/>
          <w:szCs w:val="21"/>
          <w:u w:val="single"/>
        </w:rPr>
        <w:t xml:space="preserve">    (需方名称</w:t>
      </w:r>
      <w:r>
        <w:rPr>
          <w:rFonts w:hint="eastAsia" w:ascii="仿宋" w:hAnsi="仿宋" w:eastAsia="仿宋" w:cs="仿宋"/>
          <w:szCs w:val="21"/>
        </w:rPr>
        <w:t>)</w:t>
      </w:r>
      <w:r>
        <w:rPr>
          <w:rFonts w:hint="eastAsia" w:ascii="仿宋" w:hAnsi="仿宋" w:eastAsia="仿宋" w:cs="仿宋"/>
          <w:szCs w:val="21"/>
          <w:u w:val="single"/>
        </w:rPr>
        <w:t xml:space="preserve">            </w:t>
      </w:r>
      <w:r>
        <w:rPr>
          <w:rFonts w:hint="eastAsia" w:ascii="仿宋" w:hAnsi="仿宋" w:eastAsia="仿宋" w:cs="仿宋"/>
          <w:szCs w:val="21"/>
        </w:rPr>
        <w:t xml:space="preserve"> （以下简称需方）和</w:t>
      </w:r>
      <w:r>
        <w:rPr>
          <w:rFonts w:hint="eastAsia" w:ascii="仿宋" w:hAnsi="仿宋" w:eastAsia="仿宋" w:cs="仿宋"/>
          <w:szCs w:val="21"/>
          <w:u w:val="single"/>
        </w:rPr>
        <w:t xml:space="preserve">   (供方名称)    </w:t>
      </w:r>
      <w:r>
        <w:rPr>
          <w:rFonts w:hint="eastAsia" w:ascii="仿宋" w:hAnsi="仿宋" w:eastAsia="仿宋" w:cs="仿宋"/>
          <w:szCs w:val="21"/>
        </w:rPr>
        <w:t xml:space="preserve"> （以下简称供方）根据《中华人民共和国民法典》和有关法律法规，遵循平等、自愿、公平和诚实信用原则，同意按照下面的条款和条件订立本政府采购合同，共同信守。</w:t>
      </w:r>
    </w:p>
    <w:p w14:paraId="5426EDAA">
      <w:pPr>
        <w:spacing w:line="360" w:lineRule="auto"/>
        <w:jc w:val="left"/>
        <w:rPr>
          <w:rFonts w:hint="eastAsia" w:ascii="仿宋" w:hAnsi="仿宋" w:eastAsia="仿宋" w:cs="仿宋"/>
          <w:b/>
          <w:szCs w:val="21"/>
        </w:rPr>
      </w:pPr>
      <w:r>
        <w:rPr>
          <w:rFonts w:hint="eastAsia" w:ascii="仿宋" w:hAnsi="仿宋" w:eastAsia="仿宋" w:cs="仿宋"/>
          <w:b/>
          <w:szCs w:val="21"/>
        </w:rPr>
        <w:t>　　一、政府采购合同文件</w:t>
      </w:r>
    </w:p>
    <w:p w14:paraId="4AEA8023">
      <w:pPr>
        <w:spacing w:line="360" w:lineRule="auto"/>
        <w:jc w:val="left"/>
        <w:rPr>
          <w:rFonts w:hint="eastAsia" w:ascii="仿宋" w:hAnsi="仿宋" w:eastAsia="仿宋" w:cs="仿宋"/>
          <w:szCs w:val="21"/>
        </w:rPr>
      </w:pPr>
      <w:r>
        <w:rPr>
          <w:rFonts w:hint="eastAsia" w:ascii="仿宋" w:hAnsi="仿宋" w:eastAsia="仿宋" w:cs="仿宋"/>
          <w:szCs w:val="21"/>
        </w:rPr>
        <w:t xml:space="preserve">    本政府采购合同所附下列文件是构成本政府采购合同不可分割的部分：</w:t>
      </w:r>
    </w:p>
    <w:p w14:paraId="5BFE586A">
      <w:pPr>
        <w:spacing w:line="360" w:lineRule="auto"/>
        <w:ind w:firstLine="480" w:firstLineChars="200"/>
        <w:jc w:val="left"/>
        <w:rPr>
          <w:rFonts w:hint="eastAsia" w:ascii="仿宋" w:hAnsi="仿宋" w:eastAsia="仿宋" w:cs="仿宋"/>
          <w:szCs w:val="21"/>
        </w:rPr>
      </w:pPr>
      <w:r>
        <w:rPr>
          <w:rFonts w:hint="eastAsia" w:ascii="仿宋" w:hAnsi="仿宋" w:eastAsia="仿宋" w:cs="仿宋"/>
          <w:szCs w:val="21"/>
        </w:rPr>
        <w:t>1.</w:t>
      </w:r>
      <w:r>
        <w:rPr>
          <w:rFonts w:hint="eastAsia" w:ascii="仿宋" w:hAnsi="仿宋" w:eastAsia="仿宋" w:cs="仿宋"/>
          <w:szCs w:val="21"/>
          <w:lang w:eastAsia="zh-CN"/>
        </w:rPr>
        <w:t>招标</w:t>
      </w:r>
      <w:r>
        <w:rPr>
          <w:rFonts w:hint="eastAsia" w:ascii="仿宋" w:hAnsi="仿宋" w:eastAsia="仿宋" w:cs="仿宋"/>
          <w:szCs w:val="21"/>
        </w:rPr>
        <w:t>文件（</w:t>
      </w:r>
      <w:r>
        <w:rPr>
          <w:rFonts w:hint="eastAsia" w:ascii="仿宋" w:hAnsi="仿宋" w:eastAsia="仿宋" w:cs="仿宋"/>
          <w:szCs w:val="21"/>
          <w:lang w:eastAsia="zh-CN"/>
        </w:rPr>
        <w:t>招标</w:t>
      </w:r>
      <w:r>
        <w:rPr>
          <w:rFonts w:hint="eastAsia" w:ascii="仿宋" w:hAnsi="仿宋" w:eastAsia="仿宋" w:cs="仿宋"/>
          <w:szCs w:val="21"/>
        </w:rPr>
        <w:t>文件编号</w:t>
      </w:r>
      <w:r>
        <w:rPr>
          <w:rFonts w:hint="eastAsia" w:ascii="仿宋" w:hAnsi="仿宋" w:eastAsia="仿宋" w:cs="仿宋"/>
          <w:szCs w:val="21"/>
          <w:u w:val="single"/>
        </w:rPr>
        <w:t xml:space="preserve">           </w:t>
      </w:r>
      <w:r>
        <w:rPr>
          <w:rFonts w:hint="eastAsia" w:ascii="仿宋" w:hAnsi="仿宋" w:eastAsia="仿宋" w:cs="仿宋"/>
          <w:szCs w:val="21"/>
        </w:rPr>
        <w:t>）；</w:t>
      </w:r>
    </w:p>
    <w:p w14:paraId="374E9389">
      <w:pPr>
        <w:spacing w:line="360" w:lineRule="auto"/>
        <w:ind w:firstLine="480" w:firstLineChars="200"/>
        <w:jc w:val="left"/>
        <w:rPr>
          <w:rFonts w:hint="eastAsia" w:ascii="仿宋" w:hAnsi="仿宋" w:eastAsia="仿宋" w:cs="仿宋"/>
          <w:szCs w:val="21"/>
        </w:rPr>
      </w:pPr>
      <w:r>
        <w:rPr>
          <w:rFonts w:hint="eastAsia" w:ascii="仿宋" w:hAnsi="仿宋" w:eastAsia="仿宋" w:cs="仿宋"/>
          <w:szCs w:val="21"/>
        </w:rPr>
        <w:t>2.</w:t>
      </w:r>
      <w:r>
        <w:rPr>
          <w:rFonts w:hint="eastAsia" w:ascii="仿宋" w:hAnsi="仿宋" w:eastAsia="仿宋" w:cs="仿宋"/>
          <w:szCs w:val="21"/>
          <w:lang w:eastAsia="zh-CN"/>
        </w:rPr>
        <w:t>招标</w:t>
      </w:r>
      <w:r>
        <w:rPr>
          <w:rFonts w:hint="eastAsia" w:ascii="仿宋" w:hAnsi="仿宋" w:eastAsia="仿宋" w:cs="仿宋"/>
          <w:szCs w:val="21"/>
        </w:rPr>
        <w:t>文件的更正公告、变更公告；</w:t>
      </w:r>
    </w:p>
    <w:p w14:paraId="105C03A9">
      <w:pPr>
        <w:spacing w:line="360" w:lineRule="auto"/>
        <w:ind w:firstLine="480" w:firstLineChars="200"/>
        <w:jc w:val="left"/>
        <w:rPr>
          <w:rFonts w:hint="eastAsia" w:ascii="仿宋" w:hAnsi="仿宋" w:eastAsia="仿宋" w:cs="仿宋"/>
          <w:szCs w:val="21"/>
        </w:rPr>
      </w:pPr>
      <w:r>
        <w:rPr>
          <w:rFonts w:hint="eastAsia" w:ascii="仿宋" w:hAnsi="仿宋" w:eastAsia="仿宋" w:cs="仿宋"/>
          <w:szCs w:val="21"/>
        </w:rPr>
        <w:t>3.成交供应商提交的投标文件；</w:t>
      </w:r>
    </w:p>
    <w:p w14:paraId="5748011B">
      <w:pPr>
        <w:spacing w:line="360" w:lineRule="auto"/>
        <w:ind w:firstLine="480" w:firstLineChars="200"/>
        <w:jc w:val="left"/>
        <w:rPr>
          <w:rFonts w:hint="eastAsia" w:ascii="仿宋" w:hAnsi="仿宋" w:eastAsia="仿宋" w:cs="仿宋"/>
          <w:szCs w:val="21"/>
        </w:rPr>
      </w:pPr>
      <w:r>
        <w:rPr>
          <w:rFonts w:hint="eastAsia" w:ascii="仿宋" w:hAnsi="仿宋" w:eastAsia="仿宋" w:cs="仿宋"/>
          <w:szCs w:val="21"/>
        </w:rPr>
        <w:t>4.政府采购合同条款；</w:t>
      </w:r>
    </w:p>
    <w:p w14:paraId="584139A1">
      <w:pPr>
        <w:spacing w:line="360" w:lineRule="auto"/>
        <w:ind w:firstLine="480" w:firstLineChars="200"/>
        <w:jc w:val="left"/>
        <w:rPr>
          <w:rFonts w:hint="eastAsia" w:ascii="仿宋" w:hAnsi="仿宋" w:eastAsia="仿宋" w:cs="仿宋"/>
          <w:szCs w:val="21"/>
        </w:rPr>
      </w:pPr>
      <w:r>
        <w:rPr>
          <w:rFonts w:hint="eastAsia" w:ascii="仿宋" w:hAnsi="仿宋" w:eastAsia="仿宋" w:cs="仿宋"/>
          <w:szCs w:val="21"/>
        </w:rPr>
        <w:t>5.成交通知书；</w:t>
      </w:r>
    </w:p>
    <w:p w14:paraId="48D480DD">
      <w:pPr>
        <w:spacing w:line="360" w:lineRule="auto"/>
        <w:ind w:firstLine="480" w:firstLineChars="200"/>
        <w:jc w:val="left"/>
        <w:rPr>
          <w:rFonts w:hint="eastAsia" w:ascii="仿宋" w:hAnsi="仿宋" w:eastAsia="仿宋" w:cs="仿宋"/>
          <w:szCs w:val="21"/>
        </w:rPr>
      </w:pPr>
      <w:r>
        <w:rPr>
          <w:rFonts w:hint="eastAsia" w:ascii="仿宋" w:hAnsi="仿宋" w:eastAsia="仿宋" w:cs="仿宋"/>
          <w:szCs w:val="21"/>
        </w:rPr>
        <w:t>6.政府采购合同的其它附件。</w:t>
      </w:r>
    </w:p>
    <w:p w14:paraId="5C6B72B4">
      <w:pPr>
        <w:spacing w:line="360" w:lineRule="auto"/>
        <w:jc w:val="left"/>
        <w:rPr>
          <w:rFonts w:hint="eastAsia" w:ascii="仿宋" w:hAnsi="仿宋" w:eastAsia="仿宋" w:cs="仿宋"/>
          <w:b/>
          <w:szCs w:val="21"/>
        </w:rPr>
      </w:pPr>
      <w:r>
        <w:rPr>
          <w:rFonts w:hint="eastAsia" w:ascii="仿宋" w:hAnsi="仿宋" w:eastAsia="仿宋" w:cs="仿宋"/>
          <w:b/>
          <w:szCs w:val="21"/>
        </w:rPr>
        <w:t>　　二、政府采购合同范围和条件</w:t>
      </w:r>
    </w:p>
    <w:p w14:paraId="4132B577">
      <w:pPr>
        <w:spacing w:line="360" w:lineRule="auto"/>
        <w:jc w:val="left"/>
        <w:rPr>
          <w:rFonts w:hint="eastAsia" w:ascii="仿宋" w:hAnsi="仿宋" w:eastAsia="仿宋" w:cs="仿宋"/>
          <w:szCs w:val="21"/>
        </w:rPr>
      </w:pPr>
      <w:r>
        <w:rPr>
          <w:rFonts w:hint="eastAsia" w:ascii="仿宋" w:hAnsi="仿宋" w:eastAsia="仿宋" w:cs="仿宋"/>
          <w:szCs w:val="21"/>
        </w:rPr>
        <w:t xml:space="preserve">    本政府采购合同的范围和条件与上述政府采购合同文件的规定相一致。</w:t>
      </w:r>
    </w:p>
    <w:p w14:paraId="7EE7CB9B">
      <w:pPr>
        <w:spacing w:line="360" w:lineRule="auto"/>
        <w:jc w:val="left"/>
        <w:rPr>
          <w:rFonts w:hint="eastAsia" w:ascii="仿宋" w:hAnsi="仿宋" w:eastAsia="仿宋" w:cs="仿宋"/>
          <w:b/>
          <w:szCs w:val="21"/>
        </w:rPr>
      </w:pPr>
      <w:r>
        <w:rPr>
          <w:rFonts w:hint="eastAsia" w:ascii="仿宋" w:hAnsi="仿宋" w:eastAsia="仿宋" w:cs="仿宋"/>
          <w:b/>
          <w:szCs w:val="21"/>
        </w:rPr>
        <w:t>　　三、政府采购合同标的</w:t>
      </w:r>
    </w:p>
    <w:p w14:paraId="0D205890">
      <w:pPr>
        <w:spacing w:line="360" w:lineRule="auto"/>
        <w:jc w:val="left"/>
        <w:rPr>
          <w:rFonts w:hint="eastAsia" w:ascii="仿宋" w:hAnsi="仿宋" w:eastAsia="仿宋" w:cs="仿宋"/>
          <w:szCs w:val="21"/>
        </w:rPr>
      </w:pPr>
      <w:r>
        <w:rPr>
          <w:rFonts w:hint="eastAsia" w:ascii="仿宋" w:hAnsi="仿宋" w:eastAsia="仿宋" w:cs="仿宋"/>
          <w:szCs w:val="21"/>
        </w:rPr>
        <w:t xml:space="preserve">    本政府采购合同的标的为招标文件中所列相关服务及服务所需采购的货物。</w:t>
      </w:r>
    </w:p>
    <w:p w14:paraId="685656E7">
      <w:pPr>
        <w:spacing w:line="360" w:lineRule="auto"/>
        <w:jc w:val="left"/>
        <w:rPr>
          <w:rFonts w:hint="eastAsia" w:ascii="仿宋" w:hAnsi="仿宋" w:eastAsia="仿宋" w:cs="仿宋"/>
          <w:b/>
          <w:szCs w:val="21"/>
        </w:rPr>
      </w:pPr>
      <w:r>
        <w:rPr>
          <w:rFonts w:hint="eastAsia" w:ascii="仿宋" w:hAnsi="仿宋" w:eastAsia="仿宋" w:cs="仿宋"/>
          <w:b/>
          <w:szCs w:val="21"/>
        </w:rPr>
        <w:t>　　四、政府采购合同金额</w:t>
      </w:r>
    </w:p>
    <w:p w14:paraId="63EA65AF">
      <w:pPr>
        <w:spacing w:line="360" w:lineRule="auto"/>
        <w:jc w:val="left"/>
        <w:rPr>
          <w:rFonts w:hint="eastAsia" w:ascii="仿宋" w:hAnsi="仿宋" w:eastAsia="仿宋" w:cs="仿宋"/>
          <w:szCs w:val="21"/>
        </w:rPr>
      </w:pPr>
      <w:r>
        <w:rPr>
          <w:rFonts w:hint="eastAsia" w:ascii="仿宋" w:hAnsi="仿宋" w:eastAsia="仿宋" w:cs="仿宋"/>
          <w:szCs w:val="21"/>
        </w:rPr>
        <w:t xml:space="preserve">    根据上述政府采购合同文件要求，政府采购合同的总金额为人民币</w:t>
      </w:r>
      <w:r>
        <w:rPr>
          <w:rFonts w:hint="eastAsia" w:ascii="仿宋" w:hAnsi="仿宋" w:eastAsia="仿宋" w:cs="仿宋"/>
          <w:szCs w:val="21"/>
          <w:u w:val="single"/>
        </w:rPr>
        <w:t xml:space="preserve">  （大写）                </w:t>
      </w:r>
      <w:r>
        <w:rPr>
          <w:rFonts w:hint="eastAsia" w:ascii="仿宋" w:hAnsi="仿宋" w:eastAsia="仿宋" w:cs="仿宋"/>
          <w:szCs w:val="21"/>
        </w:rPr>
        <w:t xml:space="preserve"> 元。</w:t>
      </w:r>
    </w:p>
    <w:p w14:paraId="1E8036CB">
      <w:pPr>
        <w:spacing w:line="360" w:lineRule="auto"/>
        <w:jc w:val="left"/>
        <w:rPr>
          <w:rFonts w:hint="eastAsia" w:ascii="仿宋" w:hAnsi="仿宋" w:eastAsia="仿宋" w:cs="仿宋"/>
          <w:b/>
          <w:szCs w:val="21"/>
        </w:rPr>
      </w:pPr>
      <w:r>
        <w:rPr>
          <w:rFonts w:hint="eastAsia" w:ascii="仿宋" w:hAnsi="仿宋" w:eastAsia="仿宋" w:cs="仿宋"/>
          <w:b/>
          <w:szCs w:val="21"/>
        </w:rPr>
        <w:t>　  五、付款方式及条件</w:t>
      </w:r>
    </w:p>
    <w:p w14:paraId="153018A8">
      <w:pPr>
        <w:spacing w:line="360" w:lineRule="auto"/>
        <w:jc w:val="left"/>
        <w:rPr>
          <w:rFonts w:hint="eastAsia" w:ascii="仿宋" w:hAnsi="仿宋" w:eastAsia="仿宋" w:cs="仿宋"/>
          <w:b/>
          <w:szCs w:val="21"/>
        </w:rPr>
      </w:pPr>
    </w:p>
    <w:p w14:paraId="2A7F2B1B">
      <w:pPr>
        <w:spacing w:line="360" w:lineRule="auto"/>
        <w:jc w:val="left"/>
        <w:rPr>
          <w:rFonts w:hint="eastAsia" w:ascii="仿宋" w:hAnsi="仿宋" w:eastAsia="仿宋" w:cs="仿宋"/>
          <w:szCs w:val="21"/>
        </w:rPr>
      </w:pPr>
      <w:r>
        <w:rPr>
          <w:rFonts w:hint="eastAsia" w:ascii="仿宋" w:hAnsi="仿宋" w:eastAsia="仿宋" w:cs="仿宋"/>
          <w:b/>
          <w:szCs w:val="21"/>
        </w:rPr>
        <w:t>　　六、服务时间和服务地点</w:t>
      </w:r>
      <w:r>
        <w:rPr>
          <w:rFonts w:hint="eastAsia" w:ascii="仿宋" w:hAnsi="仿宋" w:eastAsia="仿宋" w:cs="仿宋"/>
          <w:szCs w:val="21"/>
        </w:rPr>
        <w:t xml:space="preserve">   </w:t>
      </w:r>
    </w:p>
    <w:p w14:paraId="77025C1C">
      <w:pPr>
        <w:spacing w:line="360" w:lineRule="auto"/>
        <w:jc w:val="left"/>
        <w:rPr>
          <w:rFonts w:hint="eastAsia" w:ascii="仿宋" w:hAnsi="仿宋" w:eastAsia="仿宋" w:cs="仿宋"/>
          <w:szCs w:val="21"/>
          <w:u w:val="single"/>
        </w:rPr>
      </w:pPr>
      <w:r>
        <w:rPr>
          <w:rFonts w:hint="eastAsia" w:ascii="仿宋" w:hAnsi="仿宋" w:eastAsia="仿宋" w:cs="仿宋"/>
          <w:szCs w:val="21"/>
        </w:rPr>
        <w:t xml:space="preserve">    1.服务时间：</w:t>
      </w:r>
      <w:r>
        <w:rPr>
          <w:rFonts w:hint="eastAsia" w:ascii="仿宋" w:hAnsi="仿宋" w:eastAsia="仿宋" w:cs="仿宋"/>
          <w:szCs w:val="21"/>
          <w:u w:val="single"/>
        </w:rPr>
        <w:t xml:space="preserve">        </w:t>
      </w:r>
    </w:p>
    <w:p w14:paraId="50CA310D">
      <w:pPr>
        <w:spacing w:line="360" w:lineRule="auto"/>
        <w:jc w:val="left"/>
        <w:rPr>
          <w:rFonts w:hint="eastAsia" w:ascii="仿宋" w:hAnsi="仿宋" w:eastAsia="仿宋" w:cs="仿宋"/>
          <w:szCs w:val="21"/>
          <w:u w:val="single"/>
        </w:rPr>
      </w:pPr>
      <w:r>
        <w:rPr>
          <w:rFonts w:hint="eastAsia" w:ascii="仿宋" w:hAnsi="仿宋" w:eastAsia="仿宋" w:cs="仿宋"/>
          <w:szCs w:val="21"/>
        </w:rPr>
        <w:t xml:space="preserve">    2.服务地点：</w:t>
      </w:r>
      <w:r>
        <w:rPr>
          <w:rFonts w:hint="eastAsia" w:ascii="仿宋" w:hAnsi="仿宋" w:eastAsia="仿宋" w:cs="仿宋"/>
          <w:szCs w:val="21"/>
          <w:u w:val="single"/>
        </w:rPr>
        <w:t xml:space="preserve">        </w:t>
      </w:r>
    </w:p>
    <w:p w14:paraId="6232F4E5">
      <w:pPr>
        <w:spacing w:line="360" w:lineRule="auto"/>
        <w:jc w:val="left"/>
        <w:rPr>
          <w:rFonts w:hint="eastAsia" w:ascii="仿宋" w:hAnsi="仿宋" w:eastAsia="仿宋" w:cs="仿宋"/>
          <w:b/>
          <w:szCs w:val="21"/>
        </w:rPr>
      </w:pPr>
      <w:r>
        <w:rPr>
          <w:rFonts w:hint="eastAsia" w:ascii="仿宋" w:hAnsi="仿宋" w:eastAsia="仿宋" w:cs="仿宋"/>
          <w:b/>
          <w:szCs w:val="21"/>
        </w:rPr>
        <w:t>　　七、验收要求</w:t>
      </w:r>
    </w:p>
    <w:p w14:paraId="4197DA19">
      <w:pPr>
        <w:spacing w:line="360" w:lineRule="auto"/>
        <w:jc w:val="left"/>
        <w:rPr>
          <w:rFonts w:hint="eastAsia" w:ascii="仿宋" w:hAnsi="仿宋" w:eastAsia="仿宋" w:cs="仿宋"/>
          <w:szCs w:val="21"/>
          <w:u w:val="single"/>
        </w:rPr>
      </w:pPr>
      <w:r>
        <w:rPr>
          <w:rFonts w:hint="eastAsia" w:ascii="仿宋" w:hAnsi="仿宋" w:eastAsia="仿宋" w:cs="仿宋"/>
          <w:b/>
          <w:szCs w:val="21"/>
        </w:rPr>
        <w:t xml:space="preserve">    </w:t>
      </w:r>
      <w:r>
        <w:rPr>
          <w:rFonts w:hint="eastAsia" w:ascii="仿宋" w:hAnsi="仿宋" w:eastAsia="仿宋" w:cs="仿宋"/>
          <w:szCs w:val="21"/>
        </w:rPr>
        <w:t>供方完全履行合同义务后，需方或需方的最终用户按照上述政府采购合同文件列明的标准进行验收，验收不合格的，供方需按照第八条的约定承担相应违约责任。</w:t>
      </w:r>
    </w:p>
    <w:p w14:paraId="76BEA6C6">
      <w:pPr>
        <w:spacing w:line="360" w:lineRule="auto"/>
        <w:jc w:val="left"/>
        <w:rPr>
          <w:rFonts w:hint="eastAsia" w:ascii="仿宋" w:hAnsi="仿宋" w:eastAsia="仿宋" w:cs="仿宋"/>
          <w:b/>
          <w:szCs w:val="21"/>
        </w:rPr>
      </w:pPr>
      <w:r>
        <w:rPr>
          <w:rFonts w:hint="eastAsia" w:ascii="仿宋" w:hAnsi="仿宋" w:eastAsia="仿宋" w:cs="仿宋"/>
          <w:b/>
          <w:szCs w:val="21"/>
        </w:rPr>
        <w:t xml:space="preserve">    八、违约责任</w:t>
      </w:r>
    </w:p>
    <w:p w14:paraId="2EEF0904">
      <w:pPr>
        <w:spacing w:line="360" w:lineRule="auto"/>
        <w:jc w:val="left"/>
        <w:rPr>
          <w:rFonts w:hint="eastAsia" w:ascii="仿宋" w:hAnsi="仿宋" w:eastAsia="仿宋" w:cs="仿宋"/>
          <w:szCs w:val="21"/>
        </w:rPr>
      </w:pPr>
      <w:r>
        <w:rPr>
          <w:rFonts w:hint="eastAsia" w:ascii="仿宋" w:hAnsi="仿宋" w:eastAsia="仿宋" w:cs="仿宋"/>
          <w:szCs w:val="21"/>
        </w:rPr>
        <w:t xml:space="preserve">    1.供方逾期提供服务的，每逾期一天向需方支付合同金额</w:t>
      </w:r>
      <w:r>
        <w:rPr>
          <w:rFonts w:hint="eastAsia" w:ascii="仿宋" w:hAnsi="仿宋" w:eastAsia="仿宋" w:cs="仿宋"/>
          <w:szCs w:val="21"/>
          <w:u w:val="single"/>
        </w:rPr>
        <w:t xml:space="preserve">  </w:t>
      </w:r>
      <w:r>
        <w:rPr>
          <w:rFonts w:hint="eastAsia" w:ascii="仿宋" w:hAnsi="仿宋" w:eastAsia="仿宋" w:cs="仿宋"/>
          <w:szCs w:val="21"/>
        </w:rPr>
        <w:t>%的违约金，逾期</w:t>
      </w:r>
      <w:r>
        <w:rPr>
          <w:rFonts w:hint="eastAsia" w:ascii="仿宋" w:hAnsi="仿宋" w:eastAsia="仿宋" w:cs="仿宋"/>
          <w:szCs w:val="21"/>
          <w:u w:val="single"/>
        </w:rPr>
        <w:t xml:space="preserve">  </w:t>
      </w:r>
      <w:r>
        <w:rPr>
          <w:rFonts w:hint="eastAsia" w:ascii="仿宋" w:hAnsi="仿宋" w:eastAsia="仿宋" w:cs="仿宋"/>
          <w:szCs w:val="21"/>
        </w:rPr>
        <w:t>日的，需方有权单方面解除本协议。</w:t>
      </w:r>
    </w:p>
    <w:p w14:paraId="4E0E07C1">
      <w:pPr>
        <w:spacing w:line="360" w:lineRule="auto"/>
        <w:jc w:val="left"/>
        <w:rPr>
          <w:rFonts w:hint="eastAsia" w:ascii="仿宋" w:hAnsi="仿宋" w:eastAsia="仿宋" w:cs="仿宋"/>
          <w:szCs w:val="21"/>
        </w:rPr>
      </w:pPr>
      <w:r>
        <w:rPr>
          <w:rFonts w:hint="eastAsia" w:ascii="仿宋" w:hAnsi="仿宋" w:eastAsia="仿宋" w:cs="仿宋"/>
          <w:szCs w:val="21"/>
        </w:rPr>
        <w:t xml:space="preserve">    2.供方提供的服务不符合约定的，需方有权向供方书面提出整改意见，供方需无条件整改至符合约定，自需方向供方提出书面意见之日起</w:t>
      </w:r>
      <w:r>
        <w:rPr>
          <w:rFonts w:hint="eastAsia" w:ascii="仿宋" w:hAnsi="仿宋" w:eastAsia="仿宋" w:cs="仿宋"/>
          <w:szCs w:val="21"/>
          <w:u w:val="single"/>
        </w:rPr>
        <w:t xml:space="preserve">  </w:t>
      </w:r>
      <w:r>
        <w:rPr>
          <w:rFonts w:hint="eastAsia" w:ascii="仿宋" w:hAnsi="仿宋" w:eastAsia="仿宋" w:cs="仿宋"/>
          <w:szCs w:val="21"/>
        </w:rPr>
        <w:t>日内，供方仍未整改或整改后服务仍不符合约定的，需方有权单方面解除本协议。</w:t>
      </w:r>
    </w:p>
    <w:p w14:paraId="4F1207A3">
      <w:pPr>
        <w:spacing w:line="360" w:lineRule="auto"/>
        <w:jc w:val="left"/>
        <w:rPr>
          <w:rFonts w:hint="eastAsia" w:ascii="仿宋" w:hAnsi="仿宋" w:eastAsia="仿宋" w:cs="仿宋"/>
          <w:szCs w:val="21"/>
        </w:rPr>
      </w:pPr>
      <w:r>
        <w:rPr>
          <w:rFonts w:hint="eastAsia" w:ascii="仿宋" w:hAnsi="仿宋" w:eastAsia="仿宋" w:cs="仿宋"/>
          <w:szCs w:val="21"/>
        </w:rPr>
        <w:t xml:space="preserve">    3.需方逾期付款的，每逾期一天向供方支付逾期金额</w:t>
      </w:r>
      <w:r>
        <w:rPr>
          <w:rFonts w:hint="eastAsia" w:ascii="仿宋" w:hAnsi="仿宋" w:eastAsia="仿宋" w:cs="仿宋"/>
          <w:szCs w:val="21"/>
          <w:u w:val="single"/>
        </w:rPr>
        <w:t xml:space="preserve">  </w:t>
      </w:r>
      <w:r>
        <w:rPr>
          <w:rFonts w:hint="eastAsia" w:ascii="仿宋" w:hAnsi="仿宋" w:eastAsia="仿宋" w:cs="仿宋"/>
          <w:szCs w:val="21"/>
        </w:rPr>
        <w:t>%的违约金，逾期</w:t>
      </w:r>
      <w:r>
        <w:rPr>
          <w:rFonts w:hint="eastAsia" w:ascii="仿宋" w:hAnsi="仿宋" w:eastAsia="仿宋" w:cs="仿宋"/>
          <w:szCs w:val="21"/>
          <w:u w:val="single"/>
        </w:rPr>
        <w:t xml:space="preserve">  </w:t>
      </w:r>
      <w:r>
        <w:rPr>
          <w:rFonts w:hint="eastAsia" w:ascii="仿宋" w:hAnsi="仿宋" w:eastAsia="仿宋" w:cs="仿宋"/>
          <w:szCs w:val="21"/>
        </w:rPr>
        <w:t>日的，供方有权单方面解除本协议。</w:t>
      </w:r>
    </w:p>
    <w:p w14:paraId="4216E909">
      <w:pPr>
        <w:spacing w:line="360" w:lineRule="auto"/>
        <w:jc w:val="left"/>
        <w:rPr>
          <w:rFonts w:hint="eastAsia" w:ascii="仿宋" w:hAnsi="仿宋" w:eastAsia="仿宋" w:cs="仿宋"/>
          <w:b/>
          <w:szCs w:val="21"/>
        </w:rPr>
      </w:pPr>
      <w:r>
        <w:rPr>
          <w:rFonts w:hint="eastAsia" w:ascii="仿宋" w:hAnsi="仿宋" w:eastAsia="仿宋" w:cs="仿宋"/>
          <w:b/>
          <w:szCs w:val="21"/>
        </w:rPr>
        <w:t xml:space="preserve">    九、争议解决</w:t>
      </w:r>
    </w:p>
    <w:p w14:paraId="0A44A49B">
      <w:pPr>
        <w:spacing w:line="360" w:lineRule="auto"/>
        <w:jc w:val="left"/>
        <w:rPr>
          <w:rFonts w:hint="eastAsia" w:ascii="仿宋" w:hAnsi="仿宋" w:eastAsia="仿宋" w:cs="仿宋"/>
          <w:szCs w:val="21"/>
        </w:rPr>
      </w:pPr>
      <w:r>
        <w:rPr>
          <w:rFonts w:hint="eastAsia" w:ascii="仿宋" w:hAnsi="仿宋" w:eastAsia="仿宋" w:cs="仿宋"/>
          <w:szCs w:val="21"/>
        </w:rPr>
        <w:t xml:space="preserve">    双方因履行本协议而产生的争议，应友好协商解决，协商不成的，任何一方可向需方所在地的人民法院提起诉讼。</w:t>
      </w:r>
    </w:p>
    <w:p w14:paraId="20040770">
      <w:pPr>
        <w:spacing w:line="360" w:lineRule="auto"/>
        <w:jc w:val="left"/>
        <w:rPr>
          <w:rFonts w:hint="eastAsia" w:ascii="仿宋" w:hAnsi="仿宋" w:eastAsia="仿宋" w:cs="仿宋"/>
          <w:b/>
          <w:szCs w:val="21"/>
        </w:rPr>
      </w:pPr>
      <w:r>
        <w:rPr>
          <w:rFonts w:hint="eastAsia" w:ascii="仿宋" w:hAnsi="仿宋" w:eastAsia="仿宋" w:cs="仿宋"/>
          <w:b/>
          <w:szCs w:val="21"/>
        </w:rPr>
        <w:t xml:space="preserve">    十、合同生效</w:t>
      </w:r>
    </w:p>
    <w:p w14:paraId="199FC1DD">
      <w:pPr>
        <w:spacing w:line="480" w:lineRule="auto"/>
        <w:ind w:left="612"/>
        <w:rPr>
          <w:rFonts w:hint="eastAsia" w:ascii="仿宋" w:hAnsi="仿宋" w:eastAsia="仿宋" w:cs="仿宋"/>
          <w:szCs w:val="21"/>
        </w:rPr>
      </w:pPr>
      <w:r>
        <w:rPr>
          <w:rFonts w:hint="eastAsia" w:ascii="仿宋" w:hAnsi="仿宋" w:eastAsia="仿宋" w:cs="仿宋"/>
          <w:szCs w:val="21"/>
        </w:rPr>
        <w:t>本政府采购合同经双方授权代表签字盖章后生效。</w:t>
      </w:r>
    </w:p>
    <w:p w14:paraId="15B226FF">
      <w:pPr>
        <w:rPr>
          <w:rFonts w:hint="eastAsia"/>
        </w:rPr>
      </w:pPr>
      <w:r>
        <w:rPr>
          <w:rFonts w:hint="eastAsia"/>
        </w:rPr>
        <w:br w:type="page"/>
      </w:r>
    </w:p>
    <w:p w14:paraId="46721C06">
      <w:pPr>
        <w:pStyle w:val="3"/>
        <w:numPr>
          <w:ilvl w:val="0"/>
          <w:numId w:val="2"/>
        </w:numPr>
        <w:rPr>
          <w:rFonts w:hint="eastAsia"/>
        </w:rPr>
      </w:pPr>
      <w:r>
        <w:t>投标文件的格式</w:t>
      </w:r>
      <w:bookmarkEnd w:id="325"/>
      <w:bookmarkEnd w:id="326"/>
    </w:p>
    <w:p w14:paraId="5944FE1F">
      <w:pPr>
        <w:rPr>
          <w:rFonts w:hint="eastAsia"/>
        </w:rPr>
      </w:pPr>
      <w:r>
        <w:br w:type="page"/>
      </w:r>
    </w:p>
    <w:p w14:paraId="1E8F2E94">
      <w:pPr>
        <w:pStyle w:val="4"/>
        <w:numPr>
          <w:ilvl w:val="0"/>
          <w:numId w:val="23"/>
        </w:numPr>
        <w:rPr>
          <w:rFonts w:hint="eastAsia"/>
          <w:lang w:val="zh-CN"/>
        </w:rPr>
      </w:pPr>
      <w:bookmarkStart w:id="329" w:name="_Toc27867"/>
      <w:bookmarkStart w:id="330" w:name="_Toc155185920"/>
      <w:r>
        <w:rPr>
          <w:rFonts w:hint="eastAsia"/>
          <w:lang w:val="zh-CN"/>
        </w:rPr>
        <w:t>投标函及报价文件</w:t>
      </w:r>
      <w:bookmarkEnd w:id="329"/>
      <w:bookmarkEnd w:id="330"/>
    </w:p>
    <w:p w14:paraId="4F65CF01">
      <w:pPr>
        <w:ind w:firstLine="480" w:firstLineChars="200"/>
        <w:rPr>
          <w:rFonts w:hint="eastAsia" w:cs="仿宋_GB2312"/>
          <w:szCs w:val="24"/>
          <w:lang w:val="zh-CN"/>
        </w:rPr>
      </w:pPr>
      <w:r>
        <w:rPr>
          <w:rFonts w:hint="eastAsia" w:cs="仿宋_GB2312"/>
          <w:szCs w:val="24"/>
          <w:lang w:val="zh-CN"/>
        </w:rPr>
        <w:t>封面：</w:t>
      </w:r>
    </w:p>
    <w:p w14:paraId="3C310066">
      <w:pPr>
        <w:autoSpaceDE w:val="0"/>
        <w:autoSpaceDN w:val="0"/>
        <w:adjustRightInd w:val="0"/>
        <w:rPr>
          <w:rFonts w:hint="eastAsia"/>
          <w:sz w:val="21"/>
          <w:szCs w:val="24"/>
        </w:rPr>
      </w:pPr>
    </w:p>
    <w:p w14:paraId="53784EBC">
      <w:pPr>
        <w:autoSpaceDE w:val="0"/>
        <w:autoSpaceDN w:val="0"/>
        <w:adjustRightInd w:val="0"/>
        <w:rPr>
          <w:rFonts w:hint="eastAsia"/>
          <w:sz w:val="21"/>
          <w:szCs w:val="24"/>
        </w:rPr>
      </w:pPr>
    </w:p>
    <w:p w14:paraId="3E5C3770">
      <w:pPr>
        <w:autoSpaceDE w:val="0"/>
        <w:autoSpaceDN w:val="0"/>
        <w:adjustRightInd w:val="0"/>
        <w:jc w:val="center"/>
        <w:rPr>
          <w:rFonts w:hint="eastAsia"/>
          <w:b/>
          <w:sz w:val="84"/>
          <w:szCs w:val="84"/>
        </w:rPr>
      </w:pPr>
      <w:r>
        <w:rPr>
          <w:rFonts w:hint="eastAsia"/>
          <w:b/>
          <w:sz w:val="84"/>
          <w:szCs w:val="84"/>
        </w:rPr>
        <w:t>投 标 文 件</w:t>
      </w:r>
    </w:p>
    <w:p w14:paraId="262B61D2">
      <w:pPr>
        <w:autoSpaceDE w:val="0"/>
        <w:autoSpaceDN w:val="0"/>
        <w:adjustRightInd w:val="0"/>
        <w:jc w:val="center"/>
        <w:rPr>
          <w:rFonts w:hint="eastAsia"/>
          <w:b/>
          <w:sz w:val="56"/>
          <w:szCs w:val="56"/>
        </w:rPr>
      </w:pPr>
      <w:r>
        <w:rPr>
          <w:rFonts w:hint="eastAsia"/>
          <w:b/>
          <w:sz w:val="56"/>
          <w:szCs w:val="56"/>
        </w:rPr>
        <w:t>投标函及报价文件</w:t>
      </w:r>
    </w:p>
    <w:p w14:paraId="667DD3AB">
      <w:pPr>
        <w:autoSpaceDE w:val="0"/>
        <w:autoSpaceDN w:val="0"/>
        <w:adjustRightInd w:val="0"/>
        <w:rPr>
          <w:rFonts w:hint="eastAsia"/>
          <w:b/>
          <w:bCs/>
          <w:sz w:val="22"/>
        </w:rPr>
      </w:pPr>
    </w:p>
    <w:p w14:paraId="4922C2C4">
      <w:pPr>
        <w:autoSpaceDE w:val="0"/>
        <w:autoSpaceDN w:val="0"/>
        <w:adjustRightInd w:val="0"/>
        <w:rPr>
          <w:rFonts w:hint="eastAsia"/>
          <w:sz w:val="21"/>
          <w:szCs w:val="21"/>
        </w:rPr>
      </w:pPr>
    </w:p>
    <w:p w14:paraId="78AD12AF">
      <w:pPr>
        <w:autoSpaceDE w:val="0"/>
        <w:autoSpaceDN w:val="0"/>
        <w:adjustRightInd w:val="0"/>
        <w:rPr>
          <w:rFonts w:hint="eastAsia"/>
          <w:sz w:val="21"/>
          <w:szCs w:val="21"/>
        </w:rPr>
      </w:pPr>
    </w:p>
    <w:p w14:paraId="062167FB">
      <w:pPr>
        <w:pStyle w:val="16"/>
        <w:ind w:left="480" w:firstLine="480"/>
        <w:rPr>
          <w:rFonts w:hint="eastAsia"/>
        </w:rPr>
      </w:pPr>
    </w:p>
    <w:p w14:paraId="44E851A9">
      <w:pPr>
        <w:autoSpaceDE w:val="0"/>
        <w:autoSpaceDN w:val="0"/>
        <w:adjustRightInd w:val="0"/>
        <w:rPr>
          <w:rFonts w:hint="eastAsia"/>
          <w:sz w:val="21"/>
          <w:szCs w:val="21"/>
        </w:rPr>
      </w:pPr>
    </w:p>
    <w:p w14:paraId="15210294">
      <w:pPr>
        <w:ind w:left="420" w:leftChars="175"/>
        <w:rPr>
          <w:rFonts w:hint="eastAsia" w:ascii="黑体" w:hAnsi="黑体" w:eastAsia="黑体"/>
          <w:sz w:val="32"/>
          <w:szCs w:val="32"/>
        </w:rPr>
      </w:pPr>
      <w:r>
        <w:rPr>
          <w:rFonts w:hint="eastAsia" w:ascii="黑体" w:hAnsi="黑体" w:eastAsia="黑体"/>
          <w:sz w:val="32"/>
          <w:szCs w:val="32"/>
        </w:rPr>
        <w:t>采购计划备案号：</w:t>
      </w:r>
      <w:r>
        <w:rPr>
          <w:rFonts w:ascii="黑体" w:hAnsi="黑体" w:eastAsia="黑体"/>
          <w:sz w:val="32"/>
          <w:szCs w:val="32"/>
          <w:u w:val="single"/>
        </w:rPr>
        <w:t xml:space="preserve">                                  </w:t>
      </w:r>
    </w:p>
    <w:p w14:paraId="71D7CF81">
      <w:pPr>
        <w:ind w:firstLine="320" w:firstLineChars="100"/>
        <w:rPr>
          <w:rFonts w:hint="default" w:ascii="黑体" w:hAnsi="黑体" w:eastAsia="黑体"/>
          <w:sz w:val="32"/>
          <w:szCs w:val="32"/>
          <w:lang w:val="en-US" w:eastAsia="zh-CN"/>
        </w:rPr>
      </w:pPr>
      <w:r>
        <w:rPr>
          <w:rFonts w:hint="eastAsia" w:ascii="黑体" w:hAnsi="黑体" w:eastAsia="黑体"/>
          <w:sz w:val="32"/>
          <w:szCs w:val="32"/>
        </w:rPr>
        <w:t>项</w:t>
      </w:r>
      <w:r>
        <w:rPr>
          <w:rFonts w:hint="eastAsia" w:ascii="黑体" w:hAnsi="黑体" w:eastAsia="黑体"/>
          <w:sz w:val="32"/>
          <w:szCs w:val="32"/>
          <w:lang w:val="en-US" w:eastAsia="zh-CN"/>
        </w:rPr>
        <w:t xml:space="preserve"> </w:t>
      </w:r>
      <w:r>
        <w:rPr>
          <w:rFonts w:hint="eastAsia" w:ascii="黑体" w:hAnsi="黑体" w:eastAsia="黑体"/>
          <w:sz w:val="32"/>
          <w:szCs w:val="32"/>
        </w:rPr>
        <w:t>目</w:t>
      </w:r>
      <w:r>
        <w:rPr>
          <w:rFonts w:hint="eastAsia" w:ascii="黑体" w:hAnsi="黑体" w:eastAsia="黑体"/>
          <w:sz w:val="32"/>
          <w:szCs w:val="32"/>
          <w:lang w:val="en-US" w:eastAsia="zh-CN"/>
        </w:rPr>
        <w:t xml:space="preserve"> </w:t>
      </w:r>
      <w:r>
        <w:rPr>
          <w:rFonts w:hint="eastAsia" w:ascii="黑体" w:hAnsi="黑体" w:eastAsia="黑体"/>
          <w:sz w:val="32"/>
          <w:szCs w:val="32"/>
        </w:rPr>
        <w:t>编</w:t>
      </w:r>
      <w:r>
        <w:rPr>
          <w:rFonts w:hint="eastAsia" w:ascii="黑体" w:hAnsi="黑体" w:eastAsia="黑体"/>
          <w:sz w:val="32"/>
          <w:szCs w:val="32"/>
          <w:lang w:val="en-US" w:eastAsia="zh-CN"/>
        </w:rPr>
        <w:t xml:space="preserve"> </w:t>
      </w:r>
      <w:r>
        <w:rPr>
          <w:rFonts w:hint="eastAsia" w:ascii="黑体" w:hAnsi="黑体" w:eastAsia="黑体"/>
          <w:sz w:val="32"/>
          <w:szCs w:val="32"/>
        </w:rPr>
        <w:t>号：</w:t>
      </w:r>
      <w:r>
        <w:rPr>
          <w:rFonts w:hint="eastAsia" w:ascii="黑体" w:hAnsi="黑体" w:eastAsia="黑体"/>
          <w:sz w:val="32"/>
          <w:szCs w:val="32"/>
          <w:u w:val="single"/>
          <w:lang w:val="en-US" w:eastAsia="zh-CN"/>
        </w:rPr>
        <w:t xml:space="preserve">                                   </w:t>
      </w:r>
    </w:p>
    <w:p w14:paraId="322D0776">
      <w:pPr>
        <w:ind w:left="420" w:leftChars="175"/>
        <w:rPr>
          <w:rFonts w:hint="eastAsia" w:ascii="黑体" w:hAnsi="黑体" w:eastAsia="黑体"/>
          <w:sz w:val="32"/>
          <w:szCs w:val="32"/>
        </w:rPr>
      </w:pPr>
      <w:r>
        <w:rPr>
          <w:rFonts w:hint="eastAsia" w:eastAsia="黑体"/>
          <w:sz w:val="32"/>
          <w:szCs w:val="32"/>
        </w:rPr>
        <w:t>投标供应商</w:t>
      </w:r>
      <w:r>
        <w:rPr>
          <w:rFonts w:hint="eastAsia" w:ascii="黑体" w:hAnsi="黑体" w:eastAsia="黑体"/>
          <w:sz w:val="32"/>
          <w:szCs w:val="32"/>
        </w:rPr>
        <w:t>：</w:t>
      </w:r>
      <w:r>
        <w:rPr>
          <w:rFonts w:ascii="黑体" w:hAnsi="黑体" w:eastAsia="黑体"/>
          <w:sz w:val="32"/>
          <w:szCs w:val="32"/>
          <w:u w:val="single"/>
        </w:rPr>
        <w:t xml:space="preserve">                                      </w:t>
      </w:r>
    </w:p>
    <w:p w14:paraId="4862FB72">
      <w:pPr>
        <w:ind w:left="840" w:firstLine="420"/>
        <w:rPr>
          <w:rFonts w:hint="eastAsia"/>
          <w:b/>
          <w:bCs/>
          <w:sz w:val="28"/>
          <w:szCs w:val="28"/>
        </w:rPr>
      </w:pPr>
    </w:p>
    <w:p w14:paraId="334E954B">
      <w:pPr>
        <w:ind w:left="840" w:firstLine="420"/>
        <w:rPr>
          <w:rFonts w:hint="eastAsia"/>
          <w:b/>
          <w:bCs/>
          <w:sz w:val="28"/>
          <w:szCs w:val="28"/>
        </w:rPr>
      </w:pPr>
    </w:p>
    <w:p w14:paraId="238CB21E">
      <w:pPr>
        <w:ind w:left="840" w:firstLine="420"/>
        <w:rPr>
          <w:rFonts w:hint="eastAsia"/>
          <w:b/>
          <w:bCs/>
          <w:sz w:val="28"/>
          <w:szCs w:val="28"/>
        </w:rPr>
      </w:pPr>
    </w:p>
    <w:p w14:paraId="2D606D99">
      <w:pPr>
        <w:ind w:left="840" w:firstLine="420"/>
        <w:rPr>
          <w:rFonts w:hint="eastAsia"/>
          <w:b/>
          <w:bCs/>
          <w:sz w:val="28"/>
          <w:szCs w:val="28"/>
        </w:rPr>
      </w:pPr>
    </w:p>
    <w:p w14:paraId="68584351">
      <w:pPr>
        <w:jc w:val="center"/>
        <w:rPr>
          <w:rFonts w:hint="eastAsia" w:ascii="黑体" w:hAnsi="黑体" w:eastAsia="黑体"/>
          <w:sz w:val="32"/>
          <w:szCs w:val="32"/>
        </w:rPr>
      </w:pPr>
      <w:r>
        <w:rPr>
          <w:rFonts w:hint="eastAsia" w:ascii="黑体" w:hAnsi="黑体" w:eastAsia="黑体"/>
          <w:sz w:val="32"/>
          <w:szCs w:val="32"/>
        </w:rPr>
        <w:t xml:space="preserve">年 </w:t>
      </w:r>
      <w:r>
        <w:rPr>
          <w:rFonts w:ascii="黑体" w:hAnsi="黑体" w:eastAsia="黑体"/>
          <w:sz w:val="32"/>
          <w:szCs w:val="32"/>
        </w:rPr>
        <w:t xml:space="preserve">  </w:t>
      </w:r>
      <w:r>
        <w:rPr>
          <w:rFonts w:hint="eastAsia" w:ascii="黑体" w:hAnsi="黑体" w:eastAsia="黑体"/>
          <w:sz w:val="32"/>
          <w:szCs w:val="32"/>
        </w:rPr>
        <w:t xml:space="preserve">月 </w:t>
      </w:r>
      <w:r>
        <w:rPr>
          <w:rFonts w:ascii="黑体" w:hAnsi="黑体" w:eastAsia="黑体"/>
          <w:sz w:val="32"/>
          <w:szCs w:val="32"/>
        </w:rPr>
        <w:t xml:space="preserve">   </w:t>
      </w:r>
      <w:r>
        <w:rPr>
          <w:rFonts w:hint="eastAsia" w:ascii="黑体" w:hAnsi="黑体" w:eastAsia="黑体"/>
          <w:sz w:val="32"/>
          <w:szCs w:val="32"/>
        </w:rPr>
        <w:t>日</w:t>
      </w:r>
    </w:p>
    <w:p w14:paraId="2C17B5DE">
      <w:pPr>
        <w:rPr>
          <w:rFonts w:hint="eastAsia"/>
          <w:lang w:val="zh-CN"/>
        </w:rPr>
      </w:pPr>
      <w:r>
        <w:rPr>
          <w:lang w:val="zh-CN"/>
        </w:rPr>
        <w:br w:type="page"/>
      </w:r>
    </w:p>
    <w:p w14:paraId="02DF4DFD">
      <w:pPr>
        <w:pStyle w:val="5"/>
        <w:numPr>
          <w:ilvl w:val="0"/>
          <w:numId w:val="24"/>
        </w:numPr>
        <w:rPr>
          <w:rFonts w:hint="eastAsia"/>
        </w:rPr>
      </w:pPr>
      <w:bookmarkStart w:id="331" w:name="_Toc109899908"/>
      <w:bookmarkStart w:id="332" w:name="_Toc109899489"/>
      <w:bookmarkStart w:id="333" w:name="_Toc25402"/>
      <w:bookmarkStart w:id="334" w:name="_Toc3577"/>
      <w:bookmarkStart w:id="335" w:name="_Toc155185921"/>
      <w:bookmarkStart w:id="336" w:name="_Toc109900327"/>
      <w:bookmarkStart w:id="337" w:name="_Toc17622"/>
      <w:bookmarkStart w:id="338" w:name="_Toc140132831"/>
      <w:r>
        <w:rPr>
          <w:rFonts w:hint="eastAsia"/>
        </w:rPr>
        <w:t>投标函</w:t>
      </w:r>
      <w:bookmarkEnd w:id="331"/>
      <w:bookmarkEnd w:id="332"/>
      <w:bookmarkEnd w:id="333"/>
      <w:bookmarkEnd w:id="334"/>
      <w:bookmarkEnd w:id="335"/>
      <w:bookmarkEnd w:id="336"/>
      <w:bookmarkEnd w:id="337"/>
      <w:bookmarkEnd w:id="338"/>
    </w:p>
    <w:p w14:paraId="5CEE17E2">
      <w:pPr>
        <w:rPr>
          <w:rFonts w:hint="eastAsia"/>
        </w:rPr>
      </w:pPr>
      <w:r>
        <w:rPr>
          <w:rFonts w:hint="eastAsia"/>
        </w:rPr>
        <w:t>致：（采购人和采购代理机构）</w:t>
      </w:r>
    </w:p>
    <w:p w14:paraId="283EFDB1">
      <w:pPr>
        <w:ind w:firstLine="480" w:firstLineChars="200"/>
        <w:rPr>
          <w:rFonts w:hint="eastAsia" w:cs="仿宋_GB2312"/>
          <w:b/>
          <w:bCs/>
          <w:szCs w:val="24"/>
        </w:rPr>
      </w:pPr>
      <w:r>
        <w:rPr>
          <w:rFonts w:hint="eastAsia" w:cs="仿宋_GB2312"/>
          <w:szCs w:val="24"/>
        </w:rPr>
        <w:t>根据贵方</w:t>
      </w:r>
      <w:r>
        <w:rPr>
          <w:rFonts w:hint="eastAsia" w:cs="仿宋_GB2312"/>
          <w:szCs w:val="24"/>
          <w:u w:val="single"/>
        </w:rPr>
        <w:t>（项目名称）（项目编号）</w:t>
      </w:r>
      <w:r>
        <w:rPr>
          <w:rFonts w:hint="eastAsia" w:cs="仿宋_GB2312"/>
          <w:szCs w:val="24"/>
        </w:rPr>
        <w:t>招标的投标邀请，签字代表</w:t>
      </w:r>
      <w:r>
        <w:rPr>
          <w:rFonts w:hint="eastAsia" w:cs="仿宋_GB2312"/>
          <w:szCs w:val="24"/>
          <w:u w:val="single"/>
        </w:rPr>
        <w:t>（姓名、职务）</w:t>
      </w:r>
      <w:r>
        <w:rPr>
          <w:rFonts w:hint="eastAsia" w:cs="仿宋_GB2312"/>
          <w:szCs w:val="24"/>
        </w:rPr>
        <w:t>经正式授权并代表投标供应商</w:t>
      </w:r>
      <w:r>
        <w:rPr>
          <w:rFonts w:hint="eastAsia" w:cs="仿宋_GB2312"/>
          <w:szCs w:val="24"/>
          <w:u w:val="single"/>
        </w:rPr>
        <w:t>（投标供应商名称、地址）</w:t>
      </w:r>
      <w:r>
        <w:rPr>
          <w:rFonts w:hint="eastAsia" w:cs="仿宋_GB2312"/>
          <w:szCs w:val="24"/>
        </w:rPr>
        <w:t>提交下述文件</w:t>
      </w:r>
      <w:r>
        <w:rPr>
          <w:rFonts w:hint="eastAsia" w:cs="仿宋_GB2312"/>
          <w:b/>
          <w:bCs/>
          <w:szCs w:val="24"/>
        </w:rPr>
        <w:t>：</w:t>
      </w:r>
    </w:p>
    <w:p w14:paraId="0161CFCE">
      <w:pPr>
        <w:numPr>
          <w:ilvl w:val="0"/>
          <w:numId w:val="25"/>
        </w:numPr>
        <w:spacing w:line="324" w:lineRule="auto"/>
        <w:jc w:val="both"/>
        <w:rPr>
          <w:rFonts w:hint="eastAsia" w:cs="Arial"/>
          <w:szCs w:val="24"/>
        </w:rPr>
      </w:pPr>
      <w:r>
        <w:rPr>
          <w:rFonts w:hint="eastAsia" w:cs="Arial"/>
          <w:szCs w:val="24"/>
        </w:rPr>
        <w:t>投标报价</w:t>
      </w:r>
      <w:r>
        <w:rPr>
          <w:rFonts w:cs="Arial"/>
          <w:szCs w:val="24"/>
        </w:rPr>
        <w:t>文件；</w:t>
      </w:r>
    </w:p>
    <w:p w14:paraId="4A327370">
      <w:pPr>
        <w:numPr>
          <w:ilvl w:val="0"/>
          <w:numId w:val="25"/>
        </w:numPr>
        <w:spacing w:line="324" w:lineRule="auto"/>
        <w:jc w:val="both"/>
        <w:rPr>
          <w:rFonts w:hint="eastAsia" w:cs="Arial"/>
          <w:szCs w:val="24"/>
        </w:rPr>
      </w:pPr>
      <w:r>
        <w:rPr>
          <w:rFonts w:hint="eastAsia" w:cs="Arial"/>
          <w:szCs w:val="24"/>
        </w:rPr>
        <w:t>资格性响应文件；</w:t>
      </w:r>
    </w:p>
    <w:p w14:paraId="198B7DD1">
      <w:pPr>
        <w:numPr>
          <w:ilvl w:val="0"/>
          <w:numId w:val="25"/>
        </w:numPr>
        <w:spacing w:line="324" w:lineRule="auto"/>
        <w:jc w:val="both"/>
        <w:rPr>
          <w:rFonts w:hint="eastAsia" w:cs="Arial"/>
          <w:szCs w:val="24"/>
        </w:rPr>
      </w:pPr>
      <w:r>
        <w:rPr>
          <w:rFonts w:hint="eastAsia" w:cs="Arial"/>
          <w:szCs w:val="24"/>
        </w:rPr>
        <w:t>其他响应文件</w:t>
      </w:r>
      <w:r>
        <w:rPr>
          <w:rFonts w:cs="Arial"/>
          <w:szCs w:val="24"/>
        </w:rPr>
        <w:t>。</w:t>
      </w:r>
    </w:p>
    <w:p w14:paraId="4CB1EDC1">
      <w:pPr>
        <w:spacing w:line="324" w:lineRule="auto"/>
        <w:ind w:left="360"/>
        <w:rPr>
          <w:rFonts w:hint="eastAsia" w:cs="Arial"/>
          <w:szCs w:val="24"/>
        </w:rPr>
      </w:pPr>
      <w:r>
        <w:rPr>
          <w:rFonts w:cs="Arial"/>
          <w:szCs w:val="24"/>
        </w:rPr>
        <w:t>根据此函，签字代表宣布同意如下：</w:t>
      </w:r>
    </w:p>
    <w:p w14:paraId="5879475C">
      <w:pPr>
        <w:numPr>
          <w:ilvl w:val="0"/>
          <w:numId w:val="26"/>
        </w:numPr>
        <w:spacing w:line="324" w:lineRule="auto"/>
        <w:jc w:val="both"/>
        <w:rPr>
          <w:rFonts w:hint="eastAsia" w:cs="Arial"/>
          <w:szCs w:val="24"/>
        </w:rPr>
      </w:pPr>
      <w:r>
        <w:rPr>
          <w:rFonts w:cs="Arial"/>
          <w:szCs w:val="24"/>
        </w:rPr>
        <w:t>所附投标价格表中规定的应提交和交付的服务和</w:t>
      </w:r>
      <w:r>
        <w:rPr>
          <w:rFonts w:hint="eastAsia" w:cs="Arial"/>
          <w:szCs w:val="24"/>
        </w:rPr>
        <w:t>货物（如有）</w:t>
      </w:r>
      <w:r>
        <w:rPr>
          <w:rFonts w:cs="Arial"/>
          <w:szCs w:val="24"/>
        </w:rPr>
        <w:t>的</w:t>
      </w:r>
      <w:r>
        <w:rPr>
          <w:rFonts w:hint="eastAsia" w:cs="Arial"/>
          <w:szCs w:val="24"/>
        </w:rPr>
        <w:t>投标报价</w:t>
      </w:r>
      <w:r>
        <w:rPr>
          <w:rFonts w:cs="Arial"/>
          <w:szCs w:val="24"/>
        </w:rPr>
        <w:t>为</w:t>
      </w:r>
      <w:r>
        <w:rPr>
          <w:rFonts w:hint="eastAsia" w:cs="Arial"/>
          <w:szCs w:val="24"/>
        </w:rPr>
        <w:t xml:space="preserve"> </w:t>
      </w:r>
      <w:r>
        <w:rPr>
          <w:rFonts w:hint="eastAsia" w:cs="Arial"/>
          <w:szCs w:val="24"/>
          <w:u w:val="single"/>
        </w:rPr>
        <w:t xml:space="preserve">                  </w:t>
      </w:r>
      <w:r>
        <w:rPr>
          <w:rFonts w:cs="Arial"/>
          <w:szCs w:val="24"/>
        </w:rPr>
        <w:t>。</w:t>
      </w:r>
    </w:p>
    <w:p w14:paraId="36899328">
      <w:pPr>
        <w:numPr>
          <w:ilvl w:val="0"/>
          <w:numId w:val="26"/>
        </w:numPr>
        <w:spacing w:line="324" w:lineRule="auto"/>
        <w:jc w:val="both"/>
        <w:rPr>
          <w:rFonts w:hint="eastAsia" w:cs="Arial"/>
          <w:szCs w:val="24"/>
        </w:rPr>
      </w:pPr>
      <w:r>
        <w:rPr>
          <w:rFonts w:hint="eastAsia" w:cs="Arial"/>
          <w:szCs w:val="24"/>
        </w:rPr>
        <w:t>我方</w:t>
      </w:r>
      <w:r>
        <w:rPr>
          <w:rFonts w:cs="Arial"/>
          <w:szCs w:val="24"/>
        </w:rPr>
        <w:t>将按招标文件的规定履行合同责任和义务。</w:t>
      </w:r>
    </w:p>
    <w:p w14:paraId="3D732BA8">
      <w:pPr>
        <w:numPr>
          <w:ilvl w:val="0"/>
          <w:numId w:val="26"/>
        </w:numPr>
        <w:spacing w:line="324" w:lineRule="auto"/>
        <w:jc w:val="both"/>
        <w:rPr>
          <w:rFonts w:hint="eastAsia" w:cs="Arial"/>
          <w:szCs w:val="24"/>
        </w:rPr>
      </w:pPr>
      <w:r>
        <w:rPr>
          <w:rFonts w:hint="eastAsia" w:cs="Arial"/>
          <w:szCs w:val="24"/>
        </w:rPr>
        <w:t>我方</w:t>
      </w:r>
      <w:r>
        <w:rPr>
          <w:rFonts w:cs="Arial"/>
          <w:szCs w:val="24"/>
        </w:rPr>
        <w:t>已详细审查全部招标文件，包括第</w:t>
      </w:r>
      <w:r>
        <w:rPr>
          <w:rFonts w:cs="Arial"/>
          <w:i/>
          <w:szCs w:val="24"/>
          <w:u w:val="single"/>
        </w:rPr>
        <w:t>（编号、补遗书）（如果有的话）</w:t>
      </w:r>
      <w:r>
        <w:rPr>
          <w:rFonts w:cs="Arial"/>
          <w:szCs w:val="24"/>
        </w:rPr>
        <w:t>。我</w:t>
      </w:r>
      <w:r>
        <w:rPr>
          <w:rFonts w:hint="eastAsia" w:cs="Arial"/>
          <w:szCs w:val="24"/>
        </w:rPr>
        <w:t>方</w:t>
      </w:r>
      <w:r>
        <w:rPr>
          <w:rFonts w:cs="Arial"/>
          <w:szCs w:val="24"/>
        </w:rPr>
        <w:t>完全理解并同意放弃对这方面有不明及误解的权力。</w:t>
      </w:r>
    </w:p>
    <w:p w14:paraId="13BB6A92">
      <w:pPr>
        <w:numPr>
          <w:ilvl w:val="0"/>
          <w:numId w:val="26"/>
        </w:numPr>
        <w:spacing w:line="324" w:lineRule="auto"/>
        <w:jc w:val="both"/>
        <w:rPr>
          <w:rFonts w:hint="eastAsia" w:cs="Arial"/>
          <w:szCs w:val="24"/>
        </w:rPr>
      </w:pPr>
      <w:r>
        <w:rPr>
          <w:rFonts w:hint="eastAsia" w:cs="Arial"/>
          <w:szCs w:val="24"/>
        </w:rPr>
        <w:t>投标/响应有效期为自提交投标/响应文件的截止之日起</w:t>
      </w:r>
      <w:r>
        <w:rPr>
          <w:rFonts w:hint="eastAsia" w:cs="Arial"/>
          <w:i/>
          <w:szCs w:val="24"/>
          <w:u w:val="single"/>
        </w:rPr>
        <w:t xml:space="preserve"> （由投标供应商填写）</w:t>
      </w:r>
      <w:r>
        <w:rPr>
          <w:rFonts w:cs="Arial"/>
          <w:szCs w:val="24"/>
        </w:rPr>
        <w:t>个日历天。</w:t>
      </w:r>
    </w:p>
    <w:p w14:paraId="2D6D6D56">
      <w:pPr>
        <w:numPr>
          <w:ilvl w:val="0"/>
          <w:numId w:val="26"/>
        </w:numPr>
        <w:spacing w:line="324" w:lineRule="auto"/>
        <w:jc w:val="both"/>
        <w:rPr>
          <w:rFonts w:hint="eastAsia" w:cs="Arial"/>
          <w:szCs w:val="24"/>
        </w:rPr>
      </w:pPr>
      <w:r>
        <w:rPr>
          <w:rFonts w:hint="eastAsia" w:cs="Arial"/>
          <w:szCs w:val="24"/>
        </w:rPr>
        <w:t>我方</w:t>
      </w:r>
      <w:r>
        <w:rPr>
          <w:rFonts w:cs="Arial"/>
          <w:szCs w:val="24"/>
        </w:rPr>
        <w:t>同意提供按照贵方</w:t>
      </w:r>
      <w:r>
        <w:rPr>
          <w:rFonts w:hint="eastAsia" w:cs="Arial"/>
          <w:szCs w:val="24"/>
        </w:rPr>
        <w:t>投标文件</w:t>
      </w:r>
      <w:r>
        <w:rPr>
          <w:rFonts w:cs="Arial"/>
          <w:szCs w:val="24"/>
        </w:rPr>
        <w:t>要求的与其投标有关的一切数据或资料，</w:t>
      </w:r>
      <w:r>
        <w:rPr>
          <w:rFonts w:hint="eastAsia" w:cs="Arial"/>
          <w:szCs w:val="24"/>
        </w:rPr>
        <w:t>采用综合评分法时，我方</w:t>
      </w:r>
      <w:r>
        <w:rPr>
          <w:rFonts w:cs="Arial"/>
          <w:szCs w:val="24"/>
        </w:rPr>
        <w:t>完全理解贵方不一定接受最低价的投标。</w:t>
      </w:r>
    </w:p>
    <w:p w14:paraId="11D60327">
      <w:pPr>
        <w:numPr>
          <w:ilvl w:val="0"/>
          <w:numId w:val="26"/>
        </w:numPr>
        <w:spacing w:line="324" w:lineRule="auto"/>
        <w:jc w:val="both"/>
        <w:rPr>
          <w:rFonts w:hint="eastAsia" w:cs="Arial"/>
          <w:szCs w:val="24"/>
        </w:rPr>
      </w:pPr>
      <w:r>
        <w:rPr>
          <w:rFonts w:hint="eastAsia" w:cs="Arial"/>
          <w:szCs w:val="24"/>
        </w:rPr>
        <w:t>本项目如由中标人支付采购代理服务费，我方同意按投标供应商须知前附表中规定向采购代理机构支付采购代理服务费。</w:t>
      </w:r>
    </w:p>
    <w:p w14:paraId="7B8E3469">
      <w:pPr>
        <w:numPr>
          <w:ilvl w:val="0"/>
          <w:numId w:val="26"/>
        </w:numPr>
        <w:snapToGrid w:val="0"/>
        <w:spacing w:line="324" w:lineRule="auto"/>
        <w:jc w:val="both"/>
        <w:rPr>
          <w:rFonts w:hint="eastAsia" w:cs="Arial"/>
          <w:szCs w:val="24"/>
        </w:rPr>
      </w:pPr>
      <w:r>
        <w:rPr>
          <w:rFonts w:hint="eastAsia" w:cs="Arial"/>
          <w:szCs w:val="24"/>
        </w:rPr>
        <w:t>重要声明：</w:t>
      </w:r>
    </w:p>
    <w:p w14:paraId="17CD922D">
      <w:pPr>
        <w:snapToGrid w:val="0"/>
        <w:spacing w:line="324" w:lineRule="auto"/>
        <w:ind w:firstLine="480" w:firstLineChars="200"/>
        <w:rPr>
          <w:rFonts w:hint="eastAsia"/>
          <w:szCs w:val="24"/>
        </w:rPr>
      </w:pPr>
      <w:r>
        <w:rPr>
          <w:rFonts w:hint="eastAsia"/>
          <w:szCs w:val="24"/>
        </w:rPr>
        <w:t>1）与我方单位负责人为同一人的其他单位名称：</w:t>
      </w:r>
    </w:p>
    <w:p w14:paraId="034DCC82">
      <w:pPr>
        <w:snapToGrid w:val="0"/>
        <w:spacing w:line="324" w:lineRule="auto"/>
        <w:ind w:left="456" w:leftChars="190" w:firstLine="355" w:firstLineChars="148"/>
        <w:rPr>
          <w:rFonts w:hint="eastAsia"/>
          <w:szCs w:val="24"/>
        </w:rPr>
      </w:pPr>
      <w:r>
        <w:rPr>
          <w:rFonts w:hint="eastAsia" w:cs="Arial"/>
          <w:szCs w:val="24"/>
          <w:bdr w:val="single" w:color="auto" w:sz="4" w:space="0"/>
        </w:rPr>
        <w:t>√</w:t>
      </w:r>
      <w:r>
        <w:rPr>
          <w:rFonts w:hint="eastAsia"/>
          <w:szCs w:val="24"/>
        </w:rPr>
        <w:t>无；□有，具体单位名称为：</w:t>
      </w:r>
      <w:r>
        <w:rPr>
          <w:rFonts w:hint="eastAsia" w:cs="Arial"/>
          <w:i/>
          <w:szCs w:val="24"/>
          <w:u w:val="single"/>
        </w:rPr>
        <w:t>（由投标供应商如实填写）</w:t>
      </w:r>
      <w:r>
        <w:rPr>
          <w:rFonts w:hint="eastAsia"/>
          <w:szCs w:val="24"/>
        </w:rPr>
        <w:t>。</w:t>
      </w:r>
    </w:p>
    <w:p w14:paraId="28E77FEC">
      <w:pPr>
        <w:snapToGrid w:val="0"/>
        <w:spacing w:line="324" w:lineRule="auto"/>
        <w:ind w:left="400"/>
        <w:rPr>
          <w:rFonts w:hint="eastAsia"/>
          <w:szCs w:val="24"/>
        </w:rPr>
      </w:pPr>
      <w:r>
        <w:rPr>
          <w:rFonts w:hint="eastAsia"/>
          <w:szCs w:val="24"/>
        </w:rPr>
        <w:t>2）与我方存在控股、管理关系的其他单位的名称：</w:t>
      </w:r>
    </w:p>
    <w:p w14:paraId="52B3F2B4">
      <w:pPr>
        <w:snapToGrid w:val="0"/>
        <w:spacing w:line="324" w:lineRule="auto"/>
        <w:ind w:left="456" w:leftChars="190" w:firstLine="355" w:firstLineChars="148"/>
        <w:rPr>
          <w:rFonts w:hint="eastAsia"/>
          <w:szCs w:val="24"/>
        </w:rPr>
      </w:pPr>
      <w:r>
        <w:rPr>
          <w:rFonts w:hint="eastAsia" w:cs="Arial"/>
          <w:szCs w:val="24"/>
          <w:bdr w:val="single" w:color="auto" w:sz="4" w:space="0"/>
        </w:rPr>
        <w:t>√</w:t>
      </w:r>
      <w:r>
        <w:rPr>
          <w:rFonts w:hint="eastAsia"/>
          <w:szCs w:val="24"/>
        </w:rPr>
        <w:t xml:space="preserve">无；□有，具体单位名称为： </w:t>
      </w:r>
      <w:r>
        <w:rPr>
          <w:rFonts w:hint="eastAsia" w:cs="Arial"/>
          <w:i/>
          <w:szCs w:val="24"/>
          <w:u w:val="single"/>
        </w:rPr>
        <w:t>（由投标供应商如实填写）</w:t>
      </w:r>
      <w:r>
        <w:rPr>
          <w:rFonts w:hint="eastAsia"/>
          <w:szCs w:val="24"/>
        </w:rPr>
        <w:t>。</w:t>
      </w:r>
    </w:p>
    <w:p w14:paraId="1BBE680C">
      <w:pPr>
        <w:snapToGrid w:val="0"/>
        <w:spacing w:line="324" w:lineRule="auto"/>
        <w:ind w:left="400"/>
        <w:rPr>
          <w:rFonts w:hint="eastAsia"/>
          <w:szCs w:val="24"/>
        </w:rPr>
      </w:pPr>
      <w:r>
        <w:rPr>
          <w:rFonts w:hint="eastAsia"/>
          <w:szCs w:val="24"/>
        </w:rPr>
        <w:t>3）参与本项目采购活动前，是否为本项目前期准备提供过整体设计、规范编制或者项目管理、监理、检测等服务：</w:t>
      </w:r>
    </w:p>
    <w:p w14:paraId="122E7AC9">
      <w:pPr>
        <w:snapToGrid w:val="0"/>
        <w:spacing w:line="324" w:lineRule="auto"/>
        <w:ind w:left="456" w:leftChars="190" w:firstLine="355" w:firstLineChars="148"/>
        <w:rPr>
          <w:rFonts w:hint="eastAsia"/>
          <w:szCs w:val="24"/>
        </w:rPr>
      </w:pPr>
      <w:r>
        <w:rPr>
          <w:rFonts w:hint="eastAsia" w:cs="Arial"/>
          <w:szCs w:val="24"/>
          <w:bdr w:val="single" w:color="auto" w:sz="4" w:space="0"/>
        </w:rPr>
        <w:t>√</w:t>
      </w:r>
      <w:r>
        <w:rPr>
          <w:rFonts w:hint="eastAsia"/>
          <w:szCs w:val="24"/>
        </w:rPr>
        <w:t xml:space="preserve">无；□有，已提供的具体服务内容为： </w:t>
      </w:r>
      <w:r>
        <w:rPr>
          <w:rFonts w:hint="eastAsia" w:cs="Arial"/>
          <w:i/>
          <w:szCs w:val="24"/>
          <w:u w:val="single"/>
        </w:rPr>
        <w:t>（由投标供应商如实填写）</w:t>
      </w:r>
      <w:r>
        <w:rPr>
          <w:rFonts w:hint="eastAsia"/>
          <w:szCs w:val="24"/>
        </w:rPr>
        <w:t>。</w:t>
      </w:r>
    </w:p>
    <w:p w14:paraId="5F1AA3BA">
      <w:pPr>
        <w:spacing w:line="324" w:lineRule="auto"/>
        <w:ind w:left="720" w:leftChars="300"/>
        <w:rPr>
          <w:rFonts w:hint="eastAsia"/>
          <w:szCs w:val="24"/>
        </w:rPr>
      </w:pPr>
      <w:r>
        <w:rPr>
          <w:rFonts w:hint="eastAsia"/>
          <w:szCs w:val="24"/>
        </w:rPr>
        <w:t>（备注：以上</w:t>
      </w:r>
      <w:r>
        <w:rPr>
          <w:szCs w:val="24"/>
        </w:rPr>
        <w:t>3</w:t>
      </w:r>
      <w:r>
        <w:rPr>
          <w:rFonts w:hint="eastAsia"/>
          <w:szCs w:val="24"/>
        </w:rPr>
        <w:t>项声明，必须如实选择，选中项用</w:t>
      </w:r>
      <w:r>
        <w:rPr>
          <w:rFonts w:hint="eastAsia"/>
          <w:szCs w:val="24"/>
          <w:bdr w:val="single" w:color="auto" w:sz="4" w:space="0"/>
        </w:rPr>
        <w:t>√</w:t>
      </w:r>
      <w:r>
        <w:rPr>
          <w:rFonts w:hint="eastAsia"/>
          <w:szCs w:val="24"/>
        </w:rPr>
        <w:t>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14:paraId="646B82F8">
      <w:pPr>
        <w:snapToGrid w:val="0"/>
        <w:spacing w:line="324" w:lineRule="auto"/>
        <w:ind w:firstLine="480" w:firstLineChars="200"/>
        <w:rPr>
          <w:rFonts w:hint="eastAsia"/>
          <w:szCs w:val="24"/>
        </w:rPr>
      </w:pPr>
      <w:r>
        <w:rPr>
          <w:rFonts w:hint="eastAsia"/>
          <w:szCs w:val="24"/>
        </w:rPr>
        <w:t>4）我方在本投标文件中所提供的全部资料均真实有效，我方承诺对其真实性负责并承担相应后果。</w:t>
      </w:r>
    </w:p>
    <w:p w14:paraId="2220730D">
      <w:pPr>
        <w:snapToGrid w:val="0"/>
        <w:spacing w:line="324" w:lineRule="auto"/>
        <w:ind w:firstLine="480" w:firstLineChars="200"/>
        <w:rPr>
          <w:rFonts w:hint="eastAsia"/>
          <w:szCs w:val="24"/>
        </w:rPr>
      </w:pPr>
      <w:r>
        <w:rPr>
          <w:rFonts w:hint="eastAsia"/>
          <w:szCs w:val="24"/>
        </w:rPr>
        <w:t>5）</w:t>
      </w:r>
      <w:bookmarkStart w:id="339" w:name="_Hlk161604053"/>
      <w:r>
        <w:rPr>
          <w:rFonts w:hint="eastAsia"/>
          <w:szCs w:val="24"/>
        </w:rPr>
        <w:t>我方承诺本《投标函》的签章对本投标文件全部内容具有约束力并承担法律责任。</w:t>
      </w:r>
      <w:bookmarkEnd w:id="339"/>
    </w:p>
    <w:p w14:paraId="2FF65DA4">
      <w:pPr>
        <w:spacing w:line="300" w:lineRule="auto"/>
        <w:rPr>
          <w:rFonts w:hint="eastAsia" w:cs="Arial"/>
          <w:szCs w:val="24"/>
        </w:rPr>
      </w:pPr>
    </w:p>
    <w:p w14:paraId="13DFF879">
      <w:pPr>
        <w:spacing w:line="300" w:lineRule="auto"/>
        <w:rPr>
          <w:rFonts w:hint="eastAsia" w:cs="Arial"/>
          <w:szCs w:val="24"/>
        </w:rPr>
      </w:pPr>
    </w:p>
    <w:p w14:paraId="54D31A06">
      <w:pPr>
        <w:spacing w:line="300" w:lineRule="auto"/>
        <w:rPr>
          <w:rFonts w:hint="eastAsia" w:cs="Arial"/>
          <w:szCs w:val="24"/>
        </w:rPr>
      </w:pPr>
    </w:p>
    <w:p w14:paraId="7755D39E">
      <w:pPr>
        <w:autoSpaceDE w:val="0"/>
        <w:autoSpaceDN w:val="0"/>
        <w:adjustRightInd w:val="0"/>
        <w:snapToGrid w:val="0"/>
        <w:ind w:firstLine="480" w:firstLineChars="200"/>
        <w:rPr>
          <w:rFonts w:hint="eastAsia" w:cs="宋体"/>
        </w:rPr>
      </w:pPr>
      <w:r>
        <w:rPr>
          <w:rFonts w:hint="eastAsia" w:cs="宋体"/>
        </w:rPr>
        <w:t xml:space="preserve">投 </w:t>
      </w:r>
      <w:r>
        <w:rPr>
          <w:rFonts w:cs="宋体"/>
        </w:rPr>
        <w:t xml:space="preserve">   </w:t>
      </w:r>
      <w:r>
        <w:rPr>
          <w:rFonts w:hint="eastAsia" w:cs="宋体"/>
        </w:rPr>
        <w:t xml:space="preserve">标 </w:t>
      </w:r>
      <w:r>
        <w:rPr>
          <w:rFonts w:cs="宋体"/>
        </w:rPr>
        <w:t xml:space="preserve">   </w:t>
      </w:r>
      <w:r>
        <w:rPr>
          <w:rFonts w:hint="eastAsia" w:cs="宋体"/>
        </w:rPr>
        <w:t>人：（公章）</w:t>
      </w:r>
    </w:p>
    <w:p w14:paraId="06D3CFE8">
      <w:pPr>
        <w:autoSpaceDE w:val="0"/>
        <w:autoSpaceDN w:val="0"/>
        <w:adjustRightInd w:val="0"/>
        <w:snapToGrid w:val="0"/>
        <w:ind w:firstLine="480" w:firstLineChars="200"/>
        <w:rPr>
          <w:rFonts w:hint="eastAsia" w:cs="宋体"/>
        </w:rPr>
      </w:pPr>
      <w:r>
        <w:rPr>
          <w:rFonts w:hint="eastAsia" w:cs="宋体"/>
        </w:rPr>
        <w:t>通  讯  地  址：</w:t>
      </w:r>
    </w:p>
    <w:p w14:paraId="5453001A">
      <w:pPr>
        <w:autoSpaceDE w:val="0"/>
        <w:autoSpaceDN w:val="0"/>
        <w:adjustRightInd w:val="0"/>
        <w:snapToGrid w:val="0"/>
        <w:ind w:firstLine="480" w:firstLineChars="200"/>
        <w:rPr>
          <w:rFonts w:hint="eastAsia" w:cs="宋体"/>
        </w:rPr>
      </w:pPr>
      <w:r>
        <w:rPr>
          <w:rFonts w:hint="eastAsia" w:cs="宋体"/>
        </w:rPr>
        <w:t xml:space="preserve">传       </w:t>
      </w:r>
      <w:r>
        <w:rPr>
          <w:rFonts w:cs="宋体"/>
        </w:rPr>
        <w:t xml:space="preserve">   </w:t>
      </w:r>
      <w:r>
        <w:rPr>
          <w:rFonts w:hint="eastAsia" w:cs="宋体"/>
        </w:rPr>
        <w:t>真：</w:t>
      </w:r>
    </w:p>
    <w:p w14:paraId="7D35D124">
      <w:pPr>
        <w:autoSpaceDE w:val="0"/>
        <w:autoSpaceDN w:val="0"/>
        <w:adjustRightInd w:val="0"/>
        <w:snapToGrid w:val="0"/>
        <w:ind w:firstLine="480" w:firstLineChars="200"/>
        <w:rPr>
          <w:rFonts w:hint="eastAsia" w:cs="宋体"/>
        </w:rPr>
      </w:pPr>
      <w:r>
        <w:rPr>
          <w:rFonts w:hint="eastAsia" w:cs="宋体"/>
        </w:rPr>
        <w:t>电          话：</w:t>
      </w:r>
    </w:p>
    <w:p w14:paraId="36F69F71">
      <w:pPr>
        <w:autoSpaceDE w:val="0"/>
        <w:autoSpaceDN w:val="0"/>
        <w:adjustRightInd w:val="0"/>
        <w:snapToGrid w:val="0"/>
        <w:ind w:firstLine="480" w:firstLineChars="200"/>
        <w:rPr>
          <w:rFonts w:hint="eastAsia" w:cs="宋体"/>
        </w:rPr>
      </w:pPr>
      <w:r>
        <w:rPr>
          <w:rFonts w:hint="eastAsia" w:cs="宋体"/>
        </w:rPr>
        <w:t xml:space="preserve">授 </w:t>
      </w:r>
      <w:r>
        <w:rPr>
          <w:rFonts w:cs="宋体"/>
        </w:rPr>
        <w:t xml:space="preserve"> </w:t>
      </w:r>
      <w:r>
        <w:rPr>
          <w:rFonts w:hint="eastAsia" w:cs="宋体"/>
        </w:rPr>
        <w:t xml:space="preserve">权 </w:t>
      </w:r>
      <w:r>
        <w:rPr>
          <w:rFonts w:cs="宋体"/>
        </w:rPr>
        <w:t xml:space="preserve"> </w:t>
      </w:r>
      <w:r>
        <w:rPr>
          <w:rFonts w:hint="eastAsia" w:cs="宋体"/>
        </w:rPr>
        <w:t xml:space="preserve">代 </w:t>
      </w:r>
      <w:r>
        <w:rPr>
          <w:rFonts w:cs="宋体"/>
        </w:rPr>
        <w:t xml:space="preserve"> </w:t>
      </w:r>
      <w:r>
        <w:rPr>
          <w:rFonts w:hint="eastAsia" w:cs="宋体"/>
        </w:rPr>
        <w:t>表：</w:t>
      </w:r>
    </w:p>
    <w:p w14:paraId="1278981E">
      <w:pPr>
        <w:ind w:firstLine="480" w:firstLineChars="200"/>
        <w:rPr>
          <w:rFonts w:hint="eastAsia" w:cs="Arial"/>
          <w:szCs w:val="24"/>
        </w:rPr>
      </w:pPr>
      <w:r>
        <w:rPr>
          <w:rFonts w:hint="eastAsia" w:cs="宋体"/>
        </w:rPr>
        <w:t xml:space="preserve">日     </w:t>
      </w:r>
      <w:r>
        <w:rPr>
          <w:rFonts w:cs="宋体"/>
        </w:rPr>
        <w:t xml:space="preserve"> </w:t>
      </w:r>
      <w:r>
        <w:rPr>
          <w:rFonts w:hint="eastAsia" w:cs="宋体"/>
        </w:rPr>
        <w:t xml:space="preserve">    期：</w:t>
      </w:r>
    </w:p>
    <w:p w14:paraId="52210797">
      <w:pPr>
        <w:rPr>
          <w:rFonts w:hint="eastAsia" w:cs="Arial"/>
          <w:szCs w:val="24"/>
          <w:u w:val="single"/>
        </w:rPr>
      </w:pPr>
    </w:p>
    <w:p w14:paraId="4C532167">
      <w:pPr>
        <w:rPr>
          <w:rFonts w:hint="eastAsia" w:cs="Arial"/>
          <w:szCs w:val="24"/>
          <w:u w:val="single"/>
        </w:rPr>
      </w:pPr>
      <w:r>
        <w:rPr>
          <w:rFonts w:cs="Arial"/>
          <w:szCs w:val="24"/>
          <w:u w:val="single"/>
        </w:rPr>
        <w:br w:type="page"/>
      </w:r>
    </w:p>
    <w:p w14:paraId="42113877">
      <w:pPr>
        <w:pStyle w:val="5"/>
        <w:numPr>
          <w:ilvl w:val="0"/>
          <w:numId w:val="24"/>
        </w:numPr>
        <w:jc w:val="center"/>
        <w:rPr>
          <w:rFonts w:hint="eastAsia"/>
        </w:rPr>
      </w:pPr>
      <w:bookmarkStart w:id="340" w:name="_Toc430813349"/>
      <w:bookmarkStart w:id="341" w:name="_Toc109899909"/>
      <w:bookmarkStart w:id="342" w:name="_Toc140132832"/>
      <w:bookmarkStart w:id="343" w:name="_Toc432367429"/>
      <w:bookmarkStart w:id="344" w:name="_Toc109899490"/>
      <w:bookmarkStart w:id="345" w:name="_Toc9918"/>
      <w:bookmarkStart w:id="346" w:name="_Toc109900328"/>
      <w:bookmarkStart w:id="347" w:name="_Toc155185922"/>
      <w:r>
        <w:rPr>
          <w:rFonts w:hint="eastAsia"/>
        </w:rPr>
        <w:t>开标一览表</w:t>
      </w:r>
      <w:bookmarkEnd w:id="340"/>
      <w:bookmarkEnd w:id="341"/>
      <w:bookmarkEnd w:id="342"/>
      <w:bookmarkEnd w:id="343"/>
      <w:bookmarkEnd w:id="344"/>
      <w:bookmarkEnd w:id="345"/>
      <w:bookmarkEnd w:id="346"/>
      <w:bookmarkEnd w:id="347"/>
    </w:p>
    <w:p w14:paraId="22FEFD4C">
      <w:pPr>
        <w:spacing w:line="240" w:lineRule="auto"/>
        <w:ind w:left="26" w:hanging="181"/>
        <w:rPr>
          <w:rFonts w:hint="eastAsia" w:cs="宋体"/>
          <w:szCs w:val="24"/>
        </w:rPr>
      </w:pPr>
      <w:r>
        <w:rPr>
          <w:rFonts w:hint="eastAsia" w:cs="宋体"/>
          <w:szCs w:val="24"/>
        </w:rPr>
        <w:t>项目名称：</w:t>
      </w:r>
    </w:p>
    <w:tbl>
      <w:tblPr>
        <w:tblStyle w:val="31"/>
        <w:tblW w:w="90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1786"/>
        <w:gridCol w:w="5092"/>
        <w:gridCol w:w="1452"/>
      </w:tblGrid>
      <w:tr w14:paraId="1180D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684" w:type="dxa"/>
            <w:vAlign w:val="center"/>
          </w:tcPr>
          <w:p w14:paraId="709C47C2">
            <w:pPr>
              <w:pStyle w:val="60"/>
              <w:widowControl/>
              <w:tabs>
                <w:tab w:val="left" w:pos="420"/>
              </w:tabs>
              <w:spacing w:line="240" w:lineRule="auto"/>
              <w:ind w:left="26" w:hanging="181"/>
              <w:jc w:val="center"/>
              <w:rPr>
                <w:rFonts w:hint="eastAsia" w:ascii="宋体" w:hAnsi="宋体" w:cs="宋体"/>
                <w:kern w:val="2"/>
                <w:sz w:val="24"/>
                <w:szCs w:val="24"/>
              </w:rPr>
            </w:pPr>
            <w:r>
              <w:rPr>
                <w:rFonts w:hint="eastAsia" w:ascii="宋体" w:hAnsi="宋体" w:cs="宋体"/>
                <w:kern w:val="2"/>
                <w:sz w:val="24"/>
                <w:szCs w:val="24"/>
              </w:rPr>
              <w:t>序号</w:t>
            </w:r>
          </w:p>
        </w:tc>
        <w:tc>
          <w:tcPr>
            <w:tcW w:w="1786" w:type="dxa"/>
            <w:vAlign w:val="center"/>
          </w:tcPr>
          <w:p w14:paraId="177D9F03">
            <w:pPr>
              <w:pStyle w:val="60"/>
              <w:widowControl/>
              <w:tabs>
                <w:tab w:val="left" w:pos="420"/>
              </w:tabs>
              <w:spacing w:line="240" w:lineRule="auto"/>
              <w:ind w:left="26" w:hanging="181"/>
              <w:jc w:val="center"/>
              <w:rPr>
                <w:rFonts w:hint="eastAsia" w:ascii="宋体" w:hAnsi="宋体" w:cs="宋体"/>
                <w:kern w:val="2"/>
                <w:sz w:val="24"/>
                <w:szCs w:val="24"/>
              </w:rPr>
            </w:pPr>
            <w:r>
              <w:rPr>
                <w:rFonts w:hint="eastAsia" w:ascii="宋体" w:hAnsi="宋体" w:cs="宋体"/>
                <w:kern w:val="2"/>
                <w:sz w:val="24"/>
                <w:szCs w:val="24"/>
              </w:rPr>
              <w:t>项目</w:t>
            </w:r>
          </w:p>
        </w:tc>
        <w:tc>
          <w:tcPr>
            <w:tcW w:w="5092" w:type="dxa"/>
            <w:vAlign w:val="center"/>
          </w:tcPr>
          <w:p w14:paraId="4F215440">
            <w:pPr>
              <w:spacing w:line="240" w:lineRule="auto"/>
              <w:ind w:left="26" w:hanging="181"/>
              <w:jc w:val="center"/>
              <w:rPr>
                <w:rFonts w:hint="eastAsia" w:cs="宋体"/>
                <w:szCs w:val="24"/>
              </w:rPr>
            </w:pPr>
            <w:r>
              <w:rPr>
                <w:rFonts w:hint="eastAsia" w:cs="宋体"/>
                <w:szCs w:val="24"/>
              </w:rPr>
              <w:t>报价内容</w:t>
            </w:r>
          </w:p>
        </w:tc>
        <w:tc>
          <w:tcPr>
            <w:tcW w:w="1452" w:type="dxa"/>
            <w:vAlign w:val="center"/>
          </w:tcPr>
          <w:p w14:paraId="73E38644">
            <w:pPr>
              <w:spacing w:line="240" w:lineRule="auto"/>
              <w:ind w:left="26" w:hanging="181"/>
              <w:jc w:val="center"/>
              <w:rPr>
                <w:rFonts w:hint="eastAsia" w:cs="宋体"/>
                <w:szCs w:val="24"/>
              </w:rPr>
            </w:pPr>
            <w:r>
              <w:rPr>
                <w:rFonts w:hint="eastAsia" w:cs="宋体"/>
                <w:szCs w:val="24"/>
              </w:rPr>
              <w:t>备注</w:t>
            </w:r>
          </w:p>
        </w:tc>
      </w:tr>
      <w:tr w14:paraId="6D843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5" w:hRule="atLeast"/>
          <w:jc w:val="center"/>
        </w:trPr>
        <w:tc>
          <w:tcPr>
            <w:tcW w:w="684" w:type="dxa"/>
            <w:vAlign w:val="center"/>
          </w:tcPr>
          <w:p w14:paraId="0529E0C2">
            <w:pPr>
              <w:pStyle w:val="60"/>
              <w:widowControl/>
              <w:tabs>
                <w:tab w:val="left" w:pos="420"/>
              </w:tabs>
              <w:spacing w:line="240" w:lineRule="auto"/>
              <w:ind w:left="26" w:hanging="181"/>
              <w:jc w:val="center"/>
              <w:rPr>
                <w:rFonts w:hint="eastAsia" w:ascii="宋体" w:hAnsi="宋体" w:cs="宋体"/>
                <w:kern w:val="2"/>
                <w:sz w:val="24"/>
                <w:szCs w:val="24"/>
              </w:rPr>
            </w:pPr>
            <w:r>
              <w:rPr>
                <w:rFonts w:hint="eastAsia" w:ascii="宋体" w:hAnsi="宋体" w:cs="宋体"/>
                <w:kern w:val="2"/>
                <w:sz w:val="24"/>
                <w:szCs w:val="24"/>
              </w:rPr>
              <w:t>1</w:t>
            </w:r>
          </w:p>
        </w:tc>
        <w:tc>
          <w:tcPr>
            <w:tcW w:w="1786" w:type="dxa"/>
            <w:vAlign w:val="center"/>
          </w:tcPr>
          <w:p w14:paraId="35ACFA8C">
            <w:pPr>
              <w:spacing w:line="240" w:lineRule="auto"/>
              <w:ind w:left="26" w:hanging="181"/>
              <w:jc w:val="center"/>
              <w:rPr>
                <w:rFonts w:hint="eastAsia" w:cs="宋体"/>
                <w:szCs w:val="24"/>
              </w:rPr>
            </w:pPr>
            <w:r>
              <w:rPr>
                <w:rFonts w:hint="eastAsia" w:cs="宋体"/>
                <w:szCs w:val="24"/>
              </w:rPr>
              <w:t>投标</w:t>
            </w:r>
            <w:r>
              <w:rPr>
                <w:rFonts w:hint="eastAsia" w:cs="宋体"/>
                <w:szCs w:val="24"/>
                <w:lang w:val="en-US" w:eastAsia="zh-CN"/>
              </w:rPr>
              <w:t>总</w:t>
            </w:r>
            <w:r>
              <w:rPr>
                <w:rFonts w:hint="eastAsia" w:cs="宋体"/>
                <w:szCs w:val="24"/>
              </w:rPr>
              <w:t>报价</w:t>
            </w:r>
          </w:p>
        </w:tc>
        <w:tc>
          <w:tcPr>
            <w:tcW w:w="5092" w:type="dxa"/>
            <w:vAlign w:val="center"/>
          </w:tcPr>
          <w:p w14:paraId="1F2F6105">
            <w:pPr>
              <w:pStyle w:val="16"/>
              <w:numPr>
                <w:ilvl w:val="0"/>
                <w:numId w:val="0"/>
              </w:numPr>
              <w:ind w:leftChars="0"/>
              <w:rPr>
                <w:rFonts w:hint="eastAsia" w:ascii="宋体" w:hAnsi="宋体" w:cs="宋体"/>
                <w:kern w:val="2"/>
                <w:sz w:val="24"/>
                <w:szCs w:val="24"/>
                <w:u w:val="none"/>
                <w:lang w:val="en-US" w:eastAsia="zh-CN" w:bidi="ar-SA"/>
              </w:rPr>
            </w:pPr>
          </w:p>
          <w:p w14:paraId="4C31D98B">
            <w:pPr>
              <w:pStyle w:val="16"/>
              <w:numPr>
                <w:ilvl w:val="0"/>
                <w:numId w:val="0"/>
              </w:numPr>
              <w:rPr>
                <w:rFonts w:hint="eastAsia" w:ascii="宋体" w:hAnsi="宋体" w:cs="宋体"/>
                <w:kern w:val="2"/>
                <w:sz w:val="24"/>
                <w:szCs w:val="24"/>
                <w:u w:val="none"/>
                <w:lang w:val="en-US" w:eastAsia="zh-CN" w:bidi="ar-SA"/>
              </w:rPr>
            </w:pPr>
            <w:r>
              <w:rPr>
                <w:rFonts w:hint="eastAsia" w:ascii="宋体" w:hAnsi="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元/年（大写：）</w:t>
            </w:r>
          </w:p>
        </w:tc>
        <w:tc>
          <w:tcPr>
            <w:tcW w:w="1452" w:type="dxa"/>
            <w:vMerge w:val="restart"/>
            <w:vAlign w:val="center"/>
          </w:tcPr>
          <w:p w14:paraId="3D0A86B5">
            <w:pPr>
              <w:spacing w:line="240" w:lineRule="auto"/>
              <w:rPr>
                <w:rFonts w:hint="eastAsia" w:cs="宋体"/>
                <w:szCs w:val="24"/>
              </w:rPr>
            </w:pPr>
          </w:p>
        </w:tc>
      </w:tr>
      <w:tr w14:paraId="69207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684" w:type="dxa"/>
            <w:vAlign w:val="center"/>
          </w:tcPr>
          <w:p w14:paraId="3C48E31B">
            <w:pPr>
              <w:pStyle w:val="60"/>
              <w:widowControl/>
              <w:tabs>
                <w:tab w:val="left" w:pos="420"/>
              </w:tabs>
              <w:spacing w:line="240" w:lineRule="auto"/>
              <w:ind w:left="26" w:hanging="181"/>
              <w:jc w:val="center"/>
              <w:rPr>
                <w:rFonts w:hint="eastAsia" w:ascii="宋体" w:hAnsi="宋体" w:eastAsia="宋体" w:cs="宋体"/>
                <w:kern w:val="2"/>
                <w:sz w:val="24"/>
                <w:szCs w:val="24"/>
                <w:lang w:eastAsia="zh-CN"/>
              </w:rPr>
            </w:pPr>
            <w:r>
              <w:rPr>
                <w:rFonts w:hint="eastAsia" w:ascii="宋体" w:hAnsi="宋体" w:cs="宋体"/>
                <w:kern w:val="2"/>
                <w:sz w:val="24"/>
                <w:szCs w:val="24"/>
                <w:lang w:val="en-US" w:eastAsia="zh-CN"/>
              </w:rPr>
              <w:t>2</w:t>
            </w:r>
          </w:p>
        </w:tc>
        <w:tc>
          <w:tcPr>
            <w:tcW w:w="1786" w:type="dxa"/>
            <w:vAlign w:val="center"/>
          </w:tcPr>
          <w:p w14:paraId="6C724090">
            <w:pPr>
              <w:spacing w:line="240" w:lineRule="auto"/>
              <w:ind w:left="26" w:hanging="181"/>
              <w:jc w:val="center"/>
              <w:rPr>
                <w:rFonts w:hint="default" w:eastAsia="宋体" w:cs="宋体"/>
                <w:szCs w:val="24"/>
                <w:lang w:val="en-US" w:eastAsia="zh-CN"/>
              </w:rPr>
            </w:pPr>
            <w:r>
              <w:rPr>
                <w:rFonts w:hint="eastAsia" w:cs="宋体"/>
                <w:szCs w:val="24"/>
                <w:lang w:val="en-US" w:eastAsia="zh-CN"/>
              </w:rPr>
              <w:t>服务期限承诺</w:t>
            </w:r>
          </w:p>
        </w:tc>
        <w:tc>
          <w:tcPr>
            <w:tcW w:w="5092" w:type="dxa"/>
            <w:vAlign w:val="center"/>
          </w:tcPr>
          <w:p w14:paraId="0E61F918">
            <w:pPr>
              <w:spacing w:line="240" w:lineRule="auto"/>
              <w:ind w:left="53" w:leftChars="22" w:firstLine="84" w:firstLineChars="35"/>
              <w:rPr>
                <w:rFonts w:hint="eastAsia" w:cs="宋体"/>
                <w:szCs w:val="24"/>
                <w:u w:val="single"/>
              </w:rPr>
            </w:pPr>
          </w:p>
        </w:tc>
        <w:tc>
          <w:tcPr>
            <w:tcW w:w="1452" w:type="dxa"/>
            <w:vMerge w:val="continue"/>
            <w:vAlign w:val="center"/>
          </w:tcPr>
          <w:p w14:paraId="0EE78E1E">
            <w:pPr>
              <w:spacing w:line="240" w:lineRule="auto"/>
              <w:ind w:left="53" w:leftChars="22" w:firstLine="84" w:firstLineChars="35"/>
              <w:rPr>
                <w:rFonts w:hint="eastAsia" w:cs="宋体"/>
                <w:szCs w:val="24"/>
                <w:u w:val="single"/>
              </w:rPr>
            </w:pPr>
          </w:p>
        </w:tc>
      </w:tr>
      <w:tr w14:paraId="765D5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684" w:type="dxa"/>
            <w:vAlign w:val="center"/>
          </w:tcPr>
          <w:p w14:paraId="4AB582BA">
            <w:pPr>
              <w:pStyle w:val="60"/>
              <w:widowControl/>
              <w:tabs>
                <w:tab w:val="left" w:pos="420"/>
              </w:tabs>
              <w:spacing w:line="240" w:lineRule="auto"/>
              <w:ind w:left="26" w:hanging="181"/>
              <w:jc w:val="center"/>
              <w:rPr>
                <w:rFonts w:hint="default" w:ascii="宋体" w:hAnsi="宋体" w:cs="宋体"/>
                <w:kern w:val="2"/>
                <w:sz w:val="24"/>
                <w:szCs w:val="24"/>
                <w:lang w:val="en-US" w:eastAsia="zh-CN"/>
              </w:rPr>
            </w:pPr>
            <w:r>
              <w:rPr>
                <w:rFonts w:hint="eastAsia" w:ascii="宋体" w:hAnsi="宋体" w:cs="宋体"/>
                <w:kern w:val="2"/>
                <w:sz w:val="24"/>
                <w:szCs w:val="24"/>
                <w:lang w:val="en-US" w:eastAsia="zh-CN"/>
              </w:rPr>
              <w:t>3</w:t>
            </w:r>
          </w:p>
        </w:tc>
        <w:tc>
          <w:tcPr>
            <w:tcW w:w="1786" w:type="dxa"/>
            <w:vAlign w:val="center"/>
          </w:tcPr>
          <w:p w14:paraId="2033829B">
            <w:pPr>
              <w:spacing w:line="240" w:lineRule="auto"/>
              <w:ind w:left="26" w:hanging="181"/>
              <w:jc w:val="center"/>
              <w:rPr>
                <w:rFonts w:hint="default" w:eastAsia="宋体" w:cs="宋体"/>
                <w:szCs w:val="24"/>
                <w:lang w:val="en-US" w:eastAsia="zh-CN"/>
              </w:rPr>
            </w:pPr>
            <w:r>
              <w:rPr>
                <w:rFonts w:hint="eastAsia" w:cs="宋体"/>
                <w:szCs w:val="24"/>
                <w:lang w:val="en-US" w:eastAsia="zh-CN"/>
              </w:rPr>
              <w:t>服务质量承诺</w:t>
            </w:r>
          </w:p>
        </w:tc>
        <w:tc>
          <w:tcPr>
            <w:tcW w:w="5092" w:type="dxa"/>
            <w:vAlign w:val="center"/>
          </w:tcPr>
          <w:p w14:paraId="5023C401">
            <w:pPr>
              <w:spacing w:line="240" w:lineRule="auto"/>
              <w:ind w:left="53" w:leftChars="22" w:firstLine="84" w:firstLineChars="35"/>
              <w:rPr>
                <w:rFonts w:hint="eastAsia" w:eastAsia="宋体" w:cs="宋体"/>
                <w:szCs w:val="24"/>
                <w:u w:val="single"/>
                <w:lang w:val="en-US" w:eastAsia="zh-CN"/>
              </w:rPr>
            </w:pPr>
          </w:p>
        </w:tc>
        <w:tc>
          <w:tcPr>
            <w:tcW w:w="1452" w:type="dxa"/>
            <w:vMerge w:val="continue"/>
            <w:vAlign w:val="center"/>
          </w:tcPr>
          <w:p w14:paraId="62FF4E14">
            <w:pPr>
              <w:spacing w:line="240" w:lineRule="auto"/>
              <w:ind w:left="53" w:leftChars="22" w:firstLine="84" w:firstLineChars="35"/>
              <w:rPr>
                <w:rFonts w:hint="eastAsia" w:cs="宋体"/>
                <w:szCs w:val="24"/>
                <w:u w:val="single"/>
              </w:rPr>
            </w:pPr>
          </w:p>
        </w:tc>
      </w:tr>
    </w:tbl>
    <w:p w14:paraId="426BE618">
      <w:pPr>
        <w:spacing w:line="300" w:lineRule="auto"/>
        <w:rPr>
          <w:rFonts w:ascii="Arial" w:hAnsi="Arial" w:cs="Arial"/>
          <w:szCs w:val="21"/>
        </w:rPr>
      </w:pPr>
    </w:p>
    <w:p w14:paraId="7E5623ED">
      <w:pPr>
        <w:pStyle w:val="16"/>
      </w:pPr>
    </w:p>
    <w:p w14:paraId="72683677">
      <w:pPr>
        <w:spacing w:line="300" w:lineRule="auto"/>
        <w:rPr>
          <w:rFonts w:ascii="Arial" w:hAnsi="Arial" w:cs="Arial"/>
          <w:szCs w:val="21"/>
        </w:rPr>
      </w:pPr>
      <w:r>
        <w:rPr>
          <w:rFonts w:hint="eastAsia" w:ascii="Arial" w:hAnsi="Arial" w:cs="Arial"/>
          <w:szCs w:val="21"/>
        </w:rPr>
        <w:t>投标供应商</w:t>
      </w:r>
      <w:r>
        <w:rPr>
          <w:rFonts w:ascii="Arial" w:hAnsi="Arial" w:cs="Arial"/>
          <w:szCs w:val="21"/>
        </w:rPr>
        <w:t>名称</w:t>
      </w:r>
      <w:r>
        <w:rPr>
          <w:rFonts w:hint="eastAsia" w:ascii="Arial" w:hAnsi="Arial" w:cs="Arial"/>
          <w:szCs w:val="21"/>
        </w:rPr>
        <w:t>（盖章）</w:t>
      </w:r>
      <w:r>
        <w:rPr>
          <w:rFonts w:ascii="Arial" w:hAnsi="Arial" w:cs="Arial"/>
          <w:szCs w:val="21"/>
        </w:rPr>
        <w:t>：</w:t>
      </w:r>
    </w:p>
    <w:p w14:paraId="4C27ED80">
      <w:pPr>
        <w:spacing w:line="300" w:lineRule="auto"/>
        <w:rPr>
          <w:rFonts w:ascii="Arial" w:hAnsi="Arial" w:cs="Arial"/>
          <w:szCs w:val="21"/>
          <w:u w:val="single"/>
        </w:rPr>
      </w:pPr>
      <w:r>
        <w:rPr>
          <w:rFonts w:ascii="Arial" w:hAnsi="Arial" w:cs="Arial"/>
          <w:szCs w:val="21"/>
        </w:rPr>
        <w:t>日期：</w:t>
      </w:r>
    </w:p>
    <w:p w14:paraId="64514586">
      <w:pPr>
        <w:rPr>
          <w:rFonts w:hint="eastAsia" w:cs="Arial"/>
          <w:szCs w:val="24"/>
        </w:rPr>
        <w:sectPr>
          <w:pgSz w:w="11905" w:h="16840"/>
          <w:pgMar w:top="1440" w:right="1468" w:bottom="1440" w:left="1797" w:header="851" w:footer="850" w:gutter="0"/>
          <w:cols w:space="720" w:num="1"/>
        </w:sectPr>
      </w:pPr>
    </w:p>
    <w:p w14:paraId="6E940EF8">
      <w:pPr>
        <w:pStyle w:val="5"/>
        <w:numPr>
          <w:ilvl w:val="0"/>
          <w:numId w:val="24"/>
        </w:numPr>
        <w:rPr>
          <w:rFonts w:hint="eastAsia"/>
        </w:rPr>
      </w:pPr>
      <w:bookmarkStart w:id="348" w:name="_Toc155185924"/>
      <w:bookmarkStart w:id="349" w:name="_Toc8780"/>
      <w:r>
        <w:rPr>
          <w:rFonts w:hint="eastAsia"/>
        </w:rPr>
        <w:t>法定代表人（负责人）身份证明</w:t>
      </w:r>
      <w:bookmarkEnd w:id="348"/>
      <w:bookmarkEnd w:id="349"/>
    </w:p>
    <w:p w14:paraId="44EA5462">
      <w:pPr>
        <w:ind w:firstLine="480" w:firstLineChars="200"/>
        <w:rPr>
          <w:rFonts w:hint="eastAsia" w:cs="仿宋_GB2312"/>
          <w:szCs w:val="24"/>
        </w:rPr>
      </w:pPr>
      <w:r>
        <w:rPr>
          <w:rFonts w:hint="eastAsia" w:cs="仿宋_GB2312"/>
          <w:szCs w:val="24"/>
        </w:rPr>
        <w:t>投标供应商名称：</w:t>
      </w:r>
    </w:p>
    <w:p w14:paraId="57BF943C">
      <w:pPr>
        <w:ind w:firstLine="480" w:firstLineChars="200"/>
        <w:rPr>
          <w:rFonts w:hint="eastAsia" w:cs="仿宋_GB2312"/>
          <w:szCs w:val="24"/>
        </w:rPr>
      </w:pPr>
      <w:r>
        <w:rPr>
          <w:rFonts w:hint="eastAsia" w:cs="仿宋_GB2312"/>
          <w:szCs w:val="24"/>
        </w:rPr>
        <w:t xml:space="preserve">单位性质：                                       </w:t>
      </w:r>
    </w:p>
    <w:p w14:paraId="566AA590">
      <w:pPr>
        <w:ind w:firstLine="480" w:firstLineChars="200"/>
        <w:rPr>
          <w:rFonts w:hint="eastAsia" w:cs="仿宋_GB2312"/>
          <w:szCs w:val="24"/>
        </w:rPr>
      </w:pPr>
      <w:r>
        <w:rPr>
          <w:rFonts w:hint="eastAsia" w:cs="仿宋_GB2312"/>
          <w:szCs w:val="24"/>
        </w:rPr>
        <w:t xml:space="preserve">地    址：                                             </w:t>
      </w:r>
    </w:p>
    <w:p w14:paraId="48E46DAE">
      <w:pPr>
        <w:ind w:firstLine="480" w:firstLineChars="200"/>
        <w:rPr>
          <w:rFonts w:hint="eastAsia" w:cs="仿宋_GB2312"/>
          <w:szCs w:val="24"/>
        </w:rPr>
      </w:pPr>
      <w:r>
        <w:rPr>
          <w:rFonts w:hint="eastAsia" w:cs="仿宋_GB2312"/>
          <w:szCs w:val="24"/>
        </w:rPr>
        <w:t xml:space="preserve">成立时间：  </w:t>
      </w:r>
    </w:p>
    <w:p w14:paraId="7B976E4A">
      <w:pPr>
        <w:ind w:firstLine="480" w:firstLineChars="200"/>
        <w:rPr>
          <w:rFonts w:hint="eastAsia" w:cs="仿宋_GB2312"/>
          <w:szCs w:val="24"/>
        </w:rPr>
      </w:pPr>
      <w:r>
        <w:rPr>
          <w:rFonts w:hint="eastAsia" w:cs="仿宋_GB2312"/>
          <w:szCs w:val="24"/>
        </w:rPr>
        <w:t xml:space="preserve">经营期限：                                          </w:t>
      </w:r>
    </w:p>
    <w:p w14:paraId="0E6C81D3">
      <w:pPr>
        <w:ind w:firstLine="480" w:firstLineChars="200"/>
        <w:rPr>
          <w:rFonts w:hint="eastAsia" w:cs="仿宋_GB2312"/>
          <w:szCs w:val="24"/>
        </w:rPr>
      </w:pPr>
      <w:r>
        <w:rPr>
          <w:rFonts w:hint="eastAsia" w:cs="仿宋_GB2312"/>
          <w:szCs w:val="24"/>
        </w:rPr>
        <w:t xml:space="preserve">姓    名：                性别：                   </w:t>
      </w:r>
    </w:p>
    <w:p w14:paraId="5643FB62">
      <w:pPr>
        <w:ind w:firstLine="480" w:firstLineChars="200"/>
        <w:rPr>
          <w:rFonts w:hint="eastAsia" w:cs="仿宋_GB2312"/>
          <w:szCs w:val="24"/>
        </w:rPr>
      </w:pPr>
      <w:r>
        <w:rPr>
          <w:rFonts w:hint="eastAsia" w:cs="仿宋_GB2312"/>
          <w:szCs w:val="24"/>
        </w:rPr>
        <w:t xml:space="preserve">年龄：                    职务：                     </w:t>
      </w:r>
    </w:p>
    <w:p w14:paraId="1A7AF8BA">
      <w:pPr>
        <w:ind w:firstLine="480" w:firstLineChars="200"/>
        <w:rPr>
          <w:rFonts w:hint="eastAsia" w:cs="仿宋_GB2312"/>
          <w:szCs w:val="24"/>
        </w:rPr>
      </w:pPr>
      <w:r>
        <w:rPr>
          <w:rFonts w:hint="eastAsia" w:cs="仿宋_GB2312"/>
          <w:szCs w:val="24"/>
        </w:rPr>
        <w:t>系                      （投标供应商名称）的法定代表人</w:t>
      </w:r>
      <w:r>
        <w:rPr>
          <w:rFonts w:hint="eastAsia"/>
        </w:rPr>
        <w:t>（负责人）</w:t>
      </w:r>
      <w:r>
        <w:rPr>
          <w:rFonts w:hint="eastAsia" w:cs="仿宋_GB2312"/>
          <w:szCs w:val="24"/>
        </w:rPr>
        <w:t xml:space="preserve">。 </w:t>
      </w:r>
    </w:p>
    <w:p w14:paraId="6CA86119">
      <w:pPr>
        <w:ind w:firstLine="480" w:firstLineChars="200"/>
        <w:rPr>
          <w:rFonts w:hint="eastAsia" w:cs="仿宋_GB2312"/>
          <w:szCs w:val="24"/>
        </w:rPr>
      </w:pPr>
      <w:r>
        <w:rPr>
          <w:rFonts w:hint="eastAsia" w:cs="仿宋_GB2312"/>
          <w:szCs w:val="24"/>
        </w:rPr>
        <w:t>特此证明。</w:t>
      </w:r>
    </w:p>
    <w:p w14:paraId="0AEE7027">
      <w:pPr>
        <w:ind w:firstLine="480" w:firstLineChars="200"/>
        <w:rPr>
          <w:rFonts w:hint="eastAsia" w:cs="仿宋_GB2312"/>
          <w:szCs w:val="24"/>
        </w:rPr>
      </w:pPr>
    </w:p>
    <w:p w14:paraId="34883880">
      <w:pPr>
        <w:widowControl/>
        <w:rPr>
          <w:rFonts w:hint="eastAsia"/>
          <w:sz w:val="21"/>
        </w:rPr>
      </w:pPr>
    </w:p>
    <w:p w14:paraId="6C6C7FBA">
      <w:pPr>
        <w:ind w:firstLine="480" w:firstLineChars="200"/>
        <w:rPr>
          <w:rFonts w:hint="eastAsia" w:cs="仿宋_GB2312"/>
          <w:szCs w:val="24"/>
        </w:rPr>
      </w:pPr>
      <w:r>
        <w:rPr>
          <w:rFonts w:hint="eastAsia" w:cs="仿宋_GB2312"/>
          <w:szCs w:val="24"/>
        </w:rPr>
        <w:t>投标供应商名称：（盖章）</w:t>
      </w:r>
    </w:p>
    <w:p w14:paraId="7C5C8867">
      <w:pPr>
        <w:ind w:firstLine="480" w:firstLineChars="200"/>
        <w:rPr>
          <w:rFonts w:hint="eastAsia" w:cs="仿宋_GB2312"/>
          <w:szCs w:val="24"/>
        </w:rPr>
      </w:pPr>
      <w:r>
        <w:rPr>
          <w:rFonts w:hint="eastAsia" w:cs="仿宋_GB2312"/>
          <w:szCs w:val="24"/>
        </w:rPr>
        <w:t>日      期：   年  月  日</w:t>
      </w:r>
    </w:p>
    <w:p w14:paraId="72D08EFC">
      <w:pPr>
        <w:rPr>
          <w:rFonts w:hint="eastAsia" w:cs="Arial"/>
          <w:sz w:val="21"/>
          <w:szCs w:val="21"/>
        </w:rPr>
      </w:pPr>
    </w:p>
    <w:tbl>
      <w:tblPr>
        <w:tblStyle w:val="31"/>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49D07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527" w:type="dxa"/>
          </w:tcPr>
          <w:p w14:paraId="6278B344">
            <w:pPr>
              <w:rPr>
                <w:rFonts w:hint="eastAsia" w:cs="Arial"/>
              </w:rPr>
            </w:pPr>
            <w:r>
              <w:rPr>
                <w:rFonts w:hint="eastAsia" w:cs="仿宋_GB2312"/>
                <w:szCs w:val="24"/>
              </w:rPr>
              <w:t>附：法定代表人</w:t>
            </w:r>
            <w:r>
              <w:rPr>
                <w:rFonts w:hint="eastAsia"/>
              </w:rPr>
              <w:t>（负责人）</w:t>
            </w:r>
            <w:r>
              <w:rPr>
                <w:rFonts w:hint="eastAsia" w:cs="仿宋_GB2312"/>
                <w:szCs w:val="24"/>
              </w:rPr>
              <w:t>身份证复印件</w:t>
            </w:r>
          </w:p>
        </w:tc>
      </w:tr>
    </w:tbl>
    <w:p w14:paraId="5AAF50FA">
      <w:pPr>
        <w:ind w:firstLine="840" w:firstLineChars="350"/>
        <w:jc w:val="center"/>
        <w:rPr>
          <w:rFonts w:hint="eastAsia" w:cs="Arial"/>
        </w:rPr>
      </w:pPr>
    </w:p>
    <w:p w14:paraId="24229FBC">
      <w:pPr>
        <w:rPr>
          <w:rFonts w:hint="eastAsia"/>
          <w:b/>
          <w:sz w:val="28"/>
          <w:szCs w:val="28"/>
        </w:rPr>
      </w:pPr>
      <w:r>
        <w:rPr>
          <w:b/>
          <w:sz w:val="28"/>
          <w:szCs w:val="28"/>
        </w:rPr>
        <w:t>注：法定代表人</w:t>
      </w:r>
      <w:r>
        <w:rPr>
          <w:rFonts w:hint="eastAsia"/>
          <w:b/>
          <w:sz w:val="28"/>
          <w:szCs w:val="28"/>
        </w:rPr>
        <w:t>（负责人）</w:t>
      </w:r>
      <w:r>
        <w:rPr>
          <w:b/>
          <w:sz w:val="28"/>
          <w:szCs w:val="28"/>
        </w:rPr>
        <w:t>参加投标时提供</w:t>
      </w:r>
    </w:p>
    <w:p w14:paraId="52ABC221">
      <w:pPr>
        <w:rPr>
          <w:rFonts w:hint="eastAsia"/>
          <w:b/>
          <w:sz w:val="28"/>
          <w:szCs w:val="28"/>
        </w:rPr>
      </w:pPr>
      <w:r>
        <w:rPr>
          <w:b/>
          <w:sz w:val="28"/>
          <w:szCs w:val="28"/>
        </w:rPr>
        <w:br w:type="page"/>
      </w:r>
    </w:p>
    <w:p w14:paraId="4B42DF68">
      <w:pPr>
        <w:pStyle w:val="5"/>
        <w:numPr>
          <w:ilvl w:val="0"/>
          <w:numId w:val="24"/>
        </w:numPr>
        <w:rPr>
          <w:rFonts w:hint="eastAsia"/>
        </w:rPr>
      </w:pPr>
      <w:bookmarkStart w:id="350" w:name="_Toc6481"/>
      <w:bookmarkStart w:id="351" w:name="_Toc155185925"/>
      <w:r>
        <w:rPr>
          <w:rFonts w:hint="eastAsia"/>
        </w:rPr>
        <w:t>法定代表人（负责人）授权书</w:t>
      </w:r>
      <w:bookmarkEnd w:id="350"/>
      <w:bookmarkEnd w:id="351"/>
    </w:p>
    <w:p w14:paraId="4E22A321">
      <w:pPr>
        <w:ind w:firstLine="480" w:firstLineChars="200"/>
        <w:rPr>
          <w:rFonts w:hint="eastAsia" w:cs="仿宋_GB2312"/>
          <w:szCs w:val="24"/>
        </w:rPr>
      </w:pPr>
      <w:r>
        <w:rPr>
          <w:rFonts w:hint="eastAsia" w:cs="仿宋_GB2312"/>
          <w:szCs w:val="24"/>
        </w:rPr>
        <w:t>本人</w:t>
      </w:r>
      <w:r>
        <w:rPr>
          <w:rFonts w:cs="仿宋_GB2312"/>
          <w:szCs w:val="24"/>
          <w:u w:val="single"/>
        </w:rPr>
        <w:t xml:space="preserve">     </w:t>
      </w:r>
      <w:r>
        <w:rPr>
          <w:rFonts w:hint="eastAsia" w:cs="仿宋_GB2312"/>
          <w:szCs w:val="24"/>
          <w:u w:val="single"/>
        </w:rPr>
        <w:t>（姓名）</w:t>
      </w:r>
      <w:r>
        <w:rPr>
          <w:rFonts w:hint="eastAsia" w:cs="仿宋_GB2312"/>
          <w:szCs w:val="24"/>
        </w:rPr>
        <w:t>系</w:t>
      </w:r>
      <w:r>
        <w:rPr>
          <w:rFonts w:hint="eastAsia" w:cs="仿宋_GB2312"/>
          <w:szCs w:val="24"/>
          <w:u w:val="single"/>
        </w:rPr>
        <w:t xml:space="preserve">     （投标供应商名称）</w:t>
      </w:r>
      <w:r>
        <w:rPr>
          <w:rFonts w:hint="eastAsia" w:cs="仿宋_GB2312"/>
          <w:szCs w:val="24"/>
        </w:rPr>
        <w:t>的法定代表人</w:t>
      </w:r>
      <w:r>
        <w:rPr>
          <w:rFonts w:hint="eastAsia"/>
        </w:rPr>
        <w:t>（负责人）</w:t>
      </w:r>
      <w:r>
        <w:rPr>
          <w:rFonts w:hint="eastAsia" w:cs="仿宋_GB2312"/>
          <w:szCs w:val="24"/>
        </w:rPr>
        <w:t>，现委托</w:t>
      </w:r>
      <w:r>
        <w:rPr>
          <w:rFonts w:hint="eastAsia" w:cs="仿宋_GB2312"/>
          <w:szCs w:val="24"/>
          <w:u w:val="single"/>
        </w:rPr>
        <w:t xml:space="preserve">     </w:t>
      </w:r>
      <w:r>
        <w:rPr>
          <w:rFonts w:hint="eastAsia" w:cs="仿宋_GB2312"/>
          <w:szCs w:val="24"/>
        </w:rPr>
        <w:t>（姓名）为我方代理人。代理人根据授权，以我方名义签署、澄清、说明、补正、递交、撤回、修改</w:t>
      </w:r>
      <w:r>
        <w:rPr>
          <w:rFonts w:hint="eastAsia" w:cs="仿宋_GB2312"/>
          <w:szCs w:val="24"/>
          <w:u w:val="single"/>
        </w:rPr>
        <w:t xml:space="preserve">     </w:t>
      </w:r>
      <w:r>
        <w:rPr>
          <w:rFonts w:hint="eastAsia" w:cs="仿宋_GB2312"/>
          <w:szCs w:val="24"/>
        </w:rPr>
        <w:t>（项目名称）投标文件、签订合同和处理有关事宜，其法律后果由我方承担。</w:t>
      </w:r>
    </w:p>
    <w:p w14:paraId="67ED1A2E">
      <w:pPr>
        <w:ind w:firstLine="480" w:firstLineChars="200"/>
        <w:rPr>
          <w:rFonts w:hint="eastAsia" w:cs="仿宋_GB2312"/>
          <w:szCs w:val="24"/>
        </w:rPr>
      </w:pPr>
      <w:r>
        <w:rPr>
          <w:rFonts w:hint="eastAsia" w:cs="仿宋_GB2312"/>
          <w:szCs w:val="24"/>
        </w:rPr>
        <w:t xml:space="preserve">委托期限：                   </w:t>
      </w:r>
    </w:p>
    <w:p w14:paraId="68395F42">
      <w:pPr>
        <w:ind w:firstLine="480" w:firstLineChars="200"/>
        <w:rPr>
          <w:rFonts w:hint="eastAsia" w:cs="仿宋_GB2312"/>
          <w:szCs w:val="24"/>
        </w:rPr>
      </w:pPr>
      <w:r>
        <w:rPr>
          <w:rFonts w:hint="eastAsia" w:cs="仿宋_GB2312"/>
          <w:szCs w:val="24"/>
        </w:rPr>
        <w:t>代理人无转委托权。</w:t>
      </w:r>
    </w:p>
    <w:p w14:paraId="4544038C">
      <w:pPr>
        <w:ind w:firstLine="480" w:firstLineChars="200"/>
        <w:rPr>
          <w:rFonts w:hint="eastAsia" w:cs="仿宋_GB2312"/>
          <w:szCs w:val="24"/>
        </w:rPr>
      </w:pPr>
      <w:r>
        <w:rPr>
          <w:rFonts w:hint="eastAsia" w:cs="仿宋_GB2312"/>
          <w:szCs w:val="24"/>
        </w:rPr>
        <w:t>附：法定代表人</w:t>
      </w:r>
      <w:r>
        <w:rPr>
          <w:rFonts w:hint="eastAsia"/>
        </w:rPr>
        <w:t>（负责人）</w:t>
      </w:r>
      <w:r>
        <w:rPr>
          <w:rFonts w:hint="eastAsia" w:cs="仿宋_GB2312"/>
          <w:szCs w:val="24"/>
        </w:rPr>
        <w:t>身份证明</w:t>
      </w:r>
    </w:p>
    <w:p w14:paraId="1A76DC19">
      <w:pPr>
        <w:ind w:firstLine="480" w:firstLineChars="200"/>
        <w:rPr>
          <w:rFonts w:hint="eastAsia" w:cs="仿宋_GB2312"/>
          <w:szCs w:val="24"/>
        </w:rPr>
      </w:pPr>
    </w:p>
    <w:p w14:paraId="09DB4E69">
      <w:pPr>
        <w:ind w:firstLine="480" w:firstLineChars="200"/>
        <w:rPr>
          <w:rFonts w:hint="eastAsia" w:cs="仿宋_GB2312"/>
          <w:szCs w:val="24"/>
        </w:rPr>
      </w:pPr>
      <w:r>
        <w:rPr>
          <w:rFonts w:hint="eastAsia" w:cs="仿宋_GB2312"/>
          <w:szCs w:val="24"/>
        </w:rPr>
        <w:t>投标供应商：（盖单位章）</w:t>
      </w:r>
    </w:p>
    <w:p w14:paraId="24C94689">
      <w:pPr>
        <w:ind w:firstLine="480" w:firstLineChars="200"/>
        <w:rPr>
          <w:rFonts w:hint="eastAsia" w:cs="仿宋_GB2312"/>
          <w:szCs w:val="24"/>
        </w:rPr>
      </w:pPr>
      <w:r>
        <w:rPr>
          <w:rFonts w:hint="eastAsia" w:cs="仿宋_GB2312"/>
          <w:szCs w:val="24"/>
        </w:rPr>
        <w:t>法定代表人</w:t>
      </w:r>
      <w:r>
        <w:rPr>
          <w:rFonts w:hint="eastAsia"/>
        </w:rPr>
        <w:t>（负责人）</w:t>
      </w:r>
      <w:r>
        <w:rPr>
          <w:rFonts w:hint="eastAsia" w:cs="仿宋_GB2312"/>
          <w:szCs w:val="24"/>
        </w:rPr>
        <w:t>：</w:t>
      </w:r>
    </w:p>
    <w:p w14:paraId="40C52CE0">
      <w:pPr>
        <w:ind w:firstLine="480" w:firstLineChars="200"/>
        <w:rPr>
          <w:rFonts w:hint="eastAsia" w:cs="仿宋_GB2312"/>
          <w:szCs w:val="24"/>
        </w:rPr>
      </w:pPr>
      <w:r>
        <w:rPr>
          <w:rFonts w:hint="eastAsia" w:cs="仿宋_GB2312"/>
          <w:szCs w:val="24"/>
        </w:rPr>
        <w:t xml:space="preserve">身份证号码：   </w:t>
      </w:r>
    </w:p>
    <w:p w14:paraId="4651214F">
      <w:pPr>
        <w:ind w:firstLine="480" w:firstLineChars="200"/>
        <w:rPr>
          <w:rFonts w:hint="eastAsia" w:cs="仿宋_GB2312"/>
          <w:szCs w:val="24"/>
        </w:rPr>
      </w:pPr>
      <w:r>
        <w:rPr>
          <w:rFonts w:hint="eastAsia" w:cs="仿宋_GB2312"/>
          <w:szCs w:val="24"/>
        </w:rPr>
        <w:t>委托代理人：</w:t>
      </w:r>
      <w:r>
        <w:rPr>
          <w:rFonts w:cs="仿宋_GB2312"/>
          <w:szCs w:val="24"/>
        </w:rPr>
        <w:t xml:space="preserve"> </w:t>
      </w:r>
    </w:p>
    <w:p w14:paraId="2D4FDD95">
      <w:pPr>
        <w:ind w:firstLine="480" w:firstLineChars="200"/>
        <w:rPr>
          <w:rFonts w:hint="eastAsia" w:cs="仿宋_GB2312"/>
          <w:szCs w:val="24"/>
        </w:rPr>
      </w:pPr>
      <w:r>
        <w:rPr>
          <w:rFonts w:hint="eastAsia" w:cs="仿宋_GB2312"/>
          <w:szCs w:val="24"/>
        </w:rPr>
        <w:t>身份证号码：</w:t>
      </w:r>
    </w:p>
    <w:p w14:paraId="44172044">
      <w:pPr>
        <w:ind w:firstLine="480" w:firstLineChars="200"/>
        <w:rPr>
          <w:rFonts w:hint="eastAsia" w:cs="仿宋_GB2312"/>
          <w:szCs w:val="24"/>
        </w:rPr>
      </w:pPr>
      <w:r>
        <w:rPr>
          <w:rFonts w:hint="eastAsia" w:cs="仿宋_GB2312"/>
          <w:szCs w:val="24"/>
        </w:rPr>
        <w:t>日      期：</w:t>
      </w:r>
    </w:p>
    <w:p w14:paraId="39D78D35">
      <w:pPr>
        <w:pStyle w:val="43"/>
        <w:spacing w:line="300" w:lineRule="auto"/>
        <w:ind w:right="480" w:firstLine="3990" w:firstLineChars="1900"/>
        <w:rPr>
          <w:rFonts w:hint="eastAsia" w:ascii="宋体" w:hAnsi="宋体" w:cs="Arial"/>
          <w:sz w:val="21"/>
          <w:szCs w:val="21"/>
        </w:rPr>
      </w:pPr>
    </w:p>
    <w:p w14:paraId="56991A91">
      <w:pPr>
        <w:rPr>
          <w:rFonts w:hint="eastAsia" w:cs="Arial"/>
        </w:rPr>
      </w:pPr>
    </w:p>
    <w:tbl>
      <w:tblPr>
        <w:tblStyle w:val="31"/>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0F659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527" w:type="dxa"/>
          </w:tcPr>
          <w:p w14:paraId="608D3AF3">
            <w:pPr>
              <w:rPr>
                <w:rFonts w:hint="eastAsia" w:cs="Arial"/>
              </w:rPr>
            </w:pPr>
            <w:r>
              <w:rPr>
                <w:rFonts w:hint="eastAsia" w:cs="仿宋_GB2312"/>
                <w:szCs w:val="24"/>
              </w:rPr>
              <w:t>附：法定代表人</w:t>
            </w:r>
            <w:r>
              <w:rPr>
                <w:rFonts w:hint="eastAsia"/>
              </w:rPr>
              <w:t>（负责人）</w:t>
            </w:r>
            <w:r>
              <w:rPr>
                <w:rFonts w:hint="eastAsia" w:cs="仿宋_GB2312"/>
                <w:szCs w:val="24"/>
              </w:rPr>
              <w:t>和授权代表身份证复印件(正反面)</w:t>
            </w:r>
          </w:p>
        </w:tc>
      </w:tr>
    </w:tbl>
    <w:p w14:paraId="07F5BAF9">
      <w:pPr>
        <w:rPr>
          <w:rFonts w:hint="eastAsia"/>
          <w:b/>
          <w:sz w:val="28"/>
          <w:szCs w:val="28"/>
        </w:rPr>
      </w:pPr>
      <w:r>
        <w:rPr>
          <w:b/>
          <w:sz w:val="28"/>
          <w:szCs w:val="28"/>
        </w:rPr>
        <w:t>注：</w:t>
      </w:r>
      <w:r>
        <w:rPr>
          <w:rFonts w:hint="eastAsia"/>
          <w:b/>
          <w:sz w:val="28"/>
          <w:szCs w:val="28"/>
        </w:rPr>
        <w:t>授权</w:t>
      </w:r>
      <w:r>
        <w:rPr>
          <w:b/>
          <w:sz w:val="28"/>
          <w:szCs w:val="28"/>
        </w:rPr>
        <w:t>代表人参加投标时提供</w:t>
      </w:r>
    </w:p>
    <w:p w14:paraId="65F98C59">
      <w:pPr>
        <w:rPr>
          <w:rFonts w:hint="eastAsia"/>
        </w:rPr>
      </w:pPr>
      <w:r>
        <w:br w:type="page"/>
      </w:r>
    </w:p>
    <w:p w14:paraId="783B7CED">
      <w:pPr>
        <w:pStyle w:val="4"/>
        <w:numPr>
          <w:ilvl w:val="0"/>
          <w:numId w:val="23"/>
        </w:numPr>
        <w:rPr>
          <w:rFonts w:hint="eastAsia"/>
          <w:lang w:val="zh-CN"/>
        </w:rPr>
      </w:pPr>
      <w:bookmarkStart w:id="352" w:name="_Toc8743"/>
      <w:bookmarkStart w:id="353" w:name="_Toc155185926"/>
      <w:r>
        <w:rPr>
          <w:rFonts w:hint="eastAsia"/>
          <w:lang w:val="zh-CN"/>
        </w:rPr>
        <w:t>资格证明文件</w:t>
      </w:r>
      <w:bookmarkEnd w:id="352"/>
      <w:bookmarkEnd w:id="353"/>
    </w:p>
    <w:p w14:paraId="5A593470">
      <w:pPr>
        <w:ind w:firstLine="480" w:firstLineChars="200"/>
        <w:rPr>
          <w:rFonts w:hint="eastAsia" w:cs="仿宋_GB2312"/>
          <w:szCs w:val="24"/>
          <w:lang w:val="zh-CN"/>
        </w:rPr>
      </w:pPr>
      <w:r>
        <w:rPr>
          <w:rFonts w:hint="eastAsia" w:cs="仿宋_GB2312"/>
          <w:szCs w:val="24"/>
          <w:lang w:val="zh-CN"/>
        </w:rPr>
        <w:t>封面：</w:t>
      </w:r>
    </w:p>
    <w:p w14:paraId="5244957F">
      <w:pPr>
        <w:autoSpaceDE w:val="0"/>
        <w:autoSpaceDN w:val="0"/>
        <w:adjustRightInd w:val="0"/>
        <w:rPr>
          <w:rFonts w:hint="eastAsia"/>
          <w:sz w:val="21"/>
          <w:szCs w:val="24"/>
        </w:rPr>
      </w:pPr>
    </w:p>
    <w:p w14:paraId="77D35AFB">
      <w:pPr>
        <w:autoSpaceDE w:val="0"/>
        <w:autoSpaceDN w:val="0"/>
        <w:adjustRightInd w:val="0"/>
        <w:rPr>
          <w:rFonts w:hint="eastAsia"/>
          <w:sz w:val="21"/>
          <w:szCs w:val="24"/>
        </w:rPr>
      </w:pPr>
    </w:p>
    <w:p w14:paraId="4E1025D4">
      <w:pPr>
        <w:autoSpaceDE w:val="0"/>
        <w:autoSpaceDN w:val="0"/>
        <w:adjustRightInd w:val="0"/>
        <w:jc w:val="center"/>
        <w:rPr>
          <w:rFonts w:hint="eastAsia"/>
          <w:sz w:val="21"/>
          <w:szCs w:val="24"/>
        </w:rPr>
      </w:pPr>
    </w:p>
    <w:p w14:paraId="6633CC3A">
      <w:pPr>
        <w:autoSpaceDE w:val="0"/>
        <w:autoSpaceDN w:val="0"/>
        <w:adjustRightInd w:val="0"/>
        <w:jc w:val="center"/>
        <w:rPr>
          <w:rFonts w:hint="eastAsia"/>
          <w:b/>
          <w:sz w:val="84"/>
          <w:szCs w:val="84"/>
        </w:rPr>
      </w:pPr>
      <w:r>
        <w:rPr>
          <w:rFonts w:hint="eastAsia"/>
          <w:b/>
          <w:sz w:val="84"/>
          <w:szCs w:val="84"/>
        </w:rPr>
        <w:t>投 标 文 件</w:t>
      </w:r>
    </w:p>
    <w:p w14:paraId="47EC9AE5">
      <w:pPr>
        <w:autoSpaceDE w:val="0"/>
        <w:autoSpaceDN w:val="0"/>
        <w:adjustRightInd w:val="0"/>
        <w:jc w:val="center"/>
        <w:rPr>
          <w:rFonts w:hint="eastAsia"/>
          <w:b/>
          <w:sz w:val="56"/>
          <w:szCs w:val="56"/>
        </w:rPr>
      </w:pPr>
      <w:r>
        <w:rPr>
          <w:rFonts w:hint="eastAsia"/>
          <w:b/>
          <w:sz w:val="56"/>
          <w:szCs w:val="56"/>
        </w:rPr>
        <w:t>资格证明文件</w:t>
      </w:r>
    </w:p>
    <w:p w14:paraId="671A7F7A">
      <w:pPr>
        <w:autoSpaceDE w:val="0"/>
        <w:autoSpaceDN w:val="0"/>
        <w:adjustRightInd w:val="0"/>
        <w:rPr>
          <w:rFonts w:hint="eastAsia"/>
          <w:b/>
          <w:bCs/>
          <w:sz w:val="22"/>
        </w:rPr>
      </w:pPr>
    </w:p>
    <w:p w14:paraId="288A0E91">
      <w:pPr>
        <w:autoSpaceDE w:val="0"/>
        <w:autoSpaceDN w:val="0"/>
        <w:adjustRightInd w:val="0"/>
        <w:rPr>
          <w:rFonts w:hint="eastAsia"/>
          <w:sz w:val="21"/>
          <w:szCs w:val="21"/>
        </w:rPr>
      </w:pPr>
    </w:p>
    <w:p w14:paraId="424A2F1A">
      <w:pPr>
        <w:autoSpaceDE w:val="0"/>
        <w:autoSpaceDN w:val="0"/>
        <w:adjustRightInd w:val="0"/>
        <w:rPr>
          <w:rFonts w:hint="eastAsia"/>
          <w:sz w:val="21"/>
          <w:szCs w:val="21"/>
        </w:rPr>
      </w:pPr>
    </w:p>
    <w:p w14:paraId="46B8EFC7">
      <w:pPr>
        <w:autoSpaceDE w:val="0"/>
        <w:autoSpaceDN w:val="0"/>
        <w:adjustRightInd w:val="0"/>
        <w:rPr>
          <w:rFonts w:hint="eastAsia"/>
          <w:sz w:val="21"/>
          <w:szCs w:val="21"/>
        </w:rPr>
      </w:pPr>
    </w:p>
    <w:p w14:paraId="1CE74CB1">
      <w:pPr>
        <w:ind w:left="420" w:leftChars="175"/>
        <w:rPr>
          <w:rFonts w:hint="eastAsia" w:ascii="黑体" w:hAnsi="黑体" w:eastAsia="黑体"/>
          <w:sz w:val="32"/>
          <w:szCs w:val="32"/>
        </w:rPr>
      </w:pPr>
      <w:r>
        <w:rPr>
          <w:rFonts w:hint="eastAsia" w:ascii="黑体" w:hAnsi="黑体" w:eastAsia="黑体"/>
          <w:sz w:val="32"/>
          <w:szCs w:val="32"/>
        </w:rPr>
        <w:t>采购计划备案号：</w:t>
      </w:r>
      <w:r>
        <w:rPr>
          <w:rFonts w:ascii="黑体" w:hAnsi="黑体" w:eastAsia="黑体"/>
          <w:sz w:val="32"/>
          <w:szCs w:val="32"/>
          <w:u w:val="single"/>
        </w:rPr>
        <w:t xml:space="preserve">                                 </w:t>
      </w:r>
    </w:p>
    <w:p w14:paraId="1EBBBE5B">
      <w:pPr>
        <w:ind w:left="420" w:leftChars="175"/>
        <w:rPr>
          <w:rFonts w:hint="default" w:ascii="黑体" w:hAnsi="黑体" w:eastAsia="黑体"/>
          <w:sz w:val="32"/>
          <w:szCs w:val="32"/>
          <w:lang w:val="en-US" w:eastAsia="zh-CN"/>
        </w:rPr>
      </w:pPr>
      <w:r>
        <w:rPr>
          <w:rFonts w:hint="eastAsia" w:ascii="黑体" w:hAnsi="黑体" w:eastAsia="黑体"/>
          <w:sz w:val="32"/>
          <w:szCs w:val="32"/>
        </w:rPr>
        <w:t>项目编号：</w:t>
      </w:r>
      <w:r>
        <w:rPr>
          <w:rFonts w:hint="eastAsia" w:ascii="黑体" w:hAnsi="黑体" w:eastAsia="黑体"/>
          <w:sz w:val="32"/>
          <w:szCs w:val="32"/>
          <w:u w:val="single"/>
          <w:lang w:val="en-US" w:eastAsia="zh-CN"/>
        </w:rPr>
        <w:t xml:space="preserve">                                </w:t>
      </w:r>
    </w:p>
    <w:p w14:paraId="49CC5119">
      <w:pPr>
        <w:ind w:left="420" w:leftChars="175"/>
        <w:rPr>
          <w:rFonts w:hint="eastAsia" w:ascii="黑体" w:hAnsi="黑体" w:eastAsia="黑体"/>
          <w:sz w:val="32"/>
          <w:szCs w:val="32"/>
        </w:rPr>
      </w:pPr>
      <w:r>
        <w:rPr>
          <w:rFonts w:hint="eastAsia" w:ascii="黑体" w:hAnsi="黑体" w:eastAsia="黑体"/>
          <w:sz w:val="32"/>
          <w:szCs w:val="32"/>
        </w:rPr>
        <w:t>投标供应商：</w:t>
      </w:r>
      <w:r>
        <w:rPr>
          <w:rFonts w:ascii="黑体" w:hAnsi="黑体" w:eastAsia="黑体"/>
          <w:sz w:val="32"/>
          <w:szCs w:val="32"/>
          <w:u w:val="single"/>
        </w:rPr>
        <w:t xml:space="preserve">                                     </w:t>
      </w:r>
    </w:p>
    <w:p w14:paraId="444121E2">
      <w:pPr>
        <w:ind w:left="840" w:firstLine="420"/>
        <w:rPr>
          <w:rFonts w:hint="eastAsia"/>
          <w:b/>
          <w:bCs/>
          <w:sz w:val="28"/>
          <w:szCs w:val="28"/>
        </w:rPr>
      </w:pPr>
    </w:p>
    <w:p w14:paraId="53912286">
      <w:pPr>
        <w:ind w:left="840" w:firstLine="420"/>
        <w:rPr>
          <w:rFonts w:hint="eastAsia"/>
          <w:b/>
          <w:bCs/>
          <w:sz w:val="28"/>
          <w:szCs w:val="28"/>
        </w:rPr>
      </w:pPr>
    </w:p>
    <w:p w14:paraId="26772BAF">
      <w:pPr>
        <w:ind w:left="840" w:firstLine="420"/>
        <w:rPr>
          <w:rFonts w:hint="eastAsia"/>
          <w:b/>
          <w:bCs/>
          <w:sz w:val="28"/>
          <w:szCs w:val="28"/>
        </w:rPr>
      </w:pPr>
    </w:p>
    <w:p w14:paraId="72370667">
      <w:pPr>
        <w:jc w:val="center"/>
        <w:rPr>
          <w:rFonts w:hint="eastAsia" w:ascii="黑体" w:hAnsi="黑体" w:eastAsia="黑体"/>
          <w:sz w:val="32"/>
          <w:szCs w:val="32"/>
        </w:rPr>
      </w:pPr>
      <w:r>
        <w:rPr>
          <w:rFonts w:hint="eastAsia" w:ascii="黑体" w:hAnsi="黑体" w:eastAsia="黑体"/>
          <w:sz w:val="32"/>
          <w:szCs w:val="32"/>
        </w:rPr>
        <w:t xml:space="preserve">年 </w:t>
      </w:r>
      <w:r>
        <w:rPr>
          <w:rFonts w:ascii="黑体" w:hAnsi="黑体" w:eastAsia="黑体"/>
          <w:sz w:val="32"/>
          <w:szCs w:val="32"/>
        </w:rPr>
        <w:t xml:space="preserve">  </w:t>
      </w:r>
      <w:r>
        <w:rPr>
          <w:rFonts w:hint="eastAsia" w:ascii="黑体" w:hAnsi="黑体" w:eastAsia="黑体"/>
          <w:sz w:val="32"/>
          <w:szCs w:val="32"/>
        </w:rPr>
        <w:t xml:space="preserve">月 </w:t>
      </w:r>
      <w:r>
        <w:rPr>
          <w:rFonts w:ascii="黑体" w:hAnsi="黑体" w:eastAsia="黑体"/>
          <w:sz w:val="32"/>
          <w:szCs w:val="32"/>
        </w:rPr>
        <w:t xml:space="preserve">   </w:t>
      </w:r>
      <w:r>
        <w:rPr>
          <w:rFonts w:hint="eastAsia" w:ascii="黑体" w:hAnsi="黑体" w:eastAsia="黑体"/>
          <w:sz w:val="32"/>
          <w:szCs w:val="32"/>
        </w:rPr>
        <w:t>日</w:t>
      </w:r>
    </w:p>
    <w:p w14:paraId="2C4FB741">
      <w:pPr>
        <w:rPr>
          <w:rFonts w:hint="eastAsia"/>
          <w:lang w:val="zh-CN"/>
        </w:rPr>
      </w:pPr>
      <w:r>
        <w:rPr>
          <w:lang w:val="zh-CN"/>
        </w:rPr>
        <w:br w:type="page"/>
      </w:r>
    </w:p>
    <w:p w14:paraId="3F97D3B8">
      <w:pPr>
        <w:pStyle w:val="5"/>
        <w:numPr>
          <w:ilvl w:val="0"/>
          <w:numId w:val="27"/>
        </w:numPr>
        <w:rPr>
          <w:rFonts w:hint="eastAsia"/>
        </w:rPr>
      </w:pPr>
      <w:bookmarkStart w:id="354" w:name="_Toc10600"/>
      <w:bookmarkStart w:id="355" w:name="_Toc155185927"/>
      <w:r>
        <w:rPr>
          <w:rFonts w:hint="eastAsia"/>
        </w:rPr>
        <w:t>企业法人营业执照、事业单位法人证书或团体组织法人证书</w:t>
      </w:r>
      <w:bookmarkEnd w:id="354"/>
      <w:bookmarkEnd w:id="355"/>
    </w:p>
    <w:p w14:paraId="543006E4">
      <w:pPr>
        <w:rPr>
          <w:rFonts w:hint="eastAsia"/>
        </w:rPr>
      </w:pPr>
    </w:p>
    <w:p w14:paraId="2C8B666D">
      <w:pPr>
        <w:pStyle w:val="5"/>
        <w:numPr>
          <w:ilvl w:val="0"/>
          <w:numId w:val="27"/>
        </w:numPr>
        <w:rPr>
          <w:rFonts w:hint="eastAsia"/>
        </w:rPr>
      </w:pPr>
      <w:bookmarkStart w:id="356" w:name="_Toc11275"/>
      <w:bookmarkStart w:id="357" w:name="_Toc155185928"/>
      <w:r>
        <w:rPr>
          <w:rFonts w:hint="eastAsia"/>
        </w:rPr>
        <w:t>资格条件承诺书</w:t>
      </w:r>
      <w:bookmarkEnd w:id="356"/>
      <w:bookmarkEnd w:id="357"/>
    </w:p>
    <w:p w14:paraId="6D5150BD">
      <w:pPr>
        <w:adjustRightInd w:val="0"/>
        <w:snapToGrid w:val="0"/>
        <w:rPr>
          <w:rFonts w:hint="eastAsia"/>
          <w:szCs w:val="21"/>
        </w:rPr>
      </w:pPr>
      <w:bookmarkStart w:id="358" w:name="_Hlk161693574"/>
      <w:bookmarkStart w:id="359" w:name="_Hlk161693525"/>
      <w:r>
        <w:rPr>
          <w:rFonts w:hint="eastAsia"/>
          <w:szCs w:val="21"/>
        </w:rPr>
        <w:t>致</w:t>
      </w:r>
      <w:r>
        <w:rPr>
          <w:rFonts w:cs="Arial"/>
          <w:szCs w:val="21"/>
        </w:rPr>
        <w:t>：</w:t>
      </w:r>
      <w:r>
        <w:rPr>
          <w:rFonts w:hint="eastAsia" w:cs="Arial"/>
          <w:szCs w:val="21"/>
          <w:u w:val="single"/>
        </w:rPr>
        <w:t>采购人/采购代理机构</w:t>
      </w:r>
    </w:p>
    <w:p w14:paraId="4CB86C53">
      <w:pPr>
        <w:adjustRightInd w:val="0"/>
        <w:snapToGrid w:val="0"/>
        <w:ind w:firstLine="480" w:firstLineChars="200"/>
        <w:rPr>
          <w:rFonts w:hint="eastAsia"/>
          <w:szCs w:val="21"/>
        </w:rPr>
      </w:pPr>
      <w:r>
        <w:rPr>
          <w:rFonts w:hint="eastAsia"/>
          <w:szCs w:val="21"/>
        </w:rPr>
        <w:t>我方承诺完全</w:t>
      </w:r>
      <w:r>
        <w:rPr>
          <w:szCs w:val="21"/>
        </w:rPr>
        <w:t>满足</w:t>
      </w:r>
      <w:r>
        <w:rPr>
          <w:rFonts w:hint="eastAsia"/>
          <w:szCs w:val="21"/>
        </w:rPr>
        <w:t>招标文件对投标供应商的资格要求：</w:t>
      </w:r>
    </w:p>
    <w:p w14:paraId="62798EEF">
      <w:pPr>
        <w:adjustRightInd w:val="0"/>
        <w:snapToGrid w:val="0"/>
        <w:ind w:firstLine="480" w:firstLineChars="200"/>
        <w:rPr>
          <w:rFonts w:hint="eastAsia" w:cs="宋体"/>
          <w:szCs w:val="21"/>
        </w:rPr>
      </w:pPr>
      <w:r>
        <w:rPr>
          <w:rFonts w:hint="eastAsia" w:cs="宋体"/>
          <w:szCs w:val="21"/>
        </w:rPr>
        <w:t>1.满足《中华人民共和国政府采购法》第二十二条规定；</w:t>
      </w:r>
    </w:p>
    <w:p w14:paraId="4910D6DF">
      <w:pPr>
        <w:widowControl/>
        <w:adjustRightInd w:val="0"/>
        <w:snapToGrid w:val="0"/>
        <w:ind w:firstLine="420"/>
        <w:rPr>
          <w:rFonts w:hint="eastAsia" w:cs="Segoe UI"/>
          <w:szCs w:val="21"/>
        </w:rPr>
      </w:pPr>
      <w:r>
        <w:rPr>
          <w:rFonts w:hint="eastAsia" w:cs="Segoe UI"/>
          <w:szCs w:val="21"/>
        </w:rPr>
        <w:t>（1）</w:t>
      </w:r>
      <w:r>
        <w:rPr>
          <w:rFonts w:cs="Segoe UI"/>
          <w:szCs w:val="21"/>
        </w:rPr>
        <w:t>具有独立承担民事责任的能力；</w:t>
      </w:r>
    </w:p>
    <w:p w14:paraId="25F32FA8">
      <w:pPr>
        <w:widowControl/>
        <w:adjustRightInd w:val="0"/>
        <w:snapToGrid w:val="0"/>
        <w:ind w:firstLine="420"/>
        <w:rPr>
          <w:rFonts w:hint="eastAsia" w:cs="Segoe UI"/>
          <w:szCs w:val="21"/>
        </w:rPr>
      </w:pPr>
      <w:r>
        <w:rPr>
          <w:rFonts w:hint="eastAsia" w:cs="Segoe UI"/>
          <w:szCs w:val="21"/>
        </w:rPr>
        <w:t>（2）</w:t>
      </w:r>
      <w:r>
        <w:rPr>
          <w:rFonts w:cs="Segoe UI"/>
          <w:szCs w:val="21"/>
        </w:rPr>
        <w:t>具有良好的商业信誉和健全的财务会计制度</w:t>
      </w:r>
      <w:r>
        <w:rPr>
          <w:rFonts w:hint="eastAsia" w:cs="Segoe UI"/>
          <w:szCs w:val="21"/>
        </w:rPr>
        <w:t>；</w:t>
      </w:r>
    </w:p>
    <w:p w14:paraId="43CFD149">
      <w:pPr>
        <w:widowControl/>
        <w:adjustRightInd w:val="0"/>
        <w:snapToGrid w:val="0"/>
        <w:ind w:firstLine="420"/>
        <w:rPr>
          <w:rFonts w:hint="eastAsia" w:cs="Segoe UI"/>
          <w:szCs w:val="21"/>
        </w:rPr>
      </w:pPr>
      <w:r>
        <w:rPr>
          <w:rFonts w:hint="eastAsia" w:cs="Segoe UI"/>
          <w:szCs w:val="21"/>
        </w:rPr>
        <w:t>（3）</w:t>
      </w:r>
      <w:r>
        <w:rPr>
          <w:rFonts w:cs="Segoe UI"/>
          <w:szCs w:val="21"/>
        </w:rPr>
        <w:t>具有履行合同所必需的设备和专业技术能力；</w:t>
      </w:r>
    </w:p>
    <w:p w14:paraId="7A7A5119">
      <w:pPr>
        <w:widowControl/>
        <w:adjustRightInd w:val="0"/>
        <w:snapToGrid w:val="0"/>
        <w:ind w:firstLine="420"/>
        <w:rPr>
          <w:rFonts w:hint="eastAsia" w:cs="Segoe UI"/>
          <w:szCs w:val="21"/>
        </w:rPr>
      </w:pPr>
      <w:r>
        <w:rPr>
          <w:rFonts w:hint="eastAsia" w:cs="Segoe UI"/>
          <w:szCs w:val="21"/>
        </w:rPr>
        <w:t>（4）</w:t>
      </w:r>
      <w:r>
        <w:rPr>
          <w:rFonts w:cs="Segoe UI"/>
          <w:szCs w:val="21"/>
        </w:rPr>
        <w:t>有依法缴纳税收和社会保障资金的良好记录；</w:t>
      </w:r>
    </w:p>
    <w:p w14:paraId="39F03356">
      <w:pPr>
        <w:widowControl/>
        <w:adjustRightInd w:val="0"/>
        <w:snapToGrid w:val="0"/>
        <w:ind w:firstLine="420"/>
        <w:rPr>
          <w:rFonts w:hint="eastAsia" w:cs="Segoe UI"/>
          <w:szCs w:val="21"/>
        </w:rPr>
      </w:pPr>
      <w:r>
        <w:rPr>
          <w:rFonts w:hint="eastAsia" w:cs="Segoe UI"/>
          <w:szCs w:val="21"/>
        </w:rPr>
        <w:t>（5）</w:t>
      </w:r>
      <w:r>
        <w:rPr>
          <w:rFonts w:cs="Segoe UI"/>
          <w:szCs w:val="21"/>
        </w:rPr>
        <w:t>参加政府采购活动前三年内，在经营活动中没有重大违法记录：</w:t>
      </w:r>
    </w:p>
    <w:p w14:paraId="3ABEF3BB">
      <w:pPr>
        <w:pStyle w:val="38"/>
        <w:numPr>
          <w:ilvl w:val="0"/>
          <w:numId w:val="28"/>
        </w:numPr>
        <w:adjustRightInd w:val="0"/>
        <w:snapToGrid w:val="0"/>
        <w:rPr>
          <w:rFonts w:hint="eastAsia"/>
          <w:szCs w:val="21"/>
        </w:rPr>
      </w:pPr>
      <w:r>
        <w:rPr>
          <w:rFonts w:hint="eastAsia"/>
          <w:szCs w:val="21"/>
          <w:shd w:val="clear" w:color="auto" w:fill="FFFFFF"/>
        </w:rPr>
        <w:t>我</w:t>
      </w:r>
      <w:r>
        <w:rPr>
          <w:rFonts w:hint="eastAsia"/>
          <w:szCs w:val="21"/>
        </w:rPr>
        <w:t>方</w:t>
      </w:r>
      <w:r>
        <w:rPr>
          <w:rFonts w:hint="eastAsia"/>
          <w:szCs w:val="21"/>
          <w:shd w:val="clear" w:color="auto" w:fill="FFFFFF"/>
        </w:rPr>
        <w:t>未因违法经营被追究过刑事责任；</w:t>
      </w:r>
    </w:p>
    <w:p w14:paraId="29DD09D3">
      <w:pPr>
        <w:pStyle w:val="38"/>
        <w:numPr>
          <w:ilvl w:val="0"/>
          <w:numId w:val="28"/>
        </w:numPr>
        <w:adjustRightInd w:val="0"/>
        <w:snapToGrid w:val="0"/>
        <w:rPr>
          <w:rFonts w:hint="eastAsia"/>
          <w:szCs w:val="21"/>
        </w:rPr>
      </w:pPr>
      <w:r>
        <w:rPr>
          <w:rFonts w:hint="eastAsia"/>
          <w:szCs w:val="21"/>
          <w:shd w:val="clear" w:color="auto" w:fill="FFFFFF"/>
        </w:rPr>
        <w:t>我</w:t>
      </w:r>
      <w:r>
        <w:rPr>
          <w:rFonts w:hint="eastAsia"/>
          <w:szCs w:val="21"/>
        </w:rPr>
        <w:t>方</w:t>
      </w:r>
      <w:r>
        <w:rPr>
          <w:rFonts w:hint="eastAsia"/>
          <w:szCs w:val="21"/>
          <w:shd w:val="clear" w:color="auto" w:fill="FFFFFF"/>
        </w:rPr>
        <w:t>未因违法经营被责令停产停业、吊销许可证或者执照；</w:t>
      </w:r>
    </w:p>
    <w:p w14:paraId="36BCFDB1">
      <w:pPr>
        <w:pStyle w:val="38"/>
        <w:numPr>
          <w:ilvl w:val="0"/>
          <w:numId w:val="28"/>
        </w:numPr>
        <w:adjustRightInd w:val="0"/>
        <w:snapToGrid w:val="0"/>
        <w:rPr>
          <w:rFonts w:hint="eastAsia"/>
          <w:szCs w:val="21"/>
        </w:rPr>
      </w:pPr>
      <w:r>
        <w:rPr>
          <w:rFonts w:hint="eastAsia"/>
          <w:szCs w:val="21"/>
          <w:shd w:val="clear" w:color="auto" w:fill="FFFFFF"/>
        </w:rPr>
        <w:t>我</w:t>
      </w:r>
      <w:r>
        <w:rPr>
          <w:rFonts w:hint="eastAsia"/>
          <w:szCs w:val="21"/>
        </w:rPr>
        <w:t>方</w:t>
      </w:r>
      <w:r>
        <w:rPr>
          <w:rFonts w:hint="eastAsia"/>
          <w:szCs w:val="21"/>
          <w:shd w:val="clear" w:color="auto" w:fill="FFFFFF"/>
        </w:rPr>
        <w:t>未因违法经营被处以较大数额罚款等行政处罚。</w:t>
      </w:r>
    </w:p>
    <w:p w14:paraId="53EEA6A8">
      <w:pPr>
        <w:widowControl/>
        <w:adjustRightInd w:val="0"/>
        <w:snapToGrid w:val="0"/>
        <w:ind w:firstLine="420"/>
        <w:rPr>
          <w:rFonts w:hint="eastAsia" w:cs="Segoe UI"/>
          <w:szCs w:val="21"/>
        </w:rPr>
      </w:pPr>
      <w:r>
        <w:rPr>
          <w:rFonts w:hint="eastAsia" w:cs="Segoe UI"/>
          <w:szCs w:val="21"/>
        </w:rPr>
        <w:t>（</w:t>
      </w:r>
      <w:r>
        <w:rPr>
          <w:rFonts w:cs="Segoe UI"/>
          <w:szCs w:val="21"/>
        </w:rPr>
        <w:t>6</w:t>
      </w:r>
      <w:r>
        <w:rPr>
          <w:rFonts w:hint="eastAsia" w:cs="Segoe UI"/>
          <w:szCs w:val="21"/>
        </w:rPr>
        <w:t>）满足</w:t>
      </w:r>
      <w:r>
        <w:rPr>
          <w:rFonts w:cs="Segoe UI"/>
          <w:szCs w:val="21"/>
        </w:rPr>
        <w:t>法律、行政法规规定的其他条件。</w:t>
      </w:r>
    </w:p>
    <w:p w14:paraId="735A65EC">
      <w:pPr>
        <w:adjustRightInd w:val="0"/>
        <w:snapToGrid w:val="0"/>
        <w:ind w:firstLine="480" w:firstLineChars="200"/>
        <w:rPr>
          <w:rFonts w:hint="eastAsia" w:cs="宋体"/>
          <w:szCs w:val="21"/>
        </w:rPr>
      </w:pPr>
      <w:r>
        <w:rPr>
          <w:rFonts w:hint="eastAsia" w:cs="宋体"/>
          <w:szCs w:val="21"/>
        </w:rPr>
        <w:t>2.我</w:t>
      </w:r>
      <w:r>
        <w:rPr>
          <w:rFonts w:hint="eastAsia"/>
          <w:szCs w:val="21"/>
        </w:rPr>
        <w:t>方</w:t>
      </w:r>
      <w:r>
        <w:rPr>
          <w:rFonts w:hint="eastAsia" w:cs="宋体"/>
          <w:szCs w:val="21"/>
        </w:rPr>
        <w:t>未被列入失信被执行人、重大税收违法案件当事人名单，未被列入政府采购严重违法失信行为记录名单。</w:t>
      </w:r>
    </w:p>
    <w:p w14:paraId="7E8C98D0">
      <w:pPr>
        <w:adjustRightInd w:val="0"/>
        <w:snapToGrid w:val="0"/>
        <w:ind w:firstLine="480" w:firstLineChars="200"/>
        <w:rPr>
          <w:rFonts w:hint="eastAsia" w:cs="宋体"/>
          <w:szCs w:val="21"/>
        </w:rPr>
      </w:pPr>
      <w:r>
        <w:rPr>
          <w:rFonts w:hint="eastAsia" w:cs="宋体"/>
          <w:szCs w:val="21"/>
        </w:rPr>
        <w:t>我</w:t>
      </w:r>
      <w:r>
        <w:rPr>
          <w:rFonts w:hint="eastAsia"/>
          <w:szCs w:val="21"/>
        </w:rPr>
        <w:t>方</w:t>
      </w:r>
      <w:r>
        <w:rPr>
          <w:rFonts w:hint="eastAsia" w:cs="宋体"/>
          <w:szCs w:val="21"/>
        </w:rPr>
        <w:t>保证上述信息的完整、客观、真实、准确，并愿意承担我</w:t>
      </w:r>
      <w:r>
        <w:rPr>
          <w:rFonts w:hint="eastAsia"/>
          <w:szCs w:val="21"/>
        </w:rPr>
        <w:t>方</w:t>
      </w:r>
      <w:r>
        <w:rPr>
          <w:rFonts w:hint="eastAsia" w:cs="宋体"/>
          <w:szCs w:val="21"/>
        </w:rPr>
        <w:t>因提供虚假材料谋骗取中标所引起的一切法律后果。</w:t>
      </w:r>
    </w:p>
    <w:bookmarkEnd w:id="358"/>
    <w:p w14:paraId="71330BBE">
      <w:pPr>
        <w:adjustRightInd w:val="0"/>
        <w:snapToGrid w:val="0"/>
        <w:ind w:firstLine="480" w:firstLineChars="200"/>
        <w:rPr>
          <w:rFonts w:hint="eastAsia" w:cs="宋体"/>
          <w:szCs w:val="21"/>
        </w:rPr>
      </w:pPr>
    </w:p>
    <w:p w14:paraId="21084F8E">
      <w:pPr>
        <w:rPr>
          <w:rFonts w:ascii="Arial" w:hAnsi="Arial" w:cs="Arial"/>
          <w:szCs w:val="21"/>
        </w:rPr>
      </w:pPr>
      <w:r>
        <w:rPr>
          <w:rFonts w:hint="eastAsia" w:ascii="Arial" w:hAnsi="Arial" w:cs="Arial"/>
          <w:szCs w:val="21"/>
        </w:rPr>
        <w:t>投标供应商名称（盖章）</w:t>
      </w:r>
      <w:r>
        <w:rPr>
          <w:rFonts w:ascii="Arial" w:hAnsi="Arial" w:cs="Arial"/>
          <w:szCs w:val="21"/>
        </w:rPr>
        <w:t xml:space="preserve"> </w:t>
      </w:r>
      <w:r>
        <w:rPr>
          <w:rFonts w:hint="eastAsia" w:ascii="Arial" w:hAnsi="Arial" w:cs="Arial"/>
          <w:szCs w:val="21"/>
        </w:rPr>
        <w:t>：</w:t>
      </w:r>
      <w:r>
        <w:rPr>
          <w:rFonts w:ascii="Arial" w:hAnsi="Arial" w:cs="Arial"/>
          <w:szCs w:val="21"/>
        </w:rPr>
        <w:br w:type="textWrapping"/>
      </w:r>
      <w:r>
        <w:rPr>
          <w:rFonts w:hint="eastAsia" w:ascii="Arial" w:hAnsi="Arial" w:cs="Arial"/>
          <w:szCs w:val="21"/>
        </w:rPr>
        <w:t>日期：</w:t>
      </w:r>
      <w:bookmarkEnd w:id="359"/>
      <w:r>
        <w:rPr>
          <w:rFonts w:ascii="Arial" w:hAnsi="Arial" w:cs="Arial"/>
          <w:szCs w:val="21"/>
        </w:rPr>
        <w:br w:type="page"/>
      </w:r>
    </w:p>
    <w:p w14:paraId="69E3CA3E">
      <w:pPr>
        <w:pStyle w:val="5"/>
        <w:numPr>
          <w:ilvl w:val="0"/>
          <w:numId w:val="27"/>
        </w:numPr>
        <w:rPr>
          <w:rFonts w:hint="eastAsia"/>
        </w:rPr>
      </w:pPr>
      <w:bookmarkStart w:id="360" w:name="_Toc109900336"/>
      <w:bookmarkStart w:id="361" w:name="_Toc109899917"/>
      <w:bookmarkStart w:id="362" w:name="_Toc155185930"/>
      <w:bookmarkStart w:id="363" w:name="_Toc8674"/>
      <w:bookmarkStart w:id="364" w:name="_Toc140132840"/>
      <w:bookmarkStart w:id="365" w:name="_Toc109899498"/>
      <w:r>
        <w:rPr>
          <w:rFonts w:hint="eastAsia"/>
        </w:rPr>
        <w:t>资格证明文件</w:t>
      </w:r>
      <w:bookmarkEnd w:id="360"/>
      <w:bookmarkEnd w:id="361"/>
      <w:bookmarkEnd w:id="362"/>
      <w:bookmarkEnd w:id="363"/>
      <w:bookmarkEnd w:id="364"/>
      <w:bookmarkEnd w:id="365"/>
    </w:p>
    <w:p w14:paraId="18D749F6">
      <w:pPr>
        <w:snapToGrid w:val="0"/>
        <w:ind w:firstLine="480" w:firstLineChars="200"/>
        <w:rPr>
          <w:rFonts w:ascii="Arial" w:hAnsi="Arial" w:cs="Arial"/>
        </w:rPr>
      </w:pPr>
      <w:r>
        <w:rPr>
          <w:rFonts w:hint="eastAsia" w:ascii="Arial" w:hAnsi="Arial" w:cs="Arial"/>
        </w:rPr>
        <w:t>投标供应商须提供的资格证明文件详见第四章《资格审查表》。</w:t>
      </w:r>
    </w:p>
    <w:p w14:paraId="239749D0">
      <w:pPr>
        <w:rPr>
          <w:rFonts w:hint="eastAsia"/>
        </w:rPr>
      </w:pPr>
      <w:r>
        <w:br w:type="page"/>
      </w:r>
    </w:p>
    <w:p w14:paraId="1DD8AEE8">
      <w:pPr>
        <w:pStyle w:val="5"/>
        <w:numPr>
          <w:ilvl w:val="0"/>
          <w:numId w:val="27"/>
        </w:numPr>
        <w:rPr>
          <w:rFonts w:hint="eastAsia"/>
        </w:rPr>
      </w:pPr>
      <w:bookmarkStart w:id="366" w:name="_Toc12875"/>
      <w:bookmarkStart w:id="367" w:name="_Toc155185932"/>
      <w:r>
        <w:rPr>
          <w:rFonts w:hint="eastAsia"/>
        </w:rPr>
        <w:t>其他资格证明文件</w:t>
      </w:r>
      <w:bookmarkEnd w:id="366"/>
      <w:bookmarkEnd w:id="367"/>
    </w:p>
    <w:p w14:paraId="08975D00">
      <w:pPr>
        <w:rPr>
          <w:rFonts w:hint="eastAsia" w:cs="Courier New"/>
          <w:szCs w:val="24"/>
        </w:rPr>
      </w:pPr>
      <w:r>
        <w:rPr>
          <w:rFonts w:hint="eastAsia" w:cs="Courier New"/>
          <w:szCs w:val="24"/>
        </w:rPr>
        <w:t>投标供应商认为需提供的其它相关资格证明材料</w:t>
      </w:r>
      <w:r>
        <w:rPr>
          <w:rFonts w:cs="Courier New"/>
          <w:szCs w:val="24"/>
        </w:rPr>
        <w:br w:type="page"/>
      </w:r>
    </w:p>
    <w:p w14:paraId="4545F7D4">
      <w:pPr>
        <w:pStyle w:val="4"/>
        <w:numPr>
          <w:ilvl w:val="0"/>
          <w:numId w:val="23"/>
        </w:numPr>
        <w:rPr>
          <w:rFonts w:hint="eastAsia"/>
          <w:lang w:val="zh-CN"/>
        </w:rPr>
      </w:pPr>
      <w:bookmarkStart w:id="368" w:name="_Toc10680"/>
      <w:bookmarkStart w:id="369" w:name="_Toc155185933"/>
      <w:r>
        <w:rPr>
          <w:rFonts w:hint="eastAsia"/>
          <w:lang w:val="zh-CN"/>
        </w:rPr>
        <w:t>其他响应文件</w:t>
      </w:r>
      <w:bookmarkEnd w:id="368"/>
      <w:bookmarkEnd w:id="369"/>
    </w:p>
    <w:p w14:paraId="66573527">
      <w:pPr>
        <w:ind w:firstLine="480" w:firstLineChars="200"/>
        <w:rPr>
          <w:rFonts w:hint="eastAsia" w:cs="仿宋_GB2312"/>
          <w:szCs w:val="24"/>
          <w:lang w:val="zh-CN"/>
        </w:rPr>
      </w:pPr>
      <w:r>
        <w:rPr>
          <w:rFonts w:hint="eastAsia" w:cs="仿宋_GB2312"/>
          <w:szCs w:val="24"/>
          <w:lang w:val="zh-CN"/>
        </w:rPr>
        <w:t>封面：</w:t>
      </w:r>
    </w:p>
    <w:p w14:paraId="1A2DA32A">
      <w:pPr>
        <w:autoSpaceDE w:val="0"/>
        <w:autoSpaceDN w:val="0"/>
        <w:adjustRightInd w:val="0"/>
        <w:rPr>
          <w:rFonts w:hint="eastAsia"/>
          <w:sz w:val="21"/>
          <w:szCs w:val="24"/>
        </w:rPr>
      </w:pPr>
    </w:p>
    <w:p w14:paraId="59957303">
      <w:pPr>
        <w:autoSpaceDE w:val="0"/>
        <w:autoSpaceDN w:val="0"/>
        <w:adjustRightInd w:val="0"/>
        <w:rPr>
          <w:rFonts w:hint="eastAsia"/>
          <w:sz w:val="21"/>
          <w:szCs w:val="24"/>
        </w:rPr>
      </w:pPr>
    </w:p>
    <w:p w14:paraId="5EC460CF">
      <w:pPr>
        <w:autoSpaceDE w:val="0"/>
        <w:autoSpaceDN w:val="0"/>
        <w:adjustRightInd w:val="0"/>
        <w:jc w:val="center"/>
        <w:rPr>
          <w:rFonts w:hint="eastAsia"/>
          <w:sz w:val="21"/>
          <w:szCs w:val="24"/>
        </w:rPr>
      </w:pPr>
    </w:p>
    <w:p w14:paraId="47518614">
      <w:pPr>
        <w:autoSpaceDE w:val="0"/>
        <w:autoSpaceDN w:val="0"/>
        <w:adjustRightInd w:val="0"/>
        <w:jc w:val="center"/>
        <w:rPr>
          <w:rFonts w:hint="eastAsia"/>
          <w:b/>
          <w:sz w:val="84"/>
          <w:szCs w:val="84"/>
        </w:rPr>
      </w:pPr>
      <w:r>
        <w:rPr>
          <w:rFonts w:hint="eastAsia"/>
          <w:b/>
          <w:sz w:val="84"/>
          <w:szCs w:val="84"/>
        </w:rPr>
        <w:t>投 标 文 件</w:t>
      </w:r>
    </w:p>
    <w:p w14:paraId="3242C61B">
      <w:pPr>
        <w:autoSpaceDE w:val="0"/>
        <w:autoSpaceDN w:val="0"/>
        <w:adjustRightInd w:val="0"/>
        <w:jc w:val="center"/>
        <w:rPr>
          <w:rFonts w:hint="eastAsia"/>
          <w:b/>
          <w:sz w:val="56"/>
          <w:szCs w:val="56"/>
        </w:rPr>
      </w:pPr>
      <w:r>
        <w:rPr>
          <w:rFonts w:hint="eastAsia"/>
          <w:b/>
          <w:sz w:val="56"/>
          <w:szCs w:val="56"/>
        </w:rPr>
        <w:t>其他响应文件</w:t>
      </w:r>
    </w:p>
    <w:p w14:paraId="32B5A60F">
      <w:pPr>
        <w:autoSpaceDE w:val="0"/>
        <w:autoSpaceDN w:val="0"/>
        <w:adjustRightInd w:val="0"/>
        <w:rPr>
          <w:rFonts w:hint="eastAsia"/>
          <w:b/>
          <w:bCs/>
          <w:sz w:val="22"/>
        </w:rPr>
      </w:pPr>
    </w:p>
    <w:p w14:paraId="2B7A8C5A">
      <w:pPr>
        <w:autoSpaceDE w:val="0"/>
        <w:autoSpaceDN w:val="0"/>
        <w:adjustRightInd w:val="0"/>
        <w:rPr>
          <w:rFonts w:hint="eastAsia"/>
          <w:sz w:val="21"/>
          <w:szCs w:val="21"/>
        </w:rPr>
      </w:pPr>
    </w:p>
    <w:p w14:paraId="0667C313">
      <w:pPr>
        <w:autoSpaceDE w:val="0"/>
        <w:autoSpaceDN w:val="0"/>
        <w:adjustRightInd w:val="0"/>
        <w:rPr>
          <w:rFonts w:hint="eastAsia"/>
          <w:sz w:val="21"/>
          <w:szCs w:val="21"/>
        </w:rPr>
      </w:pPr>
    </w:p>
    <w:p w14:paraId="1B0868E6">
      <w:pPr>
        <w:autoSpaceDE w:val="0"/>
        <w:autoSpaceDN w:val="0"/>
        <w:adjustRightInd w:val="0"/>
        <w:rPr>
          <w:rFonts w:hint="eastAsia"/>
          <w:sz w:val="21"/>
          <w:szCs w:val="21"/>
        </w:rPr>
      </w:pPr>
    </w:p>
    <w:p w14:paraId="7E1D6A72">
      <w:pPr>
        <w:ind w:left="420" w:leftChars="175"/>
        <w:rPr>
          <w:rFonts w:hint="eastAsia" w:ascii="黑体" w:hAnsi="黑体" w:eastAsia="黑体"/>
          <w:sz w:val="32"/>
          <w:szCs w:val="32"/>
        </w:rPr>
      </w:pPr>
      <w:r>
        <w:rPr>
          <w:rFonts w:hint="eastAsia" w:ascii="黑体" w:hAnsi="黑体" w:eastAsia="黑体"/>
          <w:sz w:val="32"/>
          <w:szCs w:val="32"/>
        </w:rPr>
        <w:t>采购计划备案号：</w:t>
      </w:r>
      <w:r>
        <w:rPr>
          <w:rFonts w:ascii="黑体" w:hAnsi="黑体" w:eastAsia="黑体"/>
          <w:sz w:val="32"/>
          <w:szCs w:val="32"/>
          <w:u w:val="single"/>
        </w:rPr>
        <w:t xml:space="preserve">                                 </w:t>
      </w:r>
    </w:p>
    <w:p w14:paraId="3073ABB5">
      <w:pPr>
        <w:ind w:left="420" w:leftChars="175"/>
        <w:rPr>
          <w:rFonts w:hint="default" w:ascii="黑体" w:hAnsi="黑体" w:eastAsia="黑体"/>
          <w:sz w:val="32"/>
          <w:szCs w:val="32"/>
          <w:lang w:val="en-US" w:eastAsia="zh-CN"/>
        </w:rPr>
      </w:pPr>
      <w:r>
        <w:rPr>
          <w:rFonts w:hint="eastAsia" w:ascii="黑体" w:hAnsi="黑体" w:eastAsia="黑体"/>
          <w:sz w:val="32"/>
          <w:szCs w:val="32"/>
        </w:rPr>
        <w:t>项目编号：</w:t>
      </w:r>
      <w:r>
        <w:rPr>
          <w:rFonts w:hint="eastAsia" w:ascii="黑体" w:hAnsi="黑体" w:eastAsia="黑体"/>
          <w:sz w:val="32"/>
          <w:szCs w:val="32"/>
          <w:u w:val="single"/>
          <w:lang w:val="en-US" w:eastAsia="zh-CN"/>
        </w:rPr>
        <w:t xml:space="preserve">                               </w:t>
      </w:r>
    </w:p>
    <w:p w14:paraId="5ED5B323">
      <w:pPr>
        <w:ind w:left="420" w:leftChars="175"/>
        <w:rPr>
          <w:rFonts w:hint="eastAsia" w:ascii="黑体" w:hAnsi="黑体" w:eastAsia="黑体"/>
          <w:sz w:val="32"/>
          <w:szCs w:val="32"/>
        </w:rPr>
      </w:pPr>
      <w:r>
        <w:rPr>
          <w:rFonts w:hint="eastAsia" w:ascii="黑体" w:hAnsi="黑体" w:eastAsia="黑体"/>
          <w:sz w:val="32"/>
          <w:szCs w:val="32"/>
        </w:rPr>
        <w:t>投标供应商：</w:t>
      </w:r>
      <w:r>
        <w:rPr>
          <w:rFonts w:ascii="黑体" w:hAnsi="黑体" w:eastAsia="黑体"/>
          <w:sz w:val="32"/>
          <w:szCs w:val="32"/>
          <w:u w:val="single"/>
        </w:rPr>
        <w:t xml:space="preserve">                                     </w:t>
      </w:r>
    </w:p>
    <w:p w14:paraId="378B7A4D">
      <w:pPr>
        <w:ind w:left="840" w:firstLine="420"/>
        <w:rPr>
          <w:rFonts w:hint="eastAsia"/>
          <w:b/>
          <w:bCs/>
          <w:sz w:val="28"/>
          <w:szCs w:val="28"/>
        </w:rPr>
      </w:pPr>
    </w:p>
    <w:p w14:paraId="1C0F99FC">
      <w:pPr>
        <w:ind w:left="840" w:firstLine="420"/>
        <w:rPr>
          <w:rFonts w:hint="eastAsia"/>
          <w:b/>
          <w:bCs/>
          <w:sz w:val="28"/>
          <w:szCs w:val="28"/>
        </w:rPr>
      </w:pPr>
    </w:p>
    <w:p w14:paraId="419C324D">
      <w:pPr>
        <w:ind w:left="840" w:firstLine="420"/>
        <w:rPr>
          <w:rFonts w:hint="eastAsia"/>
          <w:b/>
          <w:bCs/>
          <w:sz w:val="28"/>
          <w:szCs w:val="28"/>
        </w:rPr>
      </w:pPr>
    </w:p>
    <w:p w14:paraId="71438E5A">
      <w:pPr>
        <w:jc w:val="center"/>
        <w:rPr>
          <w:rFonts w:hint="eastAsia" w:ascii="黑体" w:hAnsi="黑体" w:eastAsia="黑体"/>
          <w:sz w:val="32"/>
          <w:szCs w:val="32"/>
        </w:rPr>
      </w:pPr>
      <w:r>
        <w:rPr>
          <w:rFonts w:hint="eastAsia" w:ascii="黑体" w:hAnsi="黑体" w:eastAsia="黑体"/>
          <w:sz w:val="32"/>
          <w:szCs w:val="32"/>
        </w:rPr>
        <w:t xml:space="preserve">年 </w:t>
      </w:r>
      <w:r>
        <w:rPr>
          <w:rFonts w:ascii="黑体" w:hAnsi="黑体" w:eastAsia="黑体"/>
          <w:sz w:val="32"/>
          <w:szCs w:val="32"/>
        </w:rPr>
        <w:t xml:space="preserve">  </w:t>
      </w:r>
      <w:r>
        <w:rPr>
          <w:rFonts w:hint="eastAsia" w:ascii="黑体" w:hAnsi="黑体" w:eastAsia="黑体"/>
          <w:sz w:val="32"/>
          <w:szCs w:val="32"/>
        </w:rPr>
        <w:t xml:space="preserve">月 </w:t>
      </w:r>
      <w:r>
        <w:rPr>
          <w:rFonts w:ascii="黑体" w:hAnsi="黑体" w:eastAsia="黑体"/>
          <w:sz w:val="32"/>
          <w:szCs w:val="32"/>
        </w:rPr>
        <w:t xml:space="preserve">   </w:t>
      </w:r>
      <w:r>
        <w:rPr>
          <w:rFonts w:hint="eastAsia" w:ascii="黑体" w:hAnsi="黑体" w:eastAsia="黑体"/>
          <w:sz w:val="32"/>
          <w:szCs w:val="32"/>
        </w:rPr>
        <w:t>日</w:t>
      </w:r>
    </w:p>
    <w:p w14:paraId="1EDC98CD">
      <w:pPr>
        <w:rPr>
          <w:rFonts w:hint="eastAsia"/>
          <w:lang w:val="zh-CN"/>
        </w:rPr>
      </w:pPr>
      <w:r>
        <w:rPr>
          <w:lang w:val="zh-CN"/>
        </w:rPr>
        <w:br w:type="page"/>
      </w:r>
    </w:p>
    <w:p w14:paraId="0DF2DE82">
      <w:pPr>
        <w:pStyle w:val="5"/>
        <w:numPr>
          <w:ilvl w:val="0"/>
          <w:numId w:val="29"/>
        </w:numPr>
        <w:rPr>
          <w:rFonts w:hint="eastAsia"/>
        </w:rPr>
      </w:pPr>
      <w:bookmarkStart w:id="370" w:name="_Toc155185934"/>
      <w:bookmarkStart w:id="371" w:name="_Toc3620"/>
      <w:r>
        <w:rPr>
          <w:rFonts w:hint="eastAsia"/>
        </w:rPr>
        <w:t>商务部分</w:t>
      </w:r>
      <w:bookmarkEnd w:id="370"/>
      <w:bookmarkEnd w:id="371"/>
    </w:p>
    <w:p w14:paraId="25F531F7">
      <w:pPr>
        <w:pStyle w:val="6"/>
        <w:numPr>
          <w:ilvl w:val="0"/>
          <w:numId w:val="30"/>
        </w:numPr>
        <w:rPr>
          <w:rFonts w:hint="eastAsia"/>
        </w:rPr>
      </w:pPr>
      <w:bookmarkStart w:id="372" w:name="_Toc29365"/>
      <w:r>
        <w:rPr>
          <w:rFonts w:hint="eastAsia"/>
        </w:rPr>
        <w:t>商务响应偏离表</w:t>
      </w:r>
      <w:bookmarkEnd w:id="372"/>
    </w:p>
    <w:p w14:paraId="65DE8013">
      <w:pPr>
        <w:rPr>
          <w:rFonts w:hint="eastAsia" w:cs="仿宋_GB2312"/>
          <w:szCs w:val="24"/>
        </w:rPr>
      </w:pPr>
      <w:r>
        <w:rPr>
          <w:rFonts w:hint="eastAsia" w:cs="仿宋_GB2312"/>
          <w:szCs w:val="24"/>
        </w:rPr>
        <w:t xml:space="preserve">项目名称：                                         </w:t>
      </w:r>
    </w:p>
    <w:p w14:paraId="28260709">
      <w:pPr>
        <w:rPr>
          <w:rFonts w:hint="eastAsia" w:cs="仿宋_GB2312"/>
          <w:szCs w:val="24"/>
        </w:rPr>
      </w:pPr>
      <w:r>
        <w:rPr>
          <w:rFonts w:hint="eastAsia" w:cs="仿宋_GB2312"/>
          <w:szCs w:val="24"/>
        </w:rPr>
        <w:t xml:space="preserve">项目编号：        </w:t>
      </w:r>
    </w:p>
    <w:tbl>
      <w:tblPr>
        <w:tblStyle w:val="31"/>
        <w:tblW w:w="82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2835"/>
        <w:gridCol w:w="2104"/>
        <w:gridCol w:w="1662"/>
        <w:gridCol w:w="993"/>
      </w:tblGrid>
      <w:tr w14:paraId="3D67E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7" w:type="dxa"/>
            <w:vAlign w:val="center"/>
          </w:tcPr>
          <w:p w14:paraId="3616E4F9">
            <w:pPr>
              <w:pStyle w:val="48"/>
              <w:rPr>
                <w:rFonts w:hint="eastAsia"/>
              </w:rPr>
            </w:pPr>
            <w:r>
              <w:rPr>
                <w:rFonts w:hint="eastAsia"/>
              </w:rPr>
              <w:t>序号</w:t>
            </w:r>
          </w:p>
        </w:tc>
        <w:tc>
          <w:tcPr>
            <w:tcW w:w="2835" w:type="dxa"/>
            <w:vAlign w:val="center"/>
          </w:tcPr>
          <w:p w14:paraId="7D15045F">
            <w:pPr>
              <w:pStyle w:val="48"/>
              <w:rPr>
                <w:rFonts w:hint="eastAsia"/>
              </w:rPr>
            </w:pPr>
            <w:r>
              <w:rPr>
                <w:rFonts w:hint="eastAsia"/>
              </w:rPr>
              <w:t>招标文件的商务条款</w:t>
            </w:r>
          </w:p>
        </w:tc>
        <w:tc>
          <w:tcPr>
            <w:tcW w:w="2104" w:type="dxa"/>
            <w:vAlign w:val="center"/>
          </w:tcPr>
          <w:p w14:paraId="17DB03EF">
            <w:pPr>
              <w:pStyle w:val="48"/>
              <w:rPr>
                <w:rFonts w:hint="eastAsia"/>
              </w:rPr>
            </w:pPr>
            <w:r>
              <w:rPr>
                <w:rFonts w:hint="eastAsia"/>
              </w:rPr>
              <w:t>投标文件的响应内容</w:t>
            </w:r>
          </w:p>
        </w:tc>
        <w:tc>
          <w:tcPr>
            <w:tcW w:w="1662" w:type="dxa"/>
          </w:tcPr>
          <w:p w14:paraId="15FA9510">
            <w:pPr>
              <w:pStyle w:val="48"/>
              <w:rPr>
                <w:rFonts w:hint="eastAsia"/>
              </w:rPr>
            </w:pPr>
            <w:r>
              <w:rPr>
                <w:rFonts w:hint="eastAsia"/>
              </w:rPr>
              <w:t>响应情况</w:t>
            </w:r>
          </w:p>
        </w:tc>
        <w:tc>
          <w:tcPr>
            <w:tcW w:w="993" w:type="dxa"/>
          </w:tcPr>
          <w:p w14:paraId="5E9D9D88">
            <w:pPr>
              <w:pStyle w:val="48"/>
              <w:rPr>
                <w:rFonts w:hint="eastAsia"/>
              </w:rPr>
            </w:pPr>
            <w:r>
              <w:rPr>
                <w:rFonts w:hint="eastAsia"/>
              </w:rPr>
              <w:t>说明及索引</w:t>
            </w:r>
          </w:p>
        </w:tc>
      </w:tr>
      <w:tr w14:paraId="4B0E3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tcPr>
          <w:p w14:paraId="354D2B74">
            <w:pPr>
              <w:pStyle w:val="48"/>
              <w:rPr>
                <w:rFonts w:hint="eastAsia"/>
              </w:rPr>
            </w:pPr>
            <w:r>
              <w:rPr>
                <w:rFonts w:hint="eastAsia"/>
              </w:rPr>
              <w:t>1</w:t>
            </w:r>
          </w:p>
        </w:tc>
        <w:tc>
          <w:tcPr>
            <w:tcW w:w="2835" w:type="dxa"/>
          </w:tcPr>
          <w:p w14:paraId="750DD57A">
            <w:pPr>
              <w:pStyle w:val="48"/>
              <w:rPr>
                <w:rFonts w:hint="eastAsia"/>
                <w:sz w:val="21"/>
                <w:szCs w:val="21"/>
              </w:rPr>
            </w:pPr>
          </w:p>
        </w:tc>
        <w:tc>
          <w:tcPr>
            <w:tcW w:w="2104" w:type="dxa"/>
          </w:tcPr>
          <w:p w14:paraId="680EEB62">
            <w:pPr>
              <w:pStyle w:val="48"/>
              <w:rPr>
                <w:rFonts w:hint="eastAsia"/>
              </w:rPr>
            </w:pPr>
          </w:p>
        </w:tc>
        <w:tc>
          <w:tcPr>
            <w:tcW w:w="1662" w:type="dxa"/>
          </w:tcPr>
          <w:p w14:paraId="350F4054">
            <w:pPr>
              <w:pStyle w:val="48"/>
              <w:rPr>
                <w:rFonts w:hint="eastAsia"/>
              </w:rPr>
            </w:pPr>
            <w:r>
              <w:rPr>
                <w:rFonts w:hint="eastAsia"/>
              </w:rPr>
              <w:t>响应</w:t>
            </w:r>
            <w:r>
              <w:t>/偏离</w:t>
            </w:r>
          </w:p>
        </w:tc>
        <w:tc>
          <w:tcPr>
            <w:tcW w:w="993" w:type="dxa"/>
          </w:tcPr>
          <w:p w14:paraId="73AE5613">
            <w:pPr>
              <w:pStyle w:val="48"/>
              <w:rPr>
                <w:rFonts w:hint="eastAsia"/>
              </w:rPr>
            </w:pPr>
          </w:p>
        </w:tc>
      </w:tr>
      <w:tr w14:paraId="203BA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tcPr>
          <w:p w14:paraId="621A8C33">
            <w:pPr>
              <w:pStyle w:val="48"/>
              <w:rPr>
                <w:rFonts w:hint="eastAsia"/>
              </w:rPr>
            </w:pPr>
            <w:r>
              <w:rPr>
                <w:rFonts w:hint="eastAsia"/>
              </w:rPr>
              <w:t>2</w:t>
            </w:r>
          </w:p>
        </w:tc>
        <w:tc>
          <w:tcPr>
            <w:tcW w:w="2835" w:type="dxa"/>
          </w:tcPr>
          <w:p w14:paraId="3E406284">
            <w:pPr>
              <w:pStyle w:val="48"/>
              <w:rPr>
                <w:rFonts w:hint="eastAsia"/>
              </w:rPr>
            </w:pPr>
          </w:p>
        </w:tc>
        <w:tc>
          <w:tcPr>
            <w:tcW w:w="2104" w:type="dxa"/>
          </w:tcPr>
          <w:p w14:paraId="5FC8D07E">
            <w:pPr>
              <w:pStyle w:val="48"/>
              <w:rPr>
                <w:rFonts w:hint="eastAsia"/>
              </w:rPr>
            </w:pPr>
          </w:p>
        </w:tc>
        <w:tc>
          <w:tcPr>
            <w:tcW w:w="1662" w:type="dxa"/>
          </w:tcPr>
          <w:p w14:paraId="09514F32">
            <w:pPr>
              <w:pStyle w:val="48"/>
              <w:rPr>
                <w:rFonts w:hint="eastAsia"/>
              </w:rPr>
            </w:pPr>
          </w:p>
        </w:tc>
        <w:tc>
          <w:tcPr>
            <w:tcW w:w="993" w:type="dxa"/>
          </w:tcPr>
          <w:p w14:paraId="5793BFE5">
            <w:pPr>
              <w:pStyle w:val="48"/>
              <w:rPr>
                <w:rFonts w:hint="eastAsia"/>
              </w:rPr>
            </w:pPr>
          </w:p>
        </w:tc>
      </w:tr>
      <w:tr w14:paraId="5B1B2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tcPr>
          <w:p w14:paraId="4F4F1E2B">
            <w:pPr>
              <w:pStyle w:val="48"/>
              <w:rPr>
                <w:rFonts w:hint="eastAsia"/>
              </w:rPr>
            </w:pPr>
            <w:r>
              <w:rPr>
                <w:rFonts w:hint="eastAsia"/>
              </w:rPr>
              <w:t>3</w:t>
            </w:r>
          </w:p>
        </w:tc>
        <w:tc>
          <w:tcPr>
            <w:tcW w:w="2835" w:type="dxa"/>
          </w:tcPr>
          <w:p w14:paraId="091358E7">
            <w:pPr>
              <w:pStyle w:val="48"/>
              <w:rPr>
                <w:rFonts w:hint="eastAsia"/>
              </w:rPr>
            </w:pPr>
          </w:p>
        </w:tc>
        <w:tc>
          <w:tcPr>
            <w:tcW w:w="2104" w:type="dxa"/>
          </w:tcPr>
          <w:p w14:paraId="4D2D448B">
            <w:pPr>
              <w:pStyle w:val="48"/>
              <w:rPr>
                <w:rFonts w:hint="eastAsia"/>
              </w:rPr>
            </w:pPr>
          </w:p>
        </w:tc>
        <w:tc>
          <w:tcPr>
            <w:tcW w:w="1662" w:type="dxa"/>
          </w:tcPr>
          <w:p w14:paraId="0AD03580">
            <w:pPr>
              <w:pStyle w:val="48"/>
              <w:rPr>
                <w:rFonts w:hint="eastAsia"/>
              </w:rPr>
            </w:pPr>
          </w:p>
        </w:tc>
        <w:tc>
          <w:tcPr>
            <w:tcW w:w="993" w:type="dxa"/>
          </w:tcPr>
          <w:p w14:paraId="60EC87FA">
            <w:pPr>
              <w:pStyle w:val="48"/>
              <w:rPr>
                <w:rFonts w:hint="eastAsia"/>
              </w:rPr>
            </w:pPr>
          </w:p>
        </w:tc>
      </w:tr>
      <w:tr w14:paraId="25054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tcPr>
          <w:p w14:paraId="44D49184">
            <w:pPr>
              <w:pStyle w:val="48"/>
              <w:rPr>
                <w:rFonts w:hint="eastAsia"/>
              </w:rPr>
            </w:pPr>
            <w:r>
              <w:rPr>
                <w:rFonts w:hint="eastAsia"/>
              </w:rPr>
              <w:t>4.</w:t>
            </w:r>
          </w:p>
        </w:tc>
        <w:tc>
          <w:tcPr>
            <w:tcW w:w="2835" w:type="dxa"/>
          </w:tcPr>
          <w:p w14:paraId="4F033865">
            <w:pPr>
              <w:pStyle w:val="48"/>
              <w:rPr>
                <w:rFonts w:hint="eastAsia"/>
              </w:rPr>
            </w:pPr>
          </w:p>
        </w:tc>
        <w:tc>
          <w:tcPr>
            <w:tcW w:w="2104" w:type="dxa"/>
          </w:tcPr>
          <w:p w14:paraId="0E20AA05">
            <w:pPr>
              <w:pStyle w:val="48"/>
              <w:rPr>
                <w:rFonts w:hint="eastAsia"/>
              </w:rPr>
            </w:pPr>
          </w:p>
        </w:tc>
        <w:tc>
          <w:tcPr>
            <w:tcW w:w="1662" w:type="dxa"/>
          </w:tcPr>
          <w:p w14:paraId="2343F8EE">
            <w:pPr>
              <w:pStyle w:val="48"/>
              <w:rPr>
                <w:rFonts w:hint="eastAsia"/>
              </w:rPr>
            </w:pPr>
          </w:p>
        </w:tc>
        <w:tc>
          <w:tcPr>
            <w:tcW w:w="993" w:type="dxa"/>
          </w:tcPr>
          <w:p w14:paraId="5513DF50">
            <w:pPr>
              <w:pStyle w:val="48"/>
              <w:rPr>
                <w:rFonts w:hint="eastAsia"/>
              </w:rPr>
            </w:pPr>
          </w:p>
        </w:tc>
      </w:tr>
      <w:tr w14:paraId="332FE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tcPr>
          <w:p w14:paraId="143B17DA">
            <w:pPr>
              <w:pStyle w:val="48"/>
              <w:rPr>
                <w:rFonts w:hint="eastAsia"/>
              </w:rPr>
            </w:pPr>
            <w:r>
              <w:rPr>
                <w:rFonts w:hint="eastAsia"/>
              </w:rPr>
              <w:t>5.</w:t>
            </w:r>
          </w:p>
        </w:tc>
        <w:tc>
          <w:tcPr>
            <w:tcW w:w="2835" w:type="dxa"/>
          </w:tcPr>
          <w:p w14:paraId="09FAF6ED">
            <w:pPr>
              <w:pStyle w:val="48"/>
              <w:rPr>
                <w:rFonts w:hint="eastAsia"/>
              </w:rPr>
            </w:pPr>
          </w:p>
        </w:tc>
        <w:tc>
          <w:tcPr>
            <w:tcW w:w="2104" w:type="dxa"/>
          </w:tcPr>
          <w:p w14:paraId="773E95CF">
            <w:pPr>
              <w:pStyle w:val="48"/>
              <w:rPr>
                <w:rFonts w:hint="eastAsia"/>
              </w:rPr>
            </w:pPr>
          </w:p>
        </w:tc>
        <w:tc>
          <w:tcPr>
            <w:tcW w:w="1662" w:type="dxa"/>
          </w:tcPr>
          <w:p w14:paraId="4C88F82A">
            <w:pPr>
              <w:pStyle w:val="48"/>
              <w:rPr>
                <w:rFonts w:hint="eastAsia"/>
              </w:rPr>
            </w:pPr>
          </w:p>
        </w:tc>
        <w:tc>
          <w:tcPr>
            <w:tcW w:w="993" w:type="dxa"/>
          </w:tcPr>
          <w:p w14:paraId="27908C06">
            <w:pPr>
              <w:pStyle w:val="48"/>
              <w:rPr>
                <w:rFonts w:hint="eastAsia"/>
              </w:rPr>
            </w:pPr>
          </w:p>
        </w:tc>
      </w:tr>
      <w:tr w14:paraId="3DAA9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tcPr>
          <w:p w14:paraId="67FBAFE1">
            <w:pPr>
              <w:pStyle w:val="48"/>
              <w:rPr>
                <w:rFonts w:hint="eastAsia"/>
              </w:rPr>
            </w:pPr>
            <w:r>
              <w:rPr>
                <w:rFonts w:hint="eastAsia"/>
              </w:rPr>
              <w:t>6.</w:t>
            </w:r>
          </w:p>
        </w:tc>
        <w:tc>
          <w:tcPr>
            <w:tcW w:w="2835" w:type="dxa"/>
          </w:tcPr>
          <w:p w14:paraId="2383E6D8">
            <w:pPr>
              <w:pStyle w:val="48"/>
              <w:rPr>
                <w:rFonts w:hint="eastAsia"/>
              </w:rPr>
            </w:pPr>
          </w:p>
        </w:tc>
        <w:tc>
          <w:tcPr>
            <w:tcW w:w="2104" w:type="dxa"/>
          </w:tcPr>
          <w:p w14:paraId="18B60B91">
            <w:pPr>
              <w:pStyle w:val="48"/>
              <w:rPr>
                <w:rFonts w:hint="eastAsia"/>
              </w:rPr>
            </w:pPr>
          </w:p>
        </w:tc>
        <w:tc>
          <w:tcPr>
            <w:tcW w:w="1662" w:type="dxa"/>
          </w:tcPr>
          <w:p w14:paraId="4644C586">
            <w:pPr>
              <w:pStyle w:val="48"/>
              <w:rPr>
                <w:rFonts w:hint="eastAsia"/>
              </w:rPr>
            </w:pPr>
          </w:p>
        </w:tc>
        <w:tc>
          <w:tcPr>
            <w:tcW w:w="993" w:type="dxa"/>
          </w:tcPr>
          <w:p w14:paraId="5F071C30">
            <w:pPr>
              <w:pStyle w:val="48"/>
              <w:rPr>
                <w:rFonts w:hint="eastAsia"/>
              </w:rPr>
            </w:pPr>
          </w:p>
        </w:tc>
      </w:tr>
      <w:tr w14:paraId="59407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tcPr>
          <w:p w14:paraId="30820A52">
            <w:pPr>
              <w:pStyle w:val="48"/>
              <w:rPr>
                <w:rFonts w:hint="eastAsia"/>
              </w:rPr>
            </w:pPr>
            <w:r>
              <w:rPr>
                <w:rFonts w:hint="eastAsia"/>
              </w:rPr>
              <w:t>……</w:t>
            </w:r>
          </w:p>
        </w:tc>
        <w:tc>
          <w:tcPr>
            <w:tcW w:w="2835" w:type="dxa"/>
          </w:tcPr>
          <w:p w14:paraId="5562F277">
            <w:pPr>
              <w:pStyle w:val="48"/>
              <w:rPr>
                <w:rFonts w:hint="eastAsia"/>
              </w:rPr>
            </w:pPr>
            <w:r>
              <w:rPr>
                <w:rFonts w:hint="eastAsia"/>
              </w:rPr>
              <w:t>…………</w:t>
            </w:r>
          </w:p>
        </w:tc>
        <w:tc>
          <w:tcPr>
            <w:tcW w:w="2104" w:type="dxa"/>
          </w:tcPr>
          <w:p w14:paraId="5FF99167">
            <w:pPr>
              <w:pStyle w:val="48"/>
              <w:rPr>
                <w:rFonts w:hint="eastAsia"/>
              </w:rPr>
            </w:pPr>
            <w:r>
              <w:rPr>
                <w:rFonts w:hint="eastAsia"/>
              </w:rPr>
              <w:t>…………</w:t>
            </w:r>
          </w:p>
        </w:tc>
        <w:tc>
          <w:tcPr>
            <w:tcW w:w="1662" w:type="dxa"/>
          </w:tcPr>
          <w:p w14:paraId="4BE3EE5E">
            <w:pPr>
              <w:pStyle w:val="48"/>
              <w:rPr>
                <w:rFonts w:hint="eastAsia"/>
              </w:rPr>
            </w:pPr>
            <w:r>
              <w:rPr>
                <w:rFonts w:hint="eastAsia"/>
              </w:rPr>
              <w:t>……</w:t>
            </w:r>
          </w:p>
        </w:tc>
        <w:tc>
          <w:tcPr>
            <w:tcW w:w="993" w:type="dxa"/>
          </w:tcPr>
          <w:p w14:paraId="1F1122BF">
            <w:pPr>
              <w:pStyle w:val="48"/>
              <w:rPr>
                <w:rFonts w:hint="eastAsia"/>
              </w:rPr>
            </w:pPr>
          </w:p>
        </w:tc>
      </w:tr>
    </w:tbl>
    <w:p w14:paraId="21B2662E">
      <w:pPr>
        <w:ind w:firstLine="480" w:firstLineChars="200"/>
        <w:rPr>
          <w:rFonts w:hint="eastAsia" w:cs="仿宋_GB2312"/>
          <w:szCs w:val="24"/>
        </w:rPr>
      </w:pPr>
      <w:r>
        <w:rPr>
          <w:rFonts w:hint="eastAsia" w:cs="仿宋_GB2312"/>
          <w:szCs w:val="24"/>
        </w:rPr>
        <w:t>注：</w:t>
      </w:r>
    </w:p>
    <w:p w14:paraId="6B2B6950">
      <w:pPr>
        <w:ind w:firstLine="480" w:firstLineChars="200"/>
        <w:rPr>
          <w:rFonts w:hint="eastAsia" w:cs="仿宋_GB2312"/>
          <w:szCs w:val="24"/>
        </w:rPr>
      </w:pPr>
      <w:r>
        <w:rPr>
          <w:rFonts w:hint="eastAsia" w:cs="仿宋_GB2312"/>
          <w:szCs w:val="24"/>
        </w:rPr>
        <w:t>投标供应商应按照招标文件采购需求中相关商务要求填写。</w:t>
      </w:r>
    </w:p>
    <w:p w14:paraId="7D144B21">
      <w:pPr>
        <w:rPr>
          <w:rFonts w:hint="eastAsia" w:cs="仿宋_GB2312"/>
          <w:szCs w:val="24"/>
        </w:rPr>
      </w:pPr>
    </w:p>
    <w:p w14:paraId="286E1873">
      <w:pPr>
        <w:ind w:firstLine="480" w:firstLineChars="200"/>
        <w:rPr>
          <w:rFonts w:hint="eastAsia" w:cs="仿宋_GB2312"/>
          <w:szCs w:val="24"/>
        </w:rPr>
      </w:pPr>
    </w:p>
    <w:p w14:paraId="6F7FF6D9">
      <w:pPr>
        <w:ind w:firstLine="480" w:firstLineChars="200"/>
        <w:rPr>
          <w:rFonts w:hint="eastAsia" w:cs="仿宋_GB2312"/>
          <w:szCs w:val="24"/>
        </w:rPr>
      </w:pPr>
      <w:r>
        <w:rPr>
          <w:rFonts w:hint="eastAsia" w:cs="仿宋_GB2312"/>
          <w:szCs w:val="24"/>
        </w:rPr>
        <w:t>投标供应商名称（盖章）：</w:t>
      </w:r>
      <w:r>
        <w:rPr>
          <w:rFonts w:cs="仿宋_GB2312"/>
          <w:szCs w:val="24"/>
        </w:rPr>
        <w:t xml:space="preserve"> </w:t>
      </w:r>
    </w:p>
    <w:p w14:paraId="2D75655F">
      <w:pPr>
        <w:ind w:firstLine="420"/>
        <w:rPr>
          <w:rFonts w:hint="eastAsia" w:cs="仿宋_GB2312"/>
          <w:szCs w:val="24"/>
        </w:rPr>
      </w:pPr>
      <w:r>
        <w:rPr>
          <w:rFonts w:hint="eastAsia" w:cs="仿宋_GB2312"/>
          <w:szCs w:val="24"/>
        </w:rPr>
        <w:t>日      期：</w:t>
      </w:r>
    </w:p>
    <w:p w14:paraId="48CDF958">
      <w:pPr>
        <w:ind w:firstLine="420"/>
        <w:rPr>
          <w:rFonts w:hint="eastAsia" w:cs="仿宋_GB2312"/>
          <w:szCs w:val="24"/>
        </w:rPr>
      </w:pPr>
      <w:r>
        <w:rPr>
          <w:rFonts w:cs="仿宋_GB2312"/>
          <w:szCs w:val="24"/>
        </w:rPr>
        <w:br w:type="page"/>
      </w:r>
    </w:p>
    <w:p w14:paraId="4CEB61BF">
      <w:pPr>
        <w:pStyle w:val="6"/>
        <w:numPr>
          <w:ilvl w:val="0"/>
          <w:numId w:val="30"/>
        </w:numPr>
        <w:rPr>
          <w:rFonts w:hint="eastAsia"/>
        </w:rPr>
      </w:pPr>
      <w:bookmarkStart w:id="373" w:name="_Toc31156"/>
      <w:r>
        <w:rPr>
          <w:rFonts w:hint="eastAsia"/>
        </w:rPr>
        <w:t>其他商务文件</w:t>
      </w:r>
      <w:bookmarkEnd w:id="373"/>
    </w:p>
    <w:p w14:paraId="2820BDE5">
      <w:pPr>
        <w:pStyle w:val="36"/>
        <w:rPr>
          <w:rFonts w:hint="eastAsia"/>
        </w:rPr>
      </w:pPr>
      <w:r>
        <w:rPr>
          <w:rFonts w:hint="eastAsia"/>
        </w:rPr>
        <w:t>1. 招标文件要求提供的其它商务资料和证明材料，</w:t>
      </w:r>
      <w:r>
        <w:rPr>
          <w:rFonts w:hint="eastAsia"/>
          <w:lang w:val="en-US"/>
        </w:rPr>
        <w:t>供应商结合评分办法内容自行拟定</w:t>
      </w:r>
      <w:r>
        <w:rPr>
          <w:rFonts w:hint="eastAsia"/>
        </w:rPr>
        <w:t>；</w:t>
      </w:r>
    </w:p>
    <w:p w14:paraId="73F657C9">
      <w:pPr>
        <w:pStyle w:val="36"/>
        <w:rPr>
          <w:rFonts w:hint="eastAsia"/>
        </w:rPr>
      </w:pPr>
      <w:r>
        <w:rPr>
          <w:rFonts w:hint="eastAsia"/>
        </w:rPr>
        <w:t>2. 投标供应商认为需要提供的其它商务资料和说明。</w:t>
      </w:r>
      <w:r>
        <w:br w:type="page"/>
      </w:r>
    </w:p>
    <w:p w14:paraId="4CE82824">
      <w:pPr>
        <w:pStyle w:val="5"/>
        <w:numPr>
          <w:ilvl w:val="0"/>
          <w:numId w:val="29"/>
        </w:numPr>
        <w:rPr>
          <w:rFonts w:hint="eastAsia"/>
        </w:rPr>
      </w:pPr>
      <w:bookmarkStart w:id="374" w:name="_Toc18450"/>
      <w:bookmarkStart w:id="375" w:name="_Toc155185935"/>
      <w:r>
        <w:rPr>
          <w:rFonts w:hint="eastAsia"/>
        </w:rPr>
        <w:t>技术部分</w:t>
      </w:r>
      <w:bookmarkEnd w:id="374"/>
      <w:bookmarkEnd w:id="375"/>
    </w:p>
    <w:p w14:paraId="7627A390">
      <w:pPr>
        <w:pStyle w:val="6"/>
        <w:numPr>
          <w:ilvl w:val="0"/>
          <w:numId w:val="31"/>
        </w:numPr>
        <w:rPr>
          <w:rFonts w:hint="eastAsia"/>
        </w:rPr>
      </w:pPr>
      <w:bookmarkStart w:id="376" w:name="_Toc28309"/>
      <w:r>
        <w:rPr>
          <w:rFonts w:hint="eastAsia"/>
        </w:rPr>
        <w:t>技术响应偏离表</w:t>
      </w:r>
      <w:bookmarkEnd w:id="376"/>
    </w:p>
    <w:p w14:paraId="415A4B2B">
      <w:pPr>
        <w:rPr>
          <w:rFonts w:hint="eastAsia" w:cs="仿宋_GB2312"/>
          <w:szCs w:val="24"/>
        </w:rPr>
      </w:pPr>
      <w:r>
        <w:rPr>
          <w:rFonts w:hint="eastAsia" w:cs="仿宋_GB2312"/>
          <w:szCs w:val="24"/>
        </w:rPr>
        <w:t xml:space="preserve">项目名称：                                         </w:t>
      </w:r>
    </w:p>
    <w:p w14:paraId="63326219">
      <w:pPr>
        <w:rPr>
          <w:rFonts w:hint="eastAsia" w:cs="仿宋_GB2312"/>
          <w:szCs w:val="24"/>
        </w:rPr>
      </w:pPr>
      <w:r>
        <w:rPr>
          <w:rFonts w:hint="eastAsia" w:cs="仿宋_GB2312"/>
          <w:szCs w:val="24"/>
        </w:rPr>
        <w:t xml:space="preserve">项目编号：         </w:t>
      </w:r>
    </w:p>
    <w:tbl>
      <w:tblPr>
        <w:tblStyle w:val="31"/>
        <w:tblW w:w="81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2551"/>
        <w:gridCol w:w="1691"/>
        <w:gridCol w:w="1669"/>
        <w:gridCol w:w="1549"/>
      </w:tblGrid>
      <w:tr w14:paraId="78562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696" w:type="dxa"/>
            <w:vAlign w:val="center"/>
          </w:tcPr>
          <w:p w14:paraId="6DFB596C">
            <w:pPr>
              <w:pStyle w:val="48"/>
              <w:rPr>
                <w:rFonts w:hint="eastAsia"/>
              </w:rPr>
            </w:pPr>
            <w:r>
              <w:rPr>
                <w:rFonts w:hint="eastAsia"/>
              </w:rPr>
              <w:t>序号</w:t>
            </w:r>
          </w:p>
        </w:tc>
        <w:tc>
          <w:tcPr>
            <w:tcW w:w="2551" w:type="dxa"/>
            <w:vAlign w:val="center"/>
          </w:tcPr>
          <w:p w14:paraId="21F6D724">
            <w:pPr>
              <w:pStyle w:val="48"/>
              <w:rPr>
                <w:rFonts w:hint="eastAsia"/>
              </w:rPr>
            </w:pPr>
            <w:r>
              <w:rPr>
                <w:rFonts w:hint="eastAsia"/>
              </w:rPr>
              <w:t>招标文件技术、服务要求条款</w:t>
            </w:r>
          </w:p>
        </w:tc>
        <w:tc>
          <w:tcPr>
            <w:tcW w:w="1691" w:type="dxa"/>
            <w:vAlign w:val="center"/>
          </w:tcPr>
          <w:p w14:paraId="7A61DB86">
            <w:pPr>
              <w:pStyle w:val="48"/>
              <w:rPr>
                <w:rFonts w:hint="eastAsia"/>
              </w:rPr>
            </w:pPr>
            <w:r>
              <w:rPr>
                <w:rFonts w:hint="eastAsia"/>
              </w:rPr>
              <w:t>投标文件内容</w:t>
            </w:r>
          </w:p>
          <w:p w14:paraId="499277B8">
            <w:pPr>
              <w:pStyle w:val="48"/>
              <w:rPr>
                <w:rFonts w:hint="eastAsia"/>
              </w:rPr>
            </w:pPr>
            <w:r>
              <w:rPr>
                <w:rFonts w:hint="eastAsia"/>
              </w:rPr>
              <w:t>对应简述</w:t>
            </w:r>
          </w:p>
        </w:tc>
        <w:tc>
          <w:tcPr>
            <w:tcW w:w="1669" w:type="dxa"/>
            <w:vAlign w:val="center"/>
          </w:tcPr>
          <w:p w14:paraId="0094B413">
            <w:pPr>
              <w:pStyle w:val="48"/>
              <w:rPr>
                <w:rFonts w:hint="eastAsia"/>
              </w:rPr>
            </w:pPr>
            <w:r>
              <w:rPr>
                <w:rFonts w:hint="eastAsia"/>
              </w:rPr>
              <w:t>响应情况</w:t>
            </w:r>
          </w:p>
        </w:tc>
        <w:tc>
          <w:tcPr>
            <w:tcW w:w="1549" w:type="dxa"/>
            <w:vAlign w:val="center"/>
          </w:tcPr>
          <w:p w14:paraId="204DA683">
            <w:pPr>
              <w:pStyle w:val="48"/>
              <w:rPr>
                <w:rFonts w:hint="eastAsia"/>
              </w:rPr>
            </w:pPr>
            <w:r>
              <w:rPr>
                <w:rFonts w:hint="eastAsia"/>
              </w:rPr>
              <w:t>说明及索引</w:t>
            </w:r>
          </w:p>
        </w:tc>
      </w:tr>
      <w:tr w14:paraId="3E6B7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96" w:type="dxa"/>
            <w:vAlign w:val="center"/>
          </w:tcPr>
          <w:p w14:paraId="35FA0EDC">
            <w:pPr>
              <w:pStyle w:val="48"/>
              <w:rPr>
                <w:rFonts w:hint="eastAsia"/>
              </w:rPr>
            </w:pPr>
            <w:r>
              <w:rPr>
                <w:rFonts w:hint="eastAsia"/>
              </w:rPr>
              <w:t>1</w:t>
            </w:r>
          </w:p>
        </w:tc>
        <w:tc>
          <w:tcPr>
            <w:tcW w:w="2551" w:type="dxa"/>
            <w:vAlign w:val="center"/>
          </w:tcPr>
          <w:p w14:paraId="140B3595">
            <w:pPr>
              <w:pStyle w:val="48"/>
              <w:rPr>
                <w:rFonts w:hint="eastAsia"/>
              </w:rPr>
            </w:pPr>
          </w:p>
        </w:tc>
        <w:tc>
          <w:tcPr>
            <w:tcW w:w="1691" w:type="dxa"/>
            <w:vAlign w:val="center"/>
          </w:tcPr>
          <w:p w14:paraId="0D609479">
            <w:pPr>
              <w:pStyle w:val="48"/>
              <w:rPr>
                <w:rFonts w:hint="eastAsia"/>
              </w:rPr>
            </w:pPr>
          </w:p>
        </w:tc>
        <w:tc>
          <w:tcPr>
            <w:tcW w:w="1669" w:type="dxa"/>
            <w:vAlign w:val="center"/>
          </w:tcPr>
          <w:p w14:paraId="2C3C2124">
            <w:pPr>
              <w:pStyle w:val="48"/>
              <w:rPr>
                <w:rFonts w:hint="eastAsia"/>
              </w:rPr>
            </w:pPr>
          </w:p>
        </w:tc>
        <w:tc>
          <w:tcPr>
            <w:tcW w:w="1549" w:type="dxa"/>
            <w:vAlign w:val="center"/>
          </w:tcPr>
          <w:p w14:paraId="44D55B67">
            <w:pPr>
              <w:pStyle w:val="48"/>
              <w:rPr>
                <w:rFonts w:hint="eastAsia"/>
              </w:rPr>
            </w:pPr>
          </w:p>
        </w:tc>
      </w:tr>
      <w:tr w14:paraId="22734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96" w:type="dxa"/>
            <w:vAlign w:val="center"/>
          </w:tcPr>
          <w:p w14:paraId="48536BB3">
            <w:pPr>
              <w:pStyle w:val="48"/>
              <w:rPr>
                <w:rFonts w:hint="eastAsia"/>
              </w:rPr>
            </w:pPr>
            <w:r>
              <w:rPr>
                <w:rFonts w:hint="eastAsia"/>
              </w:rPr>
              <w:t>2</w:t>
            </w:r>
          </w:p>
        </w:tc>
        <w:tc>
          <w:tcPr>
            <w:tcW w:w="2551" w:type="dxa"/>
            <w:vAlign w:val="center"/>
          </w:tcPr>
          <w:p w14:paraId="178B3A5E">
            <w:pPr>
              <w:pStyle w:val="48"/>
              <w:rPr>
                <w:rFonts w:hint="eastAsia"/>
              </w:rPr>
            </w:pPr>
          </w:p>
        </w:tc>
        <w:tc>
          <w:tcPr>
            <w:tcW w:w="1691" w:type="dxa"/>
            <w:vAlign w:val="center"/>
          </w:tcPr>
          <w:p w14:paraId="1D96E9DC">
            <w:pPr>
              <w:pStyle w:val="48"/>
              <w:rPr>
                <w:rFonts w:hint="eastAsia"/>
              </w:rPr>
            </w:pPr>
          </w:p>
        </w:tc>
        <w:tc>
          <w:tcPr>
            <w:tcW w:w="1669" w:type="dxa"/>
            <w:vAlign w:val="center"/>
          </w:tcPr>
          <w:p w14:paraId="70FEBC54">
            <w:pPr>
              <w:pStyle w:val="48"/>
              <w:rPr>
                <w:rFonts w:hint="eastAsia"/>
              </w:rPr>
            </w:pPr>
          </w:p>
        </w:tc>
        <w:tc>
          <w:tcPr>
            <w:tcW w:w="1549" w:type="dxa"/>
            <w:vAlign w:val="center"/>
          </w:tcPr>
          <w:p w14:paraId="351DE2E5">
            <w:pPr>
              <w:pStyle w:val="48"/>
              <w:rPr>
                <w:rFonts w:hint="eastAsia"/>
              </w:rPr>
            </w:pPr>
          </w:p>
        </w:tc>
      </w:tr>
      <w:tr w14:paraId="52F25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96" w:type="dxa"/>
          </w:tcPr>
          <w:p w14:paraId="262E423B">
            <w:pPr>
              <w:pStyle w:val="48"/>
              <w:rPr>
                <w:rFonts w:hint="eastAsia"/>
              </w:rPr>
            </w:pPr>
            <w:r>
              <w:rPr>
                <w:rFonts w:hint="eastAsia"/>
              </w:rPr>
              <w:t>3</w:t>
            </w:r>
          </w:p>
        </w:tc>
        <w:tc>
          <w:tcPr>
            <w:tcW w:w="2551" w:type="dxa"/>
          </w:tcPr>
          <w:p w14:paraId="12E9932C">
            <w:pPr>
              <w:pStyle w:val="48"/>
              <w:rPr>
                <w:rFonts w:hint="eastAsia"/>
              </w:rPr>
            </w:pPr>
          </w:p>
        </w:tc>
        <w:tc>
          <w:tcPr>
            <w:tcW w:w="1691" w:type="dxa"/>
          </w:tcPr>
          <w:p w14:paraId="31FA95FE">
            <w:pPr>
              <w:pStyle w:val="48"/>
              <w:rPr>
                <w:rFonts w:hint="eastAsia"/>
              </w:rPr>
            </w:pPr>
          </w:p>
        </w:tc>
        <w:tc>
          <w:tcPr>
            <w:tcW w:w="1669" w:type="dxa"/>
          </w:tcPr>
          <w:p w14:paraId="73440043">
            <w:pPr>
              <w:pStyle w:val="48"/>
              <w:rPr>
                <w:rFonts w:hint="eastAsia"/>
              </w:rPr>
            </w:pPr>
          </w:p>
        </w:tc>
        <w:tc>
          <w:tcPr>
            <w:tcW w:w="1549" w:type="dxa"/>
          </w:tcPr>
          <w:p w14:paraId="663E8418">
            <w:pPr>
              <w:pStyle w:val="48"/>
              <w:rPr>
                <w:rFonts w:hint="eastAsia"/>
              </w:rPr>
            </w:pPr>
          </w:p>
        </w:tc>
      </w:tr>
      <w:tr w14:paraId="4ABEF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96" w:type="dxa"/>
          </w:tcPr>
          <w:p w14:paraId="4021DE3C">
            <w:pPr>
              <w:pStyle w:val="48"/>
              <w:rPr>
                <w:rFonts w:hint="eastAsia"/>
              </w:rPr>
            </w:pPr>
          </w:p>
        </w:tc>
        <w:tc>
          <w:tcPr>
            <w:tcW w:w="2551" w:type="dxa"/>
          </w:tcPr>
          <w:p w14:paraId="47B60D57">
            <w:pPr>
              <w:pStyle w:val="48"/>
              <w:rPr>
                <w:rFonts w:hint="eastAsia"/>
              </w:rPr>
            </w:pPr>
          </w:p>
        </w:tc>
        <w:tc>
          <w:tcPr>
            <w:tcW w:w="1691" w:type="dxa"/>
          </w:tcPr>
          <w:p w14:paraId="77D2F35C">
            <w:pPr>
              <w:pStyle w:val="48"/>
              <w:rPr>
                <w:rFonts w:hint="eastAsia"/>
              </w:rPr>
            </w:pPr>
          </w:p>
        </w:tc>
        <w:tc>
          <w:tcPr>
            <w:tcW w:w="1669" w:type="dxa"/>
          </w:tcPr>
          <w:p w14:paraId="08C7427F">
            <w:pPr>
              <w:pStyle w:val="48"/>
              <w:rPr>
                <w:rFonts w:hint="eastAsia"/>
              </w:rPr>
            </w:pPr>
          </w:p>
        </w:tc>
        <w:tc>
          <w:tcPr>
            <w:tcW w:w="1549" w:type="dxa"/>
          </w:tcPr>
          <w:p w14:paraId="2EFB5D78">
            <w:pPr>
              <w:pStyle w:val="48"/>
              <w:rPr>
                <w:rFonts w:hint="eastAsia"/>
              </w:rPr>
            </w:pPr>
          </w:p>
        </w:tc>
      </w:tr>
      <w:tr w14:paraId="45754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96" w:type="dxa"/>
          </w:tcPr>
          <w:p w14:paraId="22B2A7F2">
            <w:pPr>
              <w:pStyle w:val="48"/>
              <w:rPr>
                <w:rFonts w:hint="eastAsia"/>
              </w:rPr>
            </w:pPr>
          </w:p>
        </w:tc>
        <w:tc>
          <w:tcPr>
            <w:tcW w:w="2551" w:type="dxa"/>
          </w:tcPr>
          <w:p w14:paraId="617599E4">
            <w:pPr>
              <w:pStyle w:val="48"/>
              <w:rPr>
                <w:rFonts w:hint="eastAsia"/>
              </w:rPr>
            </w:pPr>
          </w:p>
        </w:tc>
        <w:tc>
          <w:tcPr>
            <w:tcW w:w="1691" w:type="dxa"/>
          </w:tcPr>
          <w:p w14:paraId="3B0BD978">
            <w:pPr>
              <w:pStyle w:val="48"/>
              <w:rPr>
                <w:rFonts w:hint="eastAsia"/>
              </w:rPr>
            </w:pPr>
          </w:p>
        </w:tc>
        <w:tc>
          <w:tcPr>
            <w:tcW w:w="1669" w:type="dxa"/>
          </w:tcPr>
          <w:p w14:paraId="0DA16A9B">
            <w:pPr>
              <w:pStyle w:val="48"/>
              <w:rPr>
                <w:rFonts w:hint="eastAsia"/>
              </w:rPr>
            </w:pPr>
          </w:p>
        </w:tc>
        <w:tc>
          <w:tcPr>
            <w:tcW w:w="1549" w:type="dxa"/>
          </w:tcPr>
          <w:p w14:paraId="2DF2FB2B">
            <w:pPr>
              <w:pStyle w:val="48"/>
              <w:rPr>
                <w:rFonts w:hint="eastAsia"/>
              </w:rPr>
            </w:pPr>
          </w:p>
        </w:tc>
      </w:tr>
      <w:tr w14:paraId="0F42E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96" w:type="dxa"/>
          </w:tcPr>
          <w:p w14:paraId="70B665D5">
            <w:pPr>
              <w:pStyle w:val="48"/>
              <w:rPr>
                <w:rFonts w:hint="eastAsia"/>
              </w:rPr>
            </w:pPr>
          </w:p>
        </w:tc>
        <w:tc>
          <w:tcPr>
            <w:tcW w:w="2551" w:type="dxa"/>
          </w:tcPr>
          <w:p w14:paraId="3026077E">
            <w:pPr>
              <w:pStyle w:val="48"/>
              <w:rPr>
                <w:rFonts w:hint="eastAsia"/>
              </w:rPr>
            </w:pPr>
          </w:p>
        </w:tc>
        <w:tc>
          <w:tcPr>
            <w:tcW w:w="1691" w:type="dxa"/>
          </w:tcPr>
          <w:p w14:paraId="68779305">
            <w:pPr>
              <w:pStyle w:val="48"/>
              <w:rPr>
                <w:rFonts w:hint="eastAsia"/>
              </w:rPr>
            </w:pPr>
          </w:p>
        </w:tc>
        <w:tc>
          <w:tcPr>
            <w:tcW w:w="1669" w:type="dxa"/>
          </w:tcPr>
          <w:p w14:paraId="75331D5F">
            <w:pPr>
              <w:pStyle w:val="48"/>
              <w:rPr>
                <w:rFonts w:hint="eastAsia"/>
              </w:rPr>
            </w:pPr>
          </w:p>
        </w:tc>
        <w:tc>
          <w:tcPr>
            <w:tcW w:w="1549" w:type="dxa"/>
          </w:tcPr>
          <w:p w14:paraId="33E9CBA3">
            <w:pPr>
              <w:pStyle w:val="48"/>
              <w:rPr>
                <w:rFonts w:hint="eastAsia"/>
              </w:rPr>
            </w:pPr>
          </w:p>
        </w:tc>
      </w:tr>
      <w:tr w14:paraId="1E785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96" w:type="dxa"/>
          </w:tcPr>
          <w:p w14:paraId="425E58EE">
            <w:pPr>
              <w:pStyle w:val="48"/>
              <w:rPr>
                <w:rFonts w:hint="eastAsia"/>
              </w:rPr>
            </w:pPr>
          </w:p>
        </w:tc>
        <w:tc>
          <w:tcPr>
            <w:tcW w:w="2551" w:type="dxa"/>
          </w:tcPr>
          <w:p w14:paraId="05C1EE1F">
            <w:pPr>
              <w:pStyle w:val="48"/>
              <w:rPr>
                <w:rFonts w:hint="eastAsia"/>
              </w:rPr>
            </w:pPr>
          </w:p>
        </w:tc>
        <w:tc>
          <w:tcPr>
            <w:tcW w:w="1691" w:type="dxa"/>
          </w:tcPr>
          <w:p w14:paraId="01C12D52">
            <w:pPr>
              <w:pStyle w:val="48"/>
              <w:rPr>
                <w:rFonts w:hint="eastAsia"/>
              </w:rPr>
            </w:pPr>
          </w:p>
        </w:tc>
        <w:tc>
          <w:tcPr>
            <w:tcW w:w="1669" w:type="dxa"/>
          </w:tcPr>
          <w:p w14:paraId="68E83BAA">
            <w:pPr>
              <w:pStyle w:val="48"/>
              <w:rPr>
                <w:rFonts w:hint="eastAsia"/>
              </w:rPr>
            </w:pPr>
          </w:p>
        </w:tc>
        <w:tc>
          <w:tcPr>
            <w:tcW w:w="1549" w:type="dxa"/>
          </w:tcPr>
          <w:p w14:paraId="1B6982C0">
            <w:pPr>
              <w:pStyle w:val="48"/>
              <w:rPr>
                <w:rFonts w:hint="eastAsia"/>
              </w:rPr>
            </w:pPr>
          </w:p>
        </w:tc>
      </w:tr>
      <w:tr w14:paraId="4F3C4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96" w:type="dxa"/>
          </w:tcPr>
          <w:p w14:paraId="3AF4E700">
            <w:pPr>
              <w:pStyle w:val="48"/>
              <w:rPr>
                <w:rFonts w:hint="eastAsia"/>
              </w:rPr>
            </w:pPr>
          </w:p>
        </w:tc>
        <w:tc>
          <w:tcPr>
            <w:tcW w:w="2551" w:type="dxa"/>
          </w:tcPr>
          <w:p w14:paraId="59C4D784">
            <w:pPr>
              <w:pStyle w:val="48"/>
              <w:rPr>
                <w:rFonts w:hint="eastAsia"/>
              </w:rPr>
            </w:pPr>
          </w:p>
        </w:tc>
        <w:tc>
          <w:tcPr>
            <w:tcW w:w="1691" w:type="dxa"/>
          </w:tcPr>
          <w:p w14:paraId="7BCB4F91">
            <w:pPr>
              <w:pStyle w:val="48"/>
              <w:rPr>
                <w:rFonts w:hint="eastAsia"/>
              </w:rPr>
            </w:pPr>
          </w:p>
        </w:tc>
        <w:tc>
          <w:tcPr>
            <w:tcW w:w="1669" w:type="dxa"/>
          </w:tcPr>
          <w:p w14:paraId="2856D5BE">
            <w:pPr>
              <w:pStyle w:val="48"/>
              <w:rPr>
                <w:rFonts w:hint="eastAsia"/>
              </w:rPr>
            </w:pPr>
          </w:p>
        </w:tc>
        <w:tc>
          <w:tcPr>
            <w:tcW w:w="1549" w:type="dxa"/>
          </w:tcPr>
          <w:p w14:paraId="02149AF3">
            <w:pPr>
              <w:pStyle w:val="48"/>
              <w:rPr>
                <w:rFonts w:hint="eastAsia"/>
              </w:rPr>
            </w:pPr>
          </w:p>
        </w:tc>
      </w:tr>
      <w:tr w14:paraId="2761B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96" w:type="dxa"/>
          </w:tcPr>
          <w:p w14:paraId="4AABA6BE">
            <w:pPr>
              <w:pStyle w:val="48"/>
              <w:rPr>
                <w:rFonts w:hint="eastAsia"/>
              </w:rPr>
            </w:pPr>
          </w:p>
        </w:tc>
        <w:tc>
          <w:tcPr>
            <w:tcW w:w="2551" w:type="dxa"/>
          </w:tcPr>
          <w:p w14:paraId="42B5CFCE">
            <w:pPr>
              <w:pStyle w:val="48"/>
              <w:rPr>
                <w:rFonts w:hint="eastAsia"/>
              </w:rPr>
            </w:pPr>
          </w:p>
        </w:tc>
        <w:tc>
          <w:tcPr>
            <w:tcW w:w="1691" w:type="dxa"/>
          </w:tcPr>
          <w:p w14:paraId="51B141D7">
            <w:pPr>
              <w:pStyle w:val="48"/>
              <w:rPr>
                <w:rFonts w:hint="eastAsia"/>
              </w:rPr>
            </w:pPr>
          </w:p>
        </w:tc>
        <w:tc>
          <w:tcPr>
            <w:tcW w:w="1669" w:type="dxa"/>
          </w:tcPr>
          <w:p w14:paraId="718E8044">
            <w:pPr>
              <w:pStyle w:val="48"/>
              <w:rPr>
                <w:rFonts w:hint="eastAsia"/>
              </w:rPr>
            </w:pPr>
          </w:p>
        </w:tc>
        <w:tc>
          <w:tcPr>
            <w:tcW w:w="1549" w:type="dxa"/>
          </w:tcPr>
          <w:p w14:paraId="110A80FB">
            <w:pPr>
              <w:pStyle w:val="48"/>
              <w:rPr>
                <w:rFonts w:hint="eastAsia"/>
              </w:rPr>
            </w:pPr>
          </w:p>
        </w:tc>
      </w:tr>
      <w:tr w14:paraId="6C8F0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96" w:type="dxa"/>
          </w:tcPr>
          <w:p w14:paraId="726B7084">
            <w:pPr>
              <w:pStyle w:val="48"/>
              <w:rPr>
                <w:rFonts w:hint="eastAsia"/>
              </w:rPr>
            </w:pPr>
          </w:p>
        </w:tc>
        <w:tc>
          <w:tcPr>
            <w:tcW w:w="2551" w:type="dxa"/>
          </w:tcPr>
          <w:p w14:paraId="22841F9F">
            <w:pPr>
              <w:pStyle w:val="48"/>
              <w:rPr>
                <w:rFonts w:hint="eastAsia"/>
              </w:rPr>
            </w:pPr>
          </w:p>
        </w:tc>
        <w:tc>
          <w:tcPr>
            <w:tcW w:w="1691" w:type="dxa"/>
          </w:tcPr>
          <w:p w14:paraId="3DFFE834">
            <w:pPr>
              <w:pStyle w:val="48"/>
              <w:rPr>
                <w:rFonts w:hint="eastAsia"/>
              </w:rPr>
            </w:pPr>
          </w:p>
        </w:tc>
        <w:tc>
          <w:tcPr>
            <w:tcW w:w="1669" w:type="dxa"/>
          </w:tcPr>
          <w:p w14:paraId="35634680">
            <w:pPr>
              <w:pStyle w:val="48"/>
              <w:rPr>
                <w:rFonts w:hint="eastAsia"/>
              </w:rPr>
            </w:pPr>
          </w:p>
        </w:tc>
        <w:tc>
          <w:tcPr>
            <w:tcW w:w="1549" w:type="dxa"/>
          </w:tcPr>
          <w:p w14:paraId="7C59AE58">
            <w:pPr>
              <w:pStyle w:val="48"/>
              <w:rPr>
                <w:rFonts w:hint="eastAsia"/>
              </w:rPr>
            </w:pPr>
          </w:p>
        </w:tc>
      </w:tr>
      <w:tr w14:paraId="2CBC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96" w:type="dxa"/>
          </w:tcPr>
          <w:p w14:paraId="1298AC24">
            <w:pPr>
              <w:pStyle w:val="48"/>
              <w:rPr>
                <w:rFonts w:hint="eastAsia"/>
              </w:rPr>
            </w:pPr>
            <w:r>
              <w:rPr>
                <w:rFonts w:hint="eastAsia"/>
              </w:rPr>
              <w:t>……</w:t>
            </w:r>
          </w:p>
        </w:tc>
        <w:tc>
          <w:tcPr>
            <w:tcW w:w="2551" w:type="dxa"/>
          </w:tcPr>
          <w:p w14:paraId="6DE1F8CF">
            <w:pPr>
              <w:pStyle w:val="48"/>
              <w:rPr>
                <w:rFonts w:hint="eastAsia"/>
              </w:rPr>
            </w:pPr>
            <w:r>
              <w:rPr>
                <w:rFonts w:hint="eastAsia"/>
              </w:rPr>
              <w:t>…………</w:t>
            </w:r>
          </w:p>
        </w:tc>
        <w:tc>
          <w:tcPr>
            <w:tcW w:w="1691" w:type="dxa"/>
          </w:tcPr>
          <w:p w14:paraId="4532496B">
            <w:pPr>
              <w:pStyle w:val="48"/>
              <w:rPr>
                <w:rFonts w:hint="eastAsia"/>
              </w:rPr>
            </w:pPr>
            <w:r>
              <w:rPr>
                <w:rFonts w:hint="eastAsia"/>
              </w:rPr>
              <w:t>………………</w:t>
            </w:r>
          </w:p>
        </w:tc>
        <w:tc>
          <w:tcPr>
            <w:tcW w:w="1669" w:type="dxa"/>
          </w:tcPr>
          <w:p w14:paraId="44E30C21">
            <w:pPr>
              <w:pStyle w:val="48"/>
              <w:rPr>
                <w:rFonts w:hint="eastAsia"/>
              </w:rPr>
            </w:pPr>
            <w:r>
              <w:rPr>
                <w:rFonts w:hint="eastAsia"/>
              </w:rPr>
              <w:t>…………</w:t>
            </w:r>
          </w:p>
        </w:tc>
        <w:tc>
          <w:tcPr>
            <w:tcW w:w="1549" w:type="dxa"/>
          </w:tcPr>
          <w:p w14:paraId="64047130">
            <w:pPr>
              <w:pStyle w:val="48"/>
              <w:rPr>
                <w:rFonts w:hint="eastAsia"/>
              </w:rPr>
            </w:pPr>
          </w:p>
        </w:tc>
      </w:tr>
    </w:tbl>
    <w:p w14:paraId="0F29EA22">
      <w:pPr>
        <w:ind w:firstLine="480" w:firstLineChars="200"/>
        <w:rPr>
          <w:rFonts w:hint="eastAsia" w:cs="仿宋_GB2312"/>
          <w:szCs w:val="24"/>
        </w:rPr>
      </w:pPr>
      <w:r>
        <w:rPr>
          <w:rFonts w:hint="eastAsia" w:cs="仿宋_GB2312"/>
          <w:szCs w:val="24"/>
        </w:rPr>
        <w:t>说明：投标供应商应按照招标文件第三章 采购需求填写。</w:t>
      </w:r>
    </w:p>
    <w:p w14:paraId="36453F8B">
      <w:pPr>
        <w:ind w:firstLine="480" w:firstLineChars="200"/>
        <w:rPr>
          <w:rFonts w:hint="eastAsia" w:cs="仿宋_GB2312"/>
          <w:szCs w:val="24"/>
        </w:rPr>
      </w:pPr>
    </w:p>
    <w:p w14:paraId="39F02214">
      <w:pPr>
        <w:ind w:firstLine="480" w:firstLineChars="200"/>
        <w:rPr>
          <w:rFonts w:hint="eastAsia" w:cs="仿宋_GB2312"/>
          <w:szCs w:val="24"/>
        </w:rPr>
      </w:pPr>
      <w:r>
        <w:rPr>
          <w:rFonts w:hint="eastAsia" w:cs="仿宋_GB2312"/>
          <w:szCs w:val="24"/>
        </w:rPr>
        <w:t>投标供应商名称（盖章）：</w:t>
      </w:r>
    </w:p>
    <w:p w14:paraId="63317709">
      <w:pPr>
        <w:ind w:firstLine="420"/>
        <w:rPr>
          <w:rFonts w:hint="eastAsia" w:cs="仿宋_GB2312"/>
          <w:szCs w:val="24"/>
        </w:rPr>
      </w:pPr>
      <w:r>
        <w:rPr>
          <w:rFonts w:hint="eastAsia" w:cs="仿宋_GB2312"/>
          <w:szCs w:val="24"/>
        </w:rPr>
        <w:t>日      期：</w:t>
      </w:r>
    </w:p>
    <w:p w14:paraId="228A2024">
      <w:pPr>
        <w:ind w:firstLine="420"/>
        <w:rPr>
          <w:rFonts w:hint="eastAsia" w:cs="仿宋_GB2312"/>
          <w:szCs w:val="24"/>
        </w:rPr>
      </w:pPr>
      <w:r>
        <w:rPr>
          <w:rFonts w:cs="仿宋_GB2312"/>
          <w:szCs w:val="24"/>
        </w:rPr>
        <w:br w:type="page"/>
      </w:r>
    </w:p>
    <w:p w14:paraId="7CE8D2BA">
      <w:pPr>
        <w:pStyle w:val="6"/>
        <w:numPr>
          <w:ilvl w:val="0"/>
          <w:numId w:val="31"/>
        </w:numPr>
        <w:rPr>
          <w:rFonts w:hint="eastAsia"/>
        </w:rPr>
      </w:pPr>
      <w:bookmarkStart w:id="377" w:name="_Toc21281"/>
      <w:r>
        <w:rPr>
          <w:rFonts w:hint="eastAsia"/>
        </w:rPr>
        <w:t>技术</w:t>
      </w:r>
      <w:r>
        <w:rPr>
          <w:rFonts w:hint="eastAsia"/>
          <w:lang w:eastAsia="zh-CN"/>
        </w:rPr>
        <w:t>、</w:t>
      </w:r>
      <w:r>
        <w:rPr>
          <w:rFonts w:hint="eastAsia"/>
          <w:lang w:val="en-US" w:eastAsia="zh-CN"/>
        </w:rPr>
        <w:t>商务</w:t>
      </w:r>
      <w:r>
        <w:rPr>
          <w:rFonts w:hint="eastAsia"/>
        </w:rPr>
        <w:t>方案</w:t>
      </w:r>
      <w:bookmarkEnd w:id="377"/>
    </w:p>
    <w:p w14:paraId="6F8F14DA">
      <w:pPr>
        <w:spacing w:line="360" w:lineRule="auto"/>
        <w:outlineLvl w:val="1"/>
        <w:rPr>
          <w:rFonts w:hint="eastAsia" w:ascii="宋体" w:hAnsi="宋体" w:eastAsia="宋体" w:cs="宋体"/>
          <w:b/>
          <w:bCs/>
          <w:sz w:val="24"/>
          <w:szCs w:val="24"/>
        </w:rPr>
      </w:pPr>
      <w:r>
        <w:rPr>
          <w:rFonts w:hint="eastAsia" w:ascii="宋体" w:hAnsi="宋体" w:eastAsia="宋体" w:cs="宋体"/>
          <w:b/>
          <w:bCs/>
          <w:sz w:val="24"/>
          <w:szCs w:val="24"/>
        </w:rPr>
        <w:t>（一）</w:t>
      </w:r>
      <w:r>
        <w:rPr>
          <w:rFonts w:hint="eastAsia" w:ascii="宋体" w:hAnsi="宋体" w:eastAsia="宋体" w:cs="宋体"/>
          <w:sz w:val="24"/>
          <w:szCs w:val="24"/>
        </w:rPr>
        <w:t>项目前期调研情况分析；</w:t>
      </w:r>
    </w:p>
    <w:p w14:paraId="032DDC5E">
      <w:pPr>
        <w:spacing w:line="360" w:lineRule="auto"/>
        <w:outlineLvl w:val="1"/>
        <w:rPr>
          <w:rFonts w:hint="eastAsia" w:ascii="宋体" w:hAnsi="宋体" w:eastAsia="宋体" w:cs="宋体"/>
          <w:sz w:val="24"/>
          <w:szCs w:val="24"/>
        </w:rPr>
      </w:pPr>
      <w:r>
        <w:rPr>
          <w:rFonts w:hint="eastAsia" w:ascii="宋体" w:hAnsi="宋体" w:eastAsia="宋体" w:cs="宋体"/>
          <w:b/>
          <w:bCs/>
          <w:sz w:val="24"/>
          <w:szCs w:val="24"/>
        </w:rPr>
        <w:t>（二）</w:t>
      </w:r>
      <w:r>
        <w:rPr>
          <w:rFonts w:hint="eastAsia" w:ascii="宋体" w:hAnsi="宋体" w:eastAsia="宋体" w:cs="宋体"/>
          <w:sz w:val="24"/>
          <w:szCs w:val="24"/>
        </w:rPr>
        <w:t>项目作业方案；</w:t>
      </w:r>
    </w:p>
    <w:p w14:paraId="3859B8BA">
      <w:pPr>
        <w:pStyle w:val="16"/>
        <w:ind w:left="0" w:leftChars="0" w:firstLine="420" w:firstLineChars="200"/>
        <w:rPr>
          <w:rFonts w:hint="eastAsia"/>
        </w:rPr>
      </w:pPr>
      <w:r>
        <w:rPr>
          <w:rFonts w:hint="eastAsia"/>
          <w:lang w:eastAsia="zh-CN"/>
        </w:rPr>
        <w:t>（</w:t>
      </w:r>
      <w:r>
        <w:rPr>
          <w:rFonts w:hint="eastAsia"/>
        </w:rPr>
        <w:t>1）清运流程与时间管理方案</w:t>
      </w:r>
    </w:p>
    <w:p w14:paraId="75A37CB5">
      <w:pPr>
        <w:pStyle w:val="16"/>
        <w:ind w:left="0" w:leftChars="0" w:firstLine="420" w:firstLineChars="200"/>
        <w:rPr>
          <w:rFonts w:hint="eastAsia"/>
        </w:rPr>
      </w:pPr>
      <w:r>
        <w:rPr>
          <w:rFonts w:hint="eastAsia"/>
        </w:rPr>
        <w:t>（2）收集点保洁与设备维护方案</w:t>
      </w:r>
    </w:p>
    <w:p w14:paraId="5676799D">
      <w:pPr>
        <w:pStyle w:val="16"/>
        <w:ind w:left="0" w:leftChars="0" w:firstLine="420" w:firstLineChars="200"/>
        <w:rPr>
          <w:rFonts w:hint="eastAsia"/>
        </w:rPr>
      </w:pPr>
      <w:r>
        <w:rPr>
          <w:rFonts w:hint="eastAsia"/>
        </w:rPr>
        <w:t>（3）机械化作业与规范运输方案</w:t>
      </w:r>
    </w:p>
    <w:p w14:paraId="73DAED66">
      <w:pPr>
        <w:pStyle w:val="16"/>
        <w:ind w:left="0" w:leftChars="0" w:firstLine="420" w:firstLineChars="200"/>
        <w:rPr>
          <w:rFonts w:hint="eastAsia"/>
        </w:rPr>
      </w:pPr>
      <w:r>
        <w:rPr>
          <w:rFonts w:hint="eastAsia"/>
        </w:rPr>
        <w:t>（4）精细化与协同保障方案</w:t>
      </w:r>
    </w:p>
    <w:p w14:paraId="0AAD541F">
      <w:pPr>
        <w:spacing w:line="360" w:lineRule="auto"/>
        <w:outlineLvl w:val="1"/>
        <w:rPr>
          <w:rFonts w:hint="eastAsia" w:ascii="宋体" w:hAnsi="宋体" w:eastAsia="宋体" w:cs="宋体"/>
          <w:sz w:val="24"/>
          <w:szCs w:val="24"/>
        </w:rPr>
      </w:pPr>
      <w:r>
        <w:rPr>
          <w:rFonts w:hint="eastAsia" w:ascii="宋体" w:hAnsi="宋体" w:eastAsia="宋体" w:cs="宋体"/>
          <w:b/>
          <w:bCs/>
          <w:sz w:val="24"/>
          <w:szCs w:val="24"/>
        </w:rPr>
        <w:t>（三）</w:t>
      </w:r>
      <w:r>
        <w:rPr>
          <w:rFonts w:hint="eastAsia" w:ascii="宋体" w:hAnsi="宋体" w:eastAsia="宋体" w:cs="宋体"/>
          <w:sz w:val="24"/>
          <w:szCs w:val="24"/>
        </w:rPr>
        <w:t>拟派人员方案；</w:t>
      </w:r>
    </w:p>
    <w:p w14:paraId="28C8498D">
      <w:pPr>
        <w:pStyle w:val="16"/>
        <w:ind w:left="0" w:leftChars="0" w:firstLine="420" w:firstLineChars="200"/>
        <w:rPr>
          <w:rFonts w:hint="eastAsia"/>
        </w:rPr>
      </w:pPr>
      <w:r>
        <w:rPr>
          <w:rFonts w:hint="eastAsia"/>
        </w:rPr>
        <w:t>（1）项目管理架构与职责清晰度</w:t>
      </w:r>
    </w:p>
    <w:p w14:paraId="09B2367B">
      <w:pPr>
        <w:pStyle w:val="16"/>
        <w:ind w:left="0" w:leftChars="0" w:firstLine="420" w:firstLineChars="200"/>
        <w:rPr>
          <w:rFonts w:hint="eastAsia"/>
        </w:rPr>
      </w:pPr>
      <w:r>
        <w:rPr>
          <w:rFonts w:hint="eastAsia"/>
        </w:rPr>
        <w:t>（2）人员培训与考核机制</w:t>
      </w:r>
    </w:p>
    <w:p w14:paraId="0DAB18E4">
      <w:pPr>
        <w:spacing w:line="360" w:lineRule="auto"/>
        <w:outlineLvl w:val="1"/>
        <w:rPr>
          <w:rFonts w:hint="eastAsia" w:ascii="宋体" w:hAnsi="宋体" w:eastAsia="宋体" w:cs="宋体"/>
          <w:sz w:val="24"/>
          <w:szCs w:val="24"/>
        </w:rPr>
      </w:pPr>
      <w:r>
        <w:rPr>
          <w:rFonts w:hint="eastAsia" w:ascii="宋体" w:hAnsi="宋体" w:eastAsia="宋体" w:cs="宋体"/>
          <w:b/>
          <w:bCs/>
          <w:sz w:val="24"/>
          <w:szCs w:val="24"/>
        </w:rPr>
        <w:t>（四）</w:t>
      </w:r>
      <w:r>
        <w:rPr>
          <w:rFonts w:hint="eastAsia" w:ascii="宋体" w:hAnsi="宋体" w:eastAsia="宋体" w:cs="宋体"/>
          <w:sz w:val="24"/>
          <w:szCs w:val="24"/>
        </w:rPr>
        <w:t>设备投入方案；</w:t>
      </w:r>
    </w:p>
    <w:p w14:paraId="63E612CC">
      <w:pPr>
        <w:pStyle w:val="16"/>
        <w:ind w:left="0" w:leftChars="0" w:firstLine="420" w:firstLineChars="200"/>
        <w:rPr>
          <w:rFonts w:hint="eastAsia"/>
        </w:rPr>
      </w:pPr>
      <w:r>
        <w:rPr>
          <w:rFonts w:hint="eastAsia"/>
        </w:rPr>
        <w:t>（1）设备配置充足性与匹配度</w:t>
      </w:r>
    </w:p>
    <w:p w14:paraId="2508E78B">
      <w:pPr>
        <w:pStyle w:val="16"/>
        <w:ind w:left="0" w:leftChars="0" w:firstLine="420" w:firstLineChars="200"/>
        <w:rPr>
          <w:rFonts w:hint="eastAsia"/>
        </w:rPr>
      </w:pPr>
      <w:r>
        <w:rPr>
          <w:rFonts w:hint="eastAsia"/>
        </w:rPr>
        <w:t>（2）设备运营管理制度</w:t>
      </w:r>
    </w:p>
    <w:p w14:paraId="4D5AE13E">
      <w:pPr>
        <w:pStyle w:val="10"/>
        <w:spacing w:line="360" w:lineRule="auto"/>
        <w:outlineLvl w:val="1"/>
        <w:rPr>
          <w:rFonts w:hint="eastAsia" w:ascii="宋体" w:hAnsi="宋体" w:eastAsia="宋体" w:cs="宋体"/>
          <w:sz w:val="24"/>
          <w:szCs w:val="24"/>
        </w:rPr>
      </w:pPr>
      <w:r>
        <w:rPr>
          <w:rFonts w:hint="eastAsia" w:ascii="宋体" w:hAnsi="宋体" w:eastAsia="宋体" w:cs="宋体"/>
          <w:b/>
          <w:bCs/>
          <w:sz w:val="24"/>
          <w:szCs w:val="24"/>
        </w:rPr>
        <w:t>（五）</w:t>
      </w:r>
      <w:r>
        <w:rPr>
          <w:rFonts w:hint="eastAsia" w:ascii="宋体" w:hAnsi="宋体" w:eastAsia="宋体" w:cs="宋体"/>
          <w:sz w:val="24"/>
          <w:szCs w:val="24"/>
        </w:rPr>
        <w:t>项目应急处置方案；</w:t>
      </w:r>
    </w:p>
    <w:p w14:paraId="670A3A42">
      <w:pPr>
        <w:spacing w:line="360" w:lineRule="auto"/>
        <w:outlineLvl w:val="1"/>
        <w:rPr>
          <w:rFonts w:hint="eastAsia" w:ascii="宋体" w:hAnsi="宋体" w:eastAsia="宋体" w:cs="宋体"/>
          <w:b/>
          <w:bCs/>
          <w:sz w:val="24"/>
          <w:szCs w:val="24"/>
        </w:rPr>
      </w:pPr>
      <w:r>
        <w:rPr>
          <w:rFonts w:hint="eastAsia" w:ascii="宋体" w:hAnsi="宋体" w:eastAsia="宋体" w:cs="宋体"/>
          <w:b/>
          <w:bCs/>
          <w:sz w:val="24"/>
          <w:szCs w:val="24"/>
        </w:rPr>
        <w:t>（六）</w:t>
      </w:r>
      <w:r>
        <w:rPr>
          <w:rFonts w:hint="eastAsia" w:ascii="宋体" w:hAnsi="宋体" w:eastAsia="宋体" w:cs="宋体"/>
          <w:sz w:val="24"/>
          <w:szCs w:val="24"/>
        </w:rPr>
        <w:t>安全保障承诺及保障措施；</w:t>
      </w:r>
    </w:p>
    <w:p w14:paraId="57E08628">
      <w:pPr>
        <w:pStyle w:val="10"/>
        <w:spacing w:line="360" w:lineRule="auto"/>
        <w:outlineLvl w:val="1"/>
        <w:rPr>
          <w:rFonts w:hint="eastAsia" w:ascii="宋体" w:hAnsi="宋体" w:eastAsia="宋体" w:cs="宋体"/>
          <w:b/>
          <w:bCs/>
          <w:sz w:val="24"/>
          <w:szCs w:val="24"/>
        </w:rPr>
      </w:pPr>
      <w:r>
        <w:rPr>
          <w:rFonts w:hint="eastAsia" w:ascii="宋体" w:hAnsi="宋体" w:eastAsia="宋体" w:cs="宋体"/>
          <w:b/>
          <w:bCs/>
          <w:sz w:val="24"/>
          <w:szCs w:val="24"/>
        </w:rPr>
        <w:t>（七）</w:t>
      </w:r>
      <w:r>
        <w:rPr>
          <w:rFonts w:hint="eastAsia" w:ascii="宋体" w:hAnsi="宋体" w:eastAsia="宋体" w:cs="宋体"/>
          <w:sz w:val="24"/>
          <w:szCs w:val="24"/>
        </w:rPr>
        <w:t>违约责任承诺及保障措施；</w:t>
      </w:r>
    </w:p>
    <w:p w14:paraId="5AFE1F9D">
      <w:pPr>
        <w:pStyle w:val="16"/>
        <w:ind w:left="0" w:leftChars="0" w:firstLine="0" w:firstLineChars="0"/>
        <w:rPr>
          <w:rFonts w:hint="default" w:eastAsia="宋体"/>
          <w:lang w:val="en-US" w:eastAsia="zh-CN"/>
        </w:rPr>
      </w:pPr>
    </w:p>
    <w:p w14:paraId="6FF5B5F1">
      <w:pPr>
        <w:pStyle w:val="36"/>
        <w:rPr>
          <w:rFonts w:hint="eastAsia"/>
        </w:rPr>
      </w:pPr>
      <w:r>
        <w:rPr>
          <w:rFonts w:hint="eastAsia"/>
        </w:rPr>
        <w:t>投标供应商应按照招标文件的要求，提供详细的服务方案，包括文字描述或图表显示。格式自拟。</w:t>
      </w:r>
    </w:p>
    <w:p w14:paraId="61295CB0">
      <w:pPr>
        <w:pStyle w:val="36"/>
        <w:rPr>
          <w:rFonts w:hint="eastAsia"/>
        </w:rPr>
      </w:pPr>
      <w:r>
        <w:br w:type="page"/>
      </w:r>
    </w:p>
    <w:p w14:paraId="35F43F3E">
      <w:pPr>
        <w:pStyle w:val="6"/>
        <w:numPr>
          <w:ilvl w:val="0"/>
          <w:numId w:val="31"/>
        </w:numPr>
        <w:rPr>
          <w:rFonts w:hint="eastAsia"/>
        </w:rPr>
      </w:pPr>
      <w:bookmarkStart w:id="378" w:name="_Toc13937"/>
      <w:r>
        <w:rPr>
          <w:rFonts w:hint="eastAsia"/>
        </w:rPr>
        <w:t>其他技术文件</w:t>
      </w:r>
      <w:bookmarkEnd w:id="378"/>
    </w:p>
    <w:p w14:paraId="2FE29FA4">
      <w:pPr>
        <w:pStyle w:val="36"/>
        <w:rPr>
          <w:rFonts w:hint="eastAsia"/>
        </w:rPr>
      </w:pPr>
      <w:r>
        <w:rPr>
          <w:rFonts w:hint="eastAsia"/>
        </w:rPr>
        <w:t>1. 招标文件要求提供的其它技术资料和证明材料，</w:t>
      </w:r>
      <w:r>
        <w:rPr>
          <w:rFonts w:hint="eastAsia"/>
          <w:lang w:val="en-US"/>
        </w:rPr>
        <w:t>供应商根据评分办法内容自行拟定</w:t>
      </w:r>
      <w:r>
        <w:rPr>
          <w:rFonts w:hint="eastAsia"/>
        </w:rPr>
        <w:t>；</w:t>
      </w:r>
    </w:p>
    <w:p w14:paraId="08822052">
      <w:pPr>
        <w:pStyle w:val="36"/>
        <w:rPr>
          <w:rFonts w:hint="eastAsia"/>
        </w:rPr>
      </w:pPr>
      <w:r>
        <w:rPr>
          <w:rFonts w:hint="eastAsia"/>
        </w:rPr>
        <w:t>2. 投标供应商认为需要提供的其它技术资料和说明。</w:t>
      </w:r>
      <w:r>
        <w:br w:type="page"/>
      </w:r>
    </w:p>
    <w:p w14:paraId="6E9BD3F0">
      <w:pPr>
        <w:pStyle w:val="5"/>
        <w:numPr>
          <w:ilvl w:val="0"/>
          <w:numId w:val="29"/>
        </w:numPr>
        <w:rPr>
          <w:rFonts w:hint="eastAsia"/>
        </w:rPr>
      </w:pPr>
      <w:bookmarkStart w:id="379" w:name="_Toc19994"/>
      <w:r>
        <w:rPr>
          <w:rFonts w:hint="eastAsia"/>
        </w:rPr>
        <w:t>落实政府采购政策相关证明文件</w:t>
      </w:r>
      <w:bookmarkEnd w:id="379"/>
    </w:p>
    <w:p w14:paraId="2A7D4251">
      <w:pPr>
        <w:pStyle w:val="6"/>
        <w:numPr>
          <w:ilvl w:val="0"/>
          <w:numId w:val="32"/>
        </w:numPr>
        <w:rPr>
          <w:rFonts w:hint="eastAsia"/>
        </w:rPr>
      </w:pPr>
      <w:bookmarkStart w:id="380" w:name="_Toc9475"/>
      <w:r>
        <w:rPr>
          <w:rFonts w:hint="eastAsia"/>
        </w:rPr>
        <w:t>节能环保产品清单及证明材料【如适用】</w:t>
      </w:r>
      <w:bookmarkEnd w:id="380"/>
    </w:p>
    <w:p w14:paraId="7C8DB5BE">
      <w:pPr>
        <w:spacing w:line="300" w:lineRule="auto"/>
        <w:rPr>
          <w:rFonts w:ascii="Arial" w:hAnsi="Arial" w:cs="Arial"/>
          <w:szCs w:val="21"/>
          <w:u w:val="single"/>
        </w:rPr>
      </w:pPr>
      <w:r>
        <w:rPr>
          <w:rFonts w:ascii="Arial" w:hAnsi="Arial" w:cs="Arial"/>
          <w:szCs w:val="21"/>
        </w:rPr>
        <w:t>项目名称：</w:t>
      </w:r>
      <w:r>
        <w:rPr>
          <w:rFonts w:hint="eastAsia" w:ascii="Arial" w:hAnsi="Arial" w:cs="Arial"/>
          <w:szCs w:val="21"/>
        </w:rPr>
        <w:t xml:space="preserve">       </w:t>
      </w:r>
      <w:r>
        <w:rPr>
          <w:rFonts w:ascii="Arial" w:hAnsi="Arial" w:cs="Arial"/>
          <w:szCs w:val="21"/>
        </w:rPr>
        <w:t>项目编号：</w:t>
      </w:r>
      <w:r>
        <w:rPr>
          <w:rFonts w:hint="eastAsia" w:ascii="Arial" w:hAnsi="Arial" w:cs="Arial"/>
          <w:szCs w:val="21"/>
        </w:rPr>
        <w:t xml:space="preserve">       包号</w:t>
      </w:r>
      <w:r>
        <w:rPr>
          <w:rFonts w:ascii="Arial" w:hAnsi="Arial" w:cs="Arial"/>
          <w:szCs w:val="21"/>
        </w:rPr>
        <w:t>：</w:t>
      </w:r>
    </w:p>
    <w:p w14:paraId="339E1E90">
      <w:pPr>
        <w:spacing w:line="300" w:lineRule="auto"/>
        <w:rPr>
          <w:rFonts w:ascii="Arial" w:hAnsi="Arial" w:cs="Arial"/>
          <w:szCs w:val="21"/>
        </w:rPr>
      </w:pPr>
      <w:r>
        <w:rPr>
          <w:rFonts w:ascii="Arial" w:hAnsi="Arial" w:cs="Arial"/>
          <w:szCs w:val="21"/>
        </w:rPr>
        <w:t>1</w:t>
      </w:r>
      <w:r>
        <w:rPr>
          <w:rFonts w:hint="eastAsia" w:ascii="Arial" w:hAnsi="Arial" w:cs="Arial"/>
          <w:szCs w:val="21"/>
        </w:rPr>
        <w:t>）节能产品</w:t>
      </w:r>
    </w:p>
    <w:tbl>
      <w:tblPr>
        <w:tblStyle w:val="31"/>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57"/>
        <w:gridCol w:w="1518"/>
        <w:gridCol w:w="993"/>
        <w:gridCol w:w="991"/>
        <w:gridCol w:w="698"/>
        <w:gridCol w:w="708"/>
        <w:gridCol w:w="1134"/>
        <w:gridCol w:w="1097"/>
        <w:gridCol w:w="1050"/>
      </w:tblGrid>
      <w:tr w14:paraId="278C0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0BF2BC8D">
            <w:pPr>
              <w:pStyle w:val="48"/>
              <w:rPr>
                <w:rFonts w:hint="eastAsia"/>
              </w:rPr>
            </w:pPr>
            <w:r>
              <w:rPr>
                <w:rFonts w:hint="eastAsia"/>
              </w:rPr>
              <w:t>序号</w:t>
            </w:r>
          </w:p>
        </w:tc>
        <w:tc>
          <w:tcPr>
            <w:tcW w:w="1518" w:type="dxa"/>
            <w:tcBorders>
              <w:top w:val="single" w:color="auto" w:sz="4" w:space="0"/>
              <w:left w:val="single" w:color="auto" w:sz="4" w:space="0"/>
              <w:bottom w:val="single" w:color="auto" w:sz="4" w:space="0"/>
              <w:right w:val="single" w:color="auto" w:sz="4" w:space="0"/>
            </w:tcBorders>
            <w:vAlign w:val="center"/>
          </w:tcPr>
          <w:p w14:paraId="0857908A">
            <w:pPr>
              <w:pStyle w:val="48"/>
              <w:rPr>
                <w:rFonts w:hint="eastAsia"/>
              </w:rPr>
            </w:pPr>
            <w:r>
              <w:rPr>
                <w:rFonts w:hint="eastAsia"/>
              </w:rPr>
              <w:t>设备名称</w:t>
            </w:r>
          </w:p>
        </w:tc>
        <w:tc>
          <w:tcPr>
            <w:tcW w:w="993" w:type="dxa"/>
            <w:tcBorders>
              <w:top w:val="single" w:color="auto" w:sz="4" w:space="0"/>
              <w:left w:val="single" w:color="auto" w:sz="4" w:space="0"/>
              <w:bottom w:val="single" w:color="auto" w:sz="4" w:space="0"/>
              <w:right w:val="single" w:color="auto" w:sz="4" w:space="0"/>
            </w:tcBorders>
            <w:vAlign w:val="center"/>
          </w:tcPr>
          <w:p w14:paraId="7B5D9D1D">
            <w:pPr>
              <w:pStyle w:val="48"/>
              <w:rPr>
                <w:rFonts w:hint="eastAsia"/>
              </w:rPr>
            </w:pPr>
            <w:r>
              <w:rPr>
                <w:rFonts w:hint="eastAsia"/>
              </w:rPr>
              <w:t>制造商名称</w:t>
            </w:r>
          </w:p>
        </w:tc>
        <w:tc>
          <w:tcPr>
            <w:tcW w:w="991" w:type="dxa"/>
            <w:tcBorders>
              <w:top w:val="single" w:color="auto" w:sz="4" w:space="0"/>
              <w:left w:val="single" w:color="auto" w:sz="4" w:space="0"/>
              <w:bottom w:val="single" w:color="auto" w:sz="4" w:space="0"/>
              <w:right w:val="single" w:color="auto" w:sz="4" w:space="0"/>
            </w:tcBorders>
            <w:vAlign w:val="center"/>
          </w:tcPr>
          <w:p w14:paraId="2A562656">
            <w:pPr>
              <w:pStyle w:val="48"/>
              <w:rPr>
                <w:rFonts w:hint="eastAsia"/>
              </w:rPr>
            </w:pPr>
            <w:r>
              <w:rPr>
                <w:rFonts w:hint="eastAsia"/>
              </w:rPr>
              <w:t>品牌</w:t>
            </w:r>
          </w:p>
        </w:tc>
        <w:tc>
          <w:tcPr>
            <w:tcW w:w="698" w:type="dxa"/>
            <w:tcBorders>
              <w:top w:val="single" w:color="auto" w:sz="4" w:space="0"/>
              <w:left w:val="single" w:color="auto" w:sz="4" w:space="0"/>
              <w:bottom w:val="single" w:color="auto" w:sz="4" w:space="0"/>
              <w:right w:val="single" w:color="auto" w:sz="4" w:space="0"/>
            </w:tcBorders>
            <w:vAlign w:val="center"/>
          </w:tcPr>
          <w:p w14:paraId="54BDA3FD">
            <w:pPr>
              <w:pStyle w:val="48"/>
              <w:rPr>
                <w:rFonts w:hint="eastAsia"/>
              </w:rPr>
            </w:pPr>
            <w:r>
              <w:rPr>
                <w:rFonts w:hint="eastAsia"/>
              </w:rPr>
              <w:t>型号</w:t>
            </w:r>
          </w:p>
        </w:tc>
        <w:tc>
          <w:tcPr>
            <w:tcW w:w="708" w:type="dxa"/>
            <w:tcBorders>
              <w:top w:val="single" w:color="auto" w:sz="4" w:space="0"/>
              <w:left w:val="single" w:color="auto" w:sz="4" w:space="0"/>
              <w:bottom w:val="single" w:color="auto" w:sz="4" w:space="0"/>
              <w:right w:val="single" w:color="auto" w:sz="4" w:space="0"/>
            </w:tcBorders>
            <w:vAlign w:val="center"/>
          </w:tcPr>
          <w:p w14:paraId="6320299E">
            <w:pPr>
              <w:pStyle w:val="48"/>
              <w:rPr>
                <w:rFonts w:hint="eastAsia"/>
              </w:rPr>
            </w:pPr>
            <w:r>
              <w:rPr>
                <w:rFonts w:hint="eastAsia"/>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440848A6">
            <w:pPr>
              <w:pStyle w:val="48"/>
              <w:rPr>
                <w:rFonts w:hint="eastAsia"/>
              </w:rPr>
            </w:pPr>
            <w:r>
              <w:rPr>
                <w:rFonts w:hint="eastAsia"/>
              </w:rPr>
              <w:t>单价</w:t>
            </w:r>
          </w:p>
          <w:p w14:paraId="5E65FFDF">
            <w:pPr>
              <w:pStyle w:val="48"/>
              <w:rPr>
                <w:rFonts w:hint="eastAsia"/>
              </w:rPr>
            </w:pPr>
            <w:r>
              <w:rPr>
                <w:rFonts w:hint="eastAsia"/>
              </w:rPr>
              <w:t>（万元）</w:t>
            </w:r>
          </w:p>
        </w:tc>
        <w:tc>
          <w:tcPr>
            <w:tcW w:w="1097" w:type="dxa"/>
            <w:tcBorders>
              <w:top w:val="single" w:color="auto" w:sz="4" w:space="0"/>
              <w:left w:val="single" w:color="auto" w:sz="4" w:space="0"/>
              <w:bottom w:val="single" w:color="auto" w:sz="4" w:space="0"/>
              <w:right w:val="single" w:color="auto" w:sz="4" w:space="0"/>
            </w:tcBorders>
            <w:vAlign w:val="center"/>
          </w:tcPr>
          <w:p w14:paraId="56E79178">
            <w:pPr>
              <w:pStyle w:val="48"/>
              <w:rPr>
                <w:rFonts w:hint="eastAsia"/>
              </w:rPr>
            </w:pPr>
            <w:r>
              <w:rPr>
                <w:rFonts w:hint="eastAsia"/>
              </w:rPr>
              <w:t>总价</w:t>
            </w:r>
          </w:p>
          <w:p w14:paraId="4DDF9D7D">
            <w:pPr>
              <w:pStyle w:val="48"/>
              <w:rPr>
                <w:rFonts w:hint="eastAsia"/>
              </w:rPr>
            </w:pPr>
            <w:r>
              <w:rPr>
                <w:rFonts w:hint="eastAsia"/>
              </w:rPr>
              <w:t>（万元）</w:t>
            </w:r>
          </w:p>
        </w:tc>
        <w:tc>
          <w:tcPr>
            <w:tcW w:w="1050" w:type="dxa"/>
            <w:tcBorders>
              <w:top w:val="single" w:color="auto" w:sz="4" w:space="0"/>
              <w:left w:val="single" w:color="auto" w:sz="4" w:space="0"/>
              <w:bottom w:val="single" w:color="auto" w:sz="4" w:space="0"/>
              <w:right w:val="single" w:color="auto" w:sz="4" w:space="0"/>
            </w:tcBorders>
            <w:vAlign w:val="center"/>
          </w:tcPr>
          <w:p w14:paraId="678CA6D8">
            <w:pPr>
              <w:pStyle w:val="48"/>
              <w:rPr>
                <w:rFonts w:hint="eastAsia"/>
              </w:rPr>
            </w:pPr>
            <w:r>
              <w:rPr>
                <w:rFonts w:hint="eastAsia"/>
              </w:rPr>
              <w:t>属强制采购或优先采购</w:t>
            </w:r>
          </w:p>
        </w:tc>
      </w:tr>
      <w:tr w14:paraId="57A41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5F556D50">
            <w:pPr>
              <w:pStyle w:val="48"/>
              <w:numPr>
                <w:ilvl w:val="0"/>
                <w:numId w:val="33"/>
              </w:numPr>
              <w:rPr>
                <w:rFonts w:hint="eastAsia"/>
              </w:rPr>
            </w:pPr>
          </w:p>
        </w:tc>
        <w:tc>
          <w:tcPr>
            <w:tcW w:w="1518" w:type="dxa"/>
            <w:tcBorders>
              <w:top w:val="single" w:color="auto" w:sz="4" w:space="0"/>
              <w:left w:val="single" w:color="auto" w:sz="4" w:space="0"/>
              <w:bottom w:val="single" w:color="auto" w:sz="4" w:space="0"/>
              <w:right w:val="single" w:color="auto" w:sz="4" w:space="0"/>
            </w:tcBorders>
          </w:tcPr>
          <w:p w14:paraId="1835CB21">
            <w:pPr>
              <w:pStyle w:val="48"/>
              <w:rPr>
                <w:rFonts w:hint="eastAsia"/>
              </w:rPr>
            </w:pPr>
          </w:p>
        </w:tc>
        <w:tc>
          <w:tcPr>
            <w:tcW w:w="993" w:type="dxa"/>
            <w:tcBorders>
              <w:top w:val="single" w:color="auto" w:sz="4" w:space="0"/>
              <w:left w:val="single" w:color="auto" w:sz="4" w:space="0"/>
              <w:bottom w:val="single" w:color="auto" w:sz="4" w:space="0"/>
              <w:right w:val="single" w:color="auto" w:sz="4" w:space="0"/>
            </w:tcBorders>
            <w:vAlign w:val="center"/>
          </w:tcPr>
          <w:p w14:paraId="0E606297">
            <w:pPr>
              <w:pStyle w:val="48"/>
              <w:rPr>
                <w:rFonts w:hint="eastAsia"/>
              </w:rPr>
            </w:pPr>
          </w:p>
        </w:tc>
        <w:tc>
          <w:tcPr>
            <w:tcW w:w="991" w:type="dxa"/>
            <w:tcBorders>
              <w:top w:val="single" w:color="auto" w:sz="4" w:space="0"/>
              <w:left w:val="single" w:color="auto" w:sz="4" w:space="0"/>
              <w:bottom w:val="single" w:color="auto" w:sz="4" w:space="0"/>
              <w:right w:val="single" w:color="auto" w:sz="4" w:space="0"/>
            </w:tcBorders>
            <w:vAlign w:val="center"/>
          </w:tcPr>
          <w:p w14:paraId="4BD4B227">
            <w:pPr>
              <w:pStyle w:val="48"/>
              <w:rPr>
                <w:rFonts w:hint="eastAsia"/>
              </w:rPr>
            </w:pPr>
          </w:p>
        </w:tc>
        <w:tc>
          <w:tcPr>
            <w:tcW w:w="698" w:type="dxa"/>
            <w:tcBorders>
              <w:top w:val="single" w:color="auto" w:sz="4" w:space="0"/>
              <w:left w:val="single" w:color="auto" w:sz="4" w:space="0"/>
              <w:bottom w:val="single" w:color="auto" w:sz="4" w:space="0"/>
              <w:right w:val="single" w:color="auto" w:sz="4" w:space="0"/>
            </w:tcBorders>
            <w:vAlign w:val="center"/>
          </w:tcPr>
          <w:p w14:paraId="55DD00A6">
            <w:pPr>
              <w:pStyle w:val="48"/>
              <w:rPr>
                <w:rFonts w:hint="eastAsia"/>
              </w:rPr>
            </w:pPr>
          </w:p>
        </w:tc>
        <w:tc>
          <w:tcPr>
            <w:tcW w:w="708" w:type="dxa"/>
            <w:tcBorders>
              <w:top w:val="single" w:color="auto" w:sz="4" w:space="0"/>
              <w:left w:val="single" w:color="auto" w:sz="4" w:space="0"/>
              <w:bottom w:val="single" w:color="auto" w:sz="4" w:space="0"/>
              <w:right w:val="single" w:color="auto" w:sz="4" w:space="0"/>
            </w:tcBorders>
            <w:vAlign w:val="center"/>
          </w:tcPr>
          <w:p w14:paraId="195612CE">
            <w:pPr>
              <w:pStyle w:val="48"/>
              <w:rPr>
                <w:rFonts w:hint="eastAsia"/>
              </w:rPr>
            </w:pPr>
          </w:p>
        </w:tc>
        <w:tc>
          <w:tcPr>
            <w:tcW w:w="1134" w:type="dxa"/>
            <w:tcBorders>
              <w:top w:val="single" w:color="auto" w:sz="4" w:space="0"/>
              <w:left w:val="single" w:color="auto" w:sz="4" w:space="0"/>
              <w:bottom w:val="single" w:color="auto" w:sz="4" w:space="0"/>
              <w:right w:val="single" w:color="auto" w:sz="4" w:space="0"/>
            </w:tcBorders>
            <w:vAlign w:val="center"/>
          </w:tcPr>
          <w:p w14:paraId="522761BF">
            <w:pPr>
              <w:pStyle w:val="48"/>
              <w:rPr>
                <w:rFonts w:hint="eastAsia"/>
              </w:rPr>
            </w:pPr>
          </w:p>
        </w:tc>
        <w:tc>
          <w:tcPr>
            <w:tcW w:w="1097" w:type="dxa"/>
            <w:tcBorders>
              <w:top w:val="single" w:color="auto" w:sz="4" w:space="0"/>
              <w:left w:val="single" w:color="auto" w:sz="4" w:space="0"/>
              <w:bottom w:val="single" w:color="auto" w:sz="4" w:space="0"/>
              <w:right w:val="single" w:color="auto" w:sz="4" w:space="0"/>
            </w:tcBorders>
            <w:vAlign w:val="center"/>
          </w:tcPr>
          <w:p w14:paraId="2937D1B9">
            <w:pPr>
              <w:pStyle w:val="48"/>
              <w:rPr>
                <w:rFonts w:hint="eastAsia"/>
              </w:rPr>
            </w:pPr>
          </w:p>
        </w:tc>
        <w:tc>
          <w:tcPr>
            <w:tcW w:w="1050" w:type="dxa"/>
            <w:tcBorders>
              <w:top w:val="single" w:color="auto" w:sz="4" w:space="0"/>
              <w:left w:val="single" w:color="auto" w:sz="4" w:space="0"/>
              <w:bottom w:val="single" w:color="auto" w:sz="4" w:space="0"/>
              <w:right w:val="single" w:color="auto" w:sz="4" w:space="0"/>
            </w:tcBorders>
            <w:vAlign w:val="center"/>
          </w:tcPr>
          <w:p w14:paraId="155CBDD2">
            <w:pPr>
              <w:pStyle w:val="48"/>
              <w:rPr>
                <w:rFonts w:hint="eastAsia"/>
              </w:rPr>
            </w:pPr>
          </w:p>
        </w:tc>
      </w:tr>
      <w:tr w14:paraId="7D57B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5E6578E2">
            <w:pPr>
              <w:pStyle w:val="48"/>
              <w:numPr>
                <w:ilvl w:val="0"/>
                <w:numId w:val="33"/>
              </w:numPr>
              <w:rPr>
                <w:rFonts w:hint="eastAsia"/>
              </w:rPr>
            </w:pPr>
          </w:p>
        </w:tc>
        <w:tc>
          <w:tcPr>
            <w:tcW w:w="1518" w:type="dxa"/>
            <w:tcBorders>
              <w:top w:val="single" w:color="auto" w:sz="4" w:space="0"/>
              <w:left w:val="single" w:color="auto" w:sz="4" w:space="0"/>
              <w:bottom w:val="single" w:color="auto" w:sz="4" w:space="0"/>
              <w:right w:val="single" w:color="auto" w:sz="4" w:space="0"/>
            </w:tcBorders>
          </w:tcPr>
          <w:p w14:paraId="4FA5689B">
            <w:pPr>
              <w:pStyle w:val="48"/>
              <w:rPr>
                <w:rFonts w:hint="eastAsia"/>
              </w:rPr>
            </w:pPr>
          </w:p>
        </w:tc>
        <w:tc>
          <w:tcPr>
            <w:tcW w:w="993" w:type="dxa"/>
            <w:tcBorders>
              <w:top w:val="single" w:color="auto" w:sz="4" w:space="0"/>
              <w:left w:val="single" w:color="auto" w:sz="4" w:space="0"/>
              <w:bottom w:val="single" w:color="auto" w:sz="4" w:space="0"/>
              <w:right w:val="single" w:color="auto" w:sz="4" w:space="0"/>
            </w:tcBorders>
            <w:vAlign w:val="center"/>
          </w:tcPr>
          <w:p w14:paraId="12D9B0CB">
            <w:pPr>
              <w:pStyle w:val="48"/>
              <w:rPr>
                <w:rFonts w:hint="eastAsia"/>
              </w:rPr>
            </w:pPr>
          </w:p>
        </w:tc>
        <w:tc>
          <w:tcPr>
            <w:tcW w:w="991" w:type="dxa"/>
            <w:tcBorders>
              <w:top w:val="single" w:color="auto" w:sz="4" w:space="0"/>
              <w:left w:val="single" w:color="auto" w:sz="4" w:space="0"/>
              <w:bottom w:val="single" w:color="auto" w:sz="4" w:space="0"/>
              <w:right w:val="single" w:color="auto" w:sz="4" w:space="0"/>
            </w:tcBorders>
            <w:vAlign w:val="center"/>
          </w:tcPr>
          <w:p w14:paraId="71AF95BC">
            <w:pPr>
              <w:pStyle w:val="48"/>
              <w:rPr>
                <w:rFonts w:hint="eastAsia"/>
              </w:rPr>
            </w:pPr>
          </w:p>
        </w:tc>
        <w:tc>
          <w:tcPr>
            <w:tcW w:w="698" w:type="dxa"/>
            <w:tcBorders>
              <w:top w:val="single" w:color="auto" w:sz="4" w:space="0"/>
              <w:left w:val="single" w:color="auto" w:sz="4" w:space="0"/>
              <w:bottom w:val="single" w:color="auto" w:sz="4" w:space="0"/>
              <w:right w:val="single" w:color="auto" w:sz="4" w:space="0"/>
            </w:tcBorders>
            <w:vAlign w:val="center"/>
          </w:tcPr>
          <w:p w14:paraId="7CDC8584">
            <w:pPr>
              <w:pStyle w:val="48"/>
              <w:rPr>
                <w:rFonts w:hint="eastAsia"/>
              </w:rPr>
            </w:pPr>
          </w:p>
        </w:tc>
        <w:tc>
          <w:tcPr>
            <w:tcW w:w="708" w:type="dxa"/>
            <w:tcBorders>
              <w:top w:val="single" w:color="auto" w:sz="4" w:space="0"/>
              <w:left w:val="single" w:color="auto" w:sz="4" w:space="0"/>
              <w:bottom w:val="single" w:color="auto" w:sz="4" w:space="0"/>
              <w:right w:val="single" w:color="auto" w:sz="4" w:space="0"/>
            </w:tcBorders>
            <w:vAlign w:val="center"/>
          </w:tcPr>
          <w:p w14:paraId="42EED276">
            <w:pPr>
              <w:pStyle w:val="48"/>
              <w:rPr>
                <w:rFonts w:hint="eastAsia"/>
              </w:rPr>
            </w:pPr>
          </w:p>
        </w:tc>
        <w:tc>
          <w:tcPr>
            <w:tcW w:w="1134" w:type="dxa"/>
            <w:tcBorders>
              <w:top w:val="single" w:color="auto" w:sz="4" w:space="0"/>
              <w:left w:val="single" w:color="auto" w:sz="4" w:space="0"/>
              <w:bottom w:val="single" w:color="auto" w:sz="4" w:space="0"/>
              <w:right w:val="single" w:color="auto" w:sz="4" w:space="0"/>
            </w:tcBorders>
            <w:vAlign w:val="center"/>
          </w:tcPr>
          <w:p w14:paraId="5896A067">
            <w:pPr>
              <w:pStyle w:val="48"/>
              <w:rPr>
                <w:rFonts w:hint="eastAsia"/>
              </w:rPr>
            </w:pPr>
          </w:p>
        </w:tc>
        <w:tc>
          <w:tcPr>
            <w:tcW w:w="1097" w:type="dxa"/>
            <w:tcBorders>
              <w:top w:val="single" w:color="auto" w:sz="4" w:space="0"/>
              <w:left w:val="single" w:color="auto" w:sz="4" w:space="0"/>
              <w:bottom w:val="single" w:color="auto" w:sz="4" w:space="0"/>
              <w:right w:val="single" w:color="auto" w:sz="4" w:space="0"/>
            </w:tcBorders>
            <w:vAlign w:val="center"/>
          </w:tcPr>
          <w:p w14:paraId="3C850F45">
            <w:pPr>
              <w:pStyle w:val="48"/>
              <w:rPr>
                <w:rFonts w:hint="eastAsia"/>
              </w:rPr>
            </w:pPr>
          </w:p>
        </w:tc>
        <w:tc>
          <w:tcPr>
            <w:tcW w:w="1050" w:type="dxa"/>
            <w:tcBorders>
              <w:top w:val="single" w:color="auto" w:sz="4" w:space="0"/>
              <w:left w:val="single" w:color="auto" w:sz="4" w:space="0"/>
              <w:bottom w:val="single" w:color="auto" w:sz="4" w:space="0"/>
              <w:right w:val="single" w:color="auto" w:sz="4" w:space="0"/>
            </w:tcBorders>
            <w:vAlign w:val="center"/>
          </w:tcPr>
          <w:p w14:paraId="6A83C99D">
            <w:pPr>
              <w:pStyle w:val="48"/>
              <w:rPr>
                <w:rFonts w:hint="eastAsia"/>
              </w:rPr>
            </w:pPr>
          </w:p>
        </w:tc>
      </w:tr>
      <w:tr w14:paraId="38F61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09ABD7AC">
            <w:pPr>
              <w:pStyle w:val="48"/>
              <w:numPr>
                <w:ilvl w:val="0"/>
                <w:numId w:val="33"/>
              </w:numPr>
              <w:rPr>
                <w:rFonts w:hint="eastAsia"/>
              </w:rPr>
            </w:pPr>
          </w:p>
        </w:tc>
        <w:tc>
          <w:tcPr>
            <w:tcW w:w="1518" w:type="dxa"/>
            <w:tcBorders>
              <w:top w:val="single" w:color="auto" w:sz="4" w:space="0"/>
              <w:left w:val="single" w:color="auto" w:sz="4" w:space="0"/>
              <w:bottom w:val="single" w:color="auto" w:sz="4" w:space="0"/>
              <w:right w:val="single" w:color="auto" w:sz="4" w:space="0"/>
            </w:tcBorders>
            <w:vAlign w:val="center"/>
          </w:tcPr>
          <w:p w14:paraId="7C24E6B1">
            <w:pPr>
              <w:pStyle w:val="48"/>
              <w:rPr>
                <w:rFonts w:hint="eastAsia"/>
              </w:rPr>
            </w:pPr>
            <w:r>
              <w:t>……</w:t>
            </w:r>
          </w:p>
        </w:tc>
        <w:tc>
          <w:tcPr>
            <w:tcW w:w="993" w:type="dxa"/>
            <w:tcBorders>
              <w:top w:val="single" w:color="auto" w:sz="4" w:space="0"/>
              <w:left w:val="single" w:color="auto" w:sz="4" w:space="0"/>
              <w:bottom w:val="single" w:color="auto" w:sz="4" w:space="0"/>
              <w:right w:val="single" w:color="auto" w:sz="4" w:space="0"/>
            </w:tcBorders>
            <w:vAlign w:val="center"/>
          </w:tcPr>
          <w:p w14:paraId="78C21187">
            <w:pPr>
              <w:pStyle w:val="48"/>
              <w:rPr>
                <w:rFonts w:hint="eastAsia"/>
              </w:rPr>
            </w:pPr>
          </w:p>
        </w:tc>
        <w:tc>
          <w:tcPr>
            <w:tcW w:w="991" w:type="dxa"/>
            <w:tcBorders>
              <w:top w:val="single" w:color="auto" w:sz="4" w:space="0"/>
              <w:left w:val="single" w:color="auto" w:sz="4" w:space="0"/>
              <w:bottom w:val="single" w:color="auto" w:sz="4" w:space="0"/>
              <w:right w:val="single" w:color="auto" w:sz="4" w:space="0"/>
            </w:tcBorders>
            <w:vAlign w:val="center"/>
          </w:tcPr>
          <w:p w14:paraId="08AC9FE6">
            <w:pPr>
              <w:pStyle w:val="48"/>
              <w:rPr>
                <w:rFonts w:hint="eastAsia"/>
              </w:rPr>
            </w:pPr>
          </w:p>
        </w:tc>
        <w:tc>
          <w:tcPr>
            <w:tcW w:w="698" w:type="dxa"/>
            <w:tcBorders>
              <w:top w:val="single" w:color="auto" w:sz="4" w:space="0"/>
              <w:left w:val="single" w:color="auto" w:sz="4" w:space="0"/>
              <w:bottom w:val="single" w:color="auto" w:sz="4" w:space="0"/>
              <w:right w:val="single" w:color="auto" w:sz="4" w:space="0"/>
            </w:tcBorders>
            <w:vAlign w:val="center"/>
          </w:tcPr>
          <w:p w14:paraId="24C2347C">
            <w:pPr>
              <w:pStyle w:val="48"/>
              <w:rPr>
                <w:rFonts w:hint="eastAsia"/>
              </w:rPr>
            </w:pPr>
          </w:p>
        </w:tc>
        <w:tc>
          <w:tcPr>
            <w:tcW w:w="708" w:type="dxa"/>
            <w:tcBorders>
              <w:top w:val="single" w:color="auto" w:sz="4" w:space="0"/>
              <w:left w:val="single" w:color="auto" w:sz="4" w:space="0"/>
              <w:bottom w:val="single" w:color="auto" w:sz="4" w:space="0"/>
              <w:right w:val="single" w:color="auto" w:sz="4" w:space="0"/>
            </w:tcBorders>
            <w:vAlign w:val="center"/>
          </w:tcPr>
          <w:p w14:paraId="257BADFC">
            <w:pPr>
              <w:pStyle w:val="48"/>
              <w:rPr>
                <w:rFonts w:hint="eastAsia"/>
              </w:rPr>
            </w:pPr>
          </w:p>
        </w:tc>
        <w:tc>
          <w:tcPr>
            <w:tcW w:w="1134" w:type="dxa"/>
            <w:tcBorders>
              <w:top w:val="single" w:color="auto" w:sz="4" w:space="0"/>
              <w:left w:val="single" w:color="auto" w:sz="4" w:space="0"/>
              <w:bottom w:val="single" w:color="auto" w:sz="4" w:space="0"/>
              <w:right w:val="single" w:color="auto" w:sz="4" w:space="0"/>
            </w:tcBorders>
            <w:vAlign w:val="center"/>
          </w:tcPr>
          <w:p w14:paraId="2DCC381A">
            <w:pPr>
              <w:pStyle w:val="48"/>
              <w:rPr>
                <w:rFonts w:hint="eastAsia"/>
              </w:rPr>
            </w:pPr>
          </w:p>
        </w:tc>
        <w:tc>
          <w:tcPr>
            <w:tcW w:w="1097" w:type="dxa"/>
            <w:tcBorders>
              <w:top w:val="single" w:color="auto" w:sz="4" w:space="0"/>
              <w:left w:val="single" w:color="auto" w:sz="4" w:space="0"/>
              <w:bottom w:val="single" w:color="auto" w:sz="4" w:space="0"/>
              <w:right w:val="single" w:color="auto" w:sz="4" w:space="0"/>
            </w:tcBorders>
            <w:vAlign w:val="center"/>
          </w:tcPr>
          <w:p w14:paraId="645A471B">
            <w:pPr>
              <w:pStyle w:val="48"/>
              <w:rPr>
                <w:rFonts w:hint="eastAsia"/>
              </w:rPr>
            </w:pPr>
          </w:p>
        </w:tc>
        <w:tc>
          <w:tcPr>
            <w:tcW w:w="1050" w:type="dxa"/>
            <w:tcBorders>
              <w:top w:val="single" w:color="auto" w:sz="4" w:space="0"/>
              <w:left w:val="single" w:color="auto" w:sz="4" w:space="0"/>
              <w:bottom w:val="single" w:color="auto" w:sz="4" w:space="0"/>
              <w:right w:val="single" w:color="auto" w:sz="4" w:space="0"/>
            </w:tcBorders>
            <w:vAlign w:val="center"/>
          </w:tcPr>
          <w:p w14:paraId="44A09F9B">
            <w:pPr>
              <w:pStyle w:val="48"/>
              <w:rPr>
                <w:rFonts w:hint="eastAsia"/>
              </w:rPr>
            </w:pPr>
          </w:p>
        </w:tc>
      </w:tr>
    </w:tbl>
    <w:p w14:paraId="653F242A">
      <w:pPr>
        <w:spacing w:line="300" w:lineRule="auto"/>
        <w:rPr>
          <w:rFonts w:ascii="Arial" w:hAnsi="Arial" w:cs="Arial"/>
          <w:szCs w:val="21"/>
        </w:rPr>
      </w:pPr>
    </w:p>
    <w:p w14:paraId="72E898FC">
      <w:pPr>
        <w:spacing w:line="300" w:lineRule="auto"/>
        <w:rPr>
          <w:rFonts w:ascii="Arial" w:hAnsi="Arial" w:cs="Arial"/>
          <w:szCs w:val="21"/>
        </w:rPr>
      </w:pPr>
      <w:r>
        <w:rPr>
          <w:rFonts w:ascii="Arial" w:hAnsi="Arial" w:cs="Arial"/>
          <w:szCs w:val="21"/>
        </w:rPr>
        <w:t>2</w:t>
      </w:r>
      <w:r>
        <w:rPr>
          <w:rFonts w:hint="eastAsia" w:ascii="Arial" w:hAnsi="Arial" w:cs="Arial"/>
          <w:szCs w:val="21"/>
        </w:rPr>
        <w:t>）环保产品</w:t>
      </w:r>
    </w:p>
    <w:tbl>
      <w:tblPr>
        <w:tblStyle w:val="31"/>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76"/>
        <w:gridCol w:w="1728"/>
        <w:gridCol w:w="1186"/>
        <w:gridCol w:w="848"/>
        <w:gridCol w:w="848"/>
        <w:gridCol w:w="945"/>
        <w:gridCol w:w="1450"/>
        <w:gridCol w:w="1165"/>
      </w:tblGrid>
      <w:tr w14:paraId="0407E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0DBEB88F">
            <w:pPr>
              <w:pStyle w:val="48"/>
              <w:rPr>
                <w:rFonts w:hint="eastAsia"/>
              </w:rPr>
            </w:pPr>
            <w:r>
              <w:rPr>
                <w:rFonts w:hint="eastAsia"/>
              </w:rPr>
              <w:t>序号</w:t>
            </w:r>
          </w:p>
        </w:tc>
        <w:tc>
          <w:tcPr>
            <w:tcW w:w="1728" w:type="dxa"/>
            <w:tcBorders>
              <w:top w:val="single" w:color="auto" w:sz="4" w:space="0"/>
              <w:left w:val="single" w:color="auto" w:sz="4" w:space="0"/>
              <w:bottom w:val="single" w:color="auto" w:sz="4" w:space="0"/>
              <w:right w:val="single" w:color="auto" w:sz="4" w:space="0"/>
            </w:tcBorders>
            <w:vAlign w:val="center"/>
          </w:tcPr>
          <w:p w14:paraId="6C33C08D">
            <w:pPr>
              <w:pStyle w:val="48"/>
              <w:rPr>
                <w:rFonts w:hint="eastAsia"/>
              </w:rPr>
            </w:pPr>
            <w:r>
              <w:rPr>
                <w:rFonts w:hint="eastAsia"/>
              </w:rPr>
              <w:t>设备名称</w:t>
            </w:r>
          </w:p>
        </w:tc>
        <w:tc>
          <w:tcPr>
            <w:tcW w:w="1186" w:type="dxa"/>
            <w:tcBorders>
              <w:top w:val="single" w:color="auto" w:sz="4" w:space="0"/>
              <w:left w:val="single" w:color="auto" w:sz="4" w:space="0"/>
              <w:bottom w:val="single" w:color="auto" w:sz="4" w:space="0"/>
              <w:right w:val="single" w:color="auto" w:sz="4" w:space="0"/>
            </w:tcBorders>
            <w:vAlign w:val="center"/>
          </w:tcPr>
          <w:p w14:paraId="1E735AA5">
            <w:pPr>
              <w:pStyle w:val="48"/>
              <w:rPr>
                <w:rFonts w:hint="eastAsia"/>
              </w:rPr>
            </w:pPr>
            <w:r>
              <w:rPr>
                <w:rFonts w:hint="eastAsia"/>
              </w:rPr>
              <w:t>制造商</w:t>
            </w:r>
          </w:p>
          <w:p w14:paraId="3DD1140B">
            <w:pPr>
              <w:pStyle w:val="48"/>
              <w:rPr>
                <w:rFonts w:hint="eastAsia"/>
              </w:rPr>
            </w:pPr>
            <w:r>
              <w:rPr>
                <w:rFonts w:hint="eastAsia"/>
              </w:rPr>
              <w:t>名称</w:t>
            </w:r>
          </w:p>
        </w:tc>
        <w:tc>
          <w:tcPr>
            <w:tcW w:w="848" w:type="dxa"/>
            <w:tcBorders>
              <w:top w:val="single" w:color="auto" w:sz="4" w:space="0"/>
              <w:left w:val="single" w:color="auto" w:sz="4" w:space="0"/>
              <w:bottom w:val="single" w:color="auto" w:sz="4" w:space="0"/>
              <w:right w:val="single" w:color="auto" w:sz="4" w:space="0"/>
            </w:tcBorders>
            <w:vAlign w:val="center"/>
          </w:tcPr>
          <w:p w14:paraId="340586F4">
            <w:pPr>
              <w:pStyle w:val="48"/>
              <w:rPr>
                <w:rFonts w:hint="eastAsia"/>
              </w:rPr>
            </w:pPr>
            <w:r>
              <w:rPr>
                <w:rFonts w:hint="eastAsia"/>
              </w:rPr>
              <w:t>品牌</w:t>
            </w:r>
          </w:p>
        </w:tc>
        <w:tc>
          <w:tcPr>
            <w:tcW w:w="848" w:type="dxa"/>
            <w:tcBorders>
              <w:top w:val="single" w:color="auto" w:sz="4" w:space="0"/>
              <w:left w:val="single" w:color="auto" w:sz="4" w:space="0"/>
              <w:bottom w:val="single" w:color="auto" w:sz="4" w:space="0"/>
              <w:right w:val="single" w:color="auto" w:sz="4" w:space="0"/>
            </w:tcBorders>
            <w:vAlign w:val="center"/>
          </w:tcPr>
          <w:p w14:paraId="44C145A8">
            <w:pPr>
              <w:pStyle w:val="48"/>
              <w:rPr>
                <w:rFonts w:hint="eastAsia"/>
              </w:rPr>
            </w:pPr>
            <w:r>
              <w:rPr>
                <w:rFonts w:hint="eastAsia"/>
              </w:rPr>
              <w:t>型号</w:t>
            </w:r>
          </w:p>
        </w:tc>
        <w:tc>
          <w:tcPr>
            <w:tcW w:w="945" w:type="dxa"/>
            <w:tcBorders>
              <w:top w:val="single" w:color="auto" w:sz="4" w:space="0"/>
              <w:left w:val="single" w:color="auto" w:sz="4" w:space="0"/>
              <w:bottom w:val="single" w:color="auto" w:sz="4" w:space="0"/>
              <w:right w:val="single" w:color="auto" w:sz="4" w:space="0"/>
            </w:tcBorders>
            <w:vAlign w:val="center"/>
          </w:tcPr>
          <w:p w14:paraId="5A88563A">
            <w:pPr>
              <w:pStyle w:val="48"/>
              <w:rPr>
                <w:rFonts w:hint="eastAsia"/>
              </w:rPr>
            </w:pPr>
            <w:r>
              <w:rPr>
                <w:rFonts w:hint="eastAsia"/>
              </w:rPr>
              <w:t>数量</w:t>
            </w:r>
          </w:p>
        </w:tc>
        <w:tc>
          <w:tcPr>
            <w:tcW w:w="1450" w:type="dxa"/>
            <w:tcBorders>
              <w:top w:val="single" w:color="auto" w:sz="4" w:space="0"/>
              <w:left w:val="single" w:color="auto" w:sz="4" w:space="0"/>
              <w:bottom w:val="single" w:color="auto" w:sz="4" w:space="0"/>
              <w:right w:val="single" w:color="auto" w:sz="4" w:space="0"/>
            </w:tcBorders>
            <w:vAlign w:val="center"/>
          </w:tcPr>
          <w:p w14:paraId="707C329F">
            <w:pPr>
              <w:pStyle w:val="48"/>
              <w:rPr>
                <w:rFonts w:hint="eastAsia"/>
              </w:rPr>
            </w:pPr>
            <w:r>
              <w:rPr>
                <w:rFonts w:hint="eastAsia"/>
              </w:rPr>
              <w:t>单价</w:t>
            </w:r>
          </w:p>
          <w:p w14:paraId="79ACFCA3">
            <w:pPr>
              <w:pStyle w:val="48"/>
              <w:rPr>
                <w:rFonts w:hint="eastAsia"/>
              </w:rPr>
            </w:pPr>
            <w:r>
              <w:rPr>
                <w:rFonts w:hint="eastAsia"/>
              </w:rPr>
              <w:t>（万元）</w:t>
            </w:r>
          </w:p>
        </w:tc>
        <w:tc>
          <w:tcPr>
            <w:tcW w:w="1165" w:type="dxa"/>
            <w:tcBorders>
              <w:top w:val="single" w:color="auto" w:sz="4" w:space="0"/>
              <w:left w:val="single" w:color="auto" w:sz="4" w:space="0"/>
              <w:bottom w:val="single" w:color="auto" w:sz="4" w:space="0"/>
              <w:right w:val="single" w:color="auto" w:sz="4" w:space="0"/>
            </w:tcBorders>
            <w:vAlign w:val="center"/>
          </w:tcPr>
          <w:p w14:paraId="41C4DE03">
            <w:pPr>
              <w:pStyle w:val="48"/>
              <w:rPr>
                <w:rFonts w:hint="eastAsia"/>
              </w:rPr>
            </w:pPr>
            <w:r>
              <w:rPr>
                <w:rFonts w:hint="eastAsia"/>
              </w:rPr>
              <w:t>总价</w:t>
            </w:r>
          </w:p>
          <w:p w14:paraId="52294D68">
            <w:pPr>
              <w:pStyle w:val="48"/>
              <w:rPr>
                <w:rFonts w:hint="eastAsia"/>
              </w:rPr>
            </w:pPr>
            <w:r>
              <w:rPr>
                <w:rFonts w:hint="eastAsia"/>
              </w:rPr>
              <w:t>（万元）</w:t>
            </w:r>
          </w:p>
        </w:tc>
      </w:tr>
      <w:tr w14:paraId="13E7C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368E1771">
            <w:pPr>
              <w:pStyle w:val="48"/>
              <w:numPr>
                <w:ilvl w:val="0"/>
                <w:numId w:val="34"/>
              </w:numPr>
              <w:rPr>
                <w:rFonts w:hint="eastAsia"/>
              </w:rPr>
            </w:pPr>
          </w:p>
        </w:tc>
        <w:tc>
          <w:tcPr>
            <w:tcW w:w="1728" w:type="dxa"/>
            <w:tcBorders>
              <w:top w:val="single" w:color="auto" w:sz="4" w:space="0"/>
              <w:left w:val="single" w:color="auto" w:sz="4" w:space="0"/>
              <w:bottom w:val="single" w:color="auto" w:sz="4" w:space="0"/>
              <w:right w:val="single" w:color="auto" w:sz="4" w:space="0"/>
            </w:tcBorders>
          </w:tcPr>
          <w:p w14:paraId="3385C511">
            <w:pPr>
              <w:pStyle w:val="48"/>
              <w:rPr>
                <w:rFonts w:hint="eastAsia"/>
              </w:rPr>
            </w:pPr>
          </w:p>
        </w:tc>
        <w:tc>
          <w:tcPr>
            <w:tcW w:w="1186" w:type="dxa"/>
            <w:tcBorders>
              <w:top w:val="single" w:color="auto" w:sz="4" w:space="0"/>
              <w:left w:val="single" w:color="auto" w:sz="4" w:space="0"/>
              <w:bottom w:val="single" w:color="auto" w:sz="4" w:space="0"/>
              <w:right w:val="single" w:color="auto" w:sz="4" w:space="0"/>
            </w:tcBorders>
            <w:vAlign w:val="center"/>
          </w:tcPr>
          <w:p w14:paraId="4AD22627">
            <w:pPr>
              <w:pStyle w:val="48"/>
              <w:rPr>
                <w:rFonts w:hint="eastAsia"/>
              </w:rPr>
            </w:pPr>
          </w:p>
        </w:tc>
        <w:tc>
          <w:tcPr>
            <w:tcW w:w="848" w:type="dxa"/>
            <w:tcBorders>
              <w:top w:val="single" w:color="auto" w:sz="4" w:space="0"/>
              <w:left w:val="single" w:color="auto" w:sz="4" w:space="0"/>
              <w:bottom w:val="single" w:color="auto" w:sz="4" w:space="0"/>
              <w:right w:val="single" w:color="auto" w:sz="4" w:space="0"/>
            </w:tcBorders>
            <w:vAlign w:val="center"/>
          </w:tcPr>
          <w:p w14:paraId="5015553E">
            <w:pPr>
              <w:pStyle w:val="48"/>
              <w:rPr>
                <w:rFonts w:hint="eastAsia"/>
              </w:rPr>
            </w:pPr>
          </w:p>
        </w:tc>
        <w:tc>
          <w:tcPr>
            <w:tcW w:w="848" w:type="dxa"/>
            <w:tcBorders>
              <w:top w:val="single" w:color="auto" w:sz="4" w:space="0"/>
              <w:left w:val="single" w:color="auto" w:sz="4" w:space="0"/>
              <w:bottom w:val="single" w:color="auto" w:sz="4" w:space="0"/>
              <w:right w:val="single" w:color="auto" w:sz="4" w:space="0"/>
            </w:tcBorders>
            <w:vAlign w:val="center"/>
          </w:tcPr>
          <w:p w14:paraId="2F403F93">
            <w:pPr>
              <w:pStyle w:val="48"/>
              <w:rPr>
                <w:rFonts w:hint="eastAsia"/>
              </w:rPr>
            </w:pPr>
          </w:p>
        </w:tc>
        <w:tc>
          <w:tcPr>
            <w:tcW w:w="945" w:type="dxa"/>
            <w:tcBorders>
              <w:top w:val="single" w:color="auto" w:sz="4" w:space="0"/>
              <w:left w:val="single" w:color="auto" w:sz="4" w:space="0"/>
              <w:bottom w:val="single" w:color="auto" w:sz="4" w:space="0"/>
              <w:right w:val="single" w:color="auto" w:sz="4" w:space="0"/>
            </w:tcBorders>
            <w:vAlign w:val="center"/>
          </w:tcPr>
          <w:p w14:paraId="49D9B383">
            <w:pPr>
              <w:pStyle w:val="48"/>
              <w:rPr>
                <w:rFonts w:hint="eastAsia"/>
              </w:rPr>
            </w:pPr>
          </w:p>
        </w:tc>
        <w:tc>
          <w:tcPr>
            <w:tcW w:w="1450" w:type="dxa"/>
            <w:tcBorders>
              <w:top w:val="single" w:color="auto" w:sz="4" w:space="0"/>
              <w:left w:val="single" w:color="auto" w:sz="4" w:space="0"/>
              <w:bottom w:val="single" w:color="auto" w:sz="4" w:space="0"/>
              <w:right w:val="single" w:color="auto" w:sz="4" w:space="0"/>
            </w:tcBorders>
            <w:vAlign w:val="center"/>
          </w:tcPr>
          <w:p w14:paraId="688F74D5">
            <w:pPr>
              <w:pStyle w:val="48"/>
              <w:rPr>
                <w:rFonts w:hint="eastAsia"/>
              </w:rPr>
            </w:pPr>
          </w:p>
        </w:tc>
        <w:tc>
          <w:tcPr>
            <w:tcW w:w="1165" w:type="dxa"/>
            <w:tcBorders>
              <w:top w:val="single" w:color="auto" w:sz="4" w:space="0"/>
              <w:left w:val="single" w:color="auto" w:sz="4" w:space="0"/>
              <w:bottom w:val="single" w:color="auto" w:sz="4" w:space="0"/>
              <w:right w:val="single" w:color="auto" w:sz="4" w:space="0"/>
            </w:tcBorders>
            <w:vAlign w:val="center"/>
          </w:tcPr>
          <w:p w14:paraId="012E6FAA">
            <w:pPr>
              <w:pStyle w:val="48"/>
              <w:rPr>
                <w:rFonts w:hint="eastAsia"/>
              </w:rPr>
            </w:pPr>
          </w:p>
        </w:tc>
      </w:tr>
      <w:tr w14:paraId="22BE2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37A367BF">
            <w:pPr>
              <w:pStyle w:val="48"/>
              <w:numPr>
                <w:ilvl w:val="0"/>
                <w:numId w:val="34"/>
              </w:numPr>
              <w:rPr>
                <w:rFonts w:hint="eastAsia"/>
              </w:rPr>
            </w:pPr>
          </w:p>
        </w:tc>
        <w:tc>
          <w:tcPr>
            <w:tcW w:w="1728" w:type="dxa"/>
            <w:tcBorders>
              <w:top w:val="single" w:color="auto" w:sz="4" w:space="0"/>
              <w:left w:val="single" w:color="auto" w:sz="4" w:space="0"/>
              <w:bottom w:val="single" w:color="auto" w:sz="4" w:space="0"/>
              <w:right w:val="single" w:color="auto" w:sz="4" w:space="0"/>
            </w:tcBorders>
          </w:tcPr>
          <w:p w14:paraId="1618ABF0">
            <w:pPr>
              <w:pStyle w:val="48"/>
              <w:rPr>
                <w:rFonts w:hint="eastAsia"/>
              </w:rPr>
            </w:pPr>
          </w:p>
        </w:tc>
        <w:tc>
          <w:tcPr>
            <w:tcW w:w="1186" w:type="dxa"/>
            <w:tcBorders>
              <w:top w:val="single" w:color="auto" w:sz="4" w:space="0"/>
              <w:left w:val="single" w:color="auto" w:sz="4" w:space="0"/>
              <w:bottom w:val="single" w:color="auto" w:sz="4" w:space="0"/>
              <w:right w:val="single" w:color="auto" w:sz="4" w:space="0"/>
            </w:tcBorders>
            <w:vAlign w:val="center"/>
          </w:tcPr>
          <w:p w14:paraId="4264BB8F">
            <w:pPr>
              <w:pStyle w:val="48"/>
              <w:rPr>
                <w:rFonts w:hint="eastAsia"/>
              </w:rPr>
            </w:pPr>
          </w:p>
        </w:tc>
        <w:tc>
          <w:tcPr>
            <w:tcW w:w="848" w:type="dxa"/>
            <w:tcBorders>
              <w:top w:val="single" w:color="auto" w:sz="4" w:space="0"/>
              <w:left w:val="single" w:color="auto" w:sz="4" w:space="0"/>
              <w:bottom w:val="single" w:color="auto" w:sz="4" w:space="0"/>
              <w:right w:val="single" w:color="auto" w:sz="4" w:space="0"/>
            </w:tcBorders>
            <w:vAlign w:val="center"/>
          </w:tcPr>
          <w:p w14:paraId="0968A482">
            <w:pPr>
              <w:pStyle w:val="48"/>
              <w:rPr>
                <w:rFonts w:hint="eastAsia"/>
              </w:rPr>
            </w:pPr>
          </w:p>
        </w:tc>
        <w:tc>
          <w:tcPr>
            <w:tcW w:w="848" w:type="dxa"/>
            <w:tcBorders>
              <w:top w:val="single" w:color="auto" w:sz="4" w:space="0"/>
              <w:left w:val="single" w:color="auto" w:sz="4" w:space="0"/>
              <w:bottom w:val="single" w:color="auto" w:sz="4" w:space="0"/>
              <w:right w:val="single" w:color="auto" w:sz="4" w:space="0"/>
            </w:tcBorders>
            <w:vAlign w:val="center"/>
          </w:tcPr>
          <w:p w14:paraId="65BBBA26">
            <w:pPr>
              <w:pStyle w:val="48"/>
              <w:rPr>
                <w:rFonts w:hint="eastAsia"/>
              </w:rPr>
            </w:pPr>
          </w:p>
        </w:tc>
        <w:tc>
          <w:tcPr>
            <w:tcW w:w="945" w:type="dxa"/>
            <w:tcBorders>
              <w:top w:val="single" w:color="auto" w:sz="4" w:space="0"/>
              <w:left w:val="single" w:color="auto" w:sz="4" w:space="0"/>
              <w:bottom w:val="single" w:color="auto" w:sz="4" w:space="0"/>
              <w:right w:val="single" w:color="auto" w:sz="4" w:space="0"/>
            </w:tcBorders>
            <w:vAlign w:val="center"/>
          </w:tcPr>
          <w:p w14:paraId="4E79CAF8">
            <w:pPr>
              <w:pStyle w:val="48"/>
              <w:rPr>
                <w:rFonts w:hint="eastAsia"/>
              </w:rPr>
            </w:pPr>
          </w:p>
        </w:tc>
        <w:tc>
          <w:tcPr>
            <w:tcW w:w="1450" w:type="dxa"/>
            <w:tcBorders>
              <w:top w:val="single" w:color="auto" w:sz="4" w:space="0"/>
              <w:left w:val="single" w:color="auto" w:sz="4" w:space="0"/>
              <w:bottom w:val="single" w:color="auto" w:sz="4" w:space="0"/>
              <w:right w:val="single" w:color="auto" w:sz="4" w:space="0"/>
            </w:tcBorders>
            <w:vAlign w:val="center"/>
          </w:tcPr>
          <w:p w14:paraId="3FDB0000">
            <w:pPr>
              <w:pStyle w:val="48"/>
              <w:rPr>
                <w:rFonts w:hint="eastAsia"/>
              </w:rPr>
            </w:pPr>
          </w:p>
        </w:tc>
        <w:tc>
          <w:tcPr>
            <w:tcW w:w="1165" w:type="dxa"/>
            <w:tcBorders>
              <w:top w:val="single" w:color="auto" w:sz="4" w:space="0"/>
              <w:left w:val="single" w:color="auto" w:sz="4" w:space="0"/>
              <w:bottom w:val="single" w:color="auto" w:sz="4" w:space="0"/>
              <w:right w:val="single" w:color="auto" w:sz="4" w:space="0"/>
            </w:tcBorders>
            <w:vAlign w:val="center"/>
          </w:tcPr>
          <w:p w14:paraId="0AF3D15F">
            <w:pPr>
              <w:pStyle w:val="48"/>
              <w:rPr>
                <w:rFonts w:hint="eastAsia"/>
              </w:rPr>
            </w:pPr>
          </w:p>
        </w:tc>
      </w:tr>
      <w:tr w14:paraId="52CFC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6995B494">
            <w:pPr>
              <w:pStyle w:val="48"/>
              <w:numPr>
                <w:ilvl w:val="0"/>
                <w:numId w:val="34"/>
              </w:numPr>
              <w:rPr>
                <w:rFonts w:hint="eastAsia"/>
              </w:rPr>
            </w:pPr>
          </w:p>
        </w:tc>
        <w:tc>
          <w:tcPr>
            <w:tcW w:w="1728" w:type="dxa"/>
            <w:tcBorders>
              <w:top w:val="single" w:color="auto" w:sz="4" w:space="0"/>
              <w:left w:val="single" w:color="auto" w:sz="4" w:space="0"/>
              <w:bottom w:val="single" w:color="auto" w:sz="4" w:space="0"/>
              <w:right w:val="single" w:color="auto" w:sz="4" w:space="0"/>
            </w:tcBorders>
          </w:tcPr>
          <w:p w14:paraId="2643F2BD">
            <w:pPr>
              <w:pStyle w:val="48"/>
              <w:rPr>
                <w:rFonts w:hint="eastAsia"/>
              </w:rPr>
            </w:pPr>
            <w:r>
              <w:t>……</w:t>
            </w:r>
          </w:p>
        </w:tc>
        <w:tc>
          <w:tcPr>
            <w:tcW w:w="1186" w:type="dxa"/>
            <w:tcBorders>
              <w:top w:val="single" w:color="auto" w:sz="4" w:space="0"/>
              <w:left w:val="single" w:color="auto" w:sz="4" w:space="0"/>
              <w:bottom w:val="single" w:color="auto" w:sz="4" w:space="0"/>
              <w:right w:val="single" w:color="auto" w:sz="4" w:space="0"/>
            </w:tcBorders>
            <w:vAlign w:val="center"/>
          </w:tcPr>
          <w:p w14:paraId="636A1696">
            <w:pPr>
              <w:pStyle w:val="48"/>
              <w:rPr>
                <w:rFonts w:hint="eastAsia"/>
              </w:rPr>
            </w:pPr>
          </w:p>
        </w:tc>
        <w:tc>
          <w:tcPr>
            <w:tcW w:w="848" w:type="dxa"/>
            <w:tcBorders>
              <w:top w:val="single" w:color="auto" w:sz="4" w:space="0"/>
              <w:left w:val="single" w:color="auto" w:sz="4" w:space="0"/>
              <w:bottom w:val="single" w:color="auto" w:sz="4" w:space="0"/>
              <w:right w:val="single" w:color="auto" w:sz="4" w:space="0"/>
            </w:tcBorders>
            <w:vAlign w:val="center"/>
          </w:tcPr>
          <w:p w14:paraId="09502CA6">
            <w:pPr>
              <w:pStyle w:val="48"/>
              <w:rPr>
                <w:rFonts w:hint="eastAsia"/>
              </w:rPr>
            </w:pPr>
          </w:p>
        </w:tc>
        <w:tc>
          <w:tcPr>
            <w:tcW w:w="848" w:type="dxa"/>
            <w:tcBorders>
              <w:top w:val="single" w:color="auto" w:sz="4" w:space="0"/>
              <w:left w:val="single" w:color="auto" w:sz="4" w:space="0"/>
              <w:bottom w:val="single" w:color="auto" w:sz="4" w:space="0"/>
              <w:right w:val="single" w:color="auto" w:sz="4" w:space="0"/>
            </w:tcBorders>
            <w:vAlign w:val="center"/>
          </w:tcPr>
          <w:p w14:paraId="2F56A5C8">
            <w:pPr>
              <w:pStyle w:val="48"/>
              <w:rPr>
                <w:rFonts w:hint="eastAsia"/>
              </w:rPr>
            </w:pPr>
          </w:p>
        </w:tc>
        <w:tc>
          <w:tcPr>
            <w:tcW w:w="945" w:type="dxa"/>
            <w:tcBorders>
              <w:top w:val="single" w:color="auto" w:sz="4" w:space="0"/>
              <w:left w:val="single" w:color="auto" w:sz="4" w:space="0"/>
              <w:bottom w:val="single" w:color="auto" w:sz="4" w:space="0"/>
              <w:right w:val="single" w:color="auto" w:sz="4" w:space="0"/>
            </w:tcBorders>
            <w:vAlign w:val="center"/>
          </w:tcPr>
          <w:p w14:paraId="4F473AEC">
            <w:pPr>
              <w:pStyle w:val="48"/>
              <w:rPr>
                <w:rFonts w:hint="eastAsia"/>
              </w:rPr>
            </w:pPr>
          </w:p>
        </w:tc>
        <w:tc>
          <w:tcPr>
            <w:tcW w:w="1450" w:type="dxa"/>
            <w:tcBorders>
              <w:top w:val="single" w:color="auto" w:sz="4" w:space="0"/>
              <w:left w:val="single" w:color="auto" w:sz="4" w:space="0"/>
              <w:bottom w:val="single" w:color="auto" w:sz="4" w:space="0"/>
              <w:right w:val="single" w:color="auto" w:sz="4" w:space="0"/>
            </w:tcBorders>
            <w:vAlign w:val="center"/>
          </w:tcPr>
          <w:p w14:paraId="240492BB">
            <w:pPr>
              <w:pStyle w:val="48"/>
              <w:rPr>
                <w:rFonts w:hint="eastAsia"/>
              </w:rPr>
            </w:pPr>
          </w:p>
        </w:tc>
        <w:tc>
          <w:tcPr>
            <w:tcW w:w="1165" w:type="dxa"/>
            <w:tcBorders>
              <w:top w:val="single" w:color="auto" w:sz="4" w:space="0"/>
              <w:left w:val="single" w:color="auto" w:sz="4" w:space="0"/>
              <w:bottom w:val="single" w:color="auto" w:sz="4" w:space="0"/>
              <w:right w:val="single" w:color="auto" w:sz="4" w:space="0"/>
            </w:tcBorders>
            <w:vAlign w:val="center"/>
          </w:tcPr>
          <w:p w14:paraId="5FF116F6">
            <w:pPr>
              <w:pStyle w:val="48"/>
              <w:rPr>
                <w:rFonts w:hint="eastAsia"/>
              </w:rPr>
            </w:pPr>
          </w:p>
        </w:tc>
      </w:tr>
    </w:tbl>
    <w:p w14:paraId="0CAB7447">
      <w:pPr>
        <w:spacing w:line="300" w:lineRule="auto"/>
        <w:rPr>
          <w:rFonts w:ascii="Arial" w:hAnsi="Arial" w:cs="Arial"/>
          <w:szCs w:val="21"/>
        </w:rPr>
      </w:pPr>
    </w:p>
    <w:p w14:paraId="293CF314">
      <w:pPr>
        <w:rPr>
          <w:rFonts w:ascii="Arial" w:hAnsi="Arial" w:cs="Arial"/>
          <w:b/>
          <w:szCs w:val="21"/>
        </w:rPr>
      </w:pPr>
      <w:r>
        <w:rPr>
          <w:rFonts w:hint="eastAsia" w:ascii="Arial" w:hAnsi="Arial" w:cs="Arial"/>
          <w:b/>
          <w:szCs w:val="21"/>
        </w:rPr>
        <w:t>特别说明：投标供应商应将所投产品中节能、环保产品分别列入上表中，并按本招标文件第二章第</w:t>
      </w:r>
      <w:r>
        <w:rPr>
          <w:rFonts w:ascii="Arial" w:hAnsi="Arial" w:cs="Arial"/>
          <w:b/>
          <w:szCs w:val="21"/>
        </w:rPr>
        <w:t>44</w:t>
      </w:r>
      <w:r>
        <w:rPr>
          <w:rFonts w:hint="eastAsia" w:ascii="Arial" w:hAnsi="Arial" w:cs="Arial"/>
          <w:b/>
          <w:szCs w:val="21"/>
        </w:rPr>
        <w:t>条提供相关证明材料，未填写本表或未提供有效认证证书</w:t>
      </w:r>
      <w:r>
        <w:rPr>
          <w:rFonts w:ascii="Arial" w:hAnsi="Arial" w:cs="Arial"/>
          <w:b/>
          <w:szCs w:val="21"/>
        </w:rPr>
        <w:t>的</w:t>
      </w:r>
      <w:r>
        <w:rPr>
          <w:rFonts w:hint="eastAsia" w:ascii="Arial" w:hAnsi="Arial" w:cs="Arial"/>
          <w:b/>
          <w:szCs w:val="21"/>
        </w:rPr>
        <w:t>不给予</w:t>
      </w:r>
      <w:r>
        <w:rPr>
          <w:rFonts w:ascii="Arial" w:hAnsi="Arial" w:cs="Arial"/>
          <w:b/>
          <w:szCs w:val="21"/>
        </w:rPr>
        <w:t>价格扣除</w:t>
      </w:r>
      <w:r>
        <w:rPr>
          <w:rFonts w:hint="eastAsia" w:ascii="Arial" w:hAnsi="Arial" w:cs="Arial"/>
          <w:b/>
          <w:szCs w:val="21"/>
        </w:rPr>
        <w:t>。</w:t>
      </w:r>
    </w:p>
    <w:p w14:paraId="78285D9C">
      <w:pPr>
        <w:spacing w:line="300" w:lineRule="auto"/>
        <w:rPr>
          <w:rFonts w:ascii="Arial" w:hAnsi="Arial" w:cs="Arial"/>
          <w:szCs w:val="21"/>
        </w:rPr>
      </w:pPr>
    </w:p>
    <w:p w14:paraId="0EE63264">
      <w:pPr>
        <w:spacing w:line="300" w:lineRule="auto"/>
        <w:rPr>
          <w:rFonts w:ascii="Arial" w:hAnsi="Arial" w:cs="Arial"/>
          <w:szCs w:val="21"/>
        </w:rPr>
      </w:pPr>
      <w:r>
        <w:rPr>
          <w:rFonts w:hint="eastAsia" w:ascii="Arial" w:hAnsi="Arial" w:cs="Arial"/>
          <w:szCs w:val="21"/>
        </w:rPr>
        <w:t>投标供应商</w:t>
      </w:r>
      <w:r>
        <w:rPr>
          <w:rFonts w:ascii="Arial" w:hAnsi="Arial" w:cs="Arial"/>
          <w:szCs w:val="21"/>
        </w:rPr>
        <w:t>名称：</w:t>
      </w:r>
    </w:p>
    <w:p w14:paraId="709C176D">
      <w:pPr>
        <w:rPr>
          <w:rFonts w:ascii="Arial" w:hAnsi="Arial" w:cs="Arial"/>
          <w:szCs w:val="21"/>
        </w:rPr>
      </w:pPr>
      <w:r>
        <w:rPr>
          <w:rFonts w:ascii="Arial" w:hAnsi="Arial" w:cs="Arial"/>
          <w:szCs w:val="21"/>
        </w:rPr>
        <w:t>日期：</w:t>
      </w:r>
    </w:p>
    <w:p w14:paraId="21CE6C0F">
      <w:pPr>
        <w:rPr>
          <w:rFonts w:ascii="Arial" w:hAnsi="Arial" w:cs="Arial"/>
          <w:szCs w:val="21"/>
        </w:rPr>
      </w:pPr>
      <w:r>
        <w:rPr>
          <w:rFonts w:ascii="Arial" w:hAnsi="Arial" w:cs="Arial"/>
          <w:szCs w:val="21"/>
        </w:rPr>
        <w:br w:type="page"/>
      </w:r>
    </w:p>
    <w:p w14:paraId="11072DE1">
      <w:pPr>
        <w:pStyle w:val="6"/>
        <w:numPr>
          <w:ilvl w:val="0"/>
          <w:numId w:val="32"/>
        </w:numPr>
        <w:rPr>
          <w:rFonts w:hint="eastAsia"/>
        </w:rPr>
      </w:pPr>
      <w:bookmarkStart w:id="381" w:name="_Toc24200"/>
      <w:r>
        <w:rPr>
          <w:rFonts w:hint="eastAsia"/>
        </w:rPr>
        <w:t>中小企业声明函【如适用】</w:t>
      </w:r>
      <w:bookmarkEnd w:id="381"/>
    </w:p>
    <w:p w14:paraId="760EADEB">
      <w:pPr>
        <w:pStyle w:val="38"/>
        <w:numPr>
          <w:ilvl w:val="0"/>
          <w:numId w:val="35"/>
        </w:numPr>
        <w:rPr>
          <w:rFonts w:hint="eastAsia"/>
        </w:rPr>
      </w:pPr>
      <w:r>
        <w:rPr>
          <w:rFonts w:hint="eastAsia"/>
        </w:rPr>
        <w:t>中小企业声明函（服务）</w:t>
      </w:r>
    </w:p>
    <w:p w14:paraId="5A63B82E">
      <w:pPr>
        <w:ind w:firstLine="504" w:firstLineChars="200"/>
        <w:rPr>
          <w:rFonts w:hint="eastAsia" w:cs="宋体"/>
          <w:spacing w:val="6"/>
          <w:szCs w:val="24"/>
        </w:rPr>
      </w:pPr>
      <w:r>
        <w:rPr>
          <w:rFonts w:hint="eastAsia" w:cs="宋体"/>
          <w:spacing w:val="6"/>
          <w:szCs w:val="24"/>
        </w:rPr>
        <w:t>本公司（联合体）郑重声明，根据《政府采购促进中小企业发展管理办法》（财库﹝2020﹞46 号）的规定，本公司（联合体）参加 （单位名称） 的 （项目名称） 采购活动，工程的施工单位全部为符合政策要求的中小企业（或者：服务全部由符合政策要求的中小企业承接）。相关企业（含联合体中的中小企业、签订分包意向协议的中小企业）的具体情况如下：</w:t>
      </w:r>
    </w:p>
    <w:p w14:paraId="734059F4">
      <w:pPr>
        <w:ind w:firstLine="504" w:firstLineChars="200"/>
        <w:rPr>
          <w:rFonts w:hint="eastAsia" w:cs="宋体"/>
          <w:spacing w:val="6"/>
          <w:szCs w:val="24"/>
          <w:u w:val="single"/>
        </w:rPr>
      </w:pPr>
      <w:r>
        <w:rPr>
          <w:rFonts w:hint="eastAsia" w:cs="宋体"/>
          <w:spacing w:val="6"/>
          <w:szCs w:val="24"/>
        </w:rPr>
        <w:t>1.</w:t>
      </w:r>
      <w:r>
        <w:rPr>
          <w:rFonts w:hint="eastAsia" w:cs="宋体"/>
          <w:spacing w:val="6"/>
          <w:szCs w:val="24"/>
          <w:u w:val="single"/>
        </w:rPr>
        <w:t xml:space="preserve"> （标的名称） </w:t>
      </w:r>
      <w:r>
        <w:rPr>
          <w:rFonts w:hint="eastAsia" w:cs="宋体"/>
          <w:spacing w:val="6"/>
          <w:szCs w:val="24"/>
        </w:rPr>
        <w:t>，属于</w:t>
      </w:r>
      <w:r>
        <w:rPr>
          <w:rFonts w:hint="eastAsia" w:cs="宋体"/>
          <w:spacing w:val="6"/>
          <w:szCs w:val="24"/>
          <w:u w:val="single"/>
        </w:rPr>
        <w:t xml:space="preserve"> （采购文件中明确的所属行业） </w:t>
      </w:r>
      <w:r>
        <w:rPr>
          <w:rFonts w:hint="eastAsia" w:cs="宋体"/>
          <w:spacing w:val="6"/>
          <w:szCs w:val="24"/>
        </w:rPr>
        <w:t>；承建（承接）企业为</w:t>
      </w:r>
      <w:r>
        <w:rPr>
          <w:rFonts w:hint="eastAsia" w:cs="宋体"/>
          <w:spacing w:val="6"/>
          <w:szCs w:val="24"/>
          <w:u w:val="single"/>
        </w:rPr>
        <w:t xml:space="preserve"> （企业名称）  </w:t>
      </w:r>
      <w:r>
        <w:rPr>
          <w:rFonts w:hint="eastAsia" w:cs="宋体"/>
          <w:spacing w:val="6"/>
          <w:szCs w:val="24"/>
        </w:rPr>
        <w:t>，从业人员人，营业收入为万元，资产总额为万元，属于</w:t>
      </w:r>
      <w:r>
        <w:rPr>
          <w:rFonts w:hint="eastAsia" w:cs="宋体"/>
          <w:spacing w:val="6"/>
          <w:szCs w:val="24"/>
          <w:u w:val="single"/>
        </w:rPr>
        <w:t>（中型企业、小型企业、微型企业）</w:t>
      </w:r>
      <w:r>
        <w:rPr>
          <w:rFonts w:hint="eastAsia" w:cs="宋体"/>
          <w:spacing w:val="6"/>
          <w:szCs w:val="24"/>
        </w:rPr>
        <w:t>；</w:t>
      </w:r>
    </w:p>
    <w:p w14:paraId="648524E1">
      <w:pPr>
        <w:ind w:firstLine="504" w:firstLineChars="200"/>
        <w:rPr>
          <w:rFonts w:hint="eastAsia" w:cs="宋体"/>
          <w:spacing w:val="6"/>
          <w:szCs w:val="24"/>
          <w:u w:val="single"/>
        </w:rPr>
      </w:pPr>
      <w:r>
        <w:rPr>
          <w:rFonts w:hint="eastAsia" w:cs="宋体"/>
          <w:spacing w:val="6"/>
          <w:szCs w:val="24"/>
        </w:rPr>
        <w:t>2.</w:t>
      </w:r>
      <w:r>
        <w:rPr>
          <w:rFonts w:hint="eastAsia" w:cs="宋体"/>
          <w:spacing w:val="6"/>
          <w:szCs w:val="24"/>
          <w:u w:val="single"/>
        </w:rPr>
        <w:t xml:space="preserve"> （标的名称） </w:t>
      </w:r>
      <w:r>
        <w:rPr>
          <w:rFonts w:hint="eastAsia" w:cs="宋体"/>
          <w:spacing w:val="6"/>
          <w:szCs w:val="24"/>
        </w:rPr>
        <w:t>，属于</w:t>
      </w:r>
      <w:r>
        <w:rPr>
          <w:rFonts w:hint="eastAsia" w:cs="宋体"/>
          <w:spacing w:val="6"/>
          <w:szCs w:val="24"/>
          <w:u w:val="single"/>
        </w:rPr>
        <w:t xml:space="preserve"> （采购文件中明确的所属行业） </w:t>
      </w:r>
      <w:r>
        <w:rPr>
          <w:rFonts w:hint="eastAsia" w:cs="宋体"/>
          <w:spacing w:val="6"/>
          <w:szCs w:val="24"/>
        </w:rPr>
        <w:t>；承建（承接）企业为</w:t>
      </w:r>
      <w:r>
        <w:rPr>
          <w:rFonts w:hint="eastAsia" w:cs="宋体"/>
          <w:spacing w:val="6"/>
          <w:szCs w:val="24"/>
          <w:u w:val="single"/>
        </w:rPr>
        <w:t xml:space="preserve"> （企业名称）  </w:t>
      </w:r>
      <w:r>
        <w:rPr>
          <w:rFonts w:hint="eastAsia" w:cs="宋体"/>
          <w:spacing w:val="6"/>
          <w:szCs w:val="24"/>
        </w:rPr>
        <w:t>，从业人员人，营业收入为万元，资产总额为万元，属于</w:t>
      </w:r>
      <w:r>
        <w:rPr>
          <w:rFonts w:hint="eastAsia" w:cs="宋体"/>
          <w:spacing w:val="6"/>
          <w:szCs w:val="24"/>
          <w:u w:val="single"/>
        </w:rPr>
        <w:t>（中型企业、小型企业、微型企业）</w:t>
      </w:r>
      <w:r>
        <w:rPr>
          <w:rFonts w:hint="eastAsia" w:cs="宋体"/>
          <w:spacing w:val="6"/>
          <w:szCs w:val="24"/>
        </w:rPr>
        <w:t>；</w:t>
      </w:r>
    </w:p>
    <w:p w14:paraId="600E5A7F">
      <w:pPr>
        <w:ind w:firstLine="504" w:firstLineChars="200"/>
        <w:rPr>
          <w:rFonts w:hint="eastAsia" w:cs="宋体"/>
          <w:spacing w:val="6"/>
          <w:szCs w:val="24"/>
        </w:rPr>
      </w:pPr>
      <w:r>
        <w:rPr>
          <w:rFonts w:hint="eastAsia" w:cs="宋体"/>
          <w:spacing w:val="6"/>
          <w:szCs w:val="24"/>
        </w:rPr>
        <w:t>……</w:t>
      </w:r>
    </w:p>
    <w:p w14:paraId="3B7DC7AA">
      <w:pPr>
        <w:ind w:firstLine="504" w:firstLineChars="200"/>
        <w:rPr>
          <w:rFonts w:hint="eastAsia" w:cs="宋体"/>
          <w:spacing w:val="6"/>
          <w:szCs w:val="24"/>
        </w:rPr>
      </w:pPr>
      <w:r>
        <w:rPr>
          <w:rFonts w:hint="eastAsia" w:cs="宋体"/>
          <w:spacing w:val="6"/>
          <w:szCs w:val="24"/>
        </w:rPr>
        <w:t>以上企业，不属于大企业的分支机构，不存在控股股东为大企业的情形，也不存在与大企业的负责人为同一人的情形。</w:t>
      </w:r>
    </w:p>
    <w:p w14:paraId="78E0A413">
      <w:pPr>
        <w:ind w:firstLine="504" w:firstLineChars="200"/>
        <w:rPr>
          <w:rFonts w:hint="eastAsia" w:cs="宋体"/>
          <w:spacing w:val="6"/>
          <w:szCs w:val="24"/>
        </w:rPr>
      </w:pPr>
      <w:r>
        <w:rPr>
          <w:rFonts w:hint="eastAsia" w:cs="宋体"/>
          <w:spacing w:val="6"/>
          <w:szCs w:val="24"/>
        </w:rPr>
        <w:t>本企业对上述声明内容的真实性负责。如有虚假，将依法承担相应责任。</w:t>
      </w:r>
    </w:p>
    <w:p w14:paraId="44B08EC7">
      <w:pPr>
        <w:ind w:right="1008" w:firstLine="4788" w:firstLineChars="1900"/>
        <w:rPr>
          <w:rFonts w:hint="eastAsia" w:cs="宋体"/>
          <w:spacing w:val="6"/>
          <w:szCs w:val="24"/>
        </w:rPr>
      </w:pPr>
    </w:p>
    <w:p w14:paraId="1C3AE211">
      <w:pPr>
        <w:ind w:right="1008" w:firstLine="4788" w:firstLineChars="1900"/>
        <w:rPr>
          <w:rFonts w:hint="eastAsia" w:cs="宋体"/>
          <w:spacing w:val="6"/>
          <w:szCs w:val="24"/>
        </w:rPr>
      </w:pPr>
      <w:r>
        <w:rPr>
          <w:rFonts w:hint="eastAsia" w:cs="宋体"/>
          <w:spacing w:val="6"/>
          <w:szCs w:val="24"/>
        </w:rPr>
        <w:t>企业名称：</w:t>
      </w:r>
    </w:p>
    <w:p w14:paraId="108D96F8">
      <w:pPr>
        <w:ind w:right="1008" w:firstLine="4788" w:firstLineChars="1900"/>
        <w:rPr>
          <w:rFonts w:hint="eastAsia" w:cs="宋体"/>
          <w:spacing w:val="6"/>
          <w:szCs w:val="24"/>
        </w:rPr>
      </w:pPr>
      <w:r>
        <w:rPr>
          <w:rFonts w:hint="eastAsia" w:cs="宋体"/>
          <w:spacing w:val="6"/>
          <w:szCs w:val="24"/>
        </w:rPr>
        <w:t>日 期：</w:t>
      </w:r>
    </w:p>
    <w:p w14:paraId="7FA9777C">
      <w:pPr>
        <w:ind w:firstLine="504" w:firstLineChars="200"/>
        <w:rPr>
          <w:rFonts w:hint="eastAsia" w:cs="宋体"/>
          <w:spacing w:val="6"/>
          <w:szCs w:val="24"/>
        </w:rPr>
      </w:pPr>
    </w:p>
    <w:p w14:paraId="54D094DC">
      <w:pPr>
        <w:rPr>
          <w:rFonts w:hint="eastAsia" w:cs="宋体"/>
          <w:spacing w:val="6"/>
          <w:sz w:val="21"/>
          <w:szCs w:val="21"/>
        </w:rPr>
      </w:pPr>
      <w:r>
        <w:rPr>
          <w:rFonts w:hint="eastAsia" w:cs="宋体"/>
          <w:b/>
          <w:bCs/>
          <w:spacing w:val="6"/>
          <w:sz w:val="21"/>
          <w:szCs w:val="21"/>
        </w:rPr>
        <w:t>说明：</w:t>
      </w:r>
      <w:r>
        <w:rPr>
          <w:rFonts w:hint="eastAsia" w:cs="宋体"/>
          <w:spacing w:val="6"/>
          <w:sz w:val="21"/>
          <w:szCs w:val="21"/>
        </w:rPr>
        <w:t>从业人员、营业收入、资产总额填报上一年度数据，无上一年度数据的新成立企业可不填报。</w:t>
      </w:r>
    </w:p>
    <w:p w14:paraId="59F708D1">
      <w:pPr>
        <w:rPr>
          <w:rFonts w:hint="eastAsia" w:cs="宋体"/>
          <w:spacing w:val="6"/>
          <w:sz w:val="21"/>
          <w:szCs w:val="21"/>
        </w:rPr>
      </w:pPr>
      <w:r>
        <w:rPr>
          <w:rFonts w:cs="宋体"/>
          <w:spacing w:val="6"/>
          <w:sz w:val="21"/>
          <w:szCs w:val="21"/>
        </w:rPr>
        <w:br w:type="page"/>
      </w:r>
    </w:p>
    <w:p w14:paraId="154AA3A1">
      <w:pPr>
        <w:pStyle w:val="6"/>
        <w:numPr>
          <w:ilvl w:val="0"/>
          <w:numId w:val="32"/>
        </w:numPr>
        <w:rPr>
          <w:rFonts w:hint="eastAsia"/>
        </w:rPr>
      </w:pPr>
      <w:bookmarkStart w:id="382" w:name="_Toc28520"/>
      <w:r>
        <w:rPr>
          <w:rFonts w:hint="eastAsia"/>
        </w:rPr>
        <w:t>监狱企业证明文件【如适用】</w:t>
      </w:r>
      <w:bookmarkEnd w:id="382"/>
    </w:p>
    <w:p w14:paraId="2C41AE39">
      <w:pPr>
        <w:rPr>
          <w:rFonts w:hint="eastAsia" w:cs="仿宋_GB2312"/>
          <w:b/>
          <w:sz w:val="28"/>
          <w:szCs w:val="28"/>
        </w:rPr>
      </w:pPr>
    </w:p>
    <w:p w14:paraId="482835DA">
      <w:pPr>
        <w:adjustRightInd w:val="0"/>
        <w:snapToGrid w:val="0"/>
        <w:ind w:firstLine="420" w:firstLineChars="200"/>
        <w:rPr>
          <w:rFonts w:ascii="Arial" w:hAnsi="Arial" w:cs="Arial"/>
          <w:sz w:val="21"/>
          <w:szCs w:val="21"/>
        </w:rPr>
      </w:pPr>
      <w:r>
        <w:rPr>
          <w:rFonts w:hint="eastAsia" w:ascii="Arial" w:hAnsi="Arial" w:cs="Arial"/>
          <w:sz w:val="21"/>
          <w:szCs w:val="21"/>
        </w:rPr>
        <w:t>【</w:t>
      </w:r>
      <w:r>
        <w:rPr>
          <w:rFonts w:hint="eastAsia"/>
          <w:szCs w:val="24"/>
        </w:rPr>
        <w:t>（</w:t>
      </w:r>
      <w:r>
        <w:rPr>
          <w:rFonts w:hint="eastAsia" w:ascii="楷体" w:hAnsi="楷体" w:eastAsia="楷体"/>
          <w:szCs w:val="24"/>
        </w:rPr>
        <w:t>监狱企业应当提供由省级及以上监狱管理局、戒毒管理局（含新疆生产建设兵团）出具的监狱企业的证明文件，格式自行编写</w:t>
      </w:r>
      <w:r>
        <w:rPr>
          <w:rFonts w:hint="eastAsia"/>
          <w:szCs w:val="24"/>
        </w:rPr>
        <w:t>）</w:t>
      </w:r>
      <w:r>
        <w:rPr>
          <w:rFonts w:hint="eastAsia" w:ascii="Arial" w:hAnsi="Arial" w:cs="Arial"/>
          <w:sz w:val="21"/>
          <w:szCs w:val="21"/>
        </w:rPr>
        <w:t>】</w:t>
      </w:r>
      <w:r>
        <w:rPr>
          <w:rFonts w:hint="eastAsia" w:cs="Arial"/>
          <w:sz w:val="21"/>
          <w:szCs w:val="21"/>
        </w:rPr>
        <w:t>。</w:t>
      </w:r>
    </w:p>
    <w:p w14:paraId="36D31260">
      <w:pPr>
        <w:widowControl/>
        <w:spacing w:before="100" w:beforeAutospacing="1" w:after="100" w:afterAutospacing="1"/>
        <w:rPr>
          <w:rFonts w:ascii="Arial" w:hAnsi="Arial" w:cs="Arial"/>
          <w:sz w:val="21"/>
          <w:szCs w:val="21"/>
        </w:rPr>
      </w:pPr>
    </w:p>
    <w:p w14:paraId="52CD76E9">
      <w:pPr>
        <w:widowControl/>
        <w:spacing w:before="100" w:beforeAutospacing="1" w:after="100" w:afterAutospacing="1"/>
        <w:rPr>
          <w:rFonts w:ascii="Arial" w:hAnsi="Arial" w:cs="Arial"/>
          <w:sz w:val="21"/>
          <w:szCs w:val="21"/>
        </w:rPr>
      </w:pPr>
    </w:p>
    <w:p w14:paraId="4DA55007">
      <w:pPr>
        <w:widowControl/>
        <w:spacing w:before="100" w:beforeAutospacing="1" w:after="100" w:afterAutospacing="1"/>
        <w:rPr>
          <w:rFonts w:ascii="Arial" w:hAnsi="Arial" w:cs="Arial"/>
          <w:sz w:val="21"/>
          <w:szCs w:val="21"/>
        </w:rPr>
      </w:pPr>
    </w:p>
    <w:p w14:paraId="2314F7B5">
      <w:pPr>
        <w:widowControl/>
        <w:spacing w:before="100" w:beforeAutospacing="1" w:after="100" w:afterAutospacing="1"/>
        <w:rPr>
          <w:rFonts w:ascii="Arial" w:hAnsi="Arial" w:cs="Arial"/>
          <w:sz w:val="21"/>
          <w:szCs w:val="21"/>
        </w:rPr>
      </w:pPr>
    </w:p>
    <w:p w14:paraId="0861CFA1">
      <w:pPr>
        <w:widowControl/>
        <w:spacing w:before="100" w:beforeAutospacing="1" w:after="100" w:afterAutospacing="1"/>
        <w:rPr>
          <w:rFonts w:ascii="Arial" w:hAnsi="Arial" w:cs="Arial"/>
          <w:sz w:val="21"/>
          <w:szCs w:val="21"/>
        </w:rPr>
      </w:pPr>
    </w:p>
    <w:p w14:paraId="5225CDD8">
      <w:pPr>
        <w:spacing w:line="300" w:lineRule="auto"/>
        <w:rPr>
          <w:rFonts w:ascii="Arial" w:hAnsi="Arial" w:cs="Arial"/>
          <w:sz w:val="21"/>
          <w:szCs w:val="21"/>
        </w:rPr>
      </w:pPr>
      <w:r>
        <w:rPr>
          <w:rFonts w:hint="eastAsia" w:ascii="Arial" w:hAnsi="Arial" w:cs="Arial"/>
          <w:sz w:val="21"/>
          <w:szCs w:val="21"/>
        </w:rPr>
        <w:t>投标供应商</w:t>
      </w:r>
      <w:r>
        <w:rPr>
          <w:rFonts w:ascii="Arial" w:hAnsi="Arial" w:cs="Arial"/>
          <w:sz w:val="21"/>
          <w:szCs w:val="21"/>
        </w:rPr>
        <w:t>名称[盖章]：</w:t>
      </w:r>
    </w:p>
    <w:p w14:paraId="7FB021C1">
      <w:pPr>
        <w:widowControl/>
        <w:spacing w:before="100" w:beforeAutospacing="1" w:after="100" w:afterAutospacing="1"/>
        <w:rPr>
          <w:rFonts w:ascii="Arial" w:hAnsi="Arial" w:cs="Arial"/>
          <w:sz w:val="21"/>
          <w:szCs w:val="21"/>
          <w:u w:val="single"/>
        </w:rPr>
      </w:pPr>
      <w:r>
        <w:rPr>
          <w:rFonts w:ascii="Arial" w:hAnsi="Arial" w:cs="Arial"/>
          <w:sz w:val="21"/>
          <w:szCs w:val="21"/>
        </w:rPr>
        <w:t>日期：</w:t>
      </w:r>
    </w:p>
    <w:p w14:paraId="5B7723E7">
      <w:pPr>
        <w:rPr>
          <w:rFonts w:hint="eastAsia" w:cs="仿宋_GB2312"/>
          <w:b/>
          <w:sz w:val="28"/>
          <w:szCs w:val="28"/>
        </w:rPr>
      </w:pPr>
      <w:r>
        <w:rPr>
          <w:rFonts w:cs="仿宋_GB2312"/>
          <w:b/>
          <w:sz w:val="28"/>
          <w:szCs w:val="28"/>
        </w:rPr>
        <w:br w:type="page"/>
      </w:r>
    </w:p>
    <w:p w14:paraId="33797F3A">
      <w:pPr>
        <w:pStyle w:val="6"/>
        <w:numPr>
          <w:ilvl w:val="0"/>
          <w:numId w:val="32"/>
        </w:numPr>
        <w:rPr>
          <w:rFonts w:hint="eastAsia"/>
        </w:rPr>
      </w:pPr>
      <w:bookmarkStart w:id="383" w:name="_Toc23531"/>
      <w:r>
        <w:t>残疾人福利性单位声明函</w:t>
      </w:r>
      <w:r>
        <w:rPr>
          <w:rFonts w:hint="eastAsia"/>
        </w:rPr>
        <w:t>【如适用】</w:t>
      </w:r>
      <w:bookmarkEnd w:id="383"/>
    </w:p>
    <w:p w14:paraId="76560264">
      <w:pPr>
        <w:pStyle w:val="38"/>
        <w:numPr>
          <w:ilvl w:val="0"/>
          <w:numId w:val="36"/>
        </w:numPr>
        <w:rPr>
          <w:rFonts w:hint="eastAsia"/>
        </w:rPr>
      </w:pPr>
      <w:r>
        <w:rPr>
          <w:rFonts w:hint="eastAsia"/>
          <w:szCs w:val="24"/>
        </w:rPr>
        <w:t>残疾人福利性单位声明函（服务）</w:t>
      </w:r>
    </w:p>
    <w:p w14:paraId="5C6C00DE">
      <w:pPr>
        <w:wordWrap w:val="0"/>
        <w:ind w:firstLine="480" w:firstLineChars="200"/>
        <w:rPr>
          <w:rFonts w:hint="eastAsia"/>
          <w:szCs w:val="24"/>
        </w:rPr>
      </w:pPr>
      <w:r>
        <w:rPr>
          <w:rFonts w:hint="eastAsia"/>
          <w:szCs w:val="24"/>
        </w:rPr>
        <w:t>本公司（联合体）郑重声明，根据《财政部 民政部 中国残疾人联合会关于促进残疾人就业政府采购政策的通知》（财库〔2017〕141号）的规定，本公司（联合体）参加</w:t>
      </w:r>
      <w:r>
        <w:rPr>
          <w:rFonts w:hint="eastAsia"/>
          <w:szCs w:val="24"/>
          <w:u w:val="single"/>
        </w:rPr>
        <w:t xml:space="preserve"> </w:t>
      </w:r>
      <w:r>
        <w:rPr>
          <w:rFonts w:hint="eastAsia"/>
          <w:i/>
          <w:szCs w:val="24"/>
          <w:u w:val="single"/>
        </w:rPr>
        <w:t>（单位名称）</w:t>
      </w:r>
      <w:r>
        <w:rPr>
          <w:rFonts w:hint="eastAsia"/>
          <w:szCs w:val="24"/>
          <w:u w:val="single"/>
        </w:rPr>
        <w:t xml:space="preserve"> </w:t>
      </w:r>
      <w:r>
        <w:rPr>
          <w:rFonts w:hint="eastAsia"/>
          <w:szCs w:val="24"/>
        </w:rPr>
        <w:t>的</w:t>
      </w:r>
      <w:r>
        <w:rPr>
          <w:rFonts w:hint="eastAsia"/>
          <w:szCs w:val="24"/>
          <w:u w:val="single"/>
        </w:rPr>
        <w:t xml:space="preserve"> </w:t>
      </w:r>
      <w:r>
        <w:rPr>
          <w:rFonts w:hint="eastAsia"/>
          <w:i/>
          <w:szCs w:val="24"/>
          <w:u w:val="single"/>
        </w:rPr>
        <w:t>（项目名称）</w:t>
      </w:r>
      <w:r>
        <w:rPr>
          <w:rFonts w:hint="eastAsia"/>
          <w:szCs w:val="24"/>
          <w:u w:val="single"/>
        </w:rPr>
        <w:t xml:space="preserve"> </w:t>
      </w:r>
      <w:r>
        <w:rPr>
          <w:rFonts w:hint="eastAsia"/>
          <w:szCs w:val="24"/>
        </w:rPr>
        <w:t>采购活动，服务</w:t>
      </w:r>
      <w:r>
        <w:rPr>
          <w:rFonts w:hint="eastAsia"/>
          <w:b/>
          <w:szCs w:val="24"/>
        </w:rPr>
        <w:t>全部由</w:t>
      </w:r>
      <w:r>
        <w:rPr>
          <w:rFonts w:hint="eastAsia"/>
          <w:szCs w:val="24"/>
        </w:rPr>
        <w:t>符合政策要求的</w:t>
      </w:r>
      <w:r>
        <w:rPr>
          <w:rFonts w:hint="eastAsia"/>
          <w:b/>
          <w:szCs w:val="24"/>
        </w:rPr>
        <w:t>残疾人福利性单位承接</w:t>
      </w:r>
      <w:r>
        <w:rPr>
          <w:rFonts w:hint="eastAsia"/>
          <w:szCs w:val="24"/>
        </w:rPr>
        <w:t>。相关企业（含联合体中的残疾人福利性单位、签订分包意向协议的残疾人福利性单位）的具体情况如下：</w:t>
      </w:r>
    </w:p>
    <w:p w14:paraId="67B865E3">
      <w:pPr>
        <w:wordWrap w:val="0"/>
        <w:ind w:firstLine="480" w:firstLineChars="200"/>
        <w:rPr>
          <w:rFonts w:hint="eastAsia"/>
          <w:szCs w:val="24"/>
        </w:rPr>
      </w:pPr>
      <w:r>
        <w:rPr>
          <w:rFonts w:hint="eastAsia"/>
          <w:szCs w:val="24"/>
        </w:rPr>
        <w:t>1.</w:t>
      </w:r>
      <w:r>
        <w:rPr>
          <w:rFonts w:hint="eastAsia"/>
          <w:szCs w:val="24"/>
          <w:u w:val="single"/>
        </w:rPr>
        <w:t xml:space="preserve"> </w:t>
      </w:r>
      <w:r>
        <w:rPr>
          <w:rFonts w:hint="eastAsia"/>
          <w:i/>
          <w:szCs w:val="24"/>
          <w:u w:val="single"/>
        </w:rPr>
        <w:t>（标的名称）</w:t>
      </w:r>
      <w:r>
        <w:rPr>
          <w:rFonts w:hint="eastAsia"/>
          <w:szCs w:val="24"/>
          <w:u w:val="single"/>
        </w:rPr>
        <w:t xml:space="preserve"> </w:t>
      </w:r>
      <w:r>
        <w:rPr>
          <w:rFonts w:hint="eastAsia"/>
          <w:szCs w:val="24"/>
        </w:rPr>
        <w:t>，承接企业为</w:t>
      </w:r>
      <w:r>
        <w:rPr>
          <w:rFonts w:hint="eastAsia"/>
          <w:szCs w:val="24"/>
          <w:u w:val="single"/>
        </w:rPr>
        <w:t xml:space="preserve"> </w:t>
      </w:r>
      <w:r>
        <w:rPr>
          <w:rFonts w:hint="eastAsia"/>
          <w:i/>
          <w:szCs w:val="24"/>
          <w:u w:val="single"/>
        </w:rPr>
        <w:t>（企业名称）</w:t>
      </w:r>
      <w:r>
        <w:rPr>
          <w:rFonts w:hint="eastAsia"/>
          <w:szCs w:val="24"/>
          <w:u w:val="single"/>
        </w:rPr>
        <w:t xml:space="preserve"> </w:t>
      </w:r>
      <w:r>
        <w:rPr>
          <w:rFonts w:hint="eastAsia"/>
          <w:szCs w:val="24"/>
        </w:rPr>
        <w:t>，属于残疾人福利性单位；</w:t>
      </w:r>
    </w:p>
    <w:p w14:paraId="4483E85C">
      <w:pPr>
        <w:wordWrap w:val="0"/>
        <w:ind w:firstLine="480" w:firstLineChars="200"/>
        <w:rPr>
          <w:rFonts w:hint="eastAsia"/>
          <w:szCs w:val="24"/>
        </w:rPr>
      </w:pPr>
      <w:r>
        <w:rPr>
          <w:rFonts w:hint="eastAsia"/>
          <w:szCs w:val="24"/>
        </w:rPr>
        <w:t>2.</w:t>
      </w:r>
      <w:r>
        <w:rPr>
          <w:rFonts w:hint="eastAsia"/>
          <w:szCs w:val="24"/>
          <w:u w:val="single"/>
        </w:rPr>
        <w:t xml:space="preserve"> </w:t>
      </w:r>
      <w:r>
        <w:rPr>
          <w:rFonts w:hint="eastAsia"/>
          <w:i/>
          <w:szCs w:val="24"/>
          <w:u w:val="single"/>
        </w:rPr>
        <w:t>（标的名称）</w:t>
      </w:r>
      <w:r>
        <w:rPr>
          <w:rFonts w:hint="eastAsia"/>
          <w:szCs w:val="24"/>
          <w:u w:val="single"/>
        </w:rPr>
        <w:t xml:space="preserve"> </w:t>
      </w:r>
      <w:r>
        <w:rPr>
          <w:rFonts w:hint="eastAsia"/>
          <w:szCs w:val="24"/>
        </w:rPr>
        <w:t>，承接企业为</w:t>
      </w:r>
      <w:r>
        <w:rPr>
          <w:rFonts w:hint="eastAsia"/>
          <w:szCs w:val="24"/>
          <w:u w:val="single"/>
        </w:rPr>
        <w:t xml:space="preserve"> </w:t>
      </w:r>
      <w:r>
        <w:rPr>
          <w:rFonts w:hint="eastAsia"/>
          <w:i/>
          <w:szCs w:val="24"/>
          <w:u w:val="single"/>
        </w:rPr>
        <w:t>（企业名称）</w:t>
      </w:r>
      <w:r>
        <w:rPr>
          <w:rFonts w:hint="eastAsia"/>
          <w:szCs w:val="24"/>
          <w:u w:val="single"/>
        </w:rPr>
        <w:t xml:space="preserve"> </w:t>
      </w:r>
      <w:r>
        <w:rPr>
          <w:rFonts w:hint="eastAsia"/>
          <w:szCs w:val="24"/>
        </w:rPr>
        <w:t>，属于残疾人福利性单位；</w:t>
      </w:r>
    </w:p>
    <w:p w14:paraId="4A4DA2FE">
      <w:pPr>
        <w:wordWrap w:val="0"/>
        <w:ind w:firstLine="480" w:firstLineChars="200"/>
        <w:rPr>
          <w:rFonts w:hint="eastAsia"/>
          <w:szCs w:val="24"/>
        </w:rPr>
      </w:pPr>
      <w:r>
        <w:rPr>
          <w:rFonts w:hint="eastAsia"/>
          <w:szCs w:val="24"/>
        </w:rPr>
        <w:t>……</w:t>
      </w:r>
    </w:p>
    <w:p w14:paraId="4D28BB23">
      <w:pPr>
        <w:wordWrap w:val="0"/>
        <w:ind w:firstLine="480" w:firstLineChars="200"/>
        <w:rPr>
          <w:rFonts w:hint="eastAsia"/>
          <w:szCs w:val="24"/>
        </w:rPr>
      </w:pPr>
      <w:r>
        <w:rPr>
          <w:rFonts w:hint="eastAsia"/>
          <w:szCs w:val="24"/>
        </w:rPr>
        <w:t>以上企业，不属于大企业的分支机构，不存在控股股东为大企业的情形，也不存在与大企业的负责人为同一人的情形。</w:t>
      </w:r>
    </w:p>
    <w:p w14:paraId="16D7B752">
      <w:pPr>
        <w:wordWrap w:val="0"/>
        <w:ind w:left="1087" w:leftChars="200" w:hanging="607" w:hangingChars="253"/>
        <w:rPr>
          <w:rFonts w:hint="eastAsia"/>
          <w:szCs w:val="24"/>
        </w:rPr>
      </w:pPr>
      <w:r>
        <w:rPr>
          <w:rFonts w:hint="eastAsia"/>
          <w:szCs w:val="24"/>
        </w:rPr>
        <w:t>本企业对上述声明内容的真实性负责。如有虚假，将依法承担相应责任。</w:t>
      </w:r>
    </w:p>
    <w:p w14:paraId="1B331BD1">
      <w:pPr>
        <w:wordWrap w:val="0"/>
        <w:ind w:left="1091" w:hanging="1091" w:hangingChars="453"/>
        <w:rPr>
          <w:rFonts w:hint="eastAsia"/>
          <w:b/>
          <w:szCs w:val="21"/>
          <w:lang w:val="zh-CN"/>
        </w:rPr>
      </w:pPr>
    </w:p>
    <w:p w14:paraId="0972A9E0">
      <w:pPr>
        <w:wordWrap w:val="0"/>
        <w:ind w:left="1091" w:hanging="1091" w:hangingChars="453"/>
        <w:rPr>
          <w:rFonts w:hint="eastAsia"/>
          <w:bCs/>
          <w:szCs w:val="24"/>
        </w:rPr>
      </w:pPr>
      <w:r>
        <w:rPr>
          <w:rFonts w:hint="eastAsia"/>
          <w:b/>
          <w:szCs w:val="21"/>
          <w:lang w:val="zh-CN"/>
        </w:rPr>
        <w:t>说明：</w:t>
      </w:r>
      <w:r>
        <w:rPr>
          <w:rFonts w:hint="eastAsia"/>
          <w:bCs/>
          <w:szCs w:val="24"/>
        </w:rPr>
        <w:t>1、</w:t>
      </w:r>
      <w:r>
        <w:rPr>
          <w:rFonts w:hint="eastAsia"/>
          <w:bCs/>
          <w:szCs w:val="21"/>
          <w:lang w:val="zh-CN"/>
        </w:rPr>
        <w:t>服务应当全部由符合</w:t>
      </w:r>
      <w:r>
        <w:rPr>
          <w:bCs/>
          <w:szCs w:val="21"/>
          <w:lang w:val="zh-CN"/>
        </w:rPr>
        <w:t>政策要求的</w:t>
      </w:r>
      <w:r>
        <w:rPr>
          <w:rFonts w:hint="eastAsia"/>
          <w:bCs/>
          <w:szCs w:val="21"/>
          <w:lang w:val="zh-CN"/>
        </w:rPr>
        <w:t>残疾人福利性单位承接，应当严格按上述格式及内容进行填写（应当明确每个标的的承接企业类型及相关数据），否则导致的后果由投标供应商自行承担；</w:t>
      </w:r>
    </w:p>
    <w:p w14:paraId="2606474E">
      <w:pPr>
        <w:wordWrap w:val="0"/>
        <w:ind w:left="1087" w:hanging="1087" w:hangingChars="453"/>
        <w:rPr>
          <w:rFonts w:hint="eastAsia" w:cs="Courier New"/>
          <w:szCs w:val="21"/>
        </w:rPr>
      </w:pPr>
      <w:r>
        <w:rPr>
          <w:rFonts w:hint="eastAsia"/>
          <w:bCs/>
          <w:szCs w:val="21"/>
          <w:lang w:val="zh-CN"/>
        </w:rPr>
        <w:t xml:space="preserve">      2、</w:t>
      </w:r>
      <w:r>
        <w:rPr>
          <w:rFonts w:hint="eastAsia" w:cs="Courier New"/>
          <w:szCs w:val="21"/>
        </w:rPr>
        <w:t>以联合体形式参加的，应</w:t>
      </w:r>
      <w:r>
        <w:rPr>
          <w:rFonts w:hint="eastAsia"/>
          <w:bCs/>
          <w:szCs w:val="21"/>
          <w:lang w:val="zh-CN"/>
        </w:rPr>
        <w:t>当</w:t>
      </w:r>
      <w:r>
        <w:rPr>
          <w:rFonts w:hint="eastAsia" w:cs="Courier New"/>
          <w:szCs w:val="21"/>
        </w:rPr>
        <w:t>由联合体各方盖章。</w:t>
      </w:r>
    </w:p>
    <w:p w14:paraId="06983D32">
      <w:pPr>
        <w:wordWrap w:val="0"/>
        <w:spacing w:before="100" w:beforeAutospacing="1" w:after="100" w:afterAutospacing="1"/>
        <w:ind w:firstLine="3316" w:firstLineChars="1382"/>
        <w:rPr>
          <w:rFonts w:hint="eastAsia"/>
          <w:bCs/>
          <w:szCs w:val="21"/>
          <w:lang w:val="zh-CN"/>
        </w:rPr>
      </w:pPr>
      <w:r>
        <w:rPr>
          <w:rFonts w:hint="eastAsia"/>
          <w:bCs/>
          <w:szCs w:val="21"/>
          <w:lang w:val="zh-CN"/>
        </w:rPr>
        <w:t>投标供应商：</w:t>
      </w:r>
      <w:r>
        <w:rPr>
          <w:rFonts w:hint="eastAsia"/>
          <w:bCs/>
          <w:szCs w:val="21"/>
          <w:u w:val="single"/>
          <w:lang w:val="zh-CN"/>
        </w:rPr>
        <w:t xml:space="preserve">                         </w:t>
      </w:r>
    </w:p>
    <w:p w14:paraId="01654847">
      <w:pPr>
        <w:wordWrap w:val="0"/>
        <w:spacing w:before="100" w:beforeAutospacing="1" w:after="100" w:afterAutospacing="1"/>
        <w:ind w:firstLine="3316" w:firstLineChars="1382"/>
        <w:rPr>
          <w:rFonts w:hint="eastAsia"/>
          <w:bCs/>
          <w:szCs w:val="24"/>
          <w:u w:val="single"/>
        </w:rPr>
      </w:pPr>
      <w:r>
        <w:rPr>
          <w:rFonts w:hint="eastAsia"/>
          <w:szCs w:val="24"/>
        </w:rPr>
        <w:t xml:space="preserve">日 </w:t>
      </w:r>
      <w:r>
        <w:rPr>
          <w:szCs w:val="24"/>
        </w:rPr>
        <w:t xml:space="preserve"> </w:t>
      </w:r>
      <w:r>
        <w:rPr>
          <w:rFonts w:hint="eastAsia"/>
          <w:szCs w:val="24"/>
        </w:rPr>
        <w:t>期：</w:t>
      </w:r>
      <w:r>
        <w:rPr>
          <w:bCs/>
          <w:szCs w:val="24"/>
          <w:u w:val="single"/>
        </w:rPr>
        <w:t xml:space="preserve">                    </w:t>
      </w:r>
      <w:r>
        <w:rPr>
          <w:rFonts w:hint="eastAsia"/>
          <w:bCs/>
          <w:szCs w:val="24"/>
          <w:u w:val="single"/>
        </w:rPr>
        <w:t xml:space="preserve"> </w:t>
      </w:r>
      <w:r>
        <w:rPr>
          <w:bCs/>
          <w:szCs w:val="24"/>
          <w:u w:val="single"/>
        </w:rPr>
        <w:t xml:space="preserve">         </w:t>
      </w:r>
    </w:p>
    <w:p w14:paraId="743AA835">
      <w:pPr>
        <w:rPr>
          <w:rFonts w:hint="eastAsia"/>
        </w:rPr>
      </w:pPr>
      <w:r>
        <w:br w:type="page"/>
      </w:r>
    </w:p>
    <w:p w14:paraId="1CB84040">
      <w:pPr>
        <w:rPr>
          <w:rFonts w:hint="eastAsia"/>
        </w:rPr>
      </w:pPr>
    </w:p>
    <w:p w14:paraId="3FF8982F">
      <w:pPr>
        <w:ind w:left="4620" w:firstLine="281" w:firstLineChars="100"/>
        <w:rPr>
          <w:rFonts w:hint="eastAsia" w:cs="仿宋_GB2312"/>
          <w:b/>
          <w:sz w:val="28"/>
          <w:szCs w:val="28"/>
        </w:rPr>
      </w:pPr>
    </w:p>
    <w:p w14:paraId="016B9DA7">
      <w:pPr>
        <w:pStyle w:val="38"/>
        <w:numPr>
          <w:ilvl w:val="0"/>
          <w:numId w:val="35"/>
        </w:numPr>
        <w:rPr>
          <w:rFonts w:hint="eastAsia"/>
        </w:rPr>
      </w:pPr>
      <w:r>
        <w:rPr>
          <w:rFonts w:hint="eastAsia"/>
        </w:rPr>
        <w:t>其它落实政府采购政策的相关证明文件</w:t>
      </w:r>
    </w:p>
    <w:p w14:paraId="38C5B631">
      <w:pPr>
        <w:rPr>
          <w:rFonts w:hint="eastAsia" w:cs="仿宋_GB2312"/>
          <w:b/>
          <w:sz w:val="28"/>
          <w:szCs w:val="28"/>
        </w:rPr>
      </w:pPr>
    </w:p>
    <w:p w14:paraId="3A830064">
      <w:pPr>
        <w:rPr>
          <w:rFonts w:hint="eastAsia" w:cs="仿宋_GB2312"/>
          <w:b/>
          <w:sz w:val="28"/>
          <w:szCs w:val="28"/>
        </w:rPr>
      </w:pPr>
      <w:r>
        <w:rPr>
          <w:rFonts w:cs="仿宋_GB2312"/>
          <w:b/>
          <w:sz w:val="28"/>
          <w:szCs w:val="28"/>
        </w:rPr>
        <w:br w:type="page"/>
      </w:r>
    </w:p>
    <w:p w14:paraId="2556A771">
      <w:pPr>
        <w:pStyle w:val="6"/>
        <w:numPr>
          <w:ilvl w:val="0"/>
          <w:numId w:val="32"/>
        </w:numPr>
        <w:rPr>
          <w:rFonts w:hint="eastAsia"/>
        </w:rPr>
      </w:pPr>
      <w:bookmarkStart w:id="384" w:name="_Toc29356"/>
      <w:r>
        <w:rPr>
          <w:rFonts w:hint="eastAsia"/>
        </w:rPr>
        <w:t>投标供应商认为需要提供的其他资料</w:t>
      </w:r>
      <w:bookmarkEnd w:id="384"/>
    </w:p>
    <w:p w14:paraId="72E46B02">
      <w:pPr>
        <w:pStyle w:val="36"/>
        <w:rPr>
          <w:rFonts w:hint="eastAsia"/>
        </w:rPr>
      </w:pPr>
      <w:r>
        <w:rPr>
          <w:rFonts w:hint="eastAsia"/>
        </w:rPr>
        <w:t>1</w:t>
      </w:r>
      <w:r>
        <w:t>.</w:t>
      </w:r>
      <w:r>
        <w:rPr>
          <w:rFonts w:hint="eastAsia"/>
        </w:rPr>
        <w:t>招标文件要求供应商须提交的其它资料；</w:t>
      </w:r>
    </w:p>
    <w:p w14:paraId="10BF9B58">
      <w:pPr>
        <w:pStyle w:val="36"/>
        <w:rPr>
          <w:rFonts w:hint="eastAsia"/>
        </w:rPr>
      </w:pPr>
      <w:r>
        <w:rPr>
          <w:rFonts w:hint="eastAsia"/>
        </w:rPr>
        <w:t>2.投标供应商认为需加以说明的其它内容。</w:t>
      </w:r>
    </w:p>
    <w:sectPr>
      <w:footerReference r:id="rId8"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F840CE6-FDE3-4772-9B65-A41AD48C6C33}"/>
  </w:font>
  <w:font w:name="Arial">
    <w:panose1 w:val="020B0604020202020204"/>
    <w:charset w:val="01"/>
    <w:family w:val="swiss"/>
    <w:pitch w:val="default"/>
    <w:sig w:usb0="E0002EFF" w:usb1="C000785B" w:usb2="00000009" w:usb3="00000000" w:csb0="400001FF" w:csb1="FFFF0000"/>
    <w:embedRegular r:id="rId2" w:fontKey="{C1DC1210-2F4F-4BA2-86B0-486C320026C1}"/>
  </w:font>
  <w:font w:name="黑体">
    <w:panose1 w:val="02010609060101010101"/>
    <w:charset w:val="86"/>
    <w:family w:val="auto"/>
    <w:pitch w:val="default"/>
    <w:sig w:usb0="800002BF" w:usb1="38CF7CFA" w:usb2="00000016" w:usb3="00000000" w:csb0="00040001" w:csb1="00000000"/>
    <w:embedRegular r:id="rId3" w:fontKey="{29285BE0-E3BA-4469-AAA1-0EF37726CAE7}"/>
  </w:font>
  <w:font w:name="Courier New">
    <w:panose1 w:val="02070309020205020404"/>
    <w:charset w:val="01"/>
    <w:family w:val="modern"/>
    <w:pitch w:val="default"/>
    <w:sig w:usb0="E0002EFF" w:usb1="C0007843" w:usb2="00000009" w:usb3="00000000" w:csb0="400001FF" w:csb1="FFFF0000"/>
    <w:embedRegular r:id="rId4" w:fontKey="{48ECAFAA-A5F1-4318-88A0-069A0384162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embedRegular r:id="rId5" w:fontKey="{87E64E59-DB5A-49FF-B189-8F9B85F68B25}"/>
  </w:font>
  <w:font w:name="等线">
    <w:panose1 w:val="02010600030101010101"/>
    <w:charset w:val="86"/>
    <w:family w:val="auto"/>
    <w:pitch w:val="default"/>
    <w:sig w:usb0="A00002BF" w:usb1="38CF7CFA" w:usb2="00000016" w:usb3="00000000" w:csb0="0004000F" w:csb1="00000000"/>
    <w:embedRegular r:id="rId6" w:fontKey="{D9F3D669-1232-4739-BB46-A28040764FAB}"/>
  </w:font>
  <w:font w:name="Cambria">
    <w:panose1 w:val="02040503050406030204"/>
    <w:charset w:val="00"/>
    <w:family w:val="roman"/>
    <w:pitch w:val="default"/>
    <w:sig w:usb0="E00006FF" w:usb1="420024FF" w:usb2="02000000" w:usb3="00000000" w:csb0="2000019F" w:csb1="00000000"/>
  </w:font>
  <w:font w:name="方正小标宋_GBK">
    <w:panose1 w:val="03000509000000000000"/>
    <w:charset w:val="86"/>
    <w:family w:val="auto"/>
    <w:pitch w:val="default"/>
    <w:sig w:usb0="00000001" w:usb1="080E0000" w:usb2="00000000" w:usb3="00000000" w:csb0="00040000" w:csb1="00000000"/>
    <w:embedRegular r:id="rId7" w:fontKey="{4CB7827E-6006-465D-BB93-5FEB35E9441C}"/>
  </w:font>
  <w:font w:name="汉仪雅酷黑 75W">
    <w:altName w:val="黑体"/>
    <w:panose1 w:val="00000000000000000000"/>
    <w:charset w:val="86"/>
    <w:family w:val="auto"/>
    <w:pitch w:val="default"/>
    <w:sig w:usb0="00000000" w:usb1="00000000" w:usb2="00000016" w:usb3="00000000" w:csb0="2004000F" w:csb1="00000000"/>
    <w:embedRegular r:id="rId8" w:fontKey="{1ABB7F53-DA05-4E75-B976-A2E59048BA26}"/>
  </w:font>
  <w:font w:name="仿宋_GB2312">
    <w:panose1 w:val="02010609030101010101"/>
    <w:charset w:val="86"/>
    <w:family w:val="auto"/>
    <w:pitch w:val="default"/>
    <w:sig w:usb0="00000001" w:usb1="080E0000" w:usb2="00000000" w:usb3="00000000" w:csb0="00040000" w:csb1="00000000"/>
    <w:embedRegular r:id="rId9" w:fontKey="{2170614E-7F25-4B46-8249-7E9C2BF8A272}"/>
  </w:font>
  <w:font w:name="仿宋">
    <w:panose1 w:val="02010609060101010101"/>
    <w:charset w:val="86"/>
    <w:family w:val="auto"/>
    <w:pitch w:val="default"/>
    <w:sig w:usb0="800002BF" w:usb1="38CF7CFA" w:usb2="00000016" w:usb3="00000000" w:csb0="00040001" w:csb1="00000000"/>
    <w:embedRegular r:id="rId10" w:fontKey="{1508EABD-1723-4E60-86D8-B9A4EF7C18A5}"/>
  </w:font>
  <w:font w:name="微软雅黑">
    <w:panose1 w:val="020B0503020204020204"/>
    <w:charset w:val="86"/>
    <w:family w:val="auto"/>
    <w:pitch w:val="default"/>
    <w:sig w:usb0="80000287" w:usb1="2ACF3C50" w:usb2="00000016" w:usb3="00000000" w:csb0="0004001F" w:csb1="00000000"/>
    <w:embedRegular r:id="rId11" w:fontKey="{6034028F-412F-4EB6-8AAB-E152A82BCCBC}"/>
  </w:font>
  <w:font w:name="Helvetica">
    <w:altName w:val="Arial"/>
    <w:panose1 w:val="020B0604020202020204"/>
    <w:charset w:val="00"/>
    <w:family w:val="swiss"/>
    <w:pitch w:val="default"/>
    <w:sig w:usb0="00000000" w:usb1="00000000" w:usb2="00000000" w:usb3="00000000" w:csb0="00000001" w:csb1="00000000"/>
    <w:embedRegular r:id="rId12" w:fontKey="{A8E7596F-1002-45F0-B099-1A280D616440}"/>
  </w:font>
  <w:font w:name="Segoe UI">
    <w:panose1 w:val="020B0502040204020203"/>
    <w:charset w:val="00"/>
    <w:family w:val="swiss"/>
    <w:pitch w:val="default"/>
    <w:sig w:usb0="E4002EFF" w:usb1="C000E47F" w:usb2="00000009" w:usb3="00000000" w:csb0="200001FF" w:csb1="00000000"/>
    <w:embedRegular r:id="rId13" w:fontKey="{D34969BE-82AB-49BC-803E-C379CA75A492}"/>
  </w:font>
  <w:font w:name="楷体">
    <w:panose1 w:val="02010609060101010101"/>
    <w:charset w:val="86"/>
    <w:family w:val="modern"/>
    <w:pitch w:val="default"/>
    <w:sig w:usb0="800002BF" w:usb1="38CF7CFA" w:usb2="00000016" w:usb3="00000000" w:csb0="00040001" w:csb1="00000000"/>
    <w:embedRegular r:id="rId14" w:fontKey="{2926E4EE-2924-4880-B605-1F508A15C9FC}"/>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4084D">
    <w:pPr>
      <w:pStyle w:val="20"/>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bottomMargin">
                <wp:align>top</wp:align>
              </wp:positionV>
              <wp:extent cx="5314950" cy="0"/>
              <wp:effectExtent l="0" t="4445" r="0" b="5080"/>
              <wp:wrapNone/>
              <wp:docPr id="8" name="直接连接符 8"/>
              <wp:cNvGraphicFramePr/>
              <a:graphic xmlns:a="http://schemas.openxmlformats.org/drawingml/2006/main">
                <a:graphicData uri="http://schemas.microsoft.com/office/word/2010/wordprocessingShape">
                  <wps:wsp>
                    <wps:cNvCnPr/>
                    <wps:spPr>
                      <a:xfrm>
                        <a:off x="0" y="0"/>
                        <a:ext cx="531495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100000</wp14:pctWidth>
              </wp14:sizeRelH>
              <wp14:sizeRelV relativeFrom="page">
                <wp14:pctHeight>0</wp14:pctHeight>
              </wp14:sizeRelV>
            </wp:anchor>
          </w:drawing>
        </mc:Choice>
        <mc:Fallback>
          <w:pict>
            <v:line id="_x0000_s1026" o:spid="_x0000_s1026" o:spt="20" style="position:absolute;left:0pt;margin-left:90pt;margin-top:770.25pt;height:0pt;width:418.5pt;mso-position-horizontal-relative:page;mso-position-vertical-relative:page;z-index:251660288;mso-width-relative:margin;mso-height-relative:page;mso-width-percent:1000;" filled="f" stroked="t" coordsize="21600,21600" o:gfxdata="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h3ni19MAAAACAQAADwAA&#10;AAAAAAABACAAAAAiAAAAZHJzL2Rvd25yZXYueG1sUEsBAhQAFAAAAAgAh07iQH9BalHiAQAAsQMA&#10;AA4AAAAAAAAAAQAgAAAAIgEAAGRycy9lMm9Eb2MueG1sUEsFBgAAAAAGAAYAWQEAAHYFAAAAAA==&#10;">
              <v:fill on="f" focussize="0,0"/>
              <v:stroke color="#000000 [3213]" miterlimit="8" joinstyle="miter"/>
              <v:imagedata o:title=""/>
              <o:lock v:ext="edit" aspectratio="f"/>
            </v:line>
          </w:pict>
        </mc:Fallback>
      </mc:AlternateContent>
    </w:r>
    <w:r>
      <mc:AlternateContent>
        <mc:Choice Requires="wpg">
          <w:drawing>
            <wp:anchor distT="0" distB="0" distL="114300" distR="114300" simplePos="0" relativeHeight="251661312" behindDoc="0" locked="0" layoutInCell="1" allowOverlap="1">
              <wp:simplePos x="0" y="0"/>
              <wp:positionH relativeFrom="margin">
                <wp:posOffset>2078355</wp:posOffset>
              </wp:positionH>
              <wp:positionV relativeFrom="bottomMargin">
                <wp:posOffset>-1905</wp:posOffset>
              </wp:positionV>
              <wp:extent cx="3129280" cy="305435"/>
              <wp:effectExtent l="0" t="0" r="0" b="0"/>
              <wp:wrapNone/>
              <wp:docPr id="3" name="组合 3"/>
              <wp:cNvGraphicFramePr/>
              <a:graphic xmlns:a="http://schemas.openxmlformats.org/drawingml/2006/main">
                <a:graphicData uri="http://schemas.microsoft.com/office/word/2010/wordprocessingGroup">
                  <wpg:wgp>
                    <wpg:cNvGrpSpPr/>
                    <wpg:grpSpPr>
                      <a:xfrm>
                        <a:off x="0" y="0"/>
                        <a:ext cx="3129280" cy="305435"/>
                        <a:chOff x="4728" y="1160"/>
                        <a:chExt cx="4928" cy="481"/>
                      </a:xfrm>
                    </wpg:grpSpPr>
                    <wps:wsp>
                      <wps:cNvPr id="6" name="矩形 2"/>
                      <wps:cNvSpPr/>
                      <wps:spPr>
                        <a:xfrm>
                          <a:off x="4728" y="1163"/>
                          <a:ext cx="1760" cy="47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7" name="文本框 3"/>
                      <wps:cNvSpPr txBox="1"/>
                      <wps:spPr>
                        <a:xfrm>
                          <a:off x="5994" y="1160"/>
                          <a:ext cx="3662" cy="46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F2A968">
                            <w:pPr>
                              <w:rPr>
                                <w:rFonts w:hint="eastAsia" w:ascii="汉仪雅酷黑 75W" w:hAnsi="汉仪雅酷黑 75W" w:eastAsia="汉仪雅酷黑 75W" w:cs="汉仪雅酷黑 75W"/>
                              </w:rPr>
                            </w:pPr>
                            <w:r>
                              <w:rPr>
                                <w:rFonts w:hint="eastAsia" w:ascii="汉仪雅酷黑 75W" w:hAnsi="汉仪雅酷黑 75W" w:eastAsia="汉仪雅酷黑 75W" w:cs="汉仪雅酷黑 75W"/>
                              </w:rPr>
                              <w:t>昆明阔海建设工程咨询有限公司</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253.65pt;margin-top:769.75pt;height:24.05pt;width:246.4pt;mso-position-horizontal-relative:page;mso-position-vertical-relative:page;z-index:251661312;mso-width-relative:page;mso-height-relative:page;" coordorigin="4728,1160" coordsize="4928,481" o:gfxdata="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">
              <o:lock v:ext="edit" aspectratio="f"/>
              <v:rect id="矩形 2" o:spid="_x0000_s1026" o:spt="1" style="position:absolute;left:4728;top:1163;height:478;width:1760;v-text-anchor:middle;" fillcolor="#FFFFFF [3212]" filled="t" stroked="f" coordsize="21600,21600" o:gfxdata="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83jnsvQAA&#10;ANoAAAAPAAAAAAAAAAEAIAAAACIAAABkcnMvZG93bnJldi54bWxQSwECFAAUAAAACACHTuJAMy8F&#10;njsAAAA5AAAAEAAAAAAAAAABACAAAAAMAQAAZHJzL3NoYXBleG1sLnhtbFBLBQYAAAAABgAGAFsB&#10;AAC2AwAAAAA=&#10;">
                <v:fill on="t" opacity="0f" focussize="0,0"/>
                <v:stroke on="f" weight="1pt" miterlimit="8" joinstyle="miter"/>
                <v:imagedata o:title=""/>
                <o:lock v:ext="edit" aspectratio="f"/>
              </v:rect>
              <v:shape id="文本框 3" o:spid="_x0000_s1026" o:spt="202" type="#_x0000_t202" style="position:absolute;left:5994;top:1160;height:461;width:3662;" filled="f" stroked="f" coordsize="21600,21600" o:gfxdata="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PXEvC/&#10;AAAA2gAAAA8AAAAAAAAAAQAgAAAAIgAAAGRycy9kb3ducmV2LnhtbFBLAQIUABQAAAAIAIdO4kAz&#10;LwWeOwAAADkAAAAQAAAAAAAAAAEAIAAAAA4BAABkcnMvc2hhcGV4bWwueG1sUEsFBgAAAAAGAAYA&#10;WwEAALgDAAAAAA==&#10;">
                <v:fill on="f" focussize="0,0"/>
                <v:stroke on="f" weight="0.5pt"/>
                <v:imagedata o:title=""/>
                <o:lock v:ext="edit" aspectratio="f"/>
                <v:textbox>
                  <w:txbxContent>
                    <w:p w14:paraId="19F2A968">
                      <w:pPr>
                        <w:rPr>
                          <w:rFonts w:hint="eastAsia" w:ascii="汉仪雅酷黑 75W" w:hAnsi="汉仪雅酷黑 75W" w:eastAsia="汉仪雅酷黑 75W" w:cs="汉仪雅酷黑 75W"/>
                        </w:rPr>
                      </w:pPr>
                      <w:r>
                        <w:rPr>
                          <w:rFonts w:hint="eastAsia" w:ascii="汉仪雅酷黑 75W" w:hAnsi="汉仪雅酷黑 75W" w:eastAsia="汉仪雅酷黑 75W" w:cs="汉仪雅酷黑 75W"/>
                        </w:rPr>
                        <w:t>昆明阔海建设工程咨询有限公司</w:t>
                      </w:r>
                    </w:p>
                  </w:txbxContent>
                </v:textbox>
              </v:shape>
            </v:group>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83555917"/>
    </w:sdtPr>
    <w:sdtContent>
      <w:p w14:paraId="4309BB42">
        <w:pPr>
          <w:pStyle w:val="20"/>
          <w:jc w:val="center"/>
          <w:rPr>
            <w:rFonts w:hint="eastAsia"/>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42117CD6">
    <w:pPr>
      <w:pStyle w:val="2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428888"/>
    </w:sdtPr>
    <w:sdtContent>
      <w:p w14:paraId="16E4E5B6">
        <w:pPr>
          <w:pStyle w:val="20"/>
          <w:jc w:val="center"/>
          <w:rPr>
            <w:rFonts w:hint="eastAsia"/>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0950D739">
    <w:pPr>
      <w:pStyle w:val="2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511AE">
    <w:pPr>
      <w:pStyle w:val="22"/>
      <w:jc w:val="both"/>
      <w:rPr>
        <w:rFonts w:hint="eastAsia"/>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8814B6"/>
    <w:multiLevelType w:val="singleLevel"/>
    <w:tmpl w:val="B58814B6"/>
    <w:lvl w:ilvl="0" w:tentative="0">
      <w:start w:val="3"/>
      <w:numFmt w:val="chineseCounting"/>
      <w:suff w:val="nothing"/>
      <w:lvlText w:val="（%1）"/>
      <w:lvlJc w:val="left"/>
      <w:rPr>
        <w:rFonts w:hint="eastAsia"/>
      </w:rPr>
    </w:lvl>
  </w:abstractNum>
  <w:abstractNum w:abstractNumId="1">
    <w:nsid w:val="E6A005E4"/>
    <w:multiLevelType w:val="singleLevel"/>
    <w:tmpl w:val="E6A005E4"/>
    <w:lvl w:ilvl="0" w:tentative="0">
      <w:start w:val="1"/>
      <w:numFmt w:val="decimal"/>
      <w:suff w:val="nothing"/>
      <w:lvlText w:val="（%1）"/>
      <w:lvlJc w:val="left"/>
    </w:lvl>
  </w:abstractNum>
  <w:abstractNum w:abstractNumId="2">
    <w:nsid w:val="ED89AF95"/>
    <w:multiLevelType w:val="singleLevel"/>
    <w:tmpl w:val="ED89AF95"/>
    <w:lvl w:ilvl="0" w:tentative="0">
      <w:start w:val="3"/>
      <w:numFmt w:val="decimal"/>
      <w:suff w:val="nothing"/>
      <w:lvlText w:val="（%1）"/>
      <w:lvlJc w:val="left"/>
    </w:lvl>
  </w:abstractNum>
  <w:abstractNum w:abstractNumId="3">
    <w:nsid w:val="FC454D0D"/>
    <w:multiLevelType w:val="singleLevel"/>
    <w:tmpl w:val="FC454D0D"/>
    <w:lvl w:ilvl="0" w:tentative="0">
      <w:start w:val="2"/>
      <w:numFmt w:val="chineseCounting"/>
      <w:suff w:val="nothing"/>
      <w:lvlText w:val="（%1）"/>
      <w:lvlJc w:val="left"/>
      <w:rPr>
        <w:rFonts w:hint="eastAsia"/>
      </w:rPr>
    </w:lvl>
  </w:abstractNum>
  <w:abstractNum w:abstractNumId="4">
    <w:nsid w:val="01D4469D"/>
    <w:multiLevelType w:val="multilevel"/>
    <w:tmpl w:val="01D4469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491CF59"/>
    <w:multiLevelType w:val="singleLevel"/>
    <w:tmpl w:val="0491CF59"/>
    <w:lvl w:ilvl="0" w:tentative="0">
      <w:start w:val="7"/>
      <w:numFmt w:val="chineseCounting"/>
      <w:suff w:val="nothing"/>
      <w:lvlText w:val="（%1）"/>
      <w:lvlJc w:val="left"/>
      <w:rPr>
        <w:rFonts w:hint="eastAsia"/>
        <w:b/>
        <w:bCs/>
      </w:rPr>
    </w:lvl>
  </w:abstractNum>
  <w:abstractNum w:abstractNumId="6">
    <w:nsid w:val="070B6939"/>
    <w:multiLevelType w:val="multilevel"/>
    <w:tmpl w:val="070B6939"/>
    <w:lvl w:ilvl="0" w:tentative="0">
      <w:start w:val="1"/>
      <w:numFmt w:val="chineseCountingThousand"/>
      <w:lvlText w:val="第%1章 "/>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9680487"/>
    <w:multiLevelType w:val="multilevel"/>
    <w:tmpl w:val="09680487"/>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A9C383F"/>
    <w:multiLevelType w:val="multilevel"/>
    <w:tmpl w:val="0A9C383F"/>
    <w:lvl w:ilvl="0" w:tentative="0">
      <w:start w:val="1"/>
      <w:numFmt w:val="chineseCountingThousand"/>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C2D483C"/>
    <w:multiLevelType w:val="multilevel"/>
    <w:tmpl w:val="0C2D483C"/>
    <w:lvl w:ilvl="0" w:tentative="0">
      <w:start w:val="1"/>
      <w:numFmt w:val="decimal"/>
      <w:lvlText w:val="%1."/>
      <w:lvlJc w:val="left"/>
      <w:pPr>
        <w:tabs>
          <w:tab w:val="left" w:pos="720"/>
        </w:tabs>
        <w:ind w:left="720" w:hanging="360"/>
      </w:pPr>
      <w:rPr>
        <w:rFonts w:hint="eastAsia"/>
      </w:rPr>
    </w:lvl>
    <w:lvl w:ilvl="1" w:tentative="0">
      <w:start w:val="1"/>
      <w:numFmt w:val="decimal"/>
      <w:lvlText w:val="%2."/>
      <w:lvlJc w:val="left"/>
      <w:pPr>
        <w:tabs>
          <w:tab w:val="left" w:pos="1140"/>
        </w:tabs>
        <w:ind w:left="1140" w:hanging="360"/>
      </w:pPr>
      <w:rPr>
        <w:rFonts w:hint="eastAsia"/>
      </w:rPr>
    </w:lvl>
    <w:lvl w:ilvl="2" w:tentative="0">
      <w:start w:val="1"/>
      <w:numFmt w:val="japaneseCounting"/>
      <w:lvlText w:val="%3、"/>
      <w:lvlJc w:val="left"/>
      <w:pPr>
        <w:tabs>
          <w:tab w:val="left" w:pos="1560"/>
        </w:tabs>
        <w:ind w:left="1560" w:hanging="360"/>
      </w:pPr>
      <w:rPr>
        <w:rFonts w:hint="eastAsia"/>
      </w:rPr>
    </w:lvl>
    <w:lvl w:ilvl="3" w:tentative="0">
      <w:start w:val="1"/>
      <w:numFmt w:val="decimal"/>
      <w:lvlText w:val="%4."/>
      <w:lvlJc w:val="left"/>
      <w:pPr>
        <w:tabs>
          <w:tab w:val="left" w:pos="2040"/>
        </w:tabs>
        <w:ind w:left="2040" w:hanging="420"/>
      </w:pPr>
    </w:lvl>
    <w:lvl w:ilvl="4" w:tentative="0">
      <w:start w:val="1"/>
      <w:numFmt w:val="decimal"/>
      <w:lvlText w:val="（%5）"/>
      <w:lvlJc w:val="left"/>
      <w:pPr>
        <w:tabs>
          <w:tab w:val="left" w:pos="2760"/>
        </w:tabs>
        <w:ind w:left="2760" w:hanging="720"/>
      </w:pPr>
      <w:rPr>
        <w:rFonts w:hint="eastAsia"/>
      </w:r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10">
    <w:nsid w:val="18E11C3C"/>
    <w:multiLevelType w:val="multilevel"/>
    <w:tmpl w:val="18E11C3C"/>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C761375"/>
    <w:multiLevelType w:val="multilevel"/>
    <w:tmpl w:val="1C761375"/>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F5541E8"/>
    <w:multiLevelType w:val="multilevel"/>
    <w:tmpl w:val="1F5541E8"/>
    <w:lvl w:ilvl="0" w:tentative="0">
      <w:start w:val="1"/>
      <w:numFmt w:val="upperLetter"/>
      <w:lvlText w:val="%1."/>
      <w:lvlJc w:val="left"/>
      <w:pPr>
        <w:ind w:left="1380" w:hanging="420"/>
      </w:pPr>
    </w:lvl>
    <w:lvl w:ilvl="1" w:tentative="0">
      <w:start w:val="1"/>
      <w:numFmt w:val="lowerLetter"/>
      <w:lvlText w:val="%2)"/>
      <w:lvlJc w:val="left"/>
      <w:pPr>
        <w:ind w:left="1800" w:hanging="420"/>
      </w:pPr>
    </w:lvl>
    <w:lvl w:ilvl="2" w:tentative="0">
      <w:start w:val="1"/>
      <w:numFmt w:val="lowerRoman"/>
      <w:lvlText w:val="%3."/>
      <w:lvlJc w:val="right"/>
      <w:pPr>
        <w:ind w:left="2220" w:hanging="420"/>
      </w:pPr>
    </w:lvl>
    <w:lvl w:ilvl="3" w:tentative="0">
      <w:start w:val="1"/>
      <w:numFmt w:val="decimal"/>
      <w:lvlText w:val="%4."/>
      <w:lvlJc w:val="left"/>
      <w:pPr>
        <w:ind w:left="2640" w:hanging="420"/>
      </w:pPr>
    </w:lvl>
    <w:lvl w:ilvl="4" w:tentative="0">
      <w:start w:val="1"/>
      <w:numFmt w:val="lowerLetter"/>
      <w:lvlText w:val="%5)"/>
      <w:lvlJc w:val="left"/>
      <w:pPr>
        <w:ind w:left="3060" w:hanging="420"/>
      </w:pPr>
    </w:lvl>
    <w:lvl w:ilvl="5" w:tentative="0">
      <w:start w:val="1"/>
      <w:numFmt w:val="lowerRoman"/>
      <w:lvlText w:val="%6."/>
      <w:lvlJc w:val="right"/>
      <w:pPr>
        <w:ind w:left="3480" w:hanging="420"/>
      </w:pPr>
    </w:lvl>
    <w:lvl w:ilvl="6" w:tentative="0">
      <w:start w:val="1"/>
      <w:numFmt w:val="decimal"/>
      <w:lvlText w:val="%7."/>
      <w:lvlJc w:val="left"/>
      <w:pPr>
        <w:ind w:left="3900" w:hanging="420"/>
      </w:pPr>
    </w:lvl>
    <w:lvl w:ilvl="7" w:tentative="0">
      <w:start w:val="1"/>
      <w:numFmt w:val="lowerLetter"/>
      <w:lvlText w:val="%8)"/>
      <w:lvlJc w:val="left"/>
      <w:pPr>
        <w:ind w:left="4320" w:hanging="420"/>
      </w:pPr>
    </w:lvl>
    <w:lvl w:ilvl="8" w:tentative="0">
      <w:start w:val="1"/>
      <w:numFmt w:val="lowerRoman"/>
      <w:lvlText w:val="%9."/>
      <w:lvlJc w:val="right"/>
      <w:pPr>
        <w:ind w:left="4740" w:hanging="420"/>
      </w:pPr>
    </w:lvl>
  </w:abstractNum>
  <w:abstractNum w:abstractNumId="13">
    <w:nsid w:val="28556E30"/>
    <w:multiLevelType w:val="multilevel"/>
    <w:tmpl w:val="28556E3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35107505"/>
    <w:multiLevelType w:val="multilevel"/>
    <w:tmpl w:val="35107505"/>
    <w:lvl w:ilvl="0" w:tentative="0">
      <w:start w:val="1"/>
      <w:numFmt w:val="chineseCountingThousand"/>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362D19BE"/>
    <w:multiLevelType w:val="multilevel"/>
    <w:tmpl w:val="362D19BE"/>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9843CD9"/>
    <w:multiLevelType w:val="multilevel"/>
    <w:tmpl w:val="39843CD9"/>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39FE05AD"/>
    <w:multiLevelType w:val="multilevel"/>
    <w:tmpl w:val="39FE05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3A0105B5"/>
    <w:multiLevelType w:val="multilevel"/>
    <w:tmpl w:val="3A0105B5"/>
    <w:lvl w:ilvl="0" w:tentative="0">
      <w:start w:val="1"/>
      <w:numFmt w:val="decimal"/>
      <w:lvlText w:val="%1."/>
      <w:lvlJc w:val="left"/>
      <w:pPr>
        <w:tabs>
          <w:tab w:val="left" w:pos="720"/>
        </w:tabs>
        <w:ind w:left="720" w:hanging="360"/>
      </w:pPr>
      <w:rPr>
        <w:rFonts w:hint="eastAsia"/>
      </w:rPr>
    </w:lvl>
    <w:lvl w:ilvl="1" w:tentative="0">
      <w:start w:val="1"/>
      <w:numFmt w:val="lowerLetter"/>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19">
    <w:nsid w:val="3FA84B13"/>
    <w:multiLevelType w:val="multilevel"/>
    <w:tmpl w:val="3FA84B13"/>
    <w:lvl w:ilvl="0" w:tentative="0">
      <w:start w:val="1"/>
      <w:numFmt w:val="decimal"/>
      <w:suff w:val="nothing"/>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42B56A15"/>
    <w:multiLevelType w:val="multilevel"/>
    <w:tmpl w:val="42B56A15"/>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431E1E9D"/>
    <w:multiLevelType w:val="multilevel"/>
    <w:tmpl w:val="431E1E9D"/>
    <w:lvl w:ilvl="0" w:tentative="0">
      <w:start w:val="1"/>
      <w:numFmt w:val="decimal"/>
      <w:lvlText w:val="（%1）"/>
      <w:lvlJc w:val="left"/>
      <w:pPr>
        <w:tabs>
          <w:tab w:val="left" w:pos="902"/>
        </w:tabs>
        <w:ind w:left="902" w:hanging="420"/>
      </w:pPr>
      <w:rPr>
        <w:rFonts w:hint="eastAsia"/>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2">
    <w:nsid w:val="447B6378"/>
    <w:multiLevelType w:val="multilevel"/>
    <w:tmpl w:val="447B6378"/>
    <w:lvl w:ilvl="0" w:tentative="0">
      <w:start w:val="1"/>
      <w:numFmt w:val="decimal"/>
      <w:pStyle w:val="38"/>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19869B7"/>
    <w:multiLevelType w:val="multilevel"/>
    <w:tmpl w:val="519869B7"/>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29B3B6E"/>
    <w:multiLevelType w:val="multilevel"/>
    <w:tmpl w:val="529B3B6E"/>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2F7058B"/>
    <w:multiLevelType w:val="multilevel"/>
    <w:tmpl w:val="52F7058B"/>
    <w:lvl w:ilvl="0" w:tentative="0">
      <w:start w:val="1"/>
      <w:numFmt w:val="decimal"/>
      <w:lvlText w:val="%1."/>
      <w:lvlJc w:val="left"/>
      <w:pPr>
        <w:tabs>
          <w:tab w:val="left" w:pos="830"/>
        </w:tabs>
        <w:ind w:left="830" w:hanging="360"/>
      </w:pPr>
      <w:rPr>
        <w:rFonts w:hint="eastAsia" w:ascii="黑体" w:hAnsi="Times New Roman" w:eastAsia="黑体"/>
        <w:b/>
      </w:rPr>
    </w:lvl>
    <w:lvl w:ilvl="1" w:tentative="0">
      <w:start w:val="1"/>
      <w:numFmt w:val="lowerLetter"/>
      <w:lvlText w:val="%2)"/>
      <w:lvlJc w:val="left"/>
      <w:pPr>
        <w:tabs>
          <w:tab w:val="left" w:pos="1310"/>
        </w:tabs>
        <w:ind w:left="1310" w:hanging="420"/>
      </w:pPr>
    </w:lvl>
    <w:lvl w:ilvl="2" w:tentative="0">
      <w:start w:val="1"/>
      <w:numFmt w:val="lowerRoman"/>
      <w:lvlText w:val="%3."/>
      <w:lvlJc w:val="right"/>
      <w:pPr>
        <w:tabs>
          <w:tab w:val="left" w:pos="1730"/>
        </w:tabs>
        <w:ind w:left="1730" w:hanging="420"/>
      </w:pPr>
    </w:lvl>
    <w:lvl w:ilvl="3" w:tentative="0">
      <w:start w:val="1"/>
      <w:numFmt w:val="decimal"/>
      <w:lvlText w:val="%4."/>
      <w:lvlJc w:val="left"/>
      <w:pPr>
        <w:tabs>
          <w:tab w:val="left" w:pos="2150"/>
        </w:tabs>
        <w:ind w:left="2150" w:hanging="420"/>
      </w:pPr>
    </w:lvl>
    <w:lvl w:ilvl="4" w:tentative="0">
      <w:start w:val="1"/>
      <w:numFmt w:val="lowerLetter"/>
      <w:lvlText w:val="%5)"/>
      <w:lvlJc w:val="left"/>
      <w:pPr>
        <w:tabs>
          <w:tab w:val="left" w:pos="2570"/>
        </w:tabs>
        <w:ind w:left="2570" w:hanging="420"/>
      </w:pPr>
    </w:lvl>
    <w:lvl w:ilvl="5" w:tentative="0">
      <w:start w:val="1"/>
      <w:numFmt w:val="lowerRoman"/>
      <w:lvlText w:val="%6."/>
      <w:lvlJc w:val="right"/>
      <w:pPr>
        <w:tabs>
          <w:tab w:val="left" w:pos="2990"/>
        </w:tabs>
        <w:ind w:left="2990" w:hanging="420"/>
      </w:pPr>
    </w:lvl>
    <w:lvl w:ilvl="6" w:tentative="0">
      <w:start w:val="1"/>
      <w:numFmt w:val="decimal"/>
      <w:lvlText w:val="%7."/>
      <w:lvlJc w:val="left"/>
      <w:pPr>
        <w:tabs>
          <w:tab w:val="left" w:pos="3410"/>
        </w:tabs>
        <w:ind w:left="3410" w:hanging="420"/>
      </w:pPr>
    </w:lvl>
    <w:lvl w:ilvl="7" w:tentative="0">
      <w:start w:val="1"/>
      <w:numFmt w:val="lowerLetter"/>
      <w:lvlText w:val="%8)"/>
      <w:lvlJc w:val="left"/>
      <w:pPr>
        <w:tabs>
          <w:tab w:val="left" w:pos="3830"/>
        </w:tabs>
        <w:ind w:left="3830" w:hanging="420"/>
      </w:pPr>
    </w:lvl>
    <w:lvl w:ilvl="8" w:tentative="0">
      <w:start w:val="1"/>
      <w:numFmt w:val="lowerRoman"/>
      <w:lvlText w:val="%9."/>
      <w:lvlJc w:val="right"/>
      <w:pPr>
        <w:tabs>
          <w:tab w:val="left" w:pos="4250"/>
        </w:tabs>
        <w:ind w:left="4250" w:hanging="420"/>
      </w:pPr>
    </w:lvl>
  </w:abstractNum>
  <w:abstractNum w:abstractNumId="26">
    <w:nsid w:val="530F2C8E"/>
    <w:multiLevelType w:val="multilevel"/>
    <w:tmpl w:val="530F2C8E"/>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8B657F2"/>
    <w:multiLevelType w:val="multilevel"/>
    <w:tmpl w:val="68B657F2"/>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69A06F9C"/>
    <w:multiLevelType w:val="multilevel"/>
    <w:tmpl w:val="69A06F9C"/>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9">
    <w:nsid w:val="6D20426D"/>
    <w:multiLevelType w:val="multilevel"/>
    <w:tmpl w:val="6D20426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04A0C0D"/>
    <w:multiLevelType w:val="multilevel"/>
    <w:tmpl w:val="704A0C0D"/>
    <w:lvl w:ilvl="0" w:tentative="0">
      <w:start w:val="1"/>
      <w:numFmt w:val="decimal"/>
      <w:suff w:val="nothing"/>
      <w:lvlText w:val="（%1）"/>
      <w:lvlJc w:val="left"/>
      <w:pPr>
        <w:ind w:left="420" w:hanging="420"/>
      </w:pPr>
      <w:rPr>
        <w:rFonts w:hint="eastAsia"/>
        <w:b/>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49D759A"/>
    <w:multiLevelType w:val="multilevel"/>
    <w:tmpl w:val="749D759A"/>
    <w:lvl w:ilvl="0" w:tentative="0">
      <w:start w:val="1"/>
      <w:numFmt w:val="upp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2">
    <w:nsid w:val="75504026"/>
    <w:multiLevelType w:val="multilevel"/>
    <w:tmpl w:val="75504026"/>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79841C79"/>
    <w:multiLevelType w:val="multilevel"/>
    <w:tmpl w:val="79841C79"/>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7E9200FF"/>
    <w:multiLevelType w:val="multilevel"/>
    <w:tmpl w:val="7E9200FF"/>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7F01297A"/>
    <w:multiLevelType w:val="multilevel"/>
    <w:tmpl w:val="7F01297A"/>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2"/>
  </w:num>
  <w:num w:numId="2">
    <w:abstractNumId w:val="6"/>
  </w:num>
  <w:num w:numId="3">
    <w:abstractNumId w:val="3"/>
  </w:num>
  <w:num w:numId="4">
    <w:abstractNumId w:val="0"/>
  </w:num>
  <w:num w:numId="5">
    <w:abstractNumId w:val="5"/>
  </w:num>
  <w:num w:numId="6">
    <w:abstractNumId w:val="2"/>
  </w:num>
  <w:num w:numId="7">
    <w:abstractNumId w:val="15"/>
  </w:num>
  <w:num w:numId="8">
    <w:abstractNumId w:val="8"/>
  </w:num>
  <w:num w:numId="9">
    <w:abstractNumId w:val="4"/>
  </w:num>
  <w:num w:numId="10">
    <w:abstractNumId w:val="21"/>
  </w:num>
  <w:num w:numId="11">
    <w:abstractNumId w:val="10"/>
  </w:num>
  <w:num w:numId="12">
    <w:abstractNumId w:val="14"/>
  </w:num>
  <w:num w:numId="13">
    <w:abstractNumId w:val="19"/>
  </w:num>
  <w:num w:numId="14">
    <w:abstractNumId w:val="1"/>
  </w:num>
  <w:num w:numId="15">
    <w:abstractNumId w:val="13"/>
  </w:num>
  <w:num w:numId="16">
    <w:abstractNumId w:val="23"/>
  </w:num>
  <w:num w:numId="17">
    <w:abstractNumId w:val="26"/>
  </w:num>
  <w:num w:numId="18">
    <w:abstractNumId w:val="31"/>
  </w:num>
  <w:num w:numId="19">
    <w:abstractNumId w:val="28"/>
  </w:num>
  <w:num w:numId="20">
    <w:abstractNumId w:val="27"/>
  </w:num>
  <w:num w:numId="21">
    <w:abstractNumId w:val="24"/>
  </w:num>
  <w:num w:numId="22">
    <w:abstractNumId w:val="25"/>
    <w:lvlOverride w:ilvl="0">
      <w:startOverride w:val="1"/>
    </w:lvlOverride>
  </w:num>
  <w:num w:numId="23">
    <w:abstractNumId w:val="16"/>
  </w:num>
  <w:num w:numId="24">
    <w:abstractNumId w:val="20"/>
  </w:num>
  <w:num w:numId="25">
    <w:abstractNumId w:val="9"/>
  </w:num>
  <w:num w:numId="26">
    <w:abstractNumId w:val="18"/>
  </w:num>
  <w:num w:numId="27">
    <w:abstractNumId w:val="7"/>
  </w:num>
  <w:num w:numId="28">
    <w:abstractNumId w:val="12"/>
  </w:num>
  <w:num w:numId="29">
    <w:abstractNumId w:val="34"/>
  </w:num>
  <w:num w:numId="30">
    <w:abstractNumId w:val="33"/>
  </w:num>
  <w:num w:numId="31">
    <w:abstractNumId w:val="29"/>
  </w:num>
  <w:num w:numId="32">
    <w:abstractNumId w:val="17"/>
  </w:num>
  <w:num w:numId="33">
    <w:abstractNumId w:val="11"/>
  </w:num>
  <w:num w:numId="34">
    <w:abstractNumId w:val="32"/>
  </w:num>
  <w:num w:numId="35">
    <w:abstractNumId w:val="30"/>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M2MzkxMzMxNzk0Njk1ZWJiNmVlNGQzMmQxYmY1MjAifQ=="/>
  </w:docVars>
  <w:rsids>
    <w:rsidRoot w:val="001022A4"/>
    <w:rsid w:val="0000366A"/>
    <w:rsid w:val="00006F7F"/>
    <w:rsid w:val="00007003"/>
    <w:rsid w:val="000075B7"/>
    <w:rsid w:val="000237EA"/>
    <w:rsid w:val="00027CD2"/>
    <w:rsid w:val="00031E0C"/>
    <w:rsid w:val="00040832"/>
    <w:rsid w:val="00040D23"/>
    <w:rsid w:val="000439DA"/>
    <w:rsid w:val="00063604"/>
    <w:rsid w:val="0006370A"/>
    <w:rsid w:val="00066832"/>
    <w:rsid w:val="00067934"/>
    <w:rsid w:val="000720BF"/>
    <w:rsid w:val="0008641D"/>
    <w:rsid w:val="000B39A0"/>
    <w:rsid w:val="000C3E03"/>
    <w:rsid w:val="000C488D"/>
    <w:rsid w:val="000C52EC"/>
    <w:rsid w:val="000D0230"/>
    <w:rsid w:val="000D0AD3"/>
    <w:rsid w:val="000E45BD"/>
    <w:rsid w:val="000E4E33"/>
    <w:rsid w:val="000E67CF"/>
    <w:rsid w:val="000F20FD"/>
    <w:rsid w:val="000F39B0"/>
    <w:rsid w:val="001008D8"/>
    <w:rsid w:val="001022A4"/>
    <w:rsid w:val="00115EF7"/>
    <w:rsid w:val="0013642D"/>
    <w:rsid w:val="00146410"/>
    <w:rsid w:val="00150D67"/>
    <w:rsid w:val="00156600"/>
    <w:rsid w:val="00160E9C"/>
    <w:rsid w:val="00172190"/>
    <w:rsid w:val="00173480"/>
    <w:rsid w:val="00181988"/>
    <w:rsid w:val="00182557"/>
    <w:rsid w:val="0018304A"/>
    <w:rsid w:val="001904E9"/>
    <w:rsid w:val="001A77DE"/>
    <w:rsid w:val="001B36EC"/>
    <w:rsid w:val="001C1E0C"/>
    <w:rsid w:val="001D7B23"/>
    <w:rsid w:val="001E2F56"/>
    <w:rsid w:val="002062E6"/>
    <w:rsid w:val="00207131"/>
    <w:rsid w:val="0022214D"/>
    <w:rsid w:val="00223585"/>
    <w:rsid w:val="002317DB"/>
    <w:rsid w:val="00232245"/>
    <w:rsid w:val="0023265E"/>
    <w:rsid w:val="00235B5A"/>
    <w:rsid w:val="002410F1"/>
    <w:rsid w:val="00251060"/>
    <w:rsid w:val="002514A3"/>
    <w:rsid w:val="00256B32"/>
    <w:rsid w:val="00256D01"/>
    <w:rsid w:val="002706F2"/>
    <w:rsid w:val="00271135"/>
    <w:rsid w:val="00285E30"/>
    <w:rsid w:val="002A1AEC"/>
    <w:rsid w:val="002A1BCB"/>
    <w:rsid w:val="002A5262"/>
    <w:rsid w:val="002A6484"/>
    <w:rsid w:val="002A79C6"/>
    <w:rsid w:val="002C06B9"/>
    <w:rsid w:val="002C0FDD"/>
    <w:rsid w:val="002C5E37"/>
    <w:rsid w:val="002D11F7"/>
    <w:rsid w:val="002D48C5"/>
    <w:rsid w:val="002E0B52"/>
    <w:rsid w:val="002E1CF4"/>
    <w:rsid w:val="002E5FED"/>
    <w:rsid w:val="002F0DA9"/>
    <w:rsid w:val="003113C1"/>
    <w:rsid w:val="00312C3A"/>
    <w:rsid w:val="0031353D"/>
    <w:rsid w:val="0032200D"/>
    <w:rsid w:val="00333B37"/>
    <w:rsid w:val="0034487B"/>
    <w:rsid w:val="00347CC6"/>
    <w:rsid w:val="00347D88"/>
    <w:rsid w:val="00350BCD"/>
    <w:rsid w:val="0035643C"/>
    <w:rsid w:val="00366226"/>
    <w:rsid w:val="003746B0"/>
    <w:rsid w:val="00374A6B"/>
    <w:rsid w:val="00383E1C"/>
    <w:rsid w:val="00390D4A"/>
    <w:rsid w:val="0039222E"/>
    <w:rsid w:val="0039288A"/>
    <w:rsid w:val="00393395"/>
    <w:rsid w:val="0039372E"/>
    <w:rsid w:val="00394AF5"/>
    <w:rsid w:val="003A19A4"/>
    <w:rsid w:val="003A1A1B"/>
    <w:rsid w:val="003A4485"/>
    <w:rsid w:val="003A4878"/>
    <w:rsid w:val="003B4310"/>
    <w:rsid w:val="003B60A6"/>
    <w:rsid w:val="003C5883"/>
    <w:rsid w:val="003C7C49"/>
    <w:rsid w:val="003D3327"/>
    <w:rsid w:val="003E057C"/>
    <w:rsid w:val="003E2B14"/>
    <w:rsid w:val="003E314B"/>
    <w:rsid w:val="003F5655"/>
    <w:rsid w:val="003F5BC6"/>
    <w:rsid w:val="004021C6"/>
    <w:rsid w:val="00406BEF"/>
    <w:rsid w:val="00410595"/>
    <w:rsid w:val="00420F7C"/>
    <w:rsid w:val="00433514"/>
    <w:rsid w:val="00446BB3"/>
    <w:rsid w:val="0045353D"/>
    <w:rsid w:val="004771C7"/>
    <w:rsid w:val="00481C3A"/>
    <w:rsid w:val="004851CA"/>
    <w:rsid w:val="0048656E"/>
    <w:rsid w:val="00493221"/>
    <w:rsid w:val="004A302C"/>
    <w:rsid w:val="004B539D"/>
    <w:rsid w:val="004C1FA1"/>
    <w:rsid w:val="004C3DCC"/>
    <w:rsid w:val="004E0BF9"/>
    <w:rsid w:val="004E0CF9"/>
    <w:rsid w:val="004F3FDD"/>
    <w:rsid w:val="004F46AB"/>
    <w:rsid w:val="00501A4A"/>
    <w:rsid w:val="005032B9"/>
    <w:rsid w:val="005100F2"/>
    <w:rsid w:val="00510300"/>
    <w:rsid w:val="00511D7B"/>
    <w:rsid w:val="00513AD5"/>
    <w:rsid w:val="00523D37"/>
    <w:rsid w:val="00524831"/>
    <w:rsid w:val="0052616B"/>
    <w:rsid w:val="00532F25"/>
    <w:rsid w:val="00541D90"/>
    <w:rsid w:val="00542258"/>
    <w:rsid w:val="0054547C"/>
    <w:rsid w:val="0054632A"/>
    <w:rsid w:val="00551EDC"/>
    <w:rsid w:val="005544D1"/>
    <w:rsid w:val="00554509"/>
    <w:rsid w:val="00561523"/>
    <w:rsid w:val="00561527"/>
    <w:rsid w:val="00594E7A"/>
    <w:rsid w:val="005A146E"/>
    <w:rsid w:val="005A7987"/>
    <w:rsid w:val="005B2C2B"/>
    <w:rsid w:val="005B5936"/>
    <w:rsid w:val="005B6EDA"/>
    <w:rsid w:val="005C0D20"/>
    <w:rsid w:val="005D050C"/>
    <w:rsid w:val="005F7A46"/>
    <w:rsid w:val="00611383"/>
    <w:rsid w:val="00620B1C"/>
    <w:rsid w:val="00626E33"/>
    <w:rsid w:val="006407ED"/>
    <w:rsid w:val="0064251F"/>
    <w:rsid w:val="00643F74"/>
    <w:rsid w:val="006503AE"/>
    <w:rsid w:val="00651EE4"/>
    <w:rsid w:val="00654524"/>
    <w:rsid w:val="00654BCF"/>
    <w:rsid w:val="0066052B"/>
    <w:rsid w:val="006630EF"/>
    <w:rsid w:val="0066446E"/>
    <w:rsid w:val="0066601A"/>
    <w:rsid w:val="006662AB"/>
    <w:rsid w:val="00674212"/>
    <w:rsid w:val="0067621A"/>
    <w:rsid w:val="006815D1"/>
    <w:rsid w:val="00687DD5"/>
    <w:rsid w:val="006923C3"/>
    <w:rsid w:val="006937E9"/>
    <w:rsid w:val="00693EF9"/>
    <w:rsid w:val="006947A5"/>
    <w:rsid w:val="006A1A11"/>
    <w:rsid w:val="006A2C75"/>
    <w:rsid w:val="006A4105"/>
    <w:rsid w:val="006B0C84"/>
    <w:rsid w:val="006B543B"/>
    <w:rsid w:val="006B7E54"/>
    <w:rsid w:val="006C0BD1"/>
    <w:rsid w:val="006C30C8"/>
    <w:rsid w:val="006C5139"/>
    <w:rsid w:val="006C69FC"/>
    <w:rsid w:val="006D069F"/>
    <w:rsid w:val="006D2C95"/>
    <w:rsid w:val="006D5F8F"/>
    <w:rsid w:val="006D6CEA"/>
    <w:rsid w:val="006E3B5C"/>
    <w:rsid w:val="006E3EB8"/>
    <w:rsid w:val="00707B1D"/>
    <w:rsid w:val="00710909"/>
    <w:rsid w:val="00716369"/>
    <w:rsid w:val="00723649"/>
    <w:rsid w:val="007265C3"/>
    <w:rsid w:val="00735F23"/>
    <w:rsid w:val="00740CEF"/>
    <w:rsid w:val="00742261"/>
    <w:rsid w:val="00752C5E"/>
    <w:rsid w:val="007531F9"/>
    <w:rsid w:val="00764378"/>
    <w:rsid w:val="0076591F"/>
    <w:rsid w:val="00766F0F"/>
    <w:rsid w:val="00773B9A"/>
    <w:rsid w:val="0077582F"/>
    <w:rsid w:val="00784A7E"/>
    <w:rsid w:val="007862C9"/>
    <w:rsid w:val="0079007B"/>
    <w:rsid w:val="007A0F22"/>
    <w:rsid w:val="007A51B4"/>
    <w:rsid w:val="007B5C1A"/>
    <w:rsid w:val="007C03A0"/>
    <w:rsid w:val="007C2BEF"/>
    <w:rsid w:val="007D3D77"/>
    <w:rsid w:val="007E157B"/>
    <w:rsid w:val="007E4818"/>
    <w:rsid w:val="007E6A7E"/>
    <w:rsid w:val="007F33F3"/>
    <w:rsid w:val="007F6124"/>
    <w:rsid w:val="00801BDF"/>
    <w:rsid w:val="00802B86"/>
    <w:rsid w:val="0082514B"/>
    <w:rsid w:val="00830599"/>
    <w:rsid w:val="008334B0"/>
    <w:rsid w:val="0083496F"/>
    <w:rsid w:val="0083530F"/>
    <w:rsid w:val="00836468"/>
    <w:rsid w:val="00843492"/>
    <w:rsid w:val="00845F16"/>
    <w:rsid w:val="00852AF3"/>
    <w:rsid w:val="00856D2D"/>
    <w:rsid w:val="00856F2E"/>
    <w:rsid w:val="00871560"/>
    <w:rsid w:val="00872D54"/>
    <w:rsid w:val="00872F2D"/>
    <w:rsid w:val="0087585D"/>
    <w:rsid w:val="00880E22"/>
    <w:rsid w:val="00882B6F"/>
    <w:rsid w:val="008834AE"/>
    <w:rsid w:val="00885F4D"/>
    <w:rsid w:val="008954B1"/>
    <w:rsid w:val="008962E2"/>
    <w:rsid w:val="008A74EF"/>
    <w:rsid w:val="008B0539"/>
    <w:rsid w:val="008B1C98"/>
    <w:rsid w:val="008B5ADF"/>
    <w:rsid w:val="008D0B3B"/>
    <w:rsid w:val="008D1450"/>
    <w:rsid w:val="008D2E66"/>
    <w:rsid w:val="008D56A5"/>
    <w:rsid w:val="008E1546"/>
    <w:rsid w:val="008E189F"/>
    <w:rsid w:val="008E24ED"/>
    <w:rsid w:val="008E40FE"/>
    <w:rsid w:val="008E57AC"/>
    <w:rsid w:val="008E6D3B"/>
    <w:rsid w:val="00906396"/>
    <w:rsid w:val="0090770A"/>
    <w:rsid w:val="00916E4D"/>
    <w:rsid w:val="00917A63"/>
    <w:rsid w:val="00923C36"/>
    <w:rsid w:val="00924B8E"/>
    <w:rsid w:val="009344DE"/>
    <w:rsid w:val="009357E5"/>
    <w:rsid w:val="00936087"/>
    <w:rsid w:val="009418F8"/>
    <w:rsid w:val="00945D17"/>
    <w:rsid w:val="00965FBF"/>
    <w:rsid w:val="00973941"/>
    <w:rsid w:val="0097751F"/>
    <w:rsid w:val="00980255"/>
    <w:rsid w:val="009804FA"/>
    <w:rsid w:val="00985B78"/>
    <w:rsid w:val="0098649F"/>
    <w:rsid w:val="00993AFA"/>
    <w:rsid w:val="0099686E"/>
    <w:rsid w:val="00996DF2"/>
    <w:rsid w:val="009A41B0"/>
    <w:rsid w:val="009A4756"/>
    <w:rsid w:val="009A4C46"/>
    <w:rsid w:val="009A4DBF"/>
    <w:rsid w:val="009B3513"/>
    <w:rsid w:val="009B39EA"/>
    <w:rsid w:val="009D3FC3"/>
    <w:rsid w:val="009D433D"/>
    <w:rsid w:val="009D4484"/>
    <w:rsid w:val="009D5889"/>
    <w:rsid w:val="009D7755"/>
    <w:rsid w:val="009F1D20"/>
    <w:rsid w:val="00A00548"/>
    <w:rsid w:val="00A00713"/>
    <w:rsid w:val="00A00731"/>
    <w:rsid w:val="00A11A5C"/>
    <w:rsid w:val="00A22235"/>
    <w:rsid w:val="00A22F7B"/>
    <w:rsid w:val="00A23801"/>
    <w:rsid w:val="00A2554C"/>
    <w:rsid w:val="00A33652"/>
    <w:rsid w:val="00A3798C"/>
    <w:rsid w:val="00A42866"/>
    <w:rsid w:val="00A461C1"/>
    <w:rsid w:val="00A46B5C"/>
    <w:rsid w:val="00A50D6E"/>
    <w:rsid w:val="00A51DD8"/>
    <w:rsid w:val="00A647EA"/>
    <w:rsid w:val="00A736C6"/>
    <w:rsid w:val="00A82472"/>
    <w:rsid w:val="00A83F1F"/>
    <w:rsid w:val="00A8416F"/>
    <w:rsid w:val="00AA0223"/>
    <w:rsid w:val="00AB28B8"/>
    <w:rsid w:val="00AB3B77"/>
    <w:rsid w:val="00AC57B7"/>
    <w:rsid w:val="00AC73C5"/>
    <w:rsid w:val="00AC755C"/>
    <w:rsid w:val="00AD0E13"/>
    <w:rsid w:val="00AD5ABF"/>
    <w:rsid w:val="00AF45C5"/>
    <w:rsid w:val="00AF5667"/>
    <w:rsid w:val="00B05DD5"/>
    <w:rsid w:val="00B12477"/>
    <w:rsid w:val="00B13343"/>
    <w:rsid w:val="00B1354B"/>
    <w:rsid w:val="00B220B2"/>
    <w:rsid w:val="00B23942"/>
    <w:rsid w:val="00B4327E"/>
    <w:rsid w:val="00B467A4"/>
    <w:rsid w:val="00B5286D"/>
    <w:rsid w:val="00B545BC"/>
    <w:rsid w:val="00B61032"/>
    <w:rsid w:val="00B61D2E"/>
    <w:rsid w:val="00B71854"/>
    <w:rsid w:val="00B71DA4"/>
    <w:rsid w:val="00B7235B"/>
    <w:rsid w:val="00B76348"/>
    <w:rsid w:val="00B81261"/>
    <w:rsid w:val="00B82556"/>
    <w:rsid w:val="00B87655"/>
    <w:rsid w:val="00B87801"/>
    <w:rsid w:val="00B92871"/>
    <w:rsid w:val="00B928DA"/>
    <w:rsid w:val="00BA5AC3"/>
    <w:rsid w:val="00BA630D"/>
    <w:rsid w:val="00BB06B4"/>
    <w:rsid w:val="00BB2551"/>
    <w:rsid w:val="00BB4892"/>
    <w:rsid w:val="00BB5E9B"/>
    <w:rsid w:val="00BC1A44"/>
    <w:rsid w:val="00BC5C37"/>
    <w:rsid w:val="00BC7ED2"/>
    <w:rsid w:val="00BD0190"/>
    <w:rsid w:val="00BE212E"/>
    <w:rsid w:val="00BE4AAB"/>
    <w:rsid w:val="00BE5086"/>
    <w:rsid w:val="00BF4971"/>
    <w:rsid w:val="00C07F40"/>
    <w:rsid w:val="00C12E85"/>
    <w:rsid w:val="00C16A79"/>
    <w:rsid w:val="00C20278"/>
    <w:rsid w:val="00C22791"/>
    <w:rsid w:val="00C236DC"/>
    <w:rsid w:val="00C32F79"/>
    <w:rsid w:val="00C33FD2"/>
    <w:rsid w:val="00C35271"/>
    <w:rsid w:val="00C4036A"/>
    <w:rsid w:val="00C50E28"/>
    <w:rsid w:val="00C62934"/>
    <w:rsid w:val="00C64428"/>
    <w:rsid w:val="00C74D6F"/>
    <w:rsid w:val="00C842DE"/>
    <w:rsid w:val="00C902FB"/>
    <w:rsid w:val="00C965AE"/>
    <w:rsid w:val="00CA0AED"/>
    <w:rsid w:val="00CA66E6"/>
    <w:rsid w:val="00CC29DE"/>
    <w:rsid w:val="00CC3B64"/>
    <w:rsid w:val="00CD37C6"/>
    <w:rsid w:val="00CD3BA4"/>
    <w:rsid w:val="00CD41AA"/>
    <w:rsid w:val="00CD6943"/>
    <w:rsid w:val="00CE6C2F"/>
    <w:rsid w:val="00CE73CC"/>
    <w:rsid w:val="00CE7E9C"/>
    <w:rsid w:val="00CF2EF3"/>
    <w:rsid w:val="00CF3298"/>
    <w:rsid w:val="00D02F3B"/>
    <w:rsid w:val="00D0657B"/>
    <w:rsid w:val="00D129CB"/>
    <w:rsid w:val="00D16A04"/>
    <w:rsid w:val="00D27C17"/>
    <w:rsid w:val="00D41B89"/>
    <w:rsid w:val="00D47F27"/>
    <w:rsid w:val="00D5212B"/>
    <w:rsid w:val="00D5541F"/>
    <w:rsid w:val="00D57923"/>
    <w:rsid w:val="00D66387"/>
    <w:rsid w:val="00D741B6"/>
    <w:rsid w:val="00D74BD0"/>
    <w:rsid w:val="00D74FED"/>
    <w:rsid w:val="00D75A81"/>
    <w:rsid w:val="00D7761F"/>
    <w:rsid w:val="00D86806"/>
    <w:rsid w:val="00D86C35"/>
    <w:rsid w:val="00DB04FB"/>
    <w:rsid w:val="00DB6DFF"/>
    <w:rsid w:val="00DC003F"/>
    <w:rsid w:val="00DE72B3"/>
    <w:rsid w:val="00DF4668"/>
    <w:rsid w:val="00E00172"/>
    <w:rsid w:val="00E0533A"/>
    <w:rsid w:val="00E0701A"/>
    <w:rsid w:val="00E131D1"/>
    <w:rsid w:val="00E17AA0"/>
    <w:rsid w:val="00E2655B"/>
    <w:rsid w:val="00E311AB"/>
    <w:rsid w:val="00E358BF"/>
    <w:rsid w:val="00E36EC8"/>
    <w:rsid w:val="00E51146"/>
    <w:rsid w:val="00E512A9"/>
    <w:rsid w:val="00E54AF9"/>
    <w:rsid w:val="00E5624E"/>
    <w:rsid w:val="00E601D4"/>
    <w:rsid w:val="00E64C88"/>
    <w:rsid w:val="00E7179D"/>
    <w:rsid w:val="00E74832"/>
    <w:rsid w:val="00E81B04"/>
    <w:rsid w:val="00E820C5"/>
    <w:rsid w:val="00E87550"/>
    <w:rsid w:val="00E9413F"/>
    <w:rsid w:val="00E973D2"/>
    <w:rsid w:val="00EC7C64"/>
    <w:rsid w:val="00ED00D6"/>
    <w:rsid w:val="00EE26DC"/>
    <w:rsid w:val="00EE3FF1"/>
    <w:rsid w:val="00EE5816"/>
    <w:rsid w:val="00F03292"/>
    <w:rsid w:val="00F0565C"/>
    <w:rsid w:val="00F121AE"/>
    <w:rsid w:val="00F15852"/>
    <w:rsid w:val="00F23F4B"/>
    <w:rsid w:val="00F46C50"/>
    <w:rsid w:val="00F56CD7"/>
    <w:rsid w:val="00F60B61"/>
    <w:rsid w:val="00F66852"/>
    <w:rsid w:val="00F66E89"/>
    <w:rsid w:val="00F67822"/>
    <w:rsid w:val="00F70621"/>
    <w:rsid w:val="00F74182"/>
    <w:rsid w:val="00F7607A"/>
    <w:rsid w:val="00F8517B"/>
    <w:rsid w:val="00F90250"/>
    <w:rsid w:val="00F91395"/>
    <w:rsid w:val="00F961D7"/>
    <w:rsid w:val="00F97A2B"/>
    <w:rsid w:val="00FA0CA3"/>
    <w:rsid w:val="00FA3BC5"/>
    <w:rsid w:val="00FA40FE"/>
    <w:rsid w:val="00FB08DC"/>
    <w:rsid w:val="00FB0D30"/>
    <w:rsid w:val="00FB1AE0"/>
    <w:rsid w:val="00FB34C2"/>
    <w:rsid w:val="00FB42F5"/>
    <w:rsid w:val="00FD76E1"/>
    <w:rsid w:val="00FE0970"/>
    <w:rsid w:val="00FF3F3A"/>
    <w:rsid w:val="00FF400F"/>
    <w:rsid w:val="0227136C"/>
    <w:rsid w:val="0233386D"/>
    <w:rsid w:val="028139B3"/>
    <w:rsid w:val="029B0DCF"/>
    <w:rsid w:val="02AD3196"/>
    <w:rsid w:val="02CA7BCA"/>
    <w:rsid w:val="02FF2FAA"/>
    <w:rsid w:val="031C69F7"/>
    <w:rsid w:val="03A013D6"/>
    <w:rsid w:val="03E06934"/>
    <w:rsid w:val="03E25EBE"/>
    <w:rsid w:val="04644EC2"/>
    <w:rsid w:val="04BF67E6"/>
    <w:rsid w:val="04DD5D12"/>
    <w:rsid w:val="04F52FA5"/>
    <w:rsid w:val="06D73646"/>
    <w:rsid w:val="06ED4A8C"/>
    <w:rsid w:val="07727233"/>
    <w:rsid w:val="07737445"/>
    <w:rsid w:val="07884D3B"/>
    <w:rsid w:val="07C33C3F"/>
    <w:rsid w:val="07C82CA9"/>
    <w:rsid w:val="08014698"/>
    <w:rsid w:val="082779D0"/>
    <w:rsid w:val="082E7F45"/>
    <w:rsid w:val="08531220"/>
    <w:rsid w:val="08D21531"/>
    <w:rsid w:val="08F4440B"/>
    <w:rsid w:val="09A02495"/>
    <w:rsid w:val="09AA49DA"/>
    <w:rsid w:val="09AC1C5B"/>
    <w:rsid w:val="09C41C01"/>
    <w:rsid w:val="09CE174C"/>
    <w:rsid w:val="09DE0562"/>
    <w:rsid w:val="0A89528F"/>
    <w:rsid w:val="0B073859"/>
    <w:rsid w:val="0BB24C22"/>
    <w:rsid w:val="0C0F0EA7"/>
    <w:rsid w:val="0C1741FF"/>
    <w:rsid w:val="0C1B31DE"/>
    <w:rsid w:val="0C2D757F"/>
    <w:rsid w:val="0C94670C"/>
    <w:rsid w:val="0D1A36F5"/>
    <w:rsid w:val="0D2A3ABE"/>
    <w:rsid w:val="0D312285"/>
    <w:rsid w:val="0E4746BC"/>
    <w:rsid w:val="0E7C0027"/>
    <w:rsid w:val="0E9A56E1"/>
    <w:rsid w:val="0EB14B2C"/>
    <w:rsid w:val="0ED57187"/>
    <w:rsid w:val="0F0547E3"/>
    <w:rsid w:val="0F0A3BA7"/>
    <w:rsid w:val="0F6861FE"/>
    <w:rsid w:val="0F705A14"/>
    <w:rsid w:val="0F9D2C6D"/>
    <w:rsid w:val="0FB51D65"/>
    <w:rsid w:val="10047D52"/>
    <w:rsid w:val="108B40A6"/>
    <w:rsid w:val="109127D2"/>
    <w:rsid w:val="10AA441D"/>
    <w:rsid w:val="116C7B5C"/>
    <w:rsid w:val="117F087D"/>
    <w:rsid w:val="11DF6C1B"/>
    <w:rsid w:val="12A157F9"/>
    <w:rsid w:val="13025066"/>
    <w:rsid w:val="13E72483"/>
    <w:rsid w:val="154D2A40"/>
    <w:rsid w:val="15A05265"/>
    <w:rsid w:val="15EA028F"/>
    <w:rsid w:val="1632480C"/>
    <w:rsid w:val="163553E8"/>
    <w:rsid w:val="16775FC6"/>
    <w:rsid w:val="167D2FDD"/>
    <w:rsid w:val="16812191"/>
    <w:rsid w:val="176457FC"/>
    <w:rsid w:val="17675762"/>
    <w:rsid w:val="17854E13"/>
    <w:rsid w:val="17E91C52"/>
    <w:rsid w:val="181126B2"/>
    <w:rsid w:val="185C36C6"/>
    <w:rsid w:val="18664544"/>
    <w:rsid w:val="19524182"/>
    <w:rsid w:val="195D5893"/>
    <w:rsid w:val="198B0CFD"/>
    <w:rsid w:val="1A366198"/>
    <w:rsid w:val="1AA11864"/>
    <w:rsid w:val="1ADE4866"/>
    <w:rsid w:val="1BC67DDA"/>
    <w:rsid w:val="1C362480"/>
    <w:rsid w:val="1CD13EE0"/>
    <w:rsid w:val="1CD770EC"/>
    <w:rsid w:val="1D4B1F5B"/>
    <w:rsid w:val="1D695C68"/>
    <w:rsid w:val="1D9D7AD1"/>
    <w:rsid w:val="1DB22149"/>
    <w:rsid w:val="1DD728CD"/>
    <w:rsid w:val="1E450758"/>
    <w:rsid w:val="1E48649A"/>
    <w:rsid w:val="1EEB1EAF"/>
    <w:rsid w:val="20745325"/>
    <w:rsid w:val="207B66B3"/>
    <w:rsid w:val="208B7E4A"/>
    <w:rsid w:val="20F81003"/>
    <w:rsid w:val="217301BA"/>
    <w:rsid w:val="220821C8"/>
    <w:rsid w:val="22AD4B1E"/>
    <w:rsid w:val="23D20CE0"/>
    <w:rsid w:val="23ED78C8"/>
    <w:rsid w:val="24B2219B"/>
    <w:rsid w:val="25A9221E"/>
    <w:rsid w:val="25C72DAF"/>
    <w:rsid w:val="25D4535E"/>
    <w:rsid w:val="26611BE4"/>
    <w:rsid w:val="272829C1"/>
    <w:rsid w:val="27563A19"/>
    <w:rsid w:val="277364A4"/>
    <w:rsid w:val="285726DC"/>
    <w:rsid w:val="28786E47"/>
    <w:rsid w:val="290C4C94"/>
    <w:rsid w:val="29212D37"/>
    <w:rsid w:val="2A557F75"/>
    <w:rsid w:val="2AD07FCD"/>
    <w:rsid w:val="2AEE4B12"/>
    <w:rsid w:val="2B74267D"/>
    <w:rsid w:val="2B7E174D"/>
    <w:rsid w:val="2B940F71"/>
    <w:rsid w:val="2C62070F"/>
    <w:rsid w:val="2C6B1CD2"/>
    <w:rsid w:val="2CA56E02"/>
    <w:rsid w:val="2CBA0563"/>
    <w:rsid w:val="2E0E500A"/>
    <w:rsid w:val="2E277E7A"/>
    <w:rsid w:val="2E342D23"/>
    <w:rsid w:val="2E6A629D"/>
    <w:rsid w:val="2E913546"/>
    <w:rsid w:val="2F167CA6"/>
    <w:rsid w:val="2F3C2B54"/>
    <w:rsid w:val="2F560B53"/>
    <w:rsid w:val="2FC40C1D"/>
    <w:rsid w:val="302760F9"/>
    <w:rsid w:val="304E7940"/>
    <w:rsid w:val="30894E1C"/>
    <w:rsid w:val="30A74605"/>
    <w:rsid w:val="30B471BD"/>
    <w:rsid w:val="30E20F06"/>
    <w:rsid w:val="312F7772"/>
    <w:rsid w:val="31B9751F"/>
    <w:rsid w:val="31F36EC8"/>
    <w:rsid w:val="327D078A"/>
    <w:rsid w:val="33150BE9"/>
    <w:rsid w:val="33360B49"/>
    <w:rsid w:val="33477044"/>
    <w:rsid w:val="339935C8"/>
    <w:rsid w:val="339A6D9C"/>
    <w:rsid w:val="33A15FD9"/>
    <w:rsid w:val="34897199"/>
    <w:rsid w:val="352B2030"/>
    <w:rsid w:val="355E7319"/>
    <w:rsid w:val="358552F0"/>
    <w:rsid w:val="367C4ADB"/>
    <w:rsid w:val="368C11C2"/>
    <w:rsid w:val="36C546D4"/>
    <w:rsid w:val="36CA5B5B"/>
    <w:rsid w:val="371A4A20"/>
    <w:rsid w:val="379F4F25"/>
    <w:rsid w:val="381766DF"/>
    <w:rsid w:val="3825367C"/>
    <w:rsid w:val="385F0979"/>
    <w:rsid w:val="38F0620D"/>
    <w:rsid w:val="3A631110"/>
    <w:rsid w:val="3AD15CEE"/>
    <w:rsid w:val="3AF80B99"/>
    <w:rsid w:val="3B510614"/>
    <w:rsid w:val="3C052B7E"/>
    <w:rsid w:val="3C372D23"/>
    <w:rsid w:val="3CB60D47"/>
    <w:rsid w:val="3CFB40FF"/>
    <w:rsid w:val="3D385C00"/>
    <w:rsid w:val="3D5D2603"/>
    <w:rsid w:val="3D926692"/>
    <w:rsid w:val="3DA07FFB"/>
    <w:rsid w:val="3E32264F"/>
    <w:rsid w:val="3E446852"/>
    <w:rsid w:val="3E885B96"/>
    <w:rsid w:val="3EBD7BD3"/>
    <w:rsid w:val="3EE26297"/>
    <w:rsid w:val="3F8C4E4A"/>
    <w:rsid w:val="40444115"/>
    <w:rsid w:val="407E480C"/>
    <w:rsid w:val="40B444DA"/>
    <w:rsid w:val="41263FC1"/>
    <w:rsid w:val="415D5357"/>
    <w:rsid w:val="41C631D2"/>
    <w:rsid w:val="420C6108"/>
    <w:rsid w:val="42297828"/>
    <w:rsid w:val="429C09DF"/>
    <w:rsid w:val="437D1474"/>
    <w:rsid w:val="43866F99"/>
    <w:rsid w:val="43B206A3"/>
    <w:rsid w:val="43F14D5A"/>
    <w:rsid w:val="44202F4A"/>
    <w:rsid w:val="44C11AA6"/>
    <w:rsid w:val="45415D40"/>
    <w:rsid w:val="45441E26"/>
    <w:rsid w:val="463F1DAD"/>
    <w:rsid w:val="464A3696"/>
    <w:rsid w:val="46886904"/>
    <w:rsid w:val="46A017ED"/>
    <w:rsid w:val="47C3273A"/>
    <w:rsid w:val="47C56F66"/>
    <w:rsid w:val="482F5E51"/>
    <w:rsid w:val="487B247F"/>
    <w:rsid w:val="488538B1"/>
    <w:rsid w:val="489F374D"/>
    <w:rsid w:val="48A4239B"/>
    <w:rsid w:val="49075B6C"/>
    <w:rsid w:val="49A95790"/>
    <w:rsid w:val="49C80DC6"/>
    <w:rsid w:val="49EC4FB2"/>
    <w:rsid w:val="4A5D4EF8"/>
    <w:rsid w:val="4A70304A"/>
    <w:rsid w:val="4A866A51"/>
    <w:rsid w:val="4B474412"/>
    <w:rsid w:val="4B493CB9"/>
    <w:rsid w:val="4B4D6D1A"/>
    <w:rsid w:val="4B4F76A7"/>
    <w:rsid w:val="4B6202EC"/>
    <w:rsid w:val="4B6A0712"/>
    <w:rsid w:val="4C167CB5"/>
    <w:rsid w:val="4C237A7B"/>
    <w:rsid w:val="4DDA3838"/>
    <w:rsid w:val="4EB81A0C"/>
    <w:rsid w:val="4FED287A"/>
    <w:rsid w:val="4FF04682"/>
    <w:rsid w:val="50067498"/>
    <w:rsid w:val="50506965"/>
    <w:rsid w:val="50593A6B"/>
    <w:rsid w:val="50926F7D"/>
    <w:rsid w:val="50D47596"/>
    <w:rsid w:val="51AE366B"/>
    <w:rsid w:val="525261E9"/>
    <w:rsid w:val="52A1492A"/>
    <w:rsid w:val="52B76C34"/>
    <w:rsid w:val="532E2213"/>
    <w:rsid w:val="5332320C"/>
    <w:rsid w:val="538B4884"/>
    <w:rsid w:val="53FB308C"/>
    <w:rsid w:val="5471551F"/>
    <w:rsid w:val="54E71E04"/>
    <w:rsid w:val="56537B04"/>
    <w:rsid w:val="56E16569"/>
    <w:rsid w:val="57541431"/>
    <w:rsid w:val="58275743"/>
    <w:rsid w:val="584642AE"/>
    <w:rsid w:val="58542A76"/>
    <w:rsid w:val="597A2F5B"/>
    <w:rsid w:val="598F0E47"/>
    <w:rsid w:val="59946C72"/>
    <w:rsid w:val="59B470DD"/>
    <w:rsid w:val="5A4761D8"/>
    <w:rsid w:val="5ACE232B"/>
    <w:rsid w:val="5AE221B5"/>
    <w:rsid w:val="5B0A5B8C"/>
    <w:rsid w:val="5B3F7D02"/>
    <w:rsid w:val="5B6065F6"/>
    <w:rsid w:val="5C433404"/>
    <w:rsid w:val="5C4E644E"/>
    <w:rsid w:val="5C9F6CAA"/>
    <w:rsid w:val="5D9C77F1"/>
    <w:rsid w:val="5DB6074F"/>
    <w:rsid w:val="5E0453D0"/>
    <w:rsid w:val="5EEE20F6"/>
    <w:rsid w:val="5F2D51B5"/>
    <w:rsid w:val="5F4C2235"/>
    <w:rsid w:val="5F8B79B9"/>
    <w:rsid w:val="603C7EC5"/>
    <w:rsid w:val="60F15F42"/>
    <w:rsid w:val="61161505"/>
    <w:rsid w:val="61251748"/>
    <w:rsid w:val="614B38A4"/>
    <w:rsid w:val="61903065"/>
    <w:rsid w:val="61B6264D"/>
    <w:rsid w:val="61F72FF1"/>
    <w:rsid w:val="62145A44"/>
    <w:rsid w:val="623703C8"/>
    <w:rsid w:val="635601B7"/>
    <w:rsid w:val="637328AD"/>
    <w:rsid w:val="637D6B24"/>
    <w:rsid w:val="638B46E2"/>
    <w:rsid w:val="63A701B1"/>
    <w:rsid w:val="63D74F7B"/>
    <w:rsid w:val="65AC2C8F"/>
    <w:rsid w:val="65B04D7D"/>
    <w:rsid w:val="66871561"/>
    <w:rsid w:val="66A52AB3"/>
    <w:rsid w:val="66BD7A81"/>
    <w:rsid w:val="66CD4D5B"/>
    <w:rsid w:val="67293782"/>
    <w:rsid w:val="673877F4"/>
    <w:rsid w:val="673E6667"/>
    <w:rsid w:val="67A7258A"/>
    <w:rsid w:val="68054845"/>
    <w:rsid w:val="68153625"/>
    <w:rsid w:val="68935378"/>
    <w:rsid w:val="69F543AD"/>
    <w:rsid w:val="6A502AF1"/>
    <w:rsid w:val="6AA858C3"/>
    <w:rsid w:val="6B80414A"/>
    <w:rsid w:val="6B923E7E"/>
    <w:rsid w:val="6B9C2183"/>
    <w:rsid w:val="6C320B8A"/>
    <w:rsid w:val="6C731F01"/>
    <w:rsid w:val="6CA95923"/>
    <w:rsid w:val="6D3B18E0"/>
    <w:rsid w:val="6DDA2238"/>
    <w:rsid w:val="6E3D4575"/>
    <w:rsid w:val="6EA03A54"/>
    <w:rsid w:val="6EA75E92"/>
    <w:rsid w:val="6EB81E4D"/>
    <w:rsid w:val="6EBA3E17"/>
    <w:rsid w:val="6F093A37"/>
    <w:rsid w:val="6F4D5958"/>
    <w:rsid w:val="6F72024E"/>
    <w:rsid w:val="6FB940CF"/>
    <w:rsid w:val="7073427E"/>
    <w:rsid w:val="709541F4"/>
    <w:rsid w:val="70BA3C5B"/>
    <w:rsid w:val="718304F0"/>
    <w:rsid w:val="71BC69EB"/>
    <w:rsid w:val="71C823A7"/>
    <w:rsid w:val="726F7FB0"/>
    <w:rsid w:val="728E195E"/>
    <w:rsid w:val="73F76F74"/>
    <w:rsid w:val="741B7106"/>
    <w:rsid w:val="745135E2"/>
    <w:rsid w:val="74B60BDD"/>
    <w:rsid w:val="751B4DE5"/>
    <w:rsid w:val="752124FA"/>
    <w:rsid w:val="75417B91"/>
    <w:rsid w:val="75675427"/>
    <w:rsid w:val="759D5DA2"/>
    <w:rsid w:val="75D3714B"/>
    <w:rsid w:val="762F6E99"/>
    <w:rsid w:val="76562D52"/>
    <w:rsid w:val="76A57F41"/>
    <w:rsid w:val="7760252B"/>
    <w:rsid w:val="77D3240E"/>
    <w:rsid w:val="77FC42F0"/>
    <w:rsid w:val="78531F73"/>
    <w:rsid w:val="78B72740"/>
    <w:rsid w:val="78D10BFE"/>
    <w:rsid w:val="7ABC4A73"/>
    <w:rsid w:val="7C071C38"/>
    <w:rsid w:val="7C245DEF"/>
    <w:rsid w:val="7CE81B50"/>
    <w:rsid w:val="7CF666B5"/>
    <w:rsid w:val="7D2B7B4A"/>
    <w:rsid w:val="7D406A1E"/>
    <w:rsid w:val="7D635E90"/>
    <w:rsid w:val="7D6C6966"/>
    <w:rsid w:val="7DD60C5F"/>
    <w:rsid w:val="7E1B6BDD"/>
    <w:rsid w:val="7E36681D"/>
    <w:rsid w:val="7E3C65F7"/>
    <w:rsid w:val="7E436E76"/>
    <w:rsid w:val="7F2C21C7"/>
    <w:rsid w:val="7FA402FC"/>
    <w:rsid w:val="7FC05C95"/>
    <w:rsid w:val="7FC963C2"/>
    <w:rsid w:val="7FD308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pPr>
    <w:rPr>
      <w:rFonts w:ascii="宋体" w:hAnsi="宋体" w:eastAsia="宋体" w:cstheme="minorBidi"/>
      <w:kern w:val="2"/>
      <w:sz w:val="24"/>
      <w:szCs w:val="22"/>
      <w:lang w:val="en-US" w:eastAsia="zh-CN" w:bidi="ar-SA"/>
    </w:rPr>
  </w:style>
  <w:style w:type="paragraph" w:styleId="3">
    <w:name w:val="heading 1"/>
    <w:basedOn w:val="1"/>
    <w:next w:val="1"/>
    <w:link w:val="37"/>
    <w:qFormat/>
    <w:uiPriority w:val="9"/>
    <w:pPr>
      <w:keepNext/>
      <w:keepLines/>
      <w:spacing w:before="340" w:after="330" w:line="578" w:lineRule="auto"/>
      <w:jc w:val="center"/>
      <w:outlineLvl w:val="0"/>
    </w:pPr>
    <w:rPr>
      <w:rFonts w:eastAsia="黑体"/>
      <w:b/>
      <w:bCs/>
      <w:kern w:val="44"/>
      <w:sz w:val="44"/>
      <w:szCs w:val="44"/>
    </w:rPr>
  </w:style>
  <w:style w:type="paragraph" w:styleId="4">
    <w:name w:val="heading 2"/>
    <w:basedOn w:val="1"/>
    <w:next w:val="1"/>
    <w:link w:val="41"/>
    <w:unhideWhenUsed/>
    <w:qFormat/>
    <w:uiPriority w:val="9"/>
    <w:pPr>
      <w:keepNext/>
      <w:keepLines/>
      <w:spacing w:before="260" w:after="260" w:line="416" w:lineRule="auto"/>
      <w:outlineLvl w:val="1"/>
    </w:pPr>
    <w:rPr>
      <w:rFonts w:asciiTheme="majorHAnsi" w:hAnsiTheme="majorHAnsi" w:cstheme="majorBidi"/>
      <w:b/>
      <w:bCs/>
      <w:sz w:val="32"/>
      <w:szCs w:val="32"/>
    </w:rPr>
  </w:style>
  <w:style w:type="paragraph" w:styleId="5">
    <w:name w:val="heading 3"/>
    <w:basedOn w:val="1"/>
    <w:next w:val="1"/>
    <w:link w:val="44"/>
    <w:unhideWhenUsed/>
    <w:qFormat/>
    <w:uiPriority w:val="9"/>
    <w:pPr>
      <w:keepNext/>
      <w:keepLines/>
      <w:spacing w:before="260" w:after="260" w:line="416" w:lineRule="auto"/>
      <w:outlineLvl w:val="2"/>
    </w:pPr>
    <w:rPr>
      <w:b/>
      <w:bCs/>
      <w:sz w:val="30"/>
      <w:szCs w:val="32"/>
    </w:rPr>
  </w:style>
  <w:style w:type="paragraph" w:styleId="6">
    <w:name w:val="heading 4"/>
    <w:basedOn w:val="1"/>
    <w:next w:val="1"/>
    <w:link w:val="45"/>
    <w:unhideWhenUsed/>
    <w:qFormat/>
    <w:uiPriority w:val="9"/>
    <w:pPr>
      <w:keepNext/>
      <w:keepLines/>
      <w:spacing w:before="280" w:after="290" w:line="376" w:lineRule="auto"/>
      <w:outlineLvl w:val="3"/>
    </w:pPr>
    <w:rPr>
      <w:rFonts w:asciiTheme="majorHAnsi" w:hAnsiTheme="majorHAnsi" w:cstheme="majorBidi"/>
      <w:b/>
      <w:bCs/>
      <w:sz w:val="28"/>
      <w:szCs w:val="28"/>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customStyle="1" w:styleId="2">
    <w:name w:val="正文 缩进2字符"/>
    <w:qFormat/>
    <w:uiPriority w:val="0"/>
    <w:pPr>
      <w:widowControl w:val="0"/>
      <w:spacing w:line="288" w:lineRule="auto"/>
      <w:jc w:val="both"/>
    </w:pPr>
    <w:rPr>
      <w:rFonts w:ascii="宋体" w:hAnsi="宋体" w:eastAsia="宋体" w:cs="Times New Roman"/>
      <w:kern w:val="2"/>
      <w:sz w:val="28"/>
      <w:szCs w:val="28"/>
      <w:lang w:val="en-US" w:eastAsia="zh-CN" w:bidi="ar-SA"/>
    </w:rPr>
  </w:style>
  <w:style w:type="paragraph" w:styleId="7">
    <w:name w:val="toc 7"/>
    <w:basedOn w:val="1"/>
    <w:next w:val="1"/>
    <w:unhideWhenUsed/>
    <w:qFormat/>
    <w:uiPriority w:val="39"/>
    <w:pPr>
      <w:ind w:left="1440"/>
    </w:pPr>
    <w:rPr>
      <w:rFonts w:asciiTheme="minorHAnsi" w:eastAsiaTheme="minorHAnsi"/>
      <w:sz w:val="18"/>
      <w:szCs w:val="18"/>
    </w:rPr>
  </w:style>
  <w:style w:type="paragraph" w:styleId="8">
    <w:name w:val="Normal Indent"/>
    <w:basedOn w:val="1"/>
    <w:qFormat/>
    <w:uiPriority w:val="0"/>
    <w:pPr>
      <w:ind w:firstLine="420" w:firstLineChars="200"/>
    </w:pPr>
    <w:rPr>
      <w:kern w:val="0"/>
      <w:sz w:val="20"/>
    </w:rPr>
  </w:style>
  <w:style w:type="paragraph" w:styleId="9">
    <w:name w:val="List Bullet"/>
    <w:basedOn w:val="1"/>
    <w:unhideWhenUsed/>
    <w:qFormat/>
    <w:uiPriority w:val="99"/>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10">
    <w:name w:val="Document Map"/>
    <w:basedOn w:val="1"/>
    <w:qFormat/>
    <w:uiPriority w:val="0"/>
    <w:rPr>
      <w:sz w:val="18"/>
      <w:szCs w:val="18"/>
    </w:rPr>
  </w:style>
  <w:style w:type="paragraph" w:styleId="11">
    <w:name w:val="annotation text"/>
    <w:basedOn w:val="1"/>
    <w:link w:val="42"/>
    <w:qFormat/>
    <w:uiPriority w:val="0"/>
    <w:pPr>
      <w:spacing w:line="240" w:lineRule="auto"/>
    </w:pPr>
    <w:rPr>
      <w:rFonts w:eastAsiaTheme="minorEastAsia"/>
      <w:sz w:val="21"/>
      <w:szCs w:val="24"/>
    </w:rPr>
  </w:style>
  <w:style w:type="paragraph" w:styleId="12">
    <w:name w:val="Body Text"/>
    <w:basedOn w:val="1"/>
    <w:next w:val="13"/>
    <w:link w:val="46"/>
    <w:qFormat/>
    <w:uiPriority w:val="99"/>
    <w:pPr>
      <w:spacing w:after="120" w:line="240" w:lineRule="auto"/>
      <w:jc w:val="both"/>
    </w:pPr>
    <w:rPr>
      <w:rFonts w:eastAsiaTheme="minorEastAsia"/>
      <w:sz w:val="21"/>
      <w:szCs w:val="24"/>
    </w:rPr>
  </w:style>
  <w:style w:type="paragraph" w:styleId="13">
    <w:name w:val="toc 5"/>
    <w:basedOn w:val="1"/>
    <w:next w:val="1"/>
    <w:unhideWhenUsed/>
    <w:qFormat/>
    <w:uiPriority w:val="39"/>
    <w:pPr>
      <w:ind w:left="960"/>
    </w:pPr>
    <w:rPr>
      <w:rFonts w:asciiTheme="minorHAnsi" w:eastAsiaTheme="minorHAnsi"/>
      <w:sz w:val="18"/>
      <w:szCs w:val="18"/>
    </w:rPr>
  </w:style>
  <w:style w:type="paragraph" w:styleId="14">
    <w:name w:val="Body Text Indent"/>
    <w:basedOn w:val="15"/>
    <w:qFormat/>
    <w:uiPriority w:val="0"/>
    <w:pPr>
      <w:spacing w:after="120"/>
      <w:ind w:left="420" w:leftChars="200"/>
    </w:pPr>
  </w:style>
  <w:style w:type="paragraph" w:customStyle="1" w:styleId="15">
    <w:name w:val="正文_4"/>
    <w:next w:val="16"/>
    <w:qFormat/>
    <w:uiPriority w:val="0"/>
    <w:pPr>
      <w:widowControl w:val="0"/>
      <w:jc w:val="both"/>
    </w:pPr>
    <w:rPr>
      <w:rFonts w:ascii="Times New Roman" w:hAnsi="Times New Roman" w:eastAsia="宋体" w:cs="Times New Roman"/>
      <w:kern w:val="2"/>
      <w:sz w:val="21"/>
      <w:lang w:val="en-US" w:eastAsia="zh-CN" w:bidi="ar-SA"/>
    </w:rPr>
  </w:style>
  <w:style w:type="paragraph" w:styleId="16">
    <w:name w:val="Body Text First Indent 2"/>
    <w:basedOn w:val="14"/>
    <w:qFormat/>
    <w:uiPriority w:val="0"/>
    <w:pPr>
      <w:ind w:firstLine="420" w:firstLineChars="200"/>
    </w:pPr>
  </w:style>
  <w:style w:type="paragraph" w:styleId="17">
    <w:name w:val="toc 3"/>
    <w:basedOn w:val="1"/>
    <w:next w:val="1"/>
    <w:unhideWhenUsed/>
    <w:qFormat/>
    <w:uiPriority w:val="39"/>
    <w:pPr>
      <w:ind w:left="480"/>
    </w:pPr>
    <w:rPr>
      <w:rFonts w:asciiTheme="minorHAnsi" w:eastAsiaTheme="minorHAnsi"/>
      <w:i/>
      <w:iCs/>
      <w:sz w:val="20"/>
      <w:szCs w:val="20"/>
    </w:rPr>
  </w:style>
  <w:style w:type="paragraph" w:styleId="18">
    <w:name w:val="Plain Text"/>
    <w:basedOn w:val="1"/>
    <w:qFormat/>
    <w:uiPriority w:val="0"/>
    <w:pPr>
      <w:jc w:val="both"/>
    </w:pPr>
    <w:rPr>
      <w:rFonts w:hAnsi="Courier New" w:cs="Times New Roman"/>
      <w:sz w:val="21"/>
      <w:szCs w:val="21"/>
    </w:rPr>
  </w:style>
  <w:style w:type="paragraph" w:styleId="19">
    <w:name w:val="toc 8"/>
    <w:basedOn w:val="1"/>
    <w:next w:val="1"/>
    <w:unhideWhenUsed/>
    <w:qFormat/>
    <w:uiPriority w:val="39"/>
    <w:pPr>
      <w:ind w:left="1680"/>
    </w:pPr>
    <w:rPr>
      <w:rFonts w:asciiTheme="minorHAnsi" w:eastAsiaTheme="minorHAnsi"/>
      <w:sz w:val="18"/>
      <w:szCs w:val="18"/>
    </w:rPr>
  </w:style>
  <w:style w:type="paragraph" w:styleId="20">
    <w:name w:val="footer"/>
    <w:basedOn w:val="1"/>
    <w:link w:val="40"/>
    <w:unhideWhenUsed/>
    <w:qFormat/>
    <w:uiPriority w:val="99"/>
    <w:pPr>
      <w:tabs>
        <w:tab w:val="center" w:pos="4153"/>
        <w:tab w:val="right" w:pos="8306"/>
      </w:tabs>
      <w:snapToGrid w:val="0"/>
      <w:spacing w:line="240" w:lineRule="auto"/>
    </w:pPr>
    <w:rPr>
      <w:sz w:val="18"/>
      <w:szCs w:val="18"/>
    </w:rPr>
  </w:style>
  <w:style w:type="paragraph" w:styleId="21">
    <w:name w:val="envelope return"/>
    <w:basedOn w:val="1"/>
    <w:qFormat/>
    <w:uiPriority w:val="0"/>
    <w:pPr>
      <w:snapToGrid w:val="0"/>
    </w:pPr>
    <w:rPr>
      <w:rFonts w:ascii="Arial" w:hAnsi="Arial" w:cs="Arial"/>
    </w:rPr>
  </w:style>
  <w:style w:type="paragraph" w:styleId="22">
    <w:name w:val="header"/>
    <w:basedOn w:val="1"/>
    <w:link w:val="39"/>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3">
    <w:name w:val="toc 1"/>
    <w:basedOn w:val="1"/>
    <w:next w:val="1"/>
    <w:unhideWhenUsed/>
    <w:qFormat/>
    <w:uiPriority w:val="39"/>
    <w:pPr>
      <w:spacing w:before="120" w:after="120"/>
    </w:pPr>
    <w:rPr>
      <w:rFonts w:asciiTheme="minorHAnsi" w:eastAsiaTheme="minorHAnsi"/>
      <w:b/>
      <w:bCs/>
      <w:caps/>
      <w:sz w:val="20"/>
      <w:szCs w:val="20"/>
    </w:rPr>
  </w:style>
  <w:style w:type="paragraph" w:styleId="24">
    <w:name w:val="toc 4"/>
    <w:basedOn w:val="1"/>
    <w:next w:val="1"/>
    <w:unhideWhenUsed/>
    <w:qFormat/>
    <w:uiPriority w:val="39"/>
    <w:pPr>
      <w:ind w:left="720"/>
    </w:pPr>
    <w:rPr>
      <w:rFonts w:asciiTheme="minorHAnsi" w:eastAsiaTheme="minorHAnsi"/>
      <w:sz w:val="18"/>
      <w:szCs w:val="18"/>
    </w:rPr>
  </w:style>
  <w:style w:type="paragraph" w:styleId="25">
    <w:name w:val="toc 6"/>
    <w:basedOn w:val="1"/>
    <w:next w:val="1"/>
    <w:unhideWhenUsed/>
    <w:qFormat/>
    <w:uiPriority w:val="39"/>
    <w:pPr>
      <w:ind w:left="1200"/>
    </w:pPr>
    <w:rPr>
      <w:rFonts w:asciiTheme="minorHAnsi" w:eastAsiaTheme="minorHAnsi"/>
      <w:sz w:val="18"/>
      <w:szCs w:val="18"/>
    </w:rPr>
  </w:style>
  <w:style w:type="paragraph" w:styleId="26">
    <w:name w:val="toc 2"/>
    <w:basedOn w:val="1"/>
    <w:next w:val="1"/>
    <w:unhideWhenUsed/>
    <w:qFormat/>
    <w:uiPriority w:val="39"/>
    <w:pPr>
      <w:ind w:left="240"/>
    </w:pPr>
    <w:rPr>
      <w:rFonts w:asciiTheme="minorHAnsi" w:eastAsiaTheme="minorHAnsi"/>
      <w:smallCaps/>
      <w:sz w:val="20"/>
      <w:szCs w:val="20"/>
    </w:rPr>
  </w:style>
  <w:style w:type="paragraph" w:styleId="27">
    <w:name w:val="toc 9"/>
    <w:basedOn w:val="1"/>
    <w:next w:val="1"/>
    <w:unhideWhenUsed/>
    <w:qFormat/>
    <w:uiPriority w:val="39"/>
    <w:pPr>
      <w:ind w:left="1920"/>
    </w:pPr>
    <w:rPr>
      <w:rFonts w:asciiTheme="minorHAnsi" w:eastAsiaTheme="minorHAnsi"/>
      <w:sz w:val="18"/>
      <w:szCs w:val="18"/>
    </w:rPr>
  </w:style>
  <w:style w:type="paragraph" w:styleId="28">
    <w:name w:val="Body Text 2"/>
    <w:basedOn w:val="1"/>
    <w:next w:val="1"/>
    <w:qFormat/>
    <w:uiPriority w:val="0"/>
    <w:pPr>
      <w:adjustRightInd w:val="0"/>
      <w:snapToGrid w:val="0"/>
      <w:spacing w:after="120" w:line="480" w:lineRule="auto"/>
    </w:pPr>
  </w:style>
  <w:style w:type="paragraph" w:styleId="29">
    <w:name w:val="Normal (Web)"/>
    <w:basedOn w:val="1"/>
    <w:qFormat/>
    <w:uiPriority w:val="99"/>
    <w:pPr>
      <w:widowControl/>
      <w:spacing w:before="100" w:beforeAutospacing="1" w:after="100" w:afterAutospacing="1"/>
    </w:pPr>
    <w:rPr>
      <w:rFonts w:cs="宋体"/>
      <w:color w:val="000000"/>
      <w:kern w:val="0"/>
      <w:szCs w:val="24"/>
    </w:rPr>
  </w:style>
  <w:style w:type="paragraph" w:styleId="30">
    <w:name w:val="annotation subject"/>
    <w:basedOn w:val="11"/>
    <w:next w:val="11"/>
    <w:link w:val="50"/>
    <w:semiHidden/>
    <w:unhideWhenUsed/>
    <w:qFormat/>
    <w:uiPriority w:val="99"/>
    <w:pPr>
      <w:spacing w:line="360" w:lineRule="auto"/>
    </w:pPr>
    <w:rPr>
      <w:rFonts w:eastAsia="宋体"/>
      <w:b/>
      <w:bCs/>
      <w:sz w:val="24"/>
      <w:szCs w:val="22"/>
    </w:rPr>
  </w:style>
  <w:style w:type="table" w:styleId="32">
    <w:name w:val="Table Grid"/>
    <w:basedOn w:val="3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Hyperlink"/>
    <w:basedOn w:val="33"/>
    <w:unhideWhenUsed/>
    <w:qFormat/>
    <w:uiPriority w:val="99"/>
    <w:rPr>
      <w:color w:val="0563C1" w:themeColor="hyperlink"/>
      <w:u w:val="single"/>
      <w14:textFill>
        <w14:solidFill>
          <w14:schemeClr w14:val="hlink"/>
        </w14:solidFill>
      </w14:textFill>
    </w:rPr>
  </w:style>
  <w:style w:type="character" w:styleId="35">
    <w:name w:val="annotation reference"/>
    <w:qFormat/>
    <w:uiPriority w:val="0"/>
    <w:rPr>
      <w:sz w:val="21"/>
      <w:szCs w:val="21"/>
    </w:rPr>
  </w:style>
  <w:style w:type="paragraph" w:customStyle="1" w:styleId="36">
    <w:name w:val="正文缩进2"/>
    <w:basedOn w:val="1"/>
    <w:qFormat/>
    <w:uiPriority w:val="0"/>
    <w:pPr>
      <w:wordWrap w:val="0"/>
      <w:ind w:firstLine="480"/>
    </w:pPr>
    <w:rPr>
      <w:iCs/>
      <w:shd w:val="clear" w:color="auto" w:fill="FFFFFF" w:themeFill="background1"/>
      <w:lang w:val="zh-CN"/>
    </w:rPr>
  </w:style>
  <w:style w:type="character" w:customStyle="1" w:styleId="37">
    <w:name w:val="标题 1 字符"/>
    <w:basedOn w:val="33"/>
    <w:link w:val="3"/>
    <w:qFormat/>
    <w:uiPriority w:val="9"/>
    <w:rPr>
      <w:rFonts w:eastAsia="黑体"/>
      <w:b/>
      <w:bCs/>
      <w:kern w:val="44"/>
      <w:sz w:val="44"/>
      <w:szCs w:val="44"/>
    </w:rPr>
  </w:style>
  <w:style w:type="paragraph" w:styleId="38">
    <w:name w:val="List Paragraph"/>
    <w:basedOn w:val="1"/>
    <w:qFormat/>
    <w:uiPriority w:val="34"/>
    <w:pPr>
      <w:numPr>
        <w:ilvl w:val="0"/>
        <w:numId w:val="1"/>
      </w:numPr>
    </w:pPr>
  </w:style>
  <w:style w:type="character" w:customStyle="1" w:styleId="39">
    <w:name w:val="页眉 字符"/>
    <w:basedOn w:val="33"/>
    <w:link w:val="22"/>
    <w:qFormat/>
    <w:uiPriority w:val="99"/>
    <w:rPr>
      <w:rFonts w:eastAsia="宋体"/>
      <w:sz w:val="18"/>
      <w:szCs w:val="18"/>
    </w:rPr>
  </w:style>
  <w:style w:type="character" w:customStyle="1" w:styleId="40">
    <w:name w:val="页脚 字符"/>
    <w:basedOn w:val="33"/>
    <w:link w:val="20"/>
    <w:qFormat/>
    <w:uiPriority w:val="99"/>
    <w:rPr>
      <w:rFonts w:eastAsia="宋体"/>
      <w:sz w:val="18"/>
      <w:szCs w:val="18"/>
    </w:rPr>
  </w:style>
  <w:style w:type="character" w:customStyle="1" w:styleId="41">
    <w:name w:val="标题 2 字符"/>
    <w:basedOn w:val="33"/>
    <w:link w:val="4"/>
    <w:qFormat/>
    <w:uiPriority w:val="0"/>
    <w:rPr>
      <w:rFonts w:eastAsia="宋体" w:asciiTheme="majorHAnsi" w:hAnsiTheme="majorHAnsi" w:cstheme="majorBidi"/>
      <w:b/>
      <w:bCs/>
      <w:sz w:val="32"/>
      <w:szCs w:val="32"/>
    </w:rPr>
  </w:style>
  <w:style w:type="character" w:customStyle="1" w:styleId="42">
    <w:name w:val="批注文字 字符"/>
    <w:basedOn w:val="33"/>
    <w:link w:val="11"/>
    <w:qFormat/>
    <w:uiPriority w:val="0"/>
    <w:rPr>
      <w:szCs w:val="24"/>
    </w:rPr>
  </w:style>
  <w:style w:type="paragraph" w:customStyle="1" w:styleId="43">
    <w:name w:val="Char1 Char Char Char"/>
    <w:basedOn w:val="1"/>
    <w:qFormat/>
    <w:uiPriority w:val="0"/>
    <w:pPr>
      <w:adjustRightInd w:val="0"/>
      <w:jc w:val="both"/>
    </w:pPr>
    <w:rPr>
      <w:rFonts w:ascii="Times New Roman" w:hAnsi="Times New Roman" w:cs="Times New Roman"/>
      <w:kern w:val="0"/>
      <w:szCs w:val="20"/>
    </w:rPr>
  </w:style>
  <w:style w:type="character" w:customStyle="1" w:styleId="44">
    <w:name w:val="标题 3 字符"/>
    <w:basedOn w:val="33"/>
    <w:link w:val="5"/>
    <w:qFormat/>
    <w:uiPriority w:val="9"/>
    <w:rPr>
      <w:rFonts w:eastAsia="宋体"/>
      <w:b/>
      <w:bCs/>
      <w:sz w:val="30"/>
      <w:szCs w:val="32"/>
    </w:rPr>
  </w:style>
  <w:style w:type="character" w:customStyle="1" w:styleId="45">
    <w:name w:val="标题 4 字符"/>
    <w:basedOn w:val="33"/>
    <w:link w:val="6"/>
    <w:qFormat/>
    <w:uiPriority w:val="9"/>
    <w:rPr>
      <w:rFonts w:eastAsia="宋体" w:asciiTheme="majorHAnsi" w:hAnsiTheme="majorHAnsi" w:cstheme="majorBidi"/>
      <w:b/>
      <w:bCs/>
      <w:sz w:val="28"/>
      <w:szCs w:val="28"/>
    </w:rPr>
  </w:style>
  <w:style w:type="character" w:customStyle="1" w:styleId="46">
    <w:name w:val="正文文本 字符"/>
    <w:basedOn w:val="33"/>
    <w:link w:val="12"/>
    <w:qFormat/>
    <w:uiPriority w:val="99"/>
    <w:rPr>
      <w:szCs w:val="24"/>
    </w:rPr>
  </w:style>
  <w:style w:type="paragraph" w:customStyle="1" w:styleId="47">
    <w:name w:val="样式"/>
    <w:basedOn w:val="1"/>
    <w:qFormat/>
    <w:uiPriority w:val="0"/>
    <w:pPr>
      <w:autoSpaceDE w:val="0"/>
      <w:autoSpaceDN w:val="0"/>
      <w:snapToGrid w:val="0"/>
      <w:spacing w:before="120" w:after="120"/>
      <w:jc w:val="both"/>
    </w:pPr>
    <w:rPr>
      <w:rFonts w:hAnsi="Times New Roman" w:cs="Times New Roman"/>
      <w:kern w:val="0"/>
      <w:szCs w:val="20"/>
    </w:rPr>
  </w:style>
  <w:style w:type="paragraph" w:styleId="48">
    <w:name w:val="No Spacing"/>
    <w:qFormat/>
    <w:uiPriority w:val="1"/>
    <w:pPr>
      <w:widowControl w:val="0"/>
    </w:pPr>
    <w:rPr>
      <w:rFonts w:ascii="宋体" w:hAnsi="宋体" w:eastAsia="宋体" w:cstheme="minorBidi"/>
      <w:kern w:val="2"/>
      <w:sz w:val="24"/>
      <w:szCs w:val="22"/>
      <w:lang w:val="en-US" w:eastAsia="zh-CN" w:bidi="ar-SA"/>
    </w:rPr>
  </w:style>
  <w:style w:type="character" w:customStyle="1" w:styleId="49">
    <w:name w:val="未处理的提及1"/>
    <w:basedOn w:val="33"/>
    <w:semiHidden/>
    <w:unhideWhenUsed/>
    <w:qFormat/>
    <w:uiPriority w:val="99"/>
    <w:rPr>
      <w:color w:val="605E5C"/>
      <w:shd w:val="clear" w:color="auto" w:fill="E1DFDD"/>
    </w:rPr>
  </w:style>
  <w:style w:type="character" w:customStyle="1" w:styleId="50">
    <w:name w:val="批注主题 字符"/>
    <w:basedOn w:val="42"/>
    <w:link w:val="30"/>
    <w:semiHidden/>
    <w:qFormat/>
    <w:uiPriority w:val="99"/>
    <w:rPr>
      <w:rFonts w:ascii="宋体" w:hAnsi="宋体" w:cstheme="minorBidi"/>
      <w:b/>
      <w:bCs/>
      <w:kern w:val="2"/>
      <w:sz w:val="24"/>
      <w:szCs w:val="22"/>
    </w:rPr>
  </w:style>
  <w:style w:type="character" w:customStyle="1" w:styleId="51">
    <w:name w:val="未处理的提及2"/>
    <w:basedOn w:val="33"/>
    <w:semiHidden/>
    <w:unhideWhenUsed/>
    <w:qFormat/>
    <w:uiPriority w:val="99"/>
    <w:rPr>
      <w:color w:val="605E5C"/>
      <w:shd w:val="clear" w:color="auto" w:fill="E1DFDD"/>
    </w:rPr>
  </w:style>
  <w:style w:type="paragraph" w:customStyle="1" w:styleId="52">
    <w:name w:val="标题 21"/>
    <w:basedOn w:val="1"/>
    <w:qFormat/>
    <w:uiPriority w:val="0"/>
    <w:pPr>
      <w:keepNext/>
      <w:keepLines/>
      <w:spacing w:line="600" w:lineRule="exact"/>
      <w:jc w:val="center"/>
      <w:outlineLvl w:val="1"/>
    </w:pPr>
    <w:rPr>
      <w:rFonts w:ascii="Cambria" w:hAnsi="Cambria"/>
      <w:b/>
      <w:bCs/>
      <w:sz w:val="32"/>
      <w:szCs w:val="32"/>
    </w:rPr>
  </w:style>
  <w:style w:type="paragraph" w:customStyle="1" w:styleId="53">
    <w:name w:val="标准中文版式_正文"/>
    <w:basedOn w:val="1"/>
    <w:qFormat/>
    <w:uiPriority w:val="0"/>
    <w:pPr>
      <w:spacing w:before="30"/>
      <w:ind w:firstLine="200" w:firstLineChars="200"/>
    </w:pPr>
    <w:rPr>
      <w:rFonts w:ascii="Arial" w:hAnsi="Arial"/>
    </w:rPr>
  </w:style>
  <w:style w:type="paragraph" w:customStyle="1" w:styleId="54">
    <w:name w:val="正文首行缩进 21"/>
    <w:basedOn w:val="55"/>
    <w:qFormat/>
    <w:uiPriority w:val="0"/>
    <w:pPr>
      <w:ind w:firstLine="420" w:firstLineChars="200"/>
    </w:pPr>
  </w:style>
  <w:style w:type="paragraph" w:customStyle="1" w:styleId="55">
    <w:name w:val="正文文本缩进1"/>
    <w:basedOn w:val="15"/>
    <w:qFormat/>
    <w:uiPriority w:val="0"/>
    <w:pPr>
      <w:spacing w:after="120"/>
      <w:ind w:left="420" w:leftChars="200"/>
    </w:pPr>
  </w:style>
  <w:style w:type="paragraph" w:customStyle="1" w:styleId="56">
    <w:name w:val="纯文本11"/>
    <w:basedOn w:val="1"/>
    <w:qFormat/>
    <w:uiPriority w:val="0"/>
    <w:rPr>
      <w:rFonts w:hAnsi="Courier New"/>
      <w:color w:val="000000"/>
      <w:szCs w:val="20"/>
    </w:rPr>
  </w:style>
  <w:style w:type="character" w:customStyle="1" w:styleId="57">
    <w:name w:val="font51"/>
    <w:basedOn w:val="33"/>
    <w:qFormat/>
    <w:uiPriority w:val="0"/>
    <w:rPr>
      <w:rFonts w:hint="eastAsia" w:ascii="宋体" w:hAnsi="宋体" w:eastAsia="宋体" w:cs="宋体"/>
      <w:color w:val="auto"/>
      <w:sz w:val="18"/>
      <w:szCs w:val="18"/>
      <w:u w:val="none"/>
    </w:rPr>
  </w:style>
  <w:style w:type="character" w:customStyle="1" w:styleId="58">
    <w:name w:val="font61"/>
    <w:basedOn w:val="33"/>
    <w:qFormat/>
    <w:uiPriority w:val="0"/>
    <w:rPr>
      <w:rFonts w:hint="eastAsia" w:ascii="宋体" w:hAnsi="宋体" w:eastAsia="宋体" w:cs="宋体"/>
      <w:color w:val="auto"/>
      <w:sz w:val="18"/>
      <w:szCs w:val="18"/>
      <w:u w:val="none"/>
    </w:rPr>
  </w:style>
  <w:style w:type="paragraph" w:customStyle="1" w:styleId="59">
    <w:name w:val="null3"/>
    <w:hidden/>
    <w:qFormat/>
    <w:uiPriority w:val="0"/>
    <w:rPr>
      <w:rFonts w:hint="eastAsia" w:asciiTheme="minorHAnsi" w:hAnsiTheme="minorHAnsi" w:eastAsiaTheme="minorEastAsia" w:cstheme="minorBidi"/>
      <w:lang w:val="en-US" w:eastAsia="zh-Hans" w:bidi="ar-SA"/>
    </w:rPr>
  </w:style>
  <w:style w:type="paragraph" w:customStyle="1" w:styleId="60">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kern w:val="0"/>
      <w:sz w:val="20"/>
      <w:szCs w:val="20"/>
    </w:rPr>
  </w:style>
  <w:style w:type="paragraph" w:customStyle="1" w:styleId="61">
    <w:name w:val="Revision"/>
    <w:hidden/>
    <w:unhideWhenUsed/>
    <w:qFormat/>
    <w:uiPriority w:val="99"/>
    <w:rPr>
      <w:rFonts w:ascii="宋体" w:hAnsi="宋体" w:eastAsia="宋体" w:cstheme="minorBidi"/>
      <w:kern w:val="2"/>
      <w:sz w:val="24"/>
      <w:szCs w:val="22"/>
      <w:lang w:val="en-US" w:eastAsia="zh-CN" w:bidi="ar-SA"/>
    </w:rPr>
  </w:style>
  <w:style w:type="paragraph" w:customStyle="1" w:styleId="62">
    <w:name w:val="Table Paragraph"/>
    <w:basedOn w:val="1"/>
    <w:qFormat/>
    <w:uiPriority w:val="1"/>
    <w:rPr>
      <w:rFonts w:ascii="宋体" w:hAnsi="宋体" w:cs="宋体"/>
      <w:lang w:val="zh-CN" w:bidi="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229D71-619A-49B8-A7C1-3174082E72C1}">
  <ds:schemaRefs/>
</ds:datastoreItem>
</file>

<file path=docProps/app.xml><?xml version="1.0" encoding="utf-8"?>
<Properties xmlns="http://schemas.openxmlformats.org/officeDocument/2006/extended-properties" xmlns:vt="http://schemas.openxmlformats.org/officeDocument/2006/docPropsVTypes">
  <Template>Normal</Template>
  <Pages>91</Pages>
  <Words>6207</Words>
  <Characters>7016</Characters>
  <Lines>311</Lines>
  <Paragraphs>87</Paragraphs>
  <TotalTime>88</TotalTime>
  <ScaleCrop>false</ScaleCrop>
  <LinksUpToDate>false</LinksUpToDate>
  <CharactersWithSpaces>7445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2024-01-02T05:57:00Z</dcterms:created>
  <dc:creator>admin</dc:creator>
  <cp:lastModifiedBy>枵</cp:lastModifiedBy>
  <cp:lastPrinted>2025-07-01T08:09:00Z</cp:lastPrinted>
  <dcterms:modified xsi:type="dcterms:W3CDTF">2026-04-27T08:19:22Z</dcterms:modified>
  <cp:revision>426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1E6EDCEB4FF04AECA2808F80986B9C3F_13</vt:lpwstr>
  </property>
  <property fmtid="{D5CDD505-2E9C-101B-9397-08002B2CF9AE}" pid="4" name="KSOTemplateDocerSaveRecord">
    <vt:lpwstr>eyJoZGlkIjoiN2YzNjBkOTgyNWQ1YTMxYzM3MzMwNWFiODNmOWIzYWMiLCJ1c2VySWQiOiI1NDMxNDgyNjMifQ==</vt:lpwstr>
  </property>
</Properties>
</file>