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0D173">
      <w:pPr>
        <w:jc w:val="center"/>
        <w:rPr>
          <w:sz w:val="30"/>
          <w:szCs w:val="30"/>
        </w:rPr>
      </w:pPr>
    </w:p>
    <w:p w14:paraId="7EA97FB8">
      <w:pPr>
        <w:jc w:val="center"/>
        <w:rPr>
          <w:rFonts w:hint="eastAsia" w:ascii="宋体" w:hAnsi="宋体"/>
          <w:color w:val="auto"/>
          <w:sz w:val="30"/>
          <w:szCs w:val="30"/>
        </w:rPr>
      </w:pPr>
      <w:r>
        <w:rPr>
          <w:rFonts w:hint="eastAsia" w:ascii="宋体" w:hAnsi="宋体"/>
          <w:color w:val="auto"/>
          <w:sz w:val="30"/>
          <w:szCs w:val="30"/>
        </w:rPr>
        <w:t>晋宁区2026学年义务教育学生营养改善计划食堂物资采购项目（一、二、三标段）</w:t>
      </w:r>
    </w:p>
    <w:p w14:paraId="049E4659">
      <w:pPr>
        <w:jc w:val="center"/>
        <w:rPr>
          <w:rFonts w:hint="eastAsia" w:ascii="宋体" w:hAnsi="宋体" w:eastAsia="宋体"/>
          <w:color w:val="auto"/>
          <w:sz w:val="30"/>
          <w:szCs w:val="30"/>
          <w:lang w:eastAsia="zh-CN"/>
        </w:rPr>
      </w:pPr>
      <w:r>
        <w:rPr>
          <w:rFonts w:hint="eastAsia" w:ascii="宋体" w:hAnsi="宋体"/>
          <w:color w:val="auto"/>
          <w:sz w:val="30"/>
          <w:szCs w:val="30"/>
          <w:lang w:eastAsia="zh-CN"/>
        </w:rPr>
        <w:t>主要标的信息</w:t>
      </w:r>
      <w:bookmarkStart w:id="0" w:name="_GoBack"/>
      <w:bookmarkEnd w:id="0"/>
    </w:p>
    <w:tbl>
      <w:tblPr>
        <w:tblStyle w:val="2"/>
        <w:tblW w:w="10693" w:type="dxa"/>
        <w:jc w:val="center"/>
        <w:tblLayout w:type="fixed"/>
        <w:tblCellMar>
          <w:top w:w="0" w:type="dxa"/>
          <w:left w:w="108" w:type="dxa"/>
          <w:bottom w:w="0" w:type="dxa"/>
          <w:right w:w="108" w:type="dxa"/>
        </w:tblCellMar>
      </w:tblPr>
      <w:tblGrid>
        <w:gridCol w:w="540"/>
        <w:gridCol w:w="1179"/>
        <w:gridCol w:w="6619"/>
        <w:gridCol w:w="945"/>
        <w:gridCol w:w="1410"/>
      </w:tblGrid>
      <w:tr w14:paraId="62347B91">
        <w:tblPrEx>
          <w:tblCellMar>
            <w:top w:w="0" w:type="dxa"/>
            <w:left w:w="108" w:type="dxa"/>
            <w:bottom w:w="0" w:type="dxa"/>
            <w:right w:w="108" w:type="dxa"/>
          </w:tblCellMar>
        </w:tblPrEx>
        <w:trPr>
          <w:trHeight w:val="900"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14:paraId="381C271E">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序号</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194DB2B8">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eastAsia="zh-CN" w:bidi="ar"/>
              </w:rPr>
              <w:t>标的</w:t>
            </w:r>
            <w:r>
              <w:rPr>
                <w:rFonts w:hint="eastAsia" w:ascii="宋体" w:hAnsi="宋体" w:cs="宋体"/>
                <w:b/>
                <w:bCs/>
                <w:color w:val="000000"/>
                <w:kern w:val="0"/>
                <w:szCs w:val="21"/>
                <w:lang w:bidi="ar"/>
              </w:rPr>
              <w:t>名称</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29E7DF3D">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规格（技术参数、性能要求）</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1581408">
            <w:pPr>
              <w:widowControl/>
              <w:jc w:val="center"/>
              <w:textAlignment w:val="center"/>
              <w:rPr>
                <w:rFonts w:hint="eastAsia" w:ascii="宋体" w:hAnsi="宋体" w:cs="宋体"/>
                <w:b/>
                <w:bCs/>
                <w:color w:val="000000"/>
                <w:kern w:val="0"/>
                <w:szCs w:val="21"/>
                <w:lang w:eastAsia="zh-CN" w:bidi="ar"/>
              </w:rPr>
            </w:pPr>
            <w:r>
              <w:rPr>
                <w:rFonts w:hint="eastAsia" w:ascii="宋体" w:hAnsi="宋体" w:cs="宋体"/>
                <w:b/>
                <w:bCs/>
                <w:color w:val="000000"/>
                <w:kern w:val="0"/>
                <w:szCs w:val="21"/>
                <w:lang w:eastAsia="zh-CN" w:bidi="ar"/>
              </w:rPr>
              <w:t>品牌</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C9A3F18">
            <w:pPr>
              <w:widowControl/>
              <w:jc w:val="center"/>
              <w:textAlignment w:val="center"/>
              <w:rPr>
                <w:rFonts w:hint="eastAsia" w:ascii="宋体" w:hAnsi="宋体" w:eastAsia="宋体" w:cs="宋体"/>
                <w:b/>
                <w:bCs/>
                <w:color w:val="000000"/>
                <w:kern w:val="0"/>
                <w:szCs w:val="21"/>
                <w:lang w:eastAsia="zh-CN" w:bidi="ar"/>
              </w:rPr>
            </w:pPr>
            <w:r>
              <w:rPr>
                <w:rFonts w:hint="eastAsia" w:ascii="宋体" w:hAnsi="宋体" w:cs="宋体"/>
                <w:b/>
                <w:bCs/>
                <w:color w:val="000000"/>
                <w:kern w:val="0"/>
                <w:szCs w:val="21"/>
                <w:lang w:bidi="ar"/>
              </w:rPr>
              <w:t>规格</w:t>
            </w:r>
            <w:r>
              <w:rPr>
                <w:rFonts w:hint="eastAsia" w:ascii="宋体" w:hAnsi="宋体" w:cs="宋体"/>
                <w:b/>
                <w:bCs/>
                <w:color w:val="000000"/>
                <w:kern w:val="0"/>
                <w:szCs w:val="21"/>
                <w:lang w:eastAsia="zh-CN" w:bidi="ar"/>
              </w:rPr>
              <w:t>型号</w:t>
            </w:r>
          </w:p>
        </w:tc>
      </w:tr>
      <w:tr w14:paraId="293DA171">
        <w:tblPrEx>
          <w:tblCellMar>
            <w:top w:w="0" w:type="dxa"/>
            <w:left w:w="108" w:type="dxa"/>
            <w:bottom w:w="0" w:type="dxa"/>
            <w:right w:w="108" w:type="dxa"/>
          </w:tblCellMar>
        </w:tblPrEx>
        <w:trPr>
          <w:trHeight w:val="90"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0B47445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1BFBCEC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粳米</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508B56B5">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1.一级优质粳米。</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2.质量标准：符合GB/T 1354-2018质量标准。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新加工大米，不得使用陈米或陈谷掺杂其中；碎米总量≤2.5%；无小碎米；加工精度：精碾；垩白度≤2.0%；品尝评分值≥90分；直链淀粉含量（%）：13.0-20.0；水分含量≤15.5%；无不完善粒、无杂质、无黄粒米、无互混；不得有未熟粒、虫蚀粒、病斑粒、生霉粒、完全未脱皮的完整糙米粒；具有新鲜大米特有香气，无异味，煮熟后有鲜香味。加工时不添加与食品无关的添加剂进行抛光和上色符合应有品种的色泽、光泽。卫生指标符合国家标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4.包装要求：包装符合GB/T 17109的规定及食品安全要求，用纤维袋或塑料袋定量包装（袋装，规格由双方协商确定，以便于运输存储使用为原则）。包装标识清楚，印有食品生产许可证编号“SC”加14位阿拉伯数字，保质期、生产厂家、电话等；合格证印有生产日期、执行标准、质量等级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5.供货时每批货需附第三方有资质的质检机构出具的产品检验报告。</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6.供货时每批货剩余有效保质期不少于5个月。</w:t>
            </w:r>
          </w:p>
        </w:tc>
        <w:tc>
          <w:tcPr>
            <w:tcW w:w="945" w:type="dxa"/>
            <w:vMerge w:val="restart"/>
            <w:tcBorders>
              <w:top w:val="single" w:color="000000" w:sz="4" w:space="0"/>
              <w:left w:val="single" w:color="000000" w:sz="4" w:space="0"/>
              <w:right w:val="single" w:color="000000" w:sz="4" w:space="0"/>
            </w:tcBorders>
            <w:noWrap w:val="0"/>
            <w:vAlign w:val="center"/>
          </w:tcPr>
          <w:p w14:paraId="0DD9F0FC">
            <w:pPr>
              <w:widowControl/>
              <w:jc w:val="center"/>
              <w:textAlignment w:val="center"/>
              <w:rPr>
                <w:rFonts w:hint="eastAsia" w:ascii="宋体" w:hAnsi="宋体" w:cs="宋体"/>
                <w:color w:val="000000"/>
                <w:kern w:val="0"/>
                <w:szCs w:val="21"/>
                <w:lang w:eastAsia="zh-CN" w:bidi="ar"/>
              </w:rPr>
            </w:pPr>
            <w:r>
              <w:rPr>
                <w:rFonts w:hint="eastAsia" w:ascii="宋体" w:hAnsi="宋体" w:cs="宋体"/>
                <w:color w:val="000000"/>
                <w:kern w:val="0"/>
                <w:szCs w:val="21"/>
                <w:lang w:eastAsia="zh-CN" w:bidi="ar"/>
              </w:rPr>
              <w:t>食堂物资采购未明确品牌</w:t>
            </w:r>
          </w:p>
          <w:p w14:paraId="43798664">
            <w:pPr>
              <w:widowControl/>
              <w:jc w:val="both"/>
              <w:textAlignment w:val="center"/>
              <w:rPr>
                <w:rFonts w:hint="eastAsia" w:ascii="宋体" w:hAnsi="宋体" w:cs="宋体"/>
                <w:color w:val="000000"/>
                <w:kern w:val="0"/>
                <w:szCs w:val="21"/>
                <w:lang w:bidi="ar"/>
              </w:rPr>
            </w:pPr>
          </w:p>
        </w:tc>
        <w:tc>
          <w:tcPr>
            <w:tcW w:w="1410" w:type="dxa"/>
            <w:vMerge w:val="restart"/>
            <w:tcBorders>
              <w:top w:val="single" w:color="000000" w:sz="4" w:space="0"/>
              <w:left w:val="single" w:color="000000" w:sz="4" w:space="0"/>
              <w:right w:val="single" w:color="000000" w:sz="4" w:space="0"/>
            </w:tcBorders>
            <w:noWrap w:val="0"/>
            <w:vAlign w:val="center"/>
          </w:tcPr>
          <w:p w14:paraId="3C2FC2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eastAsia="zh-CN" w:bidi="ar"/>
              </w:rPr>
              <w:t>食堂物资采购未明确规格型号</w:t>
            </w:r>
          </w:p>
        </w:tc>
      </w:tr>
      <w:tr w14:paraId="486019BE">
        <w:tblPrEx>
          <w:tblCellMar>
            <w:top w:w="0" w:type="dxa"/>
            <w:left w:w="108" w:type="dxa"/>
            <w:bottom w:w="0" w:type="dxa"/>
            <w:right w:w="108" w:type="dxa"/>
          </w:tblCellMar>
        </w:tblPrEx>
        <w:trPr>
          <w:trHeight w:val="2360"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4108109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3128F27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挂面</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4E5253F0">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1.质量标准：符合GB/T 40636-2021。</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2.感官要求：（1）色泽：均匀一致；（2）气味：无酸味、霉味及其它异味；（3）杂质：无正常视力可见的异物；（4）口感：煮熟后在口中咀嚼时不牙碜。</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3.理化指标：（1）水分含量≤14.5%；（2）酸度（mL/10g)≤4；（3）自然断条率≤5%；（4）熟断条率≤5%；（5）烹调损失率≤10%。</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4.包装要求：1kg/把，纸卷包外加塑料覆膜密封包装。包装标识清楚，印有食品生产许可证编号“SC”加14位阿拉伯数字、生产日期、保质期、生产厂家、电话等。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5.供货时每批货需附第三方有资质的质检机构出具的产品检验报告。</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6.供货时每批货剩余有效保质期不少于5个月。</w:t>
            </w:r>
          </w:p>
        </w:tc>
        <w:tc>
          <w:tcPr>
            <w:tcW w:w="945" w:type="dxa"/>
            <w:vMerge w:val="continue"/>
            <w:tcBorders>
              <w:left w:val="single" w:color="000000" w:sz="4" w:space="0"/>
              <w:right w:val="single" w:color="000000" w:sz="4" w:space="0"/>
            </w:tcBorders>
            <w:noWrap w:val="0"/>
            <w:vAlign w:val="center"/>
          </w:tcPr>
          <w:p w14:paraId="4A7E67BF">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right w:val="single" w:color="000000" w:sz="4" w:space="0"/>
            </w:tcBorders>
            <w:noWrap w:val="0"/>
            <w:vAlign w:val="center"/>
          </w:tcPr>
          <w:p w14:paraId="14860F00">
            <w:pPr>
              <w:widowControl/>
              <w:jc w:val="center"/>
              <w:textAlignment w:val="center"/>
              <w:rPr>
                <w:rFonts w:hint="eastAsia" w:ascii="宋体" w:hAnsi="宋体" w:cs="宋体"/>
                <w:color w:val="000000"/>
                <w:kern w:val="0"/>
                <w:szCs w:val="21"/>
                <w:lang w:bidi="ar"/>
              </w:rPr>
            </w:pPr>
          </w:p>
        </w:tc>
      </w:tr>
      <w:tr w14:paraId="1535AAD4">
        <w:tblPrEx>
          <w:tblCellMar>
            <w:top w:w="0" w:type="dxa"/>
            <w:left w:w="108" w:type="dxa"/>
            <w:bottom w:w="0" w:type="dxa"/>
            <w:right w:w="108" w:type="dxa"/>
          </w:tblCellMar>
        </w:tblPrEx>
        <w:trPr>
          <w:trHeight w:val="90"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722D2D4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10E8BAF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菜籽油</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664BA1B8">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1.国家标准压榨一级﹙非转基因压榨菜籽油﹚。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2.质量标准：符合GB/T 1536-2021质量标准。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色泽：淡黄色至浅黄色；透明度（20℃）：澄清、透明；气味、滋味：具有食用油固有的香味和滋味，无异味；水分及挥发物含量≤0.1%；不溶性杂质含量≤0.05%；酸价（以KOH计）≤1.5mg/g；过氧化值≤0.125g/100g；加热实验（280℃）：无析出物，油色不得变深。</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包装要求：符合GB/T17374《食用植物油销售包装》要求。标签要求：符合GB7718《预包装食品标签通则》和GB28050《预包装食品营养标签通则》要求。预包装产品，用塑料桶密封灌装，规格以便于运输存储使用为原则，由双方协商确定。包装标识清楚，印有生产许可证编号“SC”加14位阿拉伯数字、生产日期、保质期、生产厂家、电话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5.供货时每批货需附第三方有资质的质检机构出具的产品检验报告。</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6.供货时每批货剩余有效保质期不少于12个月。</w:t>
            </w:r>
          </w:p>
        </w:tc>
        <w:tc>
          <w:tcPr>
            <w:tcW w:w="945" w:type="dxa"/>
            <w:vMerge w:val="continue"/>
            <w:tcBorders>
              <w:left w:val="single" w:color="000000" w:sz="4" w:space="0"/>
              <w:right w:val="single" w:color="000000" w:sz="4" w:space="0"/>
            </w:tcBorders>
            <w:noWrap w:val="0"/>
            <w:vAlign w:val="center"/>
          </w:tcPr>
          <w:p w14:paraId="643157A1">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right w:val="single" w:color="000000" w:sz="4" w:space="0"/>
            </w:tcBorders>
            <w:noWrap w:val="0"/>
            <w:vAlign w:val="center"/>
          </w:tcPr>
          <w:p w14:paraId="0CAD8A3E">
            <w:pPr>
              <w:widowControl/>
              <w:jc w:val="center"/>
              <w:textAlignment w:val="center"/>
              <w:rPr>
                <w:rFonts w:hint="eastAsia" w:ascii="宋体" w:hAnsi="宋体" w:cs="宋体"/>
                <w:color w:val="000000"/>
                <w:kern w:val="0"/>
                <w:szCs w:val="21"/>
                <w:lang w:bidi="ar"/>
              </w:rPr>
            </w:pPr>
          </w:p>
        </w:tc>
      </w:tr>
      <w:tr w14:paraId="20F222CA">
        <w:tblPrEx>
          <w:tblCellMar>
            <w:top w:w="0" w:type="dxa"/>
            <w:left w:w="108" w:type="dxa"/>
            <w:bottom w:w="0" w:type="dxa"/>
            <w:right w:w="108" w:type="dxa"/>
          </w:tblCellMar>
        </w:tblPrEx>
        <w:trPr>
          <w:trHeight w:val="4520"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629AF0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7D4CCCD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玉米油</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149B6F7F">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1.国家标准成品玉米油一级﹙非转基因压榨玉米油﹚。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2.质量</w:t>
            </w:r>
            <w:r>
              <w:rPr>
                <w:rFonts w:hint="eastAsia" w:ascii="宋体" w:hAnsi="宋体" w:cs="宋体"/>
                <w:kern w:val="0"/>
                <w:szCs w:val="21"/>
                <w:lang w:bidi="ar"/>
              </w:rPr>
              <w:t>标准：符合GB/T 19111-2017质量标准（</w:t>
            </w:r>
            <w:r>
              <w:rPr>
                <w:rFonts w:hint="eastAsia" w:ascii="宋体" w:hAnsi="宋体" w:cs="宋体"/>
                <w:szCs w:val="21"/>
              </w:rPr>
              <w:t>最新质量标准实施后则按照最新质量标准执行</w:t>
            </w: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color w:val="000000"/>
                <w:kern w:val="0"/>
                <w:szCs w:val="21"/>
                <w:lang w:bidi="ar"/>
              </w:rPr>
              <w:t>3.色泽：淡黄色至黄色；透明度（20℃）：澄清、透明；气味、滋味：无异味，口感好；水分及挥发物含量≤0.1%；不溶性杂质含量≤0.05%；酸价（以KOH计）≤0.5mg/g；烟点≥190℃。</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包装要求：符合GB/T17374《食用植物油销售包装》要求。标签要求：符合GB7718《预包装食品标签通则》和GB28050《预包装食品营养标签通则》要求。预包装产品，用塑料桶密封灌装，规格以便于运输存储使用为原则，由双方协商确定。包装标识清楚，印有生产许可证编号“SC”加14位阿拉伯数字、生产日期、保质期、生产厂家、电话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5.供货时每批货需附第三方有资质的质检机构出具的产品检验报告。</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6.供货时每批货剩余有效保质期不少于12个月。</w:t>
            </w:r>
          </w:p>
        </w:tc>
        <w:tc>
          <w:tcPr>
            <w:tcW w:w="945" w:type="dxa"/>
            <w:vMerge w:val="continue"/>
            <w:tcBorders>
              <w:left w:val="single" w:color="000000" w:sz="4" w:space="0"/>
              <w:right w:val="single" w:color="000000" w:sz="4" w:space="0"/>
            </w:tcBorders>
            <w:noWrap w:val="0"/>
            <w:vAlign w:val="center"/>
          </w:tcPr>
          <w:p w14:paraId="1227C5F1">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right w:val="single" w:color="000000" w:sz="4" w:space="0"/>
            </w:tcBorders>
            <w:noWrap w:val="0"/>
            <w:vAlign w:val="center"/>
          </w:tcPr>
          <w:p w14:paraId="4D06BE57">
            <w:pPr>
              <w:widowControl/>
              <w:jc w:val="center"/>
              <w:textAlignment w:val="center"/>
              <w:rPr>
                <w:rFonts w:hint="eastAsia" w:ascii="宋体" w:hAnsi="宋体" w:cs="宋体"/>
                <w:color w:val="000000"/>
                <w:kern w:val="0"/>
                <w:szCs w:val="21"/>
                <w:lang w:bidi="ar"/>
              </w:rPr>
            </w:pPr>
          </w:p>
        </w:tc>
      </w:tr>
      <w:tr w14:paraId="7F946BDF">
        <w:tblPrEx>
          <w:tblCellMar>
            <w:top w:w="0" w:type="dxa"/>
            <w:left w:w="108" w:type="dxa"/>
            <w:bottom w:w="0" w:type="dxa"/>
            <w:right w:w="108" w:type="dxa"/>
          </w:tblCellMar>
        </w:tblPrEx>
        <w:trPr>
          <w:trHeight w:val="589"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5A4DC7E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1C54199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畜禽肉</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570AB09A">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1.牛肉类：</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肉质：肉质紧实，检疫合格，24小时内现杀肉；具有动物检疫合格证明、肉品品质检验合格证明等相关产品合法溯源性证明。杜绝提供未经动物检疫部门检疫、检验不合格的肉类及其制品。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肉分类：A眼肉、A上脑、胸肉、肩肉、鞋底肉、辣椒条、肩肉小片、前腱子、前牛腩、脖肉、S外脊、A外脊、S里脊、A里脊、臀肉、霖肉、黄瓜条、小黄瓜条、米龙、后牛腩、后腱子、全胴体、前部位肉、冷冻羊肉带骨全胴体、后部位肉、保鲜前部位肉、保鲜后部位肉、胸腩连体、带骨四分体、去骨四分体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2.猪肉类：</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肉质：肉质紧实，检疫合格，当天现杀肉；具有产品定点屠宰证明、动物检疫合格证明、肉品品质检验合格证明、动物防疫条件合格证等相关产品合法溯源性证明。杜绝提供未经动物检疫部门检疫、检验不合格的肉类及其制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肉分类：里脊肉、臀尖肉、坐臀肉、五花肉、夹心肉、前排肉、奶脯肉、弹子肉、蹄髈、脖子肉、猪头、凤头肉、眉毛肉、门板肉、盖板肉、黄瓜条、腰柳肉、颈背肌肉、前腿肌肉、大排肌肉、后腿肌肉等。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3.羊肉：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肉质：肉质紧实，检疫合格，24小时内现杀肉；具有动物检疫合格证明、肉品品质检验合格证明等相关产品合法溯源性证明。杜绝提供未经动物检疫部门检疫、检验不合格的肉类及其制品。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肉分类：头、尾、前腿、颈肉、前腱子、脊背、肋条、胸脯、腰窝、后腿、后腱子、脊髓等。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禽肉类：肉质紧实，检疫、检验合格，24小时内现杀肉；具有相关合法溯源性证明。当天现杀肉，杀好、去毛、去除内脏；杜绝提供病死、毒死或者死因不明的禽类及其制品。肉品分类：鸭肉、鸡肉、鹅肉、火鸭肉等。</w:t>
            </w:r>
          </w:p>
        </w:tc>
        <w:tc>
          <w:tcPr>
            <w:tcW w:w="945" w:type="dxa"/>
            <w:vMerge w:val="continue"/>
            <w:tcBorders>
              <w:left w:val="single" w:color="000000" w:sz="4" w:space="0"/>
              <w:right w:val="single" w:color="000000" w:sz="4" w:space="0"/>
            </w:tcBorders>
            <w:noWrap w:val="0"/>
            <w:vAlign w:val="center"/>
          </w:tcPr>
          <w:p w14:paraId="5074AD9C">
            <w:pPr>
              <w:widowControl/>
              <w:jc w:val="center"/>
              <w:textAlignment w:val="center"/>
              <w:rPr>
                <w:rFonts w:hint="eastAsia" w:ascii="宋体" w:hAnsi="宋体" w:cs="宋体"/>
                <w:color w:val="000000"/>
                <w:szCs w:val="21"/>
              </w:rPr>
            </w:pPr>
          </w:p>
        </w:tc>
        <w:tc>
          <w:tcPr>
            <w:tcW w:w="1410" w:type="dxa"/>
            <w:vMerge w:val="continue"/>
            <w:tcBorders>
              <w:left w:val="single" w:color="000000" w:sz="4" w:space="0"/>
              <w:right w:val="single" w:color="000000" w:sz="4" w:space="0"/>
            </w:tcBorders>
            <w:noWrap w:val="0"/>
            <w:vAlign w:val="center"/>
          </w:tcPr>
          <w:p w14:paraId="1EA8BF7A">
            <w:pPr>
              <w:widowControl/>
              <w:jc w:val="center"/>
              <w:textAlignment w:val="center"/>
              <w:rPr>
                <w:rFonts w:hint="eastAsia" w:ascii="宋体" w:hAnsi="宋体" w:cs="宋体"/>
                <w:color w:val="000000"/>
                <w:szCs w:val="21"/>
              </w:rPr>
            </w:pPr>
          </w:p>
        </w:tc>
      </w:tr>
      <w:tr w14:paraId="042A788B">
        <w:tblPrEx>
          <w:tblCellMar>
            <w:top w:w="0" w:type="dxa"/>
            <w:left w:w="108" w:type="dxa"/>
            <w:bottom w:w="0" w:type="dxa"/>
            <w:right w:w="108" w:type="dxa"/>
          </w:tblCellMar>
        </w:tblPrEx>
        <w:trPr>
          <w:trHeight w:val="679"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3054CE9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672DDCC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水产类</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6C7EF1DD">
            <w:pPr>
              <w:widowControl/>
              <w:jc w:val="left"/>
              <w:textAlignment w:val="center"/>
              <w:rPr>
                <w:rFonts w:hint="eastAsia" w:ascii="宋体" w:hAnsi="宋体" w:cs="宋体"/>
                <w:color w:val="000000"/>
                <w:szCs w:val="21"/>
              </w:rPr>
            </w:pPr>
            <w:r>
              <w:rPr>
                <w:rFonts w:hint="eastAsia" w:ascii="宋体" w:hAnsi="宋体" w:cs="宋体"/>
                <w:color w:val="000000"/>
                <w:szCs w:val="21"/>
              </w:rPr>
              <w:t>水产类：包括鱼、虾等；新鲜，鲜活，检疫合格。</w:t>
            </w:r>
          </w:p>
          <w:p w14:paraId="7FAEFFE5">
            <w:pPr>
              <w:widowControl/>
              <w:jc w:val="left"/>
              <w:textAlignment w:val="center"/>
              <w:rPr>
                <w:rFonts w:hint="eastAsia" w:ascii="宋体" w:hAnsi="宋体" w:cs="宋体"/>
                <w:color w:val="000000"/>
                <w:szCs w:val="21"/>
              </w:rPr>
            </w:pPr>
            <w:r>
              <w:rPr>
                <w:rFonts w:hint="eastAsia" w:ascii="宋体" w:hAnsi="宋体" w:cs="宋体"/>
                <w:color w:val="000000"/>
                <w:szCs w:val="21"/>
              </w:rPr>
              <w:t>1.鱼类：游水生猛，确保鱼类鲜活，个头均匀，对外界刺激敏感，无翻肚；无嘴烂及其它外表损伤。鱼鳞完整有光泽，不易脱落，眼隔膜有光泽、透明，眼球突出；腹部坚实不膨胀，肛门内部洁净无异常红尾。</w:t>
            </w:r>
          </w:p>
          <w:p w14:paraId="6C3C5A7A">
            <w:pPr>
              <w:widowControl/>
              <w:jc w:val="left"/>
              <w:textAlignment w:val="center"/>
              <w:rPr>
                <w:rFonts w:hint="eastAsia" w:ascii="宋体" w:hAnsi="宋体" w:cs="宋体"/>
                <w:color w:val="000000"/>
                <w:szCs w:val="21"/>
              </w:rPr>
            </w:pPr>
            <w:r>
              <w:rPr>
                <w:rFonts w:hint="eastAsia" w:ascii="宋体" w:hAnsi="宋体" w:cs="宋体"/>
                <w:color w:val="000000"/>
                <w:szCs w:val="21"/>
              </w:rPr>
              <w:t>2.虾类：游水快，确保鲜活无死亡，个头均匀，对外界刺激敏感；头尾完整，有一定弯曲度；虾眼突起，虾身较挺，肉质坚实；虾壳发亮、发硬，呈青绿色。</w:t>
            </w:r>
          </w:p>
        </w:tc>
        <w:tc>
          <w:tcPr>
            <w:tcW w:w="945" w:type="dxa"/>
            <w:vMerge w:val="continue"/>
            <w:tcBorders>
              <w:left w:val="single" w:color="000000" w:sz="4" w:space="0"/>
              <w:right w:val="single" w:color="000000" w:sz="4" w:space="0"/>
            </w:tcBorders>
            <w:noWrap w:val="0"/>
            <w:vAlign w:val="center"/>
          </w:tcPr>
          <w:p w14:paraId="49BB49A2">
            <w:pPr>
              <w:widowControl/>
              <w:jc w:val="center"/>
              <w:textAlignment w:val="center"/>
              <w:rPr>
                <w:rFonts w:hint="eastAsia" w:ascii="宋体" w:hAnsi="宋体" w:cs="宋体"/>
                <w:color w:val="000000"/>
                <w:szCs w:val="21"/>
              </w:rPr>
            </w:pPr>
          </w:p>
        </w:tc>
        <w:tc>
          <w:tcPr>
            <w:tcW w:w="1410" w:type="dxa"/>
            <w:vMerge w:val="continue"/>
            <w:tcBorders>
              <w:left w:val="single" w:color="000000" w:sz="4" w:space="0"/>
              <w:right w:val="single" w:color="000000" w:sz="4" w:space="0"/>
            </w:tcBorders>
            <w:noWrap w:val="0"/>
            <w:vAlign w:val="center"/>
          </w:tcPr>
          <w:p w14:paraId="5BE669A4">
            <w:pPr>
              <w:widowControl/>
              <w:jc w:val="center"/>
              <w:textAlignment w:val="center"/>
              <w:rPr>
                <w:rFonts w:hint="eastAsia" w:ascii="宋体" w:hAnsi="宋体" w:cs="宋体"/>
                <w:color w:val="000000"/>
                <w:szCs w:val="21"/>
              </w:rPr>
            </w:pPr>
          </w:p>
        </w:tc>
      </w:tr>
      <w:tr w14:paraId="293856E7">
        <w:tblPrEx>
          <w:tblCellMar>
            <w:top w:w="0" w:type="dxa"/>
            <w:left w:w="108" w:type="dxa"/>
            <w:bottom w:w="0" w:type="dxa"/>
            <w:right w:w="108" w:type="dxa"/>
          </w:tblCellMar>
        </w:tblPrEx>
        <w:trPr>
          <w:trHeight w:val="925"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6664572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3D3E4ED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果蔬类</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69273801">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1.白菜类：形状均匀，菜梗嫩白，菜叶包裹紧实。</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2.直根类：形状、色泽正常，根须肥。</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3.茄果类：个头大小均匀，色泽正常，皮薄，软硬适中。</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4.瓜类：形状均匀、表皮光洁、色泽正常、产地生态。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5.葱蒜类：根茎粗壮、葱白长、葱叶肥厚、色泽正常。</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6.绿叶菜类：芹根偏白、芹根毛须多、芹茎细长、芹叶繁多，菜根粗短、菜叶扁平肥厚、菜叶葱绿。</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7.茎菜类：色泽正常、大小匀称、表面平整、表皮无泥土。</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8.薯芋类：个大（土豆单个不少于200g）、表皮光滑、表面无斑无缺损无色变。</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水果类：大小形状均匀、表皮光洁、果肉细嫩多汁、酸甜适度；无异状突起瘤，无病虫害所呈现的绿斑、黑斑，无霉烂，无机械伤，果面清新洁净，大小均匀，色泽自然。品类：苹果、橙类、香蕉、桃子、梨、火龙果、石榴、西瓜、哈密瓜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果蔬须符合国家法定要求，严禁提供农残超标、腐败变质、含危害人体健康的物质等不符合食品。产品质量要求：蔬菜须为新鲜蔬菜，蔬菜色泽正常、水分饱满，不得有烂叶、坏叶等腐烂情况，无病虫害、生理病害及污染，蔬菜干净、无根，大小均匀。外表不得有人为洒水。</w:t>
            </w:r>
          </w:p>
        </w:tc>
        <w:tc>
          <w:tcPr>
            <w:tcW w:w="945" w:type="dxa"/>
            <w:vMerge w:val="continue"/>
            <w:tcBorders>
              <w:left w:val="single" w:color="000000" w:sz="4" w:space="0"/>
              <w:right w:val="single" w:color="000000" w:sz="4" w:space="0"/>
            </w:tcBorders>
            <w:noWrap w:val="0"/>
            <w:vAlign w:val="center"/>
          </w:tcPr>
          <w:p w14:paraId="5CD8F433">
            <w:pPr>
              <w:widowControl/>
              <w:jc w:val="center"/>
              <w:textAlignment w:val="center"/>
              <w:rPr>
                <w:rFonts w:hint="eastAsia" w:ascii="宋体" w:hAnsi="宋体" w:cs="宋体"/>
                <w:color w:val="000000"/>
                <w:szCs w:val="21"/>
              </w:rPr>
            </w:pPr>
          </w:p>
        </w:tc>
        <w:tc>
          <w:tcPr>
            <w:tcW w:w="1410" w:type="dxa"/>
            <w:vMerge w:val="continue"/>
            <w:tcBorders>
              <w:left w:val="single" w:color="000000" w:sz="4" w:space="0"/>
              <w:right w:val="single" w:color="000000" w:sz="4" w:space="0"/>
            </w:tcBorders>
            <w:noWrap w:val="0"/>
            <w:vAlign w:val="center"/>
          </w:tcPr>
          <w:p w14:paraId="3D04060E">
            <w:pPr>
              <w:widowControl/>
              <w:jc w:val="center"/>
              <w:textAlignment w:val="center"/>
              <w:rPr>
                <w:rFonts w:hint="eastAsia" w:ascii="宋体" w:hAnsi="宋体" w:cs="宋体"/>
                <w:color w:val="000000"/>
                <w:szCs w:val="21"/>
              </w:rPr>
            </w:pPr>
          </w:p>
        </w:tc>
      </w:tr>
      <w:tr w14:paraId="4E8B1BA5">
        <w:tblPrEx>
          <w:tblCellMar>
            <w:top w:w="0" w:type="dxa"/>
            <w:left w:w="108" w:type="dxa"/>
            <w:bottom w:w="0" w:type="dxa"/>
            <w:right w:w="108" w:type="dxa"/>
          </w:tblCellMar>
        </w:tblPrEx>
        <w:trPr>
          <w:trHeight w:val="582"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7217E9B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7329F96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豆腐及豆制品</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23F1215E">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符合国家相关食品安全标准，包括水豆腐、豆制品等。</w:t>
            </w:r>
          </w:p>
        </w:tc>
        <w:tc>
          <w:tcPr>
            <w:tcW w:w="945" w:type="dxa"/>
            <w:vMerge w:val="continue"/>
            <w:tcBorders>
              <w:left w:val="single" w:color="000000" w:sz="4" w:space="0"/>
              <w:right w:val="single" w:color="000000" w:sz="4" w:space="0"/>
            </w:tcBorders>
            <w:noWrap w:val="0"/>
            <w:vAlign w:val="center"/>
          </w:tcPr>
          <w:p w14:paraId="6BC2116E">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right w:val="single" w:color="000000" w:sz="4" w:space="0"/>
            </w:tcBorders>
            <w:noWrap w:val="0"/>
            <w:vAlign w:val="center"/>
          </w:tcPr>
          <w:p w14:paraId="7A56C7EB">
            <w:pPr>
              <w:widowControl/>
              <w:jc w:val="center"/>
              <w:textAlignment w:val="center"/>
              <w:rPr>
                <w:rFonts w:hint="eastAsia" w:ascii="宋体" w:hAnsi="宋体" w:cs="宋体"/>
                <w:color w:val="000000"/>
                <w:kern w:val="0"/>
                <w:szCs w:val="21"/>
                <w:lang w:bidi="ar"/>
              </w:rPr>
            </w:pPr>
          </w:p>
        </w:tc>
      </w:tr>
      <w:tr w14:paraId="426168D9">
        <w:tblPrEx>
          <w:tblCellMar>
            <w:top w:w="0" w:type="dxa"/>
            <w:left w:w="108" w:type="dxa"/>
            <w:bottom w:w="0" w:type="dxa"/>
            <w:right w:w="108" w:type="dxa"/>
          </w:tblCellMar>
        </w:tblPrEx>
        <w:trPr>
          <w:trHeight w:val="780"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1B31167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343234B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禽蛋</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2210118B">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蛋类：鸡蛋、鸭蛋等，符合国家相关食品安全标准和食品包装要求。要求不空、不干、不臭，蛋体均匀，新鲜完整、不破损、不变质，保持鲜蛋表面清洁，不黏附泥污等。蛋体具有生产日期喷码。</w:t>
            </w:r>
          </w:p>
        </w:tc>
        <w:tc>
          <w:tcPr>
            <w:tcW w:w="945" w:type="dxa"/>
            <w:vMerge w:val="continue"/>
            <w:tcBorders>
              <w:left w:val="single" w:color="000000" w:sz="4" w:space="0"/>
              <w:right w:val="single" w:color="000000" w:sz="4" w:space="0"/>
            </w:tcBorders>
            <w:noWrap w:val="0"/>
            <w:vAlign w:val="center"/>
          </w:tcPr>
          <w:p w14:paraId="59CD25C7">
            <w:pPr>
              <w:widowControl/>
              <w:jc w:val="center"/>
              <w:textAlignment w:val="center"/>
              <w:rPr>
                <w:rFonts w:hint="eastAsia" w:ascii="宋体" w:hAnsi="宋体" w:cs="宋体"/>
                <w:color w:val="000000"/>
                <w:szCs w:val="21"/>
              </w:rPr>
            </w:pPr>
          </w:p>
        </w:tc>
        <w:tc>
          <w:tcPr>
            <w:tcW w:w="1410" w:type="dxa"/>
            <w:vMerge w:val="continue"/>
            <w:tcBorders>
              <w:left w:val="single" w:color="000000" w:sz="4" w:space="0"/>
              <w:right w:val="single" w:color="000000" w:sz="4" w:space="0"/>
            </w:tcBorders>
            <w:noWrap w:val="0"/>
            <w:vAlign w:val="center"/>
          </w:tcPr>
          <w:p w14:paraId="171604E7">
            <w:pPr>
              <w:widowControl/>
              <w:jc w:val="center"/>
              <w:textAlignment w:val="center"/>
              <w:rPr>
                <w:rFonts w:hint="eastAsia" w:ascii="宋体" w:hAnsi="宋体" w:cs="宋体"/>
                <w:color w:val="000000"/>
                <w:szCs w:val="21"/>
              </w:rPr>
            </w:pPr>
          </w:p>
        </w:tc>
      </w:tr>
      <w:tr w14:paraId="6FFF87F4">
        <w:tblPrEx>
          <w:tblCellMar>
            <w:top w:w="0" w:type="dxa"/>
            <w:left w:w="108" w:type="dxa"/>
            <w:bottom w:w="0" w:type="dxa"/>
            <w:right w:w="108" w:type="dxa"/>
          </w:tblCellMar>
        </w:tblPrEx>
        <w:trPr>
          <w:trHeight w:val="350"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3173D14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2FDC9AF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干菜类</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2C65ED66">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符合国家有关食品安全标准和食品包装要求，不霉、不腐、无虫、碎裂较小，无哈喇味、无异味；品类：面粉、木耳、粉丝、豆腐丝（皮）、海带丝（结）、花生、豆腐皮、银耳、大枣、苦荞丝、虾片等。</w:t>
            </w:r>
          </w:p>
        </w:tc>
        <w:tc>
          <w:tcPr>
            <w:tcW w:w="945" w:type="dxa"/>
            <w:vMerge w:val="continue"/>
            <w:tcBorders>
              <w:left w:val="single" w:color="000000" w:sz="4" w:space="0"/>
              <w:right w:val="single" w:color="000000" w:sz="4" w:space="0"/>
            </w:tcBorders>
            <w:noWrap w:val="0"/>
            <w:vAlign w:val="center"/>
          </w:tcPr>
          <w:p w14:paraId="7F555DE0">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right w:val="single" w:color="000000" w:sz="4" w:space="0"/>
            </w:tcBorders>
            <w:noWrap w:val="0"/>
            <w:vAlign w:val="center"/>
          </w:tcPr>
          <w:p w14:paraId="4512DBC3">
            <w:pPr>
              <w:widowControl/>
              <w:jc w:val="center"/>
              <w:textAlignment w:val="center"/>
              <w:rPr>
                <w:rFonts w:hint="eastAsia" w:ascii="宋体" w:hAnsi="宋体" w:cs="宋体"/>
                <w:color w:val="000000"/>
                <w:kern w:val="0"/>
                <w:szCs w:val="21"/>
                <w:lang w:bidi="ar"/>
              </w:rPr>
            </w:pPr>
          </w:p>
        </w:tc>
      </w:tr>
      <w:tr w14:paraId="7AED9AE1">
        <w:tblPrEx>
          <w:tblCellMar>
            <w:top w:w="0" w:type="dxa"/>
            <w:left w:w="108" w:type="dxa"/>
            <w:bottom w:w="0" w:type="dxa"/>
            <w:right w:w="108" w:type="dxa"/>
          </w:tblCellMar>
        </w:tblPrEx>
        <w:trPr>
          <w:trHeight w:val="840"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264E56B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11</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0DB386B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调味品</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7098840C">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1.酿造类调味品：符合国家相关食品安全标准；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品类：酱油、食醋、酱、豆豉、豆腐乳等。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2.干货类调味品：符合国家相关食品安全标准；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品类：胡椒、花椒、干辣椒、八角、小茴香、芥末、桂皮、姜片、姜粉、草果等。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3.水产类调味品：符合国家相关食品安全标准；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品类：水珍、虾米、虾皮、虾籽、虾酱、虾油、蚝油、蟹制品、淡菜、紫菜等。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4.其他类调味品：符合国家相关食品安全标准；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品类：食盐、味精、糖、黄酒、咖喱粉、五香粉、芝麻油、芝麻酱、花生酱、番茄沙司、番茄酱、果酱、番茄汁、椒油辣酱、芝麻辣酱、豆瓣酱、麻辣酱、老酱、辣椒油等。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干货、调味品等须符合国家法定要求，具有注册商标、产品合格证、检验报告。产品质量要求：包装上必须注明品牌、生产厂商、联系电话、生产日期、保质期、生产批号等。杜绝提供腐败变质，油脂酸败、霉变、生虫、污秽不洁、混有异物或者其他感官性状异常等对人体健康有害的产品，杜绝提供含有毒、有害物质或者被有害物质污染的对人体健康有害的产品，杜绝提供含有致病性寄生虫、微生物或者微生物含量超过国家限定标准的产品，杜绝提供掺假、掺杂、伪造，影响营养、卫生的产品，杜绝提供用非食品原料加工的、加入非食品用化学物质或者将非食品当作食品的产品，杜绝提供超过保质期限的产品。</w:t>
            </w:r>
          </w:p>
        </w:tc>
        <w:tc>
          <w:tcPr>
            <w:tcW w:w="945" w:type="dxa"/>
            <w:vMerge w:val="continue"/>
            <w:tcBorders>
              <w:left w:val="single" w:color="000000" w:sz="4" w:space="0"/>
              <w:right w:val="single" w:color="000000" w:sz="4" w:space="0"/>
            </w:tcBorders>
            <w:noWrap w:val="0"/>
            <w:vAlign w:val="center"/>
          </w:tcPr>
          <w:p w14:paraId="23DABBA6">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right w:val="single" w:color="000000" w:sz="4" w:space="0"/>
            </w:tcBorders>
            <w:noWrap w:val="0"/>
            <w:vAlign w:val="center"/>
          </w:tcPr>
          <w:p w14:paraId="793B3B53">
            <w:pPr>
              <w:widowControl/>
              <w:jc w:val="center"/>
              <w:textAlignment w:val="center"/>
              <w:rPr>
                <w:rFonts w:hint="eastAsia" w:ascii="宋体" w:hAnsi="宋体" w:cs="宋体"/>
                <w:color w:val="000000"/>
                <w:kern w:val="0"/>
                <w:szCs w:val="21"/>
                <w:lang w:bidi="ar"/>
              </w:rPr>
            </w:pPr>
          </w:p>
        </w:tc>
      </w:tr>
      <w:tr w14:paraId="541611DC">
        <w:tblPrEx>
          <w:tblCellMar>
            <w:top w:w="0" w:type="dxa"/>
            <w:left w:w="108" w:type="dxa"/>
            <w:bottom w:w="0" w:type="dxa"/>
            <w:right w:w="108" w:type="dxa"/>
          </w:tblCellMar>
        </w:tblPrEx>
        <w:trPr>
          <w:trHeight w:val="900"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23E7B88A">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4CABE50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早餐类</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508C88D9">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1.符合国家有关食品安全标准；色泽正常、外形均匀、无结疤、无碎条，有弹性、口感好</w:t>
            </w:r>
            <w:r>
              <w:rPr>
                <w:rFonts w:hint="eastAsia" w:ascii="宋体" w:hAnsi="宋体" w:cs="宋体"/>
                <w:kern w:val="0"/>
                <w:szCs w:val="21"/>
                <w:lang w:bidi="ar"/>
              </w:rPr>
              <w:t>，不能有霉味、酸味，无杂质。</w:t>
            </w:r>
            <w:r>
              <w:rPr>
                <w:rFonts w:hint="eastAsia" w:ascii="宋体" w:hAnsi="宋体" w:cs="宋体"/>
                <w:kern w:val="0"/>
                <w:szCs w:val="21"/>
                <w:lang w:bidi="ar"/>
              </w:rPr>
              <w:br w:type="textWrapping"/>
            </w:r>
            <w:r>
              <w:rPr>
                <w:rFonts w:hint="eastAsia" w:ascii="宋体" w:hAnsi="宋体" w:cs="宋体"/>
                <w:kern w:val="0"/>
                <w:szCs w:val="21"/>
                <w:lang w:bidi="ar"/>
              </w:rPr>
              <w:t>2.品类：鲜米线、鲜面条、鲜卷粉、鲜饵丝、鲜饺子皮、鲜馄饨皮等，预包装。</w:t>
            </w:r>
          </w:p>
        </w:tc>
        <w:tc>
          <w:tcPr>
            <w:tcW w:w="945" w:type="dxa"/>
            <w:vMerge w:val="continue"/>
            <w:tcBorders>
              <w:left w:val="single" w:color="000000" w:sz="4" w:space="0"/>
              <w:right w:val="single" w:color="000000" w:sz="4" w:space="0"/>
            </w:tcBorders>
            <w:noWrap w:val="0"/>
            <w:vAlign w:val="center"/>
          </w:tcPr>
          <w:p w14:paraId="7594E96F">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right w:val="single" w:color="000000" w:sz="4" w:space="0"/>
            </w:tcBorders>
            <w:noWrap w:val="0"/>
            <w:vAlign w:val="center"/>
          </w:tcPr>
          <w:p w14:paraId="3A78019C">
            <w:pPr>
              <w:widowControl/>
              <w:jc w:val="center"/>
              <w:textAlignment w:val="center"/>
              <w:rPr>
                <w:rFonts w:hint="eastAsia" w:ascii="宋体" w:hAnsi="宋体" w:cs="宋体"/>
                <w:color w:val="000000"/>
                <w:kern w:val="0"/>
                <w:szCs w:val="21"/>
                <w:lang w:bidi="ar"/>
              </w:rPr>
            </w:pPr>
          </w:p>
        </w:tc>
      </w:tr>
      <w:tr w14:paraId="4F6B42E1">
        <w:tblPrEx>
          <w:tblCellMar>
            <w:top w:w="0" w:type="dxa"/>
            <w:left w:w="108" w:type="dxa"/>
            <w:bottom w:w="0" w:type="dxa"/>
            <w:right w:w="108" w:type="dxa"/>
          </w:tblCellMar>
        </w:tblPrEx>
        <w:trPr>
          <w:trHeight w:val="264"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751C25A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13</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711BAA9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乳制品</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53E479DD">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1.符合国家有关食品安全标准，包括纯牛奶、乳饼等。</w:t>
            </w:r>
          </w:p>
          <w:p w14:paraId="1213DA2B">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2.厂家卫生条件达标、具有一定规模、声誉好、管理规范、证照齐全。</w:t>
            </w:r>
          </w:p>
          <w:p w14:paraId="671A9FDC">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3.符合食品安全包装要求，标签上应清楚地印上品名、厂名、厂址、生产日期、保质期、净含量、配料表、产品标准号，如产品有贮存条件要求，还必须标明贮存条件。</w:t>
            </w:r>
          </w:p>
          <w:p w14:paraId="684201C5">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纯牛奶要求：必须符合食品安全国家标准，灭菌乳执行GB25190-2010《食品安全国家标准灭菌乳》标准；执行GB19301-2010《食品安全国家标准生乳》标准，不准用复原乳生产；采用高温灭菌工序制成，无菌灌装，无菌包装，不添加任何防腐剂，采用常温保存、日期自生产日起到入口需在保质期1/3时间内，纯牛奶：每100克牛奶中，蛋白质含量≥3.0克，脂肪含量≥3.1克。外包装必须完整无漏气、破损，奶类无变质情况。</w:t>
            </w:r>
          </w:p>
        </w:tc>
        <w:tc>
          <w:tcPr>
            <w:tcW w:w="945" w:type="dxa"/>
            <w:vMerge w:val="continue"/>
            <w:tcBorders>
              <w:left w:val="single" w:color="000000" w:sz="4" w:space="0"/>
              <w:right w:val="single" w:color="000000" w:sz="4" w:space="0"/>
            </w:tcBorders>
            <w:noWrap w:val="0"/>
            <w:vAlign w:val="center"/>
          </w:tcPr>
          <w:p w14:paraId="60EFFDDB">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right w:val="single" w:color="000000" w:sz="4" w:space="0"/>
            </w:tcBorders>
            <w:noWrap w:val="0"/>
            <w:vAlign w:val="center"/>
          </w:tcPr>
          <w:p w14:paraId="67B4E00D">
            <w:pPr>
              <w:widowControl/>
              <w:jc w:val="center"/>
              <w:textAlignment w:val="center"/>
              <w:rPr>
                <w:rFonts w:hint="eastAsia" w:ascii="宋体" w:hAnsi="宋体" w:cs="宋体"/>
                <w:color w:val="000000"/>
                <w:kern w:val="0"/>
                <w:szCs w:val="21"/>
                <w:lang w:bidi="ar"/>
              </w:rPr>
            </w:pPr>
          </w:p>
        </w:tc>
      </w:tr>
      <w:tr w14:paraId="349CB303">
        <w:tblPrEx>
          <w:tblCellMar>
            <w:top w:w="0" w:type="dxa"/>
            <w:left w:w="108" w:type="dxa"/>
            <w:bottom w:w="0" w:type="dxa"/>
            <w:right w:w="108" w:type="dxa"/>
          </w:tblCellMar>
        </w:tblPrEx>
        <w:trPr>
          <w:trHeight w:val="283" w:hRule="atLeast"/>
          <w:jc w:val="center"/>
        </w:trPr>
        <w:tc>
          <w:tcPr>
            <w:tcW w:w="540" w:type="dxa"/>
            <w:tcBorders>
              <w:top w:val="single" w:color="000000" w:sz="4" w:space="0"/>
              <w:left w:val="single" w:color="000000" w:sz="4" w:space="0"/>
              <w:bottom w:val="single" w:color="000000" w:sz="4" w:space="0"/>
              <w:right w:val="single" w:color="000000" w:sz="4" w:space="0"/>
            </w:tcBorders>
            <w:noWrap w:val="0"/>
            <w:vAlign w:val="center"/>
          </w:tcPr>
          <w:p w14:paraId="05C1A14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49F983F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焙烤食品</w:t>
            </w:r>
          </w:p>
        </w:tc>
        <w:tc>
          <w:tcPr>
            <w:tcW w:w="6619" w:type="dxa"/>
            <w:tcBorders>
              <w:top w:val="single" w:color="000000" w:sz="4" w:space="0"/>
              <w:left w:val="single" w:color="000000" w:sz="4" w:space="0"/>
              <w:bottom w:val="single" w:color="000000" w:sz="4" w:space="0"/>
              <w:right w:val="single" w:color="000000" w:sz="4" w:space="0"/>
            </w:tcBorders>
            <w:noWrap w:val="0"/>
            <w:vAlign w:val="center"/>
          </w:tcPr>
          <w:p w14:paraId="1E544F99">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1.符合国家有关食品安全标准，包括糕点、面包、饼干等。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2.厂家卫生条件达标、具有一定规模、声誉好、管理规范、证照齐全。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3.符合食品安全包装要求，包装糕点标签上应清楚地印上品名、厂名、厂址、生产日期、保质期、净含量、配料表、产品标准号，如产品有贮存条件要求，还必须标明贮存条件。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4.外形整齐、色泽自然、没有外来杂物，不焦不糊、不缺损、不漏馅、不僵硬、不发黏，而且不同品种还有其特有的柔和自然的香气。</w:t>
            </w:r>
          </w:p>
        </w:tc>
        <w:tc>
          <w:tcPr>
            <w:tcW w:w="945" w:type="dxa"/>
            <w:vMerge w:val="continue"/>
            <w:tcBorders>
              <w:left w:val="single" w:color="000000" w:sz="4" w:space="0"/>
              <w:bottom w:val="single" w:color="000000" w:sz="4" w:space="0"/>
              <w:right w:val="single" w:color="000000" w:sz="4" w:space="0"/>
            </w:tcBorders>
            <w:noWrap w:val="0"/>
            <w:vAlign w:val="center"/>
          </w:tcPr>
          <w:p w14:paraId="7FB39201">
            <w:pPr>
              <w:widowControl/>
              <w:jc w:val="center"/>
              <w:textAlignment w:val="center"/>
              <w:rPr>
                <w:rFonts w:hint="eastAsia" w:ascii="宋体" w:hAnsi="宋体" w:cs="宋体"/>
                <w:color w:val="000000"/>
                <w:kern w:val="0"/>
                <w:szCs w:val="21"/>
                <w:lang w:bidi="ar"/>
              </w:rPr>
            </w:pPr>
          </w:p>
        </w:tc>
        <w:tc>
          <w:tcPr>
            <w:tcW w:w="1410" w:type="dxa"/>
            <w:vMerge w:val="continue"/>
            <w:tcBorders>
              <w:left w:val="single" w:color="000000" w:sz="4" w:space="0"/>
              <w:bottom w:val="single" w:color="000000" w:sz="4" w:space="0"/>
              <w:right w:val="single" w:color="000000" w:sz="4" w:space="0"/>
            </w:tcBorders>
            <w:noWrap w:val="0"/>
            <w:vAlign w:val="center"/>
          </w:tcPr>
          <w:p w14:paraId="7306D8CE">
            <w:pPr>
              <w:widowControl/>
              <w:jc w:val="center"/>
              <w:textAlignment w:val="center"/>
              <w:rPr>
                <w:rFonts w:hint="eastAsia" w:ascii="宋体" w:hAnsi="宋体" w:cs="宋体"/>
                <w:color w:val="000000"/>
                <w:kern w:val="0"/>
                <w:szCs w:val="21"/>
                <w:lang w:bidi="ar"/>
              </w:rPr>
            </w:pPr>
          </w:p>
        </w:tc>
      </w:tr>
    </w:tbl>
    <w:p w14:paraId="7108B38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91FC4"/>
    <w:rsid w:val="13165211"/>
    <w:rsid w:val="13345697"/>
    <w:rsid w:val="1598133F"/>
    <w:rsid w:val="1F106FB8"/>
    <w:rsid w:val="25ED0053"/>
    <w:rsid w:val="27E770BC"/>
    <w:rsid w:val="2A224043"/>
    <w:rsid w:val="2B762899"/>
    <w:rsid w:val="349F69BC"/>
    <w:rsid w:val="43A51B15"/>
    <w:rsid w:val="44E71D86"/>
    <w:rsid w:val="514A5AAA"/>
    <w:rsid w:val="60806DF2"/>
    <w:rsid w:val="63A70B3A"/>
    <w:rsid w:val="75530B22"/>
    <w:rsid w:val="7A9B2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4058</Words>
  <Characters>4341</Characters>
  <Lines>0</Lines>
  <Paragraphs>0</Paragraphs>
  <TotalTime>1</TotalTime>
  <ScaleCrop>false</ScaleCrop>
  <LinksUpToDate>false</LinksUpToDate>
  <CharactersWithSpaces>4346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2026-08-13T08:54:00Z</dcterms:created>
  <dc:creator>Administrator</dc:creator>
  <cp:lastModifiedBy>琳崽崽好凶</cp:lastModifiedBy>
  <dcterms:modified xsi:type="dcterms:W3CDTF">2026-08-13T09:12:36Z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eyJoZGlkIjoiYjM2YjE4MDc2YjJlMzkyZGQxZjQ3M2FjMzU4ZTgzNTUiLCJ1c2VySWQiOiI0MzQyMzYxOTEifQ==</vt:lpwstr>
  </property>
  <property fmtid="{D5CDD505-2E9C-101B-9397-08002B2CF9AE}" pid="4" name="ICV">
    <vt:lpwstr>C742F1EC55384B978868B3C764CCF0EF_12</vt:lpwstr>
  </property>
</Properties>
</file>