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版本号：N510501202500033320250901001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G246线泸永路K238+397~K275+097段社会化养护项目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N5105012025000333</w:t>
      </w:r>
    </w:p>
    <w:p>
      <w:pPr>
        <w:pStyle w:val="null3"/>
        <w:jc w:val="left"/>
        <w:outlineLvl w:val="2"/>
      </w:pPr>
      <w:r>
        <w:rPr>
          <w:rFonts w:ascii="仿宋_GB2312" w:hAnsi="仿宋_GB2312" w:cs="仿宋_GB2312" w:eastAsia="仿宋_GB2312"/>
          <w:sz w:val="28"/>
          <w:b/>
        </w:rPr>
        <w:t>泸州市公路局</w:t>
      </w:r>
    </w:p>
    <w:p>
      <w:pPr>
        <w:pStyle w:val="null3"/>
        <w:jc w:val="center"/>
        <w:outlineLvl w:val="2"/>
      </w:pPr>
      <w:r>
        <w:rPr>
          <w:rFonts w:ascii="仿宋_GB2312" w:hAnsi="仿宋_GB2312" w:cs="仿宋_GB2312" w:eastAsia="仿宋_GB2312"/>
          <w:sz w:val="28"/>
          <w:b/>
        </w:rPr>
        <w:t>泸州发展国际项目咨询有限公司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泸州发展国际项目咨询有限公司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泸州市公路局</w:t>
      </w:r>
      <w:r>
        <w:rPr>
          <w:rFonts w:ascii="仿宋_GB2312" w:hAnsi="仿宋_GB2312" w:cs="仿宋_GB2312" w:eastAsia="仿宋_GB2312"/>
        </w:rPr>
        <w:t xml:space="preserve"> 委托，拟对 </w:t>
      </w:r>
      <w:r>
        <w:rPr>
          <w:rFonts w:ascii="仿宋_GB2312" w:hAnsi="仿宋_GB2312" w:cs="仿宋_GB2312" w:eastAsia="仿宋_GB2312"/>
        </w:rPr>
        <w:t>G246线泸永路K238+397~K275+097段社会化养护项目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N5105012025000333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G246线泸永路K238+397~K275+097段社会化养护项目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G246线泸永路K238+397 ~K275+097(实际里程36.7公里)段范围内路面、路肩、护坡、护栏、水沟、涵洞、桥梁、绿化、交安设施等的保洁、管护及日常巡查。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授权参加本次采购活动的供应商代表证明材料。（描述：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泸州市公路局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四川省泸州市江阳区康城路1段15号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0830-3106291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泸州发展国际项目咨询有限公司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四川省泸州市龙马潭区四川自贸区川南临港片区西南商贸城17区四层126号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0830-2688731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履约保证金应当以支票、汇票、本票或者金融机构，符合条件具备偿付能力的专业担保机构出具的保函等非现金形式提交，供应商可以依法自愿选择提交保证金的方式。注：履约保证金的缴纳：中标人必须于中标后15日之内向采购单位缴纳履约保证金；履约保证金的退还：服务期（两年）结束后且无违约情况的一次性无息全额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 号），按实际中标金额计算收取。账户名：泸州发展国际项目咨询有限公司； 开户行：中国银行股份有限公司泸州分行； 账号：125252447887。</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泸州市公路局</w:t>
      </w:r>
      <w:r>
        <w:rPr>
          <w:rFonts w:ascii="仿宋_GB2312" w:hAnsi="仿宋_GB2312" w:cs="仿宋_GB2312" w:eastAsia="仿宋_GB2312"/>
        </w:rPr>
        <w:t xml:space="preserve"> 和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泸州市公路局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泸州发展国际项目咨询有限公司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采购人每月按考核标准对中标人进行考核，中标人每季度提出验收申请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按招标文件及最终签订合同中的技术、服务要求进行验收。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按招标文件及最终签订合同中的商务要求进行验收。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严格按照泸州分段社会化养护考核评分标准进行考核，以及《财政部关于进一步加强政府采购需求和履约验收管理的指导意见》（财库〔2016〕205号）进行验收。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泸州市公路局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联系电话：0830-3106291</w:t>
      </w:r>
    </w:p>
    <w:p>
      <w:pPr>
        <w:pStyle w:val="null3"/>
        <w:jc w:val="left"/>
      </w:pPr>
      <w:r>
        <w:rPr>
          <w:rFonts w:ascii="仿宋_GB2312" w:hAnsi="仿宋_GB2312" w:cs="仿宋_GB2312" w:eastAsia="仿宋_GB2312"/>
        </w:rPr>
        <w:t>地址：四川省泸州市江阳区康城路1段15号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联系电话：0830-2688731</w:t>
      </w:r>
    </w:p>
    <w:p>
      <w:pPr>
        <w:pStyle w:val="null3"/>
        <w:jc w:val="left"/>
      </w:pPr>
      <w:r>
        <w:rPr>
          <w:rFonts w:ascii="仿宋_GB2312" w:hAnsi="仿宋_GB2312" w:cs="仿宋_GB2312" w:eastAsia="仿宋_GB2312"/>
        </w:rPr>
        <w:t>地址：四川省泸州市龙马潭区西南商贸城17区四层126号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2,220,000.00</w:t>
      </w:r>
    </w:p>
    <w:p>
      <w:pPr>
        <w:pStyle w:val="null3"/>
        <w:jc w:val="left"/>
      </w:pPr>
      <w:r>
        <w:rPr>
          <w:rFonts w:ascii="仿宋_GB2312" w:hAnsi="仿宋_GB2312" w:cs="仿宋_GB2312" w:eastAsia="仿宋_GB2312"/>
        </w:rPr>
        <w:t>采购包最高限价（元）: 2,220,000.00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G246线泸永路K238+397~K275+097段社会化养护</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G246线泸永路K238+397~K275+097段社会化养护</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投标人投标报价不得高于本项目最高限价，否则作无效投标处理。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标的名称：G246线泸永路K238+397~K275+097段社会化养护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723"/>
              <w:jc w:val="both"/>
            </w:pPr>
            <w:r>
              <w:rPr>
                <w:rFonts w:ascii="仿宋_GB2312" w:hAnsi="仿宋_GB2312" w:cs="仿宋_GB2312" w:eastAsia="仿宋_GB2312"/>
                <w:sz w:val="24"/>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人员配置：（实质性要求）</w:t>
            </w:r>
          </w:p>
          <w:p>
            <w:pPr>
              <w:pStyle w:val="null3"/>
              <w:ind w:firstLine="723"/>
              <w:jc w:val="both"/>
            </w:pPr>
            <w:r>
              <w:rPr>
                <w:rFonts w:ascii="仿宋_GB2312" w:hAnsi="仿宋_GB2312" w:cs="仿宋_GB2312" w:eastAsia="仿宋_GB2312"/>
                <w:sz w:val="24"/>
                <w:color w:val="000000"/>
              </w:rPr>
              <w:t>供应商需配备管理人员不少于</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人，其中站长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名、</w:t>
            </w:r>
            <w:r>
              <w:rPr>
                <w:rFonts w:ascii="仿宋_GB2312" w:hAnsi="仿宋_GB2312" w:cs="仿宋_GB2312" w:eastAsia="仿宋_GB2312"/>
                <w:sz w:val="24"/>
                <w:color w:val="000000"/>
              </w:rPr>
              <w:t>安全员1</w:t>
            </w:r>
            <w:r>
              <w:rPr>
                <w:rFonts w:ascii="仿宋_GB2312" w:hAnsi="仿宋_GB2312" w:cs="仿宋_GB2312" w:eastAsia="仿宋_GB2312"/>
                <w:sz w:val="24"/>
                <w:color w:val="000000"/>
              </w:rPr>
              <w:t>名</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配备一线养护工人不少于10人</w:t>
            </w:r>
            <w:r>
              <w:rPr>
                <w:rFonts w:ascii="仿宋_GB2312" w:hAnsi="仿宋_GB2312" w:cs="仿宋_GB2312" w:eastAsia="仿宋_GB2312"/>
                <w:sz w:val="24"/>
              </w:rPr>
              <w:t>（男性工人60周岁以下，女性工人50周岁以下，</w:t>
            </w:r>
            <w:r>
              <w:rPr>
                <w:rFonts w:ascii="仿宋_GB2312" w:hAnsi="仿宋_GB2312" w:cs="仿宋_GB2312" w:eastAsia="仿宋_GB2312"/>
                <w:sz w:val="24"/>
                <w:color w:val="000000"/>
              </w:rPr>
              <w:t>且身体健康）。且供应商所有拟派人员需购买每年不低于80万/人/年的人身意外保险。</w:t>
            </w:r>
            <w:r>
              <w:rPr>
                <w:rFonts w:ascii="仿宋_GB2312" w:hAnsi="仿宋_GB2312" w:cs="仿宋_GB2312" w:eastAsia="仿宋_GB2312"/>
                <w:sz w:val="24"/>
                <w:color w:val="000000"/>
              </w:rPr>
              <w:t>另需配备与项目服务相关的专业技术人员及其他服务人员。</w:t>
            </w:r>
          </w:p>
          <w:p>
            <w:pPr>
              <w:pStyle w:val="null3"/>
              <w:ind w:firstLine="723"/>
              <w:jc w:val="both"/>
            </w:pPr>
            <w:r>
              <w:rPr>
                <w:rFonts w:ascii="仿宋_GB2312" w:hAnsi="仿宋_GB2312" w:cs="仿宋_GB2312" w:eastAsia="仿宋_GB2312"/>
                <w:sz w:val="24"/>
                <w:color w:val="000000"/>
              </w:rPr>
              <w:t>2.根据《公路隧道养护技术规范》《公路桥涵养护规范》《公路养护技术标准》等的公路保洁、桥涵</w:t>
            </w:r>
            <w:r>
              <w:rPr>
                <w:rFonts w:ascii="仿宋_GB2312" w:hAnsi="仿宋_GB2312" w:cs="仿宋_GB2312" w:eastAsia="仿宋_GB2312"/>
                <w:sz w:val="24"/>
                <w:color w:val="000000"/>
              </w:rPr>
              <w:t>养护</w:t>
            </w:r>
            <w:r>
              <w:rPr>
                <w:rFonts w:ascii="仿宋_GB2312" w:hAnsi="仿宋_GB2312" w:cs="仿宋_GB2312" w:eastAsia="仿宋_GB2312"/>
                <w:sz w:val="24"/>
                <w:color w:val="000000"/>
              </w:rPr>
              <w:t>、绿化维护等</w:t>
            </w:r>
            <w:r>
              <w:rPr>
                <w:rFonts w:ascii="仿宋_GB2312" w:hAnsi="仿宋_GB2312" w:cs="仿宋_GB2312" w:eastAsia="仿宋_GB2312"/>
                <w:sz w:val="24"/>
                <w:color w:val="000000"/>
              </w:rPr>
              <w:t>相关服务要求：</w:t>
            </w:r>
          </w:p>
          <w:p>
            <w:pPr>
              <w:pStyle w:val="null3"/>
              <w:ind w:firstLine="72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保洁（实质性要求）</w:t>
            </w:r>
          </w:p>
          <w:p>
            <w:pPr>
              <w:pStyle w:val="null3"/>
              <w:ind w:firstLine="723"/>
              <w:jc w:val="both"/>
            </w:pPr>
            <w:r>
              <w:rPr>
                <w:rFonts w:ascii="仿宋_GB2312" w:hAnsi="仿宋_GB2312" w:cs="仿宋_GB2312" w:eastAsia="仿宋_GB2312"/>
                <w:sz w:val="24"/>
                <w:color w:val="000000"/>
              </w:rPr>
              <w:t>①对管理路段的安全生产、党风廉政建设、环境保护负主体责任；</w:t>
            </w:r>
          </w:p>
          <w:p>
            <w:pPr>
              <w:pStyle w:val="null3"/>
              <w:ind w:firstLine="723"/>
              <w:jc w:val="both"/>
            </w:pPr>
            <w:r>
              <w:rPr>
                <w:rFonts w:ascii="仿宋_GB2312" w:hAnsi="仿宋_GB2312" w:cs="仿宋_GB2312" w:eastAsia="仿宋_GB2312"/>
                <w:sz w:val="24"/>
                <w:color w:val="000000"/>
              </w:rPr>
              <w:t>②及时清除路面杂物、泥土，保持路面无污染整洁；</w:t>
            </w:r>
          </w:p>
          <w:p>
            <w:pPr>
              <w:pStyle w:val="null3"/>
              <w:ind w:firstLine="723"/>
              <w:jc w:val="both"/>
            </w:pPr>
            <w:r>
              <w:rPr>
                <w:rFonts w:ascii="仿宋_GB2312" w:hAnsi="仿宋_GB2312" w:cs="仿宋_GB2312" w:eastAsia="仿宋_GB2312"/>
                <w:sz w:val="24"/>
                <w:color w:val="000000"/>
              </w:rPr>
              <w:t>③及时排除路面积水、积雪、积冰、积砂、油污、铺防滑防冻材料；</w:t>
            </w:r>
          </w:p>
          <w:p>
            <w:pPr>
              <w:pStyle w:val="null3"/>
              <w:ind w:firstLine="723"/>
              <w:jc w:val="both"/>
            </w:pPr>
            <w:r>
              <w:rPr>
                <w:rFonts w:ascii="仿宋_GB2312" w:hAnsi="仿宋_GB2312" w:cs="仿宋_GB2312" w:eastAsia="仿宋_GB2312"/>
                <w:sz w:val="24"/>
                <w:color w:val="000000"/>
              </w:rPr>
              <w:t>④及时整理路肩、边坡，清除路肩草，清除杂物、保持路容整洁；</w:t>
            </w:r>
          </w:p>
          <w:p>
            <w:pPr>
              <w:pStyle w:val="null3"/>
              <w:ind w:firstLine="723"/>
              <w:jc w:val="both"/>
            </w:pPr>
            <w:r>
              <w:rPr>
                <w:rFonts w:ascii="仿宋_GB2312" w:hAnsi="仿宋_GB2312" w:cs="仿宋_GB2312" w:eastAsia="仿宋_GB2312"/>
                <w:sz w:val="24"/>
                <w:color w:val="000000"/>
              </w:rPr>
              <w:t>⑤及时疏通边沟、明暗沟、截水沟，清理集水井、涵洞、桥梁、隧道保持排水系统畅通；</w:t>
            </w:r>
          </w:p>
          <w:p>
            <w:pPr>
              <w:pStyle w:val="null3"/>
              <w:ind w:firstLine="723"/>
              <w:jc w:val="both"/>
            </w:pPr>
            <w:r>
              <w:rPr>
                <w:rFonts w:ascii="仿宋_GB2312" w:hAnsi="仿宋_GB2312" w:cs="仿宋_GB2312" w:eastAsia="仿宋_GB2312"/>
                <w:sz w:val="24"/>
                <w:color w:val="000000"/>
              </w:rPr>
              <w:t>⑥及时清理挡墙、护坡、边坡杂草、杂物，清除泄水孔杂物杂草；桥梁伸缩缝长期保持无堵塞；</w:t>
            </w:r>
          </w:p>
          <w:p>
            <w:pPr>
              <w:pStyle w:val="null3"/>
              <w:ind w:firstLine="723"/>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及时清理所有垃圾，按环保要求进行处置，清除绿化带内垃圾及堆积物；</w:t>
            </w:r>
          </w:p>
          <w:p>
            <w:pPr>
              <w:pStyle w:val="null3"/>
              <w:ind w:firstLine="723"/>
              <w:jc w:val="both"/>
            </w:pPr>
            <w:r>
              <w:rPr>
                <w:rFonts w:ascii="仿宋_GB2312" w:hAnsi="仿宋_GB2312" w:cs="仿宋_GB2312" w:eastAsia="仿宋_GB2312"/>
                <w:sz w:val="24"/>
                <w:color w:val="000000"/>
              </w:rPr>
              <w:t>⑧</w:t>
            </w:r>
            <w:r>
              <w:rPr>
                <w:rFonts w:ascii="仿宋_GB2312" w:hAnsi="仿宋_GB2312" w:cs="仿宋_GB2312" w:eastAsia="仿宋_GB2312"/>
                <w:sz w:val="24"/>
                <w:color w:val="000000"/>
              </w:rPr>
              <w:t>及时对沿线交安设施的日常维护及清洗；</w:t>
            </w:r>
          </w:p>
          <w:p>
            <w:pPr>
              <w:pStyle w:val="null3"/>
              <w:ind w:firstLine="723"/>
              <w:jc w:val="both"/>
            </w:pPr>
            <w:r>
              <w:rPr>
                <w:rFonts w:ascii="仿宋_GB2312" w:hAnsi="仿宋_GB2312" w:cs="仿宋_GB2312" w:eastAsia="仿宋_GB2312"/>
                <w:sz w:val="24"/>
                <w:color w:val="000000"/>
              </w:rPr>
              <w:t>⑨</w:t>
            </w:r>
            <w:r>
              <w:rPr>
                <w:rFonts w:ascii="仿宋_GB2312" w:hAnsi="仿宋_GB2312" w:cs="仿宋_GB2312" w:eastAsia="仿宋_GB2312"/>
                <w:sz w:val="24"/>
                <w:color w:val="000000"/>
              </w:rPr>
              <w:t>及时处理每次每处零星塌方（塌方方量小于两方的，由社会化养护单位自行清理，塌方方量大于</w:t>
            </w:r>
            <w:r>
              <w:rPr>
                <w:rFonts w:ascii="仿宋_GB2312" w:hAnsi="仿宋_GB2312" w:cs="仿宋_GB2312" w:eastAsia="仿宋_GB2312"/>
                <w:sz w:val="24"/>
                <w:color w:val="000000"/>
              </w:rPr>
              <w:t>2</w:t>
            </w:r>
            <w:r>
              <w:rPr>
                <w:rFonts w:ascii="仿宋_GB2312" w:hAnsi="仿宋_GB2312" w:cs="仿宋_GB2312" w:eastAsia="仿宋_GB2312"/>
                <w:sz w:val="24"/>
                <w:color w:val="000000"/>
              </w:rPr>
              <w:t>方的，上报泸州分段养护股进行认定和专项处理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723"/>
              <w:jc w:val="both"/>
            </w:pPr>
            <w:r>
              <w:rPr>
                <w:rFonts w:ascii="仿宋_GB2312" w:hAnsi="仿宋_GB2312" w:cs="仿宋_GB2312" w:eastAsia="仿宋_GB2312"/>
                <w:sz w:val="24"/>
                <w:color w:val="000000"/>
              </w:rPr>
              <w:t>⑩</w:t>
            </w:r>
            <w:r>
              <w:rPr>
                <w:rFonts w:ascii="仿宋_GB2312" w:hAnsi="仿宋_GB2312" w:cs="仿宋_GB2312" w:eastAsia="仿宋_GB2312"/>
                <w:sz w:val="24"/>
                <w:color w:val="000000"/>
              </w:rPr>
              <w:t>对附属设施、安全设施的损坏，一般及较大安全问题第一时间发现、第一时间临时处置、第一时间上报泸州分段处置；</w:t>
            </w:r>
          </w:p>
          <w:p>
            <w:pPr>
              <w:pStyle w:val="null3"/>
              <w:ind w:firstLine="723"/>
              <w:jc w:val="both"/>
            </w:pPr>
            <w:r>
              <w:rPr>
                <w:rFonts w:ascii="仿宋_GB2312" w:hAnsi="仿宋_GB2312" w:cs="仿宋_GB2312" w:eastAsia="仿宋_GB2312"/>
                <w:sz w:val="24"/>
                <w:color w:val="000000"/>
              </w:rPr>
              <w:t>⑪经社会化养护单位或管理单位巡查发现路基、边坡等有危</w:t>
            </w:r>
            <w:r>
              <w:rPr>
                <w:rFonts w:ascii="仿宋_GB2312" w:hAnsi="仿宋_GB2312" w:cs="仿宋_GB2312" w:eastAsia="仿宋_GB2312"/>
                <w:sz w:val="24"/>
                <w:color w:val="000000"/>
              </w:rPr>
              <w:t>及</w:t>
            </w:r>
            <w:r>
              <w:rPr>
                <w:rFonts w:ascii="仿宋_GB2312" w:hAnsi="仿宋_GB2312" w:cs="仿宋_GB2312" w:eastAsia="仿宋_GB2312"/>
                <w:sz w:val="24"/>
                <w:color w:val="000000"/>
              </w:rPr>
              <w:t>安全的</w:t>
            </w:r>
            <w:r>
              <w:rPr>
                <w:rFonts w:ascii="仿宋_GB2312" w:hAnsi="仿宋_GB2312" w:cs="仿宋_GB2312" w:eastAsia="仿宋_GB2312"/>
                <w:sz w:val="24"/>
                <w:color w:val="000000"/>
              </w:rPr>
              <w:t>路段</w:t>
            </w:r>
            <w:r>
              <w:rPr>
                <w:rFonts w:ascii="仿宋_GB2312" w:hAnsi="仿宋_GB2312" w:cs="仿宋_GB2312" w:eastAsia="仿宋_GB2312"/>
                <w:sz w:val="24"/>
                <w:color w:val="000000"/>
              </w:rPr>
              <w:t>、交通事故</w:t>
            </w:r>
            <w:r>
              <w:rPr>
                <w:rFonts w:ascii="仿宋_GB2312" w:hAnsi="仿宋_GB2312" w:cs="仿宋_GB2312" w:eastAsia="仿宋_GB2312"/>
                <w:sz w:val="24"/>
                <w:color w:val="000000"/>
              </w:rPr>
              <w:t>路段</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情形时</w:t>
            </w:r>
            <w:r>
              <w:rPr>
                <w:rFonts w:ascii="仿宋_GB2312" w:hAnsi="仿宋_GB2312" w:cs="仿宋_GB2312" w:eastAsia="仿宋_GB2312"/>
                <w:sz w:val="24"/>
                <w:color w:val="000000"/>
              </w:rPr>
              <w:t>，社会化养护单位</w:t>
            </w:r>
            <w:r>
              <w:rPr>
                <w:rFonts w:ascii="仿宋_GB2312" w:hAnsi="仿宋_GB2312" w:cs="仿宋_GB2312" w:eastAsia="仿宋_GB2312"/>
                <w:sz w:val="24"/>
              </w:rPr>
              <w:t>负责</w:t>
            </w:r>
            <w:r>
              <w:rPr>
                <w:rFonts w:ascii="仿宋_GB2312" w:hAnsi="仿宋_GB2312" w:cs="仿宋_GB2312" w:eastAsia="仿宋_GB2312"/>
                <w:sz w:val="24"/>
                <w:color w:val="000000"/>
              </w:rPr>
              <w:t>及时按要求设置安全警示标志标牌；</w:t>
            </w:r>
          </w:p>
          <w:p>
            <w:pPr>
              <w:pStyle w:val="null3"/>
              <w:ind w:firstLine="723"/>
              <w:jc w:val="both"/>
            </w:pPr>
            <w:r>
              <w:rPr>
                <w:rFonts w:ascii="仿宋_GB2312" w:hAnsi="仿宋_GB2312" w:cs="仿宋_GB2312" w:eastAsia="仿宋_GB2312"/>
                <w:sz w:val="24"/>
                <w:color w:val="000000"/>
              </w:rPr>
              <w:t>⑫每日必须完成公路、桥梁、涵洞、地灾点及附属设施、交安设施等安全巡查，并在大雨、大风、大雾、大雪等极端天气加密巡查，</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如实填写巡查记录；</w:t>
            </w:r>
          </w:p>
          <w:p>
            <w:pPr>
              <w:pStyle w:val="null3"/>
              <w:ind w:firstLine="723"/>
              <w:jc w:val="both"/>
            </w:pPr>
            <w:r>
              <w:rPr>
                <w:rFonts w:ascii="仿宋_GB2312" w:hAnsi="仿宋_GB2312" w:cs="仿宋_GB2312" w:eastAsia="仿宋_GB2312"/>
                <w:sz w:val="24"/>
                <w:color w:val="000000"/>
              </w:rPr>
              <w:t>⑬安全、环保、防疫工作应急值班值守；</w:t>
            </w:r>
          </w:p>
          <w:p>
            <w:pPr>
              <w:pStyle w:val="null3"/>
              <w:ind w:firstLine="723"/>
              <w:jc w:val="both"/>
            </w:pPr>
            <w:r>
              <w:rPr>
                <w:rFonts w:ascii="仿宋_GB2312" w:hAnsi="仿宋_GB2312" w:cs="仿宋_GB2312" w:eastAsia="仿宋_GB2312"/>
                <w:sz w:val="24"/>
                <w:color w:val="000000"/>
              </w:rPr>
              <w:t>⑭按管理单位要求规范标准化班站建设，按照要求填写相关内业资料。</w:t>
            </w:r>
          </w:p>
          <w:p>
            <w:pPr>
              <w:pStyle w:val="null3"/>
              <w:ind w:firstLine="723"/>
              <w:jc w:val="both"/>
            </w:pPr>
            <w:r>
              <w:rPr>
                <w:rFonts w:ascii="仿宋_GB2312" w:hAnsi="仿宋_GB2312" w:cs="仿宋_GB2312" w:eastAsia="仿宋_GB2312"/>
                <w:sz w:val="24"/>
                <w:color w:val="000000"/>
              </w:rPr>
              <w:t>⑮做好各类附属设施管护工作。</w:t>
            </w:r>
          </w:p>
          <w:p>
            <w:pPr>
              <w:pStyle w:val="null3"/>
              <w:ind w:firstLine="72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绿化维护（实质性要求）</w:t>
            </w:r>
          </w:p>
          <w:p>
            <w:pPr>
              <w:pStyle w:val="null3"/>
              <w:ind w:firstLine="723"/>
              <w:jc w:val="both"/>
            </w:pPr>
            <w:r>
              <w:rPr>
                <w:rFonts w:ascii="仿宋_GB2312" w:hAnsi="仿宋_GB2312" w:cs="仿宋_GB2312" w:eastAsia="仿宋_GB2312"/>
                <w:sz w:val="24"/>
                <w:color w:val="000000"/>
              </w:rPr>
              <w:t>①浇水：根据气候变化和植物需求适时浇水，保持土壤湿润。浇水频率和量应根据植物种类、生长阶段、土壤条件以及季节变化进行调整。</w:t>
            </w:r>
          </w:p>
          <w:p>
            <w:pPr>
              <w:pStyle w:val="null3"/>
              <w:ind w:firstLine="723"/>
              <w:jc w:val="both"/>
            </w:pPr>
            <w:r>
              <w:rPr>
                <w:rFonts w:ascii="仿宋_GB2312" w:hAnsi="仿宋_GB2312" w:cs="仿宋_GB2312" w:eastAsia="仿宋_GB2312"/>
                <w:sz w:val="24"/>
                <w:color w:val="000000"/>
              </w:rPr>
              <w:t>②施肥：根据土壤肥力和植物生长情况适时施肥，补充养分。施肥种类和量应根据植物种类和生长需求进行选择。</w:t>
            </w:r>
          </w:p>
          <w:p>
            <w:pPr>
              <w:pStyle w:val="null3"/>
              <w:ind w:firstLine="723"/>
              <w:jc w:val="both"/>
            </w:pPr>
            <w:r>
              <w:rPr>
                <w:rFonts w:ascii="仿宋_GB2312" w:hAnsi="仿宋_GB2312" w:cs="仿宋_GB2312" w:eastAsia="仿宋_GB2312"/>
                <w:sz w:val="24"/>
                <w:color w:val="000000"/>
              </w:rPr>
              <w:t>③修剪：及时对乔灌木的修枝、草皮的修剪、整形、去除枯死枝、病虫害枝、过密枝等，灌溉、施肥、浇水、治虫、除尘、行道树刷白（含中央隔离带），保持植物良好的生长状态和形态美观。修剪应遵循植物生长习性和自然分枝规律，避免过度修剪影响植物健康。及时清理遮挡标志、摄像头的树木。</w:t>
            </w:r>
          </w:p>
          <w:p>
            <w:pPr>
              <w:pStyle w:val="null3"/>
              <w:ind w:firstLine="723"/>
              <w:jc w:val="both"/>
            </w:pPr>
            <w:r>
              <w:rPr>
                <w:rFonts w:ascii="仿宋_GB2312" w:hAnsi="仿宋_GB2312" w:cs="仿宋_GB2312" w:eastAsia="仿宋_GB2312"/>
                <w:sz w:val="24"/>
                <w:color w:val="000000"/>
              </w:rPr>
              <w:t>④除草：定期清理杂草，防止杂草与绿化植物争夺养分和光照，保持绿化区域整洁美观。除草应彻底，避免留下草根导致杂草再生。</w:t>
            </w:r>
          </w:p>
          <w:p>
            <w:pPr>
              <w:pStyle w:val="null3"/>
              <w:ind w:firstLine="723"/>
              <w:jc w:val="both"/>
            </w:pPr>
            <w:r>
              <w:rPr>
                <w:rFonts w:ascii="仿宋_GB2312" w:hAnsi="仿宋_GB2312" w:cs="仿宋_GB2312" w:eastAsia="仿宋_GB2312"/>
                <w:sz w:val="24"/>
                <w:color w:val="000000"/>
              </w:rPr>
              <w:t>⑤松土：定期进行松土处理，提高土壤的透水性和透气性，有利于植物根系的生长和发育。</w:t>
            </w:r>
          </w:p>
          <w:p>
            <w:pPr>
              <w:pStyle w:val="null3"/>
              <w:ind w:firstLine="723"/>
              <w:jc w:val="both"/>
            </w:pPr>
            <w:r>
              <w:rPr>
                <w:rFonts w:ascii="仿宋_GB2312" w:hAnsi="仿宋_GB2312" w:cs="仿宋_GB2312" w:eastAsia="仿宋_GB2312"/>
                <w:sz w:val="24"/>
                <w:color w:val="000000"/>
              </w:rPr>
              <w:t>⑥病虫害防治：加强植物养护管理，提高植物抗病虫害能力。定期检查植物生长情况，及时发现并处理病虫害问题。</w:t>
            </w:r>
          </w:p>
          <w:p>
            <w:pPr>
              <w:pStyle w:val="null3"/>
              <w:ind w:firstLine="723"/>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及时清理死树、枯树、危树及突发事件倒塌的行道树</w:t>
            </w:r>
            <w:r>
              <w:rPr>
                <w:rFonts w:ascii="仿宋_GB2312" w:hAnsi="仿宋_GB2312" w:cs="仿宋_GB2312" w:eastAsia="仿宋_GB2312"/>
                <w:sz w:val="24"/>
                <w:color w:val="000000"/>
              </w:rPr>
              <w:t>。</w:t>
            </w:r>
          </w:p>
          <w:p>
            <w:pPr>
              <w:pStyle w:val="null3"/>
              <w:ind w:firstLine="723"/>
              <w:jc w:val="both"/>
            </w:pPr>
            <w:r>
              <w:rPr>
                <w:rFonts w:ascii="仿宋_GB2312" w:hAnsi="仿宋_GB2312" w:cs="仿宋_GB2312" w:eastAsia="仿宋_GB2312"/>
                <w:sz w:val="24"/>
                <w:color w:val="000000"/>
              </w:rPr>
              <w:t>⑧</w:t>
            </w:r>
            <w:r>
              <w:rPr>
                <w:rFonts w:ascii="仿宋_GB2312" w:hAnsi="仿宋_GB2312" w:cs="仿宋_GB2312" w:eastAsia="仿宋_GB2312"/>
                <w:sz w:val="24"/>
                <w:color w:val="000000"/>
              </w:rPr>
              <w:t>确保绿化存活率不低于交接前（自然灾害或不可抗力因素造成的除外）。</w:t>
            </w:r>
          </w:p>
          <w:p>
            <w:pPr>
              <w:pStyle w:val="null3"/>
              <w:ind w:firstLine="72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桥梁巡查</w:t>
            </w:r>
            <w:r>
              <w:rPr>
                <w:rFonts w:ascii="仿宋_GB2312" w:hAnsi="仿宋_GB2312" w:cs="仿宋_GB2312" w:eastAsia="仿宋_GB2312"/>
                <w:sz w:val="24"/>
                <w:color w:val="000000"/>
              </w:rPr>
              <w:t>（实质性要求）</w:t>
            </w:r>
          </w:p>
          <w:p>
            <w:pPr>
              <w:pStyle w:val="null3"/>
              <w:ind w:firstLine="723"/>
              <w:jc w:val="both"/>
            </w:pPr>
            <w:r>
              <w:rPr>
                <w:rFonts w:ascii="仿宋_GB2312" w:hAnsi="仿宋_GB2312" w:cs="仿宋_GB2312" w:eastAsia="仿宋_GB2312"/>
                <w:sz w:val="24"/>
                <w:color w:val="000000"/>
              </w:rPr>
              <w:t>养护检查等级为</w:t>
            </w:r>
            <w:r>
              <w:rPr>
                <w:rFonts w:ascii="仿宋_GB2312" w:hAnsi="仿宋_GB2312" w:cs="仿宋_GB2312" w:eastAsia="仿宋_GB2312"/>
                <w:sz w:val="24"/>
                <w:color w:val="000000"/>
              </w:rPr>
              <w:t>Ⅰ</w:t>
            </w:r>
            <w:r>
              <w:rPr>
                <w:rFonts w:ascii="仿宋_GB2312" w:hAnsi="仿宋_GB2312" w:cs="仿宋_GB2312" w:eastAsia="仿宋_GB2312"/>
                <w:sz w:val="24"/>
                <w:color w:val="000000"/>
              </w:rPr>
              <w:t>、</w:t>
            </w:r>
            <w:r>
              <w:rPr>
                <w:rFonts w:ascii="仿宋_GB2312" w:hAnsi="仿宋_GB2312" w:cs="仿宋_GB2312" w:eastAsia="仿宋_GB2312"/>
                <w:sz w:val="24"/>
                <w:color w:val="000000"/>
              </w:rPr>
              <w:t>Ⅱ</w:t>
            </w:r>
            <w:r>
              <w:rPr>
                <w:rFonts w:ascii="仿宋_GB2312" w:hAnsi="仿宋_GB2312" w:cs="仿宋_GB2312" w:eastAsia="仿宋_GB2312"/>
                <w:sz w:val="24"/>
                <w:color w:val="000000"/>
              </w:rPr>
              <w:t>级的桥梁，日常巡查每天不应少于1次;对有特殊照明需求(功能性及装饰性照明、航空航道指示灯等)的桥梁，应适当开展夜</w:t>
            </w:r>
            <w:r>
              <w:rPr>
                <w:rFonts w:ascii="仿宋_GB2312" w:hAnsi="仿宋_GB2312" w:cs="仿宋_GB2312" w:eastAsia="仿宋_GB2312"/>
                <w:sz w:val="24"/>
                <w:color w:val="000000"/>
              </w:rPr>
              <w:t>间</w:t>
            </w:r>
            <w:r>
              <w:rPr>
                <w:rFonts w:ascii="仿宋_GB2312" w:hAnsi="仿宋_GB2312" w:cs="仿宋_GB2312" w:eastAsia="仿宋_GB2312"/>
                <w:sz w:val="24"/>
                <w:color w:val="000000"/>
              </w:rPr>
              <w:t>巡查。养护检查等级为</w:t>
            </w:r>
            <w:r>
              <w:rPr>
                <w:rFonts w:ascii="仿宋_GB2312" w:hAnsi="仿宋_GB2312" w:cs="仿宋_GB2312" w:eastAsia="仿宋_GB2312"/>
                <w:sz w:val="24"/>
                <w:color w:val="000000"/>
              </w:rPr>
              <w:t>Ⅲ</w:t>
            </w:r>
            <w:r>
              <w:rPr>
                <w:rFonts w:ascii="仿宋_GB2312" w:hAnsi="仿宋_GB2312" w:cs="仿宋_GB2312" w:eastAsia="仿宋_GB2312"/>
                <w:sz w:val="24"/>
                <w:color w:val="000000"/>
              </w:rPr>
              <w:t>级的桥梁，日常巡查每周不应少于1次。遇</w:t>
            </w:r>
            <w:r>
              <w:rPr>
                <w:rFonts w:ascii="仿宋_GB2312" w:hAnsi="仿宋_GB2312" w:cs="仿宋_GB2312" w:eastAsia="仿宋_GB2312"/>
                <w:sz w:val="24"/>
                <w:color w:val="000000"/>
              </w:rPr>
              <w:t>汛期、</w:t>
            </w:r>
            <w:r>
              <w:rPr>
                <w:rFonts w:ascii="仿宋_GB2312" w:hAnsi="仿宋_GB2312" w:cs="仿宋_GB2312" w:eastAsia="仿宋_GB2312"/>
                <w:sz w:val="24"/>
                <w:color w:val="000000"/>
              </w:rPr>
              <w:t>地震、地质灾害或极端气象时应增加检查频率。</w:t>
            </w:r>
          </w:p>
          <w:p>
            <w:pPr>
              <w:pStyle w:val="null3"/>
              <w:ind w:firstLine="723"/>
              <w:jc w:val="both"/>
            </w:pPr>
            <w:r>
              <w:rPr>
                <w:rFonts w:ascii="仿宋_GB2312" w:hAnsi="仿宋_GB2312" w:cs="仿宋_GB2312" w:eastAsia="仿宋_GB2312"/>
                <w:sz w:val="24"/>
                <w:color w:val="000000"/>
              </w:rPr>
              <w:t>检查巡查应包括下列内容:</w:t>
            </w:r>
          </w:p>
          <w:p>
            <w:pPr>
              <w:pStyle w:val="null3"/>
              <w:ind w:firstLine="723"/>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桥路连接处是否异常</w:t>
            </w:r>
            <w:r>
              <w:rPr>
                <w:rFonts w:ascii="仿宋_GB2312" w:hAnsi="仿宋_GB2312" w:cs="仿宋_GB2312" w:eastAsia="仿宋_GB2312"/>
                <w:sz w:val="24"/>
                <w:color w:val="000000"/>
              </w:rPr>
              <w:t>。</w:t>
            </w:r>
          </w:p>
          <w:p>
            <w:pPr>
              <w:pStyle w:val="null3"/>
              <w:ind w:firstLine="723"/>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桥面铺装、伸缩缝是否有明显破损;伸缩缝位置的桥面系是否存在异常。</w:t>
            </w:r>
          </w:p>
          <w:p>
            <w:pPr>
              <w:pStyle w:val="null3"/>
              <w:ind w:firstLine="723"/>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栏杆</w:t>
            </w:r>
            <w:r>
              <w:rPr>
                <w:rFonts w:ascii="仿宋_GB2312" w:hAnsi="仿宋_GB2312" w:cs="仿宋_GB2312" w:eastAsia="仿宋_GB2312"/>
                <w:sz w:val="24"/>
                <w:color w:val="000000"/>
              </w:rPr>
              <w:t>与</w:t>
            </w:r>
            <w:r>
              <w:rPr>
                <w:rFonts w:ascii="仿宋_GB2312" w:hAnsi="仿宋_GB2312" w:cs="仿宋_GB2312" w:eastAsia="仿宋_GB2312"/>
                <w:sz w:val="24"/>
                <w:color w:val="000000"/>
              </w:rPr>
              <w:t>护栏等有无明显缺损。</w:t>
            </w:r>
          </w:p>
          <w:p>
            <w:pPr>
              <w:pStyle w:val="null3"/>
              <w:ind w:firstLine="723"/>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标志标牌是否完好。</w:t>
            </w:r>
          </w:p>
          <w:p>
            <w:pPr>
              <w:pStyle w:val="null3"/>
              <w:ind w:firstLine="723"/>
              <w:jc w:val="both"/>
            </w:pPr>
            <w:r>
              <w:rPr>
                <w:rFonts w:ascii="仿宋_GB2312" w:hAnsi="仿宋_GB2312" w:cs="仿宋_GB2312" w:eastAsia="仿宋_GB2312"/>
                <w:sz w:val="24"/>
                <w:color w:val="000000"/>
              </w:rPr>
              <w:t>⑤</w:t>
            </w:r>
            <w:r>
              <w:rPr>
                <w:rFonts w:ascii="仿宋_GB2312" w:hAnsi="仿宋_GB2312" w:cs="仿宋_GB2312" w:eastAsia="仿宋_GB2312"/>
                <w:sz w:val="24"/>
                <w:color w:val="000000"/>
              </w:rPr>
              <w:t>桥梁线性是否存在明显异常。</w:t>
            </w:r>
          </w:p>
          <w:p>
            <w:pPr>
              <w:pStyle w:val="null3"/>
              <w:ind w:firstLine="723"/>
              <w:jc w:val="both"/>
            </w:pPr>
            <w:r>
              <w:rPr>
                <w:rFonts w:ascii="仿宋_GB2312" w:hAnsi="仿宋_GB2312" w:cs="仿宋_GB2312" w:eastAsia="仿宋_GB2312"/>
                <w:sz w:val="24"/>
                <w:color w:val="000000"/>
              </w:rPr>
              <w:t>⑥</w:t>
            </w:r>
            <w:r>
              <w:rPr>
                <w:rFonts w:ascii="仿宋_GB2312" w:hAnsi="仿宋_GB2312" w:cs="仿宋_GB2312" w:eastAsia="仿宋_GB2312"/>
                <w:sz w:val="24"/>
                <w:color w:val="000000"/>
              </w:rPr>
              <w:t>桥梁是否存在异常的振动、摆动和声响。</w:t>
            </w:r>
          </w:p>
          <w:p>
            <w:pPr>
              <w:pStyle w:val="null3"/>
              <w:ind w:firstLine="723"/>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桥梁安全保护区是否存在侵害桥梁安全的情况。</w:t>
            </w:r>
          </w:p>
          <w:p>
            <w:pPr>
              <w:pStyle w:val="null3"/>
              <w:ind w:firstLine="72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机械配置</w:t>
            </w:r>
          </w:p>
          <w:p>
            <w:pPr>
              <w:pStyle w:val="null3"/>
              <w:ind w:firstLine="723"/>
              <w:jc w:val="both"/>
            </w:pPr>
            <w:r>
              <w:rPr>
                <w:rFonts w:ascii="仿宋_GB2312" w:hAnsi="仿宋_GB2312" w:cs="仿宋_GB2312" w:eastAsia="仿宋_GB2312"/>
                <w:sz w:val="24"/>
                <w:color w:val="000000"/>
              </w:rPr>
              <w:t>因此项目以机械化养护为主，故供应商需自配洒水车、路面清扫车、登高车、小型轮式挖掘机等与养护作业相关机械。</w:t>
            </w:r>
          </w:p>
          <w:p>
            <w:pPr>
              <w:pStyle w:val="null3"/>
              <w:ind w:firstLine="72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安全责任及其他工作要求（实质性要求）</w:t>
            </w:r>
          </w:p>
          <w:p>
            <w:pPr>
              <w:pStyle w:val="null3"/>
              <w:ind w:firstLine="723"/>
              <w:jc w:val="both"/>
            </w:pPr>
            <w:r>
              <w:rPr>
                <w:rFonts w:ascii="仿宋_GB2312" w:hAnsi="仿宋_GB2312" w:cs="仿宋_GB2312" w:eastAsia="仿宋_GB2312"/>
                <w:sz w:val="24"/>
                <w:color w:val="000000"/>
              </w:rPr>
              <w:t>（1）中标人</w:t>
            </w:r>
            <w:r>
              <w:rPr>
                <w:rFonts w:ascii="仿宋_GB2312" w:hAnsi="仿宋_GB2312" w:cs="仿宋_GB2312" w:eastAsia="仿宋_GB2312"/>
                <w:sz w:val="24"/>
                <w:color w:val="000000"/>
              </w:rPr>
              <w:t>在服务实施过程中的安全责任由</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负全责，采购人不承担任何安全责任，也不承担如发生安全事故产生的任何责任。</w:t>
            </w:r>
          </w:p>
          <w:p>
            <w:pPr>
              <w:pStyle w:val="null3"/>
              <w:ind w:firstLine="723"/>
              <w:jc w:val="both"/>
            </w:pPr>
            <w:r>
              <w:rPr>
                <w:rFonts w:ascii="仿宋_GB2312" w:hAnsi="仿宋_GB2312" w:cs="仿宋_GB2312" w:eastAsia="仿宋_GB2312"/>
                <w:sz w:val="24"/>
                <w:color w:val="000000"/>
              </w:rPr>
              <w:t>（2）中标人</w:t>
            </w:r>
            <w:r>
              <w:rPr>
                <w:rFonts w:ascii="仿宋_GB2312" w:hAnsi="仿宋_GB2312" w:cs="仿宋_GB2312" w:eastAsia="仿宋_GB2312"/>
                <w:sz w:val="24"/>
                <w:color w:val="000000"/>
              </w:rPr>
              <w:t>在服务实施过程中如遇紧急情况（如橙色预警，黄色预警，中央、省、市重要检查等），需加大养护频率，并及时响应</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的相关工作要求。</w:t>
            </w:r>
          </w:p>
          <w:p>
            <w:pPr>
              <w:pStyle w:val="null3"/>
              <w:ind w:firstLine="723"/>
              <w:jc w:val="both"/>
            </w:pPr>
            <w:r>
              <w:rPr>
                <w:rFonts w:ascii="仿宋_GB2312" w:hAnsi="仿宋_GB2312" w:cs="仿宋_GB2312" w:eastAsia="仿宋_GB2312"/>
                <w:sz w:val="24"/>
                <w:color w:val="000000"/>
              </w:rPr>
              <w:t>（3）如遇《公路隧道养护技术规范》《公路桥涵养护规范》《公路养护技术标准》等文件更新，按新的规范标准文件调整养护要求。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支付具体要求及其他要求</w:t>
            </w:r>
          </w:p>
        </w:tc>
        <w:tc>
          <w:tcPr>
            <w:tcW w:type="dxa" w:w="5814"/>
          </w:tcPr>
          <w:p>
            <w:pPr>
              <w:pStyle w:val="null3"/>
              <w:ind w:firstLine="72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支付标准：</w:t>
            </w:r>
            <w:r>
              <w:rPr>
                <w:rFonts w:ascii="仿宋_GB2312" w:hAnsi="仿宋_GB2312" w:cs="仿宋_GB2312" w:eastAsia="仿宋_GB2312"/>
                <w:sz w:val="24"/>
                <w:color w:val="000000"/>
              </w:rPr>
              <w:t>根据采购人对</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的考核进行支付</w:t>
            </w:r>
            <w:r>
              <w:rPr>
                <w:rFonts w:ascii="仿宋_GB2312" w:hAnsi="仿宋_GB2312" w:cs="仿宋_GB2312" w:eastAsia="仿宋_GB2312"/>
                <w:sz w:val="24"/>
                <w:color w:val="000000"/>
              </w:rPr>
              <w:t>。考核时间为</w:t>
            </w:r>
            <w:r>
              <w:rPr>
                <w:rFonts w:ascii="仿宋_GB2312" w:hAnsi="仿宋_GB2312" w:cs="仿宋_GB2312" w:eastAsia="仿宋_GB2312"/>
                <w:sz w:val="24"/>
                <w:color w:val="000000"/>
              </w:rPr>
              <w:t>每月考核一次，以每季</w:t>
            </w:r>
            <w:r>
              <w:rPr>
                <w:rFonts w:ascii="仿宋_GB2312" w:hAnsi="仿宋_GB2312" w:cs="仿宋_GB2312" w:eastAsia="仿宋_GB2312"/>
                <w:sz w:val="24"/>
                <w:color w:val="000000"/>
              </w:rPr>
              <w:t>度3次考核的</w:t>
            </w:r>
            <w:r>
              <w:rPr>
                <w:rFonts w:ascii="仿宋_GB2312" w:hAnsi="仿宋_GB2312" w:cs="仿宋_GB2312" w:eastAsia="仿宋_GB2312"/>
                <w:sz w:val="24"/>
                <w:color w:val="000000"/>
              </w:rPr>
              <w:t>平均分计算</w:t>
            </w:r>
            <w:r>
              <w:rPr>
                <w:rFonts w:ascii="仿宋_GB2312" w:hAnsi="仿宋_GB2312" w:cs="仿宋_GB2312" w:eastAsia="仿宋_GB2312"/>
                <w:sz w:val="24"/>
                <w:color w:val="000000"/>
              </w:rPr>
              <w:t>得分；季度支付标准为中标合同总金额与合同服务期限的季度平均值；考核</w:t>
            </w:r>
            <w:r>
              <w:rPr>
                <w:rFonts w:ascii="仿宋_GB2312" w:hAnsi="仿宋_GB2312" w:cs="仿宋_GB2312" w:eastAsia="仿宋_GB2312"/>
                <w:sz w:val="24"/>
                <w:color w:val="000000"/>
              </w:rPr>
              <w:t>总分100分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考核</w:t>
            </w:r>
            <w:r>
              <w:rPr>
                <w:rFonts w:ascii="仿宋_GB2312" w:hAnsi="仿宋_GB2312" w:cs="仿宋_GB2312" w:eastAsia="仿宋_GB2312"/>
                <w:sz w:val="24"/>
                <w:color w:val="000000"/>
              </w:rPr>
              <w:t>得分</w:t>
            </w:r>
            <w:r>
              <w:rPr>
                <w:rFonts w:ascii="仿宋_GB2312" w:hAnsi="仿宋_GB2312" w:cs="仿宋_GB2312" w:eastAsia="仿宋_GB2312"/>
                <w:sz w:val="24"/>
                <w:color w:val="000000"/>
              </w:rPr>
              <w:t>90（含）～100分为优秀，支付当季应支付金额的100%；考核</w:t>
            </w:r>
            <w:r>
              <w:rPr>
                <w:rFonts w:ascii="仿宋_GB2312" w:hAnsi="仿宋_GB2312" w:cs="仿宋_GB2312" w:eastAsia="仿宋_GB2312"/>
                <w:sz w:val="24"/>
                <w:color w:val="000000"/>
              </w:rPr>
              <w:t>得分</w:t>
            </w:r>
            <w:r>
              <w:rPr>
                <w:rFonts w:ascii="仿宋_GB2312" w:hAnsi="仿宋_GB2312" w:cs="仿宋_GB2312" w:eastAsia="仿宋_GB2312"/>
                <w:sz w:val="24"/>
                <w:color w:val="000000"/>
              </w:rPr>
              <w:t>80（含）～</w:t>
            </w:r>
            <w:r>
              <w:rPr>
                <w:rFonts w:ascii="仿宋_GB2312" w:hAnsi="仿宋_GB2312" w:cs="仿宋_GB2312" w:eastAsia="仿宋_GB2312"/>
                <w:sz w:val="24"/>
                <w:color w:val="000000"/>
              </w:rPr>
              <w:t>90</w:t>
            </w:r>
            <w:r>
              <w:rPr>
                <w:rFonts w:ascii="仿宋_GB2312" w:hAnsi="仿宋_GB2312" w:cs="仿宋_GB2312" w:eastAsia="仿宋_GB2312"/>
                <w:sz w:val="24"/>
                <w:color w:val="000000"/>
              </w:rPr>
              <w:t>分为良好，支付当季应支付金额的90%；考核</w:t>
            </w:r>
            <w:r>
              <w:rPr>
                <w:rFonts w:ascii="仿宋_GB2312" w:hAnsi="仿宋_GB2312" w:cs="仿宋_GB2312" w:eastAsia="仿宋_GB2312"/>
                <w:sz w:val="24"/>
                <w:color w:val="000000"/>
              </w:rPr>
              <w:t>得分</w:t>
            </w:r>
            <w:r>
              <w:rPr>
                <w:rFonts w:ascii="仿宋_GB2312" w:hAnsi="仿宋_GB2312" w:cs="仿宋_GB2312" w:eastAsia="仿宋_GB2312"/>
                <w:sz w:val="24"/>
                <w:color w:val="000000"/>
              </w:rPr>
              <w:t>60（含）～</w:t>
            </w:r>
            <w:r>
              <w:rPr>
                <w:rFonts w:ascii="仿宋_GB2312" w:hAnsi="仿宋_GB2312" w:cs="仿宋_GB2312" w:eastAsia="仿宋_GB2312"/>
                <w:sz w:val="24"/>
                <w:color w:val="000000"/>
              </w:rPr>
              <w:t>80</w:t>
            </w:r>
            <w:r>
              <w:rPr>
                <w:rFonts w:ascii="仿宋_GB2312" w:hAnsi="仿宋_GB2312" w:cs="仿宋_GB2312" w:eastAsia="仿宋_GB2312"/>
                <w:sz w:val="24"/>
                <w:color w:val="000000"/>
              </w:rPr>
              <w:t>分为合格，支付当季应支付金额的70%；考核</w:t>
            </w:r>
            <w:r>
              <w:rPr>
                <w:rFonts w:ascii="仿宋_GB2312" w:hAnsi="仿宋_GB2312" w:cs="仿宋_GB2312" w:eastAsia="仿宋_GB2312"/>
                <w:sz w:val="24"/>
                <w:color w:val="000000"/>
              </w:rPr>
              <w:t>得分</w:t>
            </w:r>
            <w:r>
              <w:rPr>
                <w:rFonts w:ascii="仿宋_GB2312" w:hAnsi="仿宋_GB2312" w:cs="仿宋_GB2312" w:eastAsia="仿宋_GB2312"/>
                <w:sz w:val="24"/>
                <w:color w:val="000000"/>
              </w:rPr>
              <w:t>60（</w:t>
            </w:r>
            <w:r>
              <w:rPr>
                <w:rFonts w:ascii="仿宋_GB2312" w:hAnsi="仿宋_GB2312" w:cs="仿宋_GB2312" w:eastAsia="仿宋_GB2312"/>
                <w:sz w:val="24"/>
                <w:color w:val="000000"/>
              </w:rPr>
              <w:t>不</w:t>
            </w:r>
            <w:r>
              <w:rPr>
                <w:rFonts w:ascii="仿宋_GB2312" w:hAnsi="仿宋_GB2312" w:cs="仿宋_GB2312" w:eastAsia="仿宋_GB2312"/>
                <w:sz w:val="24"/>
                <w:color w:val="000000"/>
              </w:rPr>
              <w:t>含）分以下为不合格，不支付当季服务费用。</w:t>
            </w:r>
          </w:p>
          <w:p>
            <w:pPr>
              <w:pStyle w:val="null3"/>
              <w:ind w:firstLine="72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付款方式：</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每完成一个季度</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养护</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经</w:t>
            </w:r>
            <w:r>
              <w:rPr>
                <w:rFonts w:ascii="仿宋_GB2312" w:hAnsi="仿宋_GB2312" w:cs="仿宋_GB2312" w:eastAsia="仿宋_GB2312"/>
                <w:sz w:val="24"/>
                <w:color w:val="000000"/>
              </w:rPr>
              <w:t>采购人按</w:t>
            </w:r>
            <w:r>
              <w:rPr>
                <w:rFonts w:ascii="仿宋_GB2312" w:hAnsi="仿宋_GB2312" w:cs="仿宋_GB2312" w:eastAsia="仿宋_GB2312"/>
                <w:sz w:val="24"/>
                <w:color w:val="000000"/>
              </w:rPr>
              <w:t>评分</w:t>
            </w:r>
            <w:r>
              <w:rPr>
                <w:rFonts w:ascii="仿宋_GB2312" w:hAnsi="仿宋_GB2312" w:cs="仿宋_GB2312" w:eastAsia="仿宋_GB2312"/>
                <w:sz w:val="24"/>
                <w:color w:val="000000"/>
              </w:rPr>
              <w:t>标准考核后</w:t>
            </w:r>
            <w:r>
              <w:rPr>
                <w:rFonts w:ascii="仿宋_GB2312" w:hAnsi="仿宋_GB2312" w:cs="仿宋_GB2312" w:eastAsia="仿宋_GB2312"/>
                <w:sz w:val="24"/>
                <w:color w:val="000000"/>
              </w:rPr>
              <w:t>30日内</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根据考核得分情况</w:t>
            </w:r>
            <w:r>
              <w:rPr>
                <w:rFonts w:ascii="仿宋_GB2312" w:hAnsi="仿宋_GB2312" w:cs="仿宋_GB2312" w:eastAsia="仿宋_GB2312"/>
                <w:sz w:val="24"/>
                <w:color w:val="000000"/>
              </w:rPr>
              <w:t>支付服务费用。</w:t>
            </w:r>
          </w:p>
          <w:p>
            <w:pPr>
              <w:pStyle w:val="null3"/>
              <w:ind w:firstLine="72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其他要求：</w:t>
            </w:r>
            <w:r>
              <w:rPr>
                <w:rFonts w:ascii="仿宋_GB2312" w:hAnsi="仿宋_GB2312" w:cs="仿宋_GB2312" w:eastAsia="仿宋_GB2312"/>
                <w:sz w:val="24"/>
                <w:color w:val="000000"/>
              </w:rPr>
              <w:t>（1）</w:t>
            </w:r>
            <w:r>
              <w:rPr>
                <w:rFonts w:ascii="仿宋_GB2312" w:hAnsi="仿宋_GB2312" w:cs="仿宋_GB2312" w:eastAsia="仿宋_GB2312"/>
                <w:sz w:val="24"/>
                <w:color w:val="000000"/>
              </w:rPr>
              <w:t>如因政策性调整</w:t>
            </w:r>
            <w:r>
              <w:rPr>
                <w:rFonts w:ascii="仿宋_GB2312" w:hAnsi="仿宋_GB2312" w:cs="仿宋_GB2312" w:eastAsia="仿宋_GB2312"/>
                <w:sz w:val="24"/>
                <w:color w:val="000000"/>
              </w:rPr>
              <w:t>致使</w:t>
            </w:r>
            <w:r>
              <w:rPr>
                <w:rFonts w:ascii="仿宋_GB2312" w:hAnsi="仿宋_GB2312" w:cs="仿宋_GB2312" w:eastAsia="仿宋_GB2312"/>
                <w:sz w:val="24"/>
                <w:color w:val="000000"/>
              </w:rPr>
              <w:t>管养里程</w:t>
            </w:r>
            <w:r>
              <w:rPr>
                <w:rFonts w:ascii="仿宋_GB2312" w:hAnsi="仿宋_GB2312" w:cs="仿宋_GB2312" w:eastAsia="仿宋_GB2312"/>
                <w:sz w:val="24"/>
                <w:color w:val="000000"/>
              </w:rPr>
              <w:t>增减变化</w:t>
            </w:r>
            <w:r>
              <w:rPr>
                <w:rFonts w:ascii="仿宋_GB2312" w:hAnsi="仿宋_GB2312" w:cs="仿宋_GB2312" w:eastAsia="仿宋_GB2312"/>
                <w:sz w:val="24"/>
                <w:color w:val="000000"/>
              </w:rPr>
              <w:t>，费用按实际里程与采购里程比例计算</w:t>
            </w:r>
            <w:r>
              <w:rPr>
                <w:rFonts w:ascii="仿宋_GB2312" w:hAnsi="仿宋_GB2312" w:cs="仿宋_GB2312" w:eastAsia="仿宋_GB2312"/>
                <w:sz w:val="24"/>
                <w:color w:val="000000"/>
              </w:rPr>
              <w:t>支付</w:t>
            </w:r>
            <w:r>
              <w:rPr>
                <w:rFonts w:ascii="仿宋_GB2312" w:hAnsi="仿宋_GB2312" w:cs="仿宋_GB2312" w:eastAsia="仿宋_GB2312"/>
                <w:sz w:val="24"/>
                <w:color w:val="000000"/>
              </w:rPr>
              <w:t>。</w:t>
            </w:r>
            <w:r>
              <w:rPr>
                <w:rFonts w:ascii="仿宋_GB2312" w:hAnsi="仿宋_GB2312" w:cs="仿宋_GB2312" w:eastAsia="仿宋_GB2312"/>
                <w:sz w:val="24"/>
                <w:color w:val="000000"/>
              </w:rPr>
              <w:t>（2）采购人根据养护路段实际状况、相关政策法规、技术规范调整养护考核评分标准，供应商应予接受。</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泸州市公路局泸州分段社会化保洁养护考核评分标准</w:t>
            </w:r>
          </w:p>
        </w:tc>
        <w:tc>
          <w:tcPr>
            <w:tcW w:type="dxa" w:w="5814"/>
          </w:tcPr>
          <w:tbl>
            <w:tblPr>
              <w:tblInd w:type="dxa" w:w="450"/>
              <w:tblBorders>
                <w:top w:val="none" w:color="000000" w:sz="4"/>
                <w:left w:val="none" w:color="000000" w:sz="4"/>
                <w:bottom w:val="none" w:color="000000" w:sz="4"/>
                <w:right w:val="none" w:color="000000" w:sz="4"/>
                <w:insideH w:val="none"/>
                <w:insideV w:val="none"/>
              </w:tblBorders>
            </w:tblPr>
            <w:tblGrid>
              <w:gridCol w:w="238"/>
              <w:gridCol w:w="1809"/>
              <w:gridCol w:w="1961"/>
              <w:gridCol w:w="708"/>
              <w:gridCol w:w="460"/>
              <w:gridCol w:w="250"/>
            </w:tblGrid>
            <w:tr>
              <w:tc>
                <w:tcPr>
                  <w:tcW w:type="dxa" w:w="5426"/>
                  <w:gridSpan w:val="6"/>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6"/>
                      <w:b/>
                    </w:rPr>
                    <w:t>泸州市公路局泸州分段</w:t>
                  </w:r>
                  <w:r>
                    <w:rPr>
                      <w:rFonts w:ascii="仿宋_GB2312" w:hAnsi="仿宋_GB2312" w:cs="仿宋_GB2312" w:eastAsia="仿宋_GB2312"/>
                      <w:sz w:val="36"/>
                      <w:b/>
                    </w:rPr>
                    <w:t>社会化保洁养护考核评分标准</w:t>
                  </w:r>
                </w:p>
                <w:p>
                  <w:pPr>
                    <w:pStyle w:val="null3"/>
                    <w:jc w:val="center"/>
                  </w:pPr>
                  <w:r>
                    <w:rPr>
                      <w:rFonts w:ascii="仿宋_GB2312" w:hAnsi="仿宋_GB2312" w:cs="仿宋_GB2312" w:eastAsia="仿宋_GB2312"/>
                      <w:sz w:val="36"/>
                      <w:b/>
                    </w:rPr>
                    <w:t>(总分100）</w:t>
                  </w:r>
                </w:p>
                <w:p>
                  <w:pPr>
                    <w:pStyle w:val="null3"/>
                    <w:jc w:val="left"/>
                  </w:pPr>
                  <w:r>
                    <w:rPr>
                      <w:rFonts w:ascii="仿宋_GB2312" w:hAnsi="仿宋_GB2312" w:cs="仿宋_GB2312" w:eastAsia="仿宋_GB2312"/>
                      <w:sz w:val="20"/>
                    </w:rPr>
                    <w:t>考核</w:t>
                  </w:r>
                  <w:r>
                    <w:rPr>
                      <w:rFonts w:ascii="仿宋_GB2312" w:hAnsi="仿宋_GB2312" w:cs="仿宋_GB2312" w:eastAsia="仿宋_GB2312"/>
                      <w:sz w:val="20"/>
                    </w:rPr>
                    <w:t>项目</w:t>
                  </w:r>
                  <w:r>
                    <w:rPr>
                      <w:rFonts w:ascii="仿宋_GB2312" w:hAnsi="仿宋_GB2312" w:cs="仿宋_GB2312" w:eastAsia="仿宋_GB2312"/>
                      <w:sz w:val="20"/>
                    </w:rPr>
                    <w:t xml:space="preserve">：                                                 </w:t>
                  </w:r>
                  <w:r>
                    <w:rPr>
                      <w:rFonts w:ascii="仿宋_GB2312" w:hAnsi="仿宋_GB2312" w:cs="仿宋_GB2312" w:eastAsia="仿宋_GB2312"/>
                      <w:sz w:val="20"/>
                    </w:rPr>
                    <w:t xml:space="preserve">年     月                                                  </w:t>
                  </w:r>
                </w:p>
              </w:tc>
            </w:tr>
            <w:tr>
              <w:tc>
                <w:tcPr>
                  <w:tcW w:type="dxa" w:w="23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考核项</w:t>
                  </w:r>
                </w:p>
              </w:tc>
              <w:tc>
                <w:tcPr>
                  <w:tcW w:type="dxa" w:w="180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考核标准</w:t>
                  </w:r>
                </w:p>
              </w:tc>
              <w:tc>
                <w:tcPr>
                  <w:tcW w:type="dxa" w:w="19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评分细则</w:t>
                  </w:r>
                </w:p>
              </w:tc>
              <w:tc>
                <w:tcPr>
                  <w:tcW w:type="dxa" w:w="70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检查方法</w:t>
                  </w:r>
                </w:p>
              </w:tc>
              <w:tc>
                <w:tcPr>
                  <w:tcW w:type="dxa" w:w="4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分值</w:t>
                  </w:r>
                </w:p>
                <w:p>
                  <w:pPr>
                    <w:pStyle w:val="null3"/>
                    <w:jc w:val="center"/>
                  </w:pPr>
                  <w:r>
                    <w:rPr>
                      <w:rFonts w:ascii="仿宋_GB2312" w:hAnsi="仿宋_GB2312" w:cs="仿宋_GB2312" w:eastAsia="仿宋_GB2312"/>
                      <w:sz w:val="20"/>
                    </w:rPr>
                    <w:t>（100）</w:t>
                  </w:r>
                </w:p>
              </w:tc>
              <w:tc>
                <w:tcPr>
                  <w:tcW w:type="dxa" w:w="2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得分</w:t>
                  </w:r>
                </w:p>
              </w:tc>
            </w:tr>
            <w:tr>
              <w:tc>
                <w:tcPr>
                  <w:tcW w:type="dxa" w:w="2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1.内业检查</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定期进行养护巡查、考核，巡查主体、频率符合要求，处置及时，记录完整。</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每月一次检查考核，半月一次巡查，检查考核有通报，巡查工作建台账，记录完整，规范，考核和巡查对发现的问题要有明确的整改意见，对整改情况要有追踪落实。发现问题不落实、不闭合1处扣1分，扣完为止；资料虚假、无考核、无巡查、无检查资料扣</w:t>
                  </w:r>
                  <w:r>
                    <w:rPr>
                      <w:rFonts w:ascii="仿宋_GB2312" w:hAnsi="仿宋_GB2312" w:cs="仿宋_GB2312" w:eastAsia="仿宋_GB2312"/>
                      <w:sz w:val="20"/>
                    </w:rPr>
                    <w:t>5</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抽查内业资料</w:t>
                  </w:r>
                </w:p>
              </w:tc>
              <w:tc>
                <w:tcPr>
                  <w:tcW w:type="dxa" w:w="4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238"/>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路容路貌</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路面定期清扫</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路面定期清扫（作业频率不少于1次/</w:t>
                  </w:r>
                  <w:r>
                    <w:rPr>
                      <w:rFonts w:ascii="仿宋_GB2312" w:hAnsi="仿宋_GB2312" w:cs="仿宋_GB2312" w:eastAsia="仿宋_GB2312"/>
                      <w:sz w:val="20"/>
                    </w:rPr>
                    <w:t>天</w:t>
                  </w:r>
                  <w:r>
                    <w:rPr>
                      <w:rFonts w:ascii="仿宋_GB2312" w:hAnsi="仿宋_GB2312" w:cs="仿宋_GB2312" w:eastAsia="仿宋_GB2312"/>
                      <w:sz w:val="20"/>
                    </w:rPr>
                    <w:t>），保持整洁。发现路面未清扫扣</w:t>
                  </w:r>
                  <w:r>
                    <w:rPr>
                      <w:rFonts w:ascii="仿宋_GB2312" w:hAnsi="仿宋_GB2312" w:cs="仿宋_GB2312" w:eastAsia="仿宋_GB2312"/>
                      <w:sz w:val="20"/>
                    </w:rPr>
                    <w:t>3</w:t>
                  </w:r>
                  <w:r>
                    <w:rPr>
                      <w:rFonts w:ascii="仿宋_GB2312" w:hAnsi="仿宋_GB2312" w:cs="仿宋_GB2312" w:eastAsia="仿宋_GB2312"/>
                      <w:sz w:val="20"/>
                    </w:rPr>
                    <w:t>分。</w:t>
                  </w:r>
                </w:p>
              </w:tc>
              <w:tc>
                <w:tcPr>
                  <w:tcW w:type="dxa" w:w="708"/>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5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路肩、水沟无杂物、杂草</w:t>
                  </w:r>
                  <w:r>
                    <w:rPr>
                      <w:rFonts w:ascii="仿宋_GB2312" w:hAnsi="仿宋_GB2312" w:cs="仿宋_GB2312" w:eastAsia="仿宋_GB2312"/>
                      <w:sz w:val="20"/>
                    </w:rPr>
                    <w:t>、</w:t>
                  </w:r>
                  <w:r>
                    <w:rPr>
                      <w:rFonts w:ascii="仿宋_GB2312" w:hAnsi="仿宋_GB2312" w:cs="仿宋_GB2312" w:eastAsia="仿宋_GB2312"/>
                      <w:sz w:val="20"/>
                    </w:rPr>
                    <w:t>白色垃圾</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两侧硬路肩、边沟（路面中心线至两侧硬路肩外边缘线或至两侧边沟外</w:t>
                  </w:r>
                  <w:r>
                    <w:rPr>
                      <w:rFonts w:ascii="仿宋_GB2312" w:hAnsi="仿宋_GB2312" w:cs="仿宋_GB2312" w:eastAsia="仿宋_GB2312"/>
                      <w:sz w:val="20"/>
                    </w:rPr>
                    <w:t>侧</w:t>
                  </w:r>
                  <w:r>
                    <w:rPr>
                      <w:rFonts w:ascii="仿宋_GB2312" w:hAnsi="仿宋_GB2312" w:cs="仿宋_GB2312" w:eastAsia="仿宋_GB2312"/>
                      <w:sz w:val="20"/>
                    </w:rPr>
                    <w:t>沟墙外边缘 线）无杂物、杂草</w:t>
                  </w:r>
                  <w:r>
                    <w:rPr>
                      <w:rFonts w:ascii="仿宋_GB2312" w:hAnsi="仿宋_GB2312" w:cs="仿宋_GB2312" w:eastAsia="仿宋_GB2312"/>
                      <w:sz w:val="20"/>
                    </w:rPr>
                    <w:t>、</w:t>
                  </w:r>
                  <w:r>
                    <w:rPr>
                      <w:rFonts w:ascii="仿宋_GB2312" w:hAnsi="仿宋_GB2312" w:cs="仿宋_GB2312" w:eastAsia="仿宋_GB2312"/>
                      <w:sz w:val="20"/>
                    </w:rPr>
                    <w:t>白色垃圾。长度≧30m为1处，每处扣0.</w:t>
                  </w:r>
                  <w:r>
                    <w:rPr>
                      <w:rFonts w:ascii="仿宋_GB2312" w:hAnsi="仿宋_GB2312" w:cs="仿宋_GB2312" w:eastAsia="仿宋_GB2312"/>
                      <w:sz w:val="20"/>
                    </w:rPr>
                    <w:t>5</w:t>
                  </w:r>
                  <w:r>
                    <w:rPr>
                      <w:rFonts w:ascii="仿宋_GB2312" w:hAnsi="仿宋_GB2312" w:cs="仿宋_GB2312" w:eastAsia="仿宋_GB2312"/>
                      <w:sz w:val="20"/>
                    </w:rPr>
                    <w:t>分，本项最多扣</w:t>
                  </w:r>
                  <w:r>
                    <w:rPr>
                      <w:rFonts w:ascii="仿宋_GB2312" w:hAnsi="仿宋_GB2312" w:cs="仿宋_GB2312" w:eastAsia="仿宋_GB2312"/>
                      <w:sz w:val="20"/>
                    </w:rPr>
                    <w:t>3</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中央分隔带内无杂物、杂草、白色垃圾</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长度≧30m为1处，每处扣0.</w:t>
                  </w:r>
                  <w:r>
                    <w:rPr>
                      <w:rFonts w:ascii="仿宋_GB2312" w:hAnsi="仿宋_GB2312" w:cs="仿宋_GB2312" w:eastAsia="仿宋_GB2312"/>
                      <w:sz w:val="20"/>
                    </w:rPr>
                    <w:t>5</w:t>
                  </w:r>
                  <w:r>
                    <w:rPr>
                      <w:rFonts w:ascii="仿宋_GB2312" w:hAnsi="仿宋_GB2312" w:cs="仿宋_GB2312" w:eastAsia="仿宋_GB2312"/>
                      <w:sz w:val="20"/>
                    </w:rPr>
                    <w:t>分，本项最多扣</w:t>
                  </w:r>
                  <w:r>
                    <w:rPr>
                      <w:rFonts w:ascii="仿宋_GB2312" w:hAnsi="仿宋_GB2312" w:cs="仿宋_GB2312" w:eastAsia="仿宋_GB2312"/>
                      <w:sz w:val="20"/>
                    </w:rPr>
                    <w:t>3</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路面无油污或化工类沾污物</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长度≧30m为1处，每处扣0.</w:t>
                  </w:r>
                  <w:r>
                    <w:rPr>
                      <w:rFonts w:ascii="仿宋_GB2312" w:hAnsi="仿宋_GB2312" w:cs="仿宋_GB2312" w:eastAsia="仿宋_GB2312"/>
                      <w:sz w:val="20"/>
                    </w:rPr>
                    <w:t>5</w:t>
                  </w:r>
                  <w:r>
                    <w:rPr>
                      <w:rFonts w:ascii="仿宋_GB2312" w:hAnsi="仿宋_GB2312" w:cs="仿宋_GB2312" w:eastAsia="仿宋_GB2312"/>
                      <w:sz w:val="20"/>
                    </w:rPr>
                    <w:t>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路面无</w:t>
                  </w:r>
                  <w:r>
                    <w:rPr>
                      <w:rFonts w:ascii="仿宋_GB2312" w:hAnsi="仿宋_GB2312" w:cs="仿宋_GB2312" w:eastAsia="仿宋_GB2312"/>
                      <w:sz w:val="20"/>
                    </w:rPr>
                    <w:t>积</w:t>
                  </w:r>
                  <w:r>
                    <w:rPr>
                      <w:rFonts w:ascii="仿宋_GB2312" w:hAnsi="仿宋_GB2312" w:cs="仿宋_GB2312" w:eastAsia="仿宋_GB2312"/>
                      <w:sz w:val="20"/>
                    </w:rPr>
                    <w:t>水</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长度≧30m为1处，每处扣0.2分，本项最多扣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护栏</w:t>
                  </w:r>
                  <w:r>
                    <w:rPr>
                      <w:rFonts w:ascii="仿宋_GB2312" w:hAnsi="仿宋_GB2312" w:cs="仿宋_GB2312" w:eastAsia="仿宋_GB2312"/>
                      <w:sz w:val="20"/>
                    </w:rPr>
                    <w:t>、</w:t>
                  </w:r>
                  <w:r>
                    <w:rPr>
                      <w:rFonts w:ascii="仿宋_GB2312" w:hAnsi="仿宋_GB2312" w:cs="仿宋_GB2312" w:eastAsia="仿宋_GB2312"/>
                      <w:sz w:val="20"/>
                    </w:rPr>
                    <w:t>护</w:t>
                  </w:r>
                  <w:r>
                    <w:rPr>
                      <w:rFonts w:ascii="仿宋_GB2312" w:hAnsi="仿宋_GB2312" w:cs="仿宋_GB2312" w:eastAsia="仿宋_GB2312"/>
                      <w:sz w:val="20"/>
                    </w:rPr>
                    <w:t>墻、</w:t>
                  </w:r>
                  <w:r>
                    <w:rPr>
                      <w:rFonts w:ascii="仿宋_GB2312" w:hAnsi="仿宋_GB2312" w:cs="仿宋_GB2312" w:eastAsia="仿宋_GB2312"/>
                      <w:sz w:val="20"/>
                    </w:rPr>
                    <w:t>标志</w:t>
                  </w:r>
                  <w:r>
                    <w:rPr>
                      <w:rFonts w:ascii="仿宋_GB2312" w:hAnsi="仿宋_GB2312" w:cs="仿宋_GB2312" w:eastAsia="仿宋_GB2312"/>
                      <w:sz w:val="20"/>
                    </w:rPr>
                    <w:t>、</w:t>
                  </w:r>
                  <w:r>
                    <w:rPr>
                      <w:rFonts w:ascii="仿宋_GB2312" w:hAnsi="仿宋_GB2312" w:cs="仿宋_GB2312" w:eastAsia="仿宋_GB2312"/>
                      <w:sz w:val="20"/>
                    </w:rPr>
                    <w:t>标</w:t>
                  </w:r>
                  <w:r>
                    <w:rPr>
                      <w:rFonts w:ascii="仿宋_GB2312" w:hAnsi="仿宋_GB2312" w:cs="仿宋_GB2312" w:eastAsia="仿宋_GB2312"/>
                      <w:sz w:val="20"/>
                    </w:rPr>
                    <w:t>牌等</w:t>
                  </w:r>
                  <w:r>
                    <w:rPr>
                      <w:rFonts w:ascii="仿宋_GB2312" w:hAnsi="仿宋_GB2312" w:cs="仿宋_GB2312" w:eastAsia="仿宋_GB2312"/>
                      <w:sz w:val="20"/>
                    </w:rPr>
                    <w:t>设</w:t>
                  </w:r>
                  <w:r>
                    <w:rPr>
                      <w:rFonts w:ascii="仿宋_GB2312" w:hAnsi="仿宋_GB2312" w:cs="仿宋_GB2312" w:eastAsia="仿宋_GB2312"/>
                      <w:sz w:val="20"/>
                    </w:rPr>
                    <w:t>施清沽</w:t>
                  </w:r>
                  <w:r>
                    <w:rPr>
                      <w:rFonts w:ascii="仿宋_GB2312" w:hAnsi="仿宋_GB2312" w:cs="仿宋_GB2312" w:eastAsia="仿宋_GB2312"/>
                      <w:sz w:val="20"/>
                    </w:rPr>
                    <w:t>干</w:t>
                  </w:r>
                  <w:r>
                    <w:rPr>
                      <w:rFonts w:ascii="仿宋_GB2312" w:hAnsi="仿宋_GB2312" w:cs="仿宋_GB2312" w:eastAsia="仿宋_GB2312"/>
                      <w:sz w:val="20"/>
                    </w:rPr>
                    <w:t>浄，无</w:t>
                  </w:r>
                  <w:r>
                    <w:rPr>
                      <w:rFonts w:ascii="仿宋_GB2312" w:hAnsi="仿宋_GB2312" w:cs="仿宋_GB2312" w:eastAsia="仿宋_GB2312"/>
                      <w:sz w:val="20"/>
                    </w:rPr>
                    <w:t>污损</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长度≧30m为1处，每处扣0.2分，本项最多扣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3.路基</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边坡坍塌</w:t>
                  </w:r>
                  <w:r>
                    <w:rPr>
                      <w:rFonts w:ascii="仿宋_GB2312" w:hAnsi="仿宋_GB2312" w:cs="仿宋_GB2312" w:eastAsia="仿宋_GB2312"/>
                      <w:sz w:val="20"/>
                    </w:rPr>
                    <w:t>未及时清理、设置警示标志（标牌）、上报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jc w:val="left"/>
                  </w:pPr>
                  <w:r>
                    <w:rPr>
                      <w:rFonts w:ascii="仿宋_GB2312" w:hAnsi="仿宋_GB2312" w:cs="仿宋_GB2312" w:eastAsia="仿宋_GB2312"/>
                      <w:sz w:val="20"/>
                    </w:rPr>
                    <w:t>长度≧5m为1处，每处扣0.3分，本项最多扣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5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水毁冲</w:t>
                  </w:r>
                  <w:r>
                    <w:rPr>
                      <w:rFonts w:ascii="仿宋_GB2312" w:hAnsi="仿宋_GB2312" w:cs="仿宋_GB2312" w:eastAsia="仿宋_GB2312"/>
                      <w:sz w:val="20"/>
                    </w:rPr>
                    <w:t>毁未及时设置警示标志（标牌）、上报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jc w:val="left"/>
                  </w:pPr>
                  <w:r>
                    <w:rPr>
                      <w:rFonts w:ascii="仿宋_GB2312" w:hAnsi="仿宋_GB2312" w:cs="仿宋_GB2312" w:eastAsia="仿宋_GB2312"/>
                      <w:sz w:val="20"/>
                    </w:rPr>
                    <w:t>深度≧20</w:t>
                  </w:r>
                  <w:r>
                    <w:rPr>
                      <w:rFonts w:ascii="仿宋_GB2312" w:hAnsi="仿宋_GB2312" w:cs="仿宋_GB2312" w:eastAsia="仿宋_GB2312"/>
                      <w:sz w:val="20"/>
                    </w:rPr>
                    <w:t>cm</w:t>
                  </w:r>
                  <w:r>
                    <w:rPr>
                      <w:rFonts w:ascii="仿宋_GB2312" w:hAnsi="仿宋_GB2312" w:cs="仿宋_GB2312" w:eastAsia="仿宋_GB2312"/>
                      <w:sz w:val="20"/>
                    </w:rPr>
                    <w:t>为1处，每处扣0.3分，本项最多扣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路基构造物损坏</w:t>
                  </w:r>
                  <w:r>
                    <w:rPr>
                      <w:rFonts w:ascii="仿宋_GB2312" w:hAnsi="仿宋_GB2312" w:cs="仿宋_GB2312" w:eastAsia="仿宋_GB2312"/>
                      <w:sz w:val="20"/>
                    </w:rPr>
                    <w:t>未及时设置警示标志（标牌）、上报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30"/>
                    <w:jc w:val="left"/>
                  </w:pPr>
                  <w:r>
                    <w:rPr>
                      <w:rFonts w:ascii="仿宋_GB2312" w:hAnsi="仿宋_GB2312" w:cs="仿宋_GB2312" w:eastAsia="仿宋_GB2312"/>
                      <w:sz w:val="20"/>
                    </w:rPr>
                    <w:t>构造物局部基础淘空 、墙体脱空、轻度裂缝、鼓肚、下沉等，长度≧10m计1处,每处扣</w:t>
                  </w:r>
                  <w:r>
                    <w:rPr>
                      <w:rFonts w:ascii="仿宋_GB2312" w:hAnsi="仿宋_GB2312" w:cs="仿宋_GB2312" w:eastAsia="仿宋_GB2312"/>
                      <w:sz w:val="22"/>
                    </w:rPr>
                    <w:t xml:space="preserve"> </w:t>
                  </w:r>
                  <w:r>
                    <w:rPr>
                      <w:rFonts w:ascii="仿宋_GB2312" w:hAnsi="仿宋_GB2312" w:cs="仿宋_GB2312" w:eastAsia="仿宋_GB2312"/>
                      <w:sz w:val="20"/>
                    </w:rPr>
                    <w:t>0.3分，本项最多扣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路缘石缺损</w:t>
                  </w:r>
                  <w:r>
                    <w:rPr>
                      <w:rFonts w:ascii="仿宋_GB2312" w:hAnsi="仿宋_GB2312" w:cs="仿宋_GB2312" w:eastAsia="仿宋_GB2312"/>
                      <w:sz w:val="20"/>
                    </w:rPr>
                    <w:t>未</w:t>
                  </w:r>
                  <w:r>
                    <w:rPr>
                      <w:rFonts w:ascii="仿宋_GB2312" w:hAnsi="仿宋_GB2312" w:cs="仿宋_GB2312" w:eastAsia="仿宋_GB2312"/>
                      <w:sz w:val="20"/>
                    </w:rPr>
                    <w:t>及时</w:t>
                  </w:r>
                  <w:r>
                    <w:rPr>
                      <w:rFonts w:ascii="仿宋_GB2312" w:hAnsi="仿宋_GB2312" w:cs="仿宋_GB2312" w:eastAsia="仿宋_GB2312"/>
                      <w:sz w:val="20"/>
                    </w:rPr>
                    <w:t>设置警示标志（标牌）、上报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jc w:val="left"/>
                  </w:pPr>
                  <w:r>
                    <w:rPr>
                      <w:rFonts w:ascii="仿宋_GB2312" w:hAnsi="仿宋_GB2312" w:cs="仿宋_GB2312" w:eastAsia="仿宋_GB2312"/>
                      <w:sz w:val="20"/>
                    </w:rPr>
                    <w:t>长度≧5m计1处，缺失每处扣0.5分，损坏每处扣0.3分，本项最多扣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路基沉降</w:t>
                  </w:r>
                  <w:r>
                    <w:rPr>
                      <w:rFonts w:ascii="仿宋_GB2312" w:hAnsi="仿宋_GB2312" w:cs="仿宋_GB2312" w:eastAsia="仿宋_GB2312"/>
                      <w:sz w:val="20"/>
                    </w:rPr>
                    <w:t>未及时设置警示标志（标牌）、上报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jc w:val="left"/>
                  </w:pPr>
                  <w:r>
                    <w:rPr>
                      <w:rFonts w:ascii="仿宋_GB2312" w:hAnsi="仿宋_GB2312" w:cs="仿宋_GB2312" w:eastAsia="仿宋_GB2312"/>
                      <w:sz w:val="20"/>
                    </w:rPr>
                    <w:t>深度≧30</w:t>
                  </w:r>
                  <w:r>
                    <w:rPr>
                      <w:rFonts w:ascii="仿宋_GB2312" w:hAnsi="仿宋_GB2312" w:cs="仿宋_GB2312" w:eastAsia="仿宋_GB2312"/>
                      <w:sz w:val="20"/>
                    </w:rPr>
                    <w:t>mm</w:t>
                  </w:r>
                  <w:r>
                    <w:rPr>
                      <w:rFonts w:ascii="仿宋_GB2312" w:hAnsi="仿宋_GB2312" w:cs="仿宋_GB2312" w:eastAsia="仿宋_GB2312"/>
                      <w:sz w:val="20"/>
                    </w:rPr>
                    <w:t>的沉降，长度≧5m计1处，每处扣0.5分，本项最多扣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排水不畅</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120" w:firstLine="1"/>
                    <w:jc w:val="left"/>
                  </w:pPr>
                  <w:r>
                    <w:rPr>
                      <w:rFonts w:ascii="仿宋_GB2312" w:hAnsi="仿宋_GB2312" w:cs="仿宋_GB2312" w:eastAsia="仿宋_GB2312"/>
                      <w:sz w:val="20"/>
                    </w:rPr>
                    <w:t>路基边沟、排水沟、截水沟等排水系统无杂物 、无排水系统淤塞 、沟内无积水 。无衬砌剥落、破损、与工体破裂、管道损坏等情况 。长度≧10m计1处，每处扣0.</w:t>
                  </w:r>
                  <w:r>
                    <w:rPr>
                      <w:rFonts w:ascii="仿宋_GB2312" w:hAnsi="仿宋_GB2312" w:cs="仿宋_GB2312" w:eastAsia="仿宋_GB2312"/>
                      <w:sz w:val="20"/>
                    </w:rPr>
                    <w:t>5</w:t>
                  </w:r>
                  <w:r>
                    <w:rPr>
                      <w:rFonts w:ascii="仿宋_GB2312" w:hAnsi="仿宋_GB2312" w:cs="仿宋_GB2312" w:eastAsia="仿宋_GB2312"/>
                      <w:sz w:val="20"/>
                    </w:rPr>
                    <w:t>分，本项最多扣</w:t>
                  </w:r>
                  <w:r>
                    <w:rPr>
                      <w:rFonts w:ascii="仿宋_GB2312" w:hAnsi="仿宋_GB2312" w:cs="仿宋_GB2312" w:eastAsia="仿宋_GB2312"/>
                      <w:sz w:val="20"/>
                    </w:rPr>
                    <w:t>5</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4.沿线设施</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ind w:left="30" w:right="75" w:firstLine="13"/>
                    <w:jc w:val="left"/>
                  </w:pPr>
                  <w:r>
                    <w:rPr>
                      <w:rFonts w:ascii="仿宋_GB2312" w:hAnsi="仿宋_GB2312" w:cs="仿宋_GB2312" w:eastAsia="仿宋_GB2312"/>
                      <w:sz w:val="20"/>
                    </w:rPr>
                    <w:t>防护设施（波形护栏、防</w:t>
                  </w:r>
                  <w:r>
                    <w:rPr>
                      <w:rFonts w:ascii="仿宋_GB2312" w:hAnsi="仿宋_GB2312" w:cs="仿宋_GB2312" w:eastAsia="仿宋_GB2312"/>
                      <w:sz w:val="22"/>
                    </w:rPr>
                    <w:t xml:space="preserve"> </w:t>
                  </w:r>
                  <w:r>
                    <w:rPr>
                      <w:rFonts w:ascii="仿宋_GB2312" w:hAnsi="仿宋_GB2312" w:cs="仿宋_GB2312" w:eastAsia="仿宋_GB2312"/>
                      <w:sz w:val="20"/>
                    </w:rPr>
                    <w:t>撞墙）</w:t>
                  </w:r>
                  <w:r>
                    <w:rPr>
                      <w:rFonts w:ascii="仿宋_GB2312" w:hAnsi="仿宋_GB2312" w:cs="仿宋_GB2312" w:eastAsia="仿宋_GB2312"/>
                      <w:sz w:val="20"/>
                    </w:rPr>
                    <w:t>缺失未上报</w:t>
                  </w:r>
                  <w:r>
                    <w:rPr>
                      <w:rFonts w:ascii="仿宋_GB2312" w:hAnsi="仿宋_GB2312" w:cs="仿宋_GB2312" w:eastAsia="仿宋_GB2312"/>
                      <w:sz w:val="20"/>
                    </w:rPr>
                    <w:t>；颜色不鲜明、污染等</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长度（连续） ≧4m计1处，缺失每处扣0.2分；颜色不鲜明、污染每 处扣0.2分，本项最多扣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5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标志缺失</w:t>
                  </w:r>
                  <w:r>
                    <w:rPr>
                      <w:rFonts w:ascii="仿宋_GB2312" w:hAnsi="仿宋_GB2312" w:cs="仿宋_GB2312" w:eastAsia="仿宋_GB2312"/>
                      <w:sz w:val="20"/>
                    </w:rPr>
                    <w:t>未上报</w:t>
                  </w:r>
                  <w:r>
                    <w:rPr>
                      <w:rFonts w:ascii="仿宋_GB2312" w:hAnsi="仿宋_GB2312" w:cs="仿宋_GB2312" w:eastAsia="仿宋_GB2312"/>
                      <w:sz w:val="20"/>
                    </w:rPr>
                    <w:t xml:space="preserve"> ，颜色不鲜明、遮挡、污染</w:t>
                  </w:r>
                  <w:r>
                    <w:rPr>
                      <w:rFonts w:ascii="仿宋_GB2312" w:hAnsi="仿宋_GB2312" w:cs="仿宋_GB2312" w:eastAsia="仿宋_GB2312"/>
                      <w:sz w:val="20"/>
                    </w:rPr>
                    <w:t>等</w:t>
                  </w:r>
                  <w:r>
                    <w:rPr>
                      <w:rFonts w:ascii="仿宋_GB2312" w:hAnsi="仿宋_GB2312" w:cs="仿宋_GB2312" w:eastAsia="仿宋_GB2312"/>
                      <w:sz w:val="20"/>
                    </w:rPr>
                    <w:t>(标志标牌每月清洁1次)</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50"/>
                    <w:ind w:left="30" w:right="30"/>
                    <w:jc w:val="left"/>
                  </w:pPr>
                  <w:r>
                    <w:rPr>
                      <w:rFonts w:ascii="仿宋_GB2312" w:hAnsi="仿宋_GB2312" w:cs="仿宋_GB2312" w:eastAsia="仿宋_GB2312"/>
                      <w:sz w:val="20"/>
                    </w:rPr>
                    <w:t>缺失</w:t>
                  </w:r>
                  <w:r>
                    <w:rPr>
                      <w:rFonts w:ascii="仿宋_GB2312" w:hAnsi="仿宋_GB2312" w:cs="仿宋_GB2312" w:eastAsia="仿宋_GB2312"/>
                      <w:sz w:val="20"/>
                    </w:rPr>
                    <w:t>未上报</w:t>
                  </w:r>
                  <w:r>
                    <w:rPr>
                      <w:rFonts w:ascii="仿宋_GB2312" w:hAnsi="仿宋_GB2312" w:cs="仿宋_GB2312" w:eastAsia="仿宋_GB2312"/>
                      <w:sz w:val="20"/>
                    </w:rPr>
                    <w:t>每块扣0.5分；颜色不鲜明、遮挡、污染等每处扣</w:t>
                  </w:r>
                  <w:r>
                    <w:rPr>
                      <w:rFonts w:ascii="仿宋_GB2312" w:hAnsi="仿宋_GB2312" w:cs="仿宋_GB2312" w:eastAsia="仿宋_GB2312"/>
                      <w:sz w:val="22"/>
                    </w:rPr>
                    <w:t xml:space="preserve"> </w:t>
                  </w:r>
                  <w:r>
                    <w:rPr>
                      <w:rFonts w:ascii="仿宋_GB2312" w:hAnsi="仿宋_GB2312" w:cs="仿宋_GB2312" w:eastAsia="仿宋_GB2312"/>
                      <w:sz w:val="20"/>
                    </w:rPr>
                    <w:t>0.2分，本项最多扣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75"/>
                    <w:jc w:val="left"/>
                  </w:pPr>
                  <w:r>
                    <w:rPr>
                      <w:rFonts w:ascii="仿宋_GB2312" w:hAnsi="仿宋_GB2312" w:cs="仿宋_GB2312" w:eastAsia="仿宋_GB2312"/>
                      <w:sz w:val="20"/>
                    </w:rPr>
                    <w:t>标线（含突起路标）缺损</w:t>
                  </w:r>
                  <w:r>
                    <w:rPr>
                      <w:rFonts w:ascii="仿宋_GB2312" w:hAnsi="仿宋_GB2312" w:cs="仿宋_GB2312" w:eastAsia="仿宋_GB2312"/>
                      <w:sz w:val="20"/>
                    </w:rPr>
                    <w:t>未上报</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135"/>
                    <w:jc w:val="left"/>
                  </w:pPr>
                  <w:r>
                    <w:rPr>
                      <w:rFonts w:ascii="仿宋_GB2312" w:hAnsi="仿宋_GB2312" w:cs="仿宋_GB2312" w:eastAsia="仿宋_GB2312"/>
                      <w:sz w:val="20"/>
                    </w:rPr>
                    <w:t>长度≧10m计1处，缺失每处扣0.5分；损坏每处扣0.2分，本项最多</w:t>
                  </w:r>
                  <w:r>
                    <w:rPr>
                      <w:rFonts w:ascii="仿宋_GB2312" w:hAnsi="仿宋_GB2312" w:cs="仿宋_GB2312" w:eastAsia="仿宋_GB2312"/>
                      <w:sz w:val="22"/>
                    </w:rPr>
                    <w:t xml:space="preserve"> </w:t>
                  </w:r>
                  <w:r>
                    <w:rPr>
                      <w:rFonts w:ascii="仿宋_GB2312" w:hAnsi="仿宋_GB2312" w:cs="仿宋_GB2312" w:eastAsia="仿宋_GB2312"/>
                      <w:sz w:val="20"/>
                    </w:rPr>
                    <w:t>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50"/>
                    <w:ind w:left="30" w:right="75"/>
                    <w:jc w:val="left"/>
                  </w:pPr>
                  <w:r>
                    <w:rPr>
                      <w:rFonts w:ascii="仿宋_GB2312" w:hAnsi="仿宋_GB2312" w:cs="仿宋_GB2312" w:eastAsia="仿宋_GB2312"/>
                      <w:sz w:val="20"/>
                    </w:rPr>
                    <w:t>里程牌、百米桩、轮廓标等缺损 ，颜色不鲜明、遮挡、污染</w:t>
                  </w:r>
                  <w:r>
                    <w:rPr>
                      <w:rFonts w:ascii="仿宋_GB2312" w:hAnsi="仿宋_GB2312" w:cs="仿宋_GB2312" w:eastAsia="仿宋_GB2312"/>
                      <w:sz w:val="20"/>
                    </w:rPr>
                    <w:t>（</w:t>
                  </w:r>
                  <w:r>
                    <w:rPr>
                      <w:rFonts w:ascii="仿宋_GB2312" w:hAnsi="仿宋_GB2312" w:cs="仿宋_GB2312" w:eastAsia="仿宋_GB2312"/>
                      <w:sz w:val="20"/>
                    </w:rPr>
                    <w:t>公里桩每年油漆刷1次。</w:t>
                  </w:r>
                  <w:r>
                    <w:rPr>
                      <w:rFonts w:ascii="仿宋_GB2312" w:hAnsi="仿宋_GB2312" w:cs="仿宋_GB2312" w:eastAsia="仿宋_GB2312"/>
                      <w:sz w:val="20"/>
                    </w:rPr>
                    <w:t>）</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50"/>
                    <w:ind w:left="30" w:right="75"/>
                    <w:jc w:val="left"/>
                  </w:pPr>
                  <w:r>
                    <w:rPr>
                      <w:rFonts w:ascii="仿宋_GB2312" w:hAnsi="仿宋_GB2312" w:cs="仿宋_GB2312" w:eastAsia="仿宋_GB2312"/>
                      <w:sz w:val="20"/>
                    </w:rPr>
                    <w:t>公里桩每1个计1处；轮廓标和百米桩每3个计1处、累计不足3个应按1处计算。缺失</w:t>
                  </w:r>
                  <w:r>
                    <w:rPr>
                      <w:rFonts w:ascii="仿宋_GB2312" w:hAnsi="仿宋_GB2312" w:cs="仿宋_GB2312" w:eastAsia="仿宋_GB2312"/>
                      <w:sz w:val="20"/>
                    </w:rPr>
                    <w:t>未上报</w:t>
                  </w:r>
                  <w:r>
                    <w:rPr>
                      <w:rFonts w:ascii="仿宋_GB2312" w:hAnsi="仿宋_GB2312" w:cs="仿宋_GB2312" w:eastAsia="仿宋_GB2312"/>
                      <w:sz w:val="20"/>
                    </w:rPr>
                    <w:t>每处扣0.5分；颜色不鲜明、遮挡、污染每处扣0.2分，本项最多扣</w:t>
                  </w:r>
                  <w:r>
                    <w:rPr>
                      <w:rFonts w:ascii="仿宋_GB2312" w:hAnsi="仿宋_GB2312" w:cs="仿宋_GB2312" w:eastAsia="仿宋_GB2312"/>
                      <w:sz w:val="20"/>
                    </w:rPr>
                    <w:t>2</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0"/>
                    <w:jc w:val="left"/>
                  </w:pPr>
                  <w:r>
                    <w:rPr>
                      <w:rFonts w:ascii="仿宋_GB2312" w:hAnsi="仿宋_GB2312" w:cs="仿宋_GB2312" w:eastAsia="仿宋_GB2312"/>
                      <w:sz w:val="20"/>
                    </w:rPr>
                    <w:t>择期对树木进行修剪，浇水、病虫害防治、松土除草、扶正支柱</w:t>
                  </w:r>
                  <w:r>
                    <w:rPr>
                      <w:rFonts w:ascii="仿宋_GB2312" w:hAnsi="仿宋_GB2312" w:cs="仿宋_GB2312" w:eastAsia="仿宋_GB2312"/>
                      <w:sz w:val="20"/>
                    </w:rPr>
                    <w:t>，</w:t>
                  </w:r>
                  <w:r>
                    <w:rPr>
                      <w:rFonts w:ascii="仿宋_GB2312" w:hAnsi="仿宋_GB2312" w:cs="仿宋_GB2312" w:eastAsia="仿宋_GB2312"/>
                      <w:sz w:val="20"/>
                    </w:rPr>
                    <w:t>公路建筑限界内</w:t>
                  </w:r>
                  <w:r>
                    <w:rPr>
                      <w:rFonts w:ascii="仿宋_GB2312" w:hAnsi="仿宋_GB2312" w:cs="仿宋_GB2312" w:eastAsia="仿宋_GB2312"/>
                      <w:sz w:val="20"/>
                    </w:rPr>
                    <w:t>无</w:t>
                  </w:r>
                  <w:r>
                    <w:rPr>
                      <w:rFonts w:ascii="仿宋_GB2312" w:hAnsi="仿宋_GB2312" w:cs="仿宋_GB2312" w:eastAsia="仿宋_GB2312"/>
                      <w:sz w:val="20"/>
                    </w:rPr>
                    <w:t>树枝伸入等。</w:t>
                  </w:r>
                  <w:r>
                    <w:rPr>
                      <w:rFonts w:ascii="仿宋_GB2312" w:hAnsi="仿宋_GB2312" w:cs="仿宋_GB2312" w:eastAsia="仿宋_GB2312"/>
                      <w:sz w:val="20"/>
                    </w:rPr>
                    <w:t>（树木每年修剪2次刷白1次）</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65"/>
                    <w:ind w:left="30"/>
                    <w:jc w:val="left"/>
                  </w:pPr>
                  <w:r>
                    <w:rPr>
                      <w:rFonts w:ascii="仿宋_GB2312" w:hAnsi="仿宋_GB2312" w:cs="仿宋_GB2312" w:eastAsia="仿宋_GB2312"/>
                      <w:sz w:val="20"/>
                    </w:rPr>
                    <w:t>长度≧10m计1处，树木和花草等枯萎或缺失 ，绿化带未及时修剪或有杂物 。每处扣0.3分，本项最多扣</w:t>
                  </w:r>
                  <w:r>
                    <w:rPr>
                      <w:rFonts w:ascii="仿宋_GB2312" w:hAnsi="仿宋_GB2312" w:cs="仿宋_GB2312" w:eastAsia="仿宋_GB2312"/>
                      <w:sz w:val="20"/>
                    </w:rPr>
                    <w:t>10</w:t>
                  </w:r>
                  <w:r>
                    <w:rPr>
                      <w:rFonts w:ascii="仿宋_GB2312" w:hAnsi="仿宋_GB2312" w:cs="仿宋_GB2312" w:eastAsia="仿宋_GB2312"/>
                      <w:sz w:val="20"/>
                    </w:rPr>
                    <w:t>分。</w:t>
                  </w: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5.桥涵</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60"/>
                    <w:ind w:left="30"/>
                    <w:jc w:val="left"/>
                  </w:pPr>
                  <w:r>
                    <w:rPr>
                      <w:rFonts w:ascii="仿宋_GB2312" w:hAnsi="仿宋_GB2312" w:cs="仿宋_GB2312" w:eastAsia="仿宋_GB2312"/>
                      <w:sz w:val="20"/>
                    </w:rPr>
                    <w:t>桥梁</w:t>
                  </w:r>
                  <w:r>
                    <w:rPr>
                      <w:rFonts w:ascii="仿宋_GB2312" w:hAnsi="仿宋_GB2312" w:cs="仿宋_GB2312" w:eastAsia="仿宋_GB2312"/>
                      <w:sz w:val="20"/>
                    </w:rPr>
                    <w:t>、涵洞</w:t>
                  </w:r>
                  <w:r>
                    <w:rPr>
                      <w:rFonts w:ascii="仿宋_GB2312" w:hAnsi="仿宋_GB2312" w:cs="仿宋_GB2312" w:eastAsia="仿宋_GB2312"/>
                      <w:sz w:val="20"/>
                    </w:rPr>
                    <w:t>外观整洁干净</w:t>
                  </w:r>
                  <w:r>
                    <w:rPr>
                      <w:rFonts w:ascii="仿宋_GB2312" w:hAnsi="仿宋_GB2312" w:cs="仿宋_GB2312" w:eastAsia="仿宋_GB2312"/>
                      <w:sz w:val="20"/>
                    </w:rPr>
                    <w:t>无杂草，涵洞无堵塞排水通畅。</w:t>
                  </w:r>
                </w:p>
              </w:tc>
              <w:tc>
                <w:tcPr>
                  <w:tcW w:type="dxa" w:w="196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存在1处问题扣0.5分，扣完为止。</w:t>
                  </w:r>
                </w:p>
              </w:tc>
              <w:tc>
                <w:tcPr>
                  <w:tcW w:type="dxa" w:w="708"/>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外业检查时察</w:t>
                  </w:r>
                  <w:r>
                    <w:rPr>
                      <w:rFonts w:ascii="仿宋_GB2312" w:hAnsi="仿宋_GB2312" w:cs="仿宋_GB2312" w:eastAsia="仿宋_GB2312"/>
                      <w:sz w:val="20"/>
                    </w:rPr>
                    <w:t>看</w:t>
                  </w:r>
                  <w:r>
                    <w:rPr>
                      <w:rFonts w:ascii="仿宋_GB2312" w:hAnsi="仿宋_GB2312" w:cs="仿宋_GB2312" w:eastAsia="仿宋_GB2312"/>
                      <w:sz w:val="20"/>
                    </w:rPr>
                    <w:t>途</w:t>
                  </w:r>
                  <w:r>
                    <w:rPr>
                      <w:rFonts w:ascii="仿宋_GB2312" w:hAnsi="仿宋_GB2312" w:cs="仿宋_GB2312" w:eastAsia="仿宋_GB2312"/>
                      <w:sz w:val="20"/>
                    </w:rPr>
                    <w:t>经</w:t>
                  </w:r>
                  <w:r>
                    <w:rPr>
                      <w:rFonts w:ascii="仿宋_GB2312" w:hAnsi="仿宋_GB2312" w:cs="仿宋_GB2312" w:eastAsia="仿宋_GB2312"/>
                      <w:sz w:val="20"/>
                    </w:rPr>
                    <w:t>路段，汇总后扣分</w:t>
                  </w:r>
                </w:p>
              </w:tc>
              <w:tc>
                <w:tcPr>
                  <w:tcW w:type="dxa" w:w="46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50"/>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桥梁</w:t>
                  </w:r>
                  <w:r>
                    <w:rPr>
                      <w:rFonts w:ascii="仿宋_GB2312" w:hAnsi="仿宋_GB2312" w:cs="仿宋_GB2312" w:eastAsia="仿宋_GB2312"/>
                      <w:sz w:val="20"/>
                    </w:rPr>
                    <w:t>、涵洞</w:t>
                  </w:r>
                  <w:r>
                    <w:rPr>
                      <w:rFonts w:ascii="仿宋_GB2312" w:hAnsi="仿宋_GB2312" w:cs="仿宋_GB2312" w:eastAsia="仿宋_GB2312"/>
                      <w:sz w:val="20"/>
                    </w:rPr>
                    <w:t>信息公示牌</w:t>
                  </w:r>
                  <w:r>
                    <w:rPr>
                      <w:rFonts w:ascii="仿宋_GB2312" w:hAnsi="仿宋_GB2312" w:cs="仿宋_GB2312" w:eastAsia="仿宋_GB2312"/>
                      <w:sz w:val="20"/>
                    </w:rPr>
                    <w:t>保持清洁、完好。</w:t>
                  </w:r>
                </w:p>
              </w:tc>
              <w:tc>
                <w:tcPr>
                  <w:tcW w:type="dxa" w:w="1961"/>
                  <w:vMerge/>
                  <w:tcBorders>
                    <w:top w:val="none" w:color="000000" w:sz="4"/>
                    <w:left w:val="none" w:color="000000" w:sz="4"/>
                    <w:bottom w:val="none" w:color="000000" w:sz="4"/>
                    <w:right w:val="single" w:color="000000" w:sz="4"/>
                  </w:tcBorders>
                </w:tcP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75"/>
                    <w:ind w:left="30" w:right="90"/>
                    <w:jc w:val="left"/>
                  </w:pPr>
                  <w:r>
                    <w:rPr>
                      <w:rFonts w:ascii="仿宋_GB2312" w:hAnsi="仿宋_GB2312" w:cs="仿宋_GB2312" w:eastAsia="仿宋_GB2312"/>
                      <w:sz w:val="20"/>
                    </w:rPr>
                    <w:t>桥面铺装、伸缩缝完好无破损；</w:t>
                  </w:r>
                  <w:r>
                    <w:rPr>
                      <w:rFonts w:ascii="仿宋_GB2312" w:hAnsi="仿宋_GB2312" w:cs="仿宋_GB2312" w:eastAsia="仿宋_GB2312"/>
                      <w:sz w:val="20"/>
                    </w:rPr>
                    <w:t>泄水孔、</w:t>
                  </w:r>
                  <w:r>
                    <w:rPr>
                      <w:rFonts w:ascii="仿宋_GB2312" w:hAnsi="仿宋_GB2312" w:cs="仿宋_GB2312" w:eastAsia="仿宋_GB2312"/>
                      <w:sz w:val="20"/>
                    </w:rPr>
                    <w:t>伸缩缝无堵塞</w:t>
                  </w:r>
                  <w:r>
                    <w:rPr>
                      <w:rFonts w:ascii="仿宋_GB2312" w:hAnsi="仿宋_GB2312" w:cs="仿宋_GB2312" w:eastAsia="仿宋_GB2312"/>
                      <w:sz w:val="20"/>
                    </w:rPr>
                    <w:t>。</w:t>
                  </w:r>
                </w:p>
              </w:tc>
              <w:tc>
                <w:tcPr>
                  <w:tcW w:type="dxa" w:w="1961"/>
                  <w:vMerge/>
                  <w:tcBorders>
                    <w:top w:val="none" w:color="000000" w:sz="4"/>
                    <w:left w:val="none" w:color="000000" w:sz="4"/>
                    <w:bottom w:val="none" w:color="000000" w:sz="4"/>
                    <w:right w:val="single" w:color="000000" w:sz="4"/>
                  </w:tcBorders>
                </w:tcP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60"/>
                    <w:ind w:left="30" w:right="105"/>
                    <w:jc w:val="left"/>
                  </w:pPr>
                  <w:r>
                    <w:rPr>
                      <w:rFonts w:ascii="仿宋_GB2312" w:hAnsi="仿宋_GB2312" w:cs="仿宋_GB2312" w:eastAsia="仿宋_GB2312"/>
                      <w:sz w:val="20"/>
                    </w:rPr>
                    <w:t>桥面系各构件及附属设施等状态完好、功能正常</w:t>
                  </w:r>
                  <w:r>
                    <w:rPr>
                      <w:rFonts w:ascii="仿宋_GB2312" w:hAnsi="仿宋_GB2312" w:cs="仿宋_GB2312" w:eastAsia="仿宋_GB2312"/>
                      <w:sz w:val="20"/>
                    </w:rPr>
                    <w:t>。</w:t>
                  </w:r>
                </w:p>
              </w:tc>
              <w:tc>
                <w:tcPr>
                  <w:tcW w:type="dxa" w:w="1961"/>
                  <w:vMerge/>
                  <w:tcBorders>
                    <w:top w:val="none" w:color="000000" w:sz="4"/>
                    <w:left w:val="none" w:color="000000" w:sz="4"/>
                    <w:bottom w:val="none" w:color="000000" w:sz="4"/>
                    <w:right w:val="single" w:color="000000" w:sz="4"/>
                  </w:tcBorders>
                </w:tcP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vMerge/>
                  <w:tcBorders>
                    <w:top w:val="none" w:color="000000" w:sz="4"/>
                    <w:left w:val="single" w:color="000000" w:sz="4"/>
                    <w:bottom w:val="none" w:color="000000" w:sz="4"/>
                    <w:right w:val="single" w:color="000000" w:sz="4"/>
                  </w:tcBorders>
                </w:tcP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60"/>
                    <w:ind w:left="30"/>
                    <w:jc w:val="left"/>
                  </w:pPr>
                  <w:r>
                    <w:rPr>
                      <w:rFonts w:ascii="仿宋_GB2312" w:hAnsi="仿宋_GB2312" w:cs="仿宋_GB2312" w:eastAsia="仿宋_GB2312"/>
                      <w:sz w:val="20"/>
                    </w:rPr>
                    <w:t>基础无明显冲刷</w:t>
                  </w:r>
                </w:p>
              </w:tc>
              <w:tc>
                <w:tcPr>
                  <w:tcW w:type="dxa" w:w="1961"/>
                  <w:vMerge/>
                  <w:tcBorders>
                    <w:top w:val="none" w:color="000000" w:sz="4"/>
                    <w:left w:val="none" w:color="000000" w:sz="4"/>
                    <w:bottom w:val="none" w:color="000000" w:sz="4"/>
                    <w:right w:val="single" w:color="000000" w:sz="4"/>
                  </w:tcBorders>
                </w:tcPr>
                <w:p/>
              </w:tc>
              <w:tc>
                <w:tcPr>
                  <w:tcW w:type="dxa" w:w="708"/>
                  <w:vMerge/>
                  <w:tcBorders>
                    <w:top w:val="none" w:color="000000" w:sz="4"/>
                    <w:left w:val="none" w:color="000000" w:sz="4"/>
                    <w:bottom w:val="none" w:color="000000" w:sz="4"/>
                    <w:right w:val="single" w:color="000000" w:sz="4"/>
                  </w:tcBorders>
                </w:tcPr>
                <w:p/>
              </w:tc>
              <w:tc>
                <w:tcPr>
                  <w:tcW w:type="dxa" w:w="460"/>
                  <w:vMerge/>
                  <w:tcBorders>
                    <w:top w:val="none" w:color="000000" w:sz="4"/>
                    <w:left w:val="none" w:color="000000" w:sz="4"/>
                    <w:bottom w:val="none" w:color="000000" w:sz="4"/>
                    <w:right w:val="single" w:color="000000" w:sz="4"/>
                  </w:tcBorders>
                </w:tcPr>
                <w:p/>
              </w:tc>
              <w:tc>
                <w:tcPr>
                  <w:tcW w:type="dxa" w:w="250"/>
                  <w:vMerge/>
                  <w:tcBorders>
                    <w:top w:val="none" w:color="000000" w:sz="4"/>
                    <w:left w:val="none" w:color="000000" w:sz="4"/>
                    <w:bottom w:val="non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6.安全应急</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90" w:firstLine="9"/>
                    <w:jc w:val="left"/>
                  </w:pPr>
                  <w:r>
                    <w:rPr>
                      <w:rFonts w:ascii="仿宋_GB2312" w:hAnsi="仿宋_GB2312" w:cs="仿宋_GB2312" w:eastAsia="仿宋_GB2312"/>
                      <w:sz w:val="20"/>
                    </w:rPr>
                    <w:t>1.按照《泸州市公路局安全生产 、环保、应急工作责任目标考核评分细则》</w:t>
                  </w:r>
                  <w:r>
                    <w:rPr>
                      <w:rFonts w:ascii="仿宋_GB2312" w:hAnsi="仿宋_GB2312" w:cs="仿宋_GB2312" w:eastAsia="仿宋_GB2312"/>
                      <w:sz w:val="20"/>
                    </w:rPr>
                    <w:t>对</w:t>
                  </w:r>
                  <w:r>
                    <w:rPr>
                      <w:rFonts w:ascii="仿宋_GB2312" w:hAnsi="仿宋_GB2312" w:cs="仿宋_GB2312" w:eastAsia="仿宋_GB2312"/>
                      <w:sz w:val="20"/>
                    </w:rPr>
                    <w:t>发现</w:t>
                  </w:r>
                  <w:r>
                    <w:rPr>
                      <w:rFonts w:ascii="仿宋_GB2312" w:hAnsi="仿宋_GB2312" w:cs="仿宋_GB2312" w:eastAsia="仿宋_GB2312"/>
                      <w:sz w:val="20"/>
                    </w:rPr>
                    <w:t>的路面和桥涵、隧道安全方面的</w:t>
                  </w:r>
                  <w:r>
                    <w:rPr>
                      <w:rFonts w:ascii="仿宋_GB2312" w:hAnsi="仿宋_GB2312" w:cs="仿宋_GB2312" w:eastAsia="仿宋_GB2312"/>
                      <w:sz w:val="20"/>
                    </w:rPr>
                    <w:t>问题</w:t>
                  </w:r>
                  <w:r>
                    <w:rPr>
                      <w:rFonts w:ascii="仿宋_GB2312" w:hAnsi="仿宋_GB2312" w:cs="仿宋_GB2312" w:eastAsia="仿宋_GB2312"/>
                      <w:sz w:val="20"/>
                    </w:rPr>
                    <w:t>未</w:t>
                  </w:r>
                  <w:r>
                    <w:rPr>
                      <w:rFonts w:ascii="仿宋_GB2312" w:hAnsi="仿宋_GB2312" w:cs="仿宋_GB2312" w:eastAsia="仿宋_GB2312"/>
                      <w:sz w:val="20"/>
                    </w:rPr>
                    <w:t>及时处置</w:t>
                  </w:r>
                  <w:r>
                    <w:rPr>
                      <w:rFonts w:ascii="仿宋_GB2312" w:hAnsi="仿宋_GB2312" w:cs="仿宋_GB2312" w:eastAsia="仿宋_GB2312"/>
                      <w:sz w:val="20"/>
                    </w:rPr>
                    <w:t>并</w:t>
                  </w:r>
                  <w:r>
                    <w:rPr>
                      <w:rFonts w:ascii="仿宋_GB2312" w:hAnsi="仿宋_GB2312" w:cs="仿宋_GB2312" w:eastAsia="仿宋_GB2312"/>
                      <w:sz w:val="20"/>
                    </w:rPr>
                    <w:t>上报</w:t>
                  </w:r>
                  <w:r>
                    <w:rPr>
                      <w:rFonts w:ascii="仿宋_GB2312" w:hAnsi="仿宋_GB2312" w:cs="仿宋_GB2312" w:eastAsia="仿宋_GB2312"/>
                      <w:sz w:val="20"/>
                    </w:rPr>
                    <w:t>。</w:t>
                  </w:r>
                </w:p>
                <w:p>
                  <w:pPr>
                    <w:pStyle w:val="null3"/>
                    <w:spacing w:before="30"/>
                    <w:ind w:left="30" w:right="90" w:firstLine="9"/>
                    <w:jc w:val="left"/>
                  </w:pPr>
                  <w:r>
                    <w:rPr>
                      <w:rFonts w:ascii="仿宋_GB2312" w:hAnsi="仿宋_GB2312" w:cs="仿宋_GB2312" w:eastAsia="仿宋_GB2312"/>
                      <w:sz w:val="20"/>
                    </w:rPr>
                    <w:t>2.未及时报送国省道公路阻断信息的</w:t>
                  </w:r>
                  <w:r>
                    <w:rPr>
                      <w:rFonts w:ascii="仿宋_GB2312" w:hAnsi="仿宋_GB2312" w:cs="仿宋_GB2312" w:eastAsia="仿宋_GB2312"/>
                      <w:sz w:val="20"/>
                    </w:rPr>
                    <w:t>。</w:t>
                  </w:r>
                </w:p>
                <w:p>
                  <w:pPr>
                    <w:pStyle w:val="null3"/>
                    <w:spacing w:before="30"/>
                    <w:ind w:left="30" w:right="90" w:firstLine="9"/>
                    <w:jc w:val="left"/>
                  </w:pPr>
                  <w:r>
                    <w:rPr>
                      <w:rFonts w:ascii="仿宋_GB2312" w:hAnsi="仿宋_GB2312" w:cs="仿宋_GB2312" w:eastAsia="仿宋_GB2312"/>
                      <w:sz w:val="20"/>
                    </w:rPr>
                    <w:t>3.应急物资储备（如锯末面、安全标志牌、锥形桶、应急照明、反光工作服等）。</w:t>
                  </w:r>
                </w:p>
                <w:p>
                  <w:pPr>
                    <w:pStyle w:val="null3"/>
                    <w:spacing w:before="30"/>
                    <w:ind w:left="30" w:right="90" w:firstLine="9"/>
                    <w:jc w:val="left"/>
                  </w:pPr>
                  <w:r>
                    <w:rPr>
                      <w:rFonts w:ascii="仿宋_GB2312" w:hAnsi="仿宋_GB2312" w:cs="仿宋_GB2312" w:eastAsia="仿宋_GB2312"/>
                      <w:sz w:val="20"/>
                    </w:rPr>
                    <w:t>4.</w:t>
                  </w:r>
                  <w:r>
                    <w:rPr>
                      <w:rFonts w:ascii="仿宋_GB2312" w:hAnsi="仿宋_GB2312" w:cs="仿宋_GB2312" w:eastAsia="仿宋_GB2312"/>
                      <w:sz w:val="20"/>
                    </w:rPr>
                    <w:t>养护人员安全着装规范</w:t>
                  </w:r>
                  <w:r>
                    <w:rPr>
                      <w:rFonts w:ascii="仿宋_GB2312" w:hAnsi="仿宋_GB2312" w:cs="仿宋_GB2312" w:eastAsia="仿宋_GB2312"/>
                      <w:sz w:val="20"/>
                    </w:rPr>
                    <w:t>，</w:t>
                  </w:r>
                  <w:r>
                    <w:rPr>
                      <w:rFonts w:ascii="仿宋_GB2312" w:hAnsi="仿宋_GB2312" w:cs="仿宋_GB2312" w:eastAsia="仿宋_GB2312"/>
                      <w:sz w:val="20"/>
                    </w:rPr>
                    <w:t>安全防护设施摆放正确。</w:t>
                  </w:r>
                </w:p>
                <w:p>
                  <w:pPr>
                    <w:pStyle w:val="null3"/>
                    <w:spacing w:before="30"/>
                    <w:ind w:left="30" w:right="90" w:firstLine="9"/>
                    <w:jc w:val="left"/>
                  </w:pPr>
                  <w:r>
                    <w:rPr>
                      <w:rFonts w:ascii="仿宋_GB2312" w:hAnsi="仿宋_GB2312" w:cs="仿宋_GB2312" w:eastAsia="仿宋_GB2312"/>
                      <w:sz w:val="20"/>
                    </w:rPr>
                    <w:t>5.因履约不到位导致安全事故发生。</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
                    <w:ind w:left="30" w:right="90" w:firstLine="9"/>
                    <w:jc w:val="left"/>
                  </w:pPr>
                  <w:r>
                    <w:rPr>
                      <w:rFonts w:ascii="仿宋_GB2312" w:hAnsi="仿宋_GB2312" w:cs="仿宋_GB2312" w:eastAsia="仿宋_GB2312"/>
                      <w:sz w:val="20"/>
                    </w:rPr>
                    <w:t>1-4项</w:t>
                  </w:r>
                  <w:r>
                    <w:rPr>
                      <w:rFonts w:ascii="仿宋_GB2312" w:hAnsi="仿宋_GB2312" w:cs="仿宋_GB2312" w:eastAsia="仿宋_GB2312"/>
                      <w:sz w:val="20"/>
                    </w:rPr>
                    <w:t>每</w:t>
                  </w:r>
                  <w:r>
                    <w:rPr>
                      <w:rFonts w:ascii="仿宋_GB2312" w:hAnsi="仿宋_GB2312" w:cs="仿宋_GB2312" w:eastAsia="仿宋_GB2312"/>
                      <w:sz w:val="20"/>
                    </w:rPr>
                    <w:t>发现一起</w:t>
                  </w:r>
                  <w:r>
                    <w:rPr>
                      <w:rFonts w:ascii="仿宋_GB2312" w:hAnsi="仿宋_GB2312" w:cs="仿宋_GB2312" w:eastAsia="仿宋_GB2312"/>
                      <w:sz w:val="20"/>
                    </w:rPr>
                    <w:t>扣1分，扣完为止。</w:t>
                  </w:r>
                  <w:r>
                    <w:rPr>
                      <w:rFonts w:ascii="仿宋_GB2312" w:hAnsi="仿宋_GB2312" w:cs="仿宋_GB2312" w:eastAsia="仿宋_GB2312"/>
                      <w:sz w:val="20"/>
                    </w:rPr>
                    <w:t>若因履约不到位发生安全事故（人员伤亡等情形），一次性扣20分。</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查</w:t>
                  </w:r>
                  <w:r>
                    <w:rPr>
                      <w:rFonts w:ascii="仿宋_GB2312" w:hAnsi="仿宋_GB2312" w:cs="仿宋_GB2312" w:eastAsia="仿宋_GB2312"/>
                      <w:sz w:val="20"/>
                    </w:rPr>
                    <w:t>看</w:t>
                  </w:r>
                  <w:r>
                    <w:rPr>
                      <w:rFonts w:ascii="仿宋_GB2312" w:hAnsi="仿宋_GB2312" w:cs="仿宋_GB2312" w:eastAsia="仿宋_GB2312"/>
                      <w:sz w:val="20"/>
                    </w:rPr>
                    <w:t>资料，及养护人员安全着装情况</w:t>
                  </w:r>
                </w:p>
              </w:tc>
              <w:tc>
                <w:tcPr>
                  <w:tcW w:type="dxa" w:w="4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20</w:t>
                  </w:r>
                </w:p>
              </w:tc>
              <w:tc>
                <w:tcPr>
                  <w:tcW w:type="dxa" w:w="2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7.投诉处置</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1、拖欠农民工工资等不良投诉；2、未完成挂牌督办项目的</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经核查属实，发生一次扣5分，未完成挂牌督办任务的，扣5分，扣完为止。</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结合相关资料、文件</w:t>
                  </w:r>
                </w:p>
              </w:tc>
              <w:tc>
                <w:tcPr>
                  <w:tcW w:type="dxa" w:w="4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8.辅助工作</w:t>
                  </w:r>
                </w:p>
              </w:tc>
              <w:tc>
                <w:tcPr>
                  <w:tcW w:type="dxa" w:w="18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1.对管养辖区内的设施、设备、桥梁、隧道、涵洞、标志、标牌、护栏、绿化，建立台账。</w:t>
                  </w:r>
                </w:p>
                <w:p>
                  <w:pPr>
                    <w:pStyle w:val="null3"/>
                    <w:jc w:val="left"/>
                  </w:pPr>
                  <w:r>
                    <w:rPr>
                      <w:rFonts w:ascii="仿宋_GB2312" w:hAnsi="仿宋_GB2312" w:cs="仿宋_GB2312" w:eastAsia="仿宋_GB2312"/>
                      <w:sz w:val="20"/>
                    </w:rPr>
                    <w:t>2.与属地交通综合执法部门建立互动联系并协助看护、维护路产路权。</w:t>
                  </w:r>
                </w:p>
                <w:p>
                  <w:pPr>
                    <w:pStyle w:val="null3"/>
                    <w:jc w:val="left"/>
                  </w:pPr>
                  <w:r>
                    <w:rPr>
                      <w:rFonts w:ascii="仿宋_GB2312" w:hAnsi="仿宋_GB2312" w:cs="仿宋_GB2312" w:eastAsia="仿宋_GB2312"/>
                      <w:sz w:val="20"/>
                    </w:rPr>
                    <w:t>3.协助相关部门临时调查统计数据。</w:t>
                  </w:r>
                </w:p>
              </w:tc>
              <w:tc>
                <w:tcPr>
                  <w:tcW w:type="dxa" w:w="1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未按要求建立、统计、上报，每次扣5分，本项扣分不设上线</w:t>
                  </w:r>
                </w:p>
              </w:tc>
              <w:tc>
                <w:tcPr>
                  <w:tcW w:type="dxa" w:w="7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结合相关资料、文件</w:t>
                  </w:r>
                </w:p>
              </w:tc>
              <w:tc>
                <w:tcPr>
                  <w:tcW w:type="dxa" w:w="4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2047"/>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合计得分</w:t>
                  </w:r>
                </w:p>
              </w:tc>
              <w:tc>
                <w:tcPr>
                  <w:tcW w:type="dxa" w:w="3379"/>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5426"/>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考核人员：</w:t>
                  </w:r>
                </w:p>
                <w:p>
                  <w:pPr>
                    <w:pStyle w:val="null3"/>
                    <w:jc w:val="left"/>
                  </w:pPr>
                  <w:r>
                    <w:rPr>
                      <w:rFonts w:ascii="仿宋_GB2312" w:hAnsi="仿宋_GB2312" w:cs="仿宋_GB2312" w:eastAsia="仿宋_GB2312"/>
                      <w:sz w:val="20"/>
                    </w:rPr>
                    <w:t>监督人员：</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自合同签订之日起730日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严格按照泸州分段社会化养护考核评分标准进行考核，以及《财政部关于进一步加强政府采购需求和履约验收管理的指导意见》（财库〔2016〕205号）进行验收。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2、中标人每完成一个季度的养护工作，经采购人按评分标准考核后，达到付款条件起30日内，据实情况说明为根据考核得分情况支付服务费用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3、中标人每完成一个季度的养护工作，经采购人按评分标准考核后，达到付款条件起30日内，据实情况说明为根据考核得分情况支付服务费用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4、中标人每完成一个季度的养护工作，经采购人按评分标准考核后，达到付款条件起30日内，据实情况说明为根据考核得分情况支付服务费用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5、中标人每完成一个季度的养护工作，经采购人按评分标准考核后，达到付款条件起30日内，据实情况说明为根据考核得分情况支付服务费用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6、中标人每完成一个季度的养护工作，经采购人按评分标准考核后，达到付款条件起30日内，据实情况说明为根据考核得分情况支付服务费用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7、中标人每完成一个季度的养护工作，经采购人按评分标准考核后，达到付款条件起30日内，据实情况说明为根据考核得分情况支付服务费用</w:t>
            </w:r>
          </w:p>
          <w:p>
            <w:pPr>
              <w:pStyle w:val="null3"/>
              <w:jc w:val="left"/>
            </w:pPr>
            <w:r>
              <w:rPr>
                <w:rFonts w:ascii="仿宋_GB2312" w:hAnsi="仿宋_GB2312" w:cs="仿宋_GB2312" w:eastAsia="仿宋_GB2312"/>
              </w:rPr>
              <w:t>8、中标人每完成一个季度的养护工作，经采购人按评分标准考核后，达到付款条件起30日内，据实情况说明为根据考核得分情况支付服务费用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（一）甲乙双方均应遵守本合同，非因不可抗力而单方面终止执行合同的，将赔偿因违约给对方造成的经济损失，并向对方支付本合同年度总金额 10%的违约金；如因乙方原因造成的，除不予退还履约保证金外，由甲方提请项目同级财政部门将其列入不良行为记录。 （二）若因乙方原因在合同规定期限内无法提供服务，甲方有权要求乙方在一定期限内整改，乙方逾期未解决并造成甲方直接经济损失的，甲方有权解除本合同，不予退还履约保证金并由乙方向甲方支付本合同年度总金额 10%的违约金；或经甲乙双方协商同意继续履行合同，不予退还履约保证金，甲方视情况在延迟服务每天按本合同年度总金额 3‰的标准收取违约金。因不可抗拒力所导致的，双方互不承担违约责任。 （三）乙方提供的服务质量不符合本合同规定的，甲方有权按照合同约定考核评分标准对应的扣款比例扣除相应的服务费。 （四）乙方应严格遵守服务承诺，如有违约，将赔偿因服务违约给甲方造成的经济损失。如因乙方工作人员在履行职务过程中的疏忽、失职、过错等故意或者过失原因给甲方造成损失或侵害，包括但不限于甲方本身的财产损失，由此而导致的甲方对任何第三方的法律责任等，乙方对此均应承担全部的赔偿责任。 （五）验收合格后，甲方应按照合同约定的付款方式及时支付合同款项，如因甲方原因造成付款延误的，甲方应在延迟付款期内每天按应付款总额 3‰的标准向乙方支付违约金。 （六）不可抗力：甲方由于不可抗力的原因不能履行合同时，应及时向乙方和项目同级财政部门通报不能履行或不能完全履行的理由；乙方由于不可抗力的原因不能履行合同时，应在约定时 间到期以前及时向甲方和项目同级财政部门通报不能履行或不能完全履行的理由；在取得有关主管机关证明以后，可以签订延期履行、部分履行补充合同或者不履行合同，并根 据情况可部分或全部免予承担违约责任。（七）本合同履行发生争议或出现未尽事宜，由甲乙双方协商解决，并可签定补充协议；协商不成，向采购人所在地人民法院起诉解决，由此产生的诉讼费、保全费、律师费等各项相关费用由违约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1.投标人需针对本项目提供相应的组织设计及实施方案、机构设置及管理制度、质量控制及安全文明措施方案、应急保障措施方案、履约能力、人员配置材料（响应以评审标准中关联响应文件格式文本为准）。 2.因系统原因合同履约期限描述为“本项目政府采购合同履行期限为：二年，按照履约年度签订，即在年度履约期满后，继续签订下一履约年度的政府采购合同。因中标人后续履约质量无法保障或者采购人采购需求发生变化，可以依法终止合同。”，但本项目为一次性签订两年合同，投标人响应及项目后期实施以此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①供应商若为企业法人：提供“统一社会信用代码营业执照”副本扫描件；未换证的提供“营业执照、税务登记证、组织机构代码证或三证合一的营业 执照”；</w:t>
              <w:br/>
              <w:t>②若为事业法人：提供“统一社会信用代码法人登记证书”；未换证的提交“事业法人登记证书、组织机构代码证”；</w:t>
              <w:br/>
              <w:t>③若为其他组织：提供“对应主管部门颁发的准许执业证明文件或营业执照”；</w:t>
              <w:br/>
              <w:t>④若为自然人：提供“身份证明材料”。</w:t>
              <w:br/>
              <w:t>以上均提供扫描件并进行电子签章。</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2024年以来任意1个月缴纳税收和缴纳社会保障资金的有效证明材料复印件（属于免税企业的，应提供相关部门出具的免税证明材料）；②或按要求填写《投标（响应）函》完成承诺并进行电子签章。（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授权参加本次采购活动的供应商代表证明材料。</w:t>
            </w:r>
          </w:p>
        </w:tc>
        <w:tc>
          <w:tcPr>
            <w:tcW w:type="dxa" w:w="3322"/>
          </w:tcPr>
          <w:p>
            <w:pPr>
              <w:pStyle w:val="null3"/>
              <w:jc w:val="left"/>
            </w:pPr>
            <w:r>
              <w:rPr>
                <w:rFonts w:ascii="仿宋_GB2312" w:hAnsi="仿宋_GB2312" w:cs="仿宋_GB2312" w:eastAsia="仿宋_GB2312"/>
              </w:rPr>
              <w:t>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tc>
        <w:tc>
          <w:tcPr>
            <w:tcW w:type="dxa" w:w="1910"/>
          </w:tcPr>
          <w:p>
            <w:pPr>
              <w:pStyle w:val="null3"/>
              <w:jc w:val="left"/>
            </w:pPr>
            <w:r>
              <w:rPr>
                <w:rFonts w:ascii="仿宋_GB2312" w:hAnsi="仿宋_GB2312" w:cs="仿宋_GB2312" w:eastAsia="仿宋_GB2312"/>
              </w:rPr>
              <w:t>法定代表人（或负责人）授权委托书.docx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投标人提交的书面说明，应当加盖投标人公章，在评标委员会要求的时间内通过项目电子化交易系统进行提交，否则视为不 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第三章“3.2.技术要求”。</w:t>
            </w:r>
          </w:p>
        </w:tc>
        <w:tc>
          <w:tcPr>
            <w:tcW w:type="dxa" w:w="3322"/>
          </w:tcPr>
          <w:p>
            <w:pPr>
              <w:pStyle w:val="null3"/>
              <w:jc w:val="left"/>
            </w:pPr>
            <w:r>
              <w:rPr>
                <w:rFonts w:ascii="仿宋_GB2312" w:hAnsi="仿宋_GB2312" w:cs="仿宋_GB2312" w:eastAsia="仿宋_GB2312"/>
              </w:rPr>
              <w:t>技术要求需按招标文件要求进行响应。</w:t>
            </w:r>
          </w:p>
        </w:tc>
        <w:tc>
          <w:tcPr>
            <w:tcW w:type="dxa" w:w="1910"/>
          </w:tcPr>
          <w:p>
            <w:pPr>
              <w:pStyle w:val="null3"/>
              <w:jc w:val="left"/>
            </w:pPr>
            <w:r>
              <w:rPr>
                <w:rFonts w:ascii="仿宋_GB2312" w:hAnsi="仿宋_GB2312" w:cs="仿宋_GB2312" w:eastAsia="仿宋_GB2312"/>
              </w:rPr>
              <w:t>技术应答表.docx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第三章“3.3.2.商务要求”。</w:t>
            </w:r>
          </w:p>
        </w:tc>
        <w:tc>
          <w:tcPr>
            <w:tcW w:type="dxa" w:w="3322"/>
          </w:tcPr>
          <w:p>
            <w:pPr>
              <w:pStyle w:val="null3"/>
              <w:jc w:val="left"/>
            </w:pPr>
            <w:r>
              <w:rPr>
                <w:rFonts w:ascii="仿宋_GB2312" w:hAnsi="仿宋_GB2312" w:cs="仿宋_GB2312" w:eastAsia="仿宋_GB2312"/>
              </w:rPr>
              <w:t>商务要求为本次采购活动体现满足采购需求、质量和服务相等的采购项目最低要求，不允许有负偏离，需在商务应答表中进行响应。</w:t>
            </w:r>
          </w:p>
        </w:tc>
        <w:tc>
          <w:tcPr>
            <w:tcW w:type="dxa" w:w="1910"/>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组织设计及实施方案</w:t>
            </w:r>
          </w:p>
        </w:tc>
        <w:tc>
          <w:tcPr>
            <w:tcW w:type="dxa" w:w="2575"/>
          </w:tcPr>
          <w:p>
            <w:pPr>
              <w:pStyle w:val="null3"/>
              <w:jc w:val="left"/>
            </w:pPr>
            <w:r>
              <w:rPr>
                <w:rFonts w:ascii="仿宋_GB2312" w:hAnsi="仿宋_GB2312" w:cs="仿宋_GB2312" w:eastAsia="仿宋_GB2312"/>
              </w:rPr>
              <w:t>投标人根据本项目的内容及要求编制组织设计及实施方案：①养护巡查记录和频率；②路容路貌保持措施；③绿化管护措施；④垃圾收集和处置措施；⑤道路大面积污染清理和防护措施；⑥路基、路面、桥涵、隧道及交安设施、公里桩、百米桩等的日常巡查和保洁措施。以上6项完全满足招标文件要求的得12分，方案中每缺少一项扣2分，每个单项方案中每存在一处内容错误或缺陷的扣1分，以上6项每个单项方案最多扣2分。（内容错误或缺陷指：①项目名称、地点区域与本项目要求不一致、②方案内容存在错误、③内容与本项目需求无关、④方案内容简略（仅有框架或标题）中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组织设计及实施方案.docx</w:t>
            </w:r>
          </w:p>
        </w:tc>
      </w:tr>
      <w:tr>
        <w:tc>
          <w:tcPr>
            <w:tcW w:type="dxa" w:w="831"/>
            <w:vMerge/>
          </w:tcPr>
          <w:p/>
        </w:tc>
        <w:tc>
          <w:tcPr>
            <w:tcW w:type="dxa" w:w="1661"/>
          </w:tcPr>
          <w:p>
            <w:pPr>
              <w:pStyle w:val="null3"/>
              <w:jc w:val="left"/>
            </w:pPr>
            <w:r>
              <w:rPr>
                <w:rFonts w:ascii="仿宋_GB2312" w:hAnsi="仿宋_GB2312" w:cs="仿宋_GB2312" w:eastAsia="仿宋_GB2312"/>
              </w:rPr>
              <w:t>机构设置及管理制度</w:t>
            </w:r>
          </w:p>
        </w:tc>
        <w:tc>
          <w:tcPr>
            <w:tcW w:type="dxa" w:w="2575"/>
          </w:tcPr>
          <w:p>
            <w:pPr>
              <w:pStyle w:val="null3"/>
              <w:jc w:val="left"/>
            </w:pPr>
            <w:r>
              <w:rPr>
                <w:rFonts w:ascii="仿宋_GB2312" w:hAnsi="仿宋_GB2312" w:cs="仿宋_GB2312" w:eastAsia="仿宋_GB2312"/>
              </w:rPr>
              <w:t>投标人根据本项目的内容及要求编制机构设置及管理制度：①组织机构设置；②项目管理办公室的设置；③人员配置及职责分工；④内部日常管理制度；⑤奖惩制度作详细阐述；以上5项完全满足招标文件要求的得15分，方案中每缺少一项扣3分，每个单项方案中每存在一处内容错误或缺陷的扣1.5分，以上5项每个单项方案最多扣3分。（内容错误或缺陷指：①项目名称、地点区域与本项目要求不一致、②方案内容存在错误、③内容与本项目需求无关、④方案内容简略（仅有框架或标题）中的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机构设置及管理制度.docx</w:t>
            </w:r>
          </w:p>
        </w:tc>
      </w:tr>
      <w:tr>
        <w:tc>
          <w:tcPr>
            <w:tcW w:type="dxa" w:w="831"/>
            <w:vMerge/>
          </w:tcPr>
          <w:p/>
        </w:tc>
        <w:tc>
          <w:tcPr>
            <w:tcW w:type="dxa" w:w="1661"/>
          </w:tcPr>
          <w:p>
            <w:pPr>
              <w:pStyle w:val="null3"/>
              <w:jc w:val="left"/>
            </w:pPr>
            <w:r>
              <w:rPr>
                <w:rFonts w:ascii="仿宋_GB2312" w:hAnsi="仿宋_GB2312" w:cs="仿宋_GB2312" w:eastAsia="仿宋_GB2312"/>
              </w:rPr>
              <w:t>质量控制及安全文明措施方案</w:t>
            </w:r>
          </w:p>
        </w:tc>
        <w:tc>
          <w:tcPr>
            <w:tcW w:type="dxa" w:w="2575"/>
          </w:tcPr>
          <w:p>
            <w:pPr>
              <w:pStyle w:val="null3"/>
              <w:jc w:val="left"/>
            </w:pPr>
            <w:r>
              <w:rPr>
                <w:rFonts w:ascii="仿宋_GB2312" w:hAnsi="仿宋_GB2312" w:cs="仿宋_GB2312" w:eastAsia="仿宋_GB2312"/>
              </w:rPr>
              <w:t>投标人根据本项目的内容及要求编制质量控制及安全文明措施方案：①安全、文明制度；②岗前培训；③安全教育；④质量控制措施作详细阐述；以上4项完全满足招标文件要求的得12分，方案中每缺少一项扣3分，每个单项方案中每存在一处内容错误或缺陷的扣1.5分，以上4项每个单项方案最多扣3分。（内容错误或缺陷指：①项目名称、地点区域与本项目要求不一致、②方案内容存在错误、③内容与本项目需求无关、④方案内容简略（仅有框架或标题）中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质量控制及安全文明措施方案.docx</w:t>
            </w:r>
          </w:p>
        </w:tc>
      </w:tr>
      <w:tr>
        <w:tc>
          <w:tcPr>
            <w:tcW w:type="dxa" w:w="831"/>
            <w:vMerge/>
          </w:tcPr>
          <w:p/>
        </w:tc>
        <w:tc>
          <w:tcPr>
            <w:tcW w:type="dxa" w:w="1661"/>
          </w:tcPr>
          <w:p>
            <w:pPr>
              <w:pStyle w:val="null3"/>
              <w:jc w:val="left"/>
            </w:pPr>
            <w:r>
              <w:rPr>
                <w:rFonts w:ascii="仿宋_GB2312" w:hAnsi="仿宋_GB2312" w:cs="仿宋_GB2312" w:eastAsia="仿宋_GB2312"/>
              </w:rPr>
              <w:t>应急保障措施方案</w:t>
            </w:r>
          </w:p>
        </w:tc>
        <w:tc>
          <w:tcPr>
            <w:tcW w:type="dxa" w:w="2575"/>
          </w:tcPr>
          <w:p>
            <w:pPr>
              <w:pStyle w:val="null3"/>
              <w:jc w:val="left"/>
            </w:pPr>
            <w:r>
              <w:rPr>
                <w:rFonts w:ascii="仿宋_GB2312" w:hAnsi="仿宋_GB2312" w:cs="仿宋_GB2312" w:eastAsia="仿宋_GB2312"/>
              </w:rPr>
              <w:t>投标人根据本项目的内容及要求编制应急保障措施方案：①应急小组建立；②自然灾害及突发事件应急措施；③应急管理制度作详细阐述；以上3项完全满足招标文件要求的得9分，方案中每缺少一项扣3分，每个单项方案中每存在一处内容错误或缺陷的扣1.5分，以上3项每个单项方案最多扣3分。（内容错误或缺陷指：①项目名称、地点区域与本项目要求不一致、②方案内容存在错误、③内容与本项目需求无关、④方案内容简略（仅有框架或标题）中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应急保障措施方案.docx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自2022年1月1日以来完成的类似项目业绩，每提供一个公路路基路面（含绿化）养护或桥梁养护或交通安全设施养护或道路保洁业绩的得3分，本项最多得12分。（项目业绩时间以合同签订时间为准，提供合同扫描件并加盖公章予以佐证）。 2.投标人承诺中标后拟投入本项目设备中含有①洒水车、②路面清扫车、③登高车、④小型轮式挖掘机的，每提供一个机械设备的得1分，本项最多得4分。不提供不得分。（投标人需承诺在中标结果发出之日起到合同签订之前将设备的购买发票或租赁协议复印件盖鲜章报采购人备案。承诺函需单独提供，格式自拟）。</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1.投标人为本项目配备专业技术人员中，每配备1名桥梁养护工程师（具有三年以上从事桥梁养护管理工作经历且具有道路、桥梁工程师或公路工程二级建造师以上技术职称）的得4分，本项最多得4分。 2.投标人为本项目配备其他服务人员中，每配备1名资料员的得2分，本项最多得2分。 注：上述人员需提供人员证书扫描件和工作经历材料并加盖公章）。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详见附件：法定代表人（或负责人）授权委托书.docx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详见附件：组织设计及实施方案.docx</w:t>
      </w:r>
    </w:p>
    <w:p>
      <w:pPr>
        <w:pStyle w:val="null3"/>
        <w:ind w:firstLine="960"/>
        <w:jc w:val="left"/>
      </w:pPr>
      <w:r>
        <w:rPr>
          <w:rFonts w:ascii="仿宋_GB2312" w:hAnsi="仿宋_GB2312" w:cs="仿宋_GB2312" w:eastAsia="仿宋_GB2312"/>
        </w:rPr>
        <w:t>详见附件：机构设置及管理制度.docx</w:t>
      </w:r>
    </w:p>
    <w:p>
      <w:pPr>
        <w:pStyle w:val="null3"/>
        <w:ind w:firstLine="960"/>
        <w:jc w:val="left"/>
      </w:pPr>
      <w:r>
        <w:rPr>
          <w:rFonts w:ascii="仿宋_GB2312" w:hAnsi="仿宋_GB2312" w:cs="仿宋_GB2312" w:eastAsia="仿宋_GB2312"/>
        </w:rPr>
        <w:t>详见附件：质量控制及安全文明措施方案.docx</w:t>
      </w:r>
    </w:p>
    <w:p>
      <w:pPr>
        <w:pStyle w:val="null3"/>
        <w:ind w:firstLine="960"/>
        <w:jc w:val="left"/>
      </w:pPr>
      <w:r>
        <w:rPr>
          <w:rFonts w:ascii="仿宋_GB2312" w:hAnsi="仿宋_GB2312" w:cs="仿宋_GB2312" w:eastAsia="仿宋_GB2312"/>
        </w:rPr>
        <w:t>详见附件：应急保障措施方案.docx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